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mapping xmlns:m="http://mapping.word.org/2012/mapping">
  <m:sm4><![CDATA[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]]></m:sm4>
</m:mapping>
</file>

<file path=customXml\item3.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]]></t:sse>
</t:template>
</file>

<file path=customXml\item4.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兖矿能源集团股份有限公司</clcid-cgi:GongSiFaDingZhongWenMingCheng>
  <clcid-mr:GongSiFuZeRenXingMing xmlns:clcid-mr="clcid-mr">李伟</clcid-mr:GongSiFuZeRenXingMing>
  <clcid-mr:ZhuGuanKuaiJiGongZuoFuZeRenXingMing xmlns:clcid-mr="clcid-mr">赵治国</clcid-mr:ZhuGuanKuaiJiGongZuoFuZeRenXingMing>
  <clcid-mr:KuaiJiJiGouFuZeRenXingMing xmlns:clcid-mr="clcid-mr">郭慧</clcid-mr:KuaiJiJiGouFuZeRenXingMing>
  <clcid-cgi:GongSiFaDingDaiBiaoRen xmlns:clcid-cgi="clcid-cgi"/>
  <clcid-ci-ar:DanWeiKouChuFeiJingChangXingSunYiXiangMuHeJinE xmlns:clcid-ci-ar="clcid-ci-ar">千元</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千元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千元</clcid-ci-ar:DanWeiCaiWuFuZhuYingFuPiaoJu>
  <bond:GongSiFaDingZhongWenMingCheng/>
  <clcid-pte:YinQuXiaoXiuGaiGuQuanJiLiJiHuaYiCiXingQueRenDeGuFenZhiFuFeiYong/>
  <clcid-pte:DuiYuXianJinJieSuanDeGuFenZhiFuZaiKeXingQuanRiZhiHouYingFuZhiGongXinChouDeGongYunJiaZhiBianDongChanShengDeSunYi/>
  <bond:DanWeiFeiJingYingXingWangLaiZhanKuanHeZiJinChaiJie>千元</bond:DanWeiFeiJingYingXingWangLaiZhanKuanHeZiJinChaiJie>
  <bond:BiZhongFeiJingYingXingWangLaiZhanKuanHeZiJinChaiJie>人民币</bond:BiZhongFeiJingYingXingWangLaiZhanKuanHeZiJinChaiJie>
  <bond:DanWeiMuGongSiYouXiZhaiWu>100000000</bond:DanWeiMuGongSiYouXiZhaiWu>
  <bond:DanWeiYouXiZhaiWu>100000000</bond:DanWeiYouXiZhaiWu>
  <bond:DanWeiFaXingRenJingWaiShiChangFaXingZhaiQuan>100000000</bond:DanWeiFaXingRenJingWaiShiChangFaXingZhaiQuan>
  <bond:JingWaiZhaiQuan>0</bond:JingWaiZhaiQuan>
  <bond:BiZhongFaXingRenJingWaiShiChangFaXingZhaiQuan>人民币</bond:BiZhongFaXingRenJingWaiShiChangFaXingZhaiQuan>
  <bond:DanWeiMuGongSiZhaiWuJieGouQingKuang>100000000</bond:DanWeiMuGongSiZhaiWuJieGouQingKuang>
  <bond:DanWeiZhaiWuJieGouQingKuang>100000000</bond:DanWeiZhaiWuJieGouQingKuang>
</b:binding>
</file>

<file path=customXml\item5.xml><?xml version="1.0" encoding="utf-8"?>
<sc:sections xmlns:sc="http://mapping.word.org/2014/section/customize">
  <section xmlns="http://mapping.word.org/2014/section/customize" name="_SEC_3fe2ceb3f87f4c319dc247c4a8d6611b" id="d2624690c5bc24ec" status="user">
    <sys>UEsDBBQABgAIAAAAIQAQgUBxfAEAAOkH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ctOwzAQRfdI/EPkLUrcskAINe2CxxIqUT7AxJPUwrEtj/vI3zPpIyDUNoi2tJtIzsy999gaaXqDeamjKXhU1qSsm3RYBCazUpkiZW+jp/iWRRiEkUJbAymrANmgf3nRG1UOMCK1wZSNQ3B3nGM2hlJgYh0YquTWlyLQ0RfciexDFMCvO50bnlkTwIQ41B6s33uAXEx0iB7n9HtJ4kEji+6XjXVWyoRzWmUiUJ1PjfyREq8SElIuenCsHF5RA+MbE+rK9oCV7oWexisJ0VD48CxK6uIz6yWXNpuUpEx222zgtHmuMmj0tZvzNgNEevNSJ02lFMqs+bdyYKg04OEplr7t8RACCY4BsHJuRZjB++vRKL6Zt4LklDsS7xoOj9FYt0IU2iIKX/3HgK6zfg914mn94jj92DYsZzO/DdFZDHKgVQLLb3dvjoXNrkjqHHrrkFaT/8O117unVsd0YQc+qN0D2SSS9d73g3qtSZAbsvliUfc/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PNTsMwEITvSLyDtXfipECFUJ1eEFKvEB7ATTZOhGNH3uUnb49VCE1FFXHIcWa9M58tebP97Kx4x0CtdwqyJAWBrvRV64yCl+Lx6g4EsXaVtt6hggEJtvnlxeYJrea4RE3bk4gpjhQ0zP29lFQ22GlKfI8uTmofOs1RBiN7Xb5qg3KVpmsZphmQn2SKXaUg7KprEMXQ43+yfV23JT748q1Dx2cq5Afun5E5Xo5irA4GWcHETGIiyPMgqyVB6A/F6MwhZIsi8GBxCnDQc/XrJes57uKx/SC/zWyO4XZJBmM9kQ7DeOaIM05k9TOaY7pZkqn2jgu9t5O3+bVGCHny+fIvAA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skU9PwzAMxe9IfIcq9zYtSAhVbSdx4MQkJEDiGhKvy9b8Ueyt67cn6yBjaDc/v1+eHLtZHMyQ7SGgdrZlVVGyDKx0Stu+ZR/vz/kjy5CEVWJwFlo2AbJFd3vTSF9LF+A1OA+BNGAWkyzW0rdsTeRrzlGuwQgsImGjuXLBCIoy9NwLuRU98LuyfOAGSChBgh8Dc58S2U+kkinS78IwByjJYQADlpBXRcXPLEEwePXB7PwhjabJw1X010z0AXUCx3EsxvsZjfNX/HP58jZ/Ndf2uCsJrGuUrEnTAF3Dz2WscPe1AUmndhKxlgEEuXAykohr3sI0uqAwOhcqikEgLeOxVhrU03QC/vdiK8BeHw/clTOR5Kwur9h9AwAA//8DAFBLAwQUAAYACAAAACEAvoLeongBAADN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</sys>
    <user>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</user>
  </section>
</sc:sections>
</file>

<file path=customXml\item6.xml><?xml version="1.0" encoding="utf-8"?>
<sc:sections xmlns:sc="http://mapping.word.org/2014/section/customize"/>
</file>

<file path=customXml\itemProps1.xml><?xml version="1.0" encoding="utf-8"?>
<ds:datastoreItem xmlns:ds="http://schemas.openxmlformats.org/officeDocument/2006/customXml" ds:itemID="{2F856E9A-EF25-440D-8D7B-8A4D7CC27B13}">
  <ds:schemaRefs>
    <ds:schemaRef ds:uri="http://schemas.openxmlformats.org/officeDocument/2006/bibliography"/>
  </ds:schemaRefs>
</ds:datastoreItem>
</file>

<file path=customXml\itemProps2.xml><?xml version="1.0" encoding="utf-8"?>
<ds:datastoreItem xmlns:ds="http://schemas.openxmlformats.org/officeDocument/2006/customXml" ds:itemID="{C7DA6679-8959-406E-9C82-F7FB9EA99679}">
  <ds:schemaRefs>
    <ds:schemaRef ds:uri="http://mapping.word.org/2012/mapping"/>
  </ds:schemaRefs>
</ds:datastoreItem>
</file>

<file path=customXml\itemProps3.xml><?xml version="1.0" encoding="utf-8"?>
<ds:datastoreItem xmlns:ds="http://schemas.openxmlformats.org/officeDocument/2006/customXml" ds:itemID="{00A82B23-9736-4702-80F6-18794E6F3A7F}">
  <ds:schemaRefs>
    <ds:schemaRef ds:uri="http://mapping.word.org/2012/template"/>
  </ds:schemaRefs>
</ds:datastoreItem>
</file>

<file path=customXml\itemProps4.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5.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6.xml><?xml version="1.0" encoding="utf-8"?>
<ds:datastoreItem xmlns:ds="http://schemas.openxmlformats.org/officeDocument/2006/customXml" ds:itemID="{B3DBF25E-24C0-4112-BFB1-882AB6C0DAC8}">
  <ds:schemaRefs>
    <ds:schemaRef ds:uri="http://mapping.word.org/2014/section/customize"/>
  </ds:schemaRefs>
</ds:datastoreItem>
</file>

<file path=docProps\app.xml><?xml version="1.0" encoding="utf-8"?>
<Properties xmlns="http://schemas.openxmlformats.org/officeDocument/2006/extended-properties" xmlns:vt="http://schemas.openxmlformats.org/officeDocument/2006/docPropsVTypes">
  <Template>SSEReport.dotm</Template>
  <TotalTime>43</TotalTime>
  <Pages>1</Pages>
  <Words>61559</Words>
  <Characters>350892</Characters>
  <Application>Microsoft Office Word</Application>
  <DocSecurity>0</DocSecurity>
  <Lines>2924</Lines>
  <Paragraphs>823</Paragraphs>
  <ScaleCrop>false</ScaleCrop>
  <Company/>
  <LinksUpToDate>false</LinksUpToDate>
  <CharactersWithSpaces>411628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兖矿能源集团股份有限公司2025年年度报告</dc:title>
  <dc:creator>dell</dc:creator>
  <cp:lastModifiedBy>1432642317@qq.com</cp:lastModifiedBy>
  <cp:revision>30</cp:revision>
  <dcterms:created xsi:type="dcterms:W3CDTF">2026-03-27T04:13:00Z</dcterms:created>
  <dcterms:modified xsi:type="dcterms:W3CDTF">2026-03-27T09:20:00Z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5B77E7CEEC58BC6AFAE8886BEB80DBEB">
    <vt:lpwstr>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</vt:lpwstr>
  </property>
  <property fmtid="{D5CDD505-2E9C-101B-9397-08002B2CF9AE}" pid="3" name="KSOTemplateDocerSaveRecord">
    <vt:lpwstr>eyJoZGlkIjoiYmFmNzA5OWFhNDk5ZTUyYzI0NGNlM2NkNjMxNDE3NWUiLCJ1c2VySWQiOiIxNDc1MjY1NjUxIn0=</vt:lpwstr>
  </property>
  <property fmtid="{D5CDD505-2E9C-101B-9397-08002B2CF9AE}" pid="4" name="KSOProductBuildVer">
    <vt:lpwstr>2052-12.1.0.25225</vt:lpwstr>
  </property>
  <property fmtid="{D5CDD505-2E9C-101B-9397-08002B2CF9AE}" pid="5" name="ICV">
    <vt:lpwstr>FCBD1862D3EE47BBB94AA8579BC6B40B_12</vt:lpwstr>
  </property>
</Propertie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beforeLines="50" w:before="120" w:afterLines="50" w:after="120"/>
        <w:rPr>
          <w:rFonts w:ascii="宋体" w:hAnsi="宋体"/>
          <w:bCs/>
        </w:rPr>
      </w:pPr>
      <w:sdt>
        <w:sdtPr>
          <w:rPr>
            <w:rFonts w:ascii="宋体" w:hAnsi="宋体"/>
          </w:rPr>
          <w:tag w:val="_PLD_1949c108a8da4292a0058e3719689765"/>
          <w:id w:val="1097986080"/>
        </w:sdtPr>
        <w:sdtContent>
          <w:r>
            <w:rPr>
              <w:rFonts w:ascii="宋体" w:hAnsi="宋体" w:hint="eastAsia"/>
              <w:bCs/>
            </w:rPr>
            <w:t>股票代码：</w:t>
          </w:r>
        </w:sdtContent>
      </w:sdt>
      <w:sdt>
        <w:sdtPr>
          <w:rPr>
            <w:rFonts w:ascii="宋体" w:hAnsi="宋体" w:hint="eastAsia"/>
            <w:bCs/>
          </w:rPr>
          <w:alias w:val="公司代码"/>
          <w:tag w:val="_GBC_704b7b03ea3f4a93b8d4655a09b2ff61"/>
          <w:id w:val="2040237025"/>
          <w:placeholder>
            <w:docPart w:val="GBC22222222222222222222222222222"/>
          </w:placeholder>
        </w:sdtPr>
        <w:sdtContent>
          <w:r>
            <w:rPr>
              <w:rFonts w:ascii="宋体" w:hAnsi="宋体"/>
              <w:bCs/>
            </w:rPr>
            <w:t>600188</w:t>
          </w:r>
        </w:sdtContent>
      </w:sdt>
      <w:r>
        <w:rPr>
          <w:rFonts w:ascii="宋体" w:hAnsi="宋体" w:hint="eastAsia"/>
          <w:bCs/>
        </w:rPr>
        <w:t xml:space="preserve">                                           </w:t>
      </w:r>
      <w:sdt>
        <w:sdtPr>
          <w:rPr>
            <w:rFonts w:ascii="宋体" w:hAnsi="宋体"/>
          </w:rPr>
          <w:tag w:val="_PLD_fdb42a71c1cc4dc59fad3ee29e241a4f"/>
          <w:id w:val="-1853938739"/>
        </w:sdtPr>
        <w:sdtContent>
          <w:r>
            <w:rPr>
              <w:rFonts w:ascii="宋体" w:hAnsi="宋体" w:hint="eastAsia"/>
              <w:bCs/>
            </w:rPr>
            <w:t>股票简称：</w:t>
          </w:r>
        </w:sdtContent>
      </w:sdt>
      <w:sdt>
        <w:sdtPr>
          <w:rPr>
            <w:rFonts w:ascii="宋体" w:hAnsi="宋体" w:hint="eastAsia"/>
            <w:bCs/>
          </w:rPr>
          <w:alias w:val="公司简称"/>
          <w:tag w:val="_GBC_0384ae715a1e4b4894a29e4d27f5bef4"/>
          <w:id w:val="-1072503083"/>
          <w:placeholder>
            <w:docPart w:val="GBC22222222222222222222222222222"/>
          </w:placeholder>
        </w:sdtPr>
        <w:sdtContent>
          <w:r>
            <w:rPr>
              <w:rFonts w:ascii="宋体" w:hAnsi="宋体" w:hint="eastAsia"/>
              <w:bCs/>
            </w:rPr>
            <w:t>兖矿能源</w:t>
          </w:r>
        </w:sdtContent>
      </w:sdt>
    </w:p>
    <w:p>
      <w:pPr>
        <w:rPr>
          <w:rFonts w:ascii="宋体" w:hAnsi="宋体"/>
        </w:rPr>
      </w:pPr>
    </w:p>
    <w:p>
      <w:pPr>
        <w:rPr>
          <w:rFonts w:ascii="宋体" w:hAnsi="宋体"/>
        </w:rPr>
      </w:pPr>
    </w:p>
    <w:p>
      <w:pPr>
        <w:pStyle w:val="Style49"/>
      </w:pPr>
    </w:p>
    <w:p>
      <w:pPr>
        <w:pStyle w:val="Style49"/>
      </w:pPr>
    </w:p>
    <w:p>
      <w:pPr>
        <w:pStyle w:val="Style49"/>
      </w:pPr>
    </w:p>
    <w:p>
      <w:pPr>
        <w:pStyle w:val="Style49"/>
      </w:pPr>
    </w:p>
    <w:p>
      <w:pPr>
        <w:rPr>
          <w:b/>
          <w:bCs/>
        </w:rPr>
      </w:pPr>
    </w:p>
    <w:p>
      <w:pPr>
        <w:rPr>
          <w:b/>
          <w:bCs/>
        </w:rPr>
      </w:pPr>
    </w:p>
    <w:p>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545534480"/>
          <w:placeholder>
            <w:docPart w:val="GBC22222222222222222222222222222"/>
          </w:placeholder>
          <w:dataBinding w:prefixMappings="xmlns:clcid-cgi='clcid-cgi'" w:xpath="/*/clcid-cgi:GongSiFaDingZhongWenMingCheng[not(@periodRef)]" w:storeItemID="{89EBAB94-44A0-46A2-B712-30D997D04A6D}"/>
          <w:text/>
        </w:sdtPr>
        <w:sdtContent>
          <w:r>
            <w:rPr>
              <w:rFonts w:ascii="黑体" w:eastAsia="黑体" w:hAnsi="黑体" w:hint="eastAsia"/>
              <w:b/>
              <w:bCs/>
              <w:color w:val="FF0000"/>
              <w:sz w:val="44"/>
              <w:szCs w:val="44"/>
            </w:rPr>
            <w:t>兖矿能源集团股份有限公司</w:t>
          </w:r>
        </w:sdtContent>
      </w:sdt>
    </w:p>
    <w:p>
      <w:pPr>
        <w:jc w:val="center"/>
        <w:rPr>
          <w:rFonts w:ascii="黑体" w:eastAsia="黑体" w:hAnsi="黑体"/>
          <w:b/>
          <w:bCs/>
          <w:color w:val="FF0000"/>
          <w:sz w:val="44"/>
          <w:szCs w:val="44"/>
        </w:rPr>
      </w:pPr>
      <w:r>
        <w:rPr>
          <w:rFonts w:ascii="黑体" w:eastAsia="黑体" w:hAnsi="黑体"/>
          <w:b/>
          <w:bCs/>
          <w:color w:val="FF0000"/>
          <w:sz w:val="44"/>
          <w:szCs w:val="44"/>
        </w:rPr>
        <w:t>2025</w:t>
      </w:r>
      <w:r>
        <w:rPr>
          <w:rFonts w:ascii="黑体" w:eastAsia="黑体" w:hAnsi="黑体" w:hint="eastAsia"/>
          <w:b/>
          <w:bCs/>
          <w:color w:val="FF0000"/>
          <w:sz w:val="44"/>
          <w:szCs w:val="44"/>
        </w:rPr>
        <w:t>年年度报告</w:t>
      </w:r>
    </w:p>
    <w:p>
      <w:pPr>
        <w:pStyle w:val="Style49"/>
      </w:pPr>
    </w:p>
    <w:p>
      <w:pPr>
        <w:rPr>
          <w:rFonts w:ascii="黑体" w:eastAsia="黑体" w:hAnsi="黑体"/>
          <w:b/>
          <w:bCs/>
          <w:color w:val="FF0000"/>
          <w:sz w:val="44"/>
          <w:szCs w:val="44"/>
        </w:rPr>
        <w:sectPr>
          <w:headerReference w:type="default" r:id="rId13"/>
          <w:footerReference w:type="default" r:id="rId14"/>
          <w:pgSz w:w="11906" w:h="16838"/>
          <w:pgMar w:top="1525" w:right="1276" w:bottom="1440" w:left="1797" w:header="855" w:footer="992" w:gutter="0"/>
          <w:cols w:space="425"/>
          <w:docGrid w:linePitch="312"/>
        </w:sectPr>
      </w:pPr>
    </w:p>
    <w:p>
      <w:pPr>
        <w:pStyle w:val="Style49"/>
      </w:pPr>
    </w:p>
    <w:bookmarkStart w:id="0" w:name="_Toc387656034" w:displacedByCustomXml="next"/>
    <w:sdt>
      <w:sdtPr>
        <w:tag w:val="_PLD_429fee330a4a46d2822ec08d94ecdb3f"/>
        <w:id w:val="-714354123"/>
      </w:sdtPr>
      <w:sdtContent>
        <w:p>
          <w:pPr>
            <w:spacing w:before="100" w:beforeAutospacing="1" w:after="100" w:afterAutospacing="1" w:line="360" w:lineRule="auto"/>
            <w:jc w:val="center"/>
            <w:rPr>
              <w:rFonts w:ascii="黑体" w:eastAsia="黑体" w:hAnsi="黑体"/>
              <w:b/>
              <w:bCs/>
              <w:sz w:val="28"/>
              <w:szCs w:val="28"/>
            </w:rPr>
          </w:pPr>
          <w:r>
            <w:rPr>
              <w:rFonts w:ascii="黑体" w:eastAsia="黑体" w:hAnsi="黑体" w:hint="eastAsia"/>
              <w:b/>
              <w:bCs/>
              <w:sz w:val="28"/>
              <w:szCs w:val="28"/>
            </w:rPr>
            <w:t>重要提示</w:t>
          </w:r>
        </w:p>
      </w:sdtContent>
    </w:sdt>
    <w:bookmarkEnd w:id="0" w:displacedByCustomXml="next"/>
    <w:sdt>
      <w:sdtPr>
        <w:rPr>
          <w:rFonts w:ascii="宋体" w:hAnsi="宋体" w:cs="宋体" w:hint="eastAsia"/>
          <w:b w:val="0"/>
          <w:bCs w:val="0"/>
          <w:kern w:val="0"/>
          <w:szCs w:val="24"/>
        </w:rPr>
        <w:alias w:val="选项模块:董事会及董事声明"/>
        <w:tag w:val="_SEC_7d2cef92505949c6b5bd6a9bd88e1b07"/>
        <w:id w:val="1613789595"/>
        <w:placeholder>
          <w:docPart w:val="GBC22222222222222222222222222222"/>
        </w:placeholder>
      </w:sdtPr>
      <w:sdtEndPr>
        <w:rPr>
          <w:rFonts w:cs="Times New Roman" w:hint="default"/>
          <w:szCs w:val="20"/>
        </w:rPr>
      </w:sdtEndPr>
      <w:sdtContent>
        <w:sdt>
          <w:sdtPr>
            <w:rPr>
              <w:rFonts w:ascii="宋体" w:hAnsi="宋体" w:cs="宋体" w:hint="eastAsia"/>
              <w:b w:val="0"/>
              <w:bCs w:val="0"/>
              <w:kern w:val="0"/>
              <w:szCs w:val="24"/>
            </w:rPr>
            <w:alias w:val="董事会及董事声明"/>
            <w:tag w:val="_GBC_7a4abe6548364d7e8583e54b6ff64105"/>
            <w:id w:val="-1857651479"/>
            <w:placeholder>
              <w:docPart w:val="GBC22222222222222222222222222222"/>
            </w:placeholder>
          </w:sdtPr>
          <w:sdtEndPr>
            <w:rPr>
              <w:rFonts w:cs="Times New Roman"/>
              <w:b/>
              <w:bCs/>
              <w:kern w:val="2"/>
              <w:szCs w:val="21"/>
            </w:rPr>
          </w:sdtEndPr>
          <w:sdtContent>
            <w:p>
              <w:pPr>
                <w:pStyle w:val="2"/>
                <w:numPr>
                  <w:ilvl w:val="0"/>
                  <w:numId w:val="9"/>
                </w:numPr>
                <w:tabs>
                  <w:tab w:val="left" w:pos="434"/>
                </w:tabs>
                <w:spacing w:before="0"/>
                <w:rPr>
                  <w:rFonts w:ascii="宋体" w:hAnsi="宋体" w:cs="宋体"/>
                  <w:bCs w:val="0"/>
                </w:rPr>
              </w:pPr>
              <w:r>
                <w:rPr>
                  <w:rFonts w:ascii="宋体" w:hAnsi="宋体" w:cs="宋体"/>
                  <w:bCs w:val="0"/>
                </w:rPr>
                <w:t>本公司董事会及董事、高级管理人员保证年度报告内容的真实</w:t>
              </w:r>
              <w:r>
                <w:rPr>
                  <w:rFonts w:ascii="宋体" w:hAnsi="宋体" w:cs="宋体" w:hint="eastAsia"/>
                  <w:bCs w:val="0"/>
                </w:rPr>
                <w:t>性</w:t>
              </w:r>
              <w:r>
                <w:rPr>
                  <w:rFonts w:ascii="宋体" w:hAnsi="宋体" w:cs="宋体"/>
                  <w:bCs w:val="0"/>
                </w:rPr>
                <w:t>、准确</w:t>
              </w:r>
              <w:r>
                <w:rPr>
                  <w:rFonts w:ascii="宋体" w:hAnsi="宋体" w:cs="宋体" w:hint="eastAsia"/>
                  <w:bCs w:val="0"/>
                </w:rPr>
                <w:t>性</w:t>
              </w:r>
              <w:r>
                <w:rPr>
                  <w:rFonts w:ascii="宋体" w:hAnsi="宋体" w:cs="宋体"/>
                  <w:bCs w:val="0"/>
                </w:rPr>
                <w:t>、完整</w:t>
              </w:r>
              <w:r>
                <w:rPr>
                  <w:rFonts w:ascii="宋体" w:hAnsi="宋体" w:cs="宋体" w:hint="eastAsia"/>
                  <w:bCs w:val="0"/>
                </w:rPr>
                <w:t>性</w:t>
              </w:r>
              <w:r>
                <w:rPr>
                  <w:rFonts w:ascii="宋体" w:hAnsi="宋体" w:cs="宋体"/>
                  <w:bCs w:val="0"/>
                </w:rPr>
                <w:t>，不存在虚假记载、误导性陈述或重大遗漏，并承担个别和连带的法律责任。</w:t>
              </w:r>
            </w:p>
          </w:sdtContent>
        </w:sdt>
        <w:p>
          <w:pPr>
            <w:pStyle w:val="Style49"/>
            <w:rPr>
              <w:rFonts w:ascii="宋体" w:hAnsi="宋体"/>
            </w:rPr>
          </w:pPr>
        </w:p>
      </w:sdtContent>
    </w:sdt>
    <w:sdt>
      <w:sdtPr>
        <w:rPr>
          <w:rFonts w:ascii="宋体" w:hAnsi="宋体" w:cs="宋体" w:hint="eastAsia"/>
          <w:b w:val="0"/>
          <w:bCs w:val="0"/>
          <w:kern w:val="0"/>
          <w:sz w:val="24"/>
          <w:szCs w:val="22"/>
        </w:rPr>
        <w:alias w:val="选项模块:公司全体董事出席董事会会议。"/>
        <w:tag w:val="_SEC_22f2821f4b8f443f90d5135b8aaff83a"/>
        <w:id w:val="-1724136986"/>
        <w:placeholder>
          <w:docPart w:val="GBC22222222222222222222222222222"/>
        </w:placeholder>
      </w:sdtPr>
      <w:sdtEndPr>
        <w:rPr>
          <w:rFonts w:cs="Times New Roman" w:hint="default"/>
          <w:sz w:val="21"/>
          <w:szCs w:val="21"/>
        </w:rPr>
      </w:sdtEndPr>
      <w:sdtContent>
        <w:p>
          <w:pPr>
            <w:pStyle w:val="2"/>
            <w:numPr>
              <w:ilvl w:val="0"/>
              <w:numId w:val="9"/>
            </w:numPr>
            <w:tabs>
              <w:tab w:val="left" w:pos="434"/>
            </w:tabs>
            <w:spacing w:before="0"/>
            <w:rPr>
              <w:rFonts w:ascii="宋体" w:hAnsi="宋体" w:cs="宋体"/>
              <w:bCs w:val="0"/>
            </w:rPr>
          </w:pPr>
          <w:r>
            <w:rPr>
              <w:rFonts w:ascii="宋体" w:hAnsi="宋体" w:cs="宋体"/>
              <w:bCs w:val="0"/>
            </w:rPr>
            <w:t>《兖矿能源集团股份有限公司2025年年度报告》已经公司第九届董事会第二十二次会议审议通过，会议应出席董事11人，实出席董事11人，公司</w:t>
          </w:r>
          <w:sdt>
            <w:sdtPr>
              <w:rPr>
                <w:rFonts w:ascii="宋体" w:hAnsi="宋体"/>
              </w:rPr>
              <w:tag w:val="_PLD_67dfe594d3e24f69b6f9757d86ded61b"/>
              <w:id w:val="-1730687072"/>
            </w:sdtPr>
            <w:sdtContent>
              <w:r>
                <w:rPr>
                  <w:rFonts w:ascii="宋体" w:hAnsi="宋体" w:cs="宋体"/>
                  <w:bCs w:val="0"/>
                </w:rPr>
                <w:t>全体董事出席</w:t>
              </w:r>
            </w:sdtContent>
          </w:sdt>
          <w:r>
            <w:rPr>
              <w:rFonts w:ascii="宋体" w:hAnsi="宋体" w:cs="宋体"/>
              <w:bCs w:val="0"/>
            </w:rPr>
            <w:t>董事会会议。</w:t>
          </w:r>
        </w:p>
        <w:p>
          <w:pPr>
            <w:pStyle w:val="Style49"/>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449233466"/>
        <w:placeholder>
          <w:docPart w:val="GBC22222222222222222222222222222"/>
        </w:placeholder>
      </w:sdtPr>
      <w:sdtEndPr>
        <w:rPr>
          <w:rFonts w:ascii="Times New Roman" w:hAnsi="Times New Roman" w:cs="Times New Roman" w:hint="default"/>
          <w:sz w:val="21"/>
          <w:szCs w:val="20"/>
        </w:rPr>
      </w:sdtEndPr>
      <w:sdtContent>
        <w:p>
          <w:pPr>
            <w:pStyle w:val="2"/>
            <w:numPr>
              <w:ilvl w:val="0"/>
              <w:numId w:val="9"/>
            </w:numPr>
            <w:tabs>
              <w:tab w:val="left" w:pos="434"/>
            </w:tabs>
            <w:spacing w:before="0"/>
            <w:rPr>
              <w:rFonts w:ascii="宋体" w:hAnsi="宋体" w:cs="宋体"/>
              <w:bCs w:val="0"/>
            </w:rPr>
          </w:pPr>
          <w:sdt>
            <w:sdtPr>
              <w:rPr>
                <w:rFonts w:ascii="宋体" w:hAnsi="宋体" w:hint="eastAsia"/>
              </w:rPr>
              <w:alias w:val="公司聘请的境内会计师事务所名称"/>
              <w:tag w:val="_GBC_ad504284986e4ab994733d7125ba1c33"/>
              <w:id w:val="-296911552"/>
              <w:placeholder>
                <w:docPart w:val="GBC22222222222222222222222222222"/>
              </w:placeholder>
            </w:sdtPr>
            <w:sdtContent>
              <w:r>
                <w:rPr>
                  <w:rFonts w:ascii="宋体" w:hAnsi="宋体" w:cs="宋体"/>
                  <w:bCs w:val="0"/>
                </w:rPr>
                <w:t>天职国际会计师事务所（特殊普通合伙）</w:t>
              </w:r>
            </w:sdtContent>
          </w:sdt>
          <w:r>
            <w:rPr>
              <w:rFonts w:ascii="宋体" w:hAnsi="宋体" w:cs="宋体"/>
              <w:bCs w:val="0"/>
            </w:rPr>
            <w:t>为本公司出具了</w:t>
          </w:r>
          <w:sdt>
            <w:sdtPr>
              <w:rPr>
                <w:rFonts w:ascii="宋体" w:hAnsi="宋体" w:hint="eastAsia"/>
              </w:rPr>
              <w:alias w:val="会计师事务所审计意见类型"/>
              <w:tag w:val="_GBC_fc66ac35f9514436909a413223854389"/>
              <w:id w:val="1437102698"/>
              <w:placeholder>
                <w:docPart w:val="GBC22222222222222222222222222222"/>
              </w:placeholder>
            </w:sdtPr>
            <w:sdtContent>
              <w:r>
                <w:rPr>
                  <w:rFonts w:ascii="宋体" w:hAnsi="宋体" w:cs="宋体"/>
                  <w:bCs w:val="0"/>
                </w:rPr>
                <w:t>标准无保留意见</w:t>
              </w:r>
            </w:sdtContent>
          </w:sdt>
          <w:r>
            <w:rPr>
              <w:rFonts w:ascii="宋体" w:hAnsi="宋体" w:cs="宋体"/>
              <w:bCs w:val="0"/>
            </w:rPr>
            <w:t>的审计报告。</w:t>
          </w:r>
        </w:p>
        <w:p>
          <w:pPr>
            <w:pStyle w:val="Style49"/>
          </w:pPr>
        </w:p>
      </w:sdtContent>
    </w:sdt>
    <w:p>
      <w:pPr>
        <w:pStyle w:val="2"/>
        <w:numPr>
          <w:ilvl w:val="0"/>
          <w:numId w:val="9"/>
        </w:numPr>
        <w:tabs>
          <w:tab w:val="left" w:pos="434"/>
        </w:tabs>
        <w:spacing w:before="0"/>
        <w:rPr>
          <w:rFonts w:ascii="宋体" w:hAnsi="宋体" w:cs="宋体"/>
          <w:bCs w:val="0"/>
        </w:rPr>
      </w:pPr>
      <w:r>
        <w:rPr>
          <w:rFonts w:ascii="宋体" w:hAnsi="宋体" w:cs="宋体"/>
          <w:bCs w:val="0"/>
        </w:rPr>
        <w:t>公司董事长</w:t>
      </w:r>
      <w:sdt>
        <w:sdtPr>
          <w:rPr>
            <w:rFonts w:ascii="宋体" w:hAnsi="宋体" w:hint="eastAsia"/>
          </w:rPr>
          <w:alias w:val="公司负责人姓名"/>
          <w:tag w:val="_GBC_ba0728eaa9a342098d20addcde59ed31"/>
          <w:id w:val="-822341491"/>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cs="宋体"/>
              <w:bCs w:val="0"/>
            </w:rPr>
            <w:t>李伟</w:t>
          </w:r>
        </w:sdtContent>
      </w:sdt>
      <w:r>
        <w:rPr>
          <w:rFonts w:ascii="宋体" w:hAnsi="宋体" w:cs="宋体"/>
          <w:bCs w:val="0"/>
        </w:rPr>
        <w:t>先生、财务总监</w:t>
      </w:r>
      <w:sdt>
        <w:sdtPr>
          <w:rPr>
            <w:rFonts w:ascii="宋体" w:hAnsi="宋体" w:hint="eastAsia"/>
          </w:rPr>
          <w:alias w:val="主管会计工作负责人姓名"/>
          <w:tag w:val="_GBC_9ac791ae357946e68402505d2aa6b3b9"/>
          <w:id w:val="1004174342"/>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cs="宋体"/>
              <w:bCs w:val="0"/>
            </w:rPr>
            <w:t>赵治国</w:t>
          </w:r>
        </w:sdtContent>
      </w:sdt>
      <w:r>
        <w:rPr>
          <w:rFonts w:ascii="宋体" w:hAnsi="宋体" w:cs="宋体"/>
          <w:bCs w:val="0"/>
        </w:rPr>
        <w:t>先生及财务管理部部长</w:t>
      </w:r>
      <w:sdt>
        <w:sdtPr>
          <w:rPr>
            <w:rFonts w:ascii="宋体" w:hAnsi="宋体" w:hint="eastAsia"/>
          </w:rPr>
          <w:alias w:val="会计机构负责人姓名"/>
          <w:tag w:val="_GBC_c6edcd184788428d9dc08d896d5d98a9"/>
          <w:id w:val="1096061483"/>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cs="宋体"/>
              <w:bCs w:val="0"/>
            </w:rPr>
            <w:t>郭慧</w:t>
          </w:r>
        </w:sdtContent>
      </w:sdt>
      <w:r>
        <w:rPr>
          <w:rFonts w:ascii="宋体" w:hAnsi="宋体" w:cs="宋体"/>
          <w:bCs w:val="0"/>
        </w:rPr>
        <w:t>先生声明：保证年度报告中财务报告的真实、准确、完整。</w:t>
      </w:r>
    </w:p>
    <w:p>
      <w:pPr>
        <w:pStyle w:val="Style49"/>
      </w:pPr>
    </w:p>
    <w:p>
      <w:pPr>
        <w:pStyle w:val="2"/>
        <w:numPr>
          <w:ilvl w:val="0"/>
          <w:numId w:val="9"/>
        </w:numPr>
        <w:tabs>
          <w:tab w:val="left" w:pos="434"/>
        </w:tabs>
        <w:spacing w:before="0"/>
        <w:rPr>
          <w:rFonts w:ascii="宋体" w:hAnsi="宋体" w:cs="宋体"/>
          <w:bCs w:val="0"/>
        </w:rPr>
      </w:pPr>
      <w:r>
        <w:rPr>
          <w:rFonts w:ascii="宋体" w:hAnsi="宋体" w:cs="宋体"/>
          <w:bCs w:val="0"/>
        </w:rPr>
        <w:t>董事会决议通过的本报告期利润分配预案或公积金转增股本预案</w:t>
      </w:r>
    </w:p>
    <w:sdt>
      <w:sdtPr>
        <w:rPr>
          <w:rFonts w:hint="eastAsia"/>
        </w:rPr>
        <w:alias w:val="经董事会审议的报告期利润分配预案或公积金转增股本预案"/>
        <w:tag w:val="_GBC_87fdd30c16df49cc824b47e55e4be6d9"/>
        <w:id w:val="-464275143"/>
        <w:placeholder>
          <w:docPart w:val="GBC22222222222222222222222222222"/>
        </w:placeholder>
      </w:sdtPr>
      <w:sdtEndPr>
        <w:rPr>
          <w:rFonts w:ascii="宋体" w:hAnsi="宋体"/>
        </w:rPr>
      </w:sdtEndPr>
      <w:sdtContent>
        <w:p>
          <w:pPr>
            <w:kinsoku w:val="0"/>
            <w:overflowPunct w:val="0"/>
            <w:autoSpaceDE w:val="0"/>
            <w:autoSpaceDN w:val="0"/>
            <w:adjustRightInd w:val="0"/>
            <w:snapToGrid w:val="0"/>
            <w:spacing w:line="360" w:lineRule="exact"/>
            <w:ind w:firstLineChars="200" w:firstLine="420"/>
            <w:jc w:val="both"/>
            <w:rPr>
              <w:rFonts w:ascii="宋体" w:hAnsi="宋体"/>
            </w:rPr>
          </w:pPr>
          <w:r>
            <w:rPr>
              <w:rFonts w:ascii="宋体" w:hAnsi="宋体" w:hint="eastAsia"/>
            </w:rPr>
            <w:t>202</w:t>
          </w:r>
          <w:r>
            <w:rPr>
              <w:rFonts w:ascii="宋体" w:hAnsi="宋体"/>
            </w:rPr>
            <w:t>5</w:t>
          </w:r>
          <w:r>
            <w:rPr>
              <w:rFonts w:ascii="宋体" w:hAnsi="宋体" w:hint="eastAsia"/>
            </w:rPr>
            <w:t>年度，公司按中国会计准则实现归母净利润</w:t>
          </w:r>
          <w:r>
            <w:rPr>
              <w:rFonts w:ascii="宋体" w:hAnsi="宋体"/>
            </w:rPr>
            <w:t>83.81</w:t>
          </w:r>
          <w:r>
            <w:rPr>
              <w:rFonts w:ascii="宋体" w:hAnsi="宋体" w:hint="eastAsia"/>
            </w:rPr>
            <w:t>亿元，按国际财务报告准则实现归母净利润</w:t>
          </w:r>
          <w:r>
            <w:rPr>
              <w:rFonts w:ascii="宋体" w:hAnsi="宋体"/>
            </w:rPr>
            <w:t>85.25</w:t>
          </w:r>
          <w:r>
            <w:rPr>
              <w:rFonts w:ascii="宋体" w:hAnsi="宋体" w:hint="eastAsia"/>
            </w:rPr>
            <w:t>亿元，根据《公司章程》及2023-2025年度分红政策，202</w:t>
          </w:r>
          <w:r>
            <w:rPr>
              <w:rFonts w:ascii="宋体" w:hAnsi="宋体"/>
            </w:rPr>
            <w:t>5</w:t>
          </w:r>
          <w:r>
            <w:rPr>
              <w:rFonts w:ascii="宋体" w:hAnsi="宋体" w:hint="eastAsia"/>
            </w:rPr>
            <w:t>年度现金股利为</w:t>
          </w:r>
          <w:r>
            <w:rPr>
              <w:rFonts w:ascii="宋体" w:hAnsi="宋体"/>
            </w:rPr>
            <w:t>0.50</w:t>
          </w:r>
          <w:r>
            <w:rPr>
              <w:rFonts w:ascii="宋体" w:hAnsi="宋体" w:hint="eastAsia"/>
            </w:rPr>
            <w:t>元/股（含税），扣除202</w:t>
          </w:r>
          <w:r>
            <w:rPr>
              <w:rFonts w:ascii="宋体" w:hAnsi="宋体"/>
            </w:rPr>
            <w:t>5</w:t>
          </w:r>
          <w:r>
            <w:rPr>
              <w:rFonts w:ascii="宋体" w:hAnsi="宋体" w:hint="eastAsia"/>
            </w:rPr>
            <w:t>年半年度现金股利</w:t>
          </w:r>
          <w:r>
            <w:rPr>
              <w:rFonts w:ascii="宋体" w:hAnsi="宋体"/>
            </w:rPr>
            <w:t>0.18</w:t>
          </w:r>
          <w:r>
            <w:rPr>
              <w:rFonts w:ascii="宋体" w:hAnsi="宋体" w:hint="eastAsia"/>
            </w:rPr>
            <w:t>元/股（含税）后，公司董事会建议以权益分派股权登记日的总股本为基数，派发202</w:t>
          </w:r>
          <w:r>
            <w:rPr>
              <w:rFonts w:ascii="宋体" w:hAnsi="宋体"/>
            </w:rPr>
            <w:t>5</w:t>
          </w:r>
          <w:r>
            <w:rPr>
              <w:rFonts w:ascii="宋体" w:hAnsi="宋体" w:hint="eastAsia"/>
            </w:rPr>
            <w:t>年度末期现金股利</w:t>
          </w:r>
          <w:r>
            <w:rPr>
              <w:rFonts w:ascii="宋体" w:hAnsi="宋体"/>
            </w:rPr>
            <w:t>0.32</w:t>
          </w:r>
          <w:r>
            <w:rPr>
              <w:rFonts w:ascii="宋体" w:hAnsi="宋体" w:hint="eastAsia"/>
            </w:rPr>
            <w:t>元/股（含税）。</w:t>
          </w:r>
        </w:p>
      </w:sdtContent>
    </w:sdt>
    <w:p>
      <w:pPr>
        <w:kinsoku w:val="0"/>
        <w:overflowPunct w:val="0"/>
        <w:autoSpaceDE w:val="0"/>
        <w:autoSpaceDN w:val="0"/>
        <w:adjustRightInd w:val="0"/>
        <w:snapToGrid w:val="0"/>
        <w:spacing w:line="360" w:lineRule="exact"/>
      </w:pPr>
    </w:p>
    <w:p>
      <w:pPr>
        <w:kinsoku w:val="0"/>
        <w:overflowPunct w:val="0"/>
        <w:autoSpaceDE w:val="0"/>
        <w:autoSpaceDN w:val="0"/>
        <w:adjustRightInd w:val="0"/>
        <w:snapToGrid w:val="0"/>
        <w:spacing w:line="360" w:lineRule="exact"/>
        <w:rPr>
          <w:rFonts w:ascii="Calibri" w:hAnsi="Calibri"/>
          <w:b/>
          <w:bCs/>
        </w:rPr>
      </w:pPr>
      <w:bookmarkStart w:id="1" w:name="_Hlk188283359"/>
      <w:r>
        <w:rPr>
          <w:rFonts w:ascii="Calibri" w:hAnsi="Calibri" w:hint="eastAsia"/>
          <w:b/>
          <w:bCs/>
        </w:rPr>
        <w:t>截至报告期末，母公司存在未弥补亏损的相关情况及其对公司分红等事项的影响</w:t>
      </w:r>
    </w:p>
    <w:sdt>
      <w:sdtPr>
        <w:rPr>
          <w:rFonts w:hint="eastAsia"/>
        </w:rPr>
        <w:alias w:val="是否适用：母公司存在未弥补亏损的相关情况及对公司分红等事项的影响[双击切换]"/>
        <w:tag w:val="_GBC_f4072938560548dfb5ebe61b52489b8c"/>
        <w:id w:val="697429219"/>
        <w:placeholder>
          <w:docPart w:val="GBC22222222222222222222222222222"/>
        </w:placeholder>
      </w:sdtPr>
      <w:sdtContent>
        <w:p>
          <w:pPr>
            <w:rPr>
              <w:rFonts w:asciiTheme="minorEastAsia" w:eastAsiaTheme="minorEastAsia" w:hAnsiTheme="minorEastAsia"/>
            </w:rPr>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pPr>
        <w:kinsoku w:val="0"/>
        <w:overflowPunct w:val="0"/>
        <w:autoSpaceDE w:val="0"/>
        <w:autoSpaceDN w:val="0"/>
        <w:adjustRightInd w:val="0"/>
        <w:snapToGrid w:val="0"/>
        <w:spacing w:line="360" w:lineRule="exact"/>
        <w:rPr>
          <w:rFonts w:asciiTheme="minorEastAsia" w:eastAsiaTheme="minorEastAsia" w:hAnsiTheme="minorEastAsia"/>
        </w:rPr>
      </w:pPr>
    </w:p>
    <w:bookmarkEnd w:id="1"/>
    <w:p>
      <w:pPr>
        <w:pStyle w:val="2"/>
        <w:numPr>
          <w:ilvl w:val="0"/>
          <w:numId w:val="9"/>
        </w:numPr>
        <w:tabs>
          <w:tab w:val="left" w:pos="434"/>
        </w:tabs>
        <w:spacing w:before="0"/>
        <w:rPr>
          <w:rFonts w:ascii="宋体" w:hAnsi="宋体" w:cs="宋体"/>
          <w:bCs w:val="0"/>
        </w:rPr>
      </w:pPr>
      <w:r>
        <w:rPr>
          <w:rFonts w:ascii="宋体" w:hAnsi="宋体" w:cs="宋体"/>
          <w:bCs w:val="0"/>
        </w:rPr>
        <w:t>前瞻性陈述的风险声明</w:t>
      </w:r>
    </w:p>
    <w:sdt>
      <w:sdtPr>
        <w:alias w:val="是否适用：前瞻性陈述的风险声明[双击切换]"/>
        <w:tag w:val="_GBC_5e5553f9f96e47e8b5eded9c0e6a26c0"/>
        <w:id w:val="966699662"/>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对报告涉及未来计划等前瞻性陈述的声明"/>
        <w:tag w:val="_GBC_1f83625afa8e46e9bb2a951797b077a3"/>
        <w:id w:val="1843582791"/>
        <w:placeholder>
          <w:docPart w:val="GBC22222222222222222222222222222"/>
        </w:placeholder>
      </w:sdtPr>
      <w:sdtContent>
        <w:p>
          <w:pPr>
            <w:kinsoku w:val="0"/>
            <w:overflowPunct w:val="0"/>
            <w:autoSpaceDE w:val="0"/>
            <w:autoSpaceDN w:val="0"/>
            <w:adjustRightInd w:val="0"/>
            <w:snapToGrid w:val="0"/>
            <w:spacing w:line="360" w:lineRule="exact"/>
            <w:ind w:firstLineChars="200" w:firstLine="420"/>
          </w:pPr>
          <w:r>
            <w:rPr>
              <w:rFonts w:hint="eastAsia"/>
            </w:rPr>
            <w:t>本报告中有关未来计划等前瞻性陈述，不构成本公司对投资者的实质性承诺，请投资者注意投资风险。</w:t>
          </w:r>
        </w:p>
      </w:sdtContent>
    </w:sdt>
    <w:p>
      <w:pPr>
        <w:kinsoku w:val="0"/>
        <w:overflowPunct w:val="0"/>
        <w:autoSpaceDE w:val="0"/>
        <w:autoSpaceDN w:val="0"/>
        <w:adjustRightInd w:val="0"/>
        <w:snapToGrid w:val="0"/>
        <w:spacing w:line="360" w:lineRule="exact"/>
      </w:pPr>
    </w:p>
    <w:p>
      <w:pPr>
        <w:pStyle w:val="2"/>
        <w:numPr>
          <w:ilvl w:val="0"/>
          <w:numId w:val="9"/>
        </w:numPr>
        <w:tabs>
          <w:tab w:val="left" w:pos="434"/>
        </w:tabs>
        <w:spacing w:before="0"/>
        <w:rPr>
          <w:rFonts w:ascii="宋体" w:hAnsi="宋体" w:cs="宋体"/>
          <w:bCs w:val="0"/>
        </w:rPr>
      </w:pPr>
      <w:r>
        <w:rPr>
          <w:rFonts w:ascii="宋体" w:hAnsi="宋体" w:cs="宋体"/>
          <w:bCs w:val="0"/>
        </w:rPr>
        <w:t>是否存在被控股股东及其他关联方非经营性占用资金情况</w:t>
      </w:r>
    </w:p>
    <w:sdt>
      <w:sdtPr>
        <w:rPr>
          <w:rFonts w:ascii="Arial" w:hAnsi="Arial" w:hint="eastAsia"/>
          <w:bCs/>
        </w:rPr>
        <w:alias w:val="本公司是否存在大股东占用资金情况"/>
        <w:tag w:val="_GBC_a9b8d3170fbb4d50a645223c117f8b30"/>
        <w:id w:val="754634635"/>
        <w:placeholder>
          <w:docPart w:val="GBC22222222222222222222222222222"/>
        </w:placeholder>
        <w:comboBox>
          <w:listItem w:displayText="是" w:value="true"/>
          <w:listItem w:displayText="否" w:value="false"/>
        </w:comboBox>
      </w:sdtPr>
      <w:sdtContent>
        <w:p>
          <w:pPr>
            <w:kinsoku w:val="0"/>
            <w:overflowPunct w:val="0"/>
            <w:autoSpaceDE w:val="0"/>
            <w:autoSpaceDN w:val="0"/>
            <w:adjustRightInd w:val="0"/>
            <w:snapToGrid w:val="0"/>
            <w:spacing w:line="360" w:lineRule="exact"/>
            <w:rPr>
              <w:rFonts w:ascii="Arial" w:hAnsi="Arial"/>
              <w:bCs/>
            </w:rPr>
          </w:pPr>
          <w:r>
            <w:rPr>
              <w:rFonts w:ascii="Arial" w:hAnsi="Arial" w:hint="eastAsia"/>
              <w:bCs/>
            </w:rPr>
            <w:t>否</w:t>
          </w:r>
        </w:p>
      </w:sdtContent>
    </w:sdt>
    <w:p>
      <w:pPr>
        <w:kinsoku w:val="0"/>
        <w:overflowPunct w:val="0"/>
        <w:autoSpaceDE w:val="0"/>
        <w:autoSpaceDN w:val="0"/>
        <w:adjustRightInd w:val="0"/>
        <w:snapToGrid w:val="0"/>
        <w:spacing w:line="360" w:lineRule="exact"/>
        <w:rPr>
          <w:rFonts w:ascii="Arial" w:hAnsi="Arial"/>
          <w:bCs/>
        </w:rPr>
      </w:pPr>
    </w:p>
    <w:p>
      <w:pPr>
        <w:pStyle w:val="2"/>
        <w:numPr>
          <w:ilvl w:val="0"/>
          <w:numId w:val="9"/>
        </w:numPr>
        <w:tabs>
          <w:tab w:val="left" w:pos="434"/>
        </w:tabs>
        <w:spacing w:before="0"/>
        <w:rPr>
          <w:rFonts w:ascii="宋体" w:hAnsi="宋体" w:cs="宋体"/>
          <w:bCs w:val="0"/>
        </w:rPr>
      </w:pPr>
      <w:r>
        <w:rPr>
          <w:rFonts w:ascii="宋体" w:hAnsi="宋体" w:cs="宋体"/>
          <w:bCs w:val="0"/>
        </w:rPr>
        <w:t>是否存在违反规定决策程序对外提供担保的情况</w:t>
      </w:r>
    </w:p>
    <w:sdt>
      <w:sdtPr>
        <w:rPr>
          <w:rFonts w:hint="eastAsia"/>
        </w:rPr>
        <w:alias w:val="本公司是否存在违反规定决策程序对外提供担保的情况"/>
        <w:tag w:val="_GBC_aef7ac6bbdf043bc8051c4f9fb55e5ea"/>
        <w:id w:val="2078925612"/>
        <w:placeholder>
          <w:docPart w:val="GBC22222222222222222222222222222"/>
        </w:placeholder>
        <w:comboBox>
          <w:listItem w:displayText="是" w:value="true"/>
          <w:listItem w:displayText="否" w:value="false"/>
        </w:comboBox>
      </w:sdtPr>
      <w:sdtContent>
        <w:p>
          <w:pPr>
            <w:pStyle w:val="Style49"/>
          </w:pPr>
          <w:r>
            <w:rPr>
              <w:rFonts w:hint="eastAsia"/>
            </w:rPr>
            <w:t>否</w:t>
          </w:r>
        </w:p>
      </w:sdtContent>
    </w:sdt>
    <w:p>
      <w:pPr>
        <w:pStyle w:val="Style49"/>
      </w:pPr>
    </w:p>
    <w:p>
      <w:pPr>
        <w:pStyle w:val="2"/>
        <w:numPr>
          <w:ilvl w:val="0"/>
          <w:numId w:val="9"/>
        </w:numPr>
        <w:tabs>
          <w:tab w:val="left" w:pos="434"/>
        </w:tabs>
        <w:spacing w:before="0"/>
        <w:rPr>
          <w:rFonts w:ascii="宋体" w:hAnsi="宋体" w:cs="宋体"/>
          <w:bCs w:val="0"/>
        </w:rPr>
      </w:pPr>
      <w:bookmarkStart w:id="2" w:name="_Hlk61881950"/>
      <w:r>
        <w:rPr>
          <w:rFonts w:ascii="宋体" w:hAnsi="宋体" w:cs="宋体"/>
          <w:bCs w:val="0"/>
        </w:rPr>
        <w:t>是否存在半数以上董事无法保证公司所披露年度报告的真实性、准确性和完整性</w:t>
      </w:r>
      <w:bookmarkEnd w:id="2"/>
    </w:p>
    <w:sdt>
      <w:sdtPr>
        <w:rPr>
          <w:rFonts w:hint="eastAsia"/>
        </w:rPr>
        <w:alias w:val="是否存在半数以上董事无法保证公司所披露年度报告的真实性、准确性和完整性"/>
        <w:tag w:val="_GBC_abc43c78fabf487d8ee599f7fe1628a3"/>
        <w:id w:val="2140136109"/>
        <w:lock w:val="sdtLocked"/>
        <w:placeholder>
          <w:docPart w:val="GBC22222222222222222222222222222"/>
        </w:placeholder>
        <w:comboBox>
          <w:listItem w:displayText="是" w:value="是"/>
          <w:listItem w:displayText="否" w:value="否"/>
        </w:comboBox>
      </w:sdtPr>
      <w:sdtContent>
        <w:p>
          <w:pPr>
            <w:pStyle w:val="Style49"/>
          </w:pPr>
          <w:r>
            <w:rPr>
              <w:rFonts w:hint="eastAsia"/>
            </w:rPr>
            <w:t>否</w:t>
          </w:r>
        </w:p>
      </w:sdtContent>
    </w:sdt>
    <w:p>
      <w:pPr>
        <w:pStyle w:val="Style49"/>
      </w:pPr>
    </w:p>
    <w:p>
      <w:pPr>
        <w:pStyle w:val="2"/>
        <w:numPr>
          <w:ilvl w:val="0"/>
          <w:numId w:val="9"/>
        </w:numPr>
        <w:tabs>
          <w:tab w:val="left" w:pos="434"/>
        </w:tabs>
        <w:spacing w:before="0"/>
        <w:rPr>
          <w:rFonts w:ascii="宋体" w:hAnsi="宋体" w:cs="宋体"/>
          <w:bCs w:val="0"/>
        </w:rPr>
      </w:pPr>
      <w:r>
        <w:rPr>
          <w:rFonts w:ascii="宋体" w:hAnsi="宋体" w:cs="宋体"/>
          <w:bCs w:val="0"/>
        </w:rPr>
        <w:lastRenderedPageBreak/>
        <w:t>重大风险提示</w:t>
      </w:r>
    </w:p>
    <w:sdt>
      <w:sdtPr>
        <w:alias w:val="重大风险提示"/>
        <w:tag w:val="_GBC_43a6b8847e0241f1af5326af848c7cec"/>
        <w:id w:val="1864934286"/>
        <w:placeholder>
          <w:docPart w:val="GBC22222222222222222222222222222"/>
        </w:placeholder>
      </w:sdtPr>
      <w:sdtContent>
        <w:p>
          <w:pPr>
            <w:ind w:firstLineChars="200" w:firstLine="420"/>
          </w:pPr>
          <w:r>
            <w:rPr>
              <w:rFonts w:hint="eastAsia"/>
            </w:rPr>
            <w:t>公司已在本报告中披露了本集团面临的主要风险、影响及对策，详情请见本报告“第四节</w:t>
          </w:r>
          <w:r>
            <w:rPr>
              <w:rFonts w:hint="eastAsia"/>
            </w:rPr>
            <w:t xml:space="preserve"> </w:t>
          </w:r>
          <w:r>
            <w:rPr>
              <w:rFonts w:hint="eastAsia"/>
            </w:rPr>
            <w:t>管理层讨论与分析”中的相关内容，敬请投资者予以关注。</w:t>
          </w:r>
        </w:p>
      </w:sdtContent>
    </w:sdt>
    <w:p>
      <w:pPr>
        <w:pStyle w:val="Style49"/>
      </w:pPr>
    </w:p>
    <w:p>
      <w:pPr>
        <w:pStyle w:val="2"/>
        <w:numPr>
          <w:ilvl w:val="0"/>
          <w:numId w:val="9"/>
        </w:numPr>
        <w:tabs>
          <w:tab w:val="left" w:pos="434"/>
        </w:tabs>
        <w:spacing w:before="0"/>
        <w:rPr>
          <w:rFonts w:ascii="宋体" w:hAnsi="宋体" w:cs="宋体"/>
          <w:bCs w:val="0"/>
        </w:rPr>
      </w:pPr>
      <w:r>
        <w:rPr>
          <w:rFonts w:ascii="宋体" w:hAnsi="宋体" w:cs="宋体"/>
          <w:bCs w:val="0"/>
        </w:rPr>
        <w:t>其他</w:t>
      </w:r>
    </w:p>
    <w:sdt>
      <w:sdtPr>
        <w:alias w:val="是否适用：其他重要提示[双击切换]"/>
        <w:tag w:val="_GBC_0eafa210a73340628544c13dacbc7643"/>
        <w:id w:val="-618150217"/>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重要提示的其他情况说明"/>
        <w:tag w:val="_GBC_af94cd16edaf46c3bbc1ec9dc56ea822"/>
        <w:id w:val="-752664789"/>
        <w:placeholder>
          <w:docPart w:val="GBC22222222222222222222222222222"/>
        </w:placeholder>
      </w:sdtPr>
      <w:sdtContent>
        <w:p>
          <w:pPr>
            <w:ind w:firstLineChars="200" w:firstLine="420"/>
          </w:pPr>
          <w:r>
            <w:rPr>
              <w:rFonts w:hint="eastAsia"/>
            </w:rPr>
            <w:t>本报告的数据经四舍五入，增减幅由四舍五入前的原始数据计算得出。</w:t>
          </w:r>
          <w:r>
            <w:rPr>
              <w:rFonts w:hint="eastAsia"/>
            </w:rPr>
            <w:t xml:space="preserve"> </w:t>
          </w:r>
        </w:p>
        <w:p>
          <w:pPr>
            <w:ind w:firstLineChars="200" w:firstLine="420"/>
          </w:pPr>
          <w:r>
            <w:rPr>
              <w:rFonts w:hint="eastAsia"/>
            </w:rPr>
            <w:t>表格中所示总计数字可能并非其上面数字的算术总和，差异均由四舍五入所致。</w:t>
          </w:r>
          <w:r>
            <w:rPr>
              <w:rFonts w:hint="eastAsia"/>
            </w:rPr>
            <w:t xml:space="preserve"> </w:t>
          </w:r>
        </w:p>
      </w:sdtContent>
    </w:sdt>
    <w:p>
      <w:pPr>
        <w:pStyle w:val="Style49"/>
      </w:pPr>
    </w:p>
    <w:p>
      <w:pPr>
        <w:pStyle w:val="Style49"/>
      </w:pPr>
      <w:r>
        <w:br w:type="page"/>
      </w:r>
    </w:p>
    <w:p>
      <w:pPr>
        <w:spacing w:line="480" w:lineRule="auto"/>
        <w:jc w:val="center"/>
        <w:rPr>
          <w:b/>
          <w:sz w:val="28"/>
          <w:szCs w:val="28"/>
        </w:rPr>
      </w:pPr>
      <w:r>
        <w:rPr>
          <w:rFonts w:hint="eastAsia"/>
          <w:b/>
          <w:sz w:val="28"/>
          <w:szCs w:val="28"/>
          <w:shd w:val="solid" w:color="FFFFFF" w:fill="auto"/>
        </w:rPr>
        <w:lastRenderedPageBreak/>
        <w:t>目录</w:t>
      </w:r>
    </w:p>
    <w:p>
      <w:pPr>
        <w:pStyle w:val="TOC1"/>
        <w:rPr>
          <w:rFonts w:ascii="宋体" w:hAnsi="宋体" w:cstheme="minorBidi"/>
          <w:szCs w:val="22"/>
        </w:rPr>
      </w:pPr>
      <w:r>
        <w:rPr>
          <w:rFonts w:ascii="宋体" w:hAnsi="宋体"/>
        </w:rPr>
        <w:fldChar w:fldCharType="begin"/>
      </w:r>
      <w:r>
        <w:rPr>
          <w:rFonts w:ascii="宋体" w:hAnsi="宋体"/>
        </w:rPr>
        <w:instrText xml:space="preserve"> TOC \o "1-1" \h \z \u </w:instrText>
      </w:r>
      <w:r>
        <w:rPr>
          <w:rFonts w:ascii="宋体" w:hAnsi="宋体"/>
        </w:rPr>
        <w:fldChar w:fldCharType="separate"/>
      </w:r>
      <w:hyperlink w:anchor="_Toc225175009" w:history="1">
        <w:r>
          <w:rPr>
            <w:rFonts w:ascii="宋体" w:hAnsi="宋体"/>
          </w:rPr>
          <w:t>第一节</w:t>
        </w:r>
        <w:r>
          <w:rPr>
            <w:rFonts w:ascii="宋体" w:hAnsi="宋体" w:cstheme="minorBidi"/>
            <w:szCs w:val="22"/>
          </w:rPr>
          <w:tab/>
        </w:r>
        <w:r>
          <w:rPr>
            <w:rFonts w:ascii="宋体" w:hAnsi="宋体"/>
          </w:rPr>
          <w:t>释义</w:t>
        </w:r>
        <w:r>
          <w:rPr>
            <w:rFonts w:ascii="宋体" w:hAnsi="宋体"/>
          </w:rPr>
          <w:tab/>
        </w:r>
        <w:r>
          <w:rPr>
            <w:rFonts w:ascii="宋体" w:hAnsi="宋体"/>
          </w:rPr>
          <w:fldChar w:fldCharType="begin"/>
        </w:r>
        <w:r>
          <w:rPr>
            <w:rFonts w:ascii="宋体" w:hAnsi="宋体"/>
          </w:rPr>
          <w:instrText xml:space="preserve"> PAGEREF _Toc225175009 \h </w:instrText>
        </w:r>
        <w:r>
          <w:rPr>
            <w:rFonts w:ascii="宋体" w:hAnsi="宋体"/>
          </w:rPr>
        </w:r>
        <w:r>
          <w:rPr>
            <w:rFonts w:ascii="宋体" w:hAnsi="宋体"/>
          </w:rPr>
          <w:fldChar w:fldCharType="separate"/>
        </w:r>
        <w:r>
          <w:rPr>
            <w:rFonts w:ascii="宋体" w:hAnsi="宋体"/>
          </w:rPr>
          <w:t>5</w:t>
        </w:r>
        <w:r>
          <w:rPr>
            <w:rFonts w:ascii="宋体" w:hAnsi="宋体"/>
          </w:rPr>
          <w:fldChar w:fldCharType="end"/>
        </w:r>
      </w:hyperlink>
    </w:p>
    <w:p>
      <w:pPr>
        <w:pStyle w:val="TOC1"/>
        <w:rPr>
          <w:rFonts w:ascii="宋体" w:hAnsi="宋体" w:cstheme="minorBidi"/>
          <w:szCs w:val="22"/>
        </w:rPr>
      </w:pPr>
      <w:hyperlink w:anchor="_Toc225175010" w:history="1">
        <w:r>
          <w:rPr>
            <w:rFonts w:ascii="宋体" w:hAnsi="宋体"/>
          </w:rPr>
          <w:t>第二节</w:t>
        </w:r>
        <w:r>
          <w:rPr>
            <w:rFonts w:ascii="宋体" w:hAnsi="宋体" w:cstheme="minorBidi"/>
            <w:szCs w:val="22"/>
          </w:rPr>
          <w:tab/>
        </w:r>
        <w:r>
          <w:rPr>
            <w:rFonts w:ascii="宋体" w:hAnsi="宋体"/>
          </w:rPr>
          <w:t>公司简介和主要财务指标</w:t>
        </w:r>
        <w:r>
          <w:rPr>
            <w:rFonts w:ascii="宋体" w:hAnsi="宋体"/>
          </w:rPr>
          <w:tab/>
        </w:r>
        <w:r>
          <w:rPr>
            <w:rFonts w:ascii="宋体" w:hAnsi="宋体"/>
          </w:rPr>
          <w:fldChar w:fldCharType="begin"/>
        </w:r>
        <w:r>
          <w:rPr>
            <w:rFonts w:ascii="宋体" w:hAnsi="宋体"/>
          </w:rPr>
          <w:instrText xml:space="preserve"> PAGEREF _Toc225175010 \h </w:instrText>
        </w:r>
        <w:r>
          <w:rPr>
            <w:rFonts w:ascii="宋体" w:hAnsi="宋体"/>
          </w:rPr>
        </w:r>
        <w:r>
          <w:rPr>
            <w:rFonts w:ascii="宋体" w:hAnsi="宋体"/>
          </w:rPr>
          <w:fldChar w:fldCharType="separate"/>
        </w:r>
        <w:r>
          <w:rPr>
            <w:rFonts w:ascii="宋体" w:hAnsi="宋体"/>
          </w:rPr>
          <w:t>8</w:t>
        </w:r>
        <w:r>
          <w:rPr>
            <w:rFonts w:ascii="宋体" w:hAnsi="宋体"/>
          </w:rPr>
          <w:fldChar w:fldCharType="end"/>
        </w:r>
      </w:hyperlink>
    </w:p>
    <w:p>
      <w:pPr>
        <w:pStyle w:val="TOC1"/>
        <w:rPr>
          <w:rFonts w:ascii="宋体" w:hAnsi="宋体" w:cstheme="minorBidi"/>
          <w:szCs w:val="22"/>
        </w:rPr>
      </w:pPr>
      <w:hyperlink w:anchor="_Toc225175011" w:history="1">
        <w:r>
          <w:rPr>
            <w:rFonts w:ascii="宋体" w:hAnsi="宋体"/>
          </w:rPr>
          <w:t>第三节</w:t>
        </w:r>
        <w:r>
          <w:rPr>
            <w:rFonts w:ascii="宋体" w:hAnsi="宋体" w:cstheme="minorBidi"/>
            <w:szCs w:val="22"/>
          </w:rPr>
          <w:tab/>
        </w:r>
        <w:r>
          <w:rPr>
            <w:rFonts w:ascii="宋体" w:hAnsi="宋体"/>
          </w:rPr>
          <w:t>董事长报告书</w:t>
        </w:r>
        <w:r>
          <w:rPr>
            <w:rFonts w:ascii="宋体" w:hAnsi="宋体"/>
          </w:rPr>
          <w:tab/>
        </w:r>
        <w:r>
          <w:rPr>
            <w:rFonts w:ascii="宋体" w:hAnsi="宋体"/>
          </w:rPr>
          <w:fldChar w:fldCharType="begin"/>
        </w:r>
        <w:r>
          <w:rPr>
            <w:rFonts w:ascii="宋体" w:hAnsi="宋体"/>
          </w:rPr>
          <w:instrText xml:space="preserve"> PAGEREF _Toc225175011 \h </w:instrText>
        </w:r>
        <w:r>
          <w:rPr>
            <w:rFonts w:ascii="宋体" w:hAnsi="宋体"/>
          </w:rPr>
        </w:r>
        <w:r>
          <w:rPr>
            <w:rFonts w:ascii="宋体" w:hAnsi="宋体"/>
          </w:rPr>
          <w:fldChar w:fldCharType="separate"/>
        </w:r>
        <w:r>
          <w:rPr>
            <w:rFonts w:ascii="宋体" w:hAnsi="宋体"/>
          </w:rPr>
          <w:t>13</w:t>
        </w:r>
        <w:r>
          <w:rPr>
            <w:rFonts w:ascii="宋体" w:hAnsi="宋体"/>
          </w:rPr>
          <w:fldChar w:fldCharType="end"/>
        </w:r>
      </w:hyperlink>
    </w:p>
    <w:p>
      <w:pPr>
        <w:pStyle w:val="TOC1"/>
        <w:rPr>
          <w:rFonts w:ascii="宋体" w:hAnsi="宋体" w:cstheme="minorBidi"/>
          <w:szCs w:val="22"/>
        </w:rPr>
      </w:pPr>
      <w:hyperlink w:anchor="_Toc225175012" w:history="1">
        <w:r>
          <w:rPr>
            <w:rFonts w:ascii="宋体" w:hAnsi="宋体"/>
          </w:rPr>
          <w:t>第四节</w:t>
        </w:r>
        <w:r>
          <w:rPr>
            <w:rFonts w:ascii="宋体" w:hAnsi="宋体" w:cstheme="minorBidi"/>
            <w:szCs w:val="22"/>
          </w:rPr>
          <w:tab/>
        </w:r>
        <w:r>
          <w:rPr>
            <w:rFonts w:ascii="宋体" w:hAnsi="宋体"/>
          </w:rPr>
          <w:t>管理层讨论与分析</w:t>
        </w:r>
        <w:r>
          <w:rPr>
            <w:rFonts w:ascii="宋体" w:hAnsi="宋体"/>
          </w:rPr>
          <w:tab/>
        </w:r>
        <w:r>
          <w:rPr>
            <w:rFonts w:ascii="宋体" w:hAnsi="宋体"/>
          </w:rPr>
          <w:fldChar w:fldCharType="begin"/>
        </w:r>
        <w:r>
          <w:rPr>
            <w:rFonts w:ascii="宋体" w:hAnsi="宋体"/>
          </w:rPr>
          <w:instrText xml:space="preserve"> PAGEREF _Toc225175012 \h </w:instrText>
        </w:r>
        <w:r>
          <w:rPr>
            <w:rFonts w:ascii="宋体" w:hAnsi="宋体"/>
          </w:rPr>
        </w:r>
        <w:r>
          <w:rPr>
            <w:rFonts w:ascii="宋体" w:hAnsi="宋体"/>
          </w:rPr>
          <w:fldChar w:fldCharType="separate"/>
        </w:r>
        <w:r>
          <w:rPr>
            <w:rFonts w:ascii="宋体" w:hAnsi="宋体"/>
          </w:rPr>
          <w:t>16</w:t>
        </w:r>
        <w:r>
          <w:rPr>
            <w:rFonts w:ascii="宋体" w:hAnsi="宋体"/>
          </w:rPr>
          <w:fldChar w:fldCharType="end"/>
        </w:r>
      </w:hyperlink>
    </w:p>
    <w:p>
      <w:pPr>
        <w:pStyle w:val="TOC1"/>
        <w:rPr>
          <w:rFonts w:ascii="宋体" w:hAnsi="宋体" w:cstheme="minorBidi"/>
          <w:szCs w:val="22"/>
        </w:rPr>
      </w:pPr>
      <w:hyperlink w:anchor="_Toc225175013" w:history="1">
        <w:r>
          <w:rPr>
            <w:rFonts w:ascii="宋体" w:hAnsi="宋体"/>
          </w:rPr>
          <w:t>第五节</w:t>
        </w:r>
        <w:r>
          <w:rPr>
            <w:rFonts w:ascii="宋体" w:hAnsi="宋体" w:cstheme="minorBidi"/>
            <w:szCs w:val="22"/>
          </w:rPr>
          <w:tab/>
        </w:r>
        <w:r>
          <w:rPr>
            <w:rFonts w:ascii="宋体" w:hAnsi="宋体"/>
          </w:rPr>
          <w:t>公司治理、环境和社会</w:t>
        </w:r>
        <w:r>
          <w:rPr>
            <w:rFonts w:ascii="宋体" w:hAnsi="宋体"/>
          </w:rPr>
          <w:tab/>
        </w:r>
        <w:r>
          <w:rPr>
            <w:rFonts w:ascii="宋体" w:hAnsi="宋体"/>
          </w:rPr>
          <w:fldChar w:fldCharType="begin"/>
        </w:r>
        <w:r>
          <w:rPr>
            <w:rFonts w:ascii="宋体" w:hAnsi="宋体"/>
          </w:rPr>
          <w:instrText xml:space="preserve"> PAGEREF _Toc225175013 \h </w:instrText>
        </w:r>
        <w:r>
          <w:rPr>
            <w:rFonts w:ascii="宋体" w:hAnsi="宋体"/>
          </w:rPr>
        </w:r>
        <w:r>
          <w:rPr>
            <w:rFonts w:ascii="宋体" w:hAnsi="宋体"/>
          </w:rPr>
          <w:fldChar w:fldCharType="separate"/>
        </w:r>
        <w:r>
          <w:rPr>
            <w:rFonts w:ascii="宋体" w:hAnsi="宋体"/>
          </w:rPr>
          <w:t>40</w:t>
        </w:r>
        <w:r>
          <w:rPr>
            <w:rFonts w:ascii="宋体" w:hAnsi="宋体"/>
          </w:rPr>
          <w:fldChar w:fldCharType="end"/>
        </w:r>
      </w:hyperlink>
    </w:p>
    <w:p>
      <w:pPr>
        <w:pStyle w:val="TOC1"/>
        <w:rPr>
          <w:rFonts w:ascii="宋体" w:hAnsi="宋体" w:cstheme="minorBidi"/>
          <w:szCs w:val="22"/>
        </w:rPr>
      </w:pPr>
      <w:hyperlink w:anchor="_Toc225175014" w:history="1">
        <w:r>
          <w:rPr>
            <w:rFonts w:ascii="宋体" w:hAnsi="宋体"/>
          </w:rPr>
          <w:t>第六节</w:t>
        </w:r>
        <w:r>
          <w:rPr>
            <w:rFonts w:ascii="宋体" w:hAnsi="宋体" w:cstheme="minorBidi"/>
            <w:szCs w:val="22"/>
          </w:rPr>
          <w:tab/>
        </w:r>
        <w:r>
          <w:rPr>
            <w:rFonts w:ascii="宋体" w:hAnsi="宋体"/>
          </w:rPr>
          <w:t>重要事项</w:t>
        </w:r>
        <w:r>
          <w:rPr>
            <w:rFonts w:ascii="宋体" w:hAnsi="宋体"/>
          </w:rPr>
          <w:tab/>
        </w:r>
        <w:r>
          <w:rPr>
            <w:rFonts w:ascii="宋体" w:hAnsi="宋体"/>
          </w:rPr>
          <w:fldChar w:fldCharType="begin"/>
        </w:r>
        <w:r>
          <w:rPr>
            <w:rFonts w:ascii="宋体" w:hAnsi="宋体"/>
          </w:rPr>
          <w:instrText xml:space="preserve"> PAGEREF _Toc225175014 \h </w:instrText>
        </w:r>
        <w:r>
          <w:rPr>
            <w:rFonts w:ascii="宋体" w:hAnsi="宋体"/>
          </w:rPr>
        </w:r>
        <w:r>
          <w:rPr>
            <w:rFonts w:ascii="宋体" w:hAnsi="宋体"/>
          </w:rPr>
          <w:fldChar w:fldCharType="separate"/>
        </w:r>
        <w:r>
          <w:rPr>
            <w:rFonts w:ascii="宋体" w:hAnsi="宋体"/>
          </w:rPr>
          <w:t>80</w:t>
        </w:r>
        <w:r>
          <w:rPr>
            <w:rFonts w:ascii="宋体" w:hAnsi="宋体"/>
          </w:rPr>
          <w:fldChar w:fldCharType="end"/>
        </w:r>
      </w:hyperlink>
    </w:p>
    <w:p>
      <w:pPr>
        <w:pStyle w:val="TOC1"/>
        <w:rPr>
          <w:rFonts w:ascii="宋体" w:hAnsi="宋体" w:cstheme="minorBidi"/>
          <w:szCs w:val="22"/>
        </w:rPr>
      </w:pPr>
      <w:hyperlink w:anchor="_Toc225175015" w:history="1">
        <w:r>
          <w:rPr>
            <w:rFonts w:ascii="宋体" w:hAnsi="宋体"/>
          </w:rPr>
          <w:t>第七节</w:t>
        </w:r>
        <w:r>
          <w:rPr>
            <w:rFonts w:ascii="宋体" w:hAnsi="宋体" w:cstheme="minorBidi"/>
            <w:szCs w:val="22"/>
          </w:rPr>
          <w:tab/>
        </w:r>
        <w:r>
          <w:rPr>
            <w:rFonts w:ascii="宋体" w:hAnsi="宋体"/>
          </w:rPr>
          <w:t>股份变动及股东情况</w:t>
        </w:r>
        <w:r>
          <w:rPr>
            <w:rFonts w:ascii="宋体" w:hAnsi="宋体"/>
          </w:rPr>
          <w:tab/>
        </w:r>
        <w:r>
          <w:rPr>
            <w:rFonts w:ascii="宋体" w:hAnsi="宋体"/>
          </w:rPr>
          <w:fldChar w:fldCharType="begin"/>
        </w:r>
        <w:r>
          <w:rPr>
            <w:rFonts w:ascii="宋体" w:hAnsi="宋体"/>
          </w:rPr>
          <w:instrText xml:space="preserve"> PAGEREF _Toc225175015 \h </w:instrText>
        </w:r>
        <w:r>
          <w:rPr>
            <w:rFonts w:ascii="宋体" w:hAnsi="宋体"/>
          </w:rPr>
        </w:r>
        <w:r>
          <w:rPr>
            <w:rFonts w:ascii="宋体" w:hAnsi="宋体"/>
          </w:rPr>
          <w:fldChar w:fldCharType="separate"/>
        </w:r>
        <w:r>
          <w:rPr>
            <w:rFonts w:ascii="宋体" w:hAnsi="宋体"/>
          </w:rPr>
          <w:t>115</w:t>
        </w:r>
        <w:r>
          <w:rPr>
            <w:rFonts w:ascii="宋体" w:hAnsi="宋体"/>
          </w:rPr>
          <w:fldChar w:fldCharType="end"/>
        </w:r>
      </w:hyperlink>
    </w:p>
    <w:p>
      <w:pPr>
        <w:pStyle w:val="TOC1"/>
        <w:rPr>
          <w:rFonts w:ascii="宋体" w:hAnsi="宋体" w:cstheme="minorBidi"/>
          <w:szCs w:val="22"/>
        </w:rPr>
      </w:pPr>
      <w:hyperlink w:anchor="_Toc225175016" w:history="1">
        <w:r>
          <w:rPr>
            <w:rFonts w:ascii="宋体" w:hAnsi="宋体"/>
          </w:rPr>
          <w:t>第八节</w:t>
        </w:r>
        <w:r>
          <w:rPr>
            <w:rFonts w:ascii="宋体" w:hAnsi="宋体" w:cstheme="minorBidi"/>
            <w:szCs w:val="22"/>
          </w:rPr>
          <w:tab/>
        </w:r>
        <w:r>
          <w:rPr>
            <w:rFonts w:ascii="宋体" w:hAnsi="宋体"/>
          </w:rPr>
          <w:t>债券相关情况</w:t>
        </w:r>
        <w:r>
          <w:rPr>
            <w:rFonts w:ascii="宋体" w:hAnsi="宋体"/>
          </w:rPr>
          <w:tab/>
        </w:r>
        <w:r>
          <w:rPr>
            <w:rFonts w:ascii="宋体" w:hAnsi="宋体"/>
          </w:rPr>
          <w:fldChar w:fldCharType="begin"/>
        </w:r>
        <w:r>
          <w:rPr>
            <w:rFonts w:ascii="宋体" w:hAnsi="宋体"/>
          </w:rPr>
          <w:instrText xml:space="preserve"> PAGEREF _Toc225175016 \h </w:instrText>
        </w:r>
        <w:r>
          <w:rPr>
            <w:rFonts w:ascii="宋体" w:hAnsi="宋体"/>
          </w:rPr>
        </w:r>
        <w:r>
          <w:rPr>
            <w:rFonts w:ascii="宋体" w:hAnsi="宋体"/>
          </w:rPr>
          <w:fldChar w:fldCharType="separate"/>
        </w:r>
        <w:r>
          <w:rPr>
            <w:rFonts w:ascii="宋体" w:hAnsi="宋体"/>
          </w:rPr>
          <w:t>124</w:t>
        </w:r>
        <w:r>
          <w:rPr>
            <w:rFonts w:ascii="宋体" w:hAnsi="宋体"/>
          </w:rPr>
          <w:fldChar w:fldCharType="end"/>
        </w:r>
      </w:hyperlink>
    </w:p>
    <w:p>
      <w:pPr>
        <w:pStyle w:val="TOC1"/>
        <w:rPr>
          <w:rFonts w:ascii="宋体" w:hAnsi="宋体" w:cstheme="minorBidi"/>
          <w:szCs w:val="22"/>
        </w:rPr>
      </w:pPr>
      <w:hyperlink w:anchor="_Toc225175017" w:history="1">
        <w:r>
          <w:rPr>
            <w:rFonts w:ascii="宋体" w:hAnsi="宋体"/>
          </w:rPr>
          <w:t>第九节</w:t>
        </w:r>
        <w:r>
          <w:rPr>
            <w:rFonts w:ascii="宋体" w:hAnsi="宋体" w:cstheme="minorBidi"/>
            <w:szCs w:val="22"/>
          </w:rPr>
          <w:tab/>
        </w:r>
        <w:r>
          <w:rPr>
            <w:rFonts w:ascii="宋体" w:hAnsi="宋体"/>
          </w:rPr>
          <w:t>财务报告</w:t>
        </w:r>
        <w:r>
          <w:rPr>
            <w:rFonts w:ascii="宋体" w:hAnsi="宋体"/>
          </w:rPr>
          <w:tab/>
        </w:r>
        <w:r>
          <w:rPr>
            <w:rFonts w:ascii="宋体" w:hAnsi="宋体"/>
          </w:rPr>
          <w:fldChar w:fldCharType="begin"/>
        </w:r>
        <w:r>
          <w:rPr>
            <w:rFonts w:ascii="宋体" w:hAnsi="宋体"/>
          </w:rPr>
          <w:instrText xml:space="preserve"> PAGEREF _Toc225175017 \h </w:instrText>
        </w:r>
        <w:r>
          <w:rPr>
            <w:rFonts w:ascii="宋体" w:hAnsi="宋体"/>
          </w:rPr>
        </w:r>
        <w:r>
          <w:rPr>
            <w:rFonts w:ascii="宋体" w:hAnsi="宋体"/>
          </w:rPr>
          <w:fldChar w:fldCharType="separate"/>
        </w:r>
        <w:r>
          <w:rPr>
            <w:rFonts w:ascii="宋体" w:hAnsi="宋体"/>
          </w:rPr>
          <w:t>143</w:t>
        </w:r>
        <w:r>
          <w:rPr>
            <w:rFonts w:ascii="宋体" w:hAnsi="宋体"/>
          </w:rPr>
          <w:fldChar w:fldCharType="end"/>
        </w:r>
      </w:hyperlink>
    </w:p>
    <w:p>
      <w:pPr>
        <w:pStyle w:val="Style49"/>
      </w:pPr>
      <w:r>
        <w:rPr>
          <w:rFonts w:ascii="宋体" w:hAnsi="宋体"/>
        </w:rPr>
        <w:fldChar w:fldCharType="end"/>
      </w:r>
      <w:bookmarkStart w:id="3" w:name="_Toc436392761"/>
      <w:bookmarkStart w:id="4" w:name="_Toc407111354"/>
      <w:bookmarkStart w:id="5" w:name="_Toc437440708"/>
    </w:p>
    <w:p>
      <w:pPr>
        <w:spacing w:line="360" w:lineRule="exact"/>
        <w:ind w:right="5"/>
        <w:rPr>
          <w:b/>
          <w:bCs/>
          <w:sz w:val="24"/>
        </w:rPr>
      </w:pPr>
      <w:bookmarkStart w:id="6" w:name="_Hlk90893687"/>
      <w:bookmarkStart w:id="7" w:name="_Hlk90888086"/>
      <w:bookmarkStart w:id="8" w:name="_Hlk90891770"/>
    </w:p>
    <w:tbl>
      <w:tblPr>
        <w:tblStyle w:val="Style63"/>
        <w:tblW w:w="889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294"/>
        <w:gridCol w:w="6598"/>
      </w:tblGrid>
      <w:sdt>
        <w:sdtPr>
          <w:alias w:val="备查文件情况"/>
          <w:tag w:val="_TUP_bb3c6eba15bb4f89aaabf5b28bea5766"/>
          <w:id w:val="-1127997706"/>
          <w:placeholder>
            <w:docPart w:val="6E3B17040A6D4773B40D2A6910B50C00"/>
          </w:placeholder>
        </w:sdtPr>
        <w:sdtContent>
          <w:tr>
            <w:trPr>
              <w:cantSplit/>
            </w:trPr>
            <w:tc>
              <w:tcPr>
                <w:tcW w:w="2294" w:type="dxa"/>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564027795"/>
                </w:sdtPr>
                <w:sdtContent>
                  <w:p>
                    <w:pPr>
                      <w:autoSpaceDE w:val="0"/>
                      <w:autoSpaceDN w:val="0"/>
                      <w:adjustRightInd w:val="0"/>
                      <w:jc w:val="center"/>
                    </w:pPr>
                    <w:r>
                      <w:t>备查文件目录</w:t>
                    </w:r>
                  </w:p>
                </w:sdtContent>
              </w:sdt>
            </w:tc>
            <w:tc>
              <w:tcPr>
                <w:tcW w:w="6598" w:type="dxa"/>
                <w:tcBorders>
                  <w:top w:val="single" w:sz="4" w:space="0" w:color="auto"/>
                  <w:left w:val="single" w:sz="4" w:space="0" w:color="auto"/>
                  <w:bottom w:val="single" w:sz="4" w:space="0" w:color="auto"/>
                  <w:right w:val="single" w:sz="4" w:space="0" w:color="auto"/>
                </w:tcBorders>
              </w:tcPr>
              <w:p>
                <w:pPr>
                  <w:pStyle w:val="Style49"/>
                </w:pPr>
                <w:r>
                  <w:rPr>
                    <w:rFonts w:hint="eastAsia"/>
                  </w:rPr>
                  <w:t>载有公司董事长、财务总监、财务管理部部长签名并盖章的财务报表。</w:t>
                </w:r>
              </w:p>
            </w:tc>
          </w:tr>
        </w:sdtContent>
      </w:sdt>
      <w:tr>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pPr>
              <w:pStyle w:val="Style49"/>
            </w:pPr>
          </w:p>
        </w:tc>
        <w:tc>
          <w:tcPr>
            <w:tcW w:w="6598" w:type="dxa"/>
            <w:tcBorders>
              <w:top w:val="single" w:sz="4" w:space="0" w:color="auto"/>
              <w:left w:val="single" w:sz="4" w:space="0" w:color="auto"/>
              <w:bottom w:val="single" w:sz="4" w:space="0" w:color="auto"/>
              <w:right w:val="single" w:sz="4" w:space="0" w:color="auto"/>
            </w:tcBorders>
          </w:tcPr>
          <w:p>
            <w:pPr>
              <w:pStyle w:val="Style49"/>
            </w:pPr>
            <w:r>
              <w:rPr>
                <w:rFonts w:hint="eastAsia"/>
              </w:rPr>
              <w:t>载有会计师事务所盖章、注册会计师签名并盖章的审计报告原件。</w:t>
            </w:r>
          </w:p>
        </w:tc>
      </w:tr>
      <w:tr>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pPr>
              <w:pStyle w:val="Style49"/>
            </w:pPr>
          </w:p>
        </w:tc>
        <w:tc>
          <w:tcPr>
            <w:tcW w:w="6598" w:type="dxa"/>
            <w:tcBorders>
              <w:top w:val="single" w:sz="4" w:space="0" w:color="auto"/>
              <w:left w:val="single" w:sz="4" w:space="0" w:color="auto"/>
              <w:bottom w:val="single" w:sz="4" w:space="0" w:color="auto"/>
              <w:right w:val="single" w:sz="4" w:space="0" w:color="auto"/>
            </w:tcBorders>
          </w:tcPr>
          <w:p>
            <w:pPr>
              <w:pStyle w:val="Style49"/>
            </w:pPr>
            <w:r>
              <w:rPr>
                <w:rFonts w:hint="eastAsia"/>
              </w:rPr>
              <w:t>报告期内在中国证监会指定网站上公开披露过的所有公司文件的正本及公告的原稿。</w:t>
            </w:r>
          </w:p>
        </w:tc>
      </w:tr>
      <w:tr>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pPr>
              <w:pStyle w:val="Style49"/>
            </w:pPr>
          </w:p>
        </w:tc>
        <w:tc>
          <w:tcPr>
            <w:tcW w:w="6598" w:type="dxa"/>
            <w:tcBorders>
              <w:top w:val="single" w:sz="4" w:space="0" w:color="auto"/>
              <w:left w:val="single" w:sz="4" w:space="0" w:color="auto"/>
              <w:bottom w:val="single" w:sz="4" w:space="0" w:color="auto"/>
              <w:right w:val="single" w:sz="4" w:space="0" w:color="auto"/>
            </w:tcBorders>
          </w:tcPr>
          <w:p>
            <w:pPr>
              <w:pStyle w:val="Style49"/>
            </w:pPr>
            <w:r>
              <w:rPr>
                <w:rFonts w:hint="eastAsia"/>
              </w:rPr>
              <w:t>在其他证券市场公布的年度报告。</w:t>
            </w:r>
          </w:p>
        </w:tc>
      </w:tr>
      <w:bookmarkEnd w:id="6"/>
      <w:bookmarkEnd w:id="7"/>
    </w:tbl>
    <w:p>
      <w:pPr>
        <w:pStyle w:val="Style49"/>
      </w:pPr>
    </w:p>
    <w:bookmarkEnd w:id="8"/>
    <w:p>
      <w:pPr>
        <w:sectPr>
          <w:pgSz w:w="11906" w:h="16838"/>
          <w:pgMar w:top="1440" w:right="1797" w:bottom="1525" w:left="1276" w:header="855" w:footer="992" w:gutter="0"/>
          <w:cols w:space="425"/>
          <w:docGrid w:linePitch="312"/>
        </w:sectPr>
      </w:pPr>
    </w:p>
    <w:p>
      <w:pPr>
        <w:numPr>
          <w:ilvl w:val="0"/>
          <w:numId w:val="10"/>
        </w:numPr>
        <w:jc w:val="center"/>
        <w:outlineLvl w:val="0"/>
        <w:rPr>
          <w:rFonts w:ascii="黑体" w:eastAsia="黑体" w:hAnsi="黑体"/>
          <w:b/>
          <w:bCs/>
          <w:sz w:val="28"/>
          <w:szCs w:val="28"/>
        </w:rPr>
      </w:pPr>
      <w:bookmarkStart w:id="9" w:name="_Toc191024256"/>
      <w:bookmarkStart w:id="10" w:name="_Toc225175009"/>
      <w:r>
        <w:rPr>
          <w:rFonts w:ascii="黑体" w:eastAsia="黑体" w:hAnsi="黑体" w:hint="eastAsia"/>
          <w:b/>
          <w:bCs/>
          <w:sz w:val="28"/>
          <w:szCs w:val="28"/>
        </w:rPr>
        <w:lastRenderedPageBreak/>
        <w:t>释义</w:t>
      </w:r>
    </w:p>
    <w:bookmarkEnd w:id="3"/>
    <w:bookmarkEnd w:id="4"/>
    <w:bookmarkEnd w:id="5"/>
    <w:bookmarkEnd w:id="9"/>
    <w:bookmarkEnd w:id="10"/>
    <w:p>
      <w:pPr>
        <w:rPr>
          <w:rFonts w:ascii="宋体" w:hAnsi="宋体"/>
        </w:rPr>
      </w:pPr>
    </w:p>
    <w:p>
      <w:pPr>
        <w:rPr>
          <w:rFonts w:ascii="宋体" w:hAnsi="宋体"/>
        </w:rPr>
      </w:pPr>
      <w:r>
        <w:rPr>
          <w:rFonts w:ascii="宋体" w:hAnsi="宋体"/>
        </w:rPr>
        <w:t>在本报告书中，除非文义另有所指，下列词语具有如下含义：</w:t>
      </w:r>
    </w:p>
    <w:p>
      <w:pPr>
        <w:rPr>
          <w:rFonts w:ascii="宋体" w:hAnsi="宋体"/>
        </w:rPr>
      </w:pPr>
    </w:p>
    <w:tbl>
      <w:tblPr>
        <w:tblStyle w:val="g7"/>
        <w:tblW w:w="0" w:type="auto"/>
        <w:tblLayout w:type="fixed"/>
        <w:tblLook w:val="04A0" w:firstRow="1" w:lastRow="0" w:firstColumn="1" w:lastColumn="0" w:noHBand="0" w:noVBand="1"/>
      </w:tblPr>
      <w:tblGrid>
        <w:gridCol w:w="2972"/>
        <w:gridCol w:w="851"/>
        <w:gridCol w:w="5000"/>
      </w:tblGrid>
      <w:tr>
        <w:sdt>
          <w:sdtPr>
            <w:rPr>
              <w:rFonts w:ascii="宋体" w:hAnsi="宋体"/>
              <w:sz w:val="20"/>
              <w:szCs w:val="20"/>
            </w:rPr>
            <w:tag w:val="_PLD_bf37a984a1d34209a94aac58652eb6b9"/>
            <w:id w:val="-17082539"/>
          </w:sdtPr>
          <w:sdtContent>
            <w:tc>
              <w:tcPr>
                <w:tcW w:w="8823" w:type="dxa"/>
                <w:gridSpan w:val="3"/>
                <w:vAlign w:val="center"/>
              </w:tcPr>
              <w:p>
                <w:pPr>
                  <w:rPr>
                    <w:rFonts w:ascii="宋体" w:hAnsi="宋体"/>
                  </w:rPr>
                </w:pPr>
                <w:r>
                  <w:rPr>
                    <w:rFonts w:ascii="宋体" w:hAnsi="宋体"/>
                  </w:rPr>
                  <w:t>常用词语释义</w:t>
                </w:r>
              </w:p>
            </w:tc>
          </w:sdtContent>
        </w:sdt>
      </w:tr>
      <w:tr>
        <w:tc>
          <w:tcPr>
            <w:tcW w:w="2972" w:type="dxa"/>
            <w:vAlign w:val="center"/>
          </w:tcPr>
          <w:p>
            <w:pPr>
              <w:rPr>
                <w:rFonts w:ascii="宋体" w:hAnsi="宋体"/>
              </w:rPr>
            </w:pPr>
            <w:r>
              <w:rPr>
                <w:rFonts w:ascii="宋体" w:hAnsi="宋体" w:hint="eastAsia"/>
              </w:rPr>
              <w:t>“兖矿能源”</w:t>
            </w:r>
          </w:p>
          <w:p>
            <w:pPr>
              <w:rPr>
                <w:rFonts w:ascii="宋体" w:hAnsi="宋体"/>
              </w:rPr>
            </w:pPr>
            <w:r>
              <w:rPr>
                <w:rFonts w:ascii="宋体" w:hAnsi="宋体" w:hint="eastAsia"/>
              </w:rPr>
              <w:t>“公司”“本公司”</w:t>
            </w:r>
          </w:p>
        </w:tc>
        <w:tc>
          <w:tcPr>
            <w:tcW w:w="851" w:type="dxa"/>
            <w:vAlign w:val="center"/>
          </w:tcPr>
          <w:p>
            <w:pPr>
              <w:jc w:val="center"/>
              <w:rPr>
                <w:rFonts w:ascii="宋体" w:hAnsi="宋体"/>
                <w:highlight w:val="lightGray"/>
              </w:rPr>
            </w:pPr>
            <w:r>
              <w:rPr>
                <w:rFonts w:ascii="宋体" w:hAnsi="宋体" w:hint="eastAsia"/>
              </w:rPr>
              <w:t>指</w:t>
            </w:r>
          </w:p>
        </w:tc>
        <w:tc>
          <w:tcPr>
            <w:tcW w:w="5000" w:type="dxa"/>
            <w:vAlign w:val="center"/>
          </w:tcPr>
          <w:p>
            <w:pPr>
              <w:rPr>
                <w:rFonts w:ascii="宋体" w:hAnsi="宋体"/>
              </w:rPr>
            </w:pPr>
            <w:r>
              <w:rPr>
                <w:rFonts w:ascii="宋体" w:hAnsi="宋体" w:hint="eastAsia"/>
              </w:rPr>
              <w:t>兖矿能源集团股份有限公司，于1997年依据中国法律成立的股份有限公司，其H股及A股分别在香港联交所及上交所上市；</w:t>
            </w:r>
          </w:p>
        </w:tc>
      </w:tr>
      <w:tr>
        <w:tc>
          <w:tcPr>
            <w:tcW w:w="2972" w:type="dxa"/>
            <w:vAlign w:val="center"/>
          </w:tcPr>
          <w:p>
            <w:pPr>
              <w:rPr>
                <w:rFonts w:ascii="宋体" w:hAnsi="宋体"/>
              </w:rPr>
            </w:pPr>
            <w:r>
              <w:rPr>
                <w:rFonts w:ascii="宋体" w:hAnsi="宋体" w:hint="eastAsia"/>
              </w:rPr>
              <w:t>“集团”“本集团”</w:t>
            </w:r>
          </w:p>
        </w:tc>
        <w:tc>
          <w:tcPr>
            <w:tcW w:w="851" w:type="dxa"/>
            <w:vAlign w:val="center"/>
          </w:tcPr>
          <w:p>
            <w:pPr>
              <w:jc w:val="center"/>
              <w:rPr>
                <w:rFonts w:ascii="宋体" w:hAnsi="宋体"/>
                <w:highlight w:val="lightGray"/>
              </w:rPr>
            </w:pPr>
            <w:r>
              <w:rPr>
                <w:rFonts w:ascii="宋体" w:hAnsi="宋体" w:hint="eastAsia"/>
              </w:rPr>
              <w:t>指</w:t>
            </w:r>
          </w:p>
        </w:tc>
        <w:tc>
          <w:tcPr>
            <w:tcW w:w="5000" w:type="dxa"/>
            <w:vAlign w:val="center"/>
          </w:tcPr>
          <w:p>
            <w:pPr>
              <w:rPr>
                <w:rFonts w:ascii="宋体" w:hAnsi="宋体"/>
              </w:rPr>
            </w:pPr>
            <w:r>
              <w:rPr>
                <w:rFonts w:ascii="宋体" w:hAnsi="宋体" w:hint="eastAsia"/>
              </w:rPr>
              <w:t>本公司及其附属公司；</w:t>
            </w:r>
          </w:p>
        </w:tc>
      </w:tr>
      <w:tr>
        <w:tc>
          <w:tcPr>
            <w:tcW w:w="2972" w:type="dxa"/>
            <w:vAlign w:val="center"/>
          </w:tcPr>
          <w:p>
            <w:pPr>
              <w:rPr>
                <w:rFonts w:ascii="宋体" w:hAnsi="宋体"/>
              </w:rPr>
            </w:pPr>
            <w:r>
              <w:rPr>
                <w:rFonts w:ascii="宋体" w:hAnsi="宋体" w:hint="eastAsia"/>
              </w:rPr>
              <w:t>“山东能源”</w:t>
            </w:r>
          </w:p>
          <w:p>
            <w:pPr>
              <w:rPr>
                <w:rFonts w:ascii="宋体" w:hAnsi="宋体"/>
              </w:rPr>
            </w:pPr>
            <w:r>
              <w:rPr>
                <w:rFonts w:ascii="宋体" w:hAnsi="宋体" w:hint="eastAsia"/>
              </w:rPr>
              <w:t>“控股股东”</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山东能源集团有限公司，于1996年依据中国法律改制设立的有限责任公司，为本公司的控股股东，于本报告期末直接和间接持有本公司52.84%股份；</w:t>
            </w:r>
          </w:p>
        </w:tc>
      </w:tr>
      <w:tr>
        <w:tc>
          <w:tcPr>
            <w:tcW w:w="2972" w:type="dxa"/>
            <w:vAlign w:val="center"/>
          </w:tcPr>
          <w:p>
            <w:pPr>
              <w:rPr>
                <w:rFonts w:ascii="宋体" w:hAnsi="宋体"/>
              </w:rPr>
            </w:pPr>
            <w:r>
              <w:rPr>
                <w:rFonts w:ascii="宋体" w:hAnsi="宋体" w:hint="eastAsia"/>
              </w:rPr>
              <w:t>“菏泽能化”</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兖煤菏泽能化有限公司，于2002年依据中国法律成立的有限责任公司，主要负责山东省菏泽市赵楼煤矿、万福煤矿煤炭资源及电力业务的开发运营，是本公司的控股子公司，于本报告期末本公司持有其98.33%股权；</w:t>
            </w:r>
          </w:p>
        </w:tc>
      </w:tr>
      <w:tr>
        <w:tc>
          <w:tcPr>
            <w:tcW w:w="2972" w:type="dxa"/>
            <w:vAlign w:val="center"/>
          </w:tcPr>
          <w:p>
            <w:pPr>
              <w:rPr>
                <w:rFonts w:ascii="宋体" w:hAnsi="宋体"/>
              </w:rPr>
            </w:pPr>
            <w:r>
              <w:rPr>
                <w:rFonts w:ascii="宋体" w:hAnsi="宋体" w:hint="eastAsia"/>
              </w:rPr>
              <w:t>“鲁西矿业”</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山东能源集团鲁西矿业有限公司，于2021年依据中国法律成立的有限责任公司，主要从事煤炭开采、煤炭洗选、煤炭及制品销售等业务，是本公司的控股子公司，于本报告期末本公司持有其51%股权；</w:t>
            </w:r>
          </w:p>
        </w:tc>
      </w:tr>
      <w:tr>
        <w:tc>
          <w:tcPr>
            <w:tcW w:w="2972" w:type="dxa"/>
            <w:vAlign w:val="center"/>
          </w:tcPr>
          <w:p>
            <w:pPr>
              <w:rPr>
                <w:rFonts w:ascii="宋体" w:hAnsi="宋体"/>
              </w:rPr>
            </w:pPr>
            <w:r>
              <w:rPr>
                <w:rFonts w:ascii="宋体" w:hAnsi="宋体" w:hint="eastAsia"/>
              </w:rPr>
              <w:t>“天池能源”</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山西和顺天池能源有限责任公司，于1999年依据中国法律成立的有限责任公司，主要负责山西省晋中市天池煤矿的生产运营，是本公司的控股子公司，于本报告期末本公司持有其81.31%股权；</w:t>
            </w:r>
          </w:p>
        </w:tc>
      </w:tr>
      <w:tr>
        <w:tc>
          <w:tcPr>
            <w:tcW w:w="2972" w:type="dxa"/>
            <w:vAlign w:val="center"/>
          </w:tcPr>
          <w:p>
            <w:pPr>
              <w:rPr>
                <w:rFonts w:ascii="宋体" w:hAnsi="宋体"/>
              </w:rPr>
            </w:pPr>
            <w:r>
              <w:rPr>
                <w:rFonts w:ascii="宋体" w:hAnsi="宋体" w:hint="eastAsia"/>
              </w:rPr>
              <w:t>“西北矿业”</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山东能源集团西北矿业有限公司，于2021年依据中国法律成立的有限责任公司，主要从事煤炭开采、洗选、加工和销售业务，是本公司的控股子公司，于本报告期末本公司持有其51%股权；</w:t>
            </w:r>
          </w:p>
        </w:tc>
      </w:tr>
      <w:tr>
        <w:tc>
          <w:tcPr>
            <w:tcW w:w="2972" w:type="dxa"/>
            <w:vAlign w:val="center"/>
          </w:tcPr>
          <w:p>
            <w:pPr>
              <w:rPr>
                <w:rFonts w:ascii="宋体" w:hAnsi="宋体"/>
              </w:rPr>
            </w:pPr>
            <w:r>
              <w:rPr>
                <w:rFonts w:ascii="宋体" w:hAnsi="宋体" w:hint="eastAsia"/>
              </w:rPr>
              <w:t>“鄂尔多斯公司”</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兖矿能源（鄂尔多斯）有限公司，于2009年依据中国法律成立的有限责任公司，主要从事煤炭资源和化工项目的开发运营，是本公司的全资子公司；</w:t>
            </w:r>
          </w:p>
        </w:tc>
      </w:tr>
      <w:tr>
        <w:tc>
          <w:tcPr>
            <w:tcW w:w="2972" w:type="dxa"/>
            <w:vAlign w:val="center"/>
          </w:tcPr>
          <w:p>
            <w:pPr>
              <w:rPr>
                <w:rFonts w:ascii="宋体" w:hAnsi="宋体"/>
              </w:rPr>
            </w:pPr>
            <w:r>
              <w:rPr>
                <w:rFonts w:ascii="宋体" w:hAnsi="宋体" w:hint="eastAsia"/>
              </w:rPr>
              <w:t>“昊盛煤业”</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内蒙古昊盛煤业有限公司，于2010年依据中国法律成立的有限责任公司，主要负责内蒙古自治区鄂尔多斯市石拉乌素煤矿的生产运营，是本公司的控股子公司，于本报告期末本公司持有其42.64%股权；</w:t>
            </w:r>
          </w:p>
        </w:tc>
      </w:tr>
      <w:tr>
        <w:tc>
          <w:tcPr>
            <w:tcW w:w="2972" w:type="dxa"/>
            <w:vAlign w:val="center"/>
          </w:tcPr>
          <w:p>
            <w:pPr>
              <w:rPr>
                <w:rFonts w:ascii="宋体" w:hAnsi="宋体"/>
              </w:rPr>
            </w:pPr>
            <w:r>
              <w:rPr>
                <w:rFonts w:ascii="宋体" w:hAnsi="宋体" w:hint="eastAsia"/>
              </w:rPr>
              <w:t>“内蒙古矿业”</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内蒙古矿业（集团）有限责任公司，于2013年依据中国法律成立的有限责任公司，主要从事矿产资源投资与管理、煤炭开采和洗选、矿产品销售等业务，是本公司的控股子公司，于本报告期末本公司持有其51%股权；</w:t>
            </w:r>
          </w:p>
        </w:tc>
      </w:tr>
      <w:tr>
        <w:tc>
          <w:tcPr>
            <w:tcW w:w="2972" w:type="dxa"/>
            <w:vAlign w:val="center"/>
          </w:tcPr>
          <w:p>
            <w:pPr>
              <w:rPr>
                <w:rFonts w:ascii="宋体" w:hAnsi="宋体"/>
              </w:rPr>
            </w:pPr>
            <w:r>
              <w:rPr>
                <w:rFonts w:ascii="宋体" w:hAnsi="宋体" w:hint="eastAsia"/>
              </w:rPr>
              <w:t>“未来能源”</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陕西未来能源化工有限公司，于2011年依据中国法律成立的有限责任公司，主要从事煤炭开采、销售，化工产品的研发、生产和销售等业务，是本公司的控股子公司，于本报告期末本公司持有其73.97%股权；</w:t>
            </w:r>
          </w:p>
        </w:tc>
      </w:tr>
      <w:tr>
        <w:tc>
          <w:tcPr>
            <w:tcW w:w="2972" w:type="dxa"/>
            <w:vAlign w:val="center"/>
          </w:tcPr>
          <w:p>
            <w:pPr>
              <w:rPr>
                <w:rFonts w:ascii="宋体" w:hAnsi="宋体"/>
              </w:rPr>
            </w:pPr>
            <w:r>
              <w:rPr>
                <w:rFonts w:ascii="宋体" w:hAnsi="宋体" w:hint="eastAsia"/>
              </w:rPr>
              <w:t>“新疆能化”</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兖矿新疆能化有限公司，于2007年依据中国法律成立的有限责任公司，主要从事煤炭开采、煤炭洗选、化工产品生产、煤炭及制品销售等业务，是本公司的控股子公司，于本报告期末本公司持有其51%股权；</w:t>
            </w:r>
          </w:p>
        </w:tc>
      </w:tr>
      <w:tr>
        <w:tc>
          <w:tcPr>
            <w:tcW w:w="2972" w:type="dxa"/>
            <w:vAlign w:val="center"/>
          </w:tcPr>
          <w:p>
            <w:pPr>
              <w:rPr>
                <w:rFonts w:ascii="宋体" w:hAnsi="宋体"/>
              </w:rPr>
            </w:pPr>
            <w:r>
              <w:rPr>
                <w:rFonts w:ascii="宋体" w:hAnsi="宋体" w:hint="eastAsia"/>
              </w:rPr>
              <w:t>“鲁南化工”</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兖矿鲁南化工有限公司，于2007年依据中国法律成</w:t>
            </w:r>
            <w:r>
              <w:rPr>
                <w:rFonts w:ascii="宋体" w:hAnsi="宋体" w:hint="eastAsia"/>
              </w:rPr>
              <w:lastRenderedPageBreak/>
              <w:t>立的有限责任公司，主要从事化工产品的开发、生产和销售等业务，是本公司的全资子公司；</w:t>
            </w:r>
          </w:p>
        </w:tc>
      </w:tr>
      <w:tr>
        <w:tc>
          <w:tcPr>
            <w:tcW w:w="2972" w:type="dxa"/>
            <w:vAlign w:val="center"/>
          </w:tcPr>
          <w:p>
            <w:pPr>
              <w:rPr>
                <w:rFonts w:ascii="宋体" w:hAnsi="宋体"/>
              </w:rPr>
            </w:pPr>
            <w:r>
              <w:rPr>
                <w:rFonts w:ascii="宋体" w:hAnsi="宋体" w:hint="eastAsia"/>
              </w:rPr>
              <w:lastRenderedPageBreak/>
              <w:t>“榆林能化”</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兖州煤业榆林能化有限公司，于2004年依据中国法律成立的有限责任公司，主要从事化工项目的生产运营，是本公司的全资子公司；</w:t>
            </w:r>
          </w:p>
        </w:tc>
      </w:tr>
      <w:tr>
        <w:tc>
          <w:tcPr>
            <w:tcW w:w="2972" w:type="dxa"/>
            <w:vAlign w:val="center"/>
          </w:tcPr>
          <w:p>
            <w:pPr>
              <w:rPr>
                <w:rFonts w:ascii="宋体" w:hAnsi="宋体"/>
              </w:rPr>
            </w:pPr>
            <w:r>
              <w:rPr>
                <w:rFonts w:ascii="宋体" w:hAnsi="宋体" w:hint="eastAsia"/>
              </w:rPr>
              <w:t>“东华重工”</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兖矿东华重工有限公司，于2013年依据中国法律成立的有限责任公司，主要从事矿用设备和机电设备、配件的设计、制造、安装及维修等业务，是本公司的全资附属公司；</w:t>
            </w:r>
          </w:p>
        </w:tc>
      </w:tr>
      <w:tr>
        <w:tc>
          <w:tcPr>
            <w:tcW w:w="2972" w:type="dxa"/>
            <w:vAlign w:val="center"/>
          </w:tcPr>
          <w:p>
            <w:pPr>
              <w:rPr>
                <w:rFonts w:ascii="宋体" w:hAnsi="宋体"/>
              </w:rPr>
            </w:pPr>
            <w:r>
              <w:rPr>
                <w:rFonts w:ascii="宋体" w:hAnsi="宋体" w:hint="eastAsia"/>
              </w:rPr>
              <w:t>“兖矿租赁”</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兖矿融资租赁有限公司，于2014年依据中国法律成立的有限责任公司，主要从事融资租赁业务、租赁业务、租赁交易咨询和担保、与主营业务有关的商业保理业务等，是本公司的全资附属公司；</w:t>
            </w:r>
          </w:p>
        </w:tc>
      </w:tr>
      <w:tr>
        <w:tc>
          <w:tcPr>
            <w:tcW w:w="2972" w:type="dxa"/>
            <w:vAlign w:val="center"/>
          </w:tcPr>
          <w:p>
            <w:pPr>
              <w:rPr>
                <w:rFonts w:ascii="宋体" w:hAnsi="宋体"/>
              </w:rPr>
            </w:pPr>
            <w:r>
              <w:rPr>
                <w:rFonts w:ascii="宋体" w:hAnsi="宋体" w:hint="eastAsia"/>
              </w:rPr>
              <w:t>“山能财司”</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山东能源集团财务有限公司，于2013年依据中国法律成立的有限责任公司，是本公司的控股子公司，于本报告期末本公司持有其53.92%股权；</w:t>
            </w:r>
          </w:p>
        </w:tc>
      </w:tr>
      <w:tr>
        <w:tc>
          <w:tcPr>
            <w:tcW w:w="2972" w:type="dxa"/>
            <w:vAlign w:val="center"/>
          </w:tcPr>
          <w:p>
            <w:pPr>
              <w:rPr>
                <w:rFonts w:ascii="宋体" w:hAnsi="宋体"/>
              </w:rPr>
            </w:pPr>
            <w:r>
              <w:rPr>
                <w:rFonts w:ascii="宋体" w:hAnsi="宋体" w:hint="eastAsia"/>
              </w:rPr>
              <w:t>“兖煤澳洲”</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兖煤澳大利亚有限公司，于2004年依据澳大利亚法律成立的有限公司，其股份分别在澳大利亚证券交易所及香港联交所上市，是本公司的控股子公司，于本报告期末本公司持有其62.26%股权；</w:t>
            </w:r>
          </w:p>
        </w:tc>
      </w:tr>
      <w:tr>
        <w:tc>
          <w:tcPr>
            <w:tcW w:w="2972" w:type="dxa"/>
            <w:vAlign w:val="center"/>
          </w:tcPr>
          <w:p>
            <w:pPr>
              <w:rPr>
                <w:rFonts w:ascii="宋体" w:hAnsi="宋体"/>
              </w:rPr>
            </w:pPr>
            <w:r>
              <w:rPr>
                <w:rFonts w:ascii="宋体" w:hAnsi="宋体" w:hint="eastAsia"/>
              </w:rPr>
              <w:t>“兖煤国际”</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兖煤国际（控股）有限公司，于2011年依据香港法律成立的有限公司，是本公司的全资子公司；</w:t>
            </w:r>
          </w:p>
        </w:tc>
      </w:tr>
      <w:tr>
        <w:tc>
          <w:tcPr>
            <w:tcW w:w="2972" w:type="dxa"/>
            <w:vAlign w:val="center"/>
          </w:tcPr>
          <w:p>
            <w:pPr>
              <w:rPr>
                <w:rFonts w:ascii="宋体" w:hAnsi="宋体"/>
              </w:rPr>
            </w:pPr>
            <w:r>
              <w:rPr>
                <w:rFonts w:ascii="宋体" w:hAnsi="宋体" w:hint="eastAsia"/>
              </w:rPr>
              <w:t>“兖煤国际资源”</w:t>
            </w:r>
          </w:p>
        </w:tc>
        <w:tc>
          <w:tcPr>
            <w:tcW w:w="851" w:type="dxa"/>
            <w:vAlign w:val="center"/>
          </w:tcPr>
          <w:p>
            <w:pPr>
              <w:jc w:val="center"/>
              <w:rPr>
                <w:rFonts w:ascii="宋体" w:hAnsi="宋体"/>
              </w:rPr>
            </w:pPr>
            <w:r>
              <w:rPr>
                <w:rFonts w:ascii="宋体" w:hAnsi="宋体" w:hint="eastAsia"/>
              </w:rPr>
              <w:t>指</w:t>
            </w:r>
          </w:p>
        </w:tc>
        <w:tc>
          <w:tcPr>
            <w:tcW w:w="5000" w:type="dxa"/>
          </w:tcPr>
          <w:p>
            <w:pPr>
              <w:rPr>
                <w:rFonts w:ascii="宋体" w:hAnsi="宋体"/>
              </w:rPr>
            </w:pPr>
            <w:r>
              <w:rPr>
                <w:rFonts w:ascii="宋体" w:hAnsi="宋体" w:hint="eastAsia"/>
              </w:rPr>
              <w:t>兖煤国际资源开发有限公司，于2011年依据香港法律成立的有限公司，是兖煤国际的全资子公司；</w:t>
            </w:r>
          </w:p>
        </w:tc>
      </w:tr>
      <w:tr>
        <w:tc>
          <w:tcPr>
            <w:tcW w:w="2972" w:type="dxa"/>
            <w:vAlign w:val="center"/>
          </w:tcPr>
          <w:p>
            <w:pPr>
              <w:pStyle w:val="Style57"/>
            </w:pPr>
            <w:r>
              <w:rPr>
                <w:rFonts w:hint="eastAsia"/>
              </w:rPr>
              <w:t>“</w:t>
            </w:r>
            <w:r>
              <w:t>H股”</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本公司股本中每股面值人民币1.00元的境外上市外资股，在香港联交所上市；</w:t>
            </w:r>
          </w:p>
        </w:tc>
      </w:tr>
      <w:tr>
        <w:tc>
          <w:tcPr>
            <w:tcW w:w="2972" w:type="dxa"/>
            <w:vAlign w:val="center"/>
          </w:tcPr>
          <w:p>
            <w:pPr>
              <w:pStyle w:val="Style57"/>
            </w:pPr>
            <w:r>
              <w:rPr>
                <w:rFonts w:hint="eastAsia"/>
              </w:rPr>
              <w:t>“</w:t>
            </w:r>
            <w:r>
              <w:t>A股”</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本公司股本中每股面值人民币1.00元的内资股，在上交所上市；</w:t>
            </w:r>
          </w:p>
        </w:tc>
      </w:tr>
      <w:tr>
        <w:tc>
          <w:tcPr>
            <w:tcW w:w="2972" w:type="dxa"/>
            <w:vAlign w:val="center"/>
          </w:tcPr>
          <w:p>
            <w:pPr>
              <w:pStyle w:val="Style57"/>
            </w:pPr>
            <w:r>
              <w:rPr>
                <w:rFonts w:hint="eastAsia"/>
              </w:rPr>
              <w:t>“中国”</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中华人民共和国；</w:t>
            </w:r>
          </w:p>
        </w:tc>
      </w:tr>
      <w:tr>
        <w:tc>
          <w:tcPr>
            <w:tcW w:w="2972" w:type="dxa"/>
            <w:vAlign w:val="center"/>
          </w:tcPr>
          <w:p>
            <w:pPr>
              <w:pStyle w:val="Style57"/>
            </w:pPr>
            <w:r>
              <w:rPr>
                <w:rFonts w:hint="eastAsia"/>
              </w:rPr>
              <w:t>“香港”</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中华人民共和国香港特别行政区；</w:t>
            </w:r>
          </w:p>
        </w:tc>
      </w:tr>
      <w:tr>
        <w:tc>
          <w:tcPr>
            <w:tcW w:w="2972" w:type="dxa"/>
            <w:vAlign w:val="center"/>
          </w:tcPr>
          <w:p>
            <w:pPr>
              <w:pStyle w:val="Style57"/>
            </w:pPr>
            <w:r>
              <w:rPr>
                <w:rFonts w:hint="eastAsia"/>
              </w:rPr>
              <w:t>“中国会计准则”</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中国财政部颁发的企业会计准则及有关讲解；</w:t>
            </w:r>
          </w:p>
        </w:tc>
      </w:tr>
      <w:tr>
        <w:tc>
          <w:tcPr>
            <w:tcW w:w="2972" w:type="dxa"/>
            <w:vAlign w:val="center"/>
          </w:tcPr>
          <w:p>
            <w:pPr>
              <w:pStyle w:val="Style57"/>
            </w:pPr>
            <w:r>
              <w:rPr>
                <w:rFonts w:hint="eastAsia"/>
              </w:rPr>
              <w:t>“国际财务报告准则”</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国际会计准则理事会发布的国际财务报告准则；</w:t>
            </w:r>
          </w:p>
        </w:tc>
      </w:tr>
      <w:tr>
        <w:tc>
          <w:tcPr>
            <w:tcW w:w="2972" w:type="dxa"/>
            <w:vAlign w:val="center"/>
          </w:tcPr>
          <w:p>
            <w:pPr>
              <w:pStyle w:val="Style57"/>
            </w:pPr>
            <w:r>
              <w:rPr>
                <w:rFonts w:hint="eastAsia"/>
              </w:rPr>
              <w:t>“中国证监会”</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中国证券监督管理委员会；</w:t>
            </w:r>
          </w:p>
        </w:tc>
      </w:tr>
      <w:tr>
        <w:tc>
          <w:tcPr>
            <w:tcW w:w="2972" w:type="dxa"/>
            <w:vAlign w:val="center"/>
          </w:tcPr>
          <w:p>
            <w:pPr>
              <w:pStyle w:val="Style57"/>
            </w:pPr>
            <w:r>
              <w:rPr>
                <w:rFonts w:hint="eastAsia"/>
              </w:rPr>
              <w:t>“香港上市规则”</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香港联合交易所有限公司证券上市规则；</w:t>
            </w:r>
          </w:p>
        </w:tc>
      </w:tr>
      <w:tr>
        <w:tc>
          <w:tcPr>
            <w:tcW w:w="2972" w:type="dxa"/>
            <w:vAlign w:val="center"/>
          </w:tcPr>
          <w:p>
            <w:pPr>
              <w:pStyle w:val="Style57"/>
            </w:pPr>
            <w:r>
              <w:rPr>
                <w:rFonts w:hint="eastAsia"/>
              </w:rPr>
              <w:t>“香港联交所”</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香港联合交易所有限公司；</w:t>
            </w:r>
          </w:p>
        </w:tc>
      </w:tr>
      <w:tr>
        <w:tc>
          <w:tcPr>
            <w:tcW w:w="2972" w:type="dxa"/>
            <w:vAlign w:val="center"/>
          </w:tcPr>
          <w:p>
            <w:pPr>
              <w:pStyle w:val="Style57"/>
            </w:pPr>
            <w:r>
              <w:rPr>
                <w:rFonts w:hint="eastAsia"/>
              </w:rPr>
              <w:t>“上交所”</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上海证券交易所；</w:t>
            </w:r>
          </w:p>
        </w:tc>
      </w:tr>
      <w:tr>
        <w:tc>
          <w:tcPr>
            <w:tcW w:w="2972" w:type="dxa"/>
            <w:vAlign w:val="center"/>
          </w:tcPr>
          <w:p>
            <w:pPr>
              <w:pStyle w:val="Style57"/>
            </w:pPr>
            <w:r>
              <w:rPr>
                <w:rFonts w:hint="eastAsia"/>
              </w:rPr>
              <w:t>“《公司法》”</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《中华人民共和国公司法》；</w:t>
            </w:r>
          </w:p>
        </w:tc>
      </w:tr>
      <w:tr>
        <w:tc>
          <w:tcPr>
            <w:tcW w:w="2972" w:type="dxa"/>
            <w:vAlign w:val="center"/>
          </w:tcPr>
          <w:p>
            <w:pPr>
              <w:pStyle w:val="Style57"/>
            </w:pPr>
            <w:r>
              <w:rPr>
                <w:rFonts w:hint="eastAsia"/>
              </w:rPr>
              <w:t>“《证券法》”</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《中华人民共和国证券法》；</w:t>
            </w:r>
          </w:p>
        </w:tc>
      </w:tr>
      <w:tr>
        <w:tc>
          <w:tcPr>
            <w:tcW w:w="2972" w:type="dxa"/>
            <w:vAlign w:val="center"/>
          </w:tcPr>
          <w:p>
            <w:pPr>
              <w:pStyle w:val="Style57"/>
            </w:pPr>
            <w:r>
              <w:rPr>
                <w:rFonts w:hint="eastAsia"/>
              </w:rPr>
              <w:t>“《公司章程》”</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本公司章程；</w:t>
            </w:r>
          </w:p>
        </w:tc>
      </w:tr>
      <w:tr>
        <w:tc>
          <w:tcPr>
            <w:tcW w:w="2972" w:type="dxa"/>
            <w:vAlign w:val="center"/>
          </w:tcPr>
          <w:p>
            <w:pPr>
              <w:rPr>
                <w:rFonts w:ascii="宋体" w:hAnsi="宋体"/>
              </w:rPr>
            </w:pPr>
            <w:r>
              <w:rPr>
                <w:rFonts w:ascii="宋体" w:hAnsi="宋体"/>
              </w:rPr>
              <w:t>“JORC”</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由澳大拉西亚矿业与冶金学会、澳大利亚地质科学家学会及澳大利亚矿产理事会组成的矿石储量联合委员会；</w:t>
            </w:r>
          </w:p>
        </w:tc>
      </w:tr>
      <w:tr>
        <w:tc>
          <w:tcPr>
            <w:tcW w:w="2972" w:type="dxa"/>
            <w:vAlign w:val="center"/>
          </w:tcPr>
          <w:p>
            <w:pPr>
              <w:rPr>
                <w:rFonts w:ascii="宋体" w:hAnsi="宋体"/>
              </w:rPr>
            </w:pPr>
            <w:r>
              <w:rPr>
                <w:rFonts w:ascii="宋体" w:hAnsi="宋体"/>
              </w:rPr>
              <w:t>“JORC规范”</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澳大拉西亚勘查结果、矿产资源量与矿石储量报告规范，2012版；</w:t>
            </w:r>
          </w:p>
        </w:tc>
      </w:tr>
      <w:tr>
        <w:tc>
          <w:tcPr>
            <w:tcW w:w="2972" w:type="dxa"/>
            <w:vAlign w:val="center"/>
          </w:tcPr>
          <w:p>
            <w:pPr>
              <w:pStyle w:val="Style57"/>
            </w:pPr>
            <w:r>
              <w:rPr>
                <w:rFonts w:hint="eastAsia"/>
              </w:rPr>
              <w:t>“股东”</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本公司股东；</w:t>
            </w:r>
          </w:p>
        </w:tc>
      </w:tr>
      <w:tr>
        <w:tc>
          <w:tcPr>
            <w:tcW w:w="2972" w:type="dxa"/>
            <w:vAlign w:val="center"/>
          </w:tcPr>
          <w:p>
            <w:pPr>
              <w:pStyle w:val="Style57"/>
            </w:pPr>
            <w:r>
              <w:rPr>
                <w:rFonts w:hint="eastAsia"/>
              </w:rPr>
              <w:t>“董事”</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本公司董事；</w:t>
            </w:r>
          </w:p>
        </w:tc>
      </w:tr>
      <w:tr>
        <w:tc>
          <w:tcPr>
            <w:tcW w:w="2972" w:type="dxa"/>
            <w:vAlign w:val="center"/>
          </w:tcPr>
          <w:p>
            <w:pPr>
              <w:pStyle w:val="Style57"/>
            </w:pPr>
            <w:r>
              <w:rPr>
                <w:rFonts w:hint="eastAsia"/>
              </w:rPr>
              <w:t>“董事会”</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本公司董事会；</w:t>
            </w:r>
          </w:p>
        </w:tc>
      </w:tr>
      <w:tr>
        <w:tc>
          <w:tcPr>
            <w:tcW w:w="2972" w:type="dxa"/>
            <w:vAlign w:val="center"/>
          </w:tcPr>
          <w:p>
            <w:pPr>
              <w:pStyle w:val="Style57"/>
            </w:pPr>
            <w:r>
              <w:rPr>
                <w:rFonts w:hint="eastAsia"/>
              </w:rPr>
              <w:t>“元”</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人民币元，中国法定货币，除非文义另有所指；</w:t>
            </w:r>
          </w:p>
        </w:tc>
      </w:tr>
      <w:tr>
        <w:tc>
          <w:tcPr>
            <w:tcW w:w="2972" w:type="dxa"/>
            <w:vAlign w:val="center"/>
          </w:tcPr>
          <w:p>
            <w:pPr>
              <w:pStyle w:val="Style57"/>
            </w:pPr>
            <w:r>
              <w:rPr>
                <w:rFonts w:hint="eastAsia"/>
              </w:rPr>
              <w:t>“澳元”</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澳元，澳大利亚法定货币；</w:t>
            </w:r>
          </w:p>
        </w:tc>
      </w:tr>
      <w:tr>
        <w:tc>
          <w:tcPr>
            <w:tcW w:w="2972" w:type="dxa"/>
            <w:vAlign w:val="center"/>
          </w:tcPr>
          <w:p>
            <w:pPr>
              <w:pStyle w:val="Style57"/>
            </w:pPr>
            <w:r>
              <w:rPr>
                <w:rFonts w:hint="eastAsia"/>
              </w:rPr>
              <w:lastRenderedPageBreak/>
              <w:t>“美元”</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美元，美国法定货币；</w:t>
            </w:r>
          </w:p>
        </w:tc>
      </w:tr>
      <w:tr>
        <w:tc>
          <w:tcPr>
            <w:tcW w:w="2972" w:type="dxa"/>
            <w:vAlign w:val="center"/>
          </w:tcPr>
          <w:p>
            <w:pPr>
              <w:pStyle w:val="Style57"/>
            </w:pPr>
            <w:r>
              <w:rPr>
                <w:rFonts w:hint="eastAsia"/>
              </w:rPr>
              <w:t>“港元”</w:t>
            </w:r>
          </w:p>
        </w:tc>
        <w:tc>
          <w:tcPr>
            <w:tcW w:w="851" w:type="dxa"/>
            <w:vAlign w:val="center"/>
          </w:tcPr>
          <w:p>
            <w:pPr>
              <w:jc w:val="center"/>
              <w:rPr>
                <w:rFonts w:ascii="宋体" w:hAnsi="宋体"/>
              </w:rPr>
            </w:pPr>
            <w:r>
              <w:rPr>
                <w:rFonts w:ascii="宋体" w:hAnsi="宋体"/>
              </w:rPr>
              <w:t>指</w:t>
            </w:r>
          </w:p>
        </w:tc>
        <w:tc>
          <w:tcPr>
            <w:tcW w:w="5000" w:type="dxa"/>
            <w:vAlign w:val="center"/>
          </w:tcPr>
          <w:p>
            <w:pPr>
              <w:rPr>
                <w:rFonts w:ascii="宋体" w:hAnsi="宋体"/>
              </w:rPr>
            </w:pPr>
            <w:r>
              <w:rPr>
                <w:rFonts w:ascii="宋体" w:hAnsi="宋体"/>
              </w:rPr>
              <w:t>港元，香港法定货币。</w:t>
            </w:r>
          </w:p>
        </w:tc>
      </w:tr>
    </w:tbl>
    <w:p>
      <w:pPr>
        <w:pStyle w:val="Style49"/>
      </w:pPr>
    </w:p>
    <w:p>
      <w:pPr>
        <w:pStyle w:val="Style49"/>
      </w:pPr>
      <w:r>
        <w:br w:type="page"/>
      </w:r>
    </w:p>
    <w:p>
      <w:pPr>
        <w:numPr>
          <w:ilvl w:val="0"/>
          <w:numId w:val="10"/>
        </w:numPr>
        <w:jc w:val="center"/>
        <w:outlineLvl w:val="0"/>
        <w:rPr>
          <w:rFonts w:ascii="黑体" w:eastAsia="黑体" w:hAnsi="黑体"/>
          <w:b/>
          <w:bCs/>
          <w:sz w:val="28"/>
          <w:szCs w:val="28"/>
        </w:rPr>
      </w:pPr>
      <w:bookmarkStart w:id="11" w:name="_Toc436392762"/>
      <w:bookmarkStart w:id="12" w:name="_Toc407111355"/>
      <w:bookmarkStart w:id="13" w:name="_Toc225175010"/>
      <w:bookmarkStart w:id="14" w:name="_Toc437440709"/>
      <w:r>
        <w:rPr>
          <w:rFonts w:ascii="黑体" w:eastAsia="黑体" w:hAnsi="黑体" w:hint="eastAsia"/>
          <w:b/>
          <w:bCs/>
          <w:sz w:val="28"/>
          <w:szCs w:val="28"/>
        </w:rPr>
        <w:lastRenderedPageBreak/>
        <w:t>公司简介</w:t>
      </w:r>
      <w:bookmarkEnd w:id="11"/>
      <w:bookmarkEnd w:id="12"/>
      <w:r>
        <w:rPr>
          <w:rFonts w:ascii="黑体" w:eastAsia="黑体" w:hAnsi="黑体" w:hint="eastAsia"/>
          <w:b/>
          <w:bCs/>
          <w:sz w:val="28"/>
          <w:szCs w:val="28"/>
        </w:rPr>
        <w:t>和主要财务指标</w:t>
      </w:r>
      <w:bookmarkEnd w:id="13"/>
    </w:p>
    <w:p>
      <w:pPr>
        <w:pStyle w:val="2"/>
        <w:numPr>
          <w:ilvl w:val="1"/>
          <w:numId w:val="11"/>
        </w:numPr>
        <w:ind w:left="498" w:hangingChars="236" w:hanging="498"/>
        <w:rPr>
          <w:rFonts w:ascii="宋体" w:hAnsi="宋体"/>
          <w:u w:val="single"/>
        </w:rPr>
      </w:pPr>
      <w:bookmarkStart w:id="15" w:name="_Toc342051041"/>
      <w:bookmarkStart w:id="16" w:name="_Toc342565881"/>
      <w:bookmarkEnd w:id="14"/>
      <w:r>
        <w:rPr>
          <w:rFonts w:ascii="宋体" w:hAnsi="宋体" w:hint="eastAsia"/>
        </w:rPr>
        <w:t>公司信息</w:t>
      </w:r>
      <w:bookmarkEnd w:id="15"/>
      <w:bookmarkEnd w:id="16"/>
    </w:p>
    <w:tbl>
      <w:tblPr>
        <w:tblStyle w:val="Style63"/>
        <w:tblW w:w="8892" w:type="dxa"/>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3857"/>
        <w:gridCol w:w="5035"/>
      </w:tblGrid>
      <w:tr>
        <w:trPr>
          <w:trHeight w:val="293"/>
        </w:trPr>
        <w:sdt>
          <w:sdtPr>
            <w:rPr>
              <w:rFonts w:ascii="宋体" w:hAnsi="宋体"/>
            </w:rPr>
            <w:tag w:val="_PLD_76a4e08611bc46959c5497248a51b877"/>
            <w:id w:val="-1234157282"/>
          </w:sdtPr>
          <w:sdtContent>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公司的中文名称</w:t>
                </w:r>
              </w:p>
            </w:tc>
          </w:sdtContent>
        </w:sdt>
        <w:sdt>
          <w:sdtPr>
            <w:rPr>
              <w:rFonts w:ascii="宋体" w:hAnsi="宋体" w:hint="eastAsia"/>
            </w:rPr>
            <w:alias w:val="公司法定中文名称"/>
            <w:tag w:val="_GBC_7adfc39908d049d2970c391497a360e4"/>
            <w:id w:val="1670364850"/>
            <w:dataBinding w:prefixMappings="xmlns:clcid-cgi='clcid-cgi'" w:xpath="/*/clcid-cgi:GongSiFaDingZhongWenMingCheng[not(@periodRef)]" w:storeItemID="{89EBAB94-44A0-46A2-B712-30D997D04A6D}"/>
            <w:text/>
          </w:sdtPr>
          <w:sdtContent>
            <w:tc>
              <w:tcPr>
                <w:tcW w:w="5035"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rPr>
                    <w:rFonts w:ascii="宋体" w:hAnsi="宋体"/>
                    <w:color w:val="FFC000"/>
                  </w:rPr>
                </w:pPr>
                <w:r>
                  <w:rPr>
                    <w:rFonts w:ascii="宋体" w:hAnsi="宋体" w:hint="eastAsia"/>
                  </w:rPr>
                  <w:t>兖矿能源集团股份有限公司</w:t>
                </w:r>
              </w:p>
            </w:tc>
          </w:sdtContent>
        </w:sdt>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公司的中文简称</w:t>
            </w:r>
          </w:p>
        </w:tc>
        <w:tc>
          <w:tcPr>
            <w:tcW w:w="5035" w:type="dxa"/>
            <w:tcBorders>
              <w:top w:val="single" w:sz="4" w:space="0" w:color="auto"/>
              <w:left w:val="single" w:sz="4" w:space="0" w:color="auto"/>
              <w:bottom w:val="single" w:sz="4" w:space="0" w:color="auto"/>
            </w:tcBorders>
            <w:vAlign w:val="center"/>
          </w:tcPr>
          <w:p>
            <w:pPr>
              <w:jc w:val="both"/>
              <w:rPr>
                <w:rFonts w:ascii="宋体" w:hAnsi="宋体"/>
              </w:rPr>
            </w:pPr>
            <w:r>
              <w:rPr>
                <w:rFonts w:ascii="宋体" w:hAnsi="宋体" w:hint="eastAsia"/>
              </w:rPr>
              <w:t>兖矿能源</w:t>
            </w:r>
          </w:p>
        </w:tc>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公司的外文名称</w:t>
            </w:r>
          </w:p>
        </w:tc>
        <w:tc>
          <w:tcPr>
            <w:tcW w:w="5035" w:type="dxa"/>
            <w:tcBorders>
              <w:top w:val="single" w:sz="4" w:space="0" w:color="auto"/>
              <w:left w:val="single" w:sz="4" w:space="0" w:color="auto"/>
              <w:bottom w:val="single" w:sz="4" w:space="0" w:color="auto"/>
            </w:tcBorders>
            <w:vAlign w:val="center"/>
          </w:tcPr>
          <w:p>
            <w:pPr>
              <w:jc w:val="both"/>
              <w:rPr>
                <w:rFonts w:ascii="宋体" w:hAnsi="宋体"/>
              </w:rPr>
            </w:pPr>
            <w:r>
              <w:rPr>
                <w:rFonts w:ascii="宋体" w:hAnsi="宋体"/>
              </w:rPr>
              <w:t>Yankuang Energy Group Company Limited</w:t>
            </w:r>
            <w:r>
              <w:rPr>
                <w:rFonts w:ascii="宋体" w:hAnsi="宋体"/>
                <w:vertAlign w:val="superscript"/>
              </w:rPr>
              <w:t>*</w:t>
            </w:r>
          </w:p>
        </w:tc>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公司的外文名称缩写</w:t>
            </w:r>
          </w:p>
        </w:tc>
        <w:tc>
          <w:tcPr>
            <w:tcW w:w="5035" w:type="dxa"/>
            <w:tcBorders>
              <w:top w:val="single" w:sz="4" w:space="0" w:color="auto"/>
              <w:left w:val="single" w:sz="4" w:space="0" w:color="auto"/>
              <w:bottom w:val="single" w:sz="4" w:space="0" w:color="auto"/>
            </w:tcBorders>
            <w:vAlign w:val="center"/>
          </w:tcPr>
          <w:p>
            <w:pPr>
              <w:jc w:val="both"/>
              <w:rPr>
                <w:rFonts w:ascii="宋体" w:hAnsi="宋体"/>
              </w:rPr>
            </w:pPr>
            <w:r>
              <w:rPr>
                <w:rFonts w:ascii="宋体" w:hAnsi="宋体"/>
              </w:rPr>
              <w:t>YANKUANG ENERGY</w:t>
            </w:r>
          </w:p>
        </w:tc>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公司的法定代表人</w:t>
            </w:r>
          </w:p>
        </w:tc>
        <w:tc>
          <w:tcPr>
            <w:tcW w:w="5035"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jc w:val="both"/>
              <w:rPr>
                <w:rFonts w:ascii="宋体" w:hAnsi="宋体"/>
              </w:rPr>
            </w:pPr>
            <w:r>
              <w:rPr>
                <w:rFonts w:ascii="宋体" w:hAnsi="宋体" w:hint="eastAsia"/>
              </w:rPr>
              <w:t>李伟</w:t>
            </w:r>
          </w:p>
        </w:tc>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香港联交所授权代表</w:t>
            </w:r>
          </w:p>
        </w:tc>
        <w:tc>
          <w:tcPr>
            <w:tcW w:w="5035"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jc w:val="both"/>
              <w:rPr>
                <w:rFonts w:ascii="宋体" w:hAnsi="宋体"/>
              </w:rPr>
            </w:pPr>
            <w:r>
              <w:rPr>
                <w:rFonts w:ascii="宋体" w:hAnsi="宋体" w:hint="eastAsia"/>
              </w:rPr>
              <w:t>苏力、黄霄龙</w:t>
            </w:r>
          </w:p>
        </w:tc>
      </w:tr>
    </w:tbl>
    <w:p>
      <w:pPr>
        <w:pStyle w:val="Style49"/>
        <w:rPr>
          <w:rFonts w:ascii="宋体" w:hAnsi="宋体"/>
        </w:rPr>
      </w:pPr>
      <w:r>
        <w:rPr>
          <w:rFonts w:ascii="宋体" w:hAnsi="宋体" w:hint="eastAsia"/>
        </w:rPr>
        <w:t>*仅供识别</w:t>
      </w:r>
    </w:p>
    <w:p>
      <w:pPr>
        <w:pStyle w:val="Style49"/>
        <w:rPr>
          <w:rFonts w:ascii="宋体" w:hAnsi="宋体"/>
        </w:rPr>
      </w:pPr>
    </w:p>
    <w:p>
      <w:pPr>
        <w:pStyle w:val="2"/>
        <w:numPr>
          <w:ilvl w:val="1"/>
          <w:numId w:val="11"/>
        </w:numPr>
        <w:ind w:left="498" w:hangingChars="236" w:hanging="498"/>
        <w:rPr>
          <w:rFonts w:ascii="宋体" w:hAnsi="宋体"/>
          <w:u w:val="single"/>
        </w:rPr>
      </w:pPr>
      <w:r>
        <w:rPr>
          <w:rFonts w:ascii="宋体" w:hAnsi="宋体" w:hint="eastAsia"/>
        </w:rPr>
        <w:t>联系人和联系方式</w:t>
      </w:r>
    </w:p>
    <w:tbl>
      <w:tblPr>
        <w:tblStyle w:val="Style63"/>
        <w:tblW w:w="8891" w:type="dxa"/>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263"/>
        <w:gridCol w:w="3402"/>
        <w:gridCol w:w="3226"/>
      </w:tblGrid>
      <w:tr>
        <w:tc>
          <w:tcPr>
            <w:tcW w:w="2263"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bookmarkStart w:id="17" w:name="_Toc342051042"/>
            <w:bookmarkStart w:id="18" w:name="_Toc342565882"/>
            <w:bookmarkStart w:id="19" w:name="_Hlk186115833"/>
            <w:bookmarkStart w:id="20" w:name="_Hlk186115772"/>
            <w:bookmarkStart w:id="21" w:name="_Hlk186112521"/>
            <w:bookmarkEnd w:id="17"/>
            <w:bookmarkEnd w:id="18"/>
          </w:p>
        </w:tc>
        <w:tc>
          <w:tcPr>
            <w:tcW w:w="3402" w:type="dxa"/>
            <w:tcBorders>
              <w:top w:val="single" w:sz="4" w:space="0" w:color="auto"/>
              <w:left w:val="single" w:sz="4" w:space="0" w:color="auto"/>
              <w:bottom w:val="single" w:sz="4" w:space="0" w:color="auto"/>
              <w:right w:val="single" w:sz="4" w:space="0" w:color="auto"/>
            </w:tcBorders>
            <w:vAlign w:val="center"/>
          </w:tcPr>
          <w:p>
            <w:pPr>
              <w:pStyle w:val="ac"/>
              <w:kinsoku w:val="0"/>
              <w:overflowPunct w:val="0"/>
              <w:autoSpaceDE w:val="0"/>
              <w:autoSpaceDN w:val="0"/>
              <w:adjustRightInd w:val="0"/>
              <w:snapToGrid w:val="0"/>
              <w:jc w:val="center"/>
              <w:rPr>
                <w:rFonts w:ascii="宋体" w:hAnsi="宋体"/>
                <w:color w:val="008000"/>
              </w:rPr>
            </w:pPr>
            <w:sdt>
              <w:sdtPr>
                <w:rPr>
                  <w:rFonts w:ascii="宋体" w:hAnsi="宋体"/>
                </w:rPr>
                <w:tag w:val="_PLD_2c78c38f6b284d4589a2a9ae76ce4059"/>
                <w:id w:val="107712720"/>
              </w:sdtPr>
              <w:sdtContent>
                <w:r>
                  <w:rPr>
                    <w:rFonts w:ascii="宋体" w:hAnsi="宋体" w:cs="宋体" w:hint="eastAsia"/>
                  </w:rPr>
                  <w:t>董事会秘书</w:t>
                </w:r>
              </w:sdtContent>
            </w:sdt>
          </w:p>
        </w:tc>
        <w:sdt>
          <w:sdtPr>
            <w:rPr>
              <w:rFonts w:ascii="宋体" w:hAnsi="宋体"/>
            </w:rPr>
            <w:tag w:val="_PLD_8425474fc03f4f31a663ee46b4c6fa3a"/>
            <w:id w:val="-939216980"/>
          </w:sdtPr>
          <w:sdtContent>
            <w:tc>
              <w:tcPr>
                <w:tcW w:w="3226" w:type="dxa"/>
                <w:tcBorders>
                  <w:top w:val="single" w:sz="4" w:space="0" w:color="auto"/>
                  <w:left w:val="single" w:sz="4" w:space="0" w:color="auto"/>
                  <w:bottom w:val="single" w:sz="4" w:space="0" w:color="auto"/>
                </w:tcBorders>
                <w:vAlign w:val="center"/>
              </w:tcPr>
              <w:p>
                <w:pPr>
                  <w:pStyle w:val="ac"/>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tc>
          <w:tcPr>
            <w:tcW w:w="2263"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姓名</w:t>
            </w:r>
          </w:p>
        </w:tc>
        <w:tc>
          <w:tcPr>
            <w:tcW w:w="3402"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黄霄龙</w:t>
            </w:r>
          </w:p>
        </w:tc>
        <w:tc>
          <w:tcPr>
            <w:tcW w:w="3226"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商晓宇</w:t>
            </w:r>
          </w:p>
        </w:tc>
      </w:tr>
      <w:tr>
        <w:tc>
          <w:tcPr>
            <w:tcW w:w="2263"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联系地址</w:t>
            </w:r>
          </w:p>
        </w:tc>
        <w:tc>
          <w:tcPr>
            <w:tcW w:w="3402"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中国山东省邹城市凫山南路</w:t>
            </w:r>
            <w:r>
              <w:rPr>
                <w:rFonts w:ascii="宋体" w:hAnsi="宋体"/>
              </w:rPr>
              <w:t>949号</w:t>
            </w:r>
          </w:p>
          <w:p>
            <w:pPr>
              <w:kinsoku w:val="0"/>
              <w:overflowPunct w:val="0"/>
              <w:autoSpaceDE w:val="0"/>
              <w:autoSpaceDN w:val="0"/>
              <w:adjustRightInd w:val="0"/>
              <w:snapToGrid w:val="0"/>
              <w:rPr>
                <w:rFonts w:ascii="宋体" w:hAnsi="宋体"/>
              </w:rPr>
            </w:pPr>
            <w:r>
              <w:rPr>
                <w:rFonts w:ascii="宋体" w:hAnsi="宋体" w:hint="eastAsia"/>
              </w:rPr>
              <w:t>兖矿能源集团股份有限公司董事会秘书处</w:t>
            </w:r>
          </w:p>
        </w:tc>
        <w:tc>
          <w:tcPr>
            <w:tcW w:w="3226"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中国山东省邹城市凫山南路</w:t>
            </w:r>
            <w:r>
              <w:rPr>
                <w:rFonts w:ascii="宋体" w:hAnsi="宋体"/>
              </w:rPr>
              <w:t>949号</w:t>
            </w:r>
          </w:p>
          <w:p>
            <w:pPr>
              <w:kinsoku w:val="0"/>
              <w:overflowPunct w:val="0"/>
              <w:autoSpaceDE w:val="0"/>
              <w:autoSpaceDN w:val="0"/>
              <w:adjustRightInd w:val="0"/>
              <w:snapToGrid w:val="0"/>
              <w:rPr>
                <w:rFonts w:ascii="宋体" w:hAnsi="宋体"/>
              </w:rPr>
            </w:pPr>
            <w:r>
              <w:rPr>
                <w:rFonts w:ascii="宋体" w:hAnsi="宋体" w:hint="eastAsia"/>
              </w:rPr>
              <w:t>兖矿能源集团股份有限公司董事会秘书处</w:t>
            </w:r>
          </w:p>
        </w:tc>
      </w:tr>
      <w:tr>
        <w:tc>
          <w:tcPr>
            <w:tcW w:w="2263"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电话</w:t>
            </w:r>
          </w:p>
        </w:tc>
        <w:tc>
          <w:tcPr>
            <w:tcW w:w="3402"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w:t>
            </w:r>
            <w:r>
              <w:rPr>
                <w:rFonts w:ascii="宋体" w:hAnsi="宋体"/>
              </w:rPr>
              <w:t>86 537）538 2319</w:t>
            </w:r>
          </w:p>
        </w:tc>
        <w:tc>
          <w:tcPr>
            <w:tcW w:w="3226"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w:t>
            </w:r>
            <w:r>
              <w:rPr>
                <w:rFonts w:ascii="宋体" w:hAnsi="宋体"/>
              </w:rPr>
              <w:t>86 537）539 2377</w:t>
            </w:r>
          </w:p>
        </w:tc>
      </w:tr>
      <w:tr>
        <w:tc>
          <w:tcPr>
            <w:tcW w:w="2263"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传真</w:t>
            </w:r>
          </w:p>
        </w:tc>
        <w:tc>
          <w:tcPr>
            <w:tcW w:w="3402"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（86</w:t>
            </w:r>
            <w:r>
              <w:rPr>
                <w:rFonts w:ascii="宋体" w:hAnsi="宋体"/>
              </w:rPr>
              <w:t xml:space="preserve"> </w:t>
            </w:r>
            <w:r>
              <w:rPr>
                <w:rFonts w:ascii="宋体" w:hAnsi="宋体" w:hint="eastAsia"/>
              </w:rPr>
              <w:t>537）538</w:t>
            </w:r>
            <w:r>
              <w:rPr>
                <w:rFonts w:ascii="宋体" w:hAnsi="宋体"/>
              </w:rPr>
              <w:t xml:space="preserve"> </w:t>
            </w:r>
            <w:r>
              <w:rPr>
                <w:rFonts w:ascii="宋体" w:hAnsi="宋体" w:hint="eastAsia"/>
              </w:rPr>
              <w:t>3311</w:t>
            </w:r>
          </w:p>
        </w:tc>
        <w:tc>
          <w:tcPr>
            <w:tcW w:w="3226"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（86</w:t>
            </w:r>
            <w:r>
              <w:rPr>
                <w:rFonts w:ascii="宋体" w:hAnsi="宋体"/>
              </w:rPr>
              <w:t xml:space="preserve"> </w:t>
            </w:r>
            <w:r>
              <w:rPr>
                <w:rFonts w:ascii="宋体" w:hAnsi="宋体" w:hint="eastAsia"/>
              </w:rPr>
              <w:t>537）538</w:t>
            </w:r>
            <w:r>
              <w:rPr>
                <w:rFonts w:ascii="宋体" w:hAnsi="宋体"/>
              </w:rPr>
              <w:t xml:space="preserve"> </w:t>
            </w:r>
            <w:r>
              <w:rPr>
                <w:rFonts w:ascii="宋体" w:hAnsi="宋体" w:hint="eastAsia"/>
              </w:rPr>
              <w:t>3311</w:t>
            </w:r>
          </w:p>
        </w:tc>
      </w:tr>
      <w:tr>
        <w:tc>
          <w:tcPr>
            <w:tcW w:w="2263"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电子信箱</w:t>
            </w:r>
          </w:p>
        </w:tc>
        <w:tc>
          <w:tcPr>
            <w:tcW w:w="3402"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 xml:space="preserve">IR@ykenergy.com </w:t>
            </w:r>
          </w:p>
        </w:tc>
        <w:tc>
          <w:tcPr>
            <w:tcW w:w="3226"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 xml:space="preserve">xyshang@ykenergy.com </w:t>
            </w:r>
          </w:p>
        </w:tc>
      </w:tr>
    </w:tbl>
    <w:p>
      <w:pPr>
        <w:pStyle w:val="Style49"/>
        <w:rPr>
          <w:rFonts w:ascii="宋体" w:hAnsi="宋体"/>
        </w:rPr>
      </w:pPr>
    </w:p>
    <w:bookmarkEnd w:id="19"/>
    <w:bookmarkEnd w:id="20"/>
    <w:bookmarkEnd w:id="21"/>
    <w:p>
      <w:pPr>
        <w:pStyle w:val="2"/>
        <w:numPr>
          <w:ilvl w:val="1"/>
          <w:numId w:val="11"/>
        </w:numPr>
        <w:ind w:left="498" w:hangingChars="236" w:hanging="498"/>
        <w:rPr>
          <w:rFonts w:ascii="宋体" w:hAnsi="宋体"/>
          <w:u w:val="single"/>
        </w:rPr>
      </w:pPr>
      <w:r>
        <w:rPr>
          <w:rFonts w:ascii="宋体" w:hAnsi="宋体" w:hint="eastAsia"/>
        </w:rPr>
        <w:t>基本情况简介</w:t>
      </w:r>
    </w:p>
    <w:tbl>
      <w:tblPr>
        <w:tblStyle w:val="Style63"/>
        <w:tblW w:w="8892" w:type="dxa"/>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3857"/>
        <w:gridCol w:w="5035"/>
      </w:tblGrid>
      <w:tr>
        <w:trPr>
          <w:trHeight w:val="293"/>
        </w:trPr>
        <w:sdt>
          <w:sdtPr>
            <w:rPr>
              <w:rFonts w:ascii="宋体" w:hAnsi="宋体"/>
            </w:rPr>
            <w:tag w:val="_PLD_65800154c9f246eeaabfb6d49f89b105"/>
            <w:id w:val="-1090927620"/>
          </w:sdtPr>
          <w:sdtContent>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公司注册地址</w:t>
                </w:r>
              </w:p>
            </w:tc>
          </w:sdtContent>
        </w:sdt>
        <w:sdt>
          <w:sdtPr>
            <w:rPr>
              <w:rFonts w:ascii="宋体" w:hAnsi="宋体"/>
            </w:rPr>
            <w:alias w:val="公司注册地址"/>
            <w:tag w:val="_GBC_89833c4f8593417f8d5751e5d0001721"/>
            <w:id w:val="-194086092"/>
          </w:sdtPr>
          <w:sdtContent>
            <w:tc>
              <w:tcPr>
                <w:tcW w:w="5035"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jc w:val="both"/>
                  <w:rPr>
                    <w:rFonts w:ascii="宋体" w:hAnsi="宋体"/>
                  </w:rPr>
                </w:pPr>
                <w:r>
                  <w:rPr>
                    <w:rFonts w:ascii="宋体" w:hAnsi="宋体" w:hint="eastAsia"/>
                  </w:rPr>
                  <w:t>中国山东省邹城市凫山南路949号</w:t>
                </w:r>
                <w:r>
                  <w:rPr>
                    <w:rFonts w:ascii="宋体" w:hAnsi="宋体"/>
                  </w:rPr>
                  <w:t xml:space="preserve"> </w:t>
                </w:r>
              </w:p>
            </w:tc>
          </w:sdtContent>
        </w:sdt>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公司办公地址</w:t>
            </w:r>
          </w:p>
        </w:tc>
        <w:tc>
          <w:tcPr>
            <w:tcW w:w="5035"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jc w:val="both"/>
              <w:rPr>
                <w:rFonts w:ascii="宋体" w:hAnsi="宋体"/>
              </w:rPr>
            </w:pPr>
            <w:r>
              <w:rPr>
                <w:rFonts w:ascii="宋体" w:hAnsi="宋体" w:hint="eastAsia"/>
              </w:rPr>
              <w:t>中国山东省邹城市凫山南路</w:t>
            </w:r>
            <w:r>
              <w:rPr>
                <w:rFonts w:ascii="宋体" w:hAnsi="宋体"/>
              </w:rPr>
              <w:t>949号</w:t>
            </w:r>
          </w:p>
        </w:tc>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公司办公地址的邮政编码</w:t>
            </w:r>
          </w:p>
        </w:tc>
        <w:tc>
          <w:tcPr>
            <w:tcW w:w="5035"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jc w:val="both"/>
              <w:rPr>
                <w:rFonts w:ascii="宋体" w:hAnsi="宋体"/>
              </w:rPr>
            </w:pPr>
            <w:r>
              <w:rPr>
                <w:rFonts w:ascii="宋体" w:hAnsi="宋体"/>
              </w:rPr>
              <w:t>273500</w:t>
            </w:r>
          </w:p>
        </w:tc>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公司网址</w:t>
            </w:r>
          </w:p>
        </w:tc>
        <w:tc>
          <w:tcPr>
            <w:tcW w:w="5035"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jc w:val="both"/>
              <w:rPr>
                <w:rFonts w:ascii="宋体" w:hAnsi="宋体"/>
              </w:rPr>
            </w:pPr>
            <w:r>
              <w:rPr>
                <w:rFonts w:ascii="宋体" w:hAnsi="宋体"/>
              </w:rPr>
              <w:t>www.ykenergy.com</w:t>
            </w:r>
          </w:p>
          <w:p>
            <w:pPr>
              <w:kinsoku w:val="0"/>
              <w:overflowPunct w:val="0"/>
              <w:autoSpaceDE w:val="0"/>
              <w:autoSpaceDN w:val="0"/>
              <w:adjustRightInd w:val="0"/>
              <w:snapToGrid w:val="0"/>
              <w:jc w:val="both"/>
              <w:rPr>
                <w:rFonts w:ascii="宋体" w:hAnsi="宋体"/>
              </w:rPr>
            </w:pPr>
            <w:r>
              <w:rPr>
                <w:rFonts w:ascii="宋体" w:hAnsi="宋体"/>
              </w:rPr>
              <w:t>www.yanzhoucoal.com.cn</w:t>
            </w:r>
          </w:p>
        </w:tc>
      </w:tr>
      <w:tr>
        <w:trPr>
          <w:trHeight w:val="293"/>
        </w:trPr>
        <w:tc>
          <w:tcPr>
            <w:tcW w:w="3857"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电子信箱</w:t>
            </w:r>
          </w:p>
        </w:tc>
        <w:tc>
          <w:tcPr>
            <w:tcW w:w="5035" w:type="dxa"/>
            <w:tcBorders>
              <w:top w:val="single" w:sz="4" w:space="0" w:color="auto"/>
              <w:left w:val="single" w:sz="4" w:space="0" w:color="auto"/>
              <w:bottom w:val="single" w:sz="4" w:space="0" w:color="auto"/>
            </w:tcBorders>
            <w:vAlign w:val="center"/>
          </w:tcPr>
          <w:p>
            <w:pPr>
              <w:jc w:val="both"/>
              <w:rPr>
                <w:rFonts w:ascii="宋体" w:hAnsi="宋体"/>
              </w:rPr>
            </w:pPr>
            <w:r>
              <w:rPr>
                <w:rFonts w:ascii="宋体" w:hAnsi="宋体"/>
              </w:rPr>
              <w:t xml:space="preserve">IR@ykenergy.com </w:t>
            </w:r>
          </w:p>
        </w:tc>
      </w:tr>
    </w:tbl>
    <w:p>
      <w:pPr>
        <w:pStyle w:val="Style49"/>
        <w:rPr>
          <w:rFonts w:ascii="宋体" w:hAnsi="宋体"/>
        </w:rPr>
      </w:pPr>
    </w:p>
    <w:p>
      <w:pPr>
        <w:pStyle w:val="2"/>
        <w:numPr>
          <w:ilvl w:val="1"/>
          <w:numId w:val="11"/>
        </w:numPr>
        <w:ind w:left="498" w:hangingChars="236" w:hanging="498"/>
        <w:rPr>
          <w:rFonts w:ascii="宋体" w:hAnsi="宋体"/>
          <w:u w:val="single"/>
        </w:rPr>
      </w:pPr>
      <w:r>
        <w:rPr>
          <w:rFonts w:ascii="宋体" w:hAnsi="宋体" w:hint="eastAsia"/>
        </w:rPr>
        <w:t>信息披露及备置地点</w:t>
      </w:r>
    </w:p>
    <w:tbl>
      <w:tblPr>
        <w:tblStyle w:val="Style63"/>
        <w:tblW w:w="8892" w:type="dxa"/>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4140"/>
        <w:gridCol w:w="4752"/>
      </w:tblGrid>
      <w:tr>
        <w:trPr>
          <w:trHeight w:val="293"/>
        </w:trPr>
        <w:sdt>
          <w:sdtPr>
            <w:rPr>
              <w:rFonts w:ascii="宋体" w:hAnsi="宋体"/>
            </w:rPr>
            <w:tag w:val="_PLD_bbba55a3ebda46da946a09caf15c63b6"/>
            <w:id w:val="-578057776"/>
          </w:sdtPr>
          <w:sdtContent>
            <w:tc>
              <w:tcPr>
                <w:tcW w:w="4140"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w:t>
                </w:r>
                <w:r>
                  <w:rPr>
                    <w:rFonts w:ascii="宋体" w:hAnsi="宋体" w:hint="eastAsia"/>
                  </w:rPr>
                  <w:t>披露年度报告的媒体</w:t>
                </w:r>
                <w:r>
                  <w:rPr>
                    <w:rFonts w:ascii="宋体" w:hAnsi="宋体"/>
                  </w:rPr>
                  <w:t>名称</w:t>
                </w:r>
                <w:r>
                  <w:rPr>
                    <w:rFonts w:ascii="宋体" w:hAnsi="宋体" w:hint="eastAsia"/>
                  </w:rPr>
                  <w:t>及网址</w:t>
                </w:r>
              </w:p>
            </w:tc>
          </w:sdtContent>
        </w:sdt>
        <w:sdt>
          <w:sdtPr>
            <w:rPr>
              <w:rFonts w:ascii="宋体" w:hAnsi="宋体"/>
            </w:rPr>
            <w:alias w:val="公司选定的信息披露报纸名称"/>
            <w:tag w:val="_GBC_001b00e5e370415c93177612f89840ec"/>
            <w:id w:val="1263344497"/>
          </w:sdtPr>
          <w:sdtContent>
            <w:tc>
              <w:tcPr>
                <w:tcW w:w="4752" w:type="dxa"/>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《中国证券报》（www.cs.com.cn）</w:t>
                </w:r>
              </w:p>
              <w:p>
                <w:pPr>
                  <w:kinsoku w:val="0"/>
                  <w:overflowPunct w:val="0"/>
                  <w:autoSpaceDE w:val="0"/>
                  <w:autoSpaceDN w:val="0"/>
                  <w:adjustRightInd w:val="0"/>
                  <w:snapToGrid w:val="0"/>
                  <w:rPr>
                    <w:rFonts w:ascii="宋体" w:hAnsi="宋体"/>
                  </w:rPr>
                </w:pPr>
                <w:r>
                  <w:rPr>
                    <w:rFonts w:ascii="宋体" w:hAnsi="宋体" w:hint="eastAsia"/>
                  </w:rPr>
                  <w:t>《上海证券报》（www.cnstock.com）</w:t>
                </w:r>
              </w:p>
              <w:p>
                <w:pPr>
                  <w:kinsoku w:val="0"/>
                  <w:overflowPunct w:val="0"/>
                  <w:autoSpaceDE w:val="0"/>
                  <w:autoSpaceDN w:val="0"/>
                  <w:adjustRightInd w:val="0"/>
                  <w:snapToGrid w:val="0"/>
                  <w:rPr>
                    <w:rFonts w:ascii="宋体" w:hAnsi="宋体"/>
                  </w:rPr>
                </w:pPr>
                <w:r>
                  <w:rPr>
                    <w:rFonts w:ascii="宋体" w:hAnsi="宋体" w:hint="eastAsia"/>
                  </w:rPr>
                  <w:t>《证券时报》（www.stcn.com）</w:t>
                </w:r>
              </w:p>
              <w:p>
                <w:pPr>
                  <w:kinsoku w:val="0"/>
                  <w:overflowPunct w:val="0"/>
                  <w:autoSpaceDE w:val="0"/>
                  <w:autoSpaceDN w:val="0"/>
                  <w:adjustRightInd w:val="0"/>
                  <w:snapToGrid w:val="0"/>
                  <w:rPr>
                    <w:rFonts w:ascii="宋体" w:hAnsi="宋体"/>
                  </w:rPr>
                </w:pPr>
                <w:r>
                  <w:rPr>
                    <w:rFonts w:ascii="宋体" w:hAnsi="宋体" w:hint="eastAsia"/>
                  </w:rPr>
                  <w:t>《证券日报》（www.zqrb.cn）</w:t>
                </w:r>
              </w:p>
            </w:tc>
          </w:sdtContent>
        </w:sdt>
      </w:tr>
      <w:tr>
        <w:trPr>
          <w:trHeight w:val="293"/>
        </w:trPr>
        <w:tc>
          <w:tcPr>
            <w:tcW w:w="4140"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hint="eastAsia"/>
              </w:rPr>
              <w:t>公司披露年度报告的证券交易所</w:t>
            </w:r>
            <w:r>
              <w:rPr>
                <w:rFonts w:ascii="宋体" w:hAnsi="宋体"/>
              </w:rPr>
              <w:t>网址</w:t>
            </w:r>
          </w:p>
        </w:tc>
        <w:tc>
          <w:tcPr>
            <w:tcW w:w="4752" w:type="dxa"/>
            <w:tcBorders>
              <w:top w:val="single" w:sz="4" w:space="0" w:color="auto"/>
              <w:left w:val="single" w:sz="4" w:space="0" w:color="auto"/>
              <w:bottom w:val="single" w:sz="4" w:space="0" w:color="auto"/>
            </w:tcBorders>
          </w:tcPr>
          <w:p>
            <w:pPr>
              <w:rPr>
                <w:rFonts w:ascii="宋体" w:hAnsi="宋体"/>
              </w:rPr>
            </w:pPr>
            <w:r>
              <w:rPr>
                <w:rFonts w:ascii="宋体" w:hAnsi="宋体" w:hint="eastAsia"/>
              </w:rPr>
              <w:t>A股年度报告登载网址：www.sse.com.cn</w:t>
            </w:r>
          </w:p>
          <w:p>
            <w:pPr>
              <w:rPr>
                <w:rFonts w:ascii="宋体" w:hAnsi="宋体"/>
              </w:rPr>
            </w:pPr>
            <w:r>
              <w:rPr>
                <w:rFonts w:ascii="宋体" w:hAnsi="宋体" w:hint="eastAsia"/>
              </w:rPr>
              <w:t>H股年度报告登载网址：www.hkexnews.hk</w:t>
            </w:r>
          </w:p>
        </w:tc>
      </w:tr>
      <w:tr>
        <w:trPr>
          <w:trHeight w:val="293"/>
        </w:trPr>
        <w:tc>
          <w:tcPr>
            <w:tcW w:w="4140"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rPr>
                <w:rFonts w:ascii="宋体" w:hAnsi="宋体"/>
              </w:rPr>
            </w:pPr>
            <w:r>
              <w:rPr>
                <w:rFonts w:ascii="宋体" w:hAnsi="宋体"/>
              </w:rPr>
              <w:t>公司年度报告备置地点</w:t>
            </w:r>
          </w:p>
        </w:tc>
        <w:tc>
          <w:tcPr>
            <w:tcW w:w="4752" w:type="dxa"/>
            <w:tcBorders>
              <w:top w:val="single" w:sz="4" w:space="0" w:color="auto"/>
              <w:left w:val="single" w:sz="4" w:space="0" w:color="auto"/>
              <w:bottom w:val="single" w:sz="4" w:space="0" w:color="auto"/>
            </w:tcBorders>
          </w:tcPr>
          <w:p>
            <w:pPr>
              <w:rPr>
                <w:rFonts w:ascii="宋体" w:hAnsi="宋体"/>
              </w:rPr>
            </w:pPr>
            <w:r>
              <w:rPr>
                <w:rFonts w:ascii="宋体" w:hAnsi="宋体" w:hint="eastAsia"/>
              </w:rPr>
              <w:t>中国山东省邹城市凫山南路949号</w:t>
            </w:r>
          </w:p>
          <w:p>
            <w:pPr>
              <w:rPr>
                <w:rFonts w:ascii="宋体" w:hAnsi="宋体"/>
              </w:rPr>
            </w:pPr>
            <w:r>
              <w:rPr>
                <w:rFonts w:ascii="宋体" w:hAnsi="宋体" w:hint="eastAsia"/>
              </w:rPr>
              <w:t>兖矿能源集团股份有限公司董事会秘书处</w:t>
            </w:r>
          </w:p>
        </w:tc>
      </w:tr>
    </w:tbl>
    <w:p>
      <w:pPr>
        <w:pStyle w:val="Style49"/>
        <w:rPr>
          <w:rFonts w:ascii="宋体" w:hAnsi="宋体"/>
        </w:rPr>
      </w:pPr>
    </w:p>
    <w:p>
      <w:pPr>
        <w:pStyle w:val="2"/>
        <w:numPr>
          <w:ilvl w:val="1"/>
          <w:numId w:val="11"/>
        </w:numPr>
        <w:ind w:left="498" w:hangingChars="236" w:hanging="498"/>
        <w:rPr>
          <w:rFonts w:ascii="宋体" w:hAnsi="宋体"/>
          <w:u w:val="single"/>
        </w:rPr>
      </w:pPr>
      <w:bookmarkStart w:id="22" w:name="_Toc342051045"/>
      <w:bookmarkStart w:id="23" w:name="_Toc342565885"/>
      <w:r>
        <w:rPr>
          <w:rFonts w:ascii="宋体" w:hAnsi="宋体" w:hint="eastAsia"/>
        </w:rPr>
        <w:t>公司股票简况</w:t>
      </w:r>
      <w:bookmarkEnd w:id="22"/>
      <w:bookmarkEnd w:id="23"/>
    </w:p>
    <w:tbl>
      <w:tblPr>
        <w:tblStyle w:val="Style63"/>
        <w:tblW w:w="8794" w:type="dxa"/>
        <w:jc w:val="center"/>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072"/>
        <w:gridCol w:w="2328"/>
        <w:gridCol w:w="2116"/>
        <w:gridCol w:w="2278"/>
      </w:tblGrid>
      <w:tr>
        <w:trPr>
          <w:trHeight w:val="293"/>
          <w:jc w:val="center"/>
        </w:trPr>
        <w:sdt>
          <w:sdtPr>
            <w:rPr>
              <w:rFonts w:ascii="宋体" w:hAnsi="宋体"/>
            </w:rPr>
            <w:tag w:val="_PLD_8c7d8e96d5f4491aa9e7c3c601503603"/>
            <w:id w:val="341438721"/>
          </w:sdtPr>
          <w:sdtContent>
            <w:tc>
              <w:tcPr>
                <w:tcW w:w="2072"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股票种类</w:t>
                </w:r>
              </w:p>
            </w:tc>
          </w:sdtContent>
        </w:sdt>
        <w:sdt>
          <w:sdtPr>
            <w:rPr>
              <w:rFonts w:ascii="宋体" w:hAnsi="宋体"/>
            </w:rPr>
            <w:tag w:val="_PLD_b56a72f5279041b38925f5228f2089f6"/>
            <w:id w:val="656041802"/>
          </w:sdtPr>
          <w:sdtContent>
            <w:tc>
              <w:tcPr>
                <w:tcW w:w="2328"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股票上市交易所</w:t>
                </w:r>
              </w:p>
            </w:tc>
          </w:sdtContent>
        </w:sdt>
        <w:sdt>
          <w:sdtPr>
            <w:rPr>
              <w:rFonts w:ascii="宋体" w:hAnsi="宋体"/>
            </w:rPr>
            <w:tag w:val="_PLD_6dd4e584e21c4367b3dfe6f7f5c64696"/>
            <w:id w:val="-388961215"/>
          </w:sdtPr>
          <w:sdtContent>
            <w:tc>
              <w:tcPr>
                <w:tcW w:w="2116"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股票简称</w:t>
                </w:r>
              </w:p>
            </w:tc>
          </w:sdtContent>
        </w:sdt>
        <w:sdt>
          <w:sdtPr>
            <w:rPr>
              <w:rFonts w:ascii="宋体" w:hAnsi="宋体"/>
            </w:rPr>
            <w:tag w:val="_PLD_e6f819a9bdc4409c94aa103da8c19dc3"/>
            <w:id w:val="-356978066"/>
          </w:sdtPr>
          <w:sdtContent>
            <w:tc>
              <w:tcPr>
                <w:tcW w:w="2278"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股票代码</w:t>
                </w:r>
              </w:p>
            </w:tc>
          </w:sdtContent>
        </w:sdt>
      </w:tr>
      <w:tr>
        <w:trPr>
          <w:trHeight w:val="293"/>
          <w:jc w:val="center"/>
        </w:trPr>
        <w:tc>
          <w:tcPr>
            <w:tcW w:w="2072"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A股</w:t>
            </w:r>
          </w:p>
        </w:tc>
        <w:tc>
          <w:tcPr>
            <w:tcW w:w="2328"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上交所</w:t>
            </w:r>
          </w:p>
        </w:tc>
        <w:tc>
          <w:tcPr>
            <w:tcW w:w="2116"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兖矿能源</w:t>
            </w:r>
          </w:p>
        </w:tc>
        <w:tc>
          <w:tcPr>
            <w:tcW w:w="2278"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600188</w:t>
            </w:r>
          </w:p>
        </w:tc>
      </w:tr>
      <w:tr>
        <w:trPr>
          <w:trHeight w:val="293"/>
          <w:jc w:val="center"/>
        </w:trPr>
        <w:tc>
          <w:tcPr>
            <w:tcW w:w="2072" w:type="dxa"/>
            <w:tcBorders>
              <w:top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H股</w:t>
            </w:r>
          </w:p>
        </w:tc>
        <w:tc>
          <w:tcPr>
            <w:tcW w:w="2328"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香港联交所</w:t>
            </w:r>
          </w:p>
        </w:tc>
        <w:tc>
          <w:tcPr>
            <w:tcW w:w="2116"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兖矿能源</w:t>
            </w:r>
          </w:p>
        </w:tc>
        <w:tc>
          <w:tcPr>
            <w:tcW w:w="2278" w:type="dxa"/>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01171</w:t>
            </w:r>
          </w:p>
        </w:tc>
      </w:tr>
    </w:tbl>
    <w:p>
      <w:pPr>
        <w:rPr>
          <w:rFonts w:ascii="宋体" w:hAnsi="宋体"/>
          <w:color w:val="0070C0"/>
        </w:rPr>
      </w:pPr>
    </w:p>
    <w:p>
      <w:pPr>
        <w:rPr>
          <w:rFonts w:ascii="宋体" w:hAnsi="宋体"/>
          <w:color w:val="0070C0"/>
        </w:rPr>
      </w:pPr>
    </w:p>
    <w:p>
      <w:pPr>
        <w:rPr>
          <w:rFonts w:ascii="宋体" w:hAnsi="宋体"/>
          <w:color w:val="0070C0"/>
        </w:rPr>
      </w:pPr>
    </w:p>
    <w:p>
      <w:pPr>
        <w:pStyle w:val="2"/>
        <w:numPr>
          <w:ilvl w:val="1"/>
          <w:numId w:val="11"/>
        </w:numPr>
        <w:ind w:left="498" w:hangingChars="236" w:hanging="498"/>
        <w:rPr>
          <w:rFonts w:ascii="宋体" w:hAnsi="宋体"/>
          <w:u w:val="single"/>
        </w:rPr>
      </w:pPr>
      <w:r>
        <w:rPr>
          <w:rFonts w:ascii="宋体" w:hAnsi="宋体" w:hint="eastAsia"/>
        </w:rPr>
        <w:t>其他相关资料</w:t>
      </w:r>
    </w:p>
    <w:tbl>
      <w:tblPr>
        <w:tblStyle w:val="aff4"/>
        <w:tblW w:w="9351" w:type="dxa"/>
        <w:jc w:val="center"/>
        <w:tblLayout w:type="fixed"/>
        <w:tblLook w:val="04A0" w:firstRow="1" w:lastRow="0" w:firstColumn="1" w:lastColumn="0" w:noHBand="0" w:noVBand="1"/>
      </w:tblPr>
      <w:tblGrid>
        <w:gridCol w:w="2991"/>
        <w:gridCol w:w="1793"/>
        <w:gridCol w:w="4567"/>
      </w:tblGrid>
      <w:tr>
        <w:trPr>
          <w:trHeight w:val="132"/>
          <w:jc w:val="center"/>
        </w:trPr>
        <w:sdt>
          <w:sdtPr>
            <w:rPr>
              <w:rFonts w:ascii="宋体" w:hAnsi="宋体"/>
            </w:rPr>
            <w:tag w:val="_PLD_e6bf57c678134e2ab9f21f313ee3de3c"/>
            <w:id w:val="-524402674"/>
          </w:sdtPr>
          <w:sdtContent>
            <w:tc>
              <w:tcPr>
                <w:tcW w:w="2991" w:type="dxa"/>
                <w:vMerge w:val="restart"/>
                <w:vAlign w:val="center"/>
              </w:tcPr>
              <w:p>
                <w:pPr>
                  <w:rPr>
                    <w:rFonts w:ascii="宋体" w:hAnsi="宋体"/>
                  </w:rPr>
                </w:pPr>
                <w:r>
                  <w:rPr>
                    <w:rFonts w:ascii="宋体" w:hAnsi="宋体" w:hint="eastAsia"/>
                  </w:rPr>
                  <w:t>公司聘请的会计师事务所</w:t>
                </w:r>
              </w:p>
              <w:p>
                <w:pPr>
                  <w:rPr>
                    <w:rFonts w:ascii="宋体" w:hAnsi="宋体"/>
                  </w:rPr>
                </w:pPr>
                <w:r>
                  <w:rPr>
                    <w:rFonts w:ascii="宋体" w:hAnsi="宋体" w:hint="eastAsia"/>
                  </w:rPr>
                  <w:t>（A股）</w:t>
                </w:r>
              </w:p>
            </w:tc>
          </w:sdtContent>
        </w:sdt>
        <w:sdt>
          <w:sdtPr>
            <w:rPr>
              <w:rFonts w:ascii="宋体" w:hAnsi="宋体"/>
            </w:rPr>
            <w:tag w:val="_PLD_8ca47cc04c324c599365d04f46dbfb0f"/>
            <w:id w:val="-1200704904"/>
          </w:sdtPr>
          <w:sdtContent>
            <w:tc>
              <w:tcPr>
                <w:tcW w:w="1793" w:type="dxa"/>
                <w:vAlign w:val="center"/>
              </w:tcPr>
              <w:p>
                <w:pPr>
                  <w:rPr>
                    <w:rFonts w:ascii="宋体" w:hAnsi="宋体"/>
                  </w:rPr>
                </w:pPr>
                <w:r>
                  <w:rPr>
                    <w:rFonts w:ascii="宋体" w:hAnsi="宋体" w:hint="eastAsia"/>
                  </w:rPr>
                  <w:t>名称</w:t>
                </w:r>
              </w:p>
            </w:tc>
          </w:sdtContent>
        </w:sdt>
        <w:sdt>
          <w:sdtPr>
            <w:rPr>
              <w:rFonts w:ascii="宋体" w:hAnsi="宋体" w:hint="eastAsia"/>
            </w:rPr>
            <w:alias w:val="公司聘请的境内会计师事务所明细-名称"/>
            <w:tag w:val="_GBC_5e101497eaf44ba79cb610647f4aa3d5"/>
            <w:id w:val="-62637974"/>
          </w:sdtPr>
          <w:sdtContent>
            <w:tc>
              <w:tcPr>
                <w:tcW w:w="4567" w:type="dxa"/>
                <w:vAlign w:val="center"/>
              </w:tcPr>
              <w:p>
                <w:pPr>
                  <w:rPr>
                    <w:rFonts w:ascii="宋体" w:hAnsi="宋体"/>
                  </w:rPr>
                </w:pPr>
                <w:r>
                  <w:rPr>
                    <w:rFonts w:ascii="宋体" w:hAnsi="宋体" w:hint="eastAsia"/>
                  </w:rPr>
                  <w:t>天职国际会计师事务所（特殊普通合伙）</w:t>
                </w:r>
                <w:r>
                  <w:rPr>
                    <w:rFonts w:ascii="宋体" w:hAnsi="宋体"/>
                  </w:rPr>
                  <w:t xml:space="preserve"> </w:t>
                </w:r>
              </w:p>
            </w:tc>
          </w:sdtContent>
        </w:sdt>
      </w:tr>
      <w:tr>
        <w:trPr>
          <w:trHeight w:val="90"/>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hint="eastAsia"/>
              </w:rPr>
              <w:t>办公地址</w:t>
            </w:r>
          </w:p>
        </w:tc>
        <w:tc>
          <w:tcPr>
            <w:tcW w:w="4567" w:type="dxa"/>
            <w:vAlign w:val="center"/>
          </w:tcPr>
          <w:p>
            <w:pPr>
              <w:rPr>
                <w:rFonts w:ascii="宋体" w:hAnsi="宋体"/>
              </w:rPr>
            </w:pPr>
            <w:r>
              <w:rPr>
                <w:rFonts w:ascii="宋体" w:hAnsi="宋体" w:hint="eastAsia"/>
              </w:rPr>
              <w:t>北京市海淀区车公庄西路</w:t>
            </w:r>
            <w:r>
              <w:rPr>
                <w:rFonts w:ascii="宋体" w:hAnsi="宋体"/>
              </w:rPr>
              <w:t>19</w:t>
            </w:r>
            <w:r>
              <w:rPr>
                <w:rFonts w:ascii="宋体" w:hAnsi="宋体" w:hint="eastAsia"/>
              </w:rPr>
              <w:t>号</w:t>
            </w:r>
            <w:r>
              <w:rPr>
                <w:rFonts w:ascii="宋体" w:hAnsi="宋体"/>
              </w:rPr>
              <w:t>68</w:t>
            </w:r>
            <w:r>
              <w:rPr>
                <w:rFonts w:ascii="宋体" w:hAnsi="宋体" w:hint="eastAsia"/>
              </w:rPr>
              <w:t>号楼</w:t>
            </w:r>
            <w:r>
              <w:rPr>
                <w:rFonts w:ascii="宋体" w:hAnsi="宋体"/>
              </w:rPr>
              <w:t>A-1</w:t>
            </w:r>
            <w:r>
              <w:rPr>
                <w:rFonts w:ascii="宋体" w:hAnsi="宋体" w:hint="eastAsia"/>
              </w:rPr>
              <w:t>和</w:t>
            </w:r>
            <w:r>
              <w:rPr>
                <w:rFonts w:ascii="宋体" w:hAnsi="宋体"/>
              </w:rPr>
              <w:t>A-5</w:t>
            </w:r>
            <w:r>
              <w:rPr>
                <w:rFonts w:ascii="宋体" w:hAnsi="宋体" w:hint="eastAsia"/>
              </w:rPr>
              <w:t>区域</w:t>
            </w:r>
          </w:p>
        </w:tc>
      </w:tr>
      <w:tr>
        <w:trPr>
          <w:trHeight w:val="210"/>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hint="eastAsia"/>
              </w:rPr>
              <w:t>签字会计师姓名</w:t>
            </w:r>
          </w:p>
        </w:tc>
        <w:tc>
          <w:tcPr>
            <w:tcW w:w="4567" w:type="dxa"/>
            <w:vAlign w:val="center"/>
          </w:tcPr>
          <w:p>
            <w:pPr>
              <w:rPr>
                <w:rFonts w:ascii="宋体" w:hAnsi="宋体"/>
              </w:rPr>
            </w:pPr>
            <w:r>
              <w:rPr>
                <w:rFonts w:ascii="宋体" w:hAnsi="宋体" w:hint="eastAsia"/>
              </w:rPr>
              <w:t>付志成、周春阳、王明坤</w:t>
            </w:r>
          </w:p>
        </w:tc>
      </w:tr>
      <w:tr>
        <w:trPr>
          <w:trHeight w:val="270"/>
          <w:jc w:val="center"/>
        </w:trPr>
        <w:tc>
          <w:tcPr>
            <w:tcW w:w="2991" w:type="dxa"/>
            <w:vMerge w:val="restart"/>
            <w:vAlign w:val="center"/>
          </w:tcPr>
          <w:p>
            <w:pPr>
              <w:rPr>
                <w:rFonts w:ascii="宋体" w:hAnsi="宋体"/>
              </w:rPr>
            </w:pPr>
            <w:r>
              <w:rPr>
                <w:rFonts w:ascii="宋体" w:hAnsi="宋体" w:hint="eastAsia"/>
              </w:rPr>
              <w:t>公司聘请的会计师事务所</w:t>
            </w:r>
          </w:p>
          <w:p>
            <w:pPr>
              <w:rPr>
                <w:rFonts w:ascii="宋体" w:hAnsi="宋体"/>
              </w:rPr>
            </w:pPr>
            <w:r>
              <w:rPr>
                <w:rFonts w:ascii="宋体" w:hAnsi="宋体" w:hint="eastAsia"/>
              </w:rPr>
              <w:t>（H股）</w:t>
            </w:r>
          </w:p>
        </w:tc>
        <w:tc>
          <w:tcPr>
            <w:tcW w:w="1793" w:type="dxa"/>
            <w:vAlign w:val="center"/>
          </w:tcPr>
          <w:p>
            <w:pPr>
              <w:rPr>
                <w:rFonts w:ascii="宋体" w:hAnsi="宋体"/>
              </w:rPr>
            </w:pPr>
            <w:r>
              <w:rPr>
                <w:rFonts w:ascii="宋体" w:hAnsi="宋体" w:hint="eastAsia"/>
              </w:rPr>
              <w:t>名称</w:t>
            </w:r>
          </w:p>
        </w:tc>
        <w:tc>
          <w:tcPr>
            <w:tcW w:w="4567" w:type="dxa"/>
            <w:vAlign w:val="center"/>
          </w:tcPr>
          <w:p>
            <w:pPr>
              <w:rPr>
                <w:rFonts w:ascii="宋体" w:hAnsi="宋体"/>
              </w:rPr>
            </w:pPr>
            <w:r>
              <w:rPr>
                <w:rFonts w:ascii="宋体" w:hAnsi="宋体" w:hint="eastAsia"/>
              </w:rPr>
              <w:t>天职香港会计师事务所有限公司</w:t>
            </w:r>
          </w:p>
        </w:tc>
      </w:tr>
      <w:tr>
        <w:trPr>
          <w:trHeight w:val="150"/>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hint="eastAsia"/>
              </w:rPr>
              <w:t>办公地址</w:t>
            </w:r>
          </w:p>
        </w:tc>
        <w:tc>
          <w:tcPr>
            <w:tcW w:w="4567" w:type="dxa"/>
            <w:vAlign w:val="center"/>
          </w:tcPr>
          <w:p>
            <w:pPr>
              <w:rPr>
                <w:rFonts w:ascii="宋体" w:hAnsi="宋体"/>
              </w:rPr>
            </w:pPr>
            <w:r>
              <w:rPr>
                <w:rFonts w:ascii="宋体" w:hAnsi="宋体" w:hint="eastAsia"/>
              </w:rPr>
              <w:t>香港鲗鱼涌英皇道</w:t>
            </w:r>
            <w:r>
              <w:rPr>
                <w:rFonts w:ascii="宋体" w:hAnsi="宋体"/>
              </w:rPr>
              <w:t>728</w:t>
            </w:r>
            <w:r>
              <w:rPr>
                <w:rFonts w:ascii="宋体" w:hAnsi="宋体" w:hint="eastAsia"/>
              </w:rPr>
              <w:t>号</w:t>
            </w:r>
            <w:r>
              <w:rPr>
                <w:rFonts w:ascii="宋体" w:hAnsi="宋体"/>
              </w:rPr>
              <w:t>8</w:t>
            </w:r>
            <w:r>
              <w:rPr>
                <w:rFonts w:ascii="宋体" w:hAnsi="宋体" w:hint="eastAsia"/>
              </w:rPr>
              <w:t>楼</w:t>
            </w:r>
          </w:p>
        </w:tc>
      </w:tr>
      <w:tr>
        <w:trPr>
          <w:trHeight w:val="147"/>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hint="eastAsia"/>
              </w:rPr>
              <w:t>签字会计师姓名</w:t>
            </w:r>
          </w:p>
        </w:tc>
        <w:tc>
          <w:tcPr>
            <w:tcW w:w="4567" w:type="dxa"/>
            <w:vAlign w:val="center"/>
          </w:tcPr>
          <w:p>
            <w:pPr>
              <w:rPr>
                <w:rFonts w:ascii="宋体" w:hAnsi="宋体"/>
              </w:rPr>
            </w:pPr>
            <w:r>
              <w:rPr>
                <w:rFonts w:ascii="宋体" w:hAnsi="宋体" w:hint="eastAsia"/>
              </w:rPr>
              <w:t>温永平</w:t>
            </w:r>
          </w:p>
        </w:tc>
      </w:tr>
      <w:tr>
        <w:trPr>
          <w:trHeight w:val="147"/>
          <w:jc w:val="center"/>
        </w:trPr>
        <w:tc>
          <w:tcPr>
            <w:tcW w:w="2991" w:type="dxa"/>
            <w:vMerge w:val="restart"/>
            <w:vAlign w:val="center"/>
          </w:tcPr>
          <w:p>
            <w:pPr>
              <w:rPr>
                <w:rFonts w:ascii="宋体" w:hAnsi="宋体"/>
              </w:rPr>
            </w:pPr>
            <w:r>
              <w:rPr>
                <w:rFonts w:ascii="宋体" w:hAnsi="宋体" w:hint="eastAsia"/>
              </w:rPr>
              <w:t>法律顾问（</w:t>
            </w:r>
            <w:r>
              <w:rPr>
                <w:rFonts w:ascii="宋体" w:hAnsi="宋体"/>
              </w:rPr>
              <w:t>A股）</w:t>
            </w:r>
          </w:p>
        </w:tc>
        <w:tc>
          <w:tcPr>
            <w:tcW w:w="1793" w:type="dxa"/>
            <w:vAlign w:val="center"/>
          </w:tcPr>
          <w:p>
            <w:pPr>
              <w:rPr>
                <w:rFonts w:ascii="宋体" w:hAnsi="宋体"/>
              </w:rPr>
            </w:pPr>
            <w:r>
              <w:rPr>
                <w:rFonts w:ascii="宋体" w:hAnsi="宋体" w:hint="eastAsia"/>
              </w:rPr>
              <w:t>名称</w:t>
            </w:r>
          </w:p>
        </w:tc>
        <w:tc>
          <w:tcPr>
            <w:tcW w:w="4567" w:type="dxa"/>
          </w:tcPr>
          <w:p>
            <w:pPr>
              <w:rPr>
                <w:rFonts w:ascii="宋体" w:hAnsi="宋体"/>
              </w:rPr>
            </w:pPr>
            <w:r>
              <w:rPr>
                <w:rFonts w:ascii="宋体" w:hAnsi="宋体" w:hint="eastAsia"/>
              </w:rPr>
              <w:t>北京市金杜律师事务所</w:t>
            </w:r>
          </w:p>
        </w:tc>
      </w:tr>
      <w:tr>
        <w:trPr>
          <w:trHeight w:val="147"/>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hint="eastAsia"/>
              </w:rPr>
              <w:t>办公地址</w:t>
            </w:r>
          </w:p>
        </w:tc>
        <w:tc>
          <w:tcPr>
            <w:tcW w:w="4567" w:type="dxa"/>
          </w:tcPr>
          <w:p>
            <w:pPr>
              <w:rPr>
                <w:rFonts w:ascii="宋体" w:hAnsi="宋体"/>
              </w:rPr>
            </w:pPr>
            <w:r>
              <w:rPr>
                <w:rFonts w:ascii="宋体" w:hAnsi="宋体" w:hint="eastAsia"/>
              </w:rPr>
              <w:t>北京市朝阳区东三环中路</w:t>
            </w:r>
            <w:r>
              <w:rPr>
                <w:rFonts w:ascii="宋体" w:hAnsi="宋体"/>
              </w:rPr>
              <w:t>1号1幢环球金融中心办公楼东楼17-18层</w:t>
            </w:r>
          </w:p>
        </w:tc>
      </w:tr>
      <w:tr>
        <w:trPr>
          <w:trHeight w:val="147"/>
          <w:jc w:val="center"/>
        </w:trPr>
        <w:tc>
          <w:tcPr>
            <w:tcW w:w="2991" w:type="dxa"/>
            <w:vMerge w:val="restart"/>
            <w:vAlign w:val="center"/>
          </w:tcPr>
          <w:p>
            <w:pPr>
              <w:rPr>
                <w:rFonts w:ascii="宋体" w:hAnsi="宋体"/>
              </w:rPr>
            </w:pPr>
            <w:r>
              <w:rPr>
                <w:rFonts w:ascii="宋体" w:hAnsi="宋体" w:hint="eastAsia"/>
              </w:rPr>
              <w:t>法律顾问（</w:t>
            </w:r>
            <w:r>
              <w:rPr>
                <w:rFonts w:ascii="宋体" w:hAnsi="宋体"/>
              </w:rPr>
              <w:t>H股）</w:t>
            </w:r>
          </w:p>
        </w:tc>
        <w:tc>
          <w:tcPr>
            <w:tcW w:w="1793" w:type="dxa"/>
            <w:vAlign w:val="center"/>
          </w:tcPr>
          <w:p>
            <w:pPr>
              <w:rPr>
                <w:rFonts w:ascii="宋体" w:hAnsi="宋体"/>
              </w:rPr>
            </w:pPr>
            <w:r>
              <w:rPr>
                <w:rFonts w:ascii="宋体" w:hAnsi="宋体" w:hint="eastAsia"/>
              </w:rPr>
              <w:t>名称</w:t>
            </w:r>
          </w:p>
        </w:tc>
        <w:tc>
          <w:tcPr>
            <w:tcW w:w="4567" w:type="dxa"/>
          </w:tcPr>
          <w:p>
            <w:pPr>
              <w:rPr>
                <w:rFonts w:ascii="宋体" w:hAnsi="宋体"/>
              </w:rPr>
            </w:pPr>
            <w:r>
              <w:rPr>
                <w:rFonts w:ascii="宋体" w:hAnsi="宋体" w:hint="eastAsia"/>
              </w:rPr>
              <w:t>贝克·麦坚时律师事务所</w:t>
            </w:r>
          </w:p>
        </w:tc>
      </w:tr>
      <w:tr>
        <w:trPr>
          <w:trHeight w:val="147"/>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hint="eastAsia"/>
              </w:rPr>
              <w:t>办公地址</w:t>
            </w:r>
          </w:p>
        </w:tc>
        <w:tc>
          <w:tcPr>
            <w:tcW w:w="4567" w:type="dxa"/>
          </w:tcPr>
          <w:p>
            <w:pPr>
              <w:rPr>
                <w:rFonts w:ascii="宋体" w:hAnsi="宋体"/>
              </w:rPr>
            </w:pPr>
            <w:r>
              <w:rPr>
                <w:rFonts w:ascii="宋体" w:hAnsi="宋体" w:hint="eastAsia"/>
              </w:rPr>
              <w:t>香港鲗鱼涌英皇道</w:t>
            </w:r>
            <w:r>
              <w:rPr>
                <w:rFonts w:ascii="宋体" w:hAnsi="宋体"/>
              </w:rPr>
              <w:t>979号太古坊一座14楼</w:t>
            </w:r>
          </w:p>
        </w:tc>
      </w:tr>
      <w:tr>
        <w:trPr>
          <w:trHeight w:val="147"/>
          <w:jc w:val="center"/>
        </w:trPr>
        <w:tc>
          <w:tcPr>
            <w:tcW w:w="2991" w:type="dxa"/>
            <w:vMerge w:val="restart"/>
            <w:vAlign w:val="center"/>
          </w:tcPr>
          <w:p>
            <w:pPr>
              <w:rPr>
                <w:rFonts w:ascii="宋体" w:hAnsi="宋体"/>
              </w:rPr>
            </w:pPr>
            <w:r>
              <w:rPr>
                <w:rFonts w:ascii="宋体" w:hAnsi="宋体" w:hint="eastAsia"/>
              </w:rPr>
              <w:t>上海股份过户登记处</w:t>
            </w:r>
          </w:p>
        </w:tc>
        <w:tc>
          <w:tcPr>
            <w:tcW w:w="1793" w:type="dxa"/>
            <w:vAlign w:val="center"/>
          </w:tcPr>
          <w:p>
            <w:pPr>
              <w:rPr>
                <w:rFonts w:ascii="宋体" w:hAnsi="宋体"/>
              </w:rPr>
            </w:pPr>
            <w:r>
              <w:rPr>
                <w:rFonts w:ascii="宋体" w:hAnsi="宋体"/>
              </w:rPr>
              <w:t>名称</w:t>
            </w:r>
          </w:p>
        </w:tc>
        <w:tc>
          <w:tcPr>
            <w:tcW w:w="4567" w:type="dxa"/>
          </w:tcPr>
          <w:p>
            <w:pPr>
              <w:rPr>
                <w:rFonts w:ascii="宋体" w:hAnsi="宋体"/>
              </w:rPr>
            </w:pPr>
            <w:r>
              <w:rPr>
                <w:rFonts w:ascii="宋体" w:hAnsi="宋体" w:hint="eastAsia"/>
              </w:rPr>
              <w:t>中国证券登记结算有限责任公司上海分公司</w:t>
            </w:r>
          </w:p>
        </w:tc>
      </w:tr>
      <w:tr>
        <w:trPr>
          <w:trHeight w:val="147"/>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rPr>
              <w:t>办公地址</w:t>
            </w:r>
          </w:p>
        </w:tc>
        <w:tc>
          <w:tcPr>
            <w:tcW w:w="4567" w:type="dxa"/>
          </w:tcPr>
          <w:p>
            <w:pPr>
              <w:rPr>
                <w:rFonts w:ascii="宋体" w:hAnsi="宋体"/>
              </w:rPr>
            </w:pPr>
            <w:r>
              <w:rPr>
                <w:rFonts w:ascii="宋体" w:hAnsi="宋体" w:hint="eastAsia"/>
              </w:rPr>
              <w:t>上海市浦东新区杨高南路</w:t>
            </w:r>
            <w:r>
              <w:rPr>
                <w:rFonts w:ascii="宋体" w:hAnsi="宋体"/>
              </w:rPr>
              <w:t>188号</w:t>
            </w:r>
          </w:p>
        </w:tc>
      </w:tr>
      <w:tr>
        <w:trPr>
          <w:trHeight w:val="147"/>
          <w:jc w:val="center"/>
        </w:trPr>
        <w:tc>
          <w:tcPr>
            <w:tcW w:w="2991" w:type="dxa"/>
            <w:vMerge w:val="restart"/>
            <w:vAlign w:val="center"/>
          </w:tcPr>
          <w:p>
            <w:pPr>
              <w:rPr>
                <w:rFonts w:ascii="宋体" w:hAnsi="宋体"/>
              </w:rPr>
            </w:pPr>
            <w:r>
              <w:rPr>
                <w:rFonts w:ascii="宋体" w:hAnsi="宋体" w:hint="eastAsia"/>
              </w:rPr>
              <w:t>香港过户登记处</w:t>
            </w:r>
          </w:p>
        </w:tc>
        <w:tc>
          <w:tcPr>
            <w:tcW w:w="1793" w:type="dxa"/>
            <w:vAlign w:val="center"/>
          </w:tcPr>
          <w:p>
            <w:pPr>
              <w:rPr>
                <w:rFonts w:ascii="宋体" w:hAnsi="宋体"/>
              </w:rPr>
            </w:pPr>
            <w:r>
              <w:rPr>
                <w:rFonts w:ascii="宋体" w:hAnsi="宋体"/>
              </w:rPr>
              <w:t>名称</w:t>
            </w:r>
          </w:p>
        </w:tc>
        <w:tc>
          <w:tcPr>
            <w:tcW w:w="4567" w:type="dxa"/>
          </w:tcPr>
          <w:p>
            <w:pPr>
              <w:rPr>
                <w:rFonts w:ascii="宋体" w:hAnsi="宋体"/>
              </w:rPr>
            </w:pPr>
            <w:r>
              <w:rPr>
                <w:rFonts w:ascii="宋体" w:hAnsi="宋体" w:hint="eastAsia"/>
              </w:rPr>
              <w:t>香港中央证券登记有限公司</w:t>
            </w:r>
          </w:p>
        </w:tc>
      </w:tr>
      <w:tr>
        <w:trPr>
          <w:trHeight w:val="147"/>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rPr>
              <w:t>办公地址</w:t>
            </w:r>
          </w:p>
        </w:tc>
        <w:tc>
          <w:tcPr>
            <w:tcW w:w="4567" w:type="dxa"/>
          </w:tcPr>
          <w:p>
            <w:pPr>
              <w:rPr>
                <w:rFonts w:ascii="宋体" w:hAnsi="宋体"/>
              </w:rPr>
            </w:pPr>
            <w:r>
              <w:rPr>
                <w:rFonts w:ascii="宋体" w:hAnsi="宋体" w:hint="eastAsia"/>
              </w:rPr>
              <w:t>香港湾仔皇后大道东</w:t>
            </w:r>
            <w:r>
              <w:rPr>
                <w:rFonts w:ascii="宋体" w:hAnsi="宋体"/>
              </w:rPr>
              <w:t>183号合和中心17楼1712至1716号铺</w:t>
            </w:r>
          </w:p>
        </w:tc>
      </w:tr>
      <w:tr>
        <w:trPr>
          <w:trHeight w:val="147"/>
          <w:jc w:val="center"/>
        </w:trPr>
        <w:tc>
          <w:tcPr>
            <w:tcW w:w="2991" w:type="dxa"/>
            <w:vMerge w:val="restart"/>
            <w:vAlign w:val="center"/>
          </w:tcPr>
          <w:p>
            <w:pPr>
              <w:rPr>
                <w:rFonts w:ascii="宋体" w:hAnsi="宋体"/>
              </w:rPr>
            </w:pPr>
            <w:r>
              <w:rPr>
                <w:rFonts w:ascii="宋体" w:hAnsi="宋体" w:hint="eastAsia"/>
              </w:rPr>
              <w:t>公司香港联络处</w:t>
            </w:r>
          </w:p>
        </w:tc>
        <w:tc>
          <w:tcPr>
            <w:tcW w:w="1793" w:type="dxa"/>
            <w:vAlign w:val="center"/>
          </w:tcPr>
          <w:p>
            <w:pPr>
              <w:rPr>
                <w:rFonts w:ascii="宋体" w:hAnsi="宋体"/>
              </w:rPr>
            </w:pPr>
            <w:r>
              <w:rPr>
                <w:rFonts w:ascii="宋体" w:hAnsi="宋体" w:hint="eastAsia"/>
              </w:rPr>
              <w:t>办公地址</w:t>
            </w:r>
          </w:p>
        </w:tc>
        <w:tc>
          <w:tcPr>
            <w:tcW w:w="4567" w:type="dxa"/>
          </w:tcPr>
          <w:p>
            <w:pPr>
              <w:rPr>
                <w:rFonts w:ascii="宋体" w:hAnsi="宋体"/>
              </w:rPr>
            </w:pPr>
            <w:r>
              <w:rPr>
                <w:rFonts w:ascii="宋体" w:hAnsi="宋体" w:hint="eastAsia"/>
              </w:rPr>
              <w:t>香港湾仔皇后大道东</w:t>
            </w:r>
            <w:r>
              <w:rPr>
                <w:rFonts w:ascii="宋体" w:hAnsi="宋体"/>
              </w:rPr>
              <w:t>248号大新金融中心40楼</w:t>
            </w:r>
          </w:p>
        </w:tc>
      </w:tr>
      <w:tr>
        <w:trPr>
          <w:trHeight w:val="147"/>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hint="eastAsia"/>
              </w:rPr>
              <w:t>联系人</w:t>
            </w:r>
          </w:p>
        </w:tc>
        <w:tc>
          <w:tcPr>
            <w:tcW w:w="4567" w:type="dxa"/>
          </w:tcPr>
          <w:p>
            <w:pPr>
              <w:rPr>
                <w:rFonts w:ascii="宋体" w:hAnsi="宋体"/>
              </w:rPr>
            </w:pPr>
            <w:r>
              <w:rPr>
                <w:rFonts w:ascii="宋体" w:hAnsi="宋体" w:hint="eastAsia"/>
              </w:rPr>
              <w:t>林庚墀</w:t>
            </w:r>
          </w:p>
        </w:tc>
      </w:tr>
      <w:tr>
        <w:trPr>
          <w:trHeight w:val="147"/>
          <w:jc w:val="center"/>
        </w:trPr>
        <w:tc>
          <w:tcPr>
            <w:tcW w:w="2991" w:type="dxa"/>
            <w:vMerge/>
            <w:vAlign w:val="center"/>
          </w:tcPr>
          <w:p>
            <w:pPr>
              <w:rPr>
                <w:rFonts w:ascii="宋体" w:hAnsi="宋体"/>
              </w:rPr>
            </w:pPr>
          </w:p>
        </w:tc>
        <w:tc>
          <w:tcPr>
            <w:tcW w:w="1793" w:type="dxa"/>
            <w:vAlign w:val="center"/>
          </w:tcPr>
          <w:p>
            <w:pPr>
              <w:rPr>
                <w:rFonts w:ascii="宋体" w:hAnsi="宋体"/>
              </w:rPr>
            </w:pPr>
            <w:r>
              <w:rPr>
                <w:rFonts w:ascii="宋体" w:hAnsi="宋体" w:hint="eastAsia"/>
              </w:rPr>
              <w:t>电话</w:t>
            </w:r>
          </w:p>
        </w:tc>
        <w:tc>
          <w:tcPr>
            <w:tcW w:w="4567" w:type="dxa"/>
          </w:tcPr>
          <w:p>
            <w:pPr>
              <w:rPr>
                <w:rFonts w:ascii="宋体" w:hAnsi="宋体"/>
              </w:rPr>
            </w:pPr>
            <w:r>
              <w:rPr>
                <w:rFonts w:ascii="宋体" w:hAnsi="宋体" w:hint="eastAsia"/>
              </w:rPr>
              <w:t>（</w:t>
            </w:r>
            <w:r>
              <w:rPr>
                <w:rFonts w:ascii="宋体" w:hAnsi="宋体"/>
              </w:rPr>
              <w:t>852）3912 0800</w:t>
            </w:r>
          </w:p>
        </w:tc>
      </w:tr>
      <w:tr>
        <w:trPr>
          <w:trHeight w:val="147"/>
          <w:jc w:val="center"/>
        </w:trPr>
        <w:tc>
          <w:tcPr>
            <w:tcW w:w="2991" w:type="dxa"/>
            <w:vMerge/>
          </w:tcPr>
          <w:p>
            <w:pPr>
              <w:rPr>
                <w:rFonts w:ascii="宋体" w:hAnsi="宋体"/>
              </w:rPr>
            </w:pPr>
          </w:p>
        </w:tc>
        <w:tc>
          <w:tcPr>
            <w:tcW w:w="1793" w:type="dxa"/>
            <w:vAlign w:val="center"/>
          </w:tcPr>
          <w:p>
            <w:pPr>
              <w:rPr>
                <w:rFonts w:ascii="宋体" w:hAnsi="宋体"/>
              </w:rPr>
            </w:pPr>
            <w:r>
              <w:rPr>
                <w:rFonts w:ascii="宋体" w:hAnsi="宋体" w:hint="eastAsia"/>
              </w:rPr>
              <w:t>传真</w:t>
            </w:r>
          </w:p>
        </w:tc>
        <w:tc>
          <w:tcPr>
            <w:tcW w:w="4567" w:type="dxa"/>
          </w:tcPr>
          <w:p>
            <w:pPr>
              <w:rPr>
                <w:rFonts w:ascii="宋体" w:hAnsi="宋体"/>
              </w:rPr>
            </w:pPr>
            <w:r>
              <w:rPr>
                <w:rFonts w:ascii="宋体" w:hAnsi="宋体" w:hint="eastAsia"/>
              </w:rPr>
              <w:t>（</w:t>
            </w:r>
            <w:r>
              <w:rPr>
                <w:rFonts w:ascii="宋体" w:hAnsi="宋体"/>
              </w:rPr>
              <w:t>852）3912 0801</w:t>
            </w:r>
          </w:p>
        </w:tc>
      </w:tr>
    </w:tbl>
    <w:p>
      <w:pPr>
        <w:pStyle w:val="Style49"/>
        <w:rPr>
          <w:rFonts w:ascii="宋体" w:hAnsi="宋体"/>
        </w:rPr>
      </w:pPr>
    </w:p>
    <w:p>
      <w:pPr>
        <w:pStyle w:val="2"/>
        <w:numPr>
          <w:ilvl w:val="1"/>
          <w:numId w:val="11"/>
        </w:numPr>
        <w:ind w:left="498" w:hangingChars="236" w:hanging="498"/>
        <w:rPr>
          <w:rFonts w:ascii="宋体" w:hAnsi="宋体"/>
          <w:u w:val="single"/>
        </w:rPr>
      </w:pPr>
      <w:bookmarkStart w:id="24" w:name="_Toc342056397"/>
      <w:bookmarkStart w:id="25" w:name="_Toc342565889"/>
      <w:r>
        <w:rPr>
          <w:rFonts w:ascii="宋体" w:hAnsi="宋体" w:hint="eastAsia"/>
        </w:rPr>
        <w:t>近三年主要会计数据和财务指标</w:t>
      </w:r>
      <w:bookmarkEnd w:id="24"/>
      <w:bookmarkEnd w:id="25"/>
    </w:p>
    <w:p>
      <w:pPr>
        <w:pStyle w:val="3"/>
        <w:numPr>
          <w:ilvl w:val="1"/>
          <w:numId w:val="12"/>
        </w:numPr>
        <w:rPr>
          <w:rFonts w:ascii="宋体" w:hAnsi="宋体"/>
          <w:szCs w:val="21"/>
        </w:rPr>
      </w:pPr>
      <w:r>
        <w:rPr>
          <w:rFonts w:ascii="宋体" w:hAnsi="宋体" w:hint="eastAsia"/>
          <w:szCs w:val="21"/>
        </w:rPr>
        <w:t xml:space="preserve">主要会计数据 </w:t>
      </w:r>
    </w:p>
    <w:p>
      <w:pPr>
        <w:jc w:val="right"/>
        <w:rPr>
          <w:rFonts w:ascii="宋体" w:hAnsi="宋体"/>
        </w:rPr>
      </w:pPr>
      <w:r>
        <w:rPr>
          <w:rFonts w:ascii="宋体" w:hAnsi="宋体" w:hint="eastAsia"/>
        </w:rPr>
        <w:t>单位：</w:t>
      </w:r>
      <w:sdt>
        <w:sdtPr>
          <w:rPr>
            <w:rFonts w:ascii="宋体" w:hAnsi="宋体" w:hint="eastAsia"/>
          </w:rPr>
          <w:alias w:val="单位：报告期末公司前三年主要会计数据和财务指标"/>
          <w:tag w:val="_GBC_831bf622af014dd988d7abf34a230ded"/>
          <w:id w:val="-19262589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千元</w:t>
          </w:r>
        </w:sdtContent>
      </w:sdt>
      <w:r>
        <w:rPr>
          <w:rFonts w:ascii="宋体" w:hAnsi="宋体" w:hint="eastAsia"/>
        </w:rPr>
        <w:t xml:space="preserve">  币种：</w:t>
      </w:r>
      <w:sdt>
        <w:sdtPr>
          <w:rPr>
            <w:rFonts w:ascii="宋体" w:hAnsi="宋体" w:hint="eastAsia"/>
          </w:rPr>
          <w:alias w:val="币种：报告期末公司前三年主要会计数据和财务指标"/>
          <w:tag w:val="_GBC_966177366f0d4256ae6aac54dd779761"/>
          <w:id w:val="13688744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Style63"/>
        <w:tblW w:w="1062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417"/>
        <w:gridCol w:w="1418"/>
        <w:gridCol w:w="1417"/>
        <w:gridCol w:w="1134"/>
        <w:gridCol w:w="1701"/>
        <w:gridCol w:w="1543"/>
      </w:tblGrid>
      <w:tr>
        <w:trPr>
          <w:trHeight w:val="409"/>
          <w:jc w:val="center"/>
        </w:trPr>
        <w:sdt>
          <w:sdtPr>
            <w:rPr>
              <w:rFonts w:ascii="宋体" w:hAnsi="宋体"/>
            </w:rPr>
            <w:tag w:val="_PLD_fff44820de414373a75fb70cbf2af0b0"/>
            <w:id w:val="-457024527"/>
          </w:sdtPr>
          <w:sdtContent>
            <w:tc>
              <w:tcPr>
                <w:tcW w:w="1991" w:type="dxa"/>
                <w:vMerge w:val="restart"/>
                <w:vAlign w:val="center"/>
              </w:tcPr>
              <w:p>
                <w:pPr>
                  <w:kinsoku w:val="0"/>
                  <w:overflowPunct w:val="0"/>
                  <w:autoSpaceDE w:val="0"/>
                  <w:autoSpaceDN w:val="0"/>
                  <w:adjustRightInd w:val="0"/>
                  <w:snapToGrid w:val="0"/>
                  <w:jc w:val="center"/>
                  <w:rPr>
                    <w:rFonts w:ascii="宋体" w:hAnsi="宋体"/>
                  </w:rPr>
                </w:pPr>
                <w:r>
                  <w:rPr>
                    <w:rFonts w:ascii="宋体" w:hAnsi="宋体" w:hint="eastAsia"/>
                  </w:rPr>
                  <w:t>主要会计数据</w:t>
                </w:r>
              </w:p>
            </w:tc>
          </w:sdtContent>
        </w:sdt>
        <w:sdt>
          <w:sdtPr>
            <w:rPr>
              <w:rFonts w:ascii="宋体" w:hAnsi="宋体"/>
            </w:rPr>
            <w:tag w:val="_PLD_5660e2f873534d9bb6df13aaf36f1007"/>
            <w:id w:val="-2116740739"/>
          </w:sdtPr>
          <w:sdtContent>
            <w:tc>
              <w:tcPr>
                <w:tcW w:w="1417" w:type="dxa"/>
                <w:vMerge w:val="restart"/>
                <w:vAlign w:val="center"/>
              </w:tcPr>
              <w:p>
                <w:pPr>
                  <w:kinsoku w:val="0"/>
                  <w:overflowPunct w:val="0"/>
                  <w:autoSpaceDE w:val="0"/>
                  <w:autoSpaceDN w:val="0"/>
                  <w:adjustRightInd w:val="0"/>
                  <w:snapToGrid w:val="0"/>
                  <w:jc w:val="center"/>
                  <w:rPr>
                    <w:rFonts w:ascii="宋体" w:hAnsi="宋体"/>
                  </w:rPr>
                </w:pPr>
                <w:r>
                  <w:rPr>
                    <w:rFonts w:ascii="宋体" w:hAnsi="宋体" w:hint="eastAsia"/>
                  </w:rPr>
                  <w:t>2025年</w:t>
                </w:r>
              </w:p>
            </w:tc>
          </w:sdtContent>
        </w:sdt>
        <w:sdt>
          <w:sdtPr>
            <w:rPr>
              <w:rFonts w:ascii="宋体" w:hAnsi="宋体"/>
            </w:rPr>
            <w:tag w:val="_PLD_35c8944b2ec84dd7a07dfbd2f24dab65"/>
            <w:id w:val="183947776"/>
          </w:sdtPr>
          <w:sdtContent>
            <w:tc>
              <w:tcPr>
                <w:tcW w:w="2835" w:type="dxa"/>
                <w:gridSpan w:val="2"/>
                <w:vAlign w:val="center"/>
              </w:tcPr>
              <w:p>
                <w:pPr>
                  <w:kinsoku w:val="0"/>
                  <w:overflowPunct w:val="0"/>
                  <w:autoSpaceDE w:val="0"/>
                  <w:autoSpaceDN w:val="0"/>
                  <w:adjustRightInd w:val="0"/>
                  <w:snapToGrid w:val="0"/>
                  <w:jc w:val="center"/>
                  <w:rPr>
                    <w:rFonts w:ascii="宋体" w:hAnsi="宋体"/>
                  </w:rPr>
                </w:pPr>
                <w:r>
                  <w:rPr>
                    <w:rFonts w:ascii="宋体" w:hAnsi="宋体" w:hint="eastAsia"/>
                  </w:rPr>
                  <w:t>2024年</w:t>
                </w:r>
              </w:p>
            </w:tc>
          </w:sdtContent>
        </w:sdt>
        <w:sdt>
          <w:sdtPr>
            <w:rPr>
              <w:rFonts w:ascii="宋体" w:hAnsi="宋体"/>
            </w:rPr>
            <w:tag w:val="_PLD_583df07a088a4940ae6cf5c51744af19"/>
            <w:id w:val="-1159063353"/>
          </w:sdtPr>
          <w:sdtContent>
            <w:tc>
              <w:tcPr>
                <w:tcW w:w="1134" w:type="dxa"/>
                <w:vMerge w:val="restart"/>
                <w:vAlign w:val="center"/>
              </w:tcPr>
              <w:p>
                <w:pPr>
                  <w:kinsoku w:val="0"/>
                  <w:overflowPunct w:val="0"/>
                  <w:autoSpaceDE w:val="0"/>
                  <w:autoSpaceDN w:val="0"/>
                  <w:adjustRightInd w:val="0"/>
                  <w:snapToGrid w:val="0"/>
                  <w:jc w:val="center"/>
                  <w:rPr>
                    <w:rFonts w:ascii="宋体" w:hAnsi="宋体"/>
                  </w:rPr>
                </w:pPr>
                <w:r>
                  <w:rPr>
                    <w:rFonts w:ascii="宋体" w:hAnsi="宋体" w:hint="eastAsia"/>
                  </w:rPr>
                  <w:t>本期比上年同期增减</w:t>
                </w:r>
                <w:r>
                  <w:rPr>
                    <w:rFonts w:ascii="宋体" w:hAnsi="宋体"/>
                  </w:rPr>
                  <w:t>(%)</w:t>
                </w:r>
              </w:p>
            </w:tc>
          </w:sdtContent>
        </w:sdt>
        <w:sdt>
          <w:sdtPr>
            <w:rPr>
              <w:rFonts w:ascii="宋体" w:hAnsi="宋体"/>
            </w:rPr>
            <w:tag w:val="_PLD_edf90a7d6f3a41d99bbbb81245a79f6d"/>
            <w:id w:val="-567887460"/>
          </w:sdtPr>
          <w:sdtContent>
            <w:tc>
              <w:tcPr>
                <w:tcW w:w="3244" w:type="dxa"/>
                <w:gridSpan w:val="2"/>
                <w:vAlign w:val="center"/>
              </w:tcPr>
              <w:p>
                <w:pPr>
                  <w:kinsoku w:val="0"/>
                  <w:overflowPunct w:val="0"/>
                  <w:autoSpaceDE w:val="0"/>
                  <w:autoSpaceDN w:val="0"/>
                  <w:adjustRightInd w:val="0"/>
                  <w:snapToGrid w:val="0"/>
                  <w:jc w:val="center"/>
                  <w:rPr>
                    <w:rFonts w:ascii="宋体" w:hAnsi="宋体"/>
                  </w:rPr>
                </w:pPr>
                <w:r>
                  <w:rPr>
                    <w:rFonts w:ascii="宋体" w:hAnsi="宋体" w:hint="eastAsia"/>
                  </w:rPr>
                  <w:t>2023年</w:t>
                </w:r>
              </w:p>
            </w:tc>
          </w:sdtContent>
        </w:sdt>
      </w:tr>
      <w:tr>
        <w:trPr>
          <w:trHeight w:val="285"/>
          <w:jc w:val="center"/>
        </w:trPr>
        <w:tc>
          <w:tcPr>
            <w:tcW w:w="1991" w:type="dxa"/>
            <w:vMerge/>
            <w:vAlign w:val="center"/>
          </w:tcPr>
          <w:p>
            <w:pPr>
              <w:kinsoku w:val="0"/>
              <w:overflowPunct w:val="0"/>
              <w:autoSpaceDE w:val="0"/>
              <w:autoSpaceDN w:val="0"/>
              <w:adjustRightInd w:val="0"/>
              <w:snapToGrid w:val="0"/>
              <w:jc w:val="center"/>
              <w:rPr>
                <w:rFonts w:ascii="宋体" w:hAnsi="宋体"/>
              </w:rPr>
            </w:pPr>
          </w:p>
        </w:tc>
        <w:tc>
          <w:tcPr>
            <w:tcW w:w="1417" w:type="dxa"/>
            <w:vMerge/>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b03487562c5a4780869d0645d00e4bbb"/>
            <w:id w:val="-327212237"/>
          </w:sdtPr>
          <w:sdtContent>
            <w:tc>
              <w:tcPr>
                <w:tcW w:w="1418" w:type="dxa"/>
                <w:vAlign w:val="center"/>
              </w:tcPr>
              <w:p>
                <w:pPr>
                  <w:kinsoku w:val="0"/>
                  <w:overflowPunct w:val="0"/>
                  <w:autoSpaceDE w:val="0"/>
                  <w:autoSpaceDN w:val="0"/>
                  <w:adjustRightInd w:val="0"/>
                  <w:snapToGrid w:val="0"/>
                  <w:jc w:val="center"/>
                  <w:rPr>
                    <w:rFonts w:ascii="宋体" w:hAnsi="宋体"/>
                  </w:rPr>
                </w:pPr>
                <w:r>
                  <w:rPr>
                    <w:rFonts w:ascii="宋体" w:hAnsi="宋体" w:hint="eastAsia"/>
                  </w:rPr>
                  <w:t>调整后</w:t>
                </w:r>
              </w:p>
            </w:tc>
          </w:sdtContent>
        </w:sdt>
        <w:sdt>
          <w:sdtPr>
            <w:rPr>
              <w:rFonts w:ascii="宋体" w:hAnsi="宋体"/>
            </w:rPr>
            <w:tag w:val="_PLD_d0d8cd2f11004c2e9d9e3e62579bd79d"/>
            <w:id w:val="-1388333182"/>
          </w:sdtPr>
          <w:sdtContent>
            <w:tc>
              <w:tcPr>
                <w:tcW w:w="1417" w:type="dxa"/>
                <w:vAlign w:val="center"/>
              </w:tcPr>
              <w:p>
                <w:pPr>
                  <w:kinsoku w:val="0"/>
                  <w:overflowPunct w:val="0"/>
                  <w:autoSpaceDE w:val="0"/>
                  <w:autoSpaceDN w:val="0"/>
                  <w:adjustRightInd w:val="0"/>
                  <w:snapToGrid w:val="0"/>
                  <w:jc w:val="center"/>
                  <w:rPr>
                    <w:rFonts w:ascii="宋体" w:hAnsi="宋体"/>
                  </w:rPr>
                </w:pPr>
                <w:r>
                  <w:rPr>
                    <w:rFonts w:ascii="宋体" w:hAnsi="宋体" w:hint="eastAsia"/>
                  </w:rPr>
                  <w:t>调整前</w:t>
                </w:r>
              </w:p>
            </w:tc>
          </w:sdtContent>
        </w:sdt>
        <w:tc>
          <w:tcPr>
            <w:tcW w:w="1134" w:type="dxa"/>
            <w:vMerge/>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dce37bb9485d446f92500166831b0f20"/>
            <w:id w:val="1349222423"/>
          </w:sdtPr>
          <w:sdtContent>
            <w:tc>
              <w:tcPr>
                <w:tcW w:w="1701" w:type="dxa"/>
                <w:vAlign w:val="center"/>
              </w:tcPr>
              <w:p>
                <w:pPr>
                  <w:kinsoku w:val="0"/>
                  <w:overflowPunct w:val="0"/>
                  <w:autoSpaceDE w:val="0"/>
                  <w:autoSpaceDN w:val="0"/>
                  <w:adjustRightInd w:val="0"/>
                  <w:snapToGrid w:val="0"/>
                  <w:jc w:val="center"/>
                  <w:rPr>
                    <w:rFonts w:ascii="宋体" w:hAnsi="宋体"/>
                  </w:rPr>
                </w:pPr>
                <w:r>
                  <w:rPr>
                    <w:rFonts w:ascii="宋体" w:hAnsi="宋体" w:hint="eastAsia"/>
                  </w:rPr>
                  <w:t>调整后</w:t>
                </w:r>
              </w:p>
            </w:tc>
          </w:sdtContent>
        </w:sdt>
        <w:sdt>
          <w:sdtPr>
            <w:rPr>
              <w:rFonts w:ascii="宋体" w:hAnsi="宋体"/>
            </w:rPr>
            <w:tag w:val="_PLD_ab84bbd7163a4789942bff3e5bb6438a"/>
            <w:id w:val="1351373928"/>
          </w:sdtPr>
          <w:sdtContent>
            <w:tc>
              <w:tcPr>
                <w:tcW w:w="1543" w:type="dxa"/>
                <w:vAlign w:val="center"/>
              </w:tcPr>
              <w:p>
                <w:pPr>
                  <w:kinsoku w:val="0"/>
                  <w:overflowPunct w:val="0"/>
                  <w:autoSpaceDE w:val="0"/>
                  <w:autoSpaceDN w:val="0"/>
                  <w:adjustRightInd w:val="0"/>
                  <w:snapToGrid w:val="0"/>
                  <w:jc w:val="center"/>
                  <w:rPr>
                    <w:rFonts w:ascii="宋体" w:hAnsi="宋体"/>
                  </w:rPr>
                </w:pPr>
                <w:r>
                  <w:rPr>
                    <w:rFonts w:ascii="宋体" w:hAnsi="宋体" w:hint="eastAsia"/>
                  </w:rPr>
                  <w:t>调整前</w:t>
                </w:r>
              </w:p>
            </w:tc>
          </w:sdtContent>
        </w:sdt>
      </w:tr>
      <w:tr>
        <w:trPr>
          <w:trHeight w:val="285"/>
          <w:jc w:val="center"/>
        </w:trPr>
        <w:tc>
          <w:tcPr>
            <w:tcW w:w="1991" w:type="dxa"/>
            <w:vAlign w:val="center"/>
          </w:tcPr>
          <w:p>
            <w:pPr>
              <w:kinsoku w:val="0"/>
              <w:overflowPunct w:val="0"/>
              <w:autoSpaceDE w:val="0"/>
              <w:autoSpaceDN w:val="0"/>
              <w:adjustRightInd w:val="0"/>
              <w:snapToGrid w:val="0"/>
              <w:rPr>
                <w:rFonts w:ascii="宋体" w:hAnsi="宋体"/>
              </w:rPr>
            </w:pPr>
            <w:r>
              <w:rPr>
                <w:rFonts w:ascii="宋体" w:hAnsi="宋体" w:hint="eastAsia"/>
              </w:rPr>
              <w:t>营业收入</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144,932,859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156,672,148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139,124,434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-7.49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165,998,036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150,067,937 </w:t>
            </w:r>
          </w:p>
        </w:tc>
      </w:tr>
      <w:tr>
        <w:trPr>
          <w:trHeight w:val="285"/>
          <w:jc w:val="center"/>
        </w:trPr>
        <w:tc>
          <w:tcPr>
            <w:tcW w:w="1991" w:type="dxa"/>
            <w:vAlign w:val="center"/>
          </w:tcPr>
          <w:p>
            <w:pPr>
              <w:kinsoku w:val="0"/>
              <w:overflowPunct w:val="0"/>
              <w:autoSpaceDE w:val="0"/>
              <w:autoSpaceDN w:val="0"/>
              <w:adjustRightInd w:val="0"/>
              <w:snapToGrid w:val="0"/>
              <w:rPr>
                <w:rFonts w:ascii="宋体" w:hAnsi="宋体"/>
              </w:rPr>
            </w:pPr>
            <w:r>
              <w:rPr>
                <w:rFonts w:ascii="宋体" w:hAnsi="宋体" w:hint="eastAsia"/>
              </w:rPr>
              <w:t>利润总额</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18,425,048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28,826,542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27,291,778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-36.08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40,293,921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37,013,085 </w:t>
            </w:r>
          </w:p>
        </w:tc>
      </w:tr>
      <w:tr>
        <w:trPr>
          <w:trHeight w:val="285"/>
          <w:jc w:val="center"/>
        </w:trPr>
        <w:tc>
          <w:tcPr>
            <w:tcW w:w="1991" w:type="dxa"/>
            <w:vAlign w:val="center"/>
          </w:tcPr>
          <w:p>
            <w:pPr>
              <w:kinsoku w:val="0"/>
              <w:overflowPunct w:val="0"/>
              <w:autoSpaceDE w:val="0"/>
              <w:autoSpaceDN w:val="0"/>
              <w:adjustRightInd w:val="0"/>
              <w:snapToGrid w:val="0"/>
              <w:rPr>
                <w:rFonts w:ascii="宋体" w:hAnsi="宋体"/>
              </w:rPr>
            </w:pPr>
            <w:r>
              <w:rPr>
                <w:rFonts w:ascii="宋体" w:hAnsi="宋体" w:hint="eastAsia"/>
              </w:rPr>
              <w:t>归属于上市公司股东的净利润</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8,380,948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14,862,943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14,425,051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-43.61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20,871,464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20,143,947 </w:t>
            </w:r>
          </w:p>
        </w:tc>
      </w:tr>
      <w:tr>
        <w:trPr>
          <w:trHeight w:val="285"/>
          <w:jc w:val="center"/>
        </w:trPr>
        <w:tc>
          <w:tcPr>
            <w:tcW w:w="1991" w:type="dxa"/>
            <w:vAlign w:val="center"/>
          </w:tcPr>
          <w:p>
            <w:pPr>
              <w:kinsoku w:val="0"/>
              <w:overflowPunct w:val="0"/>
              <w:autoSpaceDE w:val="0"/>
              <w:autoSpaceDN w:val="0"/>
              <w:adjustRightInd w:val="0"/>
              <w:snapToGrid w:val="0"/>
              <w:rPr>
                <w:rFonts w:ascii="宋体" w:hAnsi="宋体"/>
              </w:rPr>
            </w:pPr>
            <w:r>
              <w:rPr>
                <w:rFonts w:ascii="宋体" w:hAnsi="宋体" w:hint="eastAsia"/>
              </w:rPr>
              <w:t>归属于上市公司股东的扣除非经常性损益的净利润</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7,398,989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13,890,617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13,890,617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-46.73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18,590,947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18,590,947 </w:t>
            </w:r>
          </w:p>
        </w:tc>
      </w:tr>
      <w:tr>
        <w:trPr>
          <w:trHeight w:val="285"/>
          <w:jc w:val="center"/>
        </w:trPr>
        <w:tc>
          <w:tcPr>
            <w:tcW w:w="1991" w:type="dxa"/>
            <w:vAlign w:val="center"/>
          </w:tcPr>
          <w:p>
            <w:pPr>
              <w:kinsoku w:val="0"/>
              <w:overflowPunct w:val="0"/>
              <w:autoSpaceDE w:val="0"/>
              <w:autoSpaceDN w:val="0"/>
              <w:adjustRightInd w:val="0"/>
              <w:snapToGrid w:val="0"/>
              <w:rPr>
                <w:rFonts w:ascii="宋体" w:hAnsi="宋体"/>
                <w:highlight w:val="magenta"/>
              </w:rPr>
            </w:pPr>
            <w:r>
              <w:rPr>
                <w:rFonts w:ascii="宋体" w:hAnsi="宋体" w:hint="eastAsia"/>
              </w:rPr>
              <w:t>经营活动产生的现金流量净额</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19,484,794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25,852,012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22,341,926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-24.63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23,328,379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16,158,634 </w:t>
            </w:r>
          </w:p>
        </w:tc>
      </w:tr>
      <w:tr>
        <w:trPr>
          <w:trHeight w:val="481"/>
          <w:jc w:val="center"/>
        </w:trPr>
        <w:tc>
          <w:tcPr>
            <w:tcW w:w="1991" w:type="dxa"/>
            <w:vMerge w:val="restart"/>
            <w:tcBorders>
              <w:bottom w:val="single" w:sz="4" w:space="0" w:color="auto"/>
            </w:tcBorders>
            <w:vAlign w:val="center"/>
          </w:tcPr>
          <w:p>
            <w:pPr>
              <w:kinsoku w:val="0"/>
              <w:overflowPunct w:val="0"/>
              <w:autoSpaceDE w:val="0"/>
              <w:autoSpaceDN w:val="0"/>
              <w:adjustRightInd w:val="0"/>
              <w:snapToGrid w:val="0"/>
              <w:rPr>
                <w:rFonts w:ascii="宋体" w:hAnsi="宋体"/>
              </w:rPr>
            </w:pPr>
          </w:p>
        </w:tc>
        <w:sdt>
          <w:sdtPr>
            <w:rPr>
              <w:rFonts w:ascii="宋体" w:hAnsi="宋体"/>
            </w:rPr>
            <w:tag w:val="_PLD_0d88b20780884c8f8b0a1f55e5d31f2e"/>
            <w:id w:val="1636835668"/>
          </w:sdtPr>
          <w:sdtContent>
            <w:tc>
              <w:tcPr>
                <w:tcW w:w="1417" w:type="dxa"/>
                <w:vMerge w:val="restart"/>
                <w:tcBorders>
                  <w:bottom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2025年</w:t>
                </w:r>
                <w:r>
                  <w:rPr>
                    <w:rFonts w:ascii="宋体" w:hAnsi="宋体"/>
                  </w:rPr>
                  <w:t>末</w:t>
                </w:r>
              </w:p>
            </w:tc>
          </w:sdtContent>
        </w:sdt>
        <w:sdt>
          <w:sdtPr>
            <w:rPr>
              <w:rFonts w:ascii="宋体" w:hAnsi="宋体"/>
            </w:rPr>
            <w:tag w:val="_PLD_1be51f12ae48471fa42c1f0a53451b67"/>
            <w:id w:val="-458723096"/>
          </w:sdtPr>
          <w:sdtContent>
            <w:tc>
              <w:tcPr>
                <w:tcW w:w="2835" w:type="dxa"/>
                <w:gridSpan w:val="2"/>
                <w:tcBorders>
                  <w:bottom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2024年末</w:t>
                </w:r>
              </w:p>
            </w:tc>
          </w:sdtContent>
        </w:sdt>
        <w:sdt>
          <w:sdtPr>
            <w:rPr>
              <w:rFonts w:ascii="宋体" w:hAnsi="宋体"/>
            </w:rPr>
            <w:tag w:val="_PLD_cae4a49474404cfba06bdf34c04fcba6"/>
            <w:id w:val="-608347072"/>
          </w:sdtPr>
          <w:sdtContent>
            <w:tc>
              <w:tcPr>
                <w:tcW w:w="1134" w:type="dxa"/>
                <w:vMerge w:val="restart"/>
                <w:tcBorders>
                  <w:bottom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rPr>
                  <w:t>本期末比上年同期末增减</w:t>
                </w:r>
              </w:p>
              <w:p>
                <w:pPr>
                  <w:kinsoku w:val="0"/>
                  <w:overflowPunct w:val="0"/>
                  <w:autoSpaceDE w:val="0"/>
                  <w:autoSpaceDN w:val="0"/>
                  <w:adjustRightInd w:val="0"/>
                  <w:snapToGrid w:val="0"/>
                  <w:jc w:val="center"/>
                  <w:rPr>
                    <w:rFonts w:ascii="宋体" w:hAnsi="宋体"/>
                  </w:rPr>
                </w:pPr>
                <w:r>
                  <w:rPr>
                    <w:rFonts w:ascii="宋体" w:hAnsi="宋体"/>
                  </w:rPr>
                  <w:t>（</w:t>
                </w:r>
                <w:r>
                  <w:rPr>
                    <w:rFonts w:ascii="宋体" w:hAnsi="宋体" w:hint="eastAsia"/>
                  </w:rPr>
                  <w:t>%</w:t>
                </w:r>
                <w:r>
                  <w:rPr>
                    <w:rFonts w:ascii="宋体" w:hAnsi="宋体"/>
                  </w:rPr>
                  <w:t>）</w:t>
                </w:r>
              </w:p>
            </w:tc>
          </w:sdtContent>
        </w:sdt>
        <w:sdt>
          <w:sdtPr>
            <w:rPr>
              <w:rFonts w:ascii="宋体" w:hAnsi="宋体"/>
            </w:rPr>
            <w:tag w:val="_PLD_4285f5ab2f284667927910bc2a0fd13f"/>
            <w:id w:val="1730334262"/>
          </w:sdtPr>
          <w:sdtContent>
            <w:tc>
              <w:tcPr>
                <w:tcW w:w="3244" w:type="dxa"/>
                <w:gridSpan w:val="2"/>
                <w:tcBorders>
                  <w:bottom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2023年末</w:t>
                </w:r>
              </w:p>
            </w:tc>
          </w:sdtContent>
        </w:sdt>
      </w:tr>
      <w:tr>
        <w:trPr>
          <w:trHeight w:val="338"/>
          <w:jc w:val="center"/>
        </w:trPr>
        <w:tc>
          <w:tcPr>
            <w:tcW w:w="1991" w:type="dxa"/>
            <w:vMerge/>
            <w:tcBorders>
              <w:bottom w:val="single" w:sz="4" w:space="0" w:color="auto"/>
            </w:tcBorders>
            <w:vAlign w:val="center"/>
          </w:tcPr>
          <w:p>
            <w:pPr>
              <w:kinsoku w:val="0"/>
              <w:overflowPunct w:val="0"/>
              <w:autoSpaceDE w:val="0"/>
              <w:autoSpaceDN w:val="0"/>
              <w:adjustRightInd w:val="0"/>
              <w:snapToGrid w:val="0"/>
              <w:rPr>
                <w:rFonts w:ascii="宋体" w:hAnsi="宋体"/>
              </w:rPr>
            </w:pPr>
          </w:p>
        </w:tc>
        <w:tc>
          <w:tcPr>
            <w:tcW w:w="1417" w:type="dxa"/>
            <w:vMerge/>
            <w:tcBorders>
              <w:bottom w:val="single" w:sz="4" w:space="0" w:color="auto"/>
            </w:tcBorders>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07c2b8b4f1c943ac9e2f1b3bd6866a46"/>
            <w:id w:val="1646085277"/>
          </w:sdtPr>
          <w:sdtContent>
            <w:tc>
              <w:tcPr>
                <w:tcW w:w="1418" w:type="dxa"/>
                <w:tcBorders>
                  <w:bottom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调整后</w:t>
                </w:r>
              </w:p>
            </w:tc>
          </w:sdtContent>
        </w:sdt>
        <w:sdt>
          <w:sdtPr>
            <w:rPr>
              <w:rFonts w:ascii="宋体" w:hAnsi="宋体"/>
            </w:rPr>
            <w:tag w:val="_PLD_4dc48658027a438e92392fbe0be3c314"/>
            <w:id w:val="-1660763539"/>
          </w:sdtPr>
          <w:sdtContent>
            <w:tc>
              <w:tcPr>
                <w:tcW w:w="1417" w:type="dxa"/>
                <w:tcBorders>
                  <w:bottom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调整前</w:t>
                </w:r>
              </w:p>
            </w:tc>
          </w:sdtContent>
        </w:sdt>
        <w:tc>
          <w:tcPr>
            <w:tcW w:w="1134" w:type="dxa"/>
            <w:vMerge/>
            <w:tcBorders>
              <w:bottom w:val="single" w:sz="4" w:space="0" w:color="auto"/>
            </w:tcBorders>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5b052f7f26054fdab6999b7a61e0be4a"/>
            <w:id w:val="813762300"/>
          </w:sdtPr>
          <w:sdtContent>
            <w:tc>
              <w:tcPr>
                <w:tcW w:w="1701" w:type="dxa"/>
                <w:tcBorders>
                  <w:bottom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调整后</w:t>
                </w:r>
              </w:p>
            </w:tc>
          </w:sdtContent>
        </w:sdt>
        <w:sdt>
          <w:sdtPr>
            <w:rPr>
              <w:rFonts w:ascii="宋体" w:hAnsi="宋体"/>
            </w:rPr>
            <w:tag w:val="_PLD_bffd6c17c399445aa2fb60a7726c4774"/>
            <w:id w:val="1133838623"/>
          </w:sdtPr>
          <w:sdtContent>
            <w:tc>
              <w:tcPr>
                <w:tcW w:w="1543" w:type="dxa"/>
                <w:tcBorders>
                  <w:bottom w:val="single" w:sz="4" w:space="0" w:color="auto"/>
                </w:tcBorders>
                <w:vAlign w:val="center"/>
              </w:tcPr>
              <w:p>
                <w:pPr>
                  <w:kinsoku w:val="0"/>
                  <w:overflowPunct w:val="0"/>
                  <w:autoSpaceDE w:val="0"/>
                  <w:autoSpaceDN w:val="0"/>
                  <w:adjustRightInd w:val="0"/>
                  <w:snapToGrid w:val="0"/>
                  <w:jc w:val="center"/>
                  <w:rPr>
                    <w:rFonts w:ascii="宋体" w:hAnsi="宋体"/>
                  </w:rPr>
                </w:pPr>
                <w:r>
                  <w:rPr>
                    <w:rFonts w:ascii="宋体" w:hAnsi="宋体" w:hint="eastAsia"/>
                  </w:rPr>
                  <w:t>调整前</w:t>
                </w:r>
              </w:p>
            </w:tc>
          </w:sdtContent>
        </w:sdt>
      </w:tr>
      <w:tr>
        <w:trPr>
          <w:trHeight w:val="285"/>
          <w:jc w:val="center"/>
        </w:trPr>
        <w:tc>
          <w:tcPr>
            <w:tcW w:w="1991" w:type="dxa"/>
            <w:vAlign w:val="center"/>
          </w:tcPr>
          <w:p>
            <w:pPr>
              <w:kinsoku w:val="0"/>
              <w:overflowPunct w:val="0"/>
              <w:autoSpaceDE w:val="0"/>
              <w:autoSpaceDN w:val="0"/>
              <w:adjustRightInd w:val="0"/>
              <w:snapToGrid w:val="0"/>
              <w:rPr>
                <w:rFonts w:ascii="宋体" w:hAnsi="宋体"/>
              </w:rPr>
            </w:pPr>
            <w:r>
              <w:rPr>
                <w:rFonts w:ascii="宋体" w:hAnsi="宋体" w:hint="eastAsia"/>
              </w:rPr>
              <w:t>归属于上市公司股东的净资产</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100,480,292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87,872,209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82,594,456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14.35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77,612,321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72,827,965 </w:t>
            </w:r>
          </w:p>
        </w:tc>
      </w:tr>
      <w:tr>
        <w:trPr>
          <w:trHeight w:val="285"/>
          <w:jc w:val="center"/>
        </w:trPr>
        <w:tc>
          <w:tcPr>
            <w:tcW w:w="1991" w:type="dxa"/>
            <w:vAlign w:val="center"/>
          </w:tcPr>
          <w:p>
            <w:pPr>
              <w:kinsoku w:val="0"/>
              <w:overflowPunct w:val="0"/>
              <w:autoSpaceDE w:val="0"/>
              <w:autoSpaceDN w:val="0"/>
              <w:adjustRightInd w:val="0"/>
              <w:snapToGrid w:val="0"/>
              <w:rPr>
                <w:rFonts w:ascii="宋体" w:hAnsi="宋体"/>
              </w:rPr>
            </w:pPr>
            <w:r>
              <w:rPr>
                <w:rFonts w:ascii="宋体" w:hAnsi="宋体" w:hint="eastAsia"/>
              </w:rPr>
              <w:t>总资产</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452,944,273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411,903,306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358,554,471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9.96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396,829,252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354,464,336 </w:t>
            </w:r>
          </w:p>
        </w:tc>
      </w:tr>
      <w:tr>
        <w:trPr>
          <w:trHeight w:val="285"/>
          <w:jc w:val="center"/>
        </w:trPr>
        <w:tc>
          <w:tcPr>
            <w:tcW w:w="1991" w:type="dxa"/>
          </w:tcPr>
          <w:p>
            <w:pPr>
              <w:jc w:val="both"/>
              <w:rPr>
                <w:rFonts w:ascii="宋体" w:hAnsi="宋体"/>
              </w:rPr>
            </w:pPr>
            <w:r>
              <w:rPr>
                <w:rFonts w:ascii="宋体" w:hAnsi="宋体" w:hint="eastAsia"/>
              </w:rPr>
              <w:t>期末总股本</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10,037,481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10,039,860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10,039,860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-0.02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7,439,371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7,439,371 </w:t>
            </w:r>
          </w:p>
        </w:tc>
      </w:tr>
      <w:tr>
        <w:trPr>
          <w:trHeight w:val="285"/>
          <w:jc w:val="center"/>
        </w:trPr>
        <w:tc>
          <w:tcPr>
            <w:tcW w:w="1991" w:type="dxa"/>
          </w:tcPr>
          <w:p>
            <w:pPr>
              <w:jc w:val="both"/>
              <w:rPr>
                <w:rFonts w:ascii="宋体" w:hAnsi="宋体"/>
              </w:rPr>
            </w:pPr>
            <w:r>
              <w:rPr>
                <w:rFonts w:ascii="宋体" w:hAnsi="宋体" w:hint="eastAsia"/>
              </w:rPr>
              <w:lastRenderedPageBreak/>
              <w:t>负债总额</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281,847,440 </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262,282,454 </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225,544,212 </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7.46 </w:t>
            </w:r>
          </w:p>
        </w:tc>
        <w:tc>
          <w:tcPr>
            <w:tcW w:w="1701"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265,383,131 </w:t>
            </w:r>
          </w:p>
        </w:tc>
        <w:tc>
          <w:tcPr>
            <w:tcW w:w="154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235,981,726 </w:t>
            </w:r>
          </w:p>
        </w:tc>
      </w:tr>
    </w:tbl>
    <w:p>
      <w:pPr>
        <w:kinsoku w:val="0"/>
        <w:overflowPunct w:val="0"/>
        <w:autoSpaceDE w:val="0"/>
        <w:autoSpaceDN w:val="0"/>
        <w:adjustRightInd w:val="0"/>
        <w:snapToGrid w:val="0"/>
        <w:rPr>
          <w:rFonts w:ascii="宋体" w:hAnsi="宋体"/>
        </w:rPr>
      </w:pPr>
      <w:bookmarkStart w:id="26" w:name="_Hlk61879983"/>
      <w:bookmarkStart w:id="27" w:name="_Hlk61879976"/>
      <w:bookmarkEnd w:id="26"/>
      <w:bookmarkEnd w:id="27"/>
    </w:p>
    <w:p>
      <w:pPr>
        <w:pStyle w:val="3"/>
        <w:numPr>
          <w:ilvl w:val="1"/>
          <w:numId w:val="12"/>
        </w:numPr>
        <w:rPr>
          <w:rFonts w:ascii="宋体" w:hAnsi="宋体"/>
          <w:szCs w:val="21"/>
        </w:rPr>
      </w:pPr>
      <w:bookmarkStart w:id="28" w:name="_Hlk61879994"/>
      <w:bookmarkEnd w:id="28"/>
      <w:r>
        <w:rPr>
          <w:rFonts w:ascii="宋体" w:hAnsi="宋体" w:hint="eastAsia"/>
          <w:szCs w:val="21"/>
        </w:rPr>
        <w:t>主要财务指标</w:t>
      </w:r>
    </w:p>
    <w:tbl>
      <w:tblPr>
        <w:tblStyle w:val="Style63"/>
        <w:tblW w:w="93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5"/>
        <w:gridCol w:w="1350"/>
        <w:gridCol w:w="993"/>
        <w:gridCol w:w="986"/>
        <w:gridCol w:w="1299"/>
        <w:gridCol w:w="993"/>
        <w:gridCol w:w="959"/>
      </w:tblGrid>
      <w:tr>
        <w:trPr>
          <w:trHeight w:val="446"/>
        </w:trPr>
        <w:sdt>
          <w:sdtPr>
            <w:rPr>
              <w:rFonts w:ascii="宋体" w:hAnsi="宋体"/>
            </w:rPr>
            <w:tag w:val="_PLD_93f58c7dfa334f7b9687d4b507301315"/>
            <w:id w:val="1073320970"/>
          </w:sdtPr>
          <w:sdtContent>
            <w:tc>
              <w:tcPr>
                <w:tcW w:w="2755" w:type="dxa"/>
                <w:vMerge w:val="restart"/>
                <w:vAlign w:val="center"/>
              </w:tcPr>
              <w:p>
                <w:pPr>
                  <w:kinsoku w:val="0"/>
                  <w:overflowPunct w:val="0"/>
                  <w:autoSpaceDE w:val="0"/>
                  <w:autoSpaceDN w:val="0"/>
                  <w:adjustRightInd w:val="0"/>
                  <w:snapToGrid w:val="0"/>
                  <w:jc w:val="center"/>
                  <w:rPr>
                    <w:rFonts w:ascii="宋体" w:hAnsi="宋体"/>
                  </w:rPr>
                </w:pPr>
                <w:r>
                  <w:rPr>
                    <w:rFonts w:ascii="宋体" w:hAnsi="宋体"/>
                  </w:rPr>
                  <w:t>主要财务指标</w:t>
                </w:r>
              </w:p>
            </w:tc>
          </w:sdtContent>
        </w:sdt>
        <w:sdt>
          <w:sdtPr>
            <w:rPr>
              <w:rFonts w:ascii="宋体" w:hAnsi="宋体"/>
            </w:rPr>
            <w:tag w:val="_PLD_3659f4cd15124b45a2a65613b16939e4"/>
            <w:id w:val="-1238634051"/>
          </w:sdtPr>
          <w:sdtContent>
            <w:tc>
              <w:tcPr>
                <w:tcW w:w="1350" w:type="dxa"/>
                <w:vMerge w:val="restart"/>
                <w:vAlign w:val="center"/>
              </w:tcPr>
              <w:p>
                <w:pPr>
                  <w:kinsoku w:val="0"/>
                  <w:overflowPunct w:val="0"/>
                  <w:autoSpaceDE w:val="0"/>
                  <w:autoSpaceDN w:val="0"/>
                  <w:adjustRightInd w:val="0"/>
                  <w:snapToGrid w:val="0"/>
                  <w:jc w:val="center"/>
                  <w:rPr>
                    <w:rFonts w:ascii="宋体" w:hAnsi="宋体"/>
                  </w:rPr>
                </w:pPr>
                <w:r>
                  <w:rPr>
                    <w:rFonts w:ascii="宋体" w:hAnsi="宋体" w:hint="eastAsia"/>
                  </w:rPr>
                  <w:t>2025年</w:t>
                </w:r>
              </w:p>
            </w:tc>
          </w:sdtContent>
        </w:sdt>
        <w:sdt>
          <w:sdtPr>
            <w:rPr>
              <w:rFonts w:ascii="宋体" w:hAnsi="宋体"/>
            </w:rPr>
            <w:tag w:val="_PLD_dae9cb2d710c42bbaa3b9e51a4a464c6"/>
            <w:id w:val="1006861921"/>
          </w:sdtPr>
          <w:sdtContent>
            <w:tc>
              <w:tcPr>
                <w:tcW w:w="1979" w:type="dxa"/>
                <w:gridSpan w:val="2"/>
                <w:vAlign w:val="center"/>
              </w:tcPr>
              <w:p>
                <w:pPr>
                  <w:kinsoku w:val="0"/>
                  <w:overflowPunct w:val="0"/>
                  <w:autoSpaceDE w:val="0"/>
                  <w:autoSpaceDN w:val="0"/>
                  <w:adjustRightInd w:val="0"/>
                  <w:snapToGrid w:val="0"/>
                  <w:jc w:val="center"/>
                  <w:rPr>
                    <w:rFonts w:ascii="宋体" w:hAnsi="宋体"/>
                  </w:rPr>
                </w:pPr>
                <w:r>
                  <w:rPr>
                    <w:rFonts w:ascii="宋体" w:hAnsi="宋体" w:hint="eastAsia"/>
                  </w:rPr>
                  <w:t>2024年</w:t>
                </w:r>
              </w:p>
            </w:tc>
          </w:sdtContent>
        </w:sdt>
        <w:sdt>
          <w:sdtPr>
            <w:rPr>
              <w:rFonts w:ascii="宋体" w:hAnsi="宋体"/>
            </w:rPr>
            <w:tag w:val="_PLD_88e29c5ce4054138b5713d7b61f1c304"/>
            <w:id w:val="-1178277379"/>
          </w:sdtPr>
          <w:sdtContent>
            <w:tc>
              <w:tcPr>
                <w:tcW w:w="1299" w:type="dxa"/>
                <w:vMerge w:val="restart"/>
                <w:vAlign w:val="center"/>
              </w:tcPr>
              <w:p>
                <w:pPr>
                  <w:kinsoku w:val="0"/>
                  <w:overflowPunct w:val="0"/>
                  <w:autoSpaceDE w:val="0"/>
                  <w:autoSpaceDN w:val="0"/>
                  <w:adjustRightInd w:val="0"/>
                  <w:snapToGrid w:val="0"/>
                  <w:jc w:val="center"/>
                  <w:rPr>
                    <w:rFonts w:ascii="宋体" w:hAnsi="宋体"/>
                  </w:rPr>
                </w:pPr>
                <w:r>
                  <w:rPr>
                    <w:rFonts w:ascii="宋体" w:hAnsi="宋体"/>
                  </w:rPr>
                  <w:t>本期比上年同期增减(%)</w:t>
                </w:r>
              </w:p>
            </w:tc>
          </w:sdtContent>
        </w:sdt>
        <w:sdt>
          <w:sdtPr>
            <w:rPr>
              <w:rFonts w:ascii="宋体" w:hAnsi="宋体"/>
            </w:rPr>
            <w:tag w:val="_PLD_09e97eecc2c848c1ae919afa66c75157"/>
            <w:id w:val="-367301989"/>
          </w:sdtPr>
          <w:sdtContent>
            <w:tc>
              <w:tcPr>
                <w:tcW w:w="1952" w:type="dxa"/>
                <w:gridSpan w:val="2"/>
                <w:vAlign w:val="center"/>
              </w:tcPr>
              <w:p>
                <w:pPr>
                  <w:kinsoku w:val="0"/>
                  <w:overflowPunct w:val="0"/>
                  <w:autoSpaceDE w:val="0"/>
                  <w:autoSpaceDN w:val="0"/>
                  <w:adjustRightInd w:val="0"/>
                  <w:snapToGrid w:val="0"/>
                  <w:jc w:val="center"/>
                  <w:rPr>
                    <w:rFonts w:ascii="宋体" w:hAnsi="宋体"/>
                  </w:rPr>
                </w:pPr>
                <w:r>
                  <w:rPr>
                    <w:rFonts w:ascii="宋体" w:hAnsi="宋体" w:hint="eastAsia"/>
                  </w:rPr>
                  <w:t>2023年</w:t>
                </w:r>
              </w:p>
            </w:tc>
          </w:sdtContent>
        </w:sdt>
      </w:tr>
      <w:tr>
        <w:tc>
          <w:tcPr>
            <w:tcW w:w="2755" w:type="dxa"/>
            <w:vMerge/>
            <w:vAlign w:val="center"/>
          </w:tcPr>
          <w:p>
            <w:pPr>
              <w:kinsoku w:val="0"/>
              <w:overflowPunct w:val="0"/>
              <w:autoSpaceDE w:val="0"/>
              <w:autoSpaceDN w:val="0"/>
              <w:adjustRightInd w:val="0"/>
              <w:snapToGrid w:val="0"/>
              <w:jc w:val="center"/>
              <w:rPr>
                <w:rFonts w:ascii="宋体" w:hAnsi="宋体"/>
              </w:rPr>
            </w:pPr>
          </w:p>
        </w:tc>
        <w:tc>
          <w:tcPr>
            <w:tcW w:w="1350" w:type="dxa"/>
            <w:vMerge/>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efc67258aa8b417aaaa22e2605b69561"/>
            <w:id w:val="212474043"/>
          </w:sdtPr>
          <w:sdtContent>
            <w:tc>
              <w:tcPr>
                <w:tcW w:w="993" w:type="dxa"/>
                <w:vAlign w:val="center"/>
              </w:tcPr>
              <w:p>
                <w:pPr>
                  <w:kinsoku w:val="0"/>
                  <w:overflowPunct w:val="0"/>
                  <w:autoSpaceDE w:val="0"/>
                  <w:autoSpaceDN w:val="0"/>
                  <w:adjustRightInd w:val="0"/>
                  <w:snapToGrid w:val="0"/>
                  <w:jc w:val="center"/>
                  <w:rPr>
                    <w:rFonts w:ascii="宋体" w:hAnsi="宋体"/>
                  </w:rPr>
                </w:pPr>
                <w:r>
                  <w:rPr>
                    <w:rFonts w:ascii="宋体" w:hAnsi="宋体"/>
                  </w:rPr>
                  <w:t>调整后</w:t>
                </w:r>
              </w:p>
            </w:tc>
          </w:sdtContent>
        </w:sdt>
        <w:sdt>
          <w:sdtPr>
            <w:rPr>
              <w:rFonts w:ascii="宋体" w:hAnsi="宋体"/>
            </w:rPr>
            <w:tag w:val="_PLD_ed111ad35c7d40cb9525e1b94ec5fea6"/>
            <w:id w:val="-51389287"/>
          </w:sdtPr>
          <w:sdtContent>
            <w:tc>
              <w:tcPr>
                <w:tcW w:w="986" w:type="dxa"/>
                <w:vAlign w:val="center"/>
              </w:tcPr>
              <w:p>
                <w:pPr>
                  <w:kinsoku w:val="0"/>
                  <w:overflowPunct w:val="0"/>
                  <w:autoSpaceDE w:val="0"/>
                  <w:autoSpaceDN w:val="0"/>
                  <w:adjustRightInd w:val="0"/>
                  <w:snapToGrid w:val="0"/>
                  <w:jc w:val="center"/>
                  <w:rPr>
                    <w:rFonts w:ascii="宋体" w:hAnsi="宋体"/>
                  </w:rPr>
                </w:pPr>
                <w:r>
                  <w:rPr>
                    <w:rFonts w:ascii="宋体" w:hAnsi="宋体"/>
                  </w:rPr>
                  <w:t>调整</w:t>
                </w:r>
                <w:r>
                  <w:rPr>
                    <w:rFonts w:ascii="宋体" w:hAnsi="宋体" w:hint="eastAsia"/>
                  </w:rPr>
                  <w:t>前</w:t>
                </w:r>
              </w:p>
            </w:tc>
          </w:sdtContent>
        </w:sdt>
        <w:tc>
          <w:tcPr>
            <w:tcW w:w="1299" w:type="dxa"/>
            <w:vMerge/>
            <w:vAlign w:val="center"/>
          </w:tcPr>
          <w:p>
            <w:pPr>
              <w:kinsoku w:val="0"/>
              <w:overflowPunct w:val="0"/>
              <w:autoSpaceDE w:val="0"/>
              <w:autoSpaceDN w:val="0"/>
              <w:adjustRightInd w:val="0"/>
              <w:snapToGrid w:val="0"/>
              <w:jc w:val="center"/>
              <w:rPr>
                <w:rFonts w:ascii="宋体" w:hAnsi="宋体"/>
              </w:rPr>
            </w:pPr>
          </w:p>
        </w:tc>
        <w:sdt>
          <w:sdtPr>
            <w:rPr>
              <w:rFonts w:ascii="宋体" w:hAnsi="宋体"/>
            </w:rPr>
            <w:tag w:val="_PLD_6c02958175014771a1483688056fd1ed"/>
            <w:id w:val="1288784027"/>
          </w:sdtPr>
          <w:sdtContent>
            <w:tc>
              <w:tcPr>
                <w:tcW w:w="993" w:type="dxa"/>
                <w:vAlign w:val="center"/>
              </w:tcPr>
              <w:p>
                <w:pPr>
                  <w:kinsoku w:val="0"/>
                  <w:overflowPunct w:val="0"/>
                  <w:autoSpaceDE w:val="0"/>
                  <w:autoSpaceDN w:val="0"/>
                  <w:adjustRightInd w:val="0"/>
                  <w:snapToGrid w:val="0"/>
                  <w:jc w:val="center"/>
                  <w:rPr>
                    <w:rFonts w:ascii="宋体" w:hAnsi="宋体"/>
                  </w:rPr>
                </w:pPr>
                <w:r>
                  <w:rPr>
                    <w:rFonts w:ascii="宋体" w:hAnsi="宋体"/>
                  </w:rPr>
                  <w:t>调整后</w:t>
                </w:r>
              </w:p>
            </w:tc>
          </w:sdtContent>
        </w:sdt>
        <w:sdt>
          <w:sdtPr>
            <w:rPr>
              <w:rFonts w:ascii="宋体" w:hAnsi="宋体"/>
            </w:rPr>
            <w:tag w:val="_PLD_bd6188a801534444addb8f8b1d0607ab"/>
            <w:id w:val="-1252808540"/>
          </w:sdtPr>
          <w:sdtContent>
            <w:tc>
              <w:tcPr>
                <w:tcW w:w="959" w:type="dxa"/>
                <w:vAlign w:val="center"/>
              </w:tcPr>
              <w:p>
                <w:pPr>
                  <w:kinsoku w:val="0"/>
                  <w:overflowPunct w:val="0"/>
                  <w:autoSpaceDE w:val="0"/>
                  <w:autoSpaceDN w:val="0"/>
                  <w:adjustRightInd w:val="0"/>
                  <w:snapToGrid w:val="0"/>
                  <w:jc w:val="center"/>
                  <w:rPr>
                    <w:rFonts w:ascii="宋体" w:hAnsi="宋体"/>
                  </w:rPr>
                </w:pPr>
                <w:r>
                  <w:rPr>
                    <w:rFonts w:ascii="宋体" w:hAnsi="宋体"/>
                  </w:rPr>
                  <w:t>调整</w:t>
                </w:r>
                <w:r>
                  <w:rPr>
                    <w:rFonts w:ascii="宋体" w:hAnsi="宋体" w:hint="eastAsia"/>
                  </w:rPr>
                  <w:t>前</w:t>
                </w:r>
              </w:p>
            </w:tc>
          </w:sdtContent>
        </w:sdt>
      </w:tr>
      <w:tr>
        <w:tc>
          <w:tcPr>
            <w:tcW w:w="2755" w:type="dxa"/>
            <w:vAlign w:val="center"/>
          </w:tcPr>
          <w:p>
            <w:pPr>
              <w:kinsoku w:val="0"/>
              <w:overflowPunct w:val="0"/>
              <w:autoSpaceDE w:val="0"/>
              <w:autoSpaceDN w:val="0"/>
              <w:adjustRightInd w:val="0"/>
              <w:snapToGrid w:val="0"/>
              <w:rPr>
                <w:rFonts w:ascii="宋体" w:hAnsi="宋体"/>
              </w:rPr>
            </w:pPr>
            <w:r>
              <w:rPr>
                <w:rFonts w:ascii="宋体" w:hAnsi="宋体"/>
              </w:rPr>
              <w:t>基本每股收益（元／股）</w:t>
            </w:r>
          </w:p>
        </w:tc>
        <w:tc>
          <w:tcPr>
            <w:tcW w:w="1350"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0.84 </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1.50 </w:t>
            </w:r>
          </w:p>
        </w:tc>
        <w:tc>
          <w:tcPr>
            <w:tcW w:w="986"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1.46 </w:t>
            </w:r>
          </w:p>
        </w:tc>
        <w:tc>
          <w:tcPr>
            <w:tcW w:w="1299" w:type="dxa"/>
            <w:vAlign w:val="center"/>
          </w:tcPr>
          <w:p>
            <w:pPr>
              <w:jc w:val="right"/>
              <w:rPr>
                <w:rFonts w:ascii="宋体" w:hAnsi="宋体"/>
              </w:rPr>
            </w:pPr>
            <w:r>
              <w:rPr>
                <w:rFonts w:ascii="宋体" w:hAnsi="宋体"/>
              </w:rPr>
              <w:t xml:space="preserve">-44.14 </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2.19 </w:t>
            </w:r>
          </w:p>
        </w:tc>
        <w:tc>
          <w:tcPr>
            <w:tcW w:w="959"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2.11 </w:t>
            </w:r>
          </w:p>
        </w:tc>
      </w:tr>
      <w:tr>
        <w:tc>
          <w:tcPr>
            <w:tcW w:w="2755" w:type="dxa"/>
            <w:vAlign w:val="center"/>
          </w:tcPr>
          <w:p>
            <w:pPr>
              <w:kinsoku w:val="0"/>
              <w:overflowPunct w:val="0"/>
              <w:autoSpaceDE w:val="0"/>
              <w:autoSpaceDN w:val="0"/>
              <w:adjustRightInd w:val="0"/>
              <w:snapToGrid w:val="0"/>
              <w:rPr>
                <w:rFonts w:ascii="宋体" w:hAnsi="宋体"/>
              </w:rPr>
            </w:pPr>
            <w:r>
              <w:rPr>
                <w:rFonts w:ascii="宋体" w:hAnsi="宋体"/>
              </w:rPr>
              <w:t>稀释每股收益（元／股）</w:t>
            </w:r>
          </w:p>
        </w:tc>
        <w:tc>
          <w:tcPr>
            <w:tcW w:w="1350"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0.84 </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1.49 </w:t>
            </w:r>
          </w:p>
        </w:tc>
        <w:tc>
          <w:tcPr>
            <w:tcW w:w="986"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1.45 </w:t>
            </w:r>
          </w:p>
        </w:tc>
        <w:tc>
          <w:tcPr>
            <w:tcW w:w="1299" w:type="dxa"/>
            <w:vAlign w:val="center"/>
          </w:tcPr>
          <w:p>
            <w:pPr>
              <w:jc w:val="right"/>
              <w:rPr>
                <w:rFonts w:ascii="宋体" w:hAnsi="宋体"/>
              </w:rPr>
            </w:pPr>
            <w:r>
              <w:rPr>
                <w:rFonts w:ascii="宋体" w:hAnsi="宋体"/>
              </w:rPr>
              <w:t xml:space="preserve">-43.93 </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2.17 </w:t>
            </w:r>
          </w:p>
        </w:tc>
        <w:tc>
          <w:tcPr>
            <w:tcW w:w="959"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2.10 </w:t>
            </w:r>
          </w:p>
        </w:tc>
      </w:tr>
      <w:tr>
        <w:tc>
          <w:tcPr>
            <w:tcW w:w="2755" w:type="dxa"/>
            <w:vAlign w:val="center"/>
          </w:tcPr>
          <w:p>
            <w:pPr>
              <w:kinsoku w:val="0"/>
              <w:overflowPunct w:val="0"/>
              <w:autoSpaceDE w:val="0"/>
              <w:autoSpaceDN w:val="0"/>
              <w:adjustRightInd w:val="0"/>
              <w:snapToGrid w:val="0"/>
              <w:rPr>
                <w:rFonts w:ascii="宋体" w:hAnsi="宋体"/>
              </w:rPr>
            </w:pPr>
            <w:r>
              <w:rPr>
                <w:rFonts w:ascii="宋体" w:hAnsi="宋体"/>
              </w:rPr>
              <w:t>扣除非经常性损益后的基本每股收益（元／股）</w:t>
            </w:r>
          </w:p>
        </w:tc>
        <w:tc>
          <w:tcPr>
            <w:tcW w:w="1350"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0.74 </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1.40 </w:t>
            </w:r>
          </w:p>
        </w:tc>
        <w:tc>
          <w:tcPr>
            <w:tcW w:w="986"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1.40 </w:t>
            </w:r>
          </w:p>
        </w:tc>
        <w:tc>
          <w:tcPr>
            <w:tcW w:w="1299"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-47.27 </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 1.95 </w:t>
            </w:r>
          </w:p>
        </w:tc>
        <w:tc>
          <w:tcPr>
            <w:tcW w:w="959"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1.95 </w:t>
            </w:r>
          </w:p>
        </w:tc>
      </w:tr>
      <w:tr>
        <w:tc>
          <w:tcPr>
            <w:tcW w:w="2755" w:type="dxa"/>
            <w:vAlign w:val="center"/>
          </w:tcPr>
          <w:p>
            <w:pPr>
              <w:kinsoku w:val="0"/>
              <w:overflowPunct w:val="0"/>
              <w:autoSpaceDE w:val="0"/>
              <w:autoSpaceDN w:val="0"/>
              <w:adjustRightInd w:val="0"/>
              <w:snapToGrid w:val="0"/>
              <w:rPr>
                <w:rFonts w:ascii="宋体" w:hAnsi="宋体"/>
              </w:rPr>
            </w:pPr>
            <w:r>
              <w:rPr>
                <w:rFonts w:ascii="宋体" w:hAnsi="宋体"/>
              </w:rPr>
              <w:t>加权平均净资产收益率</w:t>
            </w:r>
          </w:p>
          <w:p>
            <w:pPr>
              <w:kinsoku w:val="0"/>
              <w:overflowPunct w:val="0"/>
              <w:autoSpaceDE w:val="0"/>
              <w:autoSpaceDN w:val="0"/>
              <w:adjustRightInd w:val="0"/>
              <w:snapToGrid w:val="0"/>
              <w:rPr>
                <w:rFonts w:ascii="宋体" w:hAnsi="宋体"/>
              </w:rPr>
            </w:pPr>
            <w:r>
              <w:rPr>
                <w:rFonts w:ascii="宋体" w:hAnsi="宋体"/>
              </w:rPr>
              <w:t>（%）</w:t>
            </w:r>
          </w:p>
        </w:tc>
        <w:tc>
          <w:tcPr>
            <w:tcW w:w="1350"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9.95 </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17.72 </w:t>
            </w:r>
          </w:p>
        </w:tc>
        <w:tc>
          <w:tcPr>
            <w:tcW w:w="986"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18.30 </w:t>
            </w:r>
          </w:p>
        </w:tc>
        <w:tc>
          <w:tcPr>
            <w:tcW w:w="1299" w:type="dxa"/>
            <w:vAlign w:val="center"/>
          </w:tcPr>
          <w:p>
            <w:pPr>
              <w:kinsoku w:val="0"/>
              <w:overflowPunct w:val="0"/>
              <w:autoSpaceDE w:val="0"/>
              <w:autoSpaceDN w:val="0"/>
              <w:adjustRightInd w:val="0"/>
              <w:snapToGrid w:val="0"/>
              <w:jc w:val="right"/>
              <w:rPr>
                <w:rFonts w:ascii="宋体" w:hAnsi="宋体"/>
              </w:rPr>
            </w:pPr>
            <w:r>
              <w:rPr>
                <w:rFonts w:ascii="宋体" w:hAnsi="宋体" w:hint="eastAsia"/>
              </w:rPr>
              <w:t>减少</w:t>
            </w:r>
            <w:r>
              <w:rPr>
                <w:rFonts w:ascii="宋体" w:hAnsi="宋体"/>
              </w:rPr>
              <w:t>7.77个百分点</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21.75 </w:t>
            </w:r>
          </w:p>
        </w:tc>
        <w:tc>
          <w:tcPr>
            <w:tcW w:w="959"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21.88 </w:t>
            </w:r>
          </w:p>
        </w:tc>
      </w:tr>
      <w:tr>
        <w:tc>
          <w:tcPr>
            <w:tcW w:w="2755" w:type="dxa"/>
            <w:vAlign w:val="center"/>
          </w:tcPr>
          <w:p>
            <w:pPr>
              <w:kinsoku w:val="0"/>
              <w:overflowPunct w:val="0"/>
              <w:autoSpaceDE w:val="0"/>
              <w:autoSpaceDN w:val="0"/>
              <w:adjustRightInd w:val="0"/>
              <w:snapToGrid w:val="0"/>
              <w:rPr>
                <w:rFonts w:ascii="宋体" w:hAnsi="宋体"/>
              </w:rPr>
            </w:pPr>
            <w:r>
              <w:rPr>
                <w:rFonts w:ascii="宋体" w:hAnsi="宋体"/>
              </w:rPr>
              <w:t>扣除非经常性损益后的加权平均净资产收益率（%）</w:t>
            </w:r>
          </w:p>
        </w:tc>
        <w:tc>
          <w:tcPr>
            <w:tcW w:w="1350"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8.78 </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17.62 </w:t>
            </w:r>
          </w:p>
        </w:tc>
        <w:tc>
          <w:tcPr>
            <w:tcW w:w="986"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17.62 </w:t>
            </w:r>
          </w:p>
        </w:tc>
        <w:tc>
          <w:tcPr>
            <w:tcW w:w="1299" w:type="dxa"/>
            <w:vAlign w:val="center"/>
          </w:tcPr>
          <w:p>
            <w:pPr>
              <w:kinsoku w:val="0"/>
              <w:overflowPunct w:val="0"/>
              <w:autoSpaceDE w:val="0"/>
              <w:autoSpaceDN w:val="0"/>
              <w:adjustRightInd w:val="0"/>
              <w:snapToGrid w:val="0"/>
              <w:jc w:val="right"/>
              <w:rPr>
                <w:rFonts w:ascii="宋体" w:hAnsi="宋体"/>
              </w:rPr>
            </w:pPr>
            <w:r>
              <w:rPr>
                <w:rFonts w:ascii="宋体" w:hAnsi="宋体" w:hint="eastAsia"/>
              </w:rPr>
              <w:t>减少</w:t>
            </w:r>
            <w:r>
              <w:rPr>
                <w:rFonts w:ascii="宋体" w:hAnsi="宋体"/>
              </w:rPr>
              <w:t>8.84个百分点</w:t>
            </w:r>
          </w:p>
        </w:tc>
        <w:tc>
          <w:tcPr>
            <w:tcW w:w="99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20.22 </w:t>
            </w:r>
          </w:p>
        </w:tc>
        <w:tc>
          <w:tcPr>
            <w:tcW w:w="959"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20.22 </w:t>
            </w:r>
          </w:p>
        </w:tc>
      </w:tr>
    </w:tbl>
    <w:p>
      <w:pPr>
        <w:pStyle w:val="Style49"/>
        <w:rPr>
          <w:rFonts w:ascii="宋体" w:hAnsi="宋体"/>
        </w:rPr>
      </w:pPr>
    </w:p>
    <w:p>
      <w:pPr>
        <w:pStyle w:val="Style49"/>
        <w:rPr>
          <w:rFonts w:ascii="宋体" w:hAnsi="宋体"/>
        </w:rPr>
      </w:pPr>
      <w:bookmarkStart w:id="29" w:name="_Hlk25325424"/>
      <w:bookmarkEnd w:id="29"/>
      <w:r>
        <w:rPr>
          <w:rFonts w:ascii="宋体" w:hAnsi="宋体" w:hint="eastAsia"/>
        </w:rPr>
        <w:t>报告期末公司前三年主要会计数据和财务指标的说明</w:t>
      </w:r>
    </w:p>
    <w:sdt>
      <w:sdtPr>
        <w:rPr>
          <w:rFonts w:ascii="宋体" w:hAnsi="宋体"/>
        </w:rPr>
        <w:alias w:val="是否适用：报告期末公司前三年主要会计数据和财务指标的说明[双击切换]"/>
        <w:tag w:val="_GBC_d855ab48af34454bb263a03266267a43"/>
        <w:id w:val="-315964731"/>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报告期末公司前三年主要会计数据和财务指标的说明"/>
        <w:tag w:val="_GBC_3f6a388b622d4cda9ea66de381322aa3"/>
        <w:id w:val="1579024583"/>
        <w:placeholder>
          <w:docPart w:val="GBC22222222222222222222222222222"/>
        </w:placeholder>
      </w:sdtPr>
      <w:sdtContent>
        <w:p>
          <w:pPr>
            <w:pStyle w:val="Style49"/>
            <w:rPr>
              <w:rFonts w:ascii="宋体" w:hAnsi="宋体"/>
            </w:rPr>
          </w:pPr>
        </w:p>
        <w:p>
          <w:pPr>
            <w:ind w:firstLineChars="200" w:firstLine="420"/>
            <w:jc w:val="both"/>
            <w:rPr>
              <w:rFonts w:ascii="宋体" w:hAnsi="宋体"/>
            </w:rPr>
          </w:pPr>
          <w:r>
            <w:rPr>
              <w:rFonts w:ascii="宋体" w:hAnsi="宋体" w:hint="eastAsia"/>
            </w:rPr>
            <w:t>①报告期内公司合并了西北矿业、兖矿能源（霍林郭勒）有限公司的财务报表，不再合并山东中鼎云联科技有限公司、山东兖煤日照港储配煤有限公司的财务报表。</w:t>
          </w:r>
        </w:p>
        <w:p>
          <w:pPr>
            <w:ind w:firstLineChars="200" w:firstLine="420"/>
            <w:jc w:val="both"/>
            <w:rPr>
              <w:rFonts w:ascii="宋体" w:hAnsi="宋体"/>
            </w:rPr>
          </w:pPr>
          <w:r>
            <w:rPr>
              <w:rFonts w:ascii="宋体" w:hAnsi="宋体" w:hint="eastAsia"/>
            </w:rPr>
            <w:t>②报告期内公司合并西北矿业等公司财务报表，构成同一控制下企业合并，公司对以往前期间相关财务数据进行了追溯调整。</w:t>
          </w:r>
        </w:p>
        <w:p>
          <w:pPr>
            <w:ind w:firstLineChars="200" w:firstLine="420"/>
            <w:jc w:val="both"/>
            <w:rPr>
              <w:rFonts w:ascii="宋体" w:hAnsi="宋体"/>
            </w:rPr>
          </w:pPr>
          <w:r>
            <w:rPr>
              <w:rFonts w:ascii="宋体" w:hAnsi="宋体" w:hint="eastAsia"/>
            </w:rPr>
            <w:t>③报告期内，公司完成了部分限制性股票回购注销事宜,公司总股本由10,039,860,402股调整至</w:t>
          </w:r>
          <w:r>
            <w:rPr>
              <w:rFonts w:ascii="宋体" w:hAnsi="宋体"/>
            </w:rPr>
            <w:t>10,037,480,544</w:t>
          </w:r>
          <w:r>
            <w:rPr>
              <w:rFonts w:ascii="宋体" w:hAnsi="宋体" w:hint="eastAsia"/>
            </w:rPr>
            <w:t>股，基本每股收益、稀释每股收益、扣除非经常性损益后的基本每股收益等相关指标以发行在外的普通股加权平均数计算。</w:t>
          </w:r>
        </w:p>
      </w:sdtContent>
    </w:sdt>
    <w:p>
      <w:pPr>
        <w:pStyle w:val="Style49"/>
        <w:rPr>
          <w:rFonts w:ascii="宋体" w:hAnsi="宋体"/>
        </w:rPr>
      </w:pPr>
    </w:p>
    <w:p>
      <w:pPr>
        <w:pStyle w:val="2"/>
        <w:numPr>
          <w:ilvl w:val="1"/>
          <w:numId w:val="11"/>
        </w:numPr>
        <w:ind w:left="498" w:hangingChars="236" w:hanging="498"/>
        <w:rPr>
          <w:rFonts w:ascii="宋体" w:hAnsi="宋体"/>
          <w:u w:val="single"/>
        </w:rPr>
      </w:pPr>
      <w:r>
        <w:rPr>
          <w:rFonts w:ascii="宋体" w:hAnsi="宋体" w:hint="eastAsia"/>
        </w:rPr>
        <w:t>境内外会计准则下会计数据差异</w:t>
      </w:r>
    </w:p>
    <w:p>
      <w:pPr>
        <w:pStyle w:val="3"/>
        <w:numPr>
          <w:ilvl w:val="0"/>
          <w:numId w:val="13"/>
        </w:numPr>
        <w:ind w:left="0" w:firstLine="0"/>
        <w:rPr>
          <w:rFonts w:ascii="宋体" w:hAnsi="宋体"/>
          <w:szCs w:val="21"/>
        </w:rPr>
      </w:pPr>
      <w:r>
        <w:rPr>
          <w:rFonts w:ascii="宋体" w:hAnsi="宋体" w:hint="eastAsia"/>
          <w:szCs w:val="21"/>
        </w:rPr>
        <w:t>同时按照国际会计准则与按中国会计准则披露的财务报告中净利润和归属于上市公司股东的净资产差异情况</w:t>
      </w:r>
    </w:p>
    <w:sdt>
      <w:sdtPr>
        <w:rPr>
          <w:rFonts w:ascii="宋体" w:hAnsi="宋体"/>
        </w:rPr>
        <w:alias w:val="是否适用：同时按照国际会计准则与按中国会计准则披露的财务报告中净利润和净资产差异情况[双击切换]"/>
        <w:tag w:val="_GBC_bb9cf96a724c468d909aca01e1066e6b"/>
        <w:id w:val="684336814"/>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tabs>
          <w:tab w:val="left" w:pos="8280"/>
        </w:tabs>
        <w:kinsoku w:val="0"/>
        <w:overflowPunct w:val="0"/>
        <w:autoSpaceDE w:val="0"/>
        <w:autoSpaceDN w:val="0"/>
        <w:adjustRightInd w:val="0"/>
        <w:snapToGrid w:val="0"/>
        <w:ind w:rightChars="12" w:right="25"/>
        <w:jc w:val="right"/>
        <w:rPr>
          <w:rFonts w:ascii="宋体" w:hAnsi="宋体"/>
        </w:rPr>
      </w:pPr>
      <w:r>
        <w:rPr>
          <w:rFonts w:ascii="宋体" w:hAnsi="宋体" w:hint="eastAsia"/>
        </w:rPr>
        <w:t>单位：</w:t>
      </w:r>
      <w:sdt>
        <w:sdtPr>
          <w:rPr>
            <w:rFonts w:ascii="宋体" w:hAnsi="宋体" w:hint="eastAsia"/>
          </w:rPr>
          <w:alias w:val="单位：同时按照国际会计准则与按中国会计准则披露的财务报告中净利润和净资产差异情况"/>
          <w:tag w:val="_GBC_14cb6a26a6344a4db79dfc468b7ffbbf"/>
          <w:id w:val="689118486"/>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千元</w:t>
          </w:r>
        </w:sdtContent>
      </w:sdt>
      <w:r>
        <w:rPr>
          <w:rFonts w:ascii="宋体" w:hAnsi="宋体" w:hint="eastAsia"/>
        </w:rPr>
        <w:t xml:space="preserve">  币种：</w:t>
      </w:r>
      <w:sdt>
        <w:sdtPr>
          <w:rPr>
            <w:rFonts w:ascii="宋体" w:hAnsi="宋体" w:hint="eastAsia"/>
          </w:rPr>
          <w:alias w:val="币种：同时按照国际会计准则与按中国会计准则披露的财务报告中净利润和净资产差异情况"/>
          <w:tag w:val="_GBC_7af3236bd967441fb6b9bcf57c2f174a"/>
          <w:id w:val="726189934"/>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aff4"/>
        <w:tblW w:w="9196" w:type="dxa"/>
        <w:tblInd w:w="-147" w:type="dxa"/>
        <w:tblLayout w:type="fixed"/>
        <w:tblLook w:val="04A0" w:firstRow="1" w:lastRow="0" w:firstColumn="1" w:lastColumn="0" w:noHBand="0" w:noVBand="1"/>
      </w:tblPr>
      <w:tblGrid>
        <w:gridCol w:w="1954"/>
        <w:gridCol w:w="1809"/>
        <w:gridCol w:w="1810"/>
        <w:gridCol w:w="1811"/>
        <w:gridCol w:w="1812"/>
      </w:tblGrid>
      <w:tr>
        <w:tc>
          <w:tcPr>
            <w:tcW w:w="1954" w:type="dxa"/>
            <w:vMerge w:val="restart"/>
            <w:vAlign w:val="center"/>
          </w:tcPr>
          <w:p>
            <w:pPr>
              <w:kinsoku w:val="0"/>
              <w:overflowPunct w:val="0"/>
              <w:autoSpaceDE w:val="0"/>
              <w:autoSpaceDN w:val="0"/>
              <w:adjustRightInd w:val="0"/>
              <w:snapToGrid w:val="0"/>
              <w:jc w:val="center"/>
              <w:rPr>
                <w:rFonts w:ascii="宋体" w:hAnsi="宋体"/>
                <w:color w:val="000000"/>
              </w:rPr>
            </w:pPr>
          </w:p>
        </w:tc>
        <w:sdt>
          <w:sdtPr>
            <w:rPr>
              <w:rFonts w:ascii="宋体" w:hAnsi="宋体"/>
            </w:rPr>
            <w:tag w:val="_PLD_f3df29bb3ba04320b5d912920acb826f"/>
            <w:id w:val="452366656"/>
          </w:sdtPr>
          <w:sdtContent>
            <w:tc>
              <w:tcPr>
                <w:tcW w:w="3619" w:type="dxa"/>
                <w:gridSpan w:val="2"/>
                <w:vAlign w:val="center"/>
              </w:tcPr>
              <w:p>
                <w:pPr>
                  <w:kinsoku w:val="0"/>
                  <w:overflowPunct w:val="0"/>
                  <w:autoSpaceDE w:val="0"/>
                  <w:autoSpaceDN w:val="0"/>
                  <w:adjustRightInd w:val="0"/>
                  <w:snapToGrid w:val="0"/>
                  <w:jc w:val="center"/>
                  <w:rPr>
                    <w:rFonts w:ascii="宋体" w:hAnsi="宋体"/>
                  </w:rPr>
                </w:pPr>
                <w:r>
                  <w:rPr>
                    <w:rFonts w:ascii="宋体" w:hAnsi="宋体" w:hint="eastAsia"/>
                  </w:rPr>
                  <w:t>归属于上市公司股东的净利润</w:t>
                </w:r>
              </w:p>
            </w:tc>
          </w:sdtContent>
        </w:sdt>
        <w:sdt>
          <w:sdtPr>
            <w:rPr>
              <w:rFonts w:ascii="宋体" w:hAnsi="宋体"/>
            </w:rPr>
            <w:tag w:val="_PLD_47524ba6d1c04199a74550f7cb22944e"/>
            <w:id w:val="-1283268431"/>
          </w:sdtPr>
          <w:sdtContent>
            <w:tc>
              <w:tcPr>
                <w:tcW w:w="3623" w:type="dxa"/>
                <w:gridSpan w:val="2"/>
                <w:vAlign w:val="center"/>
              </w:tcPr>
              <w:p>
                <w:pPr>
                  <w:kinsoku w:val="0"/>
                  <w:overflowPunct w:val="0"/>
                  <w:autoSpaceDE w:val="0"/>
                  <w:autoSpaceDN w:val="0"/>
                  <w:adjustRightInd w:val="0"/>
                  <w:snapToGrid w:val="0"/>
                  <w:jc w:val="center"/>
                  <w:rPr>
                    <w:rFonts w:ascii="宋体" w:hAnsi="宋体"/>
                  </w:rPr>
                </w:pPr>
                <w:r>
                  <w:rPr>
                    <w:rFonts w:ascii="宋体" w:hAnsi="宋体" w:hint="eastAsia"/>
                  </w:rPr>
                  <w:t>归属于上市公司股东的净资产</w:t>
                </w:r>
              </w:p>
            </w:tc>
          </w:sdtContent>
        </w:sdt>
      </w:tr>
      <w:tr>
        <w:tc>
          <w:tcPr>
            <w:tcW w:w="1954" w:type="dxa"/>
            <w:vMerge/>
            <w:vAlign w:val="center"/>
          </w:tcPr>
          <w:p>
            <w:pPr>
              <w:kinsoku w:val="0"/>
              <w:overflowPunct w:val="0"/>
              <w:autoSpaceDE w:val="0"/>
              <w:autoSpaceDN w:val="0"/>
              <w:adjustRightInd w:val="0"/>
              <w:snapToGrid w:val="0"/>
              <w:rPr>
                <w:rFonts w:ascii="宋体" w:hAnsi="宋体"/>
                <w:color w:val="000000"/>
              </w:rPr>
            </w:pPr>
          </w:p>
        </w:tc>
        <w:sdt>
          <w:sdtPr>
            <w:rPr>
              <w:rFonts w:ascii="宋体" w:hAnsi="宋体"/>
            </w:rPr>
            <w:tag w:val="_PLD_caf94f6d308e4f16a36c7e5e16db18e7"/>
            <w:id w:val="1053345474"/>
          </w:sdtPr>
          <w:sdtContent>
            <w:tc>
              <w:tcPr>
                <w:tcW w:w="1809" w:type="dxa"/>
                <w:vAlign w:val="center"/>
              </w:tcPr>
              <w:p>
                <w:pPr>
                  <w:kinsoku w:val="0"/>
                  <w:overflowPunct w:val="0"/>
                  <w:autoSpaceDE w:val="0"/>
                  <w:autoSpaceDN w:val="0"/>
                  <w:adjustRightInd w:val="0"/>
                  <w:snapToGrid w:val="0"/>
                  <w:ind w:right="180"/>
                  <w:jc w:val="center"/>
                  <w:rPr>
                    <w:rFonts w:ascii="宋体" w:hAnsi="宋体"/>
                    <w:color w:val="000000"/>
                  </w:rPr>
                </w:pPr>
                <w:r>
                  <w:rPr>
                    <w:rFonts w:ascii="宋体" w:hAnsi="宋体" w:hint="eastAsia"/>
                  </w:rPr>
                  <w:t>本期数</w:t>
                </w:r>
              </w:p>
            </w:tc>
          </w:sdtContent>
        </w:sdt>
        <w:sdt>
          <w:sdtPr>
            <w:rPr>
              <w:rFonts w:ascii="宋体" w:hAnsi="宋体"/>
            </w:rPr>
            <w:tag w:val="_PLD_df82ced3820a41b9ab01b14e70e76e3c"/>
            <w:id w:val="1997526154"/>
          </w:sdtPr>
          <w:sdtContent>
            <w:tc>
              <w:tcPr>
                <w:tcW w:w="1810" w:type="dxa"/>
                <w:vAlign w:val="center"/>
              </w:tcPr>
              <w:p>
                <w:pPr>
                  <w:kinsoku w:val="0"/>
                  <w:overflowPunct w:val="0"/>
                  <w:autoSpaceDE w:val="0"/>
                  <w:autoSpaceDN w:val="0"/>
                  <w:adjustRightInd w:val="0"/>
                  <w:snapToGrid w:val="0"/>
                  <w:ind w:right="180"/>
                  <w:jc w:val="center"/>
                  <w:rPr>
                    <w:rFonts w:ascii="宋体" w:hAnsi="宋体"/>
                    <w:color w:val="000000"/>
                  </w:rPr>
                </w:pPr>
                <w:r>
                  <w:rPr>
                    <w:rFonts w:ascii="宋体" w:hAnsi="宋体" w:hint="eastAsia"/>
                  </w:rPr>
                  <w:t>上期数</w:t>
                </w:r>
              </w:p>
            </w:tc>
          </w:sdtContent>
        </w:sdt>
        <w:sdt>
          <w:sdtPr>
            <w:rPr>
              <w:rFonts w:ascii="宋体" w:hAnsi="宋体"/>
            </w:rPr>
            <w:tag w:val="_PLD_eb4e02e8ebf64df38689c7fedf0e031b"/>
            <w:id w:val="149496343"/>
          </w:sdtPr>
          <w:sdtContent>
            <w:tc>
              <w:tcPr>
                <w:tcW w:w="1811" w:type="dxa"/>
                <w:vAlign w:val="center"/>
              </w:tcPr>
              <w:p>
                <w:pPr>
                  <w:kinsoku w:val="0"/>
                  <w:overflowPunct w:val="0"/>
                  <w:autoSpaceDE w:val="0"/>
                  <w:autoSpaceDN w:val="0"/>
                  <w:adjustRightInd w:val="0"/>
                  <w:snapToGrid w:val="0"/>
                  <w:ind w:right="180"/>
                  <w:jc w:val="center"/>
                  <w:rPr>
                    <w:rFonts w:ascii="宋体" w:hAnsi="宋体"/>
                    <w:color w:val="000000"/>
                  </w:rPr>
                </w:pPr>
                <w:r>
                  <w:rPr>
                    <w:rFonts w:ascii="宋体" w:hAnsi="宋体" w:hint="eastAsia"/>
                  </w:rPr>
                  <w:t>期末数</w:t>
                </w:r>
              </w:p>
            </w:tc>
          </w:sdtContent>
        </w:sdt>
        <w:sdt>
          <w:sdtPr>
            <w:rPr>
              <w:rFonts w:ascii="宋体" w:hAnsi="宋体"/>
            </w:rPr>
            <w:tag w:val="_PLD_52ac7649d8b34876beaddd780c59a8a1"/>
            <w:id w:val="610555740"/>
          </w:sdtPr>
          <w:sdtContent>
            <w:tc>
              <w:tcPr>
                <w:tcW w:w="1812" w:type="dxa"/>
                <w:vAlign w:val="center"/>
              </w:tcPr>
              <w:p>
                <w:pPr>
                  <w:kinsoku w:val="0"/>
                  <w:overflowPunct w:val="0"/>
                  <w:autoSpaceDE w:val="0"/>
                  <w:autoSpaceDN w:val="0"/>
                  <w:adjustRightInd w:val="0"/>
                  <w:snapToGrid w:val="0"/>
                  <w:ind w:right="180"/>
                  <w:jc w:val="center"/>
                  <w:rPr>
                    <w:rFonts w:ascii="宋体" w:hAnsi="宋体"/>
                    <w:color w:val="000000"/>
                  </w:rPr>
                </w:pPr>
                <w:r>
                  <w:rPr>
                    <w:rFonts w:ascii="宋体" w:hAnsi="宋体" w:hint="eastAsia"/>
                  </w:rPr>
                  <w:t>期初数</w:t>
                </w:r>
              </w:p>
            </w:tc>
          </w:sdtContent>
        </w:sdt>
      </w:tr>
      <w:tr>
        <w:tc>
          <w:tcPr>
            <w:tcW w:w="1954" w:type="dxa"/>
            <w:vAlign w:val="center"/>
          </w:tcPr>
          <w:p>
            <w:pPr>
              <w:kinsoku w:val="0"/>
              <w:overflowPunct w:val="0"/>
              <w:autoSpaceDE w:val="0"/>
              <w:autoSpaceDN w:val="0"/>
              <w:adjustRightInd w:val="0"/>
              <w:snapToGrid w:val="0"/>
              <w:rPr>
                <w:rFonts w:ascii="宋体" w:hAnsi="宋体"/>
                <w:color w:val="000000"/>
              </w:rPr>
            </w:pPr>
            <w:r>
              <w:rPr>
                <w:rFonts w:ascii="宋体" w:hAnsi="宋体" w:hint="eastAsia"/>
              </w:rPr>
              <w:t>按中国会计准则</w:t>
            </w:r>
          </w:p>
        </w:tc>
        <w:tc>
          <w:tcPr>
            <w:tcW w:w="1809" w:type="dxa"/>
            <w:vAlign w:val="center"/>
          </w:tcPr>
          <w:p>
            <w:pPr>
              <w:jc w:val="right"/>
              <w:rPr>
                <w:rFonts w:ascii="宋体" w:hAnsi="宋体"/>
              </w:rPr>
            </w:pPr>
            <w:r>
              <w:rPr>
                <w:rFonts w:ascii="宋体" w:hAnsi="宋体"/>
              </w:rPr>
              <w:t>8,380,948</w:t>
            </w:r>
          </w:p>
        </w:tc>
        <w:tc>
          <w:tcPr>
            <w:tcW w:w="1810" w:type="dxa"/>
            <w:vAlign w:val="center"/>
          </w:tcPr>
          <w:p>
            <w:pPr>
              <w:jc w:val="right"/>
              <w:rPr>
                <w:rFonts w:ascii="宋体" w:hAnsi="宋体"/>
              </w:rPr>
            </w:pPr>
            <w:r>
              <w:rPr>
                <w:rFonts w:ascii="宋体" w:hAnsi="宋体"/>
              </w:rPr>
              <w:t>14,862,943</w:t>
            </w:r>
          </w:p>
        </w:tc>
        <w:tc>
          <w:tcPr>
            <w:tcW w:w="1811" w:type="dxa"/>
            <w:vAlign w:val="center"/>
          </w:tcPr>
          <w:p>
            <w:pPr>
              <w:jc w:val="right"/>
              <w:rPr>
                <w:rFonts w:ascii="宋体" w:hAnsi="宋体"/>
              </w:rPr>
            </w:pPr>
            <w:r>
              <w:rPr>
                <w:rFonts w:ascii="宋体" w:hAnsi="宋体"/>
              </w:rPr>
              <w:t>100,480,292</w:t>
            </w:r>
          </w:p>
        </w:tc>
        <w:tc>
          <w:tcPr>
            <w:tcW w:w="1812" w:type="dxa"/>
            <w:vAlign w:val="center"/>
          </w:tcPr>
          <w:p>
            <w:pPr>
              <w:jc w:val="right"/>
              <w:rPr>
                <w:rFonts w:ascii="宋体" w:hAnsi="宋体"/>
              </w:rPr>
            </w:pPr>
            <w:r>
              <w:rPr>
                <w:rFonts w:ascii="宋体" w:hAnsi="宋体"/>
              </w:rPr>
              <w:t>87,872,209</w:t>
            </w:r>
          </w:p>
        </w:tc>
      </w:tr>
      <w:tr>
        <w:sdt>
          <w:sdtPr>
            <w:rPr>
              <w:rFonts w:ascii="宋体" w:hAnsi="宋体"/>
            </w:rPr>
            <w:tag w:val="_PLD_06fc3e6fa5c2436396cd98b45a0dc4eb"/>
            <w:id w:val="-1063706855"/>
          </w:sdtPr>
          <w:sdtContent>
            <w:tc>
              <w:tcPr>
                <w:tcW w:w="9196" w:type="dxa"/>
                <w:gridSpan w:val="5"/>
                <w:vAlign w:val="center"/>
              </w:tcPr>
              <w:p>
                <w:pPr>
                  <w:kinsoku w:val="0"/>
                  <w:overflowPunct w:val="0"/>
                  <w:autoSpaceDE w:val="0"/>
                  <w:autoSpaceDN w:val="0"/>
                  <w:adjustRightInd w:val="0"/>
                  <w:snapToGrid w:val="0"/>
                  <w:ind w:right="180"/>
                  <w:rPr>
                    <w:rFonts w:ascii="宋体" w:hAnsi="宋体"/>
                  </w:rPr>
                </w:pPr>
                <w:r>
                  <w:rPr>
                    <w:rFonts w:ascii="宋体" w:hAnsi="宋体" w:hint="eastAsia"/>
                  </w:rPr>
                  <w:t>按国际会计准则调整的项目及金额：</w:t>
                </w:r>
              </w:p>
            </w:tc>
          </w:sdtContent>
        </w:sdt>
      </w:tr>
      <w:tr>
        <w:tc>
          <w:tcPr>
            <w:tcW w:w="1954" w:type="dxa"/>
          </w:tcPr>
          <w:p>
            <w:pPr>
              <w:rPr>
                <w:rFonts w:ascii="宋体" w:hAnsi="宋体"/>
              </w:rPr>
            </w:pPr>
            <w:r>
              <w:rPr>
                <w:rFonts w:ascii="宋体" w:hAnsi="宋体" w:hint="eastAsia"/>
              </w:rPr>
              <w:t>1.专项储备</w:t>
            </w:r>
            <w:r>
              <w:rPr>
                <w:rFonts w:ascii="宋体" w:hAnsi="宋体" w:hint="eastAsia"/>
                <w:vertAlign w:val="superscript"/>
              </w:rPr>
              <w:t>①</w:t>
            </w:r>
          </w:p>
        </w:tc>
        <w:tc>
          <w:tcPr>
            <w:tcW w:w="1809" w:type="dxa"/>
            <w:vAlign w:val="center"/>
          </w:tcPr>
          <w:p>
            <w:pPr>
              <w:jc w:val="right"/>
              <w:rPr>
                <w:rFonts w:ascii="宋体" w:hAnsi="宋体"/>
              </w:rPr>
            </w:pPr>
            <w:r>
              <w:rPr>
                <w:rFonts w:ascii="宋体" w:hAnsi="宋体"/>
              </w:rPr>
              <w:t>-201,140</w:t>
            </w:r>
          </w:p>
        </w:tc>
        <w:tc>
          <w:tcPr>
            <w:tcW w:w="1810" w:type="dxa"/>
            <w:vAlign w:val="center"/>
          </w:tcPr>
          <w:p>
            <w:pPr>
              <w:jc w:val="right"/>
              <w:rPr>
                <w:rFonts w:ascii="宋体" w:hAnsi="宋体"/>
              </w:rPr>
            </w:pPr>
            <w:r>
              <w:rPr>
                <w:rFonts w:ascii="宋体" w:hAnsi="宋体"/>
              </w:rPr>
              <w:t>351,387</w:t>
            </w:r>
          </w:p>
        </w:tc>
        <w:tc>
          <w:tcPr>
            <w:tcW w:w="1811" w:type="dxa"/>
            <w:vAlign w:val="center"/>
          </w:tcPr>
          <w:p>
            <w:pPr>
              <w:jc w:val="right"/>
              <w:rPr>
                <w:rFonts w:ascii="宋体" w:hAnsi="宋体"/>
              </w:rPr>
            </w:pPr>
            <w:r>
              <w:rPr>
                <w:rFonts w:ascii="宋体" w:hAnsi="宋体"/>
              </w:rPr>
              <w:t>-476,368</w:t>
            </w:r>
          </w:p>
        </w:tc>
        <w:tc>
          <w:tcPr>
            <w:tcW w:w="1812" w:type="dxa"/>
            <w:vAlign w:val="center"/>
          </w:tcPr>
          <w:p>
            <w:pPr>
              <w:jc w:val="right"/>
              <w:rPr>
                <w:rFonts w:ascii="宋体" w:hAnsi="宋体"/>
              </w:rPr>
            </w:pPr>
            <w:r>
              <w:rPr>
                <w:rFonts w:ascii="宋体" w:hAnsi="宋体"/>
              </w:rPr>
              <w:t>-246,486</w:t>
            </w:r>
          </w:p>
        </w:tc>
      </w:tr>
      <w:tr>
        <w:tc>
          <w:tcPr>
            <w:tcW w:w="1954" w:type="dxa"/>
          </w:tcPr>
          <w:p>
            <w:pPr>
              <w:rPr>
                <w:rFonts w:ascii="宋体" w:hAnsi="宋体"/>
              </w:rPr>
            </w:pPr>
            <w:r>
              <w:rPr>
                <w:rFonts w:ascii="宋体" w:hAnsi="宋体" w:hint="eastAsia"/>
              </w:rPr>
              <w:t>2.永续资本债券</w:t>
            </w:r>
            <w:r>
              <w:rPr>
                <w:rFonts w:ascii="宋体" w:hAnsi="宋体" w:hint="eastAsia"/>
                <w:vertAlign w:val="superscript"/>
              </w:rPr>
              <w:t>②</w:t>
            </w:r>
          </w:p>
        </w:tc>
        <w:tc>
          <w:tcPr>
            <w:tcW w:w="1809" w:type="dxa"/>
            <w:vAlign w:val="center"/>
          </w:tcPr>
          <w:p>
            <w:pPr>
              <w:jc w:val="right"/>
              <w:rPr>
                <w:rFonts w:ascii="宋体" w:hAnsi="宋体"/>
              </w:rPr>
            </w:pPr>
            <w:r>
              <w:rPr>
                <w:rFonts w:ascii="宋体" w:hAnsi="宋体" w:hint="eastAsia"/>
              </w:rPr>
              <w:t>-</w:t>
            </w:r>
          </w:p>
        </w:tc>
        <w:tc>
          <w:tcPr>
            <w:tcW w:w="1810" w:type="dxa"/>
            <w:vAlign w:val="center"/>
          </w:tcPr>
          <w:p>
            <w:pPr>
              <w:jc w:val="right"/>
              <w:rPr>
                <w:rFonts w:ascii="宋体" w:hAnsi="宋体"/>
              </w:rPr>
            </w:pPr>
            <w:r>
              <w:rPr>
                <w:rFonts w:ascii="宋体" w:hAnsi="宋体" w:hint="eastAsia"/>
              </w:rPr>
              <w:t>-</w:t>
            </w:r>
          </w:p>
        </w:tc>
        <w:tc>
          <w:tcPr>
            <w:tcW w:w="1811" w:type="dxa"/>
            <w:vAlign w:val="center"/>
          </w:tcPr>
          <w:p>
            <w:pPr>
              <w:jc w:val="right"/>
              <w:rPr>
                <w:rFonts w:ascii="宋体" w:hAnsi="宋体"/>
              </w:rPr>
            </w:pPr>
            <w:r>
              <w:rPr>
                <w:rFonts w:ascii="宋体" w:hAnsi="宋体"/>
              </w:rPr>
              <w:t>28,766,651</w:t>
            </w:r>
          </w:p>
        </w:tc>
        <w:tc>
          <w:tcPr>
            <w:tcW w:w="1812" w:type="dxa"/>
            <w:vAlign w:val="center"/>
          </w:tcPr>
          <w:p>
            <w:pPr>
              <w:jc w:val="right"/>
              <w:rPr>
                <w:rFonts w:ascii="宋体" w:hAnsi="宋体"/>
              </w:rPr>
            </w:pPr>
            <w:r>
              <w:rPr>
                <w:rFonts w:ascii="宋体" w:hAnsi="宋体"/>
              </w:rPr>
              <w:t>23,267,221</w:t>
            </w:r>
          </w:p>
        </w:tc>
      </w:tr>
      <w:tr>
        <w:tc>
          <w:tcPr>
            <w:tcW w:w="1954" w:type="dxa"/>
          </w:tcPr>
          <w:p>
            <w:pPr>
              <w:rPr>
                <w:rFonts w:ascii="宋体" w:hAnsi="宋体"/>
              </w:rPr>
            </w:pPr>
            <w:r>
              <w:rPr>
                <w:rFonts w:ascii="宋体" w:hAnsi="宋体" w:hint="eastAsia"/>
              </w:rPr>
              <w:t>3.无形资产减值损失</w:t>
            </w:r>
            <w:r>
              <w:rPr>
                <w:rFonts w:ascii="宋体" w:hAnsi="宋体" w:hint="eastAsia"/>
                <w:vertAlign w:val="superscript"/>
              </w:rPr>
              <w:t>③</w:t>
            </w:r>
          </w:p>
        </w:tc>
        <w:tc>
          <w:tcPr>
            <w:tcW w:w="1809" w:type="dxa"/>
            <w:vAlign w:val="center"/>
          </w:tcPr>
          <w:p>
            <w:pPr>
              <w:jc w:val="right"/>
              <w:rPr>
                <w:rFonts w:ascii="宋体" w:hAnsi="宋体"/>
              </w:rPr>
            </w:pPr>
            <w:r>
              <w:rPr>
                <w:rFonts w:ascii="宋体" w:hAnsi="宋体"/>
              </w:rPr>
              <w:t>10,199</w:t>
            </w:r>
          </w:p>
        </w:tc>
        <w:tc>
          <w:tcPr>
            <w:tcW w:w="1810" w:type="dxa"/>
            <w:vAlign w:val="center"/>
          </w:tcPr>
          <w:p>
            <w:pPr>
              <w:jc w:val="right"/>
              <w:rPr>
                <w:rFonts w:ascii="宋体" w:hAnsi="宋体"/>
              </w:rPr>
            </w:pPr>
            <w:r>
              <w:rPr>
                <w:rFonts w:ascii="宋体" w:hAnsi="宋体"/>
              </w:rPr>
              <w:t>10,199</w:t>
            </w:r>
          </w:p>
        </w:tc>
        <w:tc>
          <w:tcPr>
            <w:tcW w:w="1811" w:type="dxa"/>
            <w:vAlign w:val="center"/>
          </w:tcPr>
          <w:p>
            <w:pPr>
              <w:jc w:val="right"/>
              <w:rPr>
                <w:rFonts w:ascii="宋体" w:hAnsi="宋体"/>
              </w:rPr>
            </w:pPr>
            <w:r>
              <w:rPr>
                <w:rFonts w:ascii="宋体" w:hAnsi="宋体"/>
              </w:rPr>
              <w:t>-48,644</w:t>
            </w:r>
          </w:p>
        </w:tc>
        <w:tc>
          <w:tcPr>
            <w:tcW w:w="1812" w:type="dxa"/>
            <w:vAlign w:val="center"/>
          </w:tcPr>
          <w:p>
            <w:pPr>
              <w:jc w:val="right"/>
              <w:rPr>
                <w:rFonts w:ascii="宋体" w:hAnsi="宋体"/>
              </w:rPr>
            </w:pPr>
            <w:r>
              <w:rPr>
                <w:rFonts w:ascii="宋体" w:hAnsi="宋体"/>
              </w:rPr>
              <w:t>-58,843</w:t>
            </w:r>
          </w:p>
        </w:tc>
      </w:tr>
      <w:tr>
        <w:tc>
          <w:tcPr>
            <w:tcW w:w="1954" w:type="dxa"/>
          </w:tcPr>
          <w:p>
            <w:pPr>
              <w:rPr>
                <w:rFonts w:ascii="宋体" w:hAnsi="宋体"/>
              </w:rPr>
            </w:pPr>
            <w:r>
              <w:rPr>
                <w:rFonts w:ascii="宋体" w:hAnsi="宋体" w:hint="eastAsia"/>
              </w:rPr>
              <w:t>4.递延税项</w:t>
            </w:r>
            <w:r>
              <w:rPr>
                <w:rFonts w:ascii="宋体" w:hAnsi="宋体" w:hint="eastAsia"/>
                <w:vertAlign w:val="superscript"/>
              </w:rPr>
              <w:t>④</w:t>
            </w:r>
          </w:p>
        </w:tc>
        <w:tc>
          <w:tcPr>
            <w:tcW w:w="1809" w:type="dxa"/>
            <w:vAlign w:val="center"/>
          </w:tcPr>
          <w:p>
            <w:pPr>
              <w:jc w:val="right"/>
              <w:rPr>
                <w:rFonts w:ascii="宋体" w:hAnsi="宋体"/>
              </w:rPr>
            </w:pPr>
            <w:r>
              <w:rPr>
                <w:rFonts w:ascii="宋体" w:hAnsi="宋体"/>
              </w:rPr>
              <w:t>47,225</w:t>
            </w:r>
          </w:p>
        </w:tc>
        <w:tc>
          <w:tcPr>
            <w:tcW w:w="1810" w:type="dxa"/>
            <w:vAlign w:val="center"/>
          </w:tcPr>
          <w:p>
            <w:pPr>
              <w:jc w:val="right"/>
              <w:rPr>
                <w:rFonts w:ascii="宋体" w:hAnsi="宋体"/>
              </w:rPr>
            </w:pPr>
            <w:r>
              <w:rPr>
                <w:rFonts w:ascii="宋体" w:hAnsi="宋体"/>
              </w:rPr>
              <w:t>-90,907</w:t>
            </w:r>
          </w:p>
        </w:tc>
        <w:tc>
          <w:tcPr>
            <w:tcW w:w="1811" w:type="dxa"/>
            <w:vAlign w:val="center"/>
          </w:tcPr>
          <w:p>
            <w:pPr>
              <w:jc w:val="right"/>
              <w:rPr>
                <w:rFonts w:ascii="宋体" w:hAnsi="宋体"/>
              </w:rPr>
            </w:pPr>
            <w:r>
              <w:rPr>
                <w:rFonts w:ascii="宋体" w:hAnsi="宋体"/>
              </w:rPr>
              <w:t>949,992</w:t>
            </w:r>
          </w:p>
        </w:tc>
        <w:tc>
          <w:tcPr>
            <w:tcW w:w="1812" w:type="dxa"/>
            <w:vAlign w:val="center"/>
          </w:tcPr>
          <w:p>
            <w:pPr>
              <w:jc w:val="right"/>
              <w:rPr>
                <w:rFonts w:ascii="宋体" w:hAnsi="宋体"/>
              </w:rPr>
            </w:pPr>
            <w:r>
              <w:rPr>
                <w:rFonts w:ascii="宋体" w:hAnsi="宋体"/>
              </w:rPr>
              <w:t>902,767</w:t>
            </w:r>
          </w:p>
        </w:tc>
      </w:tr>
      <w:tr>
        <w:tc>
          <w:tcPr>
            <w:tcW w:w="1954" w:type="dxa"/>
            <w:vAlign w:val="center"/>
          </w:tcPr>
          <w:p>
            <w:pPr>
              <w:kinsoku w:val="0"/>
              <w:overflowPunct w:val="0"/>
              <w:autoSpaceDE w:val="0"/>
              <w:autoSpaceDN w:val="0"/>
              <w:adjustRightInd w:val="0"/>
              <w:snapToGrid w:val="0"/>
              <w:rPr>
                <w:rFonts w:ascii="宋体" w:hAnsi="宋体"/>
                <w:color w:val="000000"/>
              </w:rPr>
            </w:pPr>
            <w:r>
              <w:rPr>
                <w:rFonts w:ascii="宋体" w:hAnsi="宋体" w:hint="eastAsia"/>
              </w:rPr>
              <w:t>按国际会计准则</w:t>
            </w:r>
          </w:p>
        </w:tc>
        <w:tc>
          <w:tcPr>
            <w:tcW w:w="1809" w:type="dxa"/>
            <w:vAlign w:val="center"/>
          </w:tcPr>
          <w:p>
            <w:pPr>
              <w:jc w:val="right"/>
              <w:rPr>
                <w:rFonts w:ascii="宋体" w:hAnsi="宋体"/>
              </w:rPr>
            </w:pPr>
            <w:r>
              <w:rPr>
                <w:rFonts w:ascii="宋体" w:hAnsi="宋体"/>
              </w:rPr>
              <w:t>8,524,664</w:t>
            </w:r>
          </w:p>
        </w:tc>
        <w:tc>
          <w:tcPr>
            <w:tcW w:w="1810" w:type="dxa"/>
            <w:vAlign w:val="center"/>
          </w:tcPr>
          <w:p>
            <w:pPr>
              <w:jc w:val="right"/>
              <w:rPr>
                <w:rFonts w:ascii="宋体" w:hAnsi="宋体"/>
              </w:rPr>
            </w:pPr>
            <w:r>
              <w:rPr>
                <w:rFonts w:ascii="宋体" w:hAnsi="宋体"/>
              </w:rPr>
              <w:t>14,592,264</w:t>
            </w:r>
          </w:p>
        </w:tc>
        <w:tc>
          <w:tcPr>
            <w:tcW w:w="1811" w:type="dxa"/>
            <w:vAlign w:val="center"/>
          </w:tcPr>
          <w:p>
            <w:pPr>
              <w:jc w:val="right"/>
              <w:rPr>
                <w:rFonts w:ascii="宋体" w:hAnsi="宋体"/>
              </w:rPr>
            </w:pPr>
            <w:r>
              <w:rPr>
                <w:rFonts w:ascii="宋体" w:hAnsi="宋体"/>
              </w:rPr>
              <w:t>71,288,661</w:t>
            </w:r>
          </w:p>
        </w:tc>
        <w:tc>
          <w:tcPr>
            <w:tcW w:w="1812" w:type="dxa"/>
            <w:vAlign w:val="center"/>
          </w:tcPr>
          <w:p>
            <w:pPr>
              <w:jc w:val="right"/>
              <w:rPr>
                <w:rFonts w:ascii="宋体" w:hAnsi="宋体"/>
              </w:rPr>
            </w:pPr>
            <w:r>
              <w:rPr>
                <w:rFonts w:ascii="宋体" w:hAnsi="宋体"/>
              </w:rPr>
              <w:t>64,007,550</w:t>
            </w:r>
          </w:p>
        </w:tc>
      </w:tr>
    </w:tbl>
    <w:p>
      <w:pPr>
        <w:pStyle w:val="Style49"/>
        <w:rPr>
          <w:rFonts w:ascii="宋体" w:hAnsi="宋体"/>
        </w:rPr>
      </w:pPr>
    </w:p>
    <w:p>
      <w:pPr>
        <w:pStyle w:val="3"/>
        <w:numPr>
          <w:ilvl w:val="0"/>
          <w:numId w:val="13"/>
        </w:numPr>
        <w:ind w:left="0" w:firstLine="0"/>
        <w:rPr>
          <w:rFonts w:ascii="宋体" w:hAnsi="宋体"/>
          <w:szCs w:val="21"/>
        </w:rPr>
      </w:pPr>
      <w:r>
        <w:rPr>
          <w:rFonts w:ascii="宋体" w:hAnsi="宋体" w:hint="eastAsia"/>
          <w:szCs w:val="21"/>
        </w:rPr>
        <w:t>同时按照境外会计准则与按中国会计准则披露的财务报告中净利润和归属于上市公司股东的净资产差异情况</w:t>
      </w:r>
    </w:p>
    <w:sdt>
      <w:sdtPr>
        <w:rPr>
          <w:rFonts w:ascii="宋体" w:hAnsi="宋体"/>
        </w:rPr>
        <w:alias w:val="是否适用：同时按照境外会计准则与按中国会计准则披露的财务报告中净利润和净资产差异情况[双击切换]"/>
        <w:tag w:val="_GBC_a97367c44d2842a1bfb53d78727711bb"/>
        <w:id w:val="1603067096"/>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rPr>
          <w:rFonts w:ascii="宋体" w:hAnsi="宋体"/>
        </w:rPr>
      </w:pPr>
    </w:p>
    <w:p>
      <w:pPr>
        <w:pStyle w:val="3"/>
        <w:numPr>
          <w:ilvl w:val="0"/>
          <w:numId w:val="13"/>
        </w:numPr>
        <w:ind w:left="0" w:firstLine="0"/>
        <w:rPr>
          <w:rFonts w:ascii="宋体" w:hAnsi="宋体"/>
          <w:szCs w:val="21"/>
        </w:rPr>
      </w:pPr>
      <w:r>
        <w:rPr>
          <w:rFonts w:ascii="宋体" w:hAnsi="宋体" w:hint="eastAsia"/>
          <w:szCs w:val="21"/>
        </w:rPr>
        <w:lastRenderedPageBreak/>
        <w:t>境内外会计准则差异的说明：</w:t>
      </w:r>
    </w:p>
    <w:sdt>
      <w:sdtPr>
        <w:rPr>
          <w:rFonts w:ascii="宋体" w:hAnsi="宋体"/>
        </w:rPr>
        <w:alias w:val="是否适用：境内外会计准则差异的说明[双击切换]"/>
        <w:tag w:val="_GBC_fb9a5edc484f49ab948423fc0bade519"/>
        <w:id w:val="-991478497"/>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国内外会计准则差异的说明"/>
        <w:tag w:val="_GBC_0abbe754ce6d409bb5d479143230476f"/>
        <w:id w:val="556214283"/>
        <w:placeholder>
          <w:docPart w:val="GBC22222222222222222222222222222"/>
        </w:placeholder>
      </w:sdtPr>
      <w:sdtContent>
        <w:p>
          <w:pPr>
            <w:pStyle w:val="Style49"/>
            <w:ind w:firstLineChars="200" w:firstLine="420"/>
            <w:rPr>
              <w:rFonts w:ascii="宋体" w:hAnsi="宋体"/>
            </w:rPr>
          </w:pPr>
          <w:r>
            <w:rPr>
              <w:rFonts w:ascii="宋体" w:hAnsi="宋体" w:hint="eastAsia"/>
            </w:rPr>
            <w:t>①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pPr>
            <w:pStyle w:val="Style49"/>
            <w:ind w:firstLineChars="200" w:firstLine="420"/>
            <w:jc w:val="both"/>
            <w:rPr>
              <w:rFonts w:ascii="宋体" w:hAnsi="宋体"/>
            </w:rPr>
          </w:pPr>
          <w:r>
            <w:rPr>
              <w:rFonts w:ascii="宋体" w:hAnsi="宋体" w:hint="eastAsia"/>
            </w:rPr>
            <w:t>②根据中国会计准则，母公司发行的永续资本债券在报表中列示于归属于母公司的所有者权益中，子公司发行的永续资本债券在报表中列示于少数股东权益，而在国际准则中需要在权益变动表单独列示。</w:t>
          </w:r>
        </w:p>
        <w:p>
          <w:pPr>
            <w:pStyle w:val="Style49"/>
            <w:ind w:firstLineChars="200" w:firstLine="420"/>
            <w:jc w:val="both"/>
            <w:rPr>
              <w:rFonts w:ascii="宋体" w:hAnsi="宋体"/>
            </w:rPr>
          </w:pPr>
          <w:r>
            <w:rPr>
              <w:rFonts w:ascii="宋体" w:hAnsi="宋体" w:hint="eastAsia"/>
            </w:rPr>
            <w:t>③根据中国会计准则，长期资产减值准备一经确认，不得转回，在国际准则下，长期资产减值准备可以转回。</w:t>
          </w:r>
        </w:p>
        <w:p>
          <w:pPr>
            <w:pStyle w:val="Style49"/>
            <w:ind w:firstLineChars="200" w:firstLine="420"/>
            <w:jc w:val="both"/>
            <w:rPr>
              <w:rFonts w:ascii="宋体" w:hAnsi="宋体"/>
            </w:rPr>
          </w:pPr>
          <w:r>
            <w:rPr>
              <w:rFonts w:ascii="宋体" w:hAnsi="宋体" w:hint="eastAsia"/>
            </w:rPr>
            <w:t>④上述准则差异同时带来税务及少数股东权益的影响差异。</w:t>
          </w:r>
        </w:p>
      </w:sdtContent>
    </w:sdt>
    <w:p>
      <w:pPr>
        <w:pStyle w:val="Style49"/>
        <w:rPr>
          <w:rFonts w:ascii="宋体" w:hAnsi="宋体"/>
        </w:rPr>
      </w:pPr>
    </w:p>
    <w:p>
      <w:pPr>
        <w:pStyle w:val="2"/>
        <w:numPr>
          <w:ilvl w:val="1"/>
          <w:numId w:val="11"/>
        </w:numPr>
        <w:ind w:left="498" w:hangingChars="236" w:hanging="498"/>
        <w:rPr>
          <w:rFonts w:ascii="宋体" w:hAnsi="宋体"/>
          <w:u w:val="single"/>
        </w:rPr>
      </w:pPr>
      <w:r>
        <w:rPr>
          <w:rFonts w:ascii="宋体" w:hAnsi="宋体" w:hint="eastAsia"/>
        </w:rPr>
        <w:t>2025年分季度主要财务数据</w:t>
      </w:r>
    </w:p>
    <w:p>
      <w:pPr>
        <w:jc w:val="right"/>
        <w:rPr>
          <w:rFonts w:ascii="宋体" w:hAnsi="宋体"/>
        </w:rPr>
      </w:pPr>
      <w:r>
        <w:rPr>
          <w:rFonts w:ascii="宋体" w:hAnsi="宋体" w:hint="eastAsia"/>
        </w:rPr>
        <w:t>单位：</w:t>
      </w:r>
      <w:sdt>
        <w:sdtPr>
          <w:rPr>
            <w:rFonts w:ascii="宋体" w:hAnsi="宋体" w:hint="eastAsia"/>
          </w:rPr>
          <w:alias w:val="单位：分季度主要财务数据"/>
          <w:tag w:val="_GBC_c7bf8a69799342519e2da375e77f8d89"/>
          <w:id w:val="20627422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千元</w:t>
          </w:r>
        </w:sdtContent>
      </w:sdt>
      <w:r>
        <w:rPr>
          <w:rFonts w:ascii="宋体" w:hAnsi="宋体" w:hint="eastAsia"/>
        </w:rPr>
        <w:t xml:space="preserve">  币种：</w:t>
      </w:r>
      <w:sdt>
        <w:sdtPr>
          <w:rPr>
            <w:rFonts w:ascii="宋体" w:hAnsi="宋体" w:hint="eastAsia"/>
          </w:rPr>
          <w:alias w:val="币种：分季度主要财务数据"/>
          <w:tag w:val="_GBC_e825fbcd15674ffd86165e4ed7dcbbaf"/>
          <w:id w:val="20185707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Style63"/>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2"/>
        <w:gridCol w:w="1558"/>
        <w:gridCol w:w="1558"/>
        <w:gridCol w:w="1683"/>
      </w:tblGrid>
      <w:tr>
        <w:tc>
          <w:tcPr>
            <w:tcW w:w="2405" w:type="dxa"/>
            <w:vAlign w:val="center"/>
          </w:tcPr>
          <w:p>
            <w:pPr>
              <w:widowControl w:val="0"/>
              <w:jc w:val="center"/>
              <w:rPr>
                <w:rFonts w:ascii="宋体" w:hAnsi="宋体"/>
              </w:rPr>
            </w:pPr>
          </w:p>
        </w:tc>
        <w:sdt>
          <w:sdtPr>
            <w:rPr>
              <w:rFonts w:ascii="宋体" w:hAnsi="宋体"/>
            </w:rPr>
            <w:tag w:val="_PLD_2d7ae3b1c4bd43a98e284f10d0bdc51f"/>
            <w:id w:val="-2135088659"/>
          </w:sdtPr>
          <w:sdtContent>
            <w:tc>
              <w:tcPr>
                <w:tcW w:w="1842" w:type="dxa"/>
                <w:vAlign w:val="center"/>
              </w:tcPr>
              <w:p>
                <w:pPr>
                  <w:widowControl w:val="0"/>
                  <w:jc w:val="center"/>
                  <w:rPr>
                    <w:rFonts w:ascii="宋体" w:hAnsi="宋体"/>
                  </w:rPr>
                </w:pPr>
                <w:r>
                  <w:rPr>
                    <w:rFonts w:ascii="宋体" w:hAnsi="宋体" w:hint="eastAsia"/>
                  </w:rPr>
                  <w:t>第一季度</w:t>
                </w:r>
              </w:p>
              <w:p>
                <w:pPr>
                  <w:widowControl w:val="0"/>
                  <w:jc w:val="center"/>
                  <w:rPr>
                    <w:rFonts w:ascii="宋体" w:hAnsi="宋体"/>
                  </w:rPr>
                </w:pPr>
                <w:r>
                  <w:rPr>
                    <w:rFonts w:ascii="宋体" w:hAnsi="宋体" w:hint="eastAsia"/>
                  </w:rPr>
                  <w:t>（1-3月份）</w:t>
                </w:r>
              </w:p>
            </w:tc>
          </w:sdtContent>
        </w:sdt>
        <w:sdt>
          <w:sdtPr>
            <w:rPr>
              <w:rFonts w:ascii="宋体" w:hAnsi="宋体"/>
            </w:rPr>
            <w:tag w:val="_PLD_07258d0e3e7e4393960c3400b24cda70"/>
            <w:id w:val="-738794623"/>
          </w:sdtPr>
          <w:sdtContent>
            <w:tc>
              <w:tcPr>
                <w:tcW w:w="1558" w:type="dxa"/>
                <w:vAlign w:val="center"/>
              </w:tcPr>
              <w:p>
                <w:pPr>
                  <w:widowControl w:val="0"/>
                  <w:jc w:val="center"/>
                  <w:rPr>
                    <w:rFonts w:ascii="宋体" w:hAnsi="宋体"/>
                  </w:rPr>
                </w:pPr>
                <w:r>
                  <w:rPr>
                    <w:rFonts w:ascii="宋体" w:hAnsi="宋体" w:hint="eastAsia"/>
                  </w:rPr>
                  <w:t>第二季度</w:t>
                </w:r>
              </w:p>
              <w:p>
                <w:pPr>
                  <w:widowControl w:val="0"/>
                  <w:jc w:val="center"/>
                  <w:rPr>
                    <w:rFonts w:ascii="宋体" w:hAnsi="宋体"/>
                  </w:rPr>
                </w:pPr>
                <w:r>
                  <w:rPr>
                    <w:rFonts w:ascii="宋体" w:hAnsi="宋体" w:hint="eastAsia"/>
                  </w:rPr>
                  <w:t>（4-6月份）</w:t>
                </w:r>
              </w:p>
            </w:tc>
          </w:sdtContent>
        </w:sdt>
        <w:sdt>
          <w:sdtPr>
            <w:rPr>
              <w:rFonts w:ascii="宋体" w:hAnsi="宋体"/>
            </w:rPr>
            <w:tag w:val="_PLD_f34790307d174eceaa953001c5186096"/>
            <w:id w:val="757634398"/>
          </w:sdtPr>
          <w:sdtContent>
            <w:tc>
              <w:tcPr>
                <w:tcW w:w="1558" w:type="dxa"/>
                <w:vAlign w:val="center"/>
              </w:tcPr>
              <w:p>
                <w:pPr>
                  <w:widowControl w:val="0"/>
                  <w:jc w:val="center"/>
                  <w:rPr>
                    <w:rFonts w:ascii="宋体" w:hAnsi="宋体"/>
                  </w:rPr>
                </w:pPr>
                <w:r>
                  <w:rPr>
                    <w:rFonts w:ascii="宋体" w:hAnsi="宋体" w:hint="eastAsia"/>
                  </w:rPr>
                  <w:t>第三季度</w:t>
                </w:r>
              </w:p>
              <w:p>
                <w:pPr>
                  <w:widowControl w:val="0"/>
                  <w:jc w:val="center"/>
                  <w:rPr>
                    <w:rFonts w:ascii="宋体" w:hAnsi="宋体"/>
                  </w:rPr>
                </w:pPr>
                <w:r>
                  <w:rPr>
                    <w:rFonts w:ascii="宋体" w:hAnsi="宋体" w:hint="eastAsia"/>
                  </w:rPr>
                  <w:t>（7-9月份）</w:t>
                </w:r>
              </w:p>
            </w:tc>
          </w:sdtContent>
        </w:sdt>
        <w:sdt>
          <w:sdtPr>
            <w:rPr>
              <w:rFonts w:ascii="宋体" w:hAnsi="宋体"/>
            </w:rPr>
            <w:tag w:val="_PLD_18cc80c8863d4859a79676f49ef83412"/>
            <w:id w:val="-1627075405"/>
          </w:sdtPr>
          <w:sdtContent>
            <w:tc>
              <w:tcPr>
                <w:tcW w:w="1683" w:type="dxa"/>
                <w:vAlign w:val="center"/>
              </w:tcPr>
              <w:p>
                <w:pPr>
                  <w:widowControl w:val="0"/>
                  <w:jc w:val="center"/>
                  <w:rPr>
                    <w:rFonts w:ascii="宋体" w:hAnsi="宋体"/>
                  </w:rPr>
                </w:pPr>
                <w:r>
                  <w:rPr>
                    <w:rFonts w:ascii="宋体" w:hAnsi="宋体" w:hint="eastAsia"/>
                  </w:rPr>
                  <w:t>第四季度</w:t>
                </w:r>
              </w:p>
              <w:p>
                <w:pPr>
                  <w:widowControl w:val="0"/>
                  <w:jc w:val="center"/>
                  <w:rPr>
                    <w:rFonts w:ascii="宋体" w:hAnsi="宋体"/>
                  </w:rPr>
                </w:pPr>
                <w:r>
                  <w:rPr>
                    <w:rFonts w:ascii="宋体" w:hAnsi="宋体" w:hint="eastAsia"/>
                  </w:rPr>
                  <w:t>（10-12月份）</w:t>
                </w:r>
              </w:p>
            </w:tc>
          </w:sdtContent>
        </w:sdt>
      </w:tr>
      <w:tr>
        <w:tc>
          <w:tcPr>
            <w:tcW w:w="2405" w:type="dxa"/>
            <w:vAlign w:val="center"/>
          </w:tcPr>
          <w:p>
            <w:pPr>
              <w:widowControl w:val="0"/>
              <w:jc w:val="both"/>
              <w:rPr>
                <w:rFonts w:ascii="宋体" w:hAnsi="宋体"/>
              </w:rPr>
            </w:pPr>
            <w:r>
              <w:rPr>
                <w:rFonts w:ascii="宋体" w:hAnsi="宋体" w:hint="eastAsia"/>
              </w:rPr>
              <w:t>营业收入</w:t>
            </w:r>
          </w:p>
        </w:tc>
        <w:tc>
          <w:tcPr>
            <w:tcW w:w="1842"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33,966,917 </w:t>
            </w:r>
          </w:p>
        </w:tc>
        <w:tc>
          <w:tcPr>
            <w:tcW w:w="155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32,974,353 </w:t>
            </w:r>
          </w:p>
        </w:tc>
        <w:tc>
          <w:tcPr>
            <w:tcW w:w="1558"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38,603,818 </w:t>
            </w:r>
          </w:p>
        </w:tc>
        <w:tc>
          <w:tcPr>
            <w:tcW w:w="1683"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39,387,771 </w:t>
            </w:r>
          </w:p>
        </w:tc>
      </w:tr>
      <w:tr>
        <w:tc>
          <w:tcPr>
            <w:tcW w:w="2405" w:type="dxa"/>
            <w:vAlign w:val="center"/>
          </w:tcPr>
          <w:p>
            <w:pPr>
              <w:widowControl w:val="0"/>
              <w:jc w:val="both"/>
              <w:rPr>
                <w:rFonts w:ascii="宋体" w:hAnsi="宋体"/>
              </w:rPr>
            </w:pPr>
            <w:r>
              <w:rPr>
                <w:rFonts w:ascii="宋体" w:hAnsi="宋体" w:hint="eastAsia"/>
              </w:rPr>
              <w:t>归属于上市公司股东的净利润</w:t>
            </w:r>
          </w:p>
        </w:tc>
        <w:tc>
          <w:tcPr>
            <w:tcW w:w="1842" w:type="dxa"/>
            <w:vAlign w:val="center"/>
          </w:tcPr>
          <w:p>
            <w:pPr>
              <w:jc w:val="right"/>
              <w:rPr>
                <w:rFonts w:ascii="宋体" w:hAnsi="宋体"/>
              </w:rPr>
            </w:pPr>
            <w:r>
              <w:rPr>
                <w:rFonts w:ascii="宋体" w:hAnsi="宋体"/>
              </w:rPr>
              <w:t xml:space="preserve"> 2,782,369 </w:t>
            </w:r>
          </w:p>
        </w:tc>
        <w:tc>
          <w:tcPr>
            <w:tcW w:w="1558" w:type="dxa"/>
            <w:vAlign w:val="center"/>
          </w:tcPr>
          <w:p>
            <w:pPr>
              <w:jc w:val="right"/>
              <w:rPr>
                <w:rFonts w:ascii="宋体" w:hAnsi="宋体"/>
              </w:rPr>
            </w:pPr>
            <w:r>
              <w:rPr>
                <w:rFonts w:ascii="宋体" w:hAnsi="宋体"/>
              </w:rPr>
              <w:t xml:space="preserve"> 2,056,715 </w:t>
            </w:r>
          </w:p>
        </w:tc>
        <w:tc>
          <w:tcPr>
            <w:tcW w:w="1558" w:type="dxa"/>
            <w:vAlign w:val="center"/>
          </w:tcPr>
          <w:p>
            <w:pPr>
              <w:jc w:val="right"/>
              <w:rPr>
                <w:rFonts w:ascii="宋体" w:hAnsi="宋体"/>
              </w:rPr>
            </w:pPr>
            <w:r>
              <w:rPr>
                <w:rFonts w:ascii="宋体" w:hAnsi="宋体"/>
              </w:rPr>
              <w:t xml:space="preserve"> 2,289,783 </w:t>
            </w:r>
          </w:p>
        </w:tc>
        <w:tc>
          <w:tcPr>
            <w:tcW w:w="1683" w:type="dxa"/>
            <w:vAlign w:val="center"/>
          </w:tcPr>
          <w:p>
            <w:pPr>
              <w:jc w:val="right"/>
              <w:rPr>
                <w:rFonts w:ascii="宋体" w:hAnsi="宋体"/>
              </w:rPr>
            </w:pPr>
            <w:r>
              <w:rPr>
                <w:rFonts w:ascii="宋体" w:hAnsi="宋体"/>
              </w:rPr>
              <w:t xml:space="preserve"> 1,252,081 </w:t>
            </w:r>
          </w:p>
        </w:tc>
      </w:tr>
      <w:tr>
        <w:tc>
          <w:tcPr>
            <w:tcW w:w="2405" w:type="dxa"/>
            <w:vAlign w:val="center"/>
          </w:tcPr>
          <w:p>
            <w:pPr>
              <w:widowControl w:val="0"/>
              <w:jc w:val="both"/>
              <w:rPr>
                <w:rFonts w:ascii="宋体" w:hAnsi="宋体"/>
              </w:rPr>
            </w:pPr>
            <w:r>
              <w:rPr>
                <w:rFonts w:ascii="宋体" w:hAnsi="宋体" w:hint="eastAsia"/>
              </w:rPr>
              <w:t>归属于上市公司股东的扣除非经常性损益后的净利润</w:t>
            </w:r>
          </w:p>
        </w:tc>
        <w:tc>
          <w:tcPr>
            <w:tcW w:w="1842" w:type="dxa"/>
            <w:vAlign w:val="center"/>
          </w:tcPr>
          <w:p>
            <w:pPr>
              <w:jc w:val="right"/>
              <w:rPr>
                <w:rFonts w:ascii="宋体" w:hAnsi="宋体"/>
              </w:rPr>
            </w:pPr>
            <w:r>
              <w:rPr>
                <w:rFonts w:ascii="宋体" w:hAnsi="宋体"/>
              </w:rPr>
              <w:t xml:space="preserve"> 2,728,549 </w:t>
            </w:r>
          </w:p>
        </w:tc>
        <w:tc>
          <w:tcPr>
            <w:tcW w:w="1558" w:type="dxa"/>
            <w:vAlign w:val="center"/>
          </w:tcPr>
          <w:p>
            <w:pPr>
              <w:jc w:val="right"/>
              <w:rPr>
                <w:rFonts w:ascii="宋体" w:hAnsi="宋体"/>
              </w:rPr>
            </w:pPr>
            <w:r>
              <w:rPr>
                <w:rFonts w:ascii="宋体" w:hAnsi="宋体"/>
              </w:rPr>
              <w:t xml:space="preserve"> 1,701,111 </w:t>
            </w:r>
          </w:p>
        </w:tc>
        <w:tc>
          <w:tcPr>
            <w:tcW w:w="1558" w:type="dxa"/>
            <w:vAlign w:val="center"/>
          </w:tcPr>
          <w:p>
            <w:pPr>
              <w:jc w:val="right"/>
              <w:rPr>
                <w:rFonts w:ascii="宋体" w:hAnsi="宋体"/>
              </w:rPr>
            </w:pPr>
            <w:r>
              <w:rPr>
                <w:rFonts w:ascii="宋体" w:hAnsi="宋体"/>
              </w:rPr>
              <w:t xml:space="preserve"> 2,089,229 </w:t>
            </w:r>
          </w:p>
        </w:tc>
        <w:tc>
          <w:tcPr>
            <w:tcW w:w="1683" w:type="dxa"/>
            <w:vAlign w:val="center"/>
          </w:tcPr>
          <w:p>
            <w:pPr>
              <w:jc w:val="right"/>
              <w:rPr>
                <w:rFonts w:ascii="宋体" w:hAnsi="宋体"/>
              </w:rPr>
            </w:pPr>
            <w:r>
              <w:rPr>
                <w:rFonts w:ascii="宋体" w:hAnsi="宋体"/>
              </w:rPr>
              <w:t xml:space="preserve"> 880,100 </w:t>
            </w:r>
          </w:p>
        </w:tc>
      </w:tr>
      <w:tr>
        <w:tc>
          <w:tcPr>
            <w:tcW w:w="2405" w:type="dxa"/>
            <w:vAlign w:val="center"/>
          </w:tcPr>
          <w:p>
            <w:pPr>
              <w:widowControl w:val="0"/>
              <w:jc w:val="both"/>
              <w:rPr>
                <w:rFonts w:ascii="宋体" w:hAnsi="宋体"/>
              </w:rPr>
            </w:pPr>
            <w:r>
              <w:rPr>
                <w:rFonts w:ascii="宋体" w:hAnsi="宋体" w:hint="eastAsia"/>
              </w:rPr>
              <w:t>经营活动产生的现金流量净额</w:t>
            </w:r>
            <w:r>
              <w:rPr>
                <w:rFonts w:ascii="宋体" w:hAnsi="宋体" w:hint="eastAsia"/>
                <w:vertAlign w:val="superscript"/>
              </w:rPr>
              <w:t>②</w:t>
            </w:r>
          </w:p>
        </w:tc>
        <w:tc>
          <w:tcPr>
            <w:tcW w:w="1842" w:type="dxa"/>
            <w:vAlign w:val="center"/>
          </w:tcPr>
          <w:p>
            <w:pPr>
              <w:jc w:val="right"/>
              <w:rPr>
                <w:rFonts w:ascii="宋体" w:hAnsi="宋体"/>
              </w:rPr>
            </w:pPr>
            <w:r>
              <w:rPr>
                <w:rFonts w:ascii="宋体" w:hAnsi="宋体"/>
              </w:rPr>
              <w:t xml:space="preserve"> 3,565,723 </w:t>
            </w:r>
          </w:p>
        </w:tc>
        <w:tc>
          <w:tcPr>
            <w:tcW w:w="1558" w:type="dxa"/>
            <w:vAlign w:val="center"/>
          </w:tcPr>
          <w:p>
            <w:pPr>
              <w:jc w:val="right"/>
              <w:rPr>
                <w:rFonts w:ascii="宋体" w:hAnsi="宋体"/>
              </w:rPr>
            </w:pPr>
            <w:r>
              <w:rPr>
                <w:rFonts w:ascii="宋体" w:hAnsi="宋体"/>
              </w:rPr>
              <w:t xml:space="preserve"> 10,434,981 </w:t>
            </w:r>
          </w:p>
        </w:tc>
        <w:tc>
          <w:tcPr>
            <w:tcW w:w="1558" w:type="dxa"/>
            <w:vAlign w:val="center"/>
          </w:tcPr>
          <w:p>
            <w:pPr>
              <w:jc w:val="right"/>
              <w:rPr>
                <w:rFonts w:ascii="宋体" w:hAnsi="宋体"/>
              </w:rPr>
            </w:pPr>
            <w:r>
              <w:rPr>
                <w:rFonts w:ascii="宋体" w:hAnsi="宋体"/>
              </w:rPr>
              <w:t xml:space="preserve"> 5,640,442 </w:t>
            </w:r>
          </w:p>
        </w:tc>
        <w:tc>
          <w:tcPr>
            <w:tcW w:w="1683" w:type="dxa"/>
            <w:vAlign w:val="center"/>
          </w:tcPr>
          <w:p>
            <w:pPr>
              <w:jc w:val="right"/>
              <w:rPr>
                <w:rFonts w:ascii="宋体" w:hAnsi="宋体"/>
              </w:rPr>
            </w:pPr>
            <w:r>
              <w:rPr>
                <w:rFonts w:ascii="宋体" w:hAnsi="宋体"/>
              </w:rPr>
              <w:t xml:space="preserve"> -156,352 </w:t>
            </w:r>
          </w:p>
        </w:tc>
      </w:tr>
    </w:tbl>
    <w:p>
      <w:pPr>
        <w:pStyle w:val="Style49"/>
        <w:rPr>
          <w:rFonts w:ascii="宋体" w:hAnsi="宋体"/>
        </w:rPr>
      </w:pPr>
    </w:p>
    <w:p>
      <w:pPr>
        <w:rPr>
          <w:rFonts w:ascii="宋体" w:hAnsi="宋体"/>
          <w:bCs/>
          <w:kern w:val="2"/>
        </w:rPr>
      </w:pPr>
      <w:r>
        <w:rPr>
          <w:rFonts w:ascii="宋体" w:hAnsi="宋体" w:hint="eastAsia"/>
          <w:bCs/>
          <w:kern w:val="2"/>
        </w:rPr>
        <w:t>季度数据与已披露定期报告数据差异说明</w:t>
      </w:r>
    </w:p>
    <w:sdt>
      <w:sdtPr>
        <w:rPr>
          <w:rFonts w:ascii="宋体" w:hAnsi="宋体"/>
        </w:rPr>
        <w:alias w:val="是否适用：季度数据与已披露定期报告数据差异说明[双击切换]"/>
        <w:tag w:val="_GBC_90abe51569fb4ccda7eaf6149fe8f3a9"/>
        <w:id w:val="1703669967"/>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季度数据与已披露定期报告数据差异说明"/>
        <w:tag w:val="_GBC_25611baa6e8c46288aaacb6a177031a7"/>
        <w:id w:val="-1259901452"/>
        <w:placeholder>
          <w:docPart w:val="GBC22222222222222222222222222222"/>
        </w:placeholder>
      </w:sdtPr>
      <w:sdtContent>
        <w:p>
          <w:pPr>
            <w:ind w:firstLineChars="200" w:firstLine="420"/>
            <w:rPr>
              <w:rFonts w:ascii="宋体" w:hAnsi="宋体"/>
            </w:rPr>
          </w:pPr>
          <w:r>
            <w:rPr>
              <w:rFonts w:ascii="宋体" w:hAnsi="宋体" w:hint="eastAsia"/>
            </w:rPr>
            <w:t>①报告期内公司合并西北矿业等公司财务报表，构成同一控制下企业合并，公司对以往前期间相关财务数据进行了追溯调整。上表财务指标与已披露的数据不同。</w:t>
          </w:r>
        </w:p>
        <w:p>
          <w:pPr>
            <w:ind w:firstLineChars="200" w:firstLine="420"/>
            <w:jc w:val="both"/>
            <w:rPr>
              <w:rFonts w:ascii="宋体" w:hAnsi="宋体"/>
            </w:rPr>
          </w:pPr>
          <w:r>
            <w:rPr>
              <w:rFonts w:ascii="宋体" w:hAnsi="宋体" w:hint="eastAsia"/>
            </w:rPr>
            <w:t>②第四季度经营活动产生的现金流量净额环比减少，主要是由于：山能财司对外提供存贷款等金融服务，影响本集团经营活动产生的现金流量变动。剔除山能财司对经营活动现金流的影响后，第四季度经营活动产生的现金流量净额为</w:t>
          </w:r>
          <w:r>
            <w:rPr>
              <w:rFonts w:ascii="宋体" w:hAnsi="宋体"/>
            </w:rPr>
            <w:t>45.74</w:t>
          </w:r>
          <w:r>
            <w:rPr>
              <w:rFonts w:ascii="宋体" w:hAnsi="宋体" w:hint="eastAsia"/>
            </w:rPr>
            <w:t>亿元，第三季度为4</w:t>
          </w:r>
          <w:r>
            <w:rPr>
              <w:rFonts w:ascii="宋体" w:hAnsi="宋体"/>
            </w:rPr>
            <w:t>7.12</w:t>
          </w:r>
          <w:r>
            <w:rPr>
              <w:rFonts w:ascii="宋体" w:hAnsi="宋体" w:hint="eastAsia"/>
            </w:rPr>
            <w:t>亿元，未发生较大变动。</w:t>
          </w:r>
        </w:p>
      </w:sdtContent>
    </w:sdt>
    <w:p>
      <w:pPr>
        <w:pStyle w:val="Style49"/>
        <w:rPr>
          <w:rFonts w:ascii="宋体" w:hAnsi="宋体"/>
        </w:rPr>
      </w:pPr>
    </w:p>
    <w:p>
      <w:pPr>
        <w:pStyle w:val="2"/>
        <w:numPr>
          <w:ilvl w:val="1"/>
          <w:numId w:val="11"/>
        </w:numPr>
        <w:ind w:left="498" w:hangingChars="236" w:hanging="498"/>
        <w:rPr>
          <w:rFonts w:ascii="宋体" w:hAnsi="宋体"/>
          <w:u w:val="single"/>
        </w:rPr>
      </w:pPr>
      <w:bookmarkStart w:id="30" w:name="_Hlk24640273"/>
      <w:bookmarkStart w:id="31" w:name="_Hlk152579713"/>
      <w:r>
        <w:rPr>
          <w:rFonts w:ascii="宋体" w:hAnsi="宋体" w:hint="eastAsia"/>
        </w:rPr>
        <w:t>非经常性损益项目和金额</w:t>
      </w:r>
    </w:p>
    <w:sdt>
      <w:sdtPr>
        <w:rPr>
          <w:rFonts w:ascii="宋体" w:hAnsi="宋体"/>
        </w:rPr>
        <w:alias w:val="是否适用：扣除非经常性损益项目和金额[双击切换]"/>
        <w:tag w:val="_GBC_d311c3479a4945ceb1266734910915b6"/>
        <w:id w:val="-2143872916"/>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rPr>
          <w:rFonts w:ascii="宋体" w:hAnsi="宋体"/>
        </w:rPr>
      </w:pPr>
      <w:r>
        <w:rPr>
          <w:rFonts w:ascii="宋体" w:hAnsi="宋体" w:hint="eastAsia"/>
        </w:rPr>
        <w:t>单位：</w:t>
      </w:r>
      <w:sdt>
        <w:sdtPr>
          <w:rPr>
            <w:rFonts w:ascii="宋体" w:hAnsi="宋体" w:hint="eastAsia"/>
          </w:rPr>
          <w:alias w:val="单位：扣除非经常性损益项目和金额"/>
          <w:tag w:val="_GBC_120471c8e4434d7bbf8c91141121ab39"/>
          <w:id w:val="905182108"/>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千元</w:t>
          </w:r>
        </w:sdtContent>
      </w:sdt>
      <w:r>
        <w:rPr>
          <w:rFonts w:ascii="宋体" w:hAnsi="宋体" w:hint="eastAsia"/>
        </w:rPr>
        <w:t xml:space="preserve">  币种：</w:t>
      </w:r>
      <w:sdt>
        <w:sdtPr>
          <w:rPr>
            <w:rFonts w:ascii="宋体" w:hAnsi="宋体" w:hint="eastAsia"/>
          </w:rPr>
          <w:alias w:val="币种：扣除非经常性损益项目和金额"/>
          <w:tag w:val="_GBC_8d756f42e06c4610a2149f35e1d51a62"/>
          <w:id w:val="-140957558"/>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aff4"/>
        <w:tblW w:w="9043" w:type="dxa"/>
        <w:tblLayout w:type="fixed"/>
        <w:tblLook w:val="04A0" w:firstRow="1" w:lastRow="0" w:firstColumn="1" w:lastColumn="0" w:noHBand="0" w:noVBand="1"/>
      </w:tblPr>
      <w:tblGrid>
        <w:gridCol w:w="3984"/>
        <w:gridCol w:w="1695"/>
        <w:gridCol w:w="1691"/>
        <w:gridCol w:w="1673"/>
      </w:tblGrid>
      <w:tr>
        <w:bookmarkEnd w:id="31" w:displacedByCustomXml="next"/>
        <w:bookmarkEnd w:id="30" w:displacedByCustomXml="next"/>
        <w:bookmarkStart w:id="32" w:name="_Hlk89096484" w:displacedByCustomXml="next"/>
        <w:bookmarkStart w:id="33" w:name="_Hlk41379873" w:displacedByCustomXml="next"/>
        <w:sdt>
          <w:sdtPr>
            <w:rPr>
              <w:rFonts w:ascii="宋体" w:hAnsi="宋体"/>
              <w:szCs w:val="21"/>
            </w:rPr>
            <w:tag w:val="_PLD_451a5b1d22614c45b1fbba1d8acc3cbb"/>
            <w:id w:val="-1781638436"/>
          </w:sdtPr>
          <w:sdtContent>
            <w:tc>
              <w:tcPr>
                <w:tcW w:w="3984" w:type="dxa"/>
                <w:vAlign w:val="center"/>
              </w:tcPr>
              <w:p>
                <w:pPr>
                  <w:pStyle w:val="aff9"/>
                  <w:ind w:firstLineChars="0" w:firstLine="0"/>
                  <w:jc w:val="center"/>
                  <w:rPr>
                    <w:rFonts w:ascii="宋体" w:hAnsi="宋体"/>
                    <w:szCs w:val="21"/>
                  </w:rPr>
                </w:pPr>
                <w:r>
                  <w:rPr>
                    <w:rFonts w:ascii="宋体" w:hAnsi="宋体" w:hint="eastAsia"/>
                    <w:szCs w:val="21"/>
                  </w:rPr>
                  <w:t>非经常性损益项目</w:t>
                </w:r>
              </w:p>
            </w:tc>
          </w:sdtContent>
        </w:sdt>
        <w:sdt>
          <w:sdtPr>
            <w:rPr>
              <w:rFonts w:ascii="宋体" w:hAnsi="宋体"/>
              <w:szCs w:val="21"/>
            </w:rPr>
            <w:tag w:val="_PLD_75a853b22038430db055de446a19d683"/>
            <w:id w:val="-200322610"/>
          </w:sdtPr>
          <w:sdtContent>
            <w:tc>
              <w:tcPr>
                <w:tcW w:w="1695" w:type="dxa"/>
                <w:vAlign w:val="center"/>
              </w:tcPr>
              <w:p>
                <w:pPr>
                  <w:pStyle w:val="aff9"/>
                  <w:ind w:firstLineChars="0" w:firstLine="0"/>
                  <w:jc w:val="center"/>
                  <w:rPr>
                    <w:rFonts w:ascii="宋体" w:hAnsi="宋体"/>
                    <w:szCs w:val="21"/>
                  </w:rPr>
                </w:pPr>
                <w:r>
                  <w:rPr>
                    <w:rFonts w:ascii="宋体" w:hAnsi="宋体" w:hint="eastAsia"/>
                    <w:szCs w:val="21"/>
                  </w:rPr>
                  <w:t>2025年金额</w:t>
                </w:r>
              </w:p>
            </w:tc>
          </w:sdtContent>
        </w:sdt>
        <w:sdt>
          <w:sdtPr>
            <w:rPr>
              <w:rFonts w:ascii="宋体" w:hAnsi="宋体"/>
              <w:szCs w:val="21"/>
            </w:rPr>
            <w:tag w:val="_PLD_7178520950424696adfe1eb7e010035c"/>
            <w:id w:val="-353895245"/>
          </w:sdtPr>
          <w:sdtContent>
            <w:tc>
              <w:tcPr>
                <w:tcW w:w="1691" w:type="dxa"/>
                <w:vAlign w:val="center"/>
              </w:tcPr>
              <w:p>
                <w:pPr>
                  <w:pStyle w:val="aff9"/>
                  <w:ind w:firstLineChars="0" w:firstLine="0"/>
                  <w:jc w:val="center"/>
                  <w:rPr>
                    <w:rFonts w:ascii="宋体" w:hAnsi="宋体"/>
                    <w:szCs w:val="21"/>
                  </w:rPr>
                </w:pPr>
                <w:r>
                  <w:rPr>
                    <w:rFonts w:ascii="宋体" w:hAnsi="宋体" w:hint="eastAsia"/>
                    <w:szCs w:val="21"/>
                  </w:rPr>
                  <w:t>2024年金额</w:t>
                </w:r>
              </w:p>
            </w:tc>
          </w:sdtContent>
        </w:sdt>
        <w:sdt>
          <w:sdtPr>
            <w:rPr>
              <w:rFonts w:ascii="宋体" w:hAnsi="宋体"/>
              <w:szCs w:val="21"/>
            </w:rPr>
            <w:tag w:val="_PLD_870e9453ef9d4928968c60216a29f211"/>
            <w:id w:val="-1109818336"/>
          </w:sdtPr>
          <w:sdtContent>
            <w:tc>
              <w:tcPr>
                <w:tcW w:w="1673" w:type="dxa"/>
                <w:vAlign w:val="center"/>
              </w:tcPr>
              <w:p>
                <w:pPr>
                  <w:pStyle w:val="aff9"/>
                  <w:ind w:firstLineChars="0" w:firstLine="0"/>
                  <w:jc w:val="center"/>
                  <w:rPr>
                    <w:rFonts w:ascii="宋体" w:hAnsi="宋体"/>
                    <w:szCs w:val="21"/>
                  </w:rPr>
                </w:pPr>
                <w:r>
                  <w:rPr>
                    <w:rFonts w:ascii="宋体" w:hAnsi="宋体" w:hint="eastAsia"/>
                    <w:szCs w:val="21"/>
                  </w:rPr>
                  <w:t>2023年金额</w:t>
                </w:r>
              </w:p>
            </w:tc>
          </w:sdtContent>
        </w:sdt>
      </w:tr>
      <w:tr>
        <w:tc>
          <w:tcPr>
            <w:tcW w:w="3984" w:type="dxa"/>
            <w:vAlign w:val="center"/>
          </w:tcPr>
          <w:p>
            <w:pPr>
              <w:pStyle w:val="aff9"/>
              <w:ind w:firstLineChars="0" w:firstLine="0"/>
              <w:jc w:val="left"/>
              <w:rPr>
                <w:rFonts w:ascii="宋体" w:hAnsi="宋体"/>
                <w:szCs w:val="21"/>
              </w:rPr>
            </w:pPr>
            <w:r>
              <w:rPr>
                <w:rFonts w:ascii="宋体" w:hAnsi="宋体"/>
                <w:szCs w:val="21"/>
              </w:rPr>
              <w:t>非流动</w:t>
            </w:r>
            <w:r>
              <w:rPr>
                <w:rFonts w:ascii="宋体" w:hAnsi="宋体" w:hint="eastAsia"/>
                <w:szCs w:val="21"/>
              </w:rPr>
              <w:t>性</w:t>
            </w:r>
            <w:r>
              <w:rPr>
                <w:rFonts w:ascii="宋体" w:hAnsi="宋体"/>
                <w:szCs w:val="21"/>
              </w:rPr>
              <w:t>资产处置损益</w:t>
            </w:r>
            <w:r>
              <w:rPr>
                <w:rFonts w:ascii="宋体" w:hAnsi="宋体" w:hint="eastAsia"/>
                <w:szCs w:val="21"/>
              </w:rPr>
              <w:t>，包括已计提资产减值准备的冲销部分</w:t>
            </w:r>
          </w:p>
        </w:tc>
        <w:tc>
          <w:tcPr>
            <w:tcW w:w="1695" w:type="dxa"/>
            <w:vAlign w:val="center"/>
          </w:tcPr>
          <w:p>
            <w:pPr>
              <w:jc w:val="right"/>
              <w:rPr>
                <w:rFonts w:ascii="宋体" w:hAnsi="宋体"/>
              </w:rPr>
            </w:pPr>
            <w:r>
              <w:rPr>
                <w:rFonts w:ascii="宋体" w:hAnsi="宋体"/>
              </w:rPr>
              <w:t xml:space="preserve">771,118 </w:t>
            </w:r>
          </w:p>
        </w:tc>
        <w:tc>
          <w:tcPr>
            <w:tcW w:w="1691" w:type="dxa"/>
            <w:vAlign w:val="center"/>
          </w:tcPr>
          <w:p>
            <w:pPr>
              <w:jc w:val="right"/>
              <w:rPr>
                <w:rFonts w:ascii="宋体" w:hAnsi="宋体"/>
              </w:rPr>
            </w:pPr>
            <w:r>
              <w:rPr>
                <w:rFonts w:ascii="宋体" w:hAnsi="宋体"/>
              </w:rPr>
              <w:t xml:space="preserve">357,575 </w:t>
            </w:r>
          </w:p>
        </w:tc>
        <w:tc>
          <w:tcPr>
            <w:tcW w:w="1673" w:type="dxa"/>
            <w:vAlign w:val="center"/>
          </w:tcPr>
          <w:p>
            <w:pPr>
              <w:jc w:val="right"/>
              <w:rPr>
                <w:rFonts w:ascii="宋体" w:hAnsi="宋体"/>
              </w:rPr>
            </w:pPr>
            <w:r>
              <w:rPr>
                <w:rFonts w:ascii="宋体" w:hAnsi="宋体"/>
              </w:rPr>
              <w:t xml:space="preserve">-21,668 </w:t>
            </w:r>
          </w:p>
        </w:tc>
      </w:tr>
      <w:tr>
        <w:tc>
          <w:tcPr>
            <w:tcW w:w="3984" w:type="dxa"/>
            <w:vAlign w:val="center"/>
          </w:tcPr>
          <w:p>
            <w:pPr>
              <w:pStyle w:val="aff9"/>
              <w:ind w:firstLineChars="0" w:firstLine="0"/>
              <w:jc w:val="left"/>
              <w:rPr>
                <w:rFonts w:ascii="宋体" w:hAnsi="宋体"/>
                <w:szCs w:val="21"/>
              </w:rPr>
            </w:pPr>
            <w:r>
              <w:rPr>
                <w:rFonts w:ascii="宋体" w:hAnsi="宋体"/>
                <w:szCs w:val="21"/>
              </w:rPr>
              <w:t>计入当期损益的政府补助</w:t>
            </w:r>
            <w:r>
              <w:rPr>
                <w:rFonts w:ascii="宋体" w:hAnsi="宋体" w:hint="eastAsia"/>
                <w:szCs w:val="21"/>
              </w:rPr>
              <w:t>，但与公司正常经营业务密切相关、符合国家政策规定、按照确定的标准享有、对公司损益产生持续影响的政府补助除外</w:t>
            </w:r>
          </w:p>
        </w:tc>
        <w:tc>
          <w:tcPr>
            <w:tcW w:w="1695" w:type="dxa"/>
            <w:vAlign w:val="center"/>
          </w:tcPr>
          <w:p>
            <w:pPr>
              <w:jc w:val="right"/>
              <w:rPr>
                <w:rFonts w:ascii="宋体" w:hAnsi="宋体"/>
              </w:rPr>
            </w:pPr>
            <w:r>
              <w:rPr>
                <w:rFonts w:ascii="宋体" w:hAnsi="宋体"/>
              </w:rPr>
              <w:t xml:space="preserve">206,720 </w:t>
            </w:r>
          </w:p>
        </w:tc>
        <w:tc>
          <w:tcPr>
            <w:tcW w:w="1691" w:type="dxa"/>
            <w:vAlign w:val="center"/>
          </w:tcPr>
          <w:p>
            <w:pPr>
              <w:jc w:val="right"/>
              <w:rPr>
                <w:rFonts w:ascii="宋体" w:hAnsi="宋体"/>
              </w:rPr>
            </w:pPr>
            <w:r>
              <w:rPr>
                <w:rFonts w:ascii="宋体" w:hAnsi="宋体"/>
              </w:rPr>
              <w:t xml:space="preserve">322,303 </w:t>
            </w:r>
          </w:p>
        </w:tc>
        <w:tc>
          <w:tcPr>
            <w:tcW w:w="1673" w:type="dxa"/>
            <w:vAlign w:val="center"/>
          </w:tcPr>
          <w:p>
            <w:pPr>
              <w:jc w:val="right"/>
              <w:rPr>
                <w:rFonts w:ascii="宋体" w:hAnsi="宋体"/>
              </w:rPr>
            </w:pPr>
            <w:r>
              <w:rPr>
                <w:rFonts w:ascii="宋体" w:hAnsi="宋体"/>
              </w:rPr>
              <w:t xml:space="preserve">264,378 </w:t>
            </w:r>
          </w:p>
        </w:tc>
      </w:tr>
      <w:tr>
        <w:tc>
          <w:tcPr>
            <w:tcW w:w="3984" w:type="dxa"/>
            <w:vAlign w:val="center"/>
          </w:tcPr>
          <w:p>
            <w:pPr>
              <w:pStyle w:val="aff9"/>
              <w:ind w:firstLineChars="0" w:firstLine="0"/>
              <w:jc w:val="left"/>
              <w:rPr>
                <w:rFonts w:ascii="宋体" w:hAnsi="宋体"/>
                <w:szCs w:val="21"/>
              </w:rPr>
            </w:pPr>
            <w:r>
              <w:rPr>
                <w:rFonts w:ascii="宋体" w:hAnsi="宋体" w:hint="eastAsia"/>
                <w:szCs w:val="21"/>
              </w:rPr>
              <w:t>除同公司正常经营业务相关的有效套期保值业务外，</w:t>
            </w:r>
            <w:r>
              <w:rPr>
                <w:rFonts w:ascii="宋体" w:hAnsi="宋体"/>
                <w:szCs w:val="21"/>
              </w:rPr>
              <w:t>非金融企业持有金融资产</w:t>
            </w:r>
            <w:r>
              <w:rPr>
                <w:rFonts w:ascii="宋体" w:hAnsi="宋体"/>
                <w:szCs w:val="21"/>
              </w:rPr>
              <w:lastRenderedPageBreak/>
              <w:t>和金融负债产生的公允价值变动损益以及处置金融资产和金融负债产生的损益</w:t>
            </w:r>
          </w:p>
        </w:tc>
        <w:tc>
          <w:tcPr>
            <w:tcW w:w="1695" w:type="dxa"/>
            <w:vAlign w:val="center"/>
          </w:tcPr>
          <w:p>
            <w:pPr>
              <w:jc w:val="right"/>
              <w:rPr>
                <w:rFonts w:ascii="宋体" w:hAnsi="宋体"/>
              </w:rPr>
            </w:pPr>
            <w:r>
              <w:rPr>
                <w:rFonts w:ascii="宋体" w:hAnsi="宋体"/>
              </w:rPr>
              <w:lastRenderedPageBreak/>
              <w:t xml:space="preserve">99,128 </w:t>
            </w:r>
          </w:p>
        </w:tc>
        <w:tc>
          <w:tcPr>
            <w:tcW w:w="1691" w:type="dxa"/>
            <w:vAlign w:val="center"/>
          </w:tcPr>
          <w:p>
            <w:pPr>
              <w:jc w:val="right"/>
              <w:rPr>
                <w:rFonts w:ascii="宋体" w:hAnsi="宋体"/>
              </w:rPr>
            </w:pPr>
            <w:r>
              <w:rPr>
                <w:rFonts w:ascii="宋体" w:hAnsi="宋体"/>
              </w:rPr>
              <w:t xml:space="preserve">64,443 </w:t>
            </w:r>
          </w:p>
        </w:tc>
        <w:tc>
          <w:tcPr>
            <w:tcW w:w="1673" w:type="dxa"/>
            <w:vAlign w:val="center"/>
          </w:tcPr>
          <w:p>
            <w:pPr>
              <w:jc w:val="right"/>
              <w:rPr>
                <w:rFonts w:ascii="宋体" w:hAnsi="宋体"/>
              </w:rPr>
            </w:pPr>
            <w:r>
              <w:rPr>
                <w:rFonts w:ascii="宋体" w:hAnsi="宋体"/>
              </w:rPr>
              <w:t xml:space="preserve">62,770 </w:t>
            </w:r>
          </w:p>
        </w:tc>
      </w:tr>
      <w:tr>
        <w:tc>
          <w:tcPr>
            <w:tcW w:w="3984" w:type="dxa"/>
            <w:vAlign w:val="center"/>
          </w:tcPr>
          <w:p>
            <w:pPr>
              <w:pStyle w:val="aff9"/>
              <w:ind w:firstLineChars="0" w:firstLine="0"/>
              <w:jc w:val="left"/>
              <w:rPr>
                <w:rFonts w:ascii="宋体" w:hAnsi="宋体"/>
                <w:szCs w:val="21"/>
              </w:rPr>
            </w:pPr>
            <w:r>
              <w:rPr>
                <w:rFonts w:ascii="宋体" w:hAnsi="宋体" w:hint="eastAsia"/>
                <w:szCs w:val="21"/>
              </w:rPr>
              <w:t>单独进行减值测试的应收款项减值准备转回</w:t>
            </w:r>
          </w:p>
        </w:tc>
        <w:tc>
          <w:tcPr>
            <w:tcW w:w="1695" w:type="dxa"/>
            <w:vAlign w:val="center"/>
          </w:tcPr>
          <w:p>
            <w:pPr>
              <w:jc w:val="right"/>
              <w:rPr>
                <w:rFonts w:ascii="宋体" w:hAnsi="宋体"/>
              </w:rPr>
            </w:pPr>
            <w:r>
              <w:rPr>
                <w:rFonts w:ascii="宋体" w:hAnsi="宋体"/>
              </w:rPr>
              <w:t xml:space="preserve">8 </w:t>
            </w:r>
          </w:p>
        </w:tc>
        <w:tc>
          <w:tcPr>
            <w:tcW w:w="1691" w:type="dxa"/>
            <w:vAlign w:val="center"/>
          </w:tcPr>
          <w:p>
            <w:pPr>
              <w:jc w:val="right"/>
              <w:rPr>
                <w:rFonts w:ascii="宋体" w:hAnsi="宋体"/>
              </w:rPr>
            </w:pPr>
            <w:r>
              <w:rPr>
                <w:rFonts w:ascii="宋体" w:hAnsi="宋体"/>
              </w:rPr>
              <w:t xml:space="preserve">4,426 </w:t>
            </w:r>
          </w:p>
        </w:tc>
        <w:tc>
          <w:tcPr>
            <w:tcW w:w="1673" w:type="dxa"/>
            <w:vAlign w:val="center"/>
          </w:tcPr>
          <w:p>
            <w:pPr>
              <w:jc w:val="right"/>
              <w:rPr>
                <w:rFonts w:ascii="宋体" w:hAnsi="宋体"/>
              </w:rPr>
            </w:pPr>
            <w:r>
              <w:rPr>
                <w:rFonts w:ascii="宋体" w:hAnsi="宋体"/>
              </w:rPr>
              <w:t xml:space="preserve">128,398 </w:t>
            </w:r>
          </w:p>
        </w:tc>
      </w:tr>
      <w:tr>
        <w:tc>
          <w:tcPr>
            <w:tcW w:w="3984" w:type="dxa"/>
            <w:vAlign w:val="center"/>
          </w:tcPr>
          <w:p>
            <w:pPr>
              <w:pStyle w:val="aff9"/>
              <w:ind w:firstLineChars="0" w:firstLine="0"/>
              <w:jc w:val="left"/>
              <w:rPr>
                <w:rFonts w:ascii="宋体" w:hAnsi="宋体"/>
                <w:szCs w:val="21"/>
              </w:rPr>
            </w:pPr>
            <w:r>
              <w:rPr>
                <w:rFonts w:ascii="宋体" w:hAnsi="宋体"/>
                <w:szCs w:val="21"/>
              </w:rPr>
              <w:t>企业取得子公司、联营企业及合营企业的投资成本小于取得投资时应享有被投资单位可辨认净资产公允价值产生的收益</w:t>
            </w:r>
          </w:p>
        </w:tc>
        <w:tc>
          <w:tcPr>
            <w:tcW w:w="1695" w:type="dxa"/>
            <w:vAlign w:val="center"/>
          </w:tcPr>
          <w:p>
            <w:pPr>
              <w:jc w:val="right"/>
              <w:rPr>
                <w:rFonts w:ascii="宋体" w:hAnsi="宋体"/>
              </w:rPr>
            </w:pPr>
            <w:r>
              <w:rPr>
                <w:rFonts w:ascii="宋体" w:hAnsi="宋体"/>
              </w:rPr>
              <w:t xml:space="preserve">0 </w:t>
            </w:r>
          </w:p>
        </w:tc>
        <w:tc>
          <w:tcPr>
            <w:tcW w:w="1691" w:type="dxa"/>
            <w:vAlign w:val="center"/>
          </w:tcPr>
          <w:p>
            <w:pPr>
              <w:jc w:val="right"/>
              <w:rPr>
                <w:rFonts w:ascii="宋体" w:hAnsi="宋体"/>
              </w:rPr>
            </w:pPr>
            <w:r>
              <w:rPr>
                <w:rFonts w:ascii="宋体" w:hAnsi="宋体"/>
              </w:rPr>
              <w:t xml:space="preserve">134,765 </w:t>
            </w:r>
          </w:p>
        </w:tc>
        <w:tc>
          <w:tcPr>
            <w:tcW w:w="1673" w:type="dxa"/>
            <w:vAlign w:val="center"/>
          </w:tcPr>
          <w:p>
            <w:pPr>
              <w:jc w:val="right"/>
              <w:rPr>
                <w:rFonts w:ascii="宋体" w:hAnsi="宋体"/>
              </w:rPr>
            </w:pPr>
            <w:r>
              <w:rPr>
                <w:rFonts w:ascii="宋体" w:hAnsi="宋体"/>
              </w:rPr>
              <w:t xml:space="preserve">0 </w:t>
            </w:r>
          </w:p>
        </w:tc>
      </w:tr>
      <w:tr>
        <w:tc>
          <w:tcPr>
            <w:tcW w:w="3984" w:type="dxa"/>
            <w:vAlign w:val="center"/>
          </w:tcPr>
          <w:p>
            <w:pPr>
              <w:pStyle w:val="aff9"/>
              <w:ind w:firstLineChars="0" w:firstLine="0"/>
              <w:jc w:val="left"/>
              <w:rPr>
                <w:rFonts w:ascii="宋体" w:hAnsi="宋体"/>
                <w:szCs w:val="21"/>
              </w:rPr>
            </w:pPr>
            <w:r>
              <w:rPr>
                <w:rFonts w:ascii="宋体" w:hAnsi="宋体"/>
                <w:szCs w:val="21"/>
              </w:rPr>
              <w:t>同一控制下企业合并产生的子公司期初至合并日的当期净损益</w:t>
            </w:r>
          </w:p>
        </w:tc>
        <w:tc>
          <w:tcPr>
            <w:tcW w:w="1695" w:type="dxa"/>
            <w:vAlign w:val="center"/>
          </w:tcPr>
          <w:p>
            <w:pPr>
              <w:jc w:val="right"/>
              <w:rPr>
                <w:rFonts w:ascii="宋体" w:hAnsi="宋体"/>
              </w:rPr>
            </w:pPr>
            <w:r>
              <w:rPr>
                <w:rFonts w:ascii="宋体" w:hAnsi="宋体"/>
              </w:rPr>
              <w:t>582,237</w:t>
            </w:r>
          </w:p>
        </w:tc>
        <w:tc>
          <w:tcPr>
            <w:tcW w:w="1691" w:type="dxa"/>
            <w:vAlign w:val="center"/>
          </w:tcPr>
          <w:p>
            <w:pPr>
              <w:jc w:val="right"/>
              <w:rPr>
                <w:rFonts w:ascii="宋体" w:hAnsi="宋体"/>
              </w:rPr>
            </w:pPr>
            <w:r>
              <w:rPr>
                <w:rFonts w:ascii="宋体" w:hAnsi="宋体"/>
              </w:rPr>
              <w:t>1,127,769</w:t>
            </w:r>
          </w:p>
        </w:tc>
        <w:tc>
          <w:tcPr>
            <w:tcW w:w="1673" w:type="dxa"/>
            <w:vAlign w:val="center"/>
          </w:tcPr>
          <w:p>
            <w:pPr>
              <w:jc w:val="right"/>
              <w:rPr>
                <w:rFonts w:ascii="宋体" w:hAnsi="宋体"/>
              </w:rPr>
            </w:pPr>
            <w:r>
              <w:rPr>
                <w:rFonts w:ascii="宋体" w:hAnsi="宋体"/>
              </w:rPr>
              <w:t>5,210,357</w:t>
            </w:r>
          </w:p>
        </w:tc>
      </w:tr>
      <w:tr>
        <w:tc>
          <w:tcPr>
            <w:tcW w:w="3984" w:type="dxa"/>
            <w:vAlign w:val="center"/>
          </w:tcPr>
          <w:p>
            <w:pPr>
              <w:pStyle w:val="aff9"/>
              <w:ind w:firstLineChars="0" w:firstLine="0"/>
              <w:jc w:val="left"/>
              <w:rPr>
                <w:rFonts w:ascii="宋体" w:hAnsi="宋体"/>
                <w:szCs w:val="21"/>
              </w:rPr>
            </w:pPr>
            <w:r>
              <w:rPr>
                <w:rFonts w:ascii="宋体" w:hAnsi="宋体"/>
                <w:szCs w:val="21"/>
              </w:rPr>
              <w:t>债务重组损益</w:t>
            </w:r>
          </w:p>
        </w:tc>
        <w:tc>
          <w:tcPr>
            <w:tcW w:w="1695" w:type="dxa"/>
            <w:vAlign w:val="center"/>
          </w:tcPr>
          <w:p>
            <w:pPr>
              <w:jc w:val="right"/>
              <w:rPr>
                <w:rFonts w:ascii="宋体" w:hAnsi="宋体"/>
              </w:rPr>
            </w:pPr>
            <w:r>
              <w:rPr>
                <w:rFonts w:ascii="宋体" w:hAnsi="宋体"/>
              </w:rPr>
              <w:t xml:space="preserve">5,244 </w:t>
            </w:r>
          </w:p>
        </w:tc>
        <w:tc>
          <w:tcPr>
            <w:tcW w:w="1691" w:type="dxa"/>
            <w:vAlign w:val="center"/>
          </w:tcPr>
          <w:p>
            <w:pPr>
              <w:jc w:val="right"/>
              <w:rPr>
                <w:rFonts w:ascii="宋体" w:hAnsi="宋体"/>
              </w:rPr>
            </w:pPr>
            <w:r>
              <w:rPr>
                <w:rFonts w:ascii="宋体" w:hAnsi="宋体"/>
              </w:rPr>
              <w:t xml:space="preserve">3,833 </w:t>
            </w:r>
          </w:p>
        </w:tc>
        <w:tc>
          <w:tcPr>
            <w:tcW w:w="1673" w:type="dxa"/>
            <w:vAlign w:val="center"/>
          </w:tcPr>
          <w:p>
            <w:pPr>
              <w:jc w:val="right"/>
              <w:rPr>
                <w:rFonts w:ascii="宋体" w:hAnsi="宋体"/>
              </w:rPr>
            </w:pPr>
            <w:r>
              <w:rPr>
                <w:rFonts w:ascii="宋体" w:hAnsi="宋体"/>
              </w:rPr>
              <w:t xml:space="preserve">2,566 </w:t>
            </w:r>
          </w:p>
        </w:tc>
      </w:tr>
      <w:tr>
        <w:tc>
          <w:tcPr>
            <w:tcW w:w="3984" w:type="dxa"/>
            <w:vAlign w:val="center"/>
          </w:tcPr>
          <w:p>
            <w:pPr>
              <w:pStyle w:val="aff9"/>
              <w:ind w:firstLineChars="0" w:firstLine="0"/>
              <w:jc w:val="left"/>
              <w:rPr>
                <w:rFonts w:ascii="宋体" w:hAnsi="宋体"/>
                <w:szCs w:val="21"/>
              </w:rPr>
            </w:pPr>
            <w:r>
              <w:rPr>
                <w:rFonts w:ascii="宋体" w:hAnsi="宋体"/>
                <w:szCs w:val="21"/>
              </w:rPr>
              <w:t>因税收、会计等法律、法规</w:t>
            </w:r>
            <w:r>
              <w:rPr>
                <w:rFonts w:ascii="宋体" w:hAnsi="宋体" w:hint="eastAsia"/>
                <w:szCs w:val="21"/>
              </w:rPr>
              <w:t>的调整对当期损益产生的一次性影响</w:t>
            </w:r>
          </w:p>
        </w:tc>
        <w:tc>
          <w:tcPr>
            <w:tcW w:w="1695" w:type="dxa"/>
            <w:vAlign w:val="center"/>
          </w:tcPr>
          <w:p>
            <w:pPr>
              <w:jc w:val="right"/>
              <w:rPr>
                <w:rFonts w:ascii="宋体" w:hAnsi="宋体"/>
              </w:rPr>
            </w:pPr>
            <w:r>
              <w:rPr>
                <w:rFonts w:ascii="宋体" w:hAnsi="宋体"/>
              </w:rPr>
              <w:t xml:space="preserve">1,705,716 </w:t>
            </w:r>
            <w:r>
              <w:rPr>
                <w:rFonts w:ascii="宋体" w:hAnsi="宋体" w:hint="eastAsia"/>
              </w:rPr>
              <w:t xml:space="preserve">　</w:t>
            </w:r>
          </w:p>
        </w:tc>
        <w:tc>
          <w:tcPr>
            <w:tcW w:w="1691" w:type="dxa"/>
            <w:vAlign w:val="center"/>
          </w:tcPr>
          <w:p>
            <w:pPr>
              <w:jc w:val="right"/>
              <w:rPr>
                <w:rFonts w:ascii="宋体" w:hAnsi="宋体"/>
              </w:rPr>
            </w:pPr>
            <w:r>
              <w:rPr>
                <w:rFonts w:ascii="宋体" w:hAnsi="宋体"/>
              </w:rPr>
              <w:t>0</w:t>
            </w:r>
          </w:p>
        </w:tc>
        <w:tc>
          <w:tcPr>
            <w:tcW w:w="1673" w:type="dxa"/>
            <w:vAlign w:val="center"/>
          </w:tcPr>
          <w:p>
            <w:pPr>
              <w:jc w:val="right"/>
              <w:rPr>
                <w:rFonts w:ascii="宋体" w:hAnsi="宋体"/>
              </w:rPr>
            </w:pPr>
            <w:r>
              <w:rPr>
                <w:rFonts w:ascii="宋体" w:hAnsi="宋体"/>
              </w:rPr>
              <w:t>0</w:t>
            </w:r>
          </w:p>
        </w:tc>
      </w:tr>
      <w:tr>
        <w:tc>
          <w:tcPr>
            <w:tcW w:w="3984" w:type="dxa"/>
            <w:vAlign w:val="center"/>
          </w:tcPr>
          <w:p>
            <w:pPr>
              <w:pStyle w:val="aff9"/>
              <w:ind w:firstLineChars="0" w:firstLine="0"/>
              <w:jc w:val="left"/>
              <w:rPr>
                <w:rFonts w:ascii="宋体" w:hAnsi="宋体"/>
                <w:szCs w:val="21"/>
              </w:rPr>
            </w:pPr>
            <w:r>
              <w:rPr>
                <w:rFonts w:ascii="宋体" w:hAnsi="宋体"/>
                <w:szCs w:val="21"/>
              </w:rPr>
              <w:t>采用公允价值模式进行后续计量的投资性房地产公允价值变动产生的损益</w:t>
            </w:r>
          </w:p>
        </w:tc>
        <w:tc>
          <w:tcPr>
            <w:tcW w:w="1695" w:type="dxa"/>
            <w:vAlign w:val="center"/>
          </w:tcPr>
          <w:p>
            <w:pPr>
              <w:jc w:val="right"/>
              <w:rPr>
                <w:rFonts w:ascii="宋体" w:hAnsi="宋体"/>
              </w:rPr>
            </w:pPr>
            <w:r>
              <w:rPr>
                <w:rFonts w:ascii="宋体" w:hAnsi="宋体"/>
              </w:rPr>
              <w:t xml:space="preserve">-19,090 </w:t>
            </w:r>
          </w:p>
        </w:tc>
        <w:tc>
          <w:tcPr>
            <w:tcW w:w="1691" w:type="dxa"/>
            <w:vAlign w:val="center"/>
          </w:tcPr>
          <w:p>
            <w:pPr>
              <w:jc w:val="right"/>
              <w:rPr>
                <w:rFonts w:ascii="宋体" w:hAnsi="宋体"/>
              </w:rPr>
            </w:pPr>
            <w:r>
              <w:rPr>
                <w:rFonts w:ascii="宋体" w:hAnsi="宋体"/>
              </w:rPr>
              <w:t xml:space="preserve">-7,788 </w:t>
            </w:r>
          </w:p>
        </w:tc>
        <w:tc>
          <w:tcPr>
            <w:tcW w:w="1673" w:type="dxa"/>
            <w:vAlign w:val="center"/>
          </w:tcPr>
          <w:p>
            <w:pPr>
              <w:jc w:val="right"/>
              <w:rPr>
                <w:rFonts w:ascii="宋体" w:hAnsi="宋体"/>
              </w:rPr>
            </w:pPr>
            <w:r>
              <w:rPr>
                <w:rFonts w:ascii="宋体" w:hAnsi="宋体"/>
              </w:rPr>
              <w:t xml:space="preserve">18,454 </w:t>
            </w:r>
          </w:p>
        </w:tc>
      </w:tr>
      <w:tr>
        <w:tc>
          <w:tcPr>
            <w:tcW w:w="3984" w:type="dxa"/>
            <w:vAlign w:val="center"/>
          </w:tcPr>
          <w:p>
            <w:pPr>
              <w:pStyle w:val="aff9"/>
              <w:ind w:firstLineChars="0" w:firstLine="0"/>
              <w:jc w:val="left"/>
              <w:rPr>
                <w:rFonts w:ascii="宋体" w:hAnsi="宋体"/>
                <w:szCs w:val="21"/>
              </w:rPr>
            </w:pPr>
            <w:r>
              <w:rPr>
                <w:rFonts w:ascii="宋体" w:hAnsi="宋体"/>
                <w:szCs w:val="21"/>
              </w:rPr>
              <w:t>除上述各项之外的其他营业外收入和支出</w:t>
            </w:r>
          </w:p>
        </w:tc>
        <w:tc>
          <w:tcPr>
            <w:tcW w:w="1695" w:type="dxa"/>
            <w:vAlign w:val="center"/>
          </w:tcPr>
          <w:p>
            <w:pPr>
              <w:jc w:val="right"/>
              <w:rPr>
                <w:rFonts w:ascii="宋体" w:hAnsi="宋体"/>
              </w:rPr>
            </w:pPr>
            <w:r>
              <w:rPr>
                <w:rFonts w:ascii="宋体" w:hAnsi="宋体"/>
              </w:rPr>
              <w:t xml:space="preserve">-78,735 </w:t>
            </w:r>
          </w:p>
        </w:tc>
        <w:tc>
          <w:tcPr>
            <w:tcW w:w="1691" w:type="dxa"/>
            <w:vAlign w:val="center"/>
          </w:tcPr>
          <w:p>
            <w:pPr>
              <w:jc w:val="right"/>
              <w:rPr>
                <w:rFonts w:ascii="宋体" w:hAnsi="宋体"/>
              </w:rPr>
            </w:pPr>
            <w:r>
              <w:rPr>
                <w:rFonts w:ascii="宋体" w:hAnsi="宋体"/>
              </w:rPr>
              <w:t xml:space="preserve">159,621 </w:t>
            </w:r>
          </w:p>
        </w:tc>
        <w:tc>
          <w:tcPr>
            <w:tcW w:w="1673" w:type="dxa"/>
            <w:vAlign w:val="center"/>
          </w:tcPr>
          <w:p>
            <w:pPr>
              <w:jc w:val="right"/>
              <w:rPr>
                <w:rFonts w:ascii="宋体" w:hAnsi="宋体"/>
              </w:rPr>
            </w:pPr>
            <w:r>
              <w:rPr>
                <w:rFonts w:ascii="宋体" w:hAnsi="宋体"/>
              </w:rPr>
              <w:t xml:space="preserve">58,890 </w:t>
            </w:r>
          </w:p>
        </w:tc>
      </w:tr>
      <w:tr>
        <w:tc>
          <w:tcPr>
            <w:tcW w:w="3984" w:type="dxa"/>
            <w:vAlign w:val="center"/>
          </w:tcPr>
          <w:p>
            <w:pPr>
              <w:pStyle w:val="aff9"/>
              <w:ind w:firstLineChars="0" w:firstLine="0"/>
              <w:jc w:val="left"/>
              <w:rPr>
                <w:rFonts w:ascii="宋体" w:hAnsi="宋体"/>
                <w:szCs w:val="21"/>
              </w:rPr>
            </w:pPr>
            <w:r>
              <w:rPr>
                <w:rFonts w:ascii="宋体" w:hAnsi="宋体" w:hint="eastAsia"/>
                <w:szCs w:val="21"/>
              </w:rPr>
              <w:t>减：</w:t>
            </w:r>
            <w:r>
              <w:rPr>
                <w:rFonts w:ascii="宋体" w:hAnsi="宋体"/>
                <w:szCs w:val="21"/>
              </w:rPr>
              <w:t>所得税影响额</w:t>
            </w:r>
          </w:p>
        </w:tc>
        <w:tc>
          <w:tcPr>
            <w:tcW w:w="1695" w:type="dxa"/>
            <w:vAlign w:val="center"/>
          </w:tcPr>
          <w:p>
            <w:pPr>
              <w:jc w:val="right"/>
              <w:rPr>
                <w:rFonts w:ascii="宋体" w:hAnsi="宋体"/>
              </w:rPr>
            </w:pPr>
            <w:r>
              <w:rPr>
                <w:rFonts w:ascii="宋体" w:hAnsi="宋体"/>
              </w:rPr>
              <w:t>847,451</w:t>
            </w:r>
          </w:p>
        </w:tc>
        <w:tc>
          <w:tcPr>
            <w:tcW w:w="1691" w:type="dxa"/>
            <w:vAlign w:val="center"/>
          </w:tcPr>
          <w:p>
            <w:pPr>
              <w:jc w:val="right"/>
              <w:rPr>
                <w:rFonts w:ascii="宋体" w:hAnsi="宋体"/>
              </w:rPr>
            </w:pPr>
            <w:r>
              <w:rPr>
                <w:rFonts w:ascii="宋体" w:hAnsi="宋体"/>
              </w:rPr>
              <w:t>269,345</w:t>
            </w:r>
          </w:p>
        </w:tc>
        <w:tc>
          <w:tcPr>
            <w:tcW w:w="1673" w:type="dxa"/>
            <w:vAlign w:val="center"/>
          </w:tcPr>
          <w:p>
            <w:pPr>
              <w:jc w:val="right"/>
              <w:rPr>
                <w:rFonts w:ascii="宋体" w:hAnsi="宋体"/>
              </w:rPr>
            </w:pPr>
            <w:r>
              <w:rPr>
                <w:rFonts w:ascii="宋体" w:hAnsi="宋体"/>
              </w:rPr>
              <w:t>136,864</w:t>
            </w:r>
          </w:p>
        </w:tc>
      </w:tr>
      <w:tr>
        <w:tc>
          <w:tcPr>
            <w:tcW w:w="3984" w:type="dxa"/>
            <w:vAlign w:val="center"/>
          </w:tcPr>
          <w:p>
            <w:pPr>
              <w:pStyle w:val="aff9"/>
              <w:jc w:val="left"/>
              <w:rPr>
                <w:rFonts w:ascii="宋体" w:hAnsi="宋体"/>
                <w:szCs w:val="21"/>
              </w:rPr>
            </w:pPr>
            <w:r>
              <w:rPr>
                <w:rFonts w:ascii="宋体" w:hAnsi="宋体"/>
                <w:szCs w:val="21"/>
              </w:rPr>
              <w:t>少数股东权益影响额</w:t>
            </w:r>
            <w:r>
              <w:rPr>
                <w:rFonts w:ascii="宋体" w:hAnsi="宋体" w:hint="eastAsia"/>
                <w:szCs w:val="21"/>
              </w:rPr>
              <w:t>（税后）</w:t>
            </w:r>
          </w:p>
        </w:tc>
        <w:tc>
          <w:tcPr>
            <w:tcW w:w="1695" w:type="dxa"/>
            <w:vAlign w:val="center"/>
          </w:tcPr>
          <w:p>
            <w:pPr>
              <w:jc w:val="right"/>
              <w:rPr>
                <w:rFonts w:ascii="宋体" w:hAnsi="宋体"/>
              </w:rPr>
            </w:pPr>
            <w:r>
              <w:rPr>
                <w:rFonts w:ascii="宋体" w:hAnsi="宋体"/>
              </w:rPr>
              <w:t>1,442,936</w:t>
            </w:r>
          </w:p>
        </w:tc>
        <w:tc>
          <w:tcPr>
            <w:tcW w:w="1691" w:type="dxa"/>
            <w:vAlign w:val="center"/>
          </w:tcPr>
          <w:p>
            <w:pPr>
              <w:jc w:val="right"/>
              <w:rPr>
                <w:rFonts w:ascii="宋体" w:hAnsi="宋体"/>
              </w:rPr>
            </w:pPr>
            <w:r>
              <w:rPr>
                <w:rFonts w:ascii="宋体" w:hAnsi="宋体"/>
              </w:rPr>
              <w:t>925,276</w:t>
            </w:r>
          </w:p>
        </w:tc>
        <w:tc>
          <w:tcPr>
            <w:tcW w:w="1673" w:type="dxa"/>
            <w:vAlign w:val="center"/>
          </w:tcPr>
          <w:p>
            <w:pPr>
              <w:jc w:val="right"/>
              <w:rPr>
                <w:rFonts w:ascii="宋体" w:hAnsi="宋体"/>
              </w:rPr>
            </w:pPr>
            <w:r>
              <w:rPr>
                <w:rFonts w:ascii="宋体" w:hAnsi="宋体"/>
              </w:rPr>
              <w:t>3,306,764</w:t>
            </w:r>
          </w:p>
        </w:tc>
      </w:tr>
      <w:tr>
        <w:tc>
          <w:tcPr>
            <w:tcW w:w="3984" w:type="dxa"/>
            <w:vAlign w:val="center"/>
          </w:tcPr>
          <w:p>
            <w:pPr>
              <w:pStyle w:val="aff9"/>
              <w:ind w:firstLineChars="0" w:firstLine="0"/>
              <w:jc w:val="center"/>
              <w:rPr>
                <w:rFonts w:ascii="宋体" w:hAnsi="宋体"/>
                <w:szCs w:val="21"/>
              </w:rPr>
            </w:pPr>
            <w:r>
              <w:rPr>
                <w:rFonts w:ascii="宋体" w:hAnsi="宋体"/>
                <w:szCs w:val="21"/>
              </w:rPr>
              <w:t>合计</w:t>
            </w:r>
          </w:p>
        </w:tc>
        <w:tc>
          <w:tcPr>
            <w:tcW w:w="1695" w:type="dxa"/>
            <w:vAlign w:val="center"/>
          </w:tcPr>
          <w:p>
            <w:pPr>
              <w:jc w:val="right"/>
              <w:rPr>
                <w:rFonts w:ascii="宋体" w:hAnsi="宋体"/>
              </w:rPr>
            </w:pPr>
            <w:r>
              <w:rPr>
                <w:rFonts w:ascii="宋体" w:hAnsi="宋体"/>
              </w:rPr>
              <w:t xml:space="preserve">981,959 </w:t>
            </w:r>
          </w:p>
        </w:tc>
        <w:tc>
          <w:tcPr>
            <w:tcW w:w="1691" w:type="dxa"/>
            <w:vAlign w:val="center"/>
          </w:tcPr>
          <w:p>
            <w:pPr>
              <w:jc w:val="right"/>
              <w:rPr>
                <w:rFonts w:ascii="宋体" w:hAnsi="宋体"/>
              </w:rPr>
            </w:pPr>
            <w:r>
              <w:rPr>
                <w:rFonts w:ascii="宋体" w:hAnsi="宋体"/>
              </w:rPr>
              <w:t xml:space="preserve">972,327 </w:t>
            </w:r>
          </w:p>
        </w:tc>
        <w:tc>
          <w:tcPr>
            <w:tcW w:w="1673" w:type="dxa"/>
            <w:vAlign w:val="center"/>
          </w:tcPr>
          <w:p>
            <w:pPr>
              <w:jc w:val="right"/>
              <w:rPr>
                <w:rFonts w:ascii="宋体" w:hAnsi="宋体"/>
              </w:rPr>
            </w:pPr>
            <w:r>
              <w:rPr>
                <w:rFonts w:ascii="宋体" w:hAnsi="宋体"/>
              </w:rPr>
              <w:t xml:space="preserve">2,280,516 </w:t>
            </w:r>
          </w:p>
        </w:tc>
      </w:tr>
    </w:tbl>
    <w:p>
      <w:pPr>
        <w:pStyle w:val="Style49"/>
        <w:rPr>
          <w:rFonts w:ascii="宋体" w:hAnsi="宋体"/>
        </w:rPr>
      </w:pPr>
    </w:p>
    <w:p>
      <w:pPr>
        <w:pStyle w:val="af0"/>
        <w:adjustRightInd w:val="0"/>
        <w:snapToGrid w:val="0"/>
        <w:spacing w:line="200" w:lineRule="atLeast"/>
        <w:rPr>
          <w:rFonts w:ascii="宋体" w:hAnsi="宋体"/>
          <w:kern w:val="0"/>
        </w:rPr>
      </w:pPr>
      <w:r>
        <w:rPr>
          <w:rFonts w:ascii="宋体" w:hAnsi="宋体" w:cs="宋体" w:hint="eastAsia"/>
          <w:kern w:val="0"/>
        </w:rPr>
        <w:t>对公司</w:t>
      </w:r>
      <w:r>
        <w:rPr>
          <w:rFonts w:ascii="宋体" w:hAnsi="宋体" w:hint="eastAsia"/>
        </w:rPr>
        <w:t>将《公开发行证券的公司信息披露解释性公告第</w:t>
      </w:r>
      <w:r>
        <w:rPr>
          <w:rFonts w:ascii="宋体" w:hAnsi="宋体"/>
        </w:rPr>
        <w:t>1号——非经常性损益》未列举的项目认定为非经常性损益项目且金额重大的，以及将《公开发行证券的公司信息披露解释性公告第1号——非经常性损益》中列举的非经常性损益项目界定为经常性损益的项目，</w:t>
      </w:r>
      <w:r>
        <w:rPr>
          <w:rFonts w:ascii="宋体" w:hAnsi="宋体" w:cs="宋体"/>
          <w:kern w:val="0"/>
        </w:rPr>
        <w:t>应说明原因。</w:t>
      </w:r>
    </w:p>
    <w:sdt>
      <w:sdtPr>
        <w:rPr>
          <w:rFonts w:ascii="宋体" w:hAnsi="宋体"/>
        </w:rPr>
        <w:alias w:val="是否适用：将非经常性损益项目界定为经常性损益项目[双击切换]"/>
        <w:tag w:val="_GBC_a4930715ddcb47d484e7fbd516fb3ac1"/>
        <w:id w:val="473026477"/>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3"/>
    <w:bookmarkEnd w:id="32"/>
    <w:p>
      <w:pPr>
        <w:pStyle w:val="Style49"/>
        <w:rPr>
          <w:rFonts w:ascii="宋体" w:hAnsi="宋体"/>
        </w:rPr>
      </w:pPr>
    </w:p>
    <w:p>
      <w:pPr>
        <w:pStyle w:val="2"/>
        <w:numPr>
          <w:ilvl w:val="1"/>
          <w:numId w:val="11"/>
        </w:numPr>
        <w:ind w:left="498" w:hangingChars="236" w:hanging="498"/>
        <w:rPr>
          <w:rFonts w:ascii="宋体" w:hAnsi="宋体"/>
          <w:u w:val="single"/>
        </w:rPr>
      </w:pPr>
      <w:bookmarkStart w:id="34" w:name="_Hlk188284396"/>
      <w:bookmarkStart w:id="35" w:name="_Hlk190177857"/>
      <w:bookmarkStart w:id="36" w:name="_Hlk89957177"/>
      <w:bookmarkStart w:id="37" w:name="_Hlk189833556"/>
      <w:bookmarkEnd w:id="34"/>
      <w:bookmarkEnd w:id="35"/>
      <w:bookmarkEnd w:id="36"/>
      <w:r>
        <w:rPr>
          <w:rFonts w:ascii="宋体" w:hAnsi="宋体" w:hint="eastAsia"/>
        </w:rPr>
        <w:t>存在股权激励、员工持股计划的公司可选择披露扣除股份支付影响后的净利润</w:t>
      </w:r>
    </w:p>
    <w:sdt>
      <w:sdtPr>
        <w:rPr>
          <w:rFonts w:ascii="宋体" w:hAnsi="宋体" w:hint="eastAsia"/>
        </w:rPr>
        <w:alias w:val="是否适用：扣除股份支付影响后的净利润[双击切换]"/>
        <w:tag w:val="_GBC_71c3b526e4394d84a9836f3f981280a3"/>
        <w:id w:val="-1810316782"/>
        <w:placeholder>
          <w:docPart w:val="GBC22222222222222222222222222222"/>
        </w:placeholder>
      </w:sdtPr>
      <w:sdtContent>
        <w:p>
          <w:pPr>
            <w:pStyle w:val="Style49"/>
            <w:rPr>
              <w:rFonts w:ascii="宋体" w:hAnsi="宋体"/>
            </w:rPr>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pPr>
        <w:pStyle w:val="Style49"/>
        <w:rPr>
          <w:rFonts w:ascii="宋体" w:hAnsi="宋体"/>
        </w:rPr>
      </w:pPr>
    </w:p>
    <w:p>
      <w:pPr>
        <w:pStyle w:val="2"/>
        <w:numPr>
          <w:ilvl w:val="1"/>
          <w:numId w:val="11"/>
        </w:numPr>
        <w:ind w:left="498" w:hangingChars="236" w:hanging="498"/>
        <w:rPr>
          <w:rFonts w:ascii="宋体" w:hAnsi="宋体"/>
          <w:u w:val="single"/>
        </w:rPr>
      </w:pPr>
      <w:bookmarkStart w:id="38" w:name="_Hlk191559067"/>
      <w:bookmarkStart w:id="39" w:name="_Hlk191559048"/>
      <w:bookmarkStart w:id="40" w:name="_Hlk191559014"/>
      <w:bookmarkEnd w:id="37"/>
      <w:bookmarkEnd w:id="38"/>
      <w:bookmarkEnd w:id="39"/>
      <w:bookmarkEnd w:id="40"/>
      <w:r>
        <w:rPr>
          <w:rFonts w:ascii="宋体" w:hAnsi="宋体" w:hint="eastAsia"/>
        </w:rPr>
        <w:t>采用公允价值计量的项目</w:t>
      </w:r>
    </w:p>
    <w:sdt>
      <w:sdtPr>
        <w:rPr>
          <w:rFonts w:ascii="宋体" w:hAnsi="宋体"/>
        </w:rPr>
        <w:alias w:val="是否适用：采用公允价值计量的项目[双击切换]"/>
        <w:tag w:val="_GBC_e89d76d7486246e0ac1d3db15e4df008"/>
        <w:id w:val="-2002657220"/>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wordWrap w:val="0"/>
        <w:jc w:val="right"/>
        <w:rPr>
          <w:rFonts w:ascii="宋体" w:hAnsi="宋体"/>
        </w:rPr>
      </w:pPr>
      <w:r>
        <w:rPr>
          <w:rFonts w:ascii="宋体" w:hAnsi="宋体" w:hint="eastAsia"/>
        </w:rPr>
        <w:t>单位：</w:t>
      </w:r>
      <w:sdt>
        <w:sdtPr>
          <w:rPr>
            <w:rFonts w:ascii="宋体" w:hAnsi="宋体" w:hint="eastAsia"/>
          </w:rPr>
          <w:alias w:val="单位：采用公允价值计量的项目"/>
          <w:tag w:val="_GBC_3db790decc6f48c79df9bb825ea34c80"/>
          <w:id w:val="-7469612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千元</w:t>
          </w:r>
        </w:sdtContent>
      </w:sdt>
      <w:r>
        <w:rPr>
          <w:rFonts w:ascii="宋体" w:hAnsi="宋体" w:hint="eastAsia"/>
        </w:rPr>
        <w:t xml:space="preserve">  币种：</w:t>
      </w:r>
      <w:sdt>
        <w:sdtPr>
          <w:rPr>
            <w:rFonts w:ascii="宋体" w:hAnsi="宋体" w:hint="eastAsia"/>
          </w:rPr>
          <w:alias w:val="币种：采用公允价值计量的项目"/>
          <w:tag w:val="_GBC_6f16a5f9084343f1b7cf46e770d31080"/>
          <w:id w:val="-15377994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aff4"/>
        <w:tblW w:w="9336" w:type="dxa"/>
        <w:jc w:val="center"/>
        <w:tblLayout w:type="fixed"/>
        <w:tblLook w:val="04A0" w:firstRow="1" w:lastRow="0" w:firstColumn="1" w:lastColumn="0" w:noHBand="0" w:noVBand="1"/>
      </w:tblPr>
      <w:tblGrid>
        <w:gridCol w:w="2238"/>
        <w:gridCol w:w="1701"/>
        <w:gridCol w:w="1710"/>
        <w:gridCol w:w="1695"/>
        <w:gridCol w:w="1992"/>
      </w:tblGrid>
      <w:tr>
        <w:trPr>
          <w:trHeight w:val="165"/>
          <w:jc w:val="center"/>
        </w:trPr>
        <w:sdt>
          <w:sdtPr>
            <w:rPr>
              <w:rFonts w:ascii="宋体" w:hAnsi="宋体"/>
            </w:rPr>
            <w:tag w:val="_PLD_7afb41bb6f11412490d2cf97e6a8af4a"/>
            <w:id w:val="1768419697"/>
          </w:sdtPr>
          <w:sdtContent>
            <w:tc>
              <w:tcPr>
                <w:tcW w:w="2238" w:type="dxa"/>
                <w:vAlign w:val="center"/>
              </w:tcPr>
              <w:p>
                <w:pPr>
                  <w:jc w:val="center"/>
                  <w:rPr>
                    <w:rFonts w:ascii="宋体" w:hAnsi="宋体"/>
                  </w:rPr>
                </w:pPr>
                <w:r>
                  <w:rPr>
                    <w:rFonts w:ascii="宋体" w:hAnsi="宋体" w:hint="eastAsia"/>
                  </w:rPr>
                  <w:t>项目名称</w:t>
                </w:r>
              </w:p>
            </w:tc>
          </w:sdtContent>
        </w:sdt>
        <w:sdt>
          <w:sdtPr>
            <w:rPr>
              <w:rFonts w:ascii="宋体" w:hAnsi="宋体"/>
            </w:rPr>
            <w:tag w:val="_PLD_da0df6228e264965b54ebbf01610457e"/>
            <w:id w:val="-117148837"/>
          </w:sdtPr>
          <w:sdtContent>
            <w:tc>
              <w:tcPr>
                <w:tcW w:w="1701" w:type="dxa"/>
                <w:vAlign w:val="center"/>
              </w:tcPr>
              <w:p>
                <w:pPr>
                  <w:jc w:val="center"/>
                  <w:rPr>
                    <w:rFonts w:ascii="宋体" w:hAnsi="宋体"/>
                  </w:rPr>
                </w:pPr>
                <w:r>
                  <w:rPr>
                    <w:rFonts w:ascii="宋体" w:hAnsi="宋体" w:hint="eastAsia"/>
                  </w:rPr>
                  <w:t>期初余额</w:t>
                </w:r>
              </w:p>
            </w:tc>
          </w:sdtContent>
        </w:sdt>
        <w:sdt>
          <w:sdtPr>
            <w:rPr>
              <w:rFonts w:ascii="宋体" w:hAnsi="宋体"/>
            </w:rPr>
            <w:tag w:val="_PLD_32f24a9a3da24799945b9be672e1778c"/>
            <w:id w:val="-906305598"/>
          </w:sdtPr>
          <w:sdtContent>
            <w:tc>
              <w:tcPr>
                <w:tcW w:w="1710" w:type="dxa"/>
                <w:vAlign w:val="center"/>
              </w:tcPr>
              <w:p>
                <w:pPr>
                  <w:jc w:val="center"/>
                  <w:rPr>
                    <w:rFonts w:ascii="宋体" w:hAnsi="宋体"/>
                  </w:rPr>
                </w:pPr>
                <w:r>
                  <w:rPr>
                    <w:rFonts w:ascii="宋体" w:hAnsi="宋体" w:hint="eastAsia"/>
                  </w:rPr>
                  <w:t>期末余额</w:t>
                </w:r>
              </w:p>
            </w:tc>
          </w:sdtContent>
        </w:sdt>
        <w:sdt>
          <w:sdtPr>
            <w:rPr>
              <w:rFonts w:ascii="宋体" w:hAnsi="宋体"/>
            </w:rPr>
            <w:tag w:val="_PLD_e96c7ea54e9845adafdee1a3e4d1777a"/>
            <w:id w:val="-2136553806"/>
          </w:sdtPr>
          <w:sdtContent>
            <w:tc>
              <w:tcPr>
                <w:tcW w:w="1695" w:type="dxa"/>
                <w:vAlign w:val="center"/>
              </w:tcPr>
              <w:p>
                <w:pPr>
                  <w:jc w:val="center"/>
                  <w:rPr>
                    <w:rFonts w:ascii="宋体" w:hAnsi="宋体"/>
                  </w:rPr>
                </w:pPr>
                <w:r>
                  <w:rPr>
                    <w:rFonts w:ascii="宋体" w:hAnsi="宋体" w:hint="eastAsia"/>
                  </w:rPr>
                  <w:t>当期变动</w:t>
                </w:r>
              </w:p>
            </w:tc>
          </w:sdtContent>
        </w:sdt>
        <w:sdt>
          <w:sdtPr>
            <w:rPr>
              <w:rFonts w:ascii="宋体" w:hAnsi="宋体"/>
            </w:rPr>
            <w:tag w:val="_PLD_1472a884c9f543dba7a82865e73f1536"/>
            <w:id w:val="-32268505"/>
          </w:sdtPr>
          <w:sdtContent>
            <w:tc>
              <w:tcPr>
                <w:tcW w:w="1992" w:type="dxa"/>
                <w:vAlign w:val="center"/>
              </w:tcPr>
              <w:p>
                <w:pPr>
                  <w:jc w:val="center"/>
                  <w:rPr>
                    <w:rFonts w:ascii="宋体" w:hAnsi="宋体"/>
                  </w:rPr>
                </w:pPr>
                <w:r>
                  <w:rPr>
                    <w:rFonts w:ascii="宋体" w:hAnsi="宋体" w:hint="eastAsia"/>
                  </w:rPr>
                  <w:t>对当期利润的影响金额</w:t>
                </w:r>
              </w:p>
            </w:tc>
          </w:sdtContent>
        </w:sdt>
      </w:tr>
      <w:tr>
        <w:trPr>
          <w:trHeight w:val="180"/>
          <w:jc w:val="center"/>
        </w:trPr>
        <w:tc>
          <w:tcPr>
            <w:tcW w:w="2238" w:type="dxa"/>
          </w:tcPr>
          <w:p>
            <w:pPr>
              <w:pStyle w:val="Style61"/>
              <w:rPr>
                <w:rFonts w:ascii="宋体" w:hAnsi="宋体"/>
              </w:rPr>
            </w:pPr>
            <w:r>
              <w:rPr>
                <w:rFonts w:ascii="宋体" w:hAnsi="宋体" w:hint="eastAsia"/>
              </w:rPr>
              <w:t>交易性金融资产</w:t>
            </w:r>
          </w:p>
        </w:tc>
        <w:tc>
          <w:tcPr>
            <w:tcW w:w="1701" w:type="dxa"/>
          </w:tcPr>
          <w:p>
            <w:pPr>
              <w:jc w:val="right"/>
              <w:rPr>
                <w:rFonts w:ascii="宋体" w:hAnsi="宋体"/>
              </w:rPr>
            </w:pPr>
            <w:r>
              <w:rPr>
                <w:rFonts w:ascii="宋体" w:hAnsi="宋体"/>
              </w:rPr>
              <w:t xml:space="preserve"> 166,772 </w:t>
            </w:r>
          </w:p>
        </w:tc>
        <w:tc>
          <w:tcPr>
            <w:tcW w:w="1710" w:type="dxa"/>
          </w:tcPr>
          <w:p>
            <w:pPr>
              <w:jc w:val="right"/>
              <w:rPr>
                <w:rFonts w:ascii="宋体" w:hAnsi="宋体"/>
              </w:rPr>
            </w:pPr>
            <w:r>
              <w:rPr>
                <w:rFonts w:ascii="宋体" w:hAnsi="宋体"/>
              </w:rPr>
              <w:t xml:space="preserve"> 256,537 </w:t>
            </w:r>
          </w:p>
        </w:tc>
        <w:tc>
          <w:tcPr>
            <w:tcW w:w="1695" w:type="dxa"/>
          </w:tcPr>
          <w:p>
            <w:pPr>
              <w:jc w:val="right"/>
              <w:rPr>
                <w:rFonts w:ascii="宋体" w:hAnsi="宋体"/>
              </w:rPr>
            </w:pPr>
            <w:r>
              <w:rPr>
                <w:rFonts w:ascii="宋体" w:hAnsi="宋体"/>
              </w:rPr>
              <w:t xml:space="preserve"> 89,765 </w:t>
            </w:r>
          </w:p>
        </w:tc>
        <w:tc>
          <w:tcPr>
            <w:tcW w:w="1992" w:type="dxa"/>
          </w:tcPr>
          <w:p>
            <w:pPr>
              <w:jc w:val="right"/>
              <w:rPr>
                <w:rFonts w:ascii="宋体" w:hAnsi="宋体"/>
              </w:rPr>
            </w:pPr>
            <w:r>
              <w:rPr>
                <w:rFonts w:ascii="宋体" w:hAnsi="宋体"/>
              </w:rPr>
              <w:t xml:space="preserve"> -57,864 </w:t>
            </w:r>
          </w:p>
        </w:tc>
      </w:tr>
      <w:tr>
        <w:trPr>
          <w:trHeight w:val="180"/>
          <w:jc w:val="center"/>
        </w:trPr>
        <w:tc>
          <w:tcPr>
            <w:tcW w:w="2238" w:type="dxa"/>
          </w:tcPr>
          <w:p>
            <w:pPr>
              <w:pStyle w:val="Style61"/>
              <w:rPr>
                <w:rFonts w:ascii="宋体" w:hAnsi="宋体"/>
              </w:rPr>
            </w:pPr>
            <w:r>
              <w:rPr>
                <w:rFonts w:ascii="宋体" w:hAnsi="宋体" w:hint="eastAsia"/>
              </w:rPr>
              <w:t>应收款项融资</w:t>
            </w:r>
          </w:p>
        </w:tc>
        <w:tc>
          <w:tcPr>
            <w:tcW w:w="1701" w:type="dxa"/>
          </w:tcPr>
          <w:p>
            <w:pPr>
              <w:jc w:val="right"/>
              <w:rPr>
                <w:rFonts w:ascii="宋体" w:hAnsi="宋体"/>
              </w:rPr>
            </w:pPr>
            <w:r>
              <w:rPr>
                <w:rFonts w:ascii="宋体" w:hAnsi="宋体"/>
              </w:rPr>
              <w:t xml:space="preserve"> 3,043,593 </w:t>
            </w:r>
          </w:p>
        </w:tc>
        <w:tc>
          <w:tcPr>
            <w:tcW w:w="1710" w:type="dxa"/>
          </w:tcPr>
          <w:p>
            <w:pPr>
              <w:jc w:val="right"/>
              <w:rPr>
                <w:rFonts w:ascii="宋体" w:hAnsi="宋体"/>
              </w:rPr>
            </w:pPr>
            <w:r>
              <w:rPr>
                <w:rFonts w:ascii="宋体" w:hAnsi="宋体"/>
              </w:rPr>
              <w:t xml:space="preserve"> 1,764,903 </w:t>
            </w:r>
          </w:p>
        </w:tc>
        <w:tc>
          <w:tcPr>
            <w:tcW w:w="1695" w:type="dxa"/>
          </w:tcPr>
          <w:p>
            <w:pPr>
              <w:jc w:val="right"/>
              <w:rPr>
                <w:rFonts w:ascii="宋体" w:hAnsi="宋体"/>
              </w:rPr>
            </w:pPr>
            <w:r>
              <w:rPr>
                <w:rFonts w:ascii="宋体" w:hAnsi="宋体"/>
              </w:rPr>
              <w:t xml:space="preserve"> -1,278,690 </w:t>
            </w:r>
          </w:p>
        </w:tc>
        <w:tc>
          <w:tcPr>
            <w:tcW w:w="1992" w:type="dxa"/>
          </w:tcPr>
          <w:p>
            <w:pPr>
              <w:jc w:val="right"/>
              <w:rPr>
                <w:rFonts w:ascii="宋体" w:hAnsi="宋体"/>
              </w:rPr>
            </w:pPr>
            <w:r>
              <w:rPr>
                <w:rFonts w:ascii="宋体" w:hAnsi="宋体"/>
              </w:rPr>
              <w:t xml:space="preserve"> -   </w:t>
            </w:r>
          </w:p>
        </w:tc>
      </w:tr>
      <w:tr>
        <w:trPr>
          <w:trHeight w:val="180"/>
          <w:jc w:val="center"/>
        </w:trPr>
        <w:tc>
          <w:tcPr>
            <w:tcW w:w="2238" w:type="dxa"/>
          </w:tcPr>
          <w:p>
            <w:pPr>
              <w:pStyle w:val="Style61"/>
              <w:rPr>
                <w:rFonts w:ascii="宋体" w:hAnsi="宋体"/>
              </w:rPr>
            </w:pPr>
            <w:r>
              <w:rPr>
                <w:rFonts w:ascii="宋体" w:hAnsi="宋体" w:hint="eastAsia"/>
              </w:rPr>
              <w:t>其他权益工具投资</w:t>
            </w:r>
          </w:p>
        </w:tc>
        <w:tc>
          <w:tcPr>
            <w:tcW w:w="1701" w:type="dxa"/>
          </w:tcPr>
          <w:p>
            <w:pPr>
              <w:jc w:val="right"/>
              <w:rPr>
                <w:rFonts w:ascii="宋体" w:hAnsi="宋体"/>
              </w:rPr>
            </w:pPr>
            <w:r>
              <w:rPr>
                <w:rFonts w:ascii="宋体" w:hAnsi="宋体"/>
              </w:rPr>
              <w:t xml:space="preserve"> 529,280 </w:t>
            </w:r>
          </w:p>
        </w:tc>
        <w:tc>
          <w:tcPr>
            <w:tcW w:w="1710" w:type="dxa"/>
          </w:tcPr>
          <w:p>
            <w:pPr>
              <w:jc w:val="right"/>
              <w:rPr>
                <w:rFonts w:ascii="宋体" w:hAnsi="宋体"/>
              </w:rPr>
            </w:pPr>
            <w:r>
              <w:rPr>
                <w:rFonts w:ascii="宋体" w:hAnsi="宋体"/>
              </w:rPr>
              <w:t xml:space="preserve"> 529,761 </w:t>
            </w:r>
          </w:p>
        </w:tc>
        <w:tc>
          <w:tcPr>
            <w:tcW w:w="1695" w:type="dxa"/>
          </w:tcPr>
          <w:p>
            <w:pPr>
              <w:jc w:val="right"/>
              <w:rPr>
                <w:rFonts w:ascii="宋体" w:hAnsi="宋体"/>
              </w:rPr>
            </w:pPr>
            <w:r>
              <w:rPr>
                <w:rFonts w:ascii="宋体" w:hAnsi="宋体"/>
              </w:rPr>
              <w:t xml:space="preserve"> 481 </w:t>
            </w:r>
          </w:p>
        </w:tc>
        <w:tc>
          <w:tcPr>
            <w:tcW w:w="1992" w:type="dxa"/>
          </w:tcPr>
          <w:p>
            <w:pPr>
              <w:jc w:val="right"/>
              <w:rPr>
                <w:rFonts w:ascii="宋体" w:hAnsi="宋体"/>
              </w:rPr>
            </w:pPr>
            <w:r>
              <w:rPr>
                <w:rFonts w:ascii="宋体" w:hAnsi="宋体"/>
              </w:rPr>
              <w:t xml:space="preserve"> 12,876 </w:t>
            </w:r>
          </w:p>
        </w:tc>
      </w:tr>
      <w:tr>
        <w:trPr>
          <w:trHeight w:val="180"/>
          <w:jc w:val="center"/>
        </w:trPr>
        <w:tc>
          <w:tcPr>
            <w:tcW w:w="2238" w:type="dxa"/>
          </w:tcPr>
          <w:p>
            <w:pPr>
              <w:pStyle w:val="Style61"/>
              <w:rPr>
                <w:rFonts w:ascii="宋体" w:hAnsi="宋体"/>
              </w:rPr>
            </w:pPr>
            <w:r>
              <w:rPr>
                <w:rFonts w:ascii="宋体" w:hAnsi="宋体" w:hint="eastAsia"/>
              </w:rPr>
              <w:t>其他非流动金融资产</w:t>
            </w:r>
          </w:p>
        </w:tc>
        <w:tc>
          <w:tcPr>
            <w:tcW w:w="1701" w:type="dxa"/>
          </w:tcPr>
          <w:p>
            <w:pPr>
              <w:jc w:val="right"/>
              <w:rPr>
                <w:rFonts w:ascii="宋体" w:hAnsi="宋体"/>
              </w:rPr>
            </w:pPr>
            <w:r>
              <w:rPr>
                <w:rFonts w:ascii="宋体" w:hAnsi="宋体"/>
              </w:rPr>
              <w:t xml:space="preserve"> 1,447,143 </w:t>
            </w:r>
          </w:p>
        </w:tc>
        <w:tc>
          <w:tcPr>
            <w:tcW w:w="1710" w:type="dxa"/>
          </w:tcPr>
          <w:p>
            <w:pPr>
              <w:jc w:val="right"/>
              <w:rPr>
                <w:rFonts w:ascii="宋体" w:hAnsi="宋体"/>
              </w:rPr>
            </w:pPr>
            <w:r>
              <w:rPr>
                <w:rFonts w:ascii="宋体" w:hAnsi="宋体"/>
              </w:rPr>
              <w:t xml:space="preserve"> 1,386,169 </w:t>
            </w:r>
          </w:p>
        </w:tc>
        <w:tc>
          <w:tcPr>
            <w:tcW w:w="1695" w:type="dxa"/>
          </w:tcPr>
          <w:p>
            <w:pPr>
              <w:jc w:val="right"/>
              <w:rPr>
                <w:rFonts w:ascii="宋体" w:hAnsi="宋体"/>
              </w:rPr>
            </w:pPr>
            <w:r>
              <w:rPr>
                <w:rFonts w:ascii="宋体" w:hAnsi="宋体"/>
              </w:rPr>
              <w:t xml:space="preserve"> -60,974 </w:t>
            </w:r>
          </w:p>
        </w:tc>
        <w:tc>
          <w:tcPr>
            <w:tcW w:w="1992" w:type="dxa"/>
          </w:tcPr>
          <w:p>
            <w:pPr>
              <w:jc w:val="right"/>
              <w:rPr>
                <w:rFonts w:ascii="宋体" w:hAnsi="宋体"/>
              </w:rPr>
            </w:pPr>
            <w:r>
              <w:rPr>
                <w:rFonts w:ascii="宋体" w:hAnsi="宋体"/>
              </w:rPr>
              <w:t xml:space="preserve"> -81,769 </w:t>
            </w:r>
          </w:p>
        </w:tc>
      </w:tr>
      <w:tr>
        <w:trPr>
          <w:trHeight w:val="180"/>
          <w:jc w:val="center"/>
        </w:trPr>
        <w:tc>
          <w:tcPr>
            <w:tcW w:w="2238" w:type="dxa"/>
          </w:tcPr>
          <w:p>
            <w:pPr>
              <w:pStyle w:val="Style61"/>
              <w:rPr>
                <w:rFonts w:ascii="宋体" w:hAnsi="宋体"/>
              </w:rPr>
            </w:pPr>
            <w:r>
              <w:rPr>
                <w:rFonts w:ascii="宋体" w:hAnsi="宋体" w:hint="eastAsia"/>
              </w:rPr>
              <w:t>投资性房地产</w:t>
            </w:r>
          </w:p>
        </w:tc>
        <w:tc>
          <w:tcPr>
            <w:tcW w:w="1701" w:type="dxa"/>
          </w:tcPr>
          <w:p>
            <w:pPr>
              <w:jc w:val="right"/>
              <w:rPr>
                <w:rFonts w:ascii="宋体" w:hAnsi="宋体"/>
              </w:rPr>
            </w:pPr>
            <w:r>
              <w:rPr>
                <w:rFonts w:ascii="宋体" w:hAnsi="宋体"/>
              </w:rPr>
              <w:t xml:space="preserve"> 1,234,824 </w:t>
            </w:r>
          </w:p>
        </w:tc>
        <w:tc>
          <w:tcPr>
            <w:tcW w:w="1710" w:type="dxa"/>
          </w:tcPr>
          <w:p>
            <w:pPr>
              <w:jc w:val="right"/>
              <w:rPr>
                <w:rFonts w:ascii="宋体" w:hAnsi="宋体"/>
              </w:rPr>
            </w:pPr>
            <w:r>
              <w:rPr>
                <w:rFonts w:ascii="宋体" w:hAnsi="宋体"/>
              </w:rPr>
              <w:t xml:space="preserve"> 1,747,691 </w:t>
            </w:r>
          </w:p>
        </w:tc>
        <w:tc>
          <w:tcPr>
            <w:tcW w:w="1695" w:type="dxa"/>
          </w:tcPr>
          <w:p>
            <w:pPr>
              <w:jc w:val="right"/>
              <w:rPr>
                <w:rFonts w:ascii="宋体" w:hAnsi="宋体"/>
              </w:rPr>
            </w:pPr>
            <w:r>
              <w:rPr>
                <w:rFonts w:ascii="宋体" w:hAnsi="宋体"/>
              </w:rPr>
              <w:t xml:space="preserve"> 512,867 </w:t>
            </w:r>
          </w:p>
        </w:tc>
        <w:tc>
          <w:tcPr>
            <w:tcW w:w="1992" w:type="dxa"/>
          </w:tcPr>
          <w:p>
            <w:pPr>
              <w:jc w:val="right"/>
              <w:rPr>
                <w:rFonts w:ascii="宋体" w:hAnsi="宋体"/>
              </w:rPr>
            </w:pPr>
            <w:r>
              <w:rPr>
                <w:rFonts w:ascii="宋体" w:hAnsi="宋体"/>
              </w:rPr>
              <w:t xml:space="preserve"> -19,090 </w:t>
            </w:r>
          </w:p>
        </w:tc>
      </w:tr>
      <w:tr>
        <w:trPr>
          <w:trHeight w:val="180"/>
          <w:jc w:val="center"/>
        </w:trPr>
        <w:tc>
          <w:tcPr>
            <w:tcW w:w="2238" w:type="dxa"/>
            <w:vAlign w:val="center"/>
          </w:tcPr>
          <w:p>
            <w:pPr>
              <w:jc w:val="center"/>
              <w:rPr>
                <w:rFonts w:ascii="宋体" w:hAnsi="宋体"/>
              </w:rPr>
            </w:pPr>
            <w:r>
              <w:rPr>
                <w:rFonts w:ascii="宋体" w:hAnsi="宋体" w:hint="eastAsia"/>
              </w:rPr>
              <w:t>合计</w:t>
            </w:r>
          </w:p>
        </w:tc>
        <w:tc>
          <w:tcPr>
            <w:tcW w:w="1701" w:type="dxa"/>
          </w:tcPr>
          <w:p>
            <w:pPr>
              <w:jc w:val="right"/>
              <w:rPr>
                <w:rFonts w:ascii="宋体" w:hAnsi="宋体"/>
              </w:rPr>
            </w:pPr>
            <w:r>
              <w:rPr>
                <w:rFonts w:ascii="宋体" w:hAnsi="宋体"/>
              </w:rPr>
              <w:t xml:space="preserve"> 6,421,612 </w:t>
            </w:r>
          </w:p>
        </w:tc>
        <w:tc>
          <w:tcPr>
            <w:tcW w:w="1710" w:type="dxa"/>
          </w:tcPr>
          <w:p>
            <w:pPr>
              <w:jc w:val="right"/>
              <w:rPr>
                <w:rFonts w:ascii="宋体" w:hAnsi="宋体"/>
              </w:rPr>
            </w:pPr>
            <w:r>
              <w:rPr>
                <w:rFonts w:ascii="宋体" w:hAnsi="宋体"/>
              </w:rPr>
              <w:t xml:space="preserve"> 5,685,061 </w:t>
            </w:r>
          </w:p>
        </w:tc>
        <w:tc>
          <w:tcPr>
            <w:tcW w:w="1695" w:type="dxa"/>
          </w:tcPr>
          <w:p>
            <w:pPr>
              <w:jc w:val="right"/>
              <w:rPr>
                <w:rFonts w:ascii="宋体" w:hAnsi="宋体"/>
              </w:rPr>
            </w:pPr>
            <w:r>
              <w:rPr>
                <w:rFonts w:ascii="宋体" w:hAnsi="宋体"/>
              </w:rPr>
              <w:t xml:space="preserve"> -736,551 </w:t>
            </w:r>
          </w:p>
        </w:tc>
        <w:tc>
          <w:tcPr>
            <w:tcW w:w="1992" w:type="dxa"/>
          </w:tcPr>
          <w:p>
            <w:pPr>
              <w:jc w:val="right"/>
              <w:rPr>
                <w:rFonts w:ascii="宋体" w:hAnsi="宋体"/>
              </w:rPr>
            </w:pPr>
            <w:r>
              <w:rPr>
                <w:rFonts w:ascii="宋体" w:hAnsi="宋体"/>
              </w:rPr>
              <w:t xml:space="preserve"> -145,847 </w:t>
            </w:r>
          </w:p>
        </w:tc>
      </w:tr>
      <w:tr>
        <w:trPr>
          <w:trHeight w:val="180"/>
          <w:jc w:val="center"/>
        </w:trPr>
        <w:tc>
          <w:tcPr>
            <w:tcW w:w="2238" w:type="dxa"/>
          </w:tcPr>
          <w:p>
            <w:pPr>
              <w:pStyle w:val="Style61"/>
              <w:rPr>
                <w:rFonts w:ascii="宋体" w:hAnsi="宋体"/>
              </w:rPr>
            </w:pPr>
            <w:r>
              <w:rPr>
                <w:rFonts w:ascii="宋体" w:hAnsi="宋体" w:hint="eastAsia"/>
              </w:rPr>
              <w:t>交易性金融负债</w:t>
            </w:r>
          </w:p>
        </w:tc>
        <w:tc>
          <w:tcPr>
            <w:tcW w:w="1701" w:type="dxa"/>
          </w:tcPr>
          <w:p>
            <w:pPr>
              <w:jc w:val="right"/>
              <w:rPr>
                <w:rFonts w:ascii="宋体" w:hAnsi="宋体"/>
              </w:rPr>
            </w:pPr>
            <w:r>
              <w:rPr>
                <w:rFonts w:ascii="宋体" w:hAnsi="宋体"/>
              </w:rPr>
              <w:t xml:space="preserve"> 538,427 </w:t>
            </w:r>
          </w:p>
        </w:tc>
        <w:tc>
          <w:tcPr>
            <w:tcW w:w="1710" w:type="dxa"/>
          </w:tcPr>
          <w:p>
            <w:pPr>
              <w:jc w:val="right"/>
              <w:rPr>
                <w:rFonts w:ascii="宋体" w:hAnsi="宋体"/>
              </w:rPr>
            </w:pPr>
            <w:r>
              <w:rPr>
                <w:rFonts w:ascii="宋体" w:hAnsi="宋体"/>
              </w:rPr>
              <w:t xml:space="preserve"> 360,192 </w:t>
            </w:r>
          </w:p>
        </w:tc>
        <w:tc>
          <w:tcPr>
            <w:tcW w:w="1695" w:type="dxa"/>
          </w:tcPr>
          <w:p>
            <w:pPr>
              <w:jc w:val="right"/>
              <w:rPr>
                <w:rFonts w:ascii="宋体" w:hAnsi="宋体"/>
              </w:rPr>
            </w:pPr>
            <w:r>
              <w:rPr>
                <w:rFonts w:ascii="宋体" w:hAnsi="宋体"/>
              </w:rPr>
              <w:t xml:space="preserve"> -178,235 </w:t>
            </w:r>
          </w:p>
        </w:tc>
        <w:tc>
          <w:tcPr>
            <w:tcW w:w="1992" w:type="dxa"/>
          </w:tcPr>
          <w:p>
            <w:pPr>
              <w:jc w:val="right"/>
              <w:rPr>
                <w:rFonts w:ascii="宋体" w:hAnsi="宋体"/>
              </w:rPr>
            </w:pPr>
            <w:r>
              <w:rPr>
                <w:rFonts w:ascii="宋体" w:hAnsi="宋体"/>
              </w:rPr>
              <w:t xml:space="preserve"> 188,586 </w:t>
            </w:r>
          </w:p>
        </w:tc>
      </w:tr>
      <w:tr>
        <w:trPr>
          <w:trHeight w:val="117"/>
          <w:jc w:val="center"/>
        </w:trPr>
        <w:tc>
          <w:tcPr>
            <w:tcW w:w="2238" w:type="dxa"/>
            <w:tcBorders>
              <w:bottom w:val="single" w:sz="4" w:space="0" w:color="auto"/>
            </w:tcBorders>
            <w:vAlign w:val="center"/>
          </w:tcPr>
          <w:p>
            <w:pPr>
              <w:jc w:val="center"/>
              <w:rPr>
                <w:rFonts w:ascii="宋体" w:hAnsi="宋体"/>
              </w:rPr>
            </w:pPr>
            <w:r>
              <w:rPr>
                <w:rFonts w:ascii="宋体" w:hAnsi="宋体" w:hint="eastAsia"/>
              </w:rPr>
              <w:t>合计</w:t>
            </w:r>
          </w:p>
        </w:tc>
        <w:tc>
          <w:tcPr>
            <w:tcW w:w="1701" w:type="dxa"/>
          </w:tcPr>
          <w:p>
            <w:pPr>
              <w:jc w:val="right"/>
              <w:rPr>
                <w:rFonts w:ascii="宋体" w:hAnsi="宋体"/>
              </w:rPr>
            </w:pPr>
            <w:r>
              <w:rPr>
                <w:rFonts w:ascii="宋体" w:hAnsi="宋体"/>
              </w:rPr>
              <w:t xml:space="preserve"> 538,427 </w:t>
            </w:r>
          </w:p>
        </w:tc>
        <w:tc>
          <w:tcPr>
            <w:tcW w:w="1710" w:type="dxa"/>
          </w:tcPr>
          <w:p>
            <w:pPr>
              <w:jc w:val="right"/>
              <w:rPr>
                <w:rFonts w:ascii="宋体" w:hAnsi="宋体"/>
              </w:rPr>
            </w:pPr>
            <w:r>
              <w:rPr>
                <w:rFonts w:ascii="宋体" w:hAnsi="宋体"/>
              </w:rPr>
              <w:t xml:space="preserve"> 360,192 </w:t>
            </w:r>
          </w:p>
        </w:tc>
        <w:tc>
          <w:tcPr>
            <w:tcW w:w="1695" w:type="dxa"/>
          </w:tcPr>
          <w:p>
            <w:pPr>
              <w:jc w:val="right"/>
              <w:rPr>
                <w:rFonts w:ascii="宋体" w:hAnsi="宋体"/>
              </w:rPr>
            </w:pPr>
            <w:r>
              <w:rPr>
                <w:rFonts w:ascii="宋体" w:hAnsi="宋体"/>
              </w:rPr>
              <w:t xml:space="preserve"> -178,235 </w:t>
            </w:r>
          </w:p>
        </w:tc>
        <w:tc>
          <w:tcPr>
            <w:tcW w:w="1992" w:type="dxa"/>
          </w:tcPr>
          <w:p>
            <w:pPr>
              <w:jc w:val="right"/>
              <w:rPr>
                <w:rFonts w:ascii="宋体" w:hAnsi="宋体"/>
              </w:rPr>
            </w:pPr>
            <w:r>
              <w:rPr>
                <w:rFonts w:ascii="宋体" w:hAnsi="宋体"/>
              </w:rPr>
              <w:t xml:space="preserve"> 188,586 </w:t>
            </w:r>
          </w:p>
        </w:tc>
      </w:tr>
    </w:tbl>
    <w:p>
      <w:pPr>
        <w:pStyle w:val="Style49"/>
        <w:rPr>
          <w:rFonts w:ascii="宋体" w:hAnsi="宋体"/>
        </w:rPr>
      </w:pPr>
    </w:p>
    <w:p>
      <w:pPr>
        <w:pStyle w:val="2"/>
        <w:numPr>
          <w:ilvl w:val="1"/>
          <w:numId w:val="11"/>
        </w:numPr>
        <w:ind w:left="498" w:hangingChars="236" w:hanging="498"/>
        <w:rPr>
          <w:rFonts w:ascii="宋体" w:hAnsi="宋体"/>
          <w:u w:val="single"/>
        </w:rPr>
      </w:pPr>
      <w:r>
        <w:rPr>
          <w:rFonts w:ascii="宋体" w:hAnsi="宋体" w:hint="eastAsia"/>
        </w:rPr>
        <w:t>其他</w:t>
      </w:r>
    </w:p>
    <w:sdt>
      <w:sdtPr>
        <w:rPr>
          <w:rFonts w:ascii="宋体" w:hAnsi="宋体"/>
        </w:rPr>
        <w:alias w:val="是否适用：公司简介和主要财务指标其他说明[双击切换]"/>
        <w:tag w:val="_GBC_ac20c9ad49eb470dba71a763f930572f"/>
        <w:id w:val="-256293775"/>
        <w:placeholder>
          <w:docPart w:val="GBC22222222222222222222222222222"/>
        </w:placeholder>
      </w:sdtPr>
      <w:sdtContent>
        <w:p>
          <w:pPr>
            <w:pStyle w:val="Style49"/>
            <w:rPr>
              <w:rFonts w:ascii="宋体" w:hAnsi="宋体"/>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b/>
          <w:bCs/>
          <w:kern w:val="44"/>
        </w:rPr>
      </w:pPr>
      <w:r>
        <w:rPr>
          <w:rFonts w:ascii="宋体" w:hAnsi="宋体"/>
        </w:rPr>
        <w:br w:type="page"/>
      </w:r>
    </w:p>
    <w:p>
      <w:pPr>
        <w:numPr>
          <w:ilvl w:val="0"/>
          <w:numId w:val="10"/>
        </w:numPr>
        <w:jc w:val="center"/>
        <w:outlineLvl w:val="0"/>
        <w:rPr>
          <w:rFonts w:ascii="黑体" w:eastAsia="黑体" w:hAnsi="黑体"/>
          <w:b/>
          <w:bCs/>
          <w:sz w:val="28"/>
          <w:szCs w:val="28"/>
        </w:rPr>
      </w:pPr>
      <w:bookmarkStart w:id="41" w:name="_Toc225175011"/>
      <w:r>
        <w:rPr>
          <w:rFonts w:ascii="黑体" w:eastAsia="黑体" w:hAnsi="黑体" w:hint="eastAsia"/>
          <w:b/>
          <w:bCs/>
          <w:sz w:val="28"/>
          <w:szCs w:val="28"/>
        </w:rPr>
        <w:lastRenderedPageBreak/>
        <w:t>董事长报告书</w:t>
      </w:r>
      <w:bookmarkEnd w:id="41"/>
    </w:p>
    <w:p>
      <w:pPr>
        <w:pStyle w:val="Style49"/>
        <w:rPr>
          <w:rFonts w:ascii="宋体" w:hAnsi="宋体"/>
        </w:rPr>
      </w:pPr>
      <w:bookmarkStart w:id="42" w:name="_Hlk224758292"/>
    </w:p>
    <w:p>
      <w:pPr>
        <w:pStyle w:val="Style49"/>
        <w:rPr>
          <w:rFonts w:ascii="宋体" w:hAnsi="宋体"/>
        </w:rPr>
      </w:pPr>
      <w:r>
        <w:rPr>
          <w:rFonts w:ascii="宋体" w:hAnsi="宋体" w:hint="eastAsia"/>
        </w:rPr>
        <w:t>尊敬的各位股东：</w:t>
      </w:r>
    </w:p>
    <w:p>
      <w:pPr>
        <w:pStyle w:val="afe"/>
        <w:spacing w:before="0" w:beforeAutospacing="0" w:after="0" w:afterAutospacing="0"/>
        <w:ind w:firstLineChars="200" w:firstLine="420"/>
        <w:jc w:val="both"/>
        <w:rPr>
          <w:rFonts w:ascii="宋体" w:hAnsi="宋体" w:cs="宋体"/>
          <w:sz w:val="21"/>
          <w:lang w:bidi="ar"/>
        </w:rPr>
      </w:pPr>
      <w:r>
        <w:rPr>
          <w:rFonts w:ascii="宋体" w:hAnsi="宋体" w:cs="宋体" w:hint="eastAsia"/>
          <w:sz w:val="21"/>
          <w:lang w:bidi="ar"/>
        </w:rPr>
        <w:t>我谨代表董事会向各位股东欣然呈报兖矿能源2025年度经营业绩，并向大家报告2026年经营目标和“十五五”期间发展规划。</w:t>
      </w:r>
    </w:p>
    <w:p>
      <w:pPr>
        <w:pStyle w:val="afe"/>
        <w:spacing w:before="0" w:beforeAutospacing="0" w:after="0" w:afterAutospacing="0"/>
        <w:ind w:firstLineChars="200" w:firstLine="420"/>
        <w:jc w:val="both"/>
        <w:rPr>
          <w:rFonts w:ascii="宋体" w:hAnsi="宋体"/>
          <w:sz w:val="21"/>
          <w:lang w:bidi="ar"/>
        </w:rPr>
      </w:pPr>
      <w:r>
        <w:rPr>
          <w:rFonts w:ascii="宋体" w:hAnsi="宋体"/>
          <w:sz w:val="21"/>
          <w:lang w:bidi="ar"/>
        </w:rPr>
        <w:t>2025年，面对经济形势错综复杂、新型能源体系加速构建、煤炭行业周期波动等严峻挑战，本集团克难攻坚、沉着应对，坚持增产拓量夯实根基，精益管理降本控费，项目建设提速蓄势，资本运营赋能增效，实现产能规模和资源储备跨越式增长，在复杂局面中牢牢稳住了生产经营基本盘，整体呈现经营管理稳中向好、发展后劲持续增强的良好态势。</w:t>
      </w:r>
    </w:p>
    <w:p>
      <w:pPr>
        <w:pStyle w:val="afe"/>
        <w:spacing w:before="0" w:beforeAutospacing="0" w:after="0" w:afterAutospacing="0"/>
        <w:ind w:firstLineChars="200" w:firstLine="422"/>
        <w:jc w:val="both"/>
        <w:rPr>
          <w:rFonts w:ascii="宋体" w:hAnsi="宋体" w:cs="宋体"/>
          <w:sz w:val="21"/>
          <w:lang w:bidi="ar"/>
        </w:rPr>
      </w:pPr>
      <w:r>
        <w:rPr>
          <w:rFonts w:ascii="宋体" w:hAnsi="宋体" w:cs="宋体" w:hint="eastAsia"/>
          <w:b/>
          <w:bCs/>
          <w:sz w:val="21"/>
          <w:lang w:bidi="ar"/>
        </w:rPr>
        <w:t>一、经营质效稳中提质。</w:t>
      </w:r>
      <w:r>
        <w:rPr>
          <w:rFonts w:ascii="宋体" w:hAnsi="宋体" w:cs="宋体" w:hint="eastAsia"/>
          <w:sz w:val="21"/>
          <w:lang w:bidi="ar"/>
        </w:rPr>
        <w:t>受益于陕蒙基地、澳洲基地高产高效以及并购西北矿业，全年商品煤产量</w:t>
      </w:r>
      <w:r>
        <w:rPr>
          <w:rFonts w:ascii="宋体" w:hAnsi="宋体"/>
          <w:sz w:val="21"/>
          <w:lang w:bidi="ar"/>
        </w:rPr>
        <w:t>1.82</w:t>
      </w:r>
      <w:r>
        <w:rPr>
          <w:rFonts w:ascii="宋体" w:hAnsi="宋体" w:cs="宋体" w:hint="eastAsia"/>
          <w:sz w:val="21"/>
          <w:lang w:bidi="ar"/>
        </w:rPr>
        <w:t>亿吨，再创历史新高；化工品产量</w:t>
      </w:r>
      <w:r>
        <w:rPr>
          <w:rFonts w:ascii="宋体" w:hAnsi="宋体"/>
          <w:sz w:val="21"/>
          <w:lang w:bidi="ar"/>
        </w:rPr>
        <w:t>977</w:t>
      </w:r>
      <w:r>
        <w:rPr>
          <w:rFonts w:ascii="宋体" w:hAnsi="宋体" w:cs="宋体" w:hint="eastAsia"/>
          <w:sz w:val="21"/>
          <w:lang w:bidi="ar"/>
        </w:rPr>
        <w:t>万吨，同比增长</w:t>
      </w:r>
      <w:r>
        <w:rPr>
          <w:rFonts w:ascii="宋体" w:hAnsi="宋体"/>
          <w:sz w:val="21"/>
          <w:lang w:bidi="ar"/>
        </w:rPr>
        <w:t>76</w:t>
      </w:r>
      <w:r>
        <w:rPr>
          <w:rFonts w:ascii="宋体" w:hAnsi="宋体" w:cs="宋体" w:hint="eastAsia"/>
          <w:sz w:val="21"/>
          <w:lang w:bidi="ar"/>
        </w:rPr>
        <w:t>万吨。实现营业收入</w:t>
      </w:r>
      <w:r>
        <w:rPr>
          <w:rFonts w:ascii="宋体" w:hAnsi="宋体"/>
          <w:sz w:val="21"/>
          <w:lang w:bidi="ar"/>
        </w:rPr>
        <w:t>1</w:t>
      </w:r>
      <w:r>
        <w:rPr>
          <w:rFonts w:ascii="宋体" w:hAnsi="宋体" w:hint="eastAsia"/>
          <w:sz w:val="21"/>
          <w:lang w:bidi="ar"/>
        </w:rPr>
        <w:t>449.3</w:t>
      </w:r>
      <w:r>
        <w:rPr>
          <w:rFonts w:ascii="宋体" w:hAnsi="宋体" w:cs="宋体" w:hint="eastAsia"/>
          <w:sz w:val="21"/>
          <w:lang w:bidi="ar"/>
        </w:rPr>
        <w:t>亿元，归属于上市公司股东净利润83.8亿元，净资产回报率</w:t>
      </w:r>
      <w:r>
        <w:rPr>
          <w:rFonts w:ascii="宋体" w:hAnsi="宋体" w:hint="eastAsia"/>
          <w:sz w:val="21"/>
          <w:lang w:bidi="ar"/>
        </w:rPr>
        <w:t>9.95</w:t>
      </w:r>
      <w:r>
        <w:rPr>
          <w:rFonts w:ascii="宋体" w:hAnsi="宋体"/>
          <w:sz w:val="21"/>
          <w:lang w:bidi="ar"/>
        </w:rPr>
        <w:t>%</w:t>
      </w:r>
      <w:r>
        <w:rPr>
          <w:rFonts w:ascii="宋体" w:hAnsi="宋体" w:cs="宋体" w:hint="eastAsia"/>
          <w:sz w:val="21"/>
          <w:lang w:bidi="ar"/>
        </w:rPr>
        <w:t>，总资产达到</w:t>
      </w:r>
      <w:r>
        <w:rPr>
          <w:rFonts w:ascii="宋体" w:hAnsi="宋体"/>
          <w:sz w:val="21"/>
          <w:lang w:bidi="ar"/>
        </w:rPr>
        <w:t>4</w:t>
      </w:r>
      <w:r>
        <w:rPr>
          <w:rFonts w:ascii="宋体" w:hAnsi="宋体" w:hint="eastAsia"/>
          <w:sz w:val="21"/>
          <w:lang w:bidi="ar"/>
        </w:rPr>
        <w:t>529.4</w:t>
      </w:r>
      <w:r>
        <w:rPr>
          <w:rFonts w:ascii="宋体" w:hAnsi="宋体" w:cs="宋体" w:hint="eastAsia"/>
          <w:sz w:val="21"/>
          <w:lang w:bidi="ar"/>
        </w:rPr>
        <w:t>亿元。深入实施“十个加强、十个增效、十项费用节支”等成本管控措施，吨煤销售成本同比降低</w:t>
      </w:r>
      <w:r>
        <w:rPr>
          <w:rFonts w:ascii="宋体" w:hAnsi="宋体" w:hint="eastAsia"/>
          <w:sz w:val="21"/>
          <w:lang w:bidi="ar"/>
        </w:rPr>
        <w:t>4.3</w:t>
      </w:r>
      <w:r>
        <w:rPr>
          <w:rFonts w:ascii="宋体" w:hAnsi="宋体"/>
          <w:sz w:val="21"/>
          <w:lang w:bidi="ar"/>
        </w:rPr>
        <w:t>%</w:t>
      </w:r>
      <w:r>
        <w:rPr>
          <w:rFonts w:ascii="宋体" w:hAnsi="宋体" w:cs="宋体" w:hint="eastAsia"/>
          <w:sz w:val="21"/>
          <w:lang w:bidi="ar"/>
        </w:rPr>
        <w:t>；资产负债率降至</w:t>
      </w:r>
      <w:r>
        <w:rPr>
          <w:rFonts w:ascii="宋体" w:hAnsi="宋体"/>
          <w:sz w:val="21"/>
          <w:lang w:bidi="ar"/>
        </w:rPr>
        <w:t>62.2%</w:t>
      </w:r>
      <w:r>
        <w:rPr>
          <w:rFonts w:ascii="宋体" w:hAnsi="宋体" w:cs="宋体" w:hint="eastAsia"/>
          <w:sz w:val="21"/>
          <w:lang w:bidi="ar"/>
        </w:rPr>
        <w:t>；平均融资利率降至</w:t>
      </w:r>
      <w:r>
        <w:rPr>
          <w:rFonts w:ascii="宋体" w:hAnsi="宋体"/>
          <w:sz w:val="21"/>
          <w:lang w:bidi="ar"/>
        </w:rPr>
        <w:t>2.46%</w:t>
      </w:r>
      <w:r>
        <w:rPr>
          <w:rFonts w:ascii="宋体" w:hAnsi="宋体" w:cs="宋体" w:hint="eastAsia"/>
          <w:sz w:val="21"/>
          <w:lang w:bidi="ar"/>
        </w:rPr>
        <w:t>。秉持“股东至上、价值共享”理念，继中期分红</w:t>
      </w:r>
      <w:r>
        <w:rPr>
          <w:rFonts w:ascii="宋体" w:hAnsi="宋体"/>
          <w:sz w:val="21"/>
          <w:lang w:bidi="ar"/>
        </w:rPr>
        <w:t>0.18</w:t>
      </w:r>
      <w:r>
        <w:rPr>
          <w:rFonts w:ascii="宋体" w:hAnsi="宋体" w:cs="宋体" w:hint="eastAsia"/>
          <w:sz w:val="21"/>
          <w:lang w:bidi="ar"/>
        </w:rPr>
        <w:t>元</w:t>
      </w:r>
      <w:r>
        <w:rPr>
          <w:rFonts w:ascii="宋体" w:hAnsi="宋体"/>
          <w:sz w:val="21"/>
          <w:lang w:bidi="ar"/>
        </w:rPr>
        <w:t>/</w:t>
      </w:r>
      <w:r>
        <w:rPr>
          <w:rFonts w:ascii="宋体" w:hAnsi="宋体" w:cs="宋体" w:hint="eastAsia"/>
          <w:sz w:val="21"/>
          <w:lang w:bidi="ar"/>
        </w:rPr>
        <w:t>股，拟实施末期分红</w:t>
      </w:r>
      <w:r>
        <w:rPr>
          <w:rFonts w:ascii="宋体" w:hAnsi="宋体"/>
          <w:sz w:val="21"/>
          <w:lang w:bidi="ar"/>
        </w:rPr>
        <w:t>0.32</w:t>
      </w:r>
      <w:r>
        <w:rPr>
          <w:rFonts w:ascii="宋体" w:hAnsi="宋体" w:cs="宋体" w:hint="eastAsia"/>
          <w:sz w:val="21"/>
          <w:lang w:bidi="ar"/>
        </w:rPr>
        <w:t>元</w:t>
      </w:r>
      <w:r>
        <w:rPr>
          <w:rFonts w:ascii="宋体" w:hAnsi="宋体"/>
          <w:sz w:val="21"/>
          <w:lang w:bidi="ar"/>
        </w:rPr>
        <w:t>/</w:t>
      </w:r>
      <w:r>
        <w:rPr>
          <w:rFonts w:ascii="宋体" w:hAnsi="宋体" w:cs="宋体" w:hint="eastAsia"/>
          <w:sz w:val="21"/>
          <w:lang w:bidi="ar"/>
        </w:rPr>
        <w:t>股，全年累计分红派息</w:t>
      </w:r>
      <w:r>
        <w:rPr>
          <w:rFonts w:ascii="宋体" w:hAnsi="宋体"/>
          <w:sz w:val="21"/>
          <w:lang w:bidi="ar"/>
        </w:rPr>
        <w:t>50.2</w:t>
      </w:r>
      <w:r>
        <w:rPr>
          <w:rFonts w:ascii="宋体" w:hAnsi="宋体" w:cs="宋体" w:hint="eastAsia"/>
          <w:sz w:val="21"/>
          <w:lang w:bidi="ar"/>
        </w:rPr>
        <w:t>亿元。</w:t>
      </w:r>
    </w:p>
    <w:p>
      <w:pPr>
        <w:pStyle w:val="afe"/>
        <w:spacing w:before="0" w:beforeAutospacing="0" w:after="0" w:afterAutospacing="0"/>
        <w:ind w:firstLineChars="200" w:firstLine="422"/>
        <w:jc w:val="both"/>
        <w:rPr>
          <w:rFonts w:ascii="宋体" w:hAnsi="宋体"/>
        </w:rPr>
      </w:pPr>
      <w:r>
        <w:rPr>
          <w:rFonts w:ascii="宋体" w:hAnsi="宋体" w:cs="宋体" w:hint="eastAsia"/>
          <w:b/>
          <w:bCs/>
          <w:sz w:val="21"/>
          <w:lang w:bidi="ar"/>
        </w:rPr>
        <w:t>二、五大产业培优塑强，发展质效稳步提升。矿业优化布局、增量稳效。</w:t>
      </w:r>
      <w:r>
        <w:rPr>
          <w:rFonts w:ascii="宋体" w:hAnsi="宋体" w:cs="宋体" w:hint="eastAsia"/>
          <w:sz w:val="21"/>
          <w:lang w:bidi="ar"/>
        </w:rPr>
        <w:t>山东、新疆基地稳产稳量，万福煤矿投产即达产，五彩湾四号露天矿正式“出煤”试运转。陕蒙基地全面达产达效，商品煤产量</w:t>
      </w:r>
      <w:r>
        <w:rPr>
          <w:rFonts w:ascii="宋体" w:hAnsi="宋体"/>
          <w:sz w:val="21"/>
          <w:lang w:bidi="ar"/>
        </w:rPr>
        <w:t>4666</w:t>
      </w:r>
      <w:r>
        <w:rPr>
          <w:rFonts w:ascii="宋体" w:hAnsi="宋体" w:cs="宋体" w:hint="eastAsia"/>
          <w:sz w:val="21"/>
          <w:lang w:bidi="ar"/>
        </w:rPr>
        <w:t>万吨，同比增加</w:t>
      </w:r>
      <w:r>
        <w:rPr>
          <w:rFonts w:ascii="宋体" w:hAnsi="宋体"/>
          <w:sz w:val="21"/>
          <w:lang w:bidi="ar"/>
        </w:rPr>
        <w:t>354</w:t>
      </w:r>
      <w:r>
        <w:rPr>
          <w:rFonts w:ascii="宋体" w:hAnsi="宋体" w:cs="宋体" w:hint="eastAsia"/>
          <w:sz w:val="21"/>
          <w:lang w:bidi="ar"/>
        </w:rPr>
        <w:t>万吨，利润贡献占比达</w:t>
      </w:r>
      <w:r>
        <w:rPr>
          <w:rFonts w:ascii="宋体" w:hAnsi="宋体"/>
          <w:sz w:val="21"/>
          <w:lang w:bidi="ar"/>
        </w:rPr>
        <w:t>56%</w:t>
      </w:r>
      <w:r>
        <w:rPr>
          <w:rFonts w:ascii="宋体" w:hAnsi="宋体" w:cs="宋体" w:hint="eastAsia"/>
          <w:sz w:val="21"/>
          <w:lang w:bidi="ar"/>
        </w:rPr>
        <w:t>，成为最核心的产量增长区、利润增长极。西北矿业并购贡献商品煤产量</w:t>
      </w:r>
      <w:r>
        <w:rPr>
          <w:rFonts w:ascii="宋体" w:hAnsi="宋体"/>
          <w:sz w:val="21"/>
          <w:lang w:bidi="ar"/>
        </w:rPr>
        <w:t>3381</w:t>
      </w:r>
      <w:r>
        <w:rPr>
          <w:rFonts w:ascii="宋体" w:hAnsi="宋体" w:cs="宋体" w:hint="eastAsia"/>
          <w:sz w:val="21"/>
          <w:lang w:bidi="ar"/>
        </w:rPr>
        <w:t>万吨。澳洲基地商品煤产量</w:t>
      </w:r>
      <w:r>
        <w:rPr>
          <w:rFonts w:ascii="宋体" w:hAnsi="宋体"/>
          <w:sz w:val="21"/>
          <w:lang w:bidi="ar"/>
        </w:rPr>
        <w:t>4402</w:t>
      </w:r>
      <w:r>
        <w:rPr>
          <w:rFonts w:ascii="宋体" w:hAnsi="宋体" w:cs="宋体" w:hint="eastAsia"/>
          <w:sz w:val="21"/>
          <w:lang w:bidi="ar"/>
        </w:rPr>
        <w:t>万吨，同比增加</w:t>
      </w:r>
      <w:r>
        <w:rPr>
          <w:rFonts w:ascii="宋体" w:hAnsi="宋体"/>
          <w:sz w:val="21"/>
          <w:lang w:bidi="ar"/>
        </w:rPr>
        <w:t>172</w:t>
      </w:r>
      <w:r>
        <w:rPr>
          <w:rFonts w:ascii="宋体" w:hAnsi="宋体" w:cs="宋体" w:hint="eastAsia"/>
          <w:sz w:val="21"/>
          <w:lang w:bidi="ar"/>
        </w:rPr>
        <w:t>万吨，创历史最佳纪录。重点项目攻坚突破，内蒙古区域油房壕煤矿土建工程基本完工；刘三圪旦煤矿、霍林河一号煤矿分别取得年产</w:t>
      </w:r>
      <w:r>
        <w:rPr>
          <w:rFonts w:ascii="宋体" w:hAnsi="宋体"/>
          <w:sz w:val="21"/>
          <w:lang w:bidi="ar"/>
        </w:rPr>
        <w:t>1000</w:t>
      </w:r>
      <w:r>
        <w:rPr>
          <w:rFonts w:ascii="宋体" w:hAnsi="宋体" w:cs="宋体" w:hint="eastAsia"/>
          <w:sz w:val="21"/>
          <w:lang w:bidi="ar"/>
        </w:rPr>
        <w:t>万吨、</w:t>
      </w:r>
      <w:r>
        <w:rPr>
          <w:rFonts w:ascii="宋体" w:hAnsi="宋体"/>
          <w:sz w:val="21"/>
          <w:lang w:bidi="ar"/>
        </w:rPr>
        <w:t>700</w:t>
      </w:r>
      <w:r>
        <w:rPr>
          <w:rFonts w:ascii="宋体" w:hAnsi="宋体" w:cs="宋体" w:hint="eastAsia"/>
          <w:sz w:val="21"/>
          <w:lang w:bidi="ar"/>
        </w:rPr>
        <w:t>万吨采矿许可证；嘎鲁图煤矿规划年产能提升至</w:t>
      </w:r>
      <w:r>
        <w:rPr>
          <w:rFonts w:ascii="宋体" w:hAnsi="宋体"/>
          <w:sz w:val="21"/>
          <w:lang w:bidi="ar"/>
        </w:rPr>
        <w:t>800</w:t>
      </w:r>
      <w:r>
        <w:rPr>
          <w:rFonts w:ascii="宋体" w:hAnsi="宋体" w:cs="宋体" w:hint="eastAsia"/>
          <w:sz w:val="21"/>
          <w:lang w:bidi="ar"/>
        </w:rPr>
        <w:t>万吨；兴和钼业曹四夭钼矿获发年产规模</w:t>
      </w:r>
      <w:r>
        <w:rPr>
          <w:rFonts w:ascii="宋体" w:hAnsi="宋体"/>
          <w:sz w:val="21"/>
          <w:lang w:bidi="ar"/>
        </w:rPr>
        <w:t>1650</w:t>
      </w:r>
      <w:r>
        <w:rPr>
          <w:rFonts w:ascii="宋体" w:hAnsi="宋体" w:cs="宋体" w:hint="eastAsia"/>
          <w:sz w:val="21"/>
          <w:lang w:bidi="ar"/>
        </w:rPr>
        <w:t>万吨的采矿许可证电子证书。甘肃区域杨家坪煤矿顺利开工；马福川煤矿和毛家川煤矿均取得年产</w:t>
      </w:r>
      <w:r>
        <w:rPr>
          <w:rFonts w:ascii="宋体" w:hAnsi="宋体" w:hint="eastAsia"/>
          <w:sz w:val="21"/>
          <w:lang w:bidi="ar"/>
        </w:rPr>
        <w:t>500</w:t>
      </w:r>
      <w:r>
        <w:rPr>
          <w:rFonts w:ascii="宋体" w:hAnsi="宋体" w:cs="宋体" w:hint="eastAsia"/>
          <w:sz w:val="21"/>
          <w:lang w:bidi="ar"/>
        </w:rPr>
        <w:t>万吨采矿许可证，并取得初步设计批复。创新推广“密实充填新型前进式综合机械化开采方法”列入新版《煤矿安全规程》。盘古矿山大模型落地应用超</w:t>
      </w:r>
      <w:r>
        <w:rPr>
          <w:rFonts w:ascii="宋体" w:hAnsi="宋体"/>
          <w:sz w:val="21"/>
          <w:lang w:bidi="ar"/>
        </w:rPr>
        <w:t>200</w:t>
      </w:r>
      <w:r>
        <w:rPr>
          <w:rFonts w:ascii="宋体" w:hAnsi="宋体" w:cs="宋体" w:hint="eastAsia"/>
          <w:sz w:val="21"/>
          <w:lang w:bidi="ar"/>
        </w:rPr>
        <w:t>个场景。成功承办全国煤矿冲击地压防治经验交流现场会、第十三届全国矿山救援技能竞赛，在重大灾害防治和应急救援领域树立了行业标杆。</w:t>
      </w:r>
      <w:r>
        <w:rPr>
          <w:rFonts w:ascii="宋体" w:hAnsi="宋体" w:cs="宋体" w:hint="eastAsia"/>
          <w:b/>
          <w:bCs/>
          <w:sz w:val="21"/>
          <w:lang w:bidi="ar"/>
        </w:rPr>
        <w:t>高端化工新材料产业量效齐升、延链补链。</w:t>
      </w:r>
      <w:r>
        <w:rPr>
          <w:rFonts w:ascii="宋体" w:hAnsi="宋体" w:cs="宋体" w:hint="eastAsia"/>
          <w:sz w:val="21"/>
          <w:lang w:bidi="ar"/>
        </w:rPr>
        <w:t>化工板块保持“安稳长满优”运行，重点项目提产增效，实现协同增盈。陕蒙基地化工项目全面实现达产达效，生产甲醇</w:t>
      </w:r>
      <w:r>
        <w:rPr>
          <w:rFonts w:ascii="宋体" w:hAnsi="宋体"/>
          <w:sz w:val="21"/>
          <w:lang w:bidi="ar"/>
        </w:rPr>
        <w:t>4</w:t>
      </w:r>
      <w:r>
        <w:rPr>
          <w:rFonts w:ascii="宋体" w:hAnsi="宋体" w:hint="eastAsia"/>
          <w:sz w:val="21"/>
          <w:lang w:bidi="ar"/>
        </w:rPr>
        <w:t>12</w:t>
      </w:r>
      <w:r>
        <w:rPr>
          <w:rFonts w:ascii="宋体" w:hAnsi="宋体" w:cs="宋体" w:hint="eastAsia"/>
          <w:sz w:val="21"/>
          <w:lang w:bidi="ar"/>
        </w:rPr>
        <w:t>万吨，煤制油</w:t>
      </w:r>
      <w:r>
        <w:rPr>
          <w:rFonts w:ascii="宋体" w:hAnsi="宋体"/>
          <w:sz w:val="21"/>
          <w:lang w:bidi="ar"/>
        </w:rPr>
        <w:t>100</w:t>
      </w:r>
      <w:r>
        <w:rPr>
          <w:rFonts w:ascii="宋体" w:hAnsi="宋体" w:cs="宋体" w:hint="eastAsia"/>
          <w:sz w:val="21"/>
          <w:lang w:bidi="ar"/>
        </w:rPr>
        <w:t>万吨；新疆新天煤化工生产天然气</w:t>
      </w:r>
      <w:r>
        <w:rPr>
          <w:rFonts w:ascii="宋体" w:hAnsi="宋体"/>
          <w:sz w:val="21"/>
          <w:lang w:bidi="ar"/>
        </w:rPr>
        <w:t>21.5</w:t>
      </w:r>
      <w:r>
        <w:rPr>
          <w:rFonts w:ascii="宋体" w:hAnsi="宋体" w:cs="宋体" w:hint="eastAsia"/>
          <w:sz w:val="21"/>
          <w:lang w:bidi="ar"/>
        </w:rPr>
        <w:t>亿立方，创投产以来最好水平。鲁南化工“低碳高效动能转换一体化项目”正式启动，其中：年产</w:t>
      </w:r>
      <w:r>
        <w:rPr>
          <w:rFonts w:ascii="宋体" w:hAnsi="宋体"/>
          <w:sz w:val="21"/>
          <w:lang w:bidi="ar"/>
        </w:rPr>
        <w:t>100</w:t>
      </w:r>
      <w:r>
        <w:rPr>
          <w:rFonts w:ascii="宋体" w:hAnsi="宋体" w:cs="宋体" w:hint="eastAsia"/>
          <w:sz w:val="21"/>
          <w:lang w:bidi="ar"/>
        </w:rPr>
        <w:t>万吨甲醇项目开工建设，年产</w:t>
      </w:r>
      <w:r>
        <w:rPr>
          <w:rFonts w:ascii="宋体" w:hAnsi="宋体"/>
          <w:sz w:val="21"/>
          <w:lang w:bidi="ar"/>
        </w:rPr>
        <w:t>40</w:t>
      </w:r>
      <w:r>
        <w:rPr>
          <w:rFonts w:ascii="宋体" w:hAnsi="宋体" w:cs="宋体" w:hint="eastAsia"/>
          <w:sz w:val="21"/>
          <w:lang w:bidi="ar"/>
        </w:rPr>
        <w:t>万吨辛醇项目取得环评批复。荣信化工</w:t>
      </w:r>
      <w:r>
        <w:rPr>
          <w:rFonts w:ascii="宋体" w:hAnsi="宋体"/>
          <w:sz w:val="21"/>
          <w:lang w:bidi="ar"/>
        </w:rPr>
        <w:t>80</w:t>
      </w:r>
      <w:r>
        <w:rPr>
          <w:rFonts w:ascii="宋体" w:hAnsi="宋体" w:cs="宋体" w:hint="eastAsia"/>
          <w:sz w:val="21"/>
          <w:lang w:bidi="ar"/>
        </w:rPr>
        <w:t>万吨</w:t>
      </w:r>
      <w:r>
        <w:rPr>
          <w:rFonts w:ascii="宋体" w:hAnsi="宋体"/>
          <w:sz w:val="21"/>
          <w:lang w:bidi="ar"/>
        </w:rPr>
        <w:t>/</w:t>
      </w:r>
      <w:r>
        <w:rPr>
          <w:rFonts w:ascii="宋体" w:hAnsi="宋体" w:cs="宋体" w:hint="eastAsia"/>
          <w:sz w:val="21"/>
          <w:lang w:bidi="ar"/>
        </w:rPr>
        <w:t>年烯烃项目预计</w:t>
      </w:r>
      <w:r>
        <w:rPr>
          <w:rFonts w:ascii="宋体" w:hAnsi="宋体"/>
          <w:sz w:val="21"/>
          <w:lang w:bidi="ar"/>
        </w:rPr>
        <w:t>12</w:t>
      </w:r>
      <w:r>
        <w:rPr>
          <w:rFonts w:ascii="宋体" w:hAnsi="宋体" w:cs="宋体" w:hint="eastAsia"/>
          <w:sz w:val="21"/>
          <w:lang w:bidi="ar"/>
        </w:rPr>
        <w:t>月投料试车。新疆能化</w:t>
      </w:r>
      <w:r>
        <w:rPr>
          <w:rFonts w:ascii="宋体" w:hAnsi="宋体"/>
          <w:sz w:val="21"/>
          <w:lang w:bidi="ar"/>
        </w:rPr>
        <w:t>80</w:t>
      </w:r>
      <w:r>
        <w:rPr>
          <w:rFonts w:ascii="宋体" w:hAnsi="宋体" w:cs="宋体" w:hint="eastAsia"/>
          <w:sz w:val="21"/>
          <w:lang w:bidi="ar"/>
        </w:rPr>
        <w:t>万吨</w:t>
      </w:r>
      <w:r>
        <w:rPr>
          <w:rFonts w:ascii="宋体" w:hAnsi="宋体"/>
          <w:sz w:val="21"/>
          <w:lang w:bidi="ar"/>
        </w:rPr>
        <w:t>/</w:t>
      </w:r>
      <w:r>
        <w:rPr>
          <w:rFonts w:ascii="宋体" w:hAnsi="宋体" w:cs="宋体" w:hint="eastAsia"/>
          <w:sz w:val="21"/>
          <w:lang w:bidi="ar"/>
        </w:rPr>
        <w:t>年煤制烯烃项目开工建设。未来能源</w:t>
      </w:r>
      <w:r>
        <w:rPr>
          <w:rFonts w:ascii="宋体" w:hAnsi="宋体"/>
          <w:sz w:val="21"/>
          <w:lang w:bidi="ar"/>
        </w:rPr>
        <w:t>50</w:t>
      </w:r>
      <w:r>
        <w:rPr>
          <w:rFonts w:ascii="宋体" w:hAnsi="宋体" w:cs="宋体" w:hint="eastAsia"/>
          <w:sz w:val="21"/>
          <w:lang w:bidi="ar"/>
        </w:rPr>
        <w:t>万吨高温费托项目有序推进。</w:t>
      </w:r>
      <w:r>
        <w:rPr>
          <w:rFonts w:ascii="宋体" w:hAnsi="宋体" w:cs="宋体" w:hint="eastAsia"/>
          <w:b/>
          <w:bCs/>
          <w:sz w:val="21"/>
          <w:lang w:bidi="ar"/>
        </w:rPr>
        <w:t>高端装备制造产业资源互补、价值跃升。</w:t>
      </w:r>
      <w:r>
        <w:rPr>
          <w:rFonts w:ascii="宋体" w:hAnsi="宋体" w:cs="宋体" w:hint="eastAsia"/>
          <w:sz w:val="21"/>
          <w:lang w:bidi="ar"/>
        </w:rPr>
        <w:t>建强做优欧洲装备制造研发基地，</w:t>
      </w:r>
      <w:r>
        <w:rPr>
          <w:rFonts w:ascii="宋体" w:hAnsi="宋体"/>
          <w:sz w:val="21"/>
          <w:lang w:bidi="ar"/>
        </w:rPr>
        <w:t>CFH</w:t>
      </w:r>
      <w:r>
        <w:rPr>
          <w:rFonts w:ascii="宋体" w:hAnsi="宋体" w:cs="宋体" w:hint="eastAsia"/>
          <w:sz w:val="21"/>
          <w:lang w:bidi="ar"/>
        </w:rPr>
        <w:t>公司国内首台风机产品成功下线，沙尔夫公司自主研发锂电池单轨吊产品成功通过欧盟认证和</w:t>
      </w:r>
      <w:r>
        <w:rPr>
          <w:rFonts w:ascii="宋体" w:hAnsi="宋体"/>
          <w:sz w:val="21"/>
          <w:lang w:bidi="ar"/>
        </w:rPr>
        <w:t>ATEX</w:t>
      </w:r>
      <w:r>
        <w:rPr>
          <w:rFonts w:ascii="宋体" w:hAnsi="宋体" w:cs="宋体" w:hint="eastAsia"/>
          <w:sz w:val="21"/>
          <w:lang w:bidi="ar"/>
        </w:rPr>
        <w:t>认证。整架型批量液压支架出口澳大利亚，实现高端煤机装备海外市场输出零突破。鲁西智慧制造园区投用智能焊接机器人、智能装配线等高端科技，建成行业首个“黑灯密炼工厂”。</w:t>
      </w:r>
      <w:r>
        <w:rPr>
          <w:rFonts w:ascii="宋体" w:hAnsi="宋体" w:cs="宋体" w:hint="eastAsia"/>
          <w:b/>
          <w:bCs/>
          <w:sz w:val="21"/>
          <w:lang w:bidi="ar"/>
        </w:rPr>
        <w:t>智慧物流板块集约高效、扩容提级。</w:t>
      </w:r>
      <w:r>
        <w:rPr>
          <w:rFonts w:ascii="宋体" w:hAnsi="宋体" w:cs="宋体" w:hint="eastAsia"/>
          <w:sz w:val="21"/>
          <w:lang w:bidi="ar"/>
        </w:rPr>
        <w:t>自营及参股铁路运营里程突破</w:t>
      </w:r>
      <w:r>
        <w:rPr>
          <w:rFonts w:ascii="宋体" w:hAnsi="宋体"/>
          <w:sz w:val="21"/>
          <w:lang w:bidi="ar"/>
        </w:rPr>
        <w:t>4000</w:t>
      </w:r>
      <w:r>
        <w:rPr>
          <w:rFonts w:ascii="宋体" w:hAnsi="宋体" w:cs="宋体" w:hint="eastAsia"/>
          <w:sz w:val="21"/>
          <w:lang w:bidi="ar"/>
        </w:rPr>
        <w:t>公里，建成公铁水综合物流园区</w:t>
      </w:r>
      <w:r>
        <w:rPr>
          <w:rFonts w:ascii="宋体" w:hAnsi="宋体"/>
          <w:sz w:val="21"/>
          <w:lang w:bidi="ar"/>
        </w:rPr>
        <w:t>12</w:t>
      </w:r>
      <w:r>
        <w:rPr>
          <w:rFonts w:ascii="宋体" w:hAnsi="宋体" w:cs="宋体" w:hint="eastAsia"/>
          <w:sz w:val="21"/>
          <w:lang w:bidi="ar"/>
        </w:rPr>
        <w:t>个，全年物流货物运量达</w:t>
      </w:r>
      <w:r>
        <w:rPr>
          <w:rFonts w:ascii="宋体" w:hAnsi="宋体"/>
          <w:sz w:val="21"/>
          <w:lang w:bidi="ar"/>
        </w:rPr>
        <w:t>3.1</w:t>
      </w:r>
      <w:r>
        <w:rPr>
          <w:rFonts w:ascii="宋体" w:hAnsi="宋体" w:cs="宋体" w:hint="eastAsia"/>
          <w:sz w:val="21"/>
          <w:lang w:bidi="ar"/>
        </w:rPr>
        <w:t>亿吨。兖矿泰安港常态化开行“万吨大列”，单日集疏运量突破</w:t>
      </w:r>
      <w:r>
        <w:rPr>
          <w:rFonts w:ascii="宋体" w:hAnsi="宋体"/>
          <w:sz w:val="21"/>
          <w:lang w:bidi="ar"/>
        </w:rPr>
        <w:t>10</w:t>
      </w:r>
      <w:r>
        <w:rPr>
          <w:rFonts w:ascii="宋体" w:hAnsi="宋体" w:cs="宋体" w:hint="eastAsia"/>
          <w:sz w:val="21"/>
          <w:lang w:bidi="ar"/>
        </w:rPr>
        <w:t>万吨，加快推进“绿色零碳园区”建设。物泊科技“实体物流</w:t>
      </w:r>
      <w:r>
        <w:rPr>
          <w:rFonts w:ascii="宋体" w:hAnsi="宋体"/>
          <w:sz w:val="21"/>
          <w:lang w:bidi="ar"/>
        </w:rPr>
        <w:t>+</w:t>
      </w:r>
      <w:r>
        <w:rPr>
          <w:rFonts w:ascii="宋体" w:hAnsi="宋体" w:hint="eastAsia"/>
          <w:sz w:val="21"/>
          <w:lang w:bidi="ar"/>
        </w:rPr>
        <w:t>数智</w:t>
      </w:r>
      <w:r>
        <w:rPr>
          <w:rFonts w:ascii="宋体" w:hAnsi="宋体" w:cs="宋体" w:hint="eastAsia"/>
          <w:sz w:val="21"/>
          <w:lang w:bidi="ar"/>
        </w:rPr>
        <w:t>平台”模式实现深度融合，全年运量突破</w:t>
      </w:r>
      <w:r>
        <w:rPr>
          <w:rFonts w:ascii="宋体" w:hAnsi="宋体"/>
          <w:sz w:val="21"/>
          <w:lang w:bidi="ar"/>
        </w:rPr>
        <w:t>2.46</w:t>
      </w:r>
      <w:r>
        <w:rPr>
          <w:rFonts w:ascii="宋体" w:hAnsi="宋体" w:cs="宋体" w:hint="eastAsia"/>
          <w:sz w:val="21"/>
          <w:lang w:bidi="ar"/>
        </w:rPr>
        <w:t>亿吨；成功开拓国际远洋航线，加速布局东南亚等海外市场。</w:t>
      </w:r>
      <w:r>
        <w:rPr>
          <w:rFonts w:ascii="宋体" w:hAnsi="宋体" w:cs="宋体" w:hint="eastAsia"/>
          <w:b/>
          <w:bCs/>
          <w:sz w:val="21"/>
          <w:lang w:bidi="ar"/>
        </w:rPr>
        <w:t>新能源产业聚力攻坚、多能互补。</w:t>
      </w:r>
      <w:r>
        <w:rPr>
          <w:rFonts w:ascii="宋体" w:hAnsi="宋体" w:cs="宋体" w:hint="eastAsia"/>
          <w:sz w:val="21"/>
          <w:lang w:bidi="ar"/>
        </w:rPr>
        <w:t>统筹推进“风光火储”一体化发展，深推“项目建设</w:t>
      </w:r>
      <w:r>
        <w:rPr>
          <w:rFonts w:ascii="宋体" w:hAnsi="宋体"/>
          <w:sz w:val="21"/>
          <w:lang w:bidi="ar"/>
        </w:rPr>
        <w:t>+</w:t>
      </w:r>
      <w:r>
        <w:rPr>
          <w:rFonts w:ascii="宋体" w:hAnsi="宋体" w:cs="宋体" w:hint="eastAsia"/>
          <w:sz w:val="21"/>
          <w:lang w:bidi="ar"/>
        </w:rPr>
        <w:t>指标获取”模式，内蒙古宏大实业</w:t>
      </w:r>
      <w:r>
        <w:rPr>
          <w:rFonts w:ascii="宋体" w:hAnsi="宋体"/>
          <w:sz w:val="21"/>
          <w:lang w:bidi="ar"/>
        </w:rPr>
        <w:t>14</w:t>
      </w:r>
      <w:r>
        <w:rPr>
          <w:rFonts w:ascii="宋体" w:hAnsi="宋体" w:cs="宋体" w:hint="eastAsia"/>
          <w:sz w:val="21"/>
          <w:lang w:bidi="ar"/>
        </w:rPr>
        <w:t>万千瓦风电项目取得核准批复，邹城</w:t>
      </w:r>
      <w:r>
        <w:rPr>
          <w:rFonts w:ascii="宋体" w:hAnsi="宋体"/>
          <w:sz w:val="21"/>
          <w:lang w:bidi="ar"/>
        </w:rPr>
        <w:t>18</w:t>
      </w:r>
      <w:r>
        <w:rPr>
          <w:rFonts w:ascii="宋体" w:hAnsi="宋体" w:cs="宋体" w:hint="eastAsia"/>
          <w:sz w:val="21"/>
          <w:lang w:bidi="ar"/>
        </w:rPr>
        <w:t>万千瓦风电项目开工建设；响应国家“两个联营”战略部署，积极推进济三电力</w:t>
      </w:r>
      <w:r>
        <w:rPr>
          <w:rFonts w:ascii="宋体" w:hAnsi="宋体"/>
          <w:sz w:val="21"/>
          <w:lang w:bidi="ar"/>
        </w:rPr>
        <w:t>220kV</w:t>
      </w:r>
      <w:r>
        <w:rPr>
          <w:rFonts w:ascii="宋体" w:hAnsi="宋体" w:cs="宋体" w:hint="eastAsia"/>
          <w:sz w:val="21"/>
          <w:lang w:bidi="ar"/>
        </w:rPr>
        <w:t>级网侧独立储能电站、赵楼电厂</w:t>
      </w:r>
      <w:r>
        <w:rPr>
          <w:rFonts w:ascii="宋体" w:hAnsi="宋体"/>
          <w:sz w:val="21"/>
          <w:lang w:bidi="ar"/>
        </w:rPr>
        <w:t>35</w:t>
      </w:r>
      <w:r>
        <w:rPr>
          <w:rFonts w:ascii="宋体" w:hAnsi="宋体" w:cs="宋体" w:hint="eastAsia"/>
          <w:sz w:val="21"/>
          <w:lang w:bidi="ar"/>
        </w:rPr>
        <w:t>万千瓦超超临界热电联产等重点项目。</w:t>
      </w:r>
    </w:p>
    <w:p>
      <w:pPr>
        <w:pStyle w:val="afe"/>
        <w:spacing w:before="0" w:beforeAutospacing="0" w:after="0" w:afterAutospacing="0"/>
        <w:ind w:firstLineChars="200" w:firstLine="422"/>
        <w:jc w:val="both"/>
        <w:rPr>
          <w:rFonts w:ascii="宋体" w:hAnsi="宋体"/>
        </w:rPr>
      </w:pPr>
      <w:r>
        <w:rPr>
          <w:rFonts w:ascii="宋体" w:hAnsi="宋体" w:cs="宋体" w:hint="eastAsia"/>
          <w:b/>
          <w:bCs/>
          <w:sz w:val="21"/>
          <w:lang w:bidi="ar"/>
        </w:rPr>
        <w:t>三、价值创造多点突破，推动企业行稳致远。</w:t>
      </w:r>
      <w:r>
        <w:rPr>
          <w:rFonts w:ascii="宋体" w:hAnsi="宋体" w:cs="宋体" w:hint="eastAsia"/>
          <w:sz w:val="21"/>
          <w:lang w:bidi="ar"/>
        </w:rPr>
        <w:t>深化“</w:t>
      </w:r>
      <w:r>
        <w:rPr>
          <w:rFonts w:ascii="宋体" w:hAnsi="宋体"/>
          <w:sz w:val="21"/>
          <w:lang w:bidi="ar"/>
        </w:rPr>
        <w:t>135</w:t>
      </w:r>
      <w:r>
        <w:rPr>
          <w:rFonts w:ascii="宋体" w:hAnsi="宋体" w:cs="宋体" w:hint="eastAsia"/>
          <w:sz w:val="21"/>
          <w:lang w:bidi="ar"/>
        </w:rPr>
        <w:t>”市值管理机制，紧扣高质量发展主线，多维度实施价值创造、规范治理、高效沟通与价值共享等战略举措，截至</w:t>
      </w:r>
      <w:r>
        <w:rPr>
          <w:rFonts w:ascii="宋体" w:hAnsi="宋体"/>
          <w:sz w:val="21"/>
          <w:lang w:bidi="ar"/>
        </w:rPr>
        <w:t>3</w:t>
      </w:r>
      <w:r>
        <w:rPr>
          <w:rFonts w:ascii="宋体" w:hAnsi="宋体" w:cs="宋体" w:hint="eastAsia"/>
          <w:sz w:val="21"/>
          <w:lang w:bidi="ar"/>
        </w:rPr>
        <w:t>月</w:t>
      </w:r>
      <w:r>
        <w:rPr>
          <w:rFonts w:ascii="宋体" w:hAnsi="宋体"/>
          <w:sz w:val="21"/>
          <w:lang w:bidi="ar"/>
        </w:rPr>
        <w:t>26</w:t>
      </w:r>
      <w:r>
        <w:rPr>
          <w:rFonts w:ascii="宋体" w:hAnsi="宋体" w:cs="宋体" w:hint="eastAsia"/>
          <w:sz w:val="21"/>
          <w:lang w:bidi="ar"/>
        </w:rPr>
        <w:t>日，总市值</w:t>
      </w:r>
      <w:r>
        <w:rPr>
          <w:rFonts w:ascii="宋体" w:hAnsi="宋体"/>
          <w:sz w:val="21"/>
          <w:lang w:bidi="ar"/>
        </w:rPr>
        <w:t>1796.7</w:t>
      </w:r>
      <w:r>
        <w:rPr>
          <w:rFonts w:ascii="宋体" w:hAnsi="宋体" w:cs="宋体" w:hint="eastAsia"/>
          <w:sz w:val="21"/>
          <w:lang w:bidi="ar"/>
        </w:rPr>
        <w:t>亿元，较</w:t>
      </w:r>
      <w:r>
        <w:rPr>
          <w:rFonts w:ascii="宋体" w:hAnsi="宋体"/>
          <w:sz w:val="21"/>
          <w:lang w:bidi="ar"/>
        </w:rPr>
        <w:t>2025</w:t>
      </w:r>
      <w:r>
        <w:rPr>
          <w:rFonts w:ascii="宋体" w:hAnsi="宋体" w:cs="宋体" w:hint="eastAsia"/>
          <w:sz w:val="21"/>
          <w:lang w:bidi="ar"/>
        </w:rPr>
        <w:t>年初上涨</w:t>
      </w:r>
      <w:r>
        <w:rPr>
          <w:rFonts w:ascii="宋体" w:hAnsi="宋体"/>
          <w:sz w:val="21"/>
          <w:lang w:bidi="ar"/>
        </w:rPr>
        <w:t>56</w:t>
      </w:r>
      <w:r>
        <w:rPr>
          <w:rFonts w:ascii="宋体" w:hAnsi="宋体" w:hint="eastAsia"/>
          <w:sz w:val="21"/>
          <w:lang w:bidi="ar"/>
        </w:rPr>
        <w:t>.2</w:t>
      </w:r>
      <w:r>
        <w:rPr>
          <w:rFonts w:ascii="宋体" w:hAnsi="宋体"/>
          <w:sz w:val="21"/>
          <w:lang w:bidi="ar"/>
        </w:rPr>
        <w:t>%</w:t>
      </w:r>
      <w:r>
        <w:rPr>
          <w:rFonts w:ascii="宋体" w:hAnsi="宋体" w:cs="宋体" w:hint="eastAsia"/>
          <w:sz w:val="21"/>
          <w:lang w:bidi="ar"/>
        </w:rPr>
        <w:t>，投资价值进一步彰显。荣获中国上市公司百强第</w:t>
      </w:r>
      <w:r>
        <w:rPr>
          <w:rFonts w:ascii="宋体" w:hAnsi="宋体"/>
          <w:sz w:val="21"/>
          <w:lang w:bidi="ar"/>
        </w:rPr>
        <w:t>45</w:t>
      </w:r>
      <w:r>
        <w:rPr>
          <w:rFonts w:ascii="宋体" w:hAnsi="宋体" w:cs="宋体" w:hint="eastAsia"/>
          <w:sz w:val="21"/>
          <w:lang w:bidi="ar"/>
        </w:rPr>
        <w:t>位、《新财富》最佳上市公司、最具价值投资港股、中国上市公司价值示范案例。兼顾价值提升与投资者回报，位列中国上市公司协会</w:t>
      </w:r>
      <w:r>
        <w:rPr>
          <w:rFonts w:ascii="宋体" w:hAnsi="宋体"/>
          <w:sz w:val="21"/>
          <w:lang w:bidi="ar"/>
        </w:rPr>
        <w:t>2025</w:t>
      </w:r>
      <w:r>
        <w:rPr>
          <w:rFonts w:ascii="宋体" w:hAnsi="宋体" w:cs="宋体" w:hint="eastAsia"/>
          <w:sz w:val="21"/>
          <w:lang w:bidi="ar"/>
        </w:rPr>
        <w:t>年现金分红榜单第</w:t>
      </w:r>
      <w:r>
        <w:rPr>
          <w:rFonts w:ascii="宋体" w:hAnsi="宋体"/>
          <w:sz w:val="21"/>
          <w:lang w:bidi="ar"/>
        </w:rPr>
        <w:t>24</w:t>
      </w:r>
      <w:r>
        <w:rPr>
          <w:rFonts w:ascii="宋体" w:hAnsi="宋体" w:cs="宋体" w:hint="eastAsia"/>
          <w:sz w:val="21"/>
          <w:lang w:bidi="ar"/>
        </w:rPr>
        <w:t>名、</w:t>
      </w:r>
      <w:r>
        <w:rPr>
          <w:rFonts w:ascii="宋体" w:hAnsi="宋体"/>
          <w:sz w:val="21"/>
          <w:lang w:bidi="ar"/>
        </w:rPr>
        <w:t>2025</w:t>
      </w:r>
      <w:r>
        <w:rPr>
          <w:rFonts w:ascii="宋体" w:hAnsi="宋体" w:cs="宋体" w:hint="eastAsia"/>
          <w:sz w:val="21"/>
          <w:lang w:bidi="ar"/>
        </w:rPr>
        <w:t>年股息率榜单第</w:t>
      </w:r>
      <w:r>
        <w:rPr>
          <w:rFonts w:ascii="宋体" w:hAnsi="宋体"/>
          <w:sz w:val="21"/>
          <w:lang w:bidi="ar"/>
        </w:rPr>
        <w:t>13</w:t>
      </w:r>
      <w:r>
        <w:rPr>
          <w:rFonts w:ascii="宋体" w:hAnsi="宋体" w:cs="宋体" w:hint="eastAsia"/>
          <w:sz w:val="21"/>
          <w:lang w:bidi="ar"/>
        </w:rPr>
        <w:t>名；继续坚持高比例派现分红政策，制定《</w:t>
      </w:r>
      <w:r>
        <w:rPr>
          <w:rFonts w:ascii="宋体" w:hAnsi="宋体"/>
          <w:sz w:val="21"/>
          <w:lang w:bidi="ar"/>
        </w:rPr>
        <w:t>2026-2028</w:t>
      </w:r>
      <w:r>
        <w:rPr>
          <w:rFonts w:ascii="宋体" w:hAnsi="宋体" w:cs="宋体" w:hint="eastAsia"/>
          <w:sz w:val="21"/>
          <w:lang w:bidi="ar"/>
        </w:rPr>
        <w:t>年度股东回报规划》；同步推进</w:t>
      </w:r>
      <w:r>
        <w:rPr>
          <w:rFonts w:ascii="宋体" w:hAnsi="宋体"/>
          <w:sz w:val="21"/>
          <w:lang w:bidi="ar"/>
        </w:rPr>
        <w:t>2-5</w:t>
      </w:r>
      <w:r>
        <w:rPr>
          <w:rFonts w:ascii="宋体" w:hAnsi="宋体" w:cs="宋体" w:hint="eastAsia"/>
          <w:sz w:val="21"/>
          <w:lang w:bidi="ar"/>
        </w:rPr>
        <w:t>亿元</w:t>
      </w:r>
      <w:r>
        <w:rPr>
          <w:rFonts w:ascii="宋体" w:hAnsi="宋体"/>
          <w:sz w:val="21"/>
          <w:lang w:bidi="ar"/>
        </w:rPr>
        <w:t>A+H</w:t>
      </w:r>
      <w:r>
        <w:rPr>
          <w:rFonts w:ascii="宋体" w:hAnsi="宋体" w:cs="宋体" w:hint="eastAsia"/>
          <w:sz w:val="21"/>
          <w:lang w:bidi="ar"/>
        </w:rPr>
        <w:t>股回购计划。秉持“绿色低碳、合规透明、可持续发展”的</w:t>
      </w:r>
      <w:r>
        <w:rPr>
          <w:rFonts w:ascii="宋体" w:hAnsi="宋体"/>
          <w:sz w:val="21"/>
          <w:lang w:bidi="ar"/>
        </w:rPr>
        <w:t>ESG</w:t>
      </w:r>
      <w:r>
        <w:rPr>
          <w:rFonts w:ascii="宋体" w:hAnsi="宋体" w:cs="宋体" w:hint="eastAsia"/>
          <w:sz w:val="21"/>
          <w:lang w:bidi="ar"/>
        </w:rPr>
        <w:t>战略方针，连续</w:t>
      </w:r>
      <w:r>
        <w:rPr>
          <w:rFonts w:ascii="宋体" w:hAnsi="宋体"/>
          <w:sz w:val="21"/>
          <w:lang w:bidi="ar"/>
        </w:rPr>
        <w:t>18</w:t>
      </w:r>
      <w:r>
        <w:rPr>
          <w:rFonts w:ascii="宋体" w:hAnsi="宋体" w:cs="宋体" w:hint="eastAsia"/>
          <w:sz w:val="21"/>
          <w:lang w:bidi="ar"/>
        </w:rPr>
        <w:t>年发布</w:t>
      </w:r>
      <w:r>
        <w:rPr>
          <w:rFonts w:ascii="宋体" w:hAnsi="宋体"/>
          <w:sz w:val="21"/>
          <w:lang w:bidi="ar"/>
        </w:rPr>
        <w:t>ESG</w:t>
      </w:r>
      <w:r>
        <w:rPr>
          <w:rFonts w:ascii="宋体" w:hAnsi="宋体" w:cs="宋体" w:hint="eastAsia"/>
          <w:sz w:val="21"/>
          <w:lang w:bidi="ar"/>
        </w:rPr>
        <w:t>报</w:t>
      </w:r>
      <w:r>
        <w:rPr>
          <w:rFonts w:ascii="宋体" w:hAnsi="宋体" w:cs="宋体" w:hint="eastAsia"/>
          <w:sz w:val="21"/>
          <w:lang w:bidi="ar"/>
        </w:rPr>
        <w:lastRenderedPageBreak/>
        <w:t>告；摩根士丹利资本国际</w:t>
      </w:r>
      <w:r>
        <w:rPr>
          <w:rFonts w:ascii="宋体" w:hAnsi="宋体"/>
          <w:sz w:val="21"/>
          <w:lang w:bidi="ar"/>
        </w:rPr>
        <w:t>(MSCI)ESG</w:t>
      </w:r>
      <w:r>
        <w:rPr>
          <w:rFonts w:ascii="宋体" w:hAnsi="宋体" w:cs="宋体" w:hint="eastAsia"/>
          <w:sz w:val="21"/>
          <w:lang w:bidi="ar"/>
        </w:rPr>
        <w:t>评级提升至</w:t>
      </w:r>
      <w:r>
        <w:rPr>
          <w:rFonts w:ascii="宋体" w:hAnsi="宋体"/>
          <w:sz w:val="21"/>
          <w:lang w:bidi="ar"/>
        </w:rPr>
        <w:t>BBB</w:t>
      </w:r>
      <w:r>
        <w:rPr>
          <w:rFonts w:ascii="宋体" w:hAnsi="宋体" w:cs="宋体" w:hint="eastAsia"/>
          <w:sz w:val="21"/>
          <w:lang w:bidi="ar"/>
        </w:rPr>
        <w:t>级，位列煤炭行业唯一最高评级。践行“绿水青山就是金山银山”理念，大力推进绿色矿山建设，矿井水、煤矸石综合利用率达到</w:t>
      </w:r>
      <w:r>
        <w:rPr>
          <w:rFonts w:ascii="宋体" w:hAnsi="宋体"/>
          <w:sz w:val="21"/>
          <w:lang w:bidi="ar"/>
        </w:rPr>
        <w:t>100%</w:t>
      </w:r>
      <w:r>
        <w:rPr>
          <w:rFonts w:ascii="宋体" w:hAnsi="宋体" w:cs="宋体" w:hint="eastAsia"/>
          <w:sz w:val="21"/>
          <w:lang w:bidi="ar"/>
        </w:rPr>
        <w:t>；工业类产业产值综合能耗</w:t>
      </w:r>
      <w:r>
        <w:rPr>
          <w:rFonts w:ascii="宋体" w:hAnsi="宋体"/>
          <w:sz w:val="21"/>
          <w:lang w:bidi="ar"/>
        </w:rPr>
        <w:t>2.03</w:t>
      </w:r>
      <w:r>
        <w:rPr>
          <w:rFonts w:ascii="宋体" w:hAnsi="宋体" w:cs="宋体" w:hint="eastAsia"/>
          <w:sz w:val="21"/>
          <w:lang w:bidi="ar"/>
        </w:rPr>
        <w:t>吨标煤</w:t>
      </w:r>
      <w:r>
        <w:rPr>
          <w:rFonts w:ascii="宋体" w:hAnsi="宋体"/>
          <w:sz w:val="21"/>
          <w:lang w:bidi="ar"/>
        </w:rPr>
        <w:t>/</w:t>
      </w:r>
      <w:r>
        <w:rPr>
          <w:rFonts w:ascii="宋体" w:hAnsi="宋体" w:cs="宋体" w:hint="eastAsia"/>
          <w:sz w:val="21"/>
          <w:lang w:bidi="ar"/>
        </w:rPr>
        <w:t>万元，能效水平行业领先。</w:t>
      </w:r>
    </w:p>
    <w:p>
      <w:pPr>
        <w:pStyle w:val="afe"/>
        <w:spacing w:before="0" w:beforeAutospacing="0" w:after="0" w:afterAutospacing="0"/>
        <w:ind w:firstLineChars="200" w:firstLine="420"/>
        <w:jc w:val="both"/>
        <w:rPr>
          <w:rFonts w:ascii="宋体" w:hAnsi="宋体"/>
        </w:rPr>
      </w:pPr>
      <w:r>
        <w:rPr>
          <w:rFonts w:ascii="宋体" w:hAnsi="宋体" w:cs="宋体" w:hint="eastAsia"/>
          <w:sz w:val="21"/>
          <w:lang w:bidi="ar"/>
        </w:rPr>
        <w:t>展望2026年，外部环境依然复杂多变。国内煤炭供需将由偏宽松转向相对平衡、阶段性偏紧格局，价格中枢较2025年上移。地缘冲突推动国际油气价格大幅上涨，煤炭替代需求持续释放，供需格局改善带动国际煤价走强。国际油气价差扩大，煤制甲醇、煤制油、煤制烯烃等产业路线的成本优势全面凸显，叠加中东地区化工品供应缺口扩大等因素影响，境内外煤化工产品价格较快提升。</w:t>
      </w:r>
    </w:p>
    <w:p>
      <w:pPr>
        <w:pStyle w:val="afe"/>
        <w:spacing w:before="0" w:beforeAutospacing="0" w:after="0" w:afterAutospacing="0"/>
        <w:ind w:firstLineChars="200" w:firstLine="420"/>
        <w:jc w:val="both"/>
        <w:rPr>
          <w:rFonts w:ascii="宋体" w:hAnsi="宋体"/>
        </w:rPr>
      </w:pPr>
      <w:r>
        <w:rPr>
          <w:rFonts w:ascii="宋体" w:hAnsi="宋体" w:cs="宋体" w:hint="eastAsia"/>
          <w:sz w:val="21"/>
          <w:lang w:bidi="ar"/>
        </w:rPr>
        <w:t>综合研判内外部环境，结合公司运营实际，</w:t>
      </w:r>
      <w:r>
        <w:rPr>
          <w:rFonts w:ascii="宋体" w:hAnsi="宋体"/>
          <w:sz w:val="21"/>
          <w:lang w:bidi="ar"/>
        </w:rPr>
        <w:t>2026</w:t>
      </w:r>
      <w:r>
        <w:rPr>
          <w:rFonts w:ascii="宋体" w:hAnsi="宋体" w:cs="宋体" w:hint="eastAsia"/>
          <w:sz w:val="21"/>
          <w:lang w:bidi="ar"/>
        </w:rPr>
        <w:t>年本集团计划生产商品煤1.86-1.90亿吨，生产化工品950-1100万吨；力争吨煤销售成本降低3%，甲醇销售成本降低30元/吨，醋酸销售成本降低30元/吨；年度资本开支预算198亿元。</w:t>
      </w:r>
    </w:p>
    <w:p>
      <w:pPr>
        <w:pStyle w:val="afe"/>
        <w:spacing w:before="0" w:beforeAutospacing="0" w:after="0" w:afterAutospacing="0"/>
        <w:ind w:firstLineChars="200" w:firstLine="420"/>
        <w:jc w:val="both"/>
        <w:rPr>
          <w:rFonts w:ascii="宋体" w:hAnsi="宋体"/>
        </w:rPr>
      </w:pPr>
      <w:r>
        <w:rPr>
          <w:rFonts w:ascii="宋体" w:hAnsi="宋体" w:cs="宋体" w:hint="eastAsia"/>
          <w:sz w:val="21"/>
          <w:lang w:bidi="ar"/>
        </w:rPr>
        <w:t>当前，国家“十五五”规划宏伟开局，新型能源体系建设全面提速，行业绿色低碳转型纵深推进。立足新起点，本集团将聚焦高质量发展主线，以深耕核心产业夯实“稳”的根基，以育强新兴产业激发“进”的动能，以深化资本运作厚植“优”的效能，加快建设国际一流、可持续发展的清洁能源引领示范企业。</w:t>
      </w:r>
    </w:p>
    <w:p>
      <w:pPr>
        <w:pStyle w:val="afe"/>
        <w:spacing w:before="0" w:beforeAutospacing="0" w:after="0" w:afterAutospacing="0"/>
        <w:ind w:firstLineChars="200" w:firstLine="422"/>
        <w:jc w:val="both"/>
        <w:rPr>
          <w:rFonts w:ascii="宋体" w:hAnsi="宋体"/>
        </w:rPr>
      </w:pPr>
      <w:r>
        <w:rPr>
          <w:rFonts w:ascii="宋体" w:hAnsi="宋体" w:cs="宋体" w:hint="eastAsia"/>
          <w:b/>
          <w:bCs/>
          <w:sz w:val="21"/>
          <w:lang w:bidi="ar"/>
        </w:rPr>
        <w:t>一、深耕核心产业，夯实“稳”的根基。</w:t>
      </w:r>
      <w:r>
        <w:rPr>
          <w:rFonts w:ascii="宋体" w:hAnsi="宋体" w:cs="宋体" w:hint="eastAsia"/>
          <w:sz w:val="21"/>
          <w:lang w:bidi="ar"/>
        </w:rPr>
        <w:t>深度融入国家能源战略基地布局，坚定实施“稳省内、拓省外、优境外”区域布局策略，推动规模当量迈上新台阶，力争“十五五”末新增商品煤产能约</w:t>
      </w:r>
      <w:r>
        <w:rPr>
          <w:rFonts w:ascii="宋体" w:hAnsi="宋体"/>
          <w:sz w:val="21"/>
          <w:lang w:bidi="ar"/>
        </w:rPr>
        <w:t>7000</w:t>
      </w:r>
      <w:r>
        <w:rPr>
          <w:rFonts w:ascii="宋体" w:hAnsi="宋体" w:cs="宋体" w:hint="eastAsia"/>
          <w:sz w:val="21"/>
          <w:lang w:bidi="ar"/>
        </w:rPr>
        <w:t>万吨，原煤产量突破</w:t>
      </w:r>
      <w:r>
        <w:rPr>
          <w:rFonts w:ascii="宋体" w:hAnsi="宋体"/>
          <w:sz w:val="21"/>
          <w:lang w:bidi="ar"/>
        </w:rPr>
        <w:t>3</w:t>
      </w:r>
      <w:r>
        <w:rPr>
          <w:rFonts w:ascii="宋体" w:hAnsi="宋体" w:cs="宋体" w:hint="eastAsia"/>
          <w:sz w:val="21"/>
          <w:lang w:bidi="ar"/>
        </w:rPr>
        <w:t>亿吨。</w:t>
      </w:r>
      <w:r>
        <w:rPr>
          <w:rFonts w:ascii="宋体" w:hAnsi="宋体" w:cs="宋体" w:hint="eastAsia"/>
          <w:b/>
          <w:bCs/>
          <w:sz w:val="21"/>
          <w:lang w:bidi="ar"/>
        </w:rPr>
        <w:t>一是增量扩能，多元发展，打造亿吨级产业集群。</w:t>
      </w:r>
      <w:r>
        <w:rPr>
          <w:rFonts w:ascii="宋体" w:hAnsi="宋体" w:cs="宋体" w:hint="eastAsia"/>
          <w:sz w:val="21"/>
          <w:lang w:bidi="ar"/>
        </w:rPr>
        <w:t>加快建设陕甘蒙、新疆、澳大利亚“三个亿吨级产能煤炭产业集群”。</w:t>
      </w:r>
      <w:r>
        <w:rPr>
          <w:rFonts w:ascii="宋体" w:hAnsi="宋体" w:cs="宋体" w:hint="eastAsia"/>
          <w:b/>
          <w:bCs/>
          <w:sz w:val="21"/>
          <w:lang w:bidi="ar"/>
        </w:rPr>
        <w:t>陕甘蒙基地：</w:t>
      </w:r>
      <w:r>
        <w:rPr>
          <w:rFonts w:ascii="宋体" w:hAnsi="宋体" w:cs="宋体" w:hint="eastAsia"/>
          <w:sz w:val="21"/>
          <w:lang w:bidi="ar"/>
        </w:rPr>
        <w:t>油房壕、霍林河一号、刘三圪旦、杨家坪、马福川、毛家川、嘎鲁图等规划矿井，</w:t>
      </w:r>
      <w:r>
        <w:rPr>
          <w:rFonts w:ascii="宋体" w:hAnsi="宋体"/>
          <w:sz w:val="21"/>
          <w:lang w:bidi="ar"/>
        </w:rPr>
        <w:t>2027</w:t>
      </w:r>
      <w:r>
        <w:rPr>
          <w:rFonts w:ascii="宋体" w:hAnsi="宋体" w:cs="宋体" w:hint="eastAsia"/>
          <w:sz w:val="21"/>
          <w:lang w:bidi="ar"/>
        </w:rPr>
        <w:t>年至</w:t>
      </w:r>
      <w:r>
        <w:rPr>
          <w:rFonts w:ascii="宋体" w:hAnsi="宋体"/>
          <w:sz w:val="21"/>
          <w:lang w:bidi="ar"/>
        </w:rPr>
        <w:t>2031</w:t>
      </w:r>
      <w:r>
        <w:rPr>
          <w:rFonts w:ascii="宋体" w:hAnsi="宋体" w:cs="宋体" w:hint="eastAsia"/>
          <w:sz w:val="21"/>
          <w:lang w:bidi="ar"/>
        </w:rPr>
        <w:t>年左右陆续竣工。适时推进石拉乌素煤矿、营盘壕煤矿增产扩能。</w:t>
      </w:r>
      <w:r>
        <w:rPr>
          <w:rFonts w:ascii="宋体" w:hAnsi="宋体" w:cs="宋体" w:hint="eastAsia"/>
          <w:b/>
          <w:bCs/>
          <w:sz w:val="21"/>
          <w:lang w:bidi="ar"/>
        </w:rPr>
        <w:t>新疆基地</w:t>
      </w:r>
      <w:r>
        <w:rPr>
          <w:rFonts w:ascii="宋体" w:hAnsi="宋体" w:cs="宋体" w:hint="eastAsia"/>
          <w:sz w:val="21"/>
          <w:lang w:bidi="ar"/>
        </w:rPr>
        <w:t>：确保五彩湾四号露天矿一期项目顺利达产</w:t>
      </w:r>
      <w:r>
        <w:rPr>
          <w:rFonts w:ascii="宋体" w:hAnsi="宋体"/>
          <w:sz w:val="21"/>
          <w:lang w:bidi="ar"/>
        </w:rPr>
        <w:t>1000</w:t>
      </w:r>
      <w:r>
        <w:rPr>
          <w:rFonts w:ascii="宋体" w:hAnsi="宋体" w:cs="宋体" w:hint="eastAsia"/>
          <w:sz w:val="21"/>
          <w:lang w:bidi="ar"/>
        </w:rPr>
        <w:t>万吨，攻坚二期产能核增至</w:t>
      </w:r>
      <w:r>
        <w:rPr>
          <w:rFonts w:ascii="宋体" w:hAnsi="宋体"/>
          <w:sz w:val="21"/>
          <w:lang w:bidi="ar"/>
        </w:rPr>
        <w:t>2300</w:t>
      </w:r>
      <w:r>
        <w:rPr>
          <w:rFonts w:ascii="宋体" w:hAnsi="宋体" w:cs="宋体" w:hint="eastAsia"/>
          <w:sz w:val="21"/>
          <w:lang w:bidi="ar"/>
        </w:rPr>
        <w:t>万吨</w:t>
      </w:r>
      <w:r>
        <w:rPr>
          <w:rFonts w:ascii="宋体" w:hAnsi="宋体"/>
          <w:sz w:val="21"/>
          <w:lang w:bidi="ar"/>
        </w:rPr>
        <w:t>/</w:t>
      </w:r>
      <w:r>
        <w:rPr>
          <w:rFonts w:ascii="宋体" w:hAnsi="宋体" w:cs="宋体" w:hint="eastAsia"/>
          <w:sz w:val="21"/>
          <w:lang w:bidi="ar"/>
        </w:rPr>
        <w:t>年手续。</w:t>
      </w:r>
      <w:r>
        <w:rPr>
          <w:rFonts w:ascii="宋体" w:hAnsi="宋体" w:cs="宋体" w:hint="eastAsia"/>
          <w:b/>
          <w:bCs/>
          <w:sz w:val="21"/>
          <w:lang w:bidi="ar"/>
        </w:rPr>
        <w:t>澳洲基地：</w:t>
      </w:r>
      <w:r>
        <w:rPr>
          <w:rFonts w:ascii="宋体" w:hAnsi="宋体" w:cs="宋体" w:hint="eastAsia"/>
          <w:sz w:val="21"/>
          <w:lang w:bidi="ar"/>
        </w:rPr>
        <w:t>持续强化经营管理，积极寻求优质资源和成熟运营项目。</w:t>
      </w:r>
      <w:r>
        <w:rPr>
          <w:rFonts w:ascii="宋体" w:hAnsi="宋体" w:cs="宋体" w:hint="eastAsia"/>
          <w:b/>
          <w:bCs/>
          <w:sz w:val="21"/>
          <w:lang w:bidi="ar"/>
        </w:rPr>
        <w:t>拓展矿产资源</w:t>
      </w:r>
      <w:r>
        <w:rPr>
          <w:rFonts w:ascii="宋体" w:hAnsi="宋体" w:cs="宋体" w:hint="eastAsia"/>
          <w:sz w:val="21"/>
          <w:lang w:bidi="ar"/>
        </w:rPr>
        <w:t>：</w:t>
      </w:r>
      <w:r>
        <w:rPr>
          <w:rFonts w:ascii="宋体" w:hAnsi="宋体"/>
          <w:sz w:val="21"/>
          <w:lang w:bidi="ar"/>
        </w:rPr>
        <w:t>2028</w:t>
      </w:r>
      <w:r>
        <w:rPr>
          <w:rFonts w:ascii="宋体" w:hAnsi="宋体" w:cs="宋体" w:hint="eastAsia"/>
          <w:sz w:val="21"/>
          <w:lang w:bidi="ar"/>
        </w:rPr>
        <w:t>年建成兴和钼业曹四夭钼矿，打造集团重要利润增长点，择机推进加拿大钾矿合作开发，推动单一煤炭生产向多矿种开发转变。</w:t>
      </w:r>
      <w:r>
        <w:rPr>
          <w:rFonts w:ascii="宋体" w:hAnsi="宋体" w:cs="宋体" w:hint="eastAsia"/>
          <w:b/>
          <w:bCs/>
          <w:sz w:val="21"/>
          <w:lang w:bidi="ar"/>
        </w:rPr>
        <w:t>二是全面起势，高端集群，打造煤化工产业链“链主”企业。</w:t>
      </w:r>
      <w:r>
        <w:rPr>
          <w:rFonts w:ascii="宋体" w:hAnsi="宋体" w:cs="宋体" w:hint="eastAsia"/>
          <w:sz w:val="21"/>
          <w:lang w:bidi="ar"/>
        </w:rPr>
        <w:t>推进山东、陕西、内蒙古、新疆四大化工基地协同化、差异化发展，深化煤炭高阶转化、高效洁净利用，新增</w:t>
      </w:r>
      <w:r>
        <w:rPr>
          <w:rFonts w:ascii="宋体" w:hAnsi="宋体"/>
          <w:sz w:val="21"/>
          <w:lang w:bidi="ar"/>
        </w:rPr>
        <w:t>160</w:t>
      </w:r>
      <w:r>
        <w:rPr>
          <w:rFonts w:ascii="宋体" w:hAnsi="宋体" w:cs="宋体" w:hint="eastAsia"/>
          <w:sz w:val="21"/>
          <w:lang w:bidi="ar"/>
        </w:rPr>
        <w:t>万吨烯烃、</w:t>
      </w:r>
      <w:r>
        <w:rPr>
          <w:rFonts w:ascii="宋体" w:hAnsi="宋体"/>
          <w:sz w:val="21"/>
          <w:lang w:bidi="ar"/>
        </w:rPr>
        <w:t>50</w:t>
      </w:r>
      <w:r>
        <w:rPr>
          <w:rFonts w:ascii="宋体" w:hAnsi="宋体" w:cs="宋体" w:hint="eastAsia"/>
          <w:sz w:val="21"/>
          <w:lang w:bidi="ar"/>
        </w:rPr>
        <w:t>万吨煤制油，探索绿氢、绿醇、绿氨与传统煤化工耦合发展新路径，力争“十五五”末高端化工品占比超</w:t>
      </w:r>
      <w:r>
        <w:rPr>
          <w:rFonts w:ascii="宋体" w:hAnsi="宋体"/>
          <w:sz w:val="21"/>
          <w:lang w:bidi="ar"/>
        </w:rPr>
        <w:t>70%</w:t>
      </w:r>
      <w:r>
        <w:rPr>
          <w:rFonts w:ascii="宋体" w:hAnsi="宋体" w:cs="宋体" w:hint="eastAsia"/>
          <w:sz w:val="21"/>
          <w:lang w:bidi="ar"/>
        </w:rPr>
        <w:t>。</w:t>
      </w:r>
      <w:r>
        <w:rPr>
          <w:rFonts w:ascii="宋体" w:hAnsi="宋体" w:cs="宋体" w:hint="eastAsia"/>
          <w:b/>
          <w:bCs/>
          <w:sz w:val="21"/>
          <w:lang w:bidi="ar"/>
        </w:rPr>
        <w:t>山东基地：</w:t>
      </w:r>
      <w:r>
        <w:rPr>
          <w:rFonts w:ascii="宋体" w:hAnsi="宋体" w:cs="宋体" w:hint="eastAsia"/>
          <w:sz w:val="21"/>
          <w:lang w:bidi="ar"/>
        </w:rPr>
        <w:t>深耕醇基、氨基两大产业链，建成投产鲁南化工</w:t>
      </w:r>
      <w:r>
        <w:rPr>
          <w:rFonts w:ascii="宋体" w:hAnsi="宋体"/>
          <w:sz w:val="21"/>
          <w:lang w:bidi="ar"/>
        </w:rPr>
        <w:t>6</w:t>
      </w:r>
      <w:r>
        <w:rPr>
          <w:rFonts w:ascii="宋体" w:hAnsi="宋体" w:cs="宋体" w:hint="eastAsia"/>
          <w:sz w:val="21"/>
          <w:lang w:bidi="ar"/>
        </w:rPr>
        <w:t>万吨聚甲醛项目，形成醋酸、聚甲醛、己内酰胺等高端精细化工品矩阵。</w:t>
      </w:r>
      <w:r>
        <w:rPr>
          <w:rFonts w:ascii="宋体" w:hAnsi="宋体" w:cs="宋体" w:hint="eastAsia"/>
          <w:b/>
          <w:bCs/>
          <w:sz w:val="21"/>
          <w:lang w:bidi="ar"/>
        </w:rPr>
        <w:t>陕西基地：</w:t>
      </w:r>
      <w:r>
        <w:rPr>
          <w:rFonts w:ascii="宋体" w:hAnsi="宋体" w:cs="宋体" w:hint="eastAsia"/>
          <w:sz w:val="21"/>
          <w:lang w:bidi="ar"/>
        </w:rPr>
        <w:t>以未来能源为核心，高效运营百万吨级煤制油示范装置，有序推进</w:t>
      </w:r>
      <w:r>
        <w:rPr>
          <w:rFonts w:ascii="宋体" w:hAnsi="宋体"/>
          <w:sz w:val="21"/>
          <w:lang w:bidi="ar"/>
        </w:rPr>
        <w:t>50</w:t>
      </w:r>
      <w:r>
        <w:rPr>
          <w:rFonts w:ascii="宋体" w:hAnsi="宋体" w:cs="宋体" w:hint="eastAsia"/>
          <w:sz w:val="21"/>
          <w:lang w:bidi="ar"/>
        </w:rPr>
        <w:t>万吨高温费托项目建设，推动煤炭转化向特种油品、新材料延伸。</w:t>
      </w:r>
      <w:r>
        <w:rPr>
          <w:rFonts w:ascii="宋体" w:hAnsi="宋体" w:cs="宋体" w:hint="eastAsia"/>
          <w:b/>
          <w:bCs/>
          <w:sz w:val="21"/>
          <w:lang w:bidi="ar"/>
        </w:rPr>
        <w:t>内蒙古基地：</w:t>
      </w:r>
      <w:r>
        <w:rPr>
          <w:rFonts w:ascii="宋体" w:hAnsi="宋体" w:cs="宋体" w:hint="eastAsia"/>
          <w:sz w:val="21"/>
          <w:lang w:bidi="ar"/>
        </w:rPr>
        <w:t>发挥甲醇核心产区示范效应，建成投产荣信化工年产</w:t>
      </w:r>
      <w:r>
        <w:rPr>
          <w:rFonts w:ascii="宋体" w:hAnsi="宋体"/>
          <w:sz w:val="21"/>
          <w:lang w:bidi="ar"/>
        </w:rPr>
        <w:t>80</w:t>
      </w:r>
      <w:r>
        <w:rPr>
          <w:rFonts w:ascii="宋体" w:hAnsi="宋体" w:cs="宋体" w:hint="eastAsia"/>
          <w:sz w:val="21"/>
          <w:lang w:bidi="ar"/>
        </w:rPr>
        <w:t>万吨烯烃项目，推动产品线向烯烃、聚烯烃、草酸等高附加值延伸。</w:t>
      </w:r>
      <w:r>
        <w:rPr>
          <w:rFonts w:ascii="宋体" w:hAnsi="宋体" w:cs="宋体" w:hint="eastAsia"/>
          <w:b/>
          <w:bCs/>
          <w:sz w:val="21"/>
          <w:lang w:bidi="ar"/>
        </w:rPr>
        <w:t>新疆基地：</w:t>
      </w:r>
      <w:r>
        <w:rPr>
          <w:rFonts w:ascii="宋体" w:hAnsi="宋体" w:cs="宋体" w:hint="eastAsia"/>
          <w:sz w:val="21"/>
          <w:lang w:bidi="ar"/>
        </w:rPr>
        <w:t>以新疆能化年产</w:t>
      </w:r>
      <w:r>
        <w:rPr>
          <w:rFonts w:ascii="宋体" w:hAnsi="宋体"/>
          <w:sz w:val="21"/>
          <w:lang w:bidi="ar"/>
        </w:rPr>
        <w:t>80</w:t>
      </w:r>
      <w:r>
        <w:rPr>
          <w:rFonts w:ascii="宋体" w:hAnsi="宋体" w:cs="宋体" w:hint="eastAsia"/>
          <w:sz w:val="21"/>
          <w:lang w:bidi="ar"/>
        </w:rPr>
        <w:t>万吨煤制烯烃项目为引领，实施延链补链强链，打通“甲醇—烯烃—高端新材料”全产业链。</w:t>
      </w:r>
    </w:p>
    <w:p>
      <w:pPr>
        <w:pStyle w:val="afe"/>
        <w:spacing w:before="0" w:beforeAutospacing="0" w:after="0" w:afterAutospacing="0"/>
        <w:ind w:firstLineChars="200" w:firstLine="422"/>
        <w:jc w:val="both"/>
        <w:rPr>
          <w:rFonts w:ascii="宋体" w:hAnsi="宋体"/>
        </w:rPr>
      </w:pPr>
      <w:r>
        <w:rPr>
          <w:rFonts w:ascii="宋体" w:hAnsi="宋体" w:cs="宋体" w:hint="eastAsia"/>
          <w:b/>
          <w:bCs/>
          <w:sz w:val="21"/>
          <w:lang w:bidi="ar"/>
        </w:rPr>
        <w:t>二、育强新兴产业，激发</w:t>
      </w:r>
      <w:r>
        <w:rPr>
          <w:rFonts w:ascii="宋体" w:hAnsi="宋体" w:cs="宋体" w:hint="eastAsia"/>
          <w:sz w:val="21"/>
          <w:lang w:bidi="ar"/>
        </w:rPr>
        <w:t>“</w:t>
      </w:r>
      <w:r>
        <w:rPr>
          <w:rFonts w:ascii="宋体" w:hAnsi="宋体" w:cs="宋体" w:hint="eastAsia"/>
          <w:b/>
          <w:bCs/>
          <w:sz w:val="21"/>
          <w:lang w:bidi="ar"/>
        </w:rPr>
        <w:t>进</w:t>
      </w:r>
      <w:r>
        <w:rPr>
          <w:rFonts w:ascii="宋体" w:hAnsi="宋体" w:cs="宋体" w:hint="eastAsia"/>
          <w:sz w:val="21"/>
          <w:lang w:bidi="ar"/>
        </w:rPr>
        <w:t>”</w:t>
      </w:r>
      <w:r>
        <w:rPr>
          <w:rFonts w:ascii="宋体" w:hAnsi="宋体" w:cs="宋体" w:hint="eastAsia"/>
          <w:b/>
          <w:bCs/>
          <w:sz w:val="21"/>
          <w:lang w:bidi="ar"/>
        </w:rPr>
        <w:t>的动能。</w:t>
      </w:r>
      <w:r>
        <w:rPr>
          <w:rFonts w:ascii="宋体" w:hAnsi="宋体" w:cs="宋体" w:hint="eastAsia"/>
          <w:sz w:val="21"/>
          <w:lang w:bidi="ar"/>
        </w:rPr>
        <w:t>优化产业结构、加快产业升级，打造多元支撑、集约高效的现代产业集群，为新一轮高质量发展开辟“第二增长曲线”。</w:t>
      </w:r>
      <w:r>
        <w:rPr>
          <w:rFonts w:ascii="宋体" w:hAnsi="宋体" w:cs="宋体" w:hint="eastAsia"/>
          <w:b/>
          <w:bCs/>
          <w:sz w:val="21"/>
          <w:lang w:bidi="ar"/>
        </w:rPr>
        <w:t>高端装备制造突出专精特新、价值跃升。</w:t>
      </w:r>
      <w:r>
        <w:rPr>
          <w:rFonts w:ascii="宋体" w:hAnsi="宋体" w:cs="宋体" w:hint="eastAsia"/>
          <w:sz w:val="21"/>
          <w:lang w:bidi="ar"/>
        </w:rPr>
        <w:t>锚定集群化、高端化、国际化发展方向，研发制造高附加值、具备国际竞争力的尖端产品，力争“十五五”末外部市场占有率超</w:t>
      </w:r>
      <w:r>
        <w:rPr>
          <w:rFonts w:ascii="宋体" w:hAnsi="宋体"/>
          <w:sz w:val="21"/>
          <w:lang w:bidi="ar"/>
        </w:rPr>
        <w:t>50%</w:t>
      </w:r>
      <w:r>
        <w:rPr>
          <w:rFonts w:ascii="宋体" w:hAnsi="宋体" w:cs="宋体" w:hint="eastAsia"/>
          <w:sz w:val="21"/>
          <w:lang w:bidi="ar"/>
        </w:rPr>
        <w:t>。坚持以鲁西智慧制造园区为样板，培育一批“智能工厂、灯塔工厂、绿色工厂”。发挥欧洲平台技术研发和品牌价值优势，耦合国内强大制造能力，深化技术链、产业链和创新链“三链融合”，推动产业向全球价值链中高端加速跃升。</w:t>
      </w:r>
      <w:r>
        <w:rPr>
          <w:rFonts w:ascii="宋体" w:hAnsi="宋体" w:cs="宋体" w:hint="eastAsia"/>
          <w:b/>
          <w:bCs/>
          <w:sz w:val="21"/>
          <w:lang w:bidi="ar"/>
        </w:rPr>
        <w:t>智慧物流突出整合赋能、扩容提级。</w:t>
      </w:r>
      <w:r>
        <w:rPr>
          <w:rFonts w:ascii="宋体" w:hAnsi="宋体" w:cs="宋体" w:hint="eastAsia"/>
          <w:sz w:val="21"/>
          <w:lang w:bidi="ar"/>
        </w:rPr>
        <w:t>一体化推进铁路、公路、港航、园区、平台建设，深耕“实体物流</w:t>
      </w:r>
      <w:r>
        <w:rPr>
          <w:rFonts w:ascii="宋体" w:hAnsi="宋体"/>
          <w:sz w:val="21"/>
          <w:lang w:bidi="ar"/>
        </w:rPr>
        <w:t>+</w:t>
      </w:r>
      <w:r>
        <w:rPr>
          <w:rFonts w:ascii="宋体" w:hAnsi="宋体" w:cs="宋体" w:hint="eastAsia"/>
          <w:sz w:val="21"/>
          <w:lang w:bidi="ar"/>
        </w:rPr>
        <w:t>数智平台”发展模式，加快资源整合，力争“十五五”末建成国内一流的大宗商品智慧物流综合服务商。加速布局覆盖主要资源产区、核心市场与战略通道的现代化物流网络，推进物、贸、销、储协同发展。</w:t>
      </w:r>
      <w:r>
        <w:rPr>
          <w:rFonts w:ascii="宋体" w:hAnsi="宋体" w:cs="宋体" w:hint="eastAsia"/>
          <w:b/>
          <w:bCs/>
          <w:sz w:val="21"/>
          <w:lang w:bidi="ar"/>
        </w:rPr>
        <w:t>新能源突出获取资源、深度融合。</w:t>
      </w:r>
      <w:r>
        <w:rPr>
          <w:rFonts w:ascii="宋体" w:hAnsi="宋体" w:cs="宋体" w:hint="eastAsia"/>
          <w:sz w:val="21"/>
          <w:lang w:bidi="ar"/>
        </w:rPr>
        <w:t>坚持传统能源与新能源协同发展，聚焦“煤电联营</w:t>
      </w:r>
      <w:r>
        <w:rPr>
          <w:rFonts w:ascii="宋体" w:hAnsi="宋体"/>
          <w:sz w:val="21"/>
          <w:lang w:bidi="ar"/>
        </w:rPr>
        <w:t>+</w:t>
      </w:r>
      <w:r>
        <w:rPr>
          <w:rFonts w:ascii="宋体" w:hAnsi="宋体" w:cs="宋体" w:hint="eastAsia"/>
          <w:sz w:val="21"/>
          <w:lang w:bidi="ar"/>
        </w:rPr>
        <w:t>绿电直连</w:t>
      </w:r>
      <w:r>
        <w:rPr>
          <w:rFonts w:ascii="宋体" w:hAnsi="宋体"/>
          <w:sz w:val="21"/>
          <w:lang w:bidi="ar"/>
        </w:rPr>
        <w:t>+</w:t>
      </w:r>
      <w:r>
        <w:rPr>
          <w:rFonts w:ascii="宋体" w:hAnsi="宋体" w:cs="宋体" w:hint="eastAsia"/>
          <w:sz w:val="21"/>
          <w:lang w:bidi="ar"/>
        </w:rPr>
        <w:t>零碳园区</w:t>
      </w:r>
      <w:r>
        <w:rPr>
          <w:rFonts w:ascii="宋体" w:hAnsi="宋体"/>
          <w:sz w:val="21"/>
          <w:lang w:bidi="ar"/>
        </w:rPr>
        <w:t>+</w:t>
      </w:r>
      <w:r>
        <w:rPr>
          <w:rFonts w:ascii="宋体" w:hAnsi="宋体" w:cs="宋体" w:hint="eastAsia"/>
          <w:sz w:val="21"/>
          <w:lang w:bidi="ar"/>
        </w:rPr>
        <w:t>非电利用</w:t>
      </w:r>
      <w:r>
        <w:rPr>
          <w:rFonts w:ascii="宋体" w:hAnsi="宋体"/>
          <w:sz w:val="21"/>
          <w:lang w:bidi="ar"/>
        </w:rPr>
        <w:t>+</w:t>
      </w:r>
      <w:r>
        <w:rPr>
          <w:rFonts w:ascii="宋体" w:hAnsi="宋体" w:cs="宋体" w:hint="eastAsia"/>
          <w:sz w:val="21"/>
          <w:lang w:bidi="ar"/>
        </w:rPr>
        <w:t>区域竞配</w:t>
      </w:r>
      <w:r>
        <w:rPr>
          <w:rFonts w:ascii="宋体" w:hAnsi="宋体"/>
          <w:sz w:val="21"/>
          <w:lang w:bidi="ar"/>
        </w:rPr>
        <w:t>+</w:t>
      </w:r>
      <w:r>
        <w:rPr>
          <w:rFonts w:ascii="宋体" w:hAnsi="宋体" w:cs="宋体" w:hint="eastAsia"/>
          <w:sz w:val="21"/>
          <w:lang w:bidi="ar"/>
        </w:rPr>
        <w:t>独立储能”六大发展方向，一体化推进“风光火储氢”多能互补发展模式。紧盯“外电入鲁”“疆电外送”合作机遇，依托现有产业基础和新增投资，加大新能源指标获取和项目推进力度，推动新建矿井、物流园区和装备制造园区等实体产业与新能源融合发展。</w:t>
      </w:r>
    </w:p>
    <w:p>
      <w:pPr>
        <w:pStyle w:val="afe"/>
        <w:spacing w:before="0" w:beforeAutospacing="0" w:after="0" w:afterAutospacing="0"/>
        <w:ind w:firstLineChars="200" w:firstLine="422"/>
        <w:jc w:val="both"/>
        <w:rPr>
          <w:rFonts w:ascii="宋体" w:hAnsi="宋体"/>
        </w:rPr>
      </w:pPr>
      <w:r>
        <w:rPr>
          <w:rFonts w:ascii="宋体" w:hAnsi="宋体" w:cs="宋体" w:hint="eastAsia"/>
          <w:b/>
          <w:bCs/>
          <w:sz w:val="21"/>
          <w:lang w:bidi="ar"/>
        </w:rPr>
        <w:t>三、深化资本运作，厚植</w:t>
      </w:r>
      <w:r>
        <w:rPr>
          <w:rFonts w:ascii="宋体" w:hAnsi="宋体" w:cs="宋体" w:hint="eastAsia"/>
          <w:sz w:val="21"/>
          <w:lang w:bidi="ar"/>
        </w:rPr>
        <w:t>“</w:t>
      </w:r>
      <w:r>
        <w:rPr>
          <w:rFonts w:ascii="宋体" w:hAnsi="宋体" w:cs="宋体" w:hint="eastAsia"/>
          <w:b/>
          <w:bCs/>
          <w:sz w:val="21"/>
          <w:lang w:bidi="ar"/>
        </w:rPr>
        <w:t>优</w:t>
      </w:r>
      <w:r>
        <w:rPr>
          <w:rFonts w:ascii="宋体" w:hAnsi="宋体" w:cs="宋体" w:hint="eastAsia"/>
          <w:sz w:val="21"/>
          <w:lang w:bidi="ar"/>
        </w:rPr>
        <w:t>”</w:t>
      </w:r>
      <w:r>
        <w:rPr>
          <w:rFonts w:ascii="宋体" w:hAnsi="宋体" w:cs="宋体" w:hint="eastAsia"/>
          <w:b/>
          <w:bCs/>
          <w:sz w:val="21"/>
          <w:lang w:bidi="ar"/>
        </w:rPr>
        <w:t>的效能。</w:t>
      </w:r>
      <w:r>
        <w:rPr>
          <w:rFonts w:ascii="宋体" w:hAnsi="宋体" w:cs="宋体" w:hint="eastAsia"/>
          <w:sz w:val="21"/>
          <w:lang w:bidi="ar"/>
        </w:rPr>
        <w:t>统筹推进优化存量、资本赋能与产业整合，持续增强资本运营质效。</w:t>
      </w:r>
      <w:r>
        <w:rPr>
          <w:rFonts w:ascii="宋体" w:hAnsi="宋体" w:cs="宋体" w:hint="eastAsia"/>
          <w:b/>
          <w:bCs/>
          <w:sz w:val="21"/>
          <w:lang w:bidi="ar"/>
        </w:rPr>
        <w:t>优化存量：</w:t>
      </w:r>
      <w:r>
        <w:rPr>
          <w:rFonts w:ascii="宋体" w:hAnsi="宋体" w:cs="宋体" w:hint="eastAsia"/>
          <w:sz w:val="21"/>
          <w:lang w:bidi="ar"/>
        </w:rPr>
        <w:t>依托产权交易平台，按照“四个优化”原则，市场化处置低效非核心资产，推动优势资源、资金向千万吨级智能化矿井、高盈利有色金属等项目集聚，实现低效资</w:t>
      </w:r>
      <w:r>
        <w:rPr>
          <w:rFonts w:ascii="宋体" w:hAnsi="宋体" w:cs="宋体" w:hint="eastAsia"/>
          <w:sz w:val="21"/>
          <w:lang w:bidi="ar"/>
        </w:rPr>
        <w:lastRenderedPageBreak/>
        <w:t>产向高效资本的加速转化。</w:t>
      </w:r>
      <w:r>
        <w:rPr>
          <w:rFonts w:ascii="宋体" w:hAnsi="宋体" w:cs="宋体" w:hint="eastAsia"/>
          <w:b/>
          <w:bCs/>
          <w:sz w:val="21"/>
          <w:lang w:bidi="ar"/>
        </w:rPr>
        <w:t>资本赋能：</w:t>
      </w:r>
      <w:r>
        <w:rPr>
          <w:rFonts w:ascii="宋体" w:hAnsi="宋体" w:cs="宋体" w:hint="eastAsia"/>
          <w:sz w:val="21"/>
          <w:lang w:bidi="ar"/>
        </w:rPr>
        <w:t>依托多层次资本市场，全力拓宽低成本融资渠道，加大资本运作力度，积极获取海外优质焦煤等稀缺资源，加快推进物泊科技分拆上市，释放新兴业务板块内在价值，提升国际化运营能力与资本市场影响力。</w:t>
      </w:r>
      <w:r>
        <w:rPr>
          <w:rFonts w:ascii="宋体" w:hAnsi="宋体" w:cs="宋体" w:hint="eastAsia"/>
          <w:b/>
          <w:bCs/>
          <w:sz w:val="21"/>
          <w:lang w:bidi="ar"/>
        </w:rPr>
        <w:t>产业整合：</w:t>
      </w:r>
      <w:r>
        <w:rPr>
          <w:rFonts w:ascii="宋体" w:hAnsi="宋体" w:cs="宋体" w:hint="eastAsia"/>
          <w:sz w:val="21"/>
          <w:lang w:bidi="ar"/>
        </w:rPr>
        <w:t>控股股东坚定支持上市公司做优做强，严格履行解决同业竞争承诺，在有序完成优质煤炭资产注入的基础上，进一步有效化解同业竞争，确保上市公司资产量质齐升。</w:t>
      </w:r>
    </w:p>
    <w:p>
      <w:pPr>
        <w:pStyle w:val="afe"/>
        <w:spacing w:before="0" w:beforeAutospacing="0" w:after="0" w:afterAutospacing="0"/>
        <w:ind w:firstLineChars="200" w:firstLine="420"/>
        <w:jc w:val="both"/>
        <w:rPr>
          <w:rFonts w:ascii="宋体" w:hAnsi="宋体"/>
        </w:rPr>
      </w:pPr>
      <w:r>
        <w:rPr>
          <w:rFonts w:ascii="宋体" w:hAnsi="宋体" w:cs="宋体" w:hint="eastAsia"/>
          <w:sz w:val="21"/>
          <w:lang w:bidi="ar"/>
        </w:rPr>
        <w:t>风劲帆满海天阔，奋楫潮头逐浪高。立足“十五五”新起点，本集团将统筹好发展与安全、规模与效益、传承与创新，以深厚的产业厚度、稳健的经营能力、强劲的创新动能，从容应对市场波动，推动企业向更高质量、更可持续、更具竞争力的方向稳步迈进，确保以稳健的业绩成长，为股东及利益相关方创造更高价值、更多回报。</w:t>
      </w:r>
    </w:p>
    <w:p>
      <w:pPr>
        <w:pStyle w:val="Style49"/>
        <w:rPr>
          <w:rFonts w:ascii="宋体" w:hAnsi="宋体"/>
        </w:rPr>
      </w:pPr>
    </w:p>
    <w:p>
      <w:pPr>
        <w:pStyle w:val="Style49"/>
      </w:pPr>
    </w:p>
    <w:p>
      <w:pPr>
        <w:pStyle w:val="Style49"/>
        <w:jc w:val="right"/>
      </w:pPr>
      <w:r>
        <w:rPr>
          <w:rFonts w:hint="eastAsia"/>
        </w:rPr>
        <w:t>承董事会命</w:t>
      </w:r>
    </w:p>
    <w:p>
      <w:pPr>
        <w:pStyle w:val="Style49"/>
        <w:jc w:val="right"/>
      </w:pPr>
      <w:r>
        <w:rPr>
          <w:rFonts w:hint="eastAsia"/>
        </w:rPr>
        <w:t>董事长：李伟</w:t>
      </w:r>
    </w:p>
    <w:p>
      <w:pPr>
        <w:pStyle w:val="Style49"/>
        <w:jc w:val="right"/>
      </w:pPr>
      <w:r>
        <w:rPr>
          <w:rFonts w:hint="eastAsia"/>
        </w:rPr>
        <w:t>中国，邹城，</w:t>
      </w:r>
      <w:r>
        <w:rPr>
          <w:rFonts w:hint="eastAsia"/>
        </w:rPr>
        <w:t>2026</w:t>
      </w:r>
      <w:r>
        <w:rPr>
          <w:rFonts w:hint="eastAsia"/>
        </w:rPr>
        <w:t>年</w:t>
      </w:r>
      <w:r>
        <w:rPr>
          <w:rFonts w:hint="eastAsia"/>
        </w:rPr>
        <w:t>3</w:t>
      </w:r>
      <w:r>
        <w:rPr>
          <w:rFonts w:hint="eastAsia"/>
        </w:rPr>
        <w:t>月</w:t>
      </w:r>
      <w:r>
        <w:rPr>
          <w:rFonts w:hint="eastAsia"/>
        </w:rPr>
        <w:t>27</w:t>
      </w:r>
      <w:r>
        <w:rPr>
          <w:rFonts w:hint="eastAsia"/>
        </w:rPr>
        <w:t>日</w:t>
      </w:r>
    </w:p>
    <w:bookmarkEnd w:id="42"/>
    <w:p>
      <w:pPr>
        <w:pStyle w:val="Style49"/>
        <w:jc w:val="right"/>
      </w:pPr>
    </w:p>
    <w:p>
      <w:pPr>
        <w:pStyle w:val="Style49"/>
      </w:pPr>
      <w:r>
        <w:br w:type="page"/>
      </w:r>
    </w:p>
    <w:p>
      <w:pPr>
        <w:numPr>
          <w:ilvl w:val="0"/>
          <w:numId w:val="10"/>
        </w:numPr>
        <w:jc w:val="center"/>
        <w:outlineLvl w:val="0"/>
        <w:rPr>
          <w:rFonts w:ascii="黑体" w:eastAsia="黑体" w:hAnsi="黑体"/>
          <w:b/>
          <w:bCs/>
          <w:sz w:val="28"/>
          <w:szCs w:val="28"/>
        </w:rPr>
      </w:pPr>
      <w:bookmarkStart w:id="43" w:name="_Toc225175012"/>
      <w:r>
        <w:rPr>
          <w:rFonts w:ascii="黑体" w:eastAsia="黑体" w:hAnsi="黑体" w:hint="eastAsia"/>
          <w:b/>
          <w:bCs/>
          <w:sz w:val="28"/>
          <w:szCs w:val="28"/>
        </w:rPr>
        <w:lastRenderedPageBreak/>
        <w:t>管理层讨论与分析</w:t>
      </w:r>
      <w:bookmarkEnd w:id="43"/>
    </w:p>
    <w:p>
      <w:pPr>
        <w:pStyle w:val="2"/>
        <w:numPr>
          <w:ilvl w:val="0"/>
          <w:numId w:val="14"/>
        </w:numPr>
        <w:ind w:left="369" w:hangingChars="175" w:hanging="369"/>
      </w:pPr>
      <w:r>
        <w:t>报告期内公司从事的业务情况</w:t>
      </w:r>
    </w:p>
    <w:sdt>
      <w:sdtPr>
        <w:alias w:val="报告期内公司从事的业务情况 "/>
        <w:tag w:val="_GBC_5c2ed6623d994f569eb07915af842807"/>
        <w:id w:val="-110742036"/>
        <w:placeholder>
          <w:docPart w:val="GBC22222222222222222222222222222"/>
        </w:placeholder>
      </w:sdtPr>
      <w:sdtContent>
        <w:p>
          <w:pPr>
            <w:pStyle w:val="Style49"/>
            <w:rPr>
              <w:rFonts w:asciiTheme="minorEastAsia" w:eastAsiaTheme="minorEastAsia" w:hAnsiTheme="minorEastAsia"/>
            </w:rPr>
          </w:pPr>
          <w:r>
            <w:rPr>
              <w:rFonts w:asciiTheme="minorEastAsia" w:eastAsiaTheme="minorEastAsia" w:hAnsiTheme="minorEastAsia" w:hint="eastAsia"/>
            </w:rPr>
            <w:t>（一）主要业务及经营模式</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1.煤炭业务</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集团煤炭业务主要分布在中国的山东省、山西省、陕西省、甘肃省、内蒙古自治区、新疆维吾尔自治区和澳大利亚；产品主要包括动力煤、喷吹煤和焦煤，适用于电力、冶金及化工等行业；产品主要销往中国的华东、华南、华中、华北、西北等地区及日本、韩国、澳大利亚、泰国等国家。</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2.煤化工业务</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集团煤化工业务主要分布在中国的山东省、陕西省、内蒙古自治区和新疆维吾尔自治区；产品主要包括甲醇、醋酸、醋酸乙酯、尿素、己内酰胺、全馏分液体石蜡、石脑油等；产品主要销往中国的华北、华东、西北等地区。</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（二）市场地位</w:t>
          </w:r>
        </w:p>
        <w:p>
          <w:pPr>
            <w:pStyle w:val="Style49"/>
            <w:ind w:firstLineChars="200" w:firstLine="420"/>
          </w:pPr>
          <w:r>
            <w:rPr>
              <w:rFonts w:asciiTheme="minorEastAsia" w:eastAsiaTheme="minorEastAsia" w:hAnsiTheme="minorEastAsia" w:hint="eastAsia"/>
            </w:rPr>
            <w:t>本集团是中国和澳大利亚主要的煤炭生产商、销售商和贸易商之一，国内动力煤龙头企业，所属兖煤澳洲是澳大利亚最大专营煤炭生产商。本集团拥有煤气化、煤液化等多条完整煤化工产业链，拥有全国首套百万吨级煤间接液化示范装置，醋酸产能位居全国前列。</w:t>
          </w:r>
        </w:p>
      </w:sdtContent>
    </w:sdt>
    <w:p>
      <w:pPr>
        <w:rPr>
          <w:rFonts w:ascii="Calibri" w:hAnsi="Calibri"/>
          <w:bCs/>
          <w:kern w:val="2"/>
        </w:rPr>
      </w:pPr>
      <w:bookmarkStart w:id="44" w:name="_Hlk188285089"/>
    </w:p>
    <w:p>
      <w:pPr>
        <w:rPr>
          <w:rFonts w:ascii="Calibri" w:hAnsi="Calibri"/>
          <w:bCs/>
          <w:kern w:val="2"/>
        </w:rPr>
      </w:pPr>
      <w:r>
        <w:rPr>
          <w:rFonts w:ascii="Calibri" w:hAnsi="Calibri" w:hint="eastAsia"/>
          <w:bCs/>
          <w:kern w:val="2"/>
        </w:rPr>
        <w:t>报告期内公司新增重要非主营业务的说明</w:t>
      </w:r>
    </w:p>
    <w:sdt>
      <w:sdtPr>
        <w:rPr>
          <w:rFonts w:hint="eastAsia"/>
        </w:rPr>
        <w:alias w:val="是否适用：报告期内公司新增重要非主营业务的说明[双击切换]"/>
        <w:tag w:val="_GBC_1c91810887d14c3fad60346b43671230"/>
        <w:id w:val="32320991"/>
        <w:placeholder>
          <w:docPart w:val="GBC22222222222222222222222222222"/>
        </w:placeholder>
      </w:sdtPr>
      <w:sdtContent>
        <w:p>
          <w:pPr>
            <w:pStyle w:val="Style49"/>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pPr>
        <w:pStyle w:val="Style49"/>
      </w:pPr>
    </w:p>
    <w:bookmarkEnd w:id="44"/>
    <w:p>
      <w:pPr>
        <w:pStyle w:val="2"/>
        <w:numPr>
          <w:ilvl w:val="0"/>
          <w:numId w:val="14"/>
        </w:numPr>
        <w:ind w:left="369" w:hangingChars="175" w:hanging="369"/>
      </w:pPr>
      <w:r>
        <w:t>报告期内公司所处行业情况</w:t>
      </w:r>
    </w:p>
    <w:sdt>
      <w:sdtPr>
        <w:rPr>
          <w:rFonts w:hint="eastAsia"/>
        </w:rPr>
        <w:alias w:val="报告期内公司所处行业情况 "/>
        <w:tag w:val="_GBC_62343dd2540e4e58bef438888246bd32"/>
        <w:id w:val="571631883"/>
        <w:placeholder>
          <w:docPart w:val="GBC22222222222222222222222222222"/>
        </w:placeholder>
      </w:sdtPr>
      <w:sdtContent>
        <w:p>
          <w:pPr>
            <w:pStyle w:val="Style49"/>
            <w:ind w:firstLineChars="200" w:firstLine="420"/>
            <w:rPr>
              <w:rFonts w:ascii="宋体" w:hAnsi="宋体"/>
            </w:rPr>
          </w:pPr>
          <w:r>
            <w:rPr>
              <w:rFonts w:ascii="宋体" w:hAnsi="宋体" w:hint="eastAsia"/>
            </w:rPr>
            <w:t>2025年，煤炭行业深入践行绿色发展理念，持续提升安全供应保障能力，加快智能化转型升级，稳步推进煤炭清洁高效利用。全年煤炭产量维持高位，但受超产核查及进口量缩减影响增幅收窄，下半年原煤产量同比出现负增长，在消费端维持弱势的情况下，煤炭供需相对宽松的形势有所改善。煤化工行业加快向高端化、多元化、低碳化转型，持续推进产业链提质升级。全年化工行业产能平稳释放，化工品价格震荡波动运行，受原料成本回落影响，部分品种盈利能力改善。</w:t>
          </w:r>
        </w:p>
      </w:sdtContent>
    </w:sdt>
    <w:p>
      <w:pPr>
        <w:pStyle w:val="Style49"/>
      </w:pPr>
    </w:p>
    <w:p>
      <w:pPr>
        <w:pStyle w:val="2"/>
        <w:numPr>
          <w:ilvl w:val="0"/>
          <w:numId w:val="14"/>
        </w:numPr>
        <w:ind w:left="369" w:hangingChars="175" w:hanging="369"/>
      </w:pPr>
      <w:r>
        <w:rPr>
          <w:rFonts w:hint="eastAsia"/>
        </w:rPr>
        <w:t>经营情况</w:t>
      </w:r>
      <w:r>
        <w:t>讨论与分析</w:t>
      </w:r>
    </w:p>
    <w:sdt>
      <w:sdtPr>
        <w:rPr>
          <w:rFonts w:asciiTheme="minorEastAsia" w:eastAsiaTheme="minorEastAsia" w:hAnsiTheme="minorEastAsia" w:cs="Times New Roman" w:hint="eastAsia"/>
          <w:kern w:val="0"/>
        </w:rPr>
        <w:alias w:val="管理层讨论与分析"/>
        <w:tag w:val="_GBC_75862f3cb18e486fb20eb44dbcc462a9"/>
        <w:id w:val="585885412"/>
        <w:placeholder>
          <w:docPart w:val="GBC22222222222222222222222222222"/>
        </w:placeholder>
      </w:sdtPr>
      <w:sdtContent>
        <w:tbl>
          <w:tblPr>
            <w:tblStyle w:val="g262"/>
            <w:tblW w:w="904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2"/>
            <w:gridCol w:w="1554"/>
            <w:gridCol w:w="1425"/>
            <w:gridCol w:w="1470"/>
            <w:gridCol w:w="1166"/>
            <w:gridCol w:w="1288"/>
          </w:tblGrid>
          <w:tr>
            <w:trPr>
              <w:trHeight w:hRule="exact" w:val="735"/>
              <w:jc w:val="center"/>
            </w:trPr>
            <w:tc>
              <w:tcPr>
                <w:tcW w:w="2142" w:type="dxa"/>
              </w:tcPr>
              <w:p>
                <w:pPr>
                  <w:kinsoku w:val="0"/>
                  <w:overflowPunct w:val="0"/>
                  <w:autoSpaceDE w:val="0"/>
                  <w:autoSpaceDN w:val="0"/>
                  <w:adjustRightInd w:val="0"/>
                  <w:spacing w:before="10"/>
                  <w:rPr>
                    <w:sz w:val="14"/>
                    <w:szCs w:val="14"/>
                  </w:rPr>
                </w:pPr>
              </w:p>
              <w:p>
                <w:pPr>
                  <w:kinsoku w:val="0"/>
                  <w:overflowPunct w:val="0"/>
                  <w:autoSpaceDE w:val="0"/>
                  <w:autoSpaceDN w:val="0"/>
                  <w:adjustRightInd w:val="0"/>
                  <w:ind w:left="104"/>
                  <w:jc w:val="center"/>
                  <w:rPr>
                    <w:rFonts w:cs="Arial"/>
                    <w:szCs w:val="28"/>
                  </w:rPr>
                </w:pPr>
              </w:p>
            </w:tc>
            <w:tc>
              <w:tcPr>
                <w:tcW w:w="1554" w:type="dxa"/>
                <w:vAlign w:val="center"/>
              </w:tcPr>
              <w:p>
                <w:pPr>
                  <w:kinsoku w:val="0"/>
                  <w:overflowPunct w:val="0"/>
                  <w:autoSpaceDE w:val="0"/>
                  <w:autoSpaceDN w:val="0"/>
                  <w:adjustRightInd w:val="0"/>
                  <w:jc w:val="center"/>
                  <w:rPr>
                    <w:rFonts w:cs="Arial"/>
                    <w:szCs w:val="28"/>
                  </w:rPr>
                </w:pPr>
                <w:r>
                  <w:rPr>
                    <w:rFonts w:hint="eastAsia"/>
                    <w:b/>
                    <w:bCs/>
                    <w:szCs w:val="28"/>
                  </w:rPr>
                  <w:t>单位</w:t>
                </w:r>
              </w:p>
            </w:tc>
            <w:tc>
              <w:tcPr>
                <w:tcW w:w="1425" w:type="dxa"/>
                <w:vAlign w:val="center"/>
              </w:tcPr>
              <w:p>
                <w:pPr>
                  <w:kinsoku w:val="0"/>
                  <w:overflowPunct w:val="0"/>
                  <w:autoSpaceDE w:val="0"/>
                  <w:autoSpaceDN w:val="0"/>
                  <w:adjustRightInd w:val="0"/>
                  <w:jc w:val="center"/>
                  <w:rPr>
                    <w:rFonts w:cs="Arial"/>
                    <w:szCs w:val="28"/>
                  </w:rPr>
                </w:pPr>
                <w:r>
                  <w:rPr>
                    <w:rFonts w:hint="eastAsia"/>
                    <w:b/>
                    <w:bCs/>
                    <w:szCs w:val="28"/>
                  </w:rPr>
                  <w:t>202</w:t>
                </w:r>
                <w:r>
                  <w:rPr>
                    <w:b/>
                    <w:bCs/>
                    <w:szCs w:val="28"/>
                  </w:rPr>
                  <w:t>5</w:t>
                </w:r>
                <w:r>
                  <w:rPr>
                    <w:rFonts w:hint="eastAsia"/>
                    <w:b/>
                    <w:bCs/>
                    <w:szCs w:val="28"/>
                  </w:rPr>
                  <w:t>年</w:t>
                </w:r>
              </w:p>
            </w:tc>
            <w:tc>
              <w:tcPr>
                <w:tcW w:w="1470" w:type="dxa"/>
                <w:vAlign w:val="center"/>
              </w:tcPr>
              <w:p>
                <w:pPr>
                  <w:kinsoku w:val="0"/>
                  <w:overflowPunct w:val="0"/>
                  <w:autoSpaceDE w:val="0"/>
                  <w:autoSpaceDN w:val="0"/>
                  <w:adjustRightInd w:val="0"/>
                  <w:jc w:val="center"/>
                  <w:rPr>
                    <w:rFonts w:cs="Arial"/>
                    <w:szCs w:val="28"/>
                  </w:rPr>
                </w:pPr>
                <w:r>
                  <w:rPr>
                    <w:rFonts w:hint="eastAsia"/>
                    <w:b/>
                    <w:bCs/>
                    <w:szCs w:val="28"/>
                  </w:rPr>
                  <w:t>202</w:t>
                </w:r>
                <w:r>
                  <w:rPr>
                    <w:b/>
                    <w:bCs/>
                    <w:szCs w:val="28"/>
                  </w:rPr>
                  <w:t>4</w:t>
                </w:r>
                <w:r>
                  <w:rPr>
                    <w:rFonts w:hint="eastAsia"/>
                    <w:b/>
                    <w:bCs/>
                    <w:szCs w:val="28"/>
                  </w:rPr>
                  <w:t>年</w:t>
                </w:r>
              </w:p>
            </w:tc>
            <w:tc>
              <w:tcPr>
                <w:tcW w:w="1166" w:type="dxa"/>
                <w:vAlign w:val="center"/>
              </w:tcPr>
              <w:p>
                <w:pPr>
                  <w:kinsoku w:val="0"/>
                  <w:overflowPunct w:val="0"/>
                  <w:autoSpaceDE w:val="0"/>
                  <w:autoSpaceDN w:val="0"/>
                  <w:adjustRightInd w:val="0"/>
                  <w:jc w:val="center"/>
                  <w:rPr>
                    <w:rFonts w:cs="Arial"/>
                    <w:szCs w:val="28"/>
                  </w:rPr>
                </w:pPr>
                <w:r>
                  <w:rPr>
                    <w:rFonts w:hint="eastAsia"/>
                    <w:b/>
                    <w:bCs/>
                    <w:szCs w:val="28"/>
                  </w:rPr>
                  <w:t>增减</w:t>
                </w:r>
              </w:p>
            </w:tc>
            <w:tc>
              <w:tcPr>
                <w:tcW w:w="1288" w:type="dxa"/>
                <w:vAlign w:val="center"/>
              </w:tcPr>
              <w:p>
                <w:pPr>
                  <w:kinsoku w:val="0"/>
                  <w:overflowPunct w:val="0"/>
                  <w:autoSpaceDE w:val="0"/>
                  <w:autoSpaceDN w:val="0"/>
                  <w:adjustRightInd w:val="0"/>
                  <w:jc w:val="center"/>
                  <w:rPr>
                    <w:rFonts w:cs="Arial"/>
                    <w:szCs w:val="28"/>
                  </w:rPr>
                </w:pPr>
                <w:r>
                  <w:rPr>
                    <w:rFonts w:hint="eastAsia"/>
                    <w:b/>
                    <w:bCs/>
                    <w:szCs w:val="28"/>
                  </w:rPr>
                  <w:t>增减幅（%）</w:t>
                </w:r>
              </w:p>
            </w:tc>
          </w:tr>
          <w:tr>
            <w:trPr>
              <w:trHeight w:val="358"/>
              <w:jc w:val="center"/>
            </w:trPr>
            <w:tc>
              <w:tcPr>
                <w:tcW w:w="9045" w:type="dxa"/>
                <w:gridSpan w:val="6"/>
                <w:vAlign w:val="center"/>
              </w:tcPr>
              <w:p>
                <w:pPr>
                  <w:kinsoku w:val="0"/>
                  <w:overflowPunct w:val="0"/>
                  <w:autoSpaceDE w:val="0"/>
                  <w:autoSpaceDN w:val="0"/>
                  <w:adjustRightInd w:val="0"/>
                  <w:spacing w:before="4"/>
                  <w:ind w:left="215"/>
                  <w:rPr>
                    <w:rFonts w:cs="Arial"/>
                    <w:szCs w:val="28"/>
                  </w:rPr>
                </w:pPr>
                <w:r>
                  <w:rPr>
                    <w:rFonts w:hint="eastAsia"/>
                    <w:b/>
                    <w:bCs/>
                    <w:szCs w:val="28"/>
                  </w:rPr>
                  <w:t>1.煤炭业务</w:t>
                </w:r>
              </w:p>
            </w:tc>
          </w:tr>
          <w:tr>
            <w:trPr>
              <w:trHeight w:hRule="exact" w:val="358"/>
              <w:jc w:val="center"/>
            </w:trPr>
            <w:tc>
              <w:tcPr>
                <w:tcW w:w="2142" w:type="dxa"/>
                <w:vAlign w:val="center"/>
              </w:tcPr>
              <w:p>
                <w:pPr>
                  <w:kinsoku w:val="0"/>
                  <w:overflowPunct w:val="0"/>
                  <w:autoSpaceDE w:val="0"/>
                  <w:autoSpaceDN w:val="0"/>
                  <w:adjustRightInd w:val="0"/>
                  <w:spacing w:before="4"/>
                  <w:ind w:left="328"/>
                  <w:rPr>
                    <w:rFonts w:cs="Arial"/>
                    <w:szCs w:val="28"/>
                  </w:rPr>
                </w:pPr>
                <w:r>
                  <w:rPr>
                    <w:rFonts w:hint="eastAsia"/>
                    <w:szCs w:val="28"/>
                  </w:rPr>
                  <w:t>商品煤产量</w:t>
                </w:r>
              </w:p>
            </w:tc>
            <w:tc>
              <w:tcPr>
                <w:tcW w:w="1554" w:type="dxa"/>
                <w:vAlign w:val="center"/>
              </w:tcPr>
              <w:p>
                <w:pPr>
                  <w:kinsoku w:val="0"/>
                  <w:overflowPunct w:val="0"/>
                  <w:autoSpaceDE w:val="0"/>
                  <w:autoSpaceDN w:val="0"/>
                  <w:adjustRightInd w:val="0"/>
                  <w:jc w:val="center"/>
                  <w:rPr>
                    <w:rFonts w:cs="Arial"/>
                    <w:szCs w:val="28"/>
                  </w:rPr>
                </w:pPr>
                <w:r>
                  <w:rPr>
                    <w:rFonts w:hint="eastAsia"/>
                    <w:szCs w:val="28"/>
                  </w:rPr>
                  <w:t>千吨</w:t>
                </w:r>
              </w:p>
            </w:tc>
            <w:tc>
              <w:tcPr>
                <w:tcW w:w="1425" w:type="dxa"/>
                <w:tcMar>
                  <w:top w:w="0" w:type="dxa"/>
                  <w:left w:w="108" w:type="dxa"/>
                  <w:bottom w:w="0" w:type="dxa"/>
                  <w:right w:w="108" w:type="dxa"/>
                </w:tcMar>
                <w:vAlign w:val="center"/>
              </w:tcPr>
              <w:p>
                <w:pPr>
                  <w:jc w:val="right"/>
                  <w:rPr>
                    <w:szCs w:val="28"/>
                  </w:rPr>
                </w:pPr>
                <w:r>
                  <w:rPr>
                    <w:szCs w:val="28"/>
                  </w:rPr>
                  <w:t>182,398</w:t>
                </w:r>
              </w:p>
            </w:tc>
            <w:tc>
              <w:tcPr>
                <w:tcW w:w="1470" w:type="dxa"/>
                <w:tcMar>
                  <w:top w:w="0" w:type="dxa"/>
                  <w:left w:w="108" w:type="dxa"/>
                  <w:bottom w:w="0" w:type="dxa"/>
                  <w:right w:w="108" w:type="dxa"/>
                </w:tcMar>
                <w:vAlign w:val="center"/>
              </w:tcPr>
              <w:p>
                <w:pPr>
                  <w:jc w:val="right"/>
                  <w:rPr>
                    <w:szCs w:val="28"/>
                  </w:rPr>
                </w:pPr>
                <w:r>
                  <w:rPr>
                    <w:szCs w:val="28"/>
                  </w:rPr>
                  <w:t>171,622</w:t>
                </w:r>
              </w:p>
            </w:tc>
            <w:tc>
              <w:tcPr>
                <w:tcW w:w="1166" w:type="dxa"/>
                <w:tcMar>
                  <w:top w:w="0" w:type="dxa"/>
                  <w:left w:w="108" w:type="dxa"/>
                  <w:bottom w:w="0" w:type="dxa"/>
                  <w:right w:w="108" w:type="dxa"/>
                </w:tcMar>
                <w:vAlign w:val="center"/>
              </w:tcPr>
              <w:p>
                <w:pPr>
                  <w:jc w:val="right"/>
                  <w:rPr>
                    <w:szCs w:val="28"/>
                  </w:rPr>
                </w:pPr>
                <w:r>
                  <w:rPr>
                    <w:szCs w:val="28"/>
                  </w:rPr>
                  <w:t>10,776</w:t>
                </w:r>
              </w:p>
            </w:tc>
            <w:tc>
              <w:tcPr>
                <w:tcW w:w="1288" w:type="dxa"/>
                <w:tcMar>
                  <w:top w:w="0" w:type="dxa"/>
                  <w:left w:w="108" w:type="dxa"/>
                  <w:bottom w:w="0" w:type="dxa"/>
                  <w:right w:w="108" w:type="dxa"/>
                </w:tcMar>
                <w:vAlign w:val="center"/>
              </w:tcPr>
              <w:p>
                <w:pPr>
                  <w:jc w:val="right"/>
                  <w:rPr>
                    <w:szCs w:val="28"/>
                  </w:rPr>
                </w:pPr>
                <w:r>
                  <w:rPr>
                    <w:szCs w:val="28"/>
                  </w:rPr>
                  <w:t xml:space="preserve">6.28 </w:t>
                </w:r>
              </w:p>
            </w:tc>
          </w:tr>
          <w:tr>
            <w:trPr>
              <w:trHeight w:hRule="exact" w:val="360"/>
              <w:jc w:val="center"/>
            </w:trPr>
            <w:tc>
              <w:tcPr>
                <w:tcW w:w="2142" w:type="dxa"/>
                <w:vAlign w:val="center"/>
              </w:tcPr>
              <w:p>
                <w:pPr>
                  <w:kinsoku w:val="0"/>
                  <w:overflowPunct w:val="0"/>
                  <w:autoSpaceDE w:val="0"/>
                  <w:autoSpaceDN w:val="0"/>
                  <w:adjustRightInd w:val="0"/>
                  <w:spacing w:before="4"/>
                  <w:ind w:left="328"/>
                  <w:rPr>
                    <w:rFonts w:cs="Arial"/>
                    <w:szCs w:val="28"/>
                  </w:rPr>
                </w:pPr>
                <w:r>
                  <w:rPr>
                    <w:rFonts w:hint="eastAsia"/>
                    <w:szCs w:val="28"/>
                  </w:rPr>
                  <w:t>商品煤销量</w:t>
                </w:r>
              </w:p>
            </w:tc>
            <w:tc>
              <w:tcPr>
                <w:tcW w:w="1554" w:type="dxa"/>
                <w:vAlign w:val="center"/>
              </w:tcPr>
              <w:p>
                <w:pPr>
                  <w:kinsoku w:val="0"/>
                  <w:overflowPunct w:val="0"/>
                  <w:autoSpaceDE w:val="0"/>
                  <w:autoSpaceDN w:val="0"/>
                  <w:adjustRightInd w:val="0"/>
                  <w:jc w:val="center"/>
                  <w:rPr>
                    <w:rFonts w:cs="Arial"/>
                    <w:szCs w:val="28"/>
                  </w:rPr>
                </w:pPr>
                <w:r>
                  <w:rPr>
                    <w:rFonts w:hint="eastAsia"/>
                    <w:szCs w:val="28"/>
                  </w:rPr>
                  <w:t>千吨</w:t>
                </w:r>
              </w:p>
            </w:tc>
            <w:tc>
              <w:tcPr>
                <w:tcW w:w="1425" w:type="dxa"/>
                <w:tcMar>
                  <w:top w:w="0" w:type="dxa"/>
                  <w:left w:w="108" w:type="dxa"/>
                  <w:bottom w:w="0" w:type="dxa"/>
                  <w:right w:w="108" w:type="dxa"/>
                </w:tcMar>
                <w:vAlign w:val="center"/>
              </w:tcPr>
              <w:p>
                <w:pPr>
                  <w:jc w:val="right"/>
                  <w:rPr>
                    <w:szCs w:val="28"/>
                  </w:rPr>
                </w:pPr>
                <w:r>
                  <w:rPr>
                    <w:szCs w:val="28"/>
                  </w:rPr>
                  <w:t>171,226</w:t>
                </w:r>
              </w:p>
            </w:tc>
            <w:tc>
              <w:tcPr>
                <w:tcW w:w="1470" w:type="dxa"/>
                <w:tcMar>
                  <w:top w:w="0" w:type="dxa"/>
                  <w:left w:w="108" w:type="dxa"/>
                  <w:bottom w:w="0" w:type="dxa"/>
                  <w:right w:w="108" w:type="dxa"/>
                </w:tcMar>
                <w:vAlign w:val="center"/>
              </w:tcPr>
              <w:p>
                <w:pPr>
                  <w:jc w:val="right"/>
                  <w:rPr>
                    <w:szCs w:val="28"/>
                  </w:rPr>
                </w:pPr>
                <w:r>
                  <w:rPr>
                    <w:szCs w:val="28"/>
                  </w:rPr>
                  <w:t>165,050</w:t>
                </w:r>
              </w:p>
            </w:tc>
            <w:tc>
              <w:tcPr>
                <w:tcW w:w="1166" w:type="dxa"/>
                <w:tcMar>
                  <w:top w:w="0" w:type="dxa"/>
                  <w:left w:w="108" w:type="dxa"/>
                  <w:bottom w:w="0" w:type="dxa"/>
                  <w:right w:w="108" w:type="dxa"/>
                </w:tcMar>
                <w:vAlign w:val="center"/>
              </w:tcPr>
              <w:p>
                <w:pPr>
                  <w:jc w:val="right"/>
                  <w:rPr>
                    <w:szCs w:val="28"/>
                  </w:rPr>
                </w:pPr>
                <w:r>
                  <w:rPr>
                    <w:szCs w:val="28"/>
                  </w:rPr>
                  <w:t>6,176</w:t>
                </w:r>
              </w:p>
            </w:tc>
            <w:tc>
              <w:tcPr>
                <w:tcW w:w="1288" w:type="dxa"/>
                <w:tcMar>
                  <w:top w:w="0" w:type="dxa"/>
                  <w:left w:w="108" w:type="dxa"/>
                  <w:bottom w:w="0" w:type="dxa"/>
                  <w:right w:w="108" w:type="dxa"/>
                </w:tcMar>
                <w:vAlign w:val="center"/>
              </w:tcPr>
              <w:p>
                <w:pPr>
                  <w:jc w:val="right"/>
                  <w:rPr>
                    <w:szCs w:val="28"/>
                  </w:rPr>
                </w:pPr>
                <w:r>
                  <w:rPr>
                    <w:szCs w:val="28"/>
                  </w:rPr>
                  <w:t xml:space="preserve">3.74 </w:t>
                </w:r>
              </w:p>
            </w:tc>
          </w:tr>
          <w:tr>
            <w:trPr>
              <w:trHeight w:val="358"/>
              <w:jc w:val="center"/>
            </w:trPr>
            <w:tc>
              <w:tcPr>
                <w:tcW w:w="9045" w:type="dxa"/>
                <w:gridSpan w:val="6"/>
                <w:tcMar>
                  <w:top w:w="0" w:type="dxa"/>
                  <w:left w:w="108" w:type="dxa"/>
                  <w:bottom w:w="0" w:type="dxa"/>
                  <w:right w:w="108" w:type="dxa"/>
                </w:tcMar>
                <w:vAlign w:val="center"/>
              </w:tcPr>
              <w:p>
                <w:pPr>
                  <w:kinsoku w:val="0"/>
                  <w:overflowPunct w:val="0"/>
                  <w:autoSpaceDE w:val="0"/>
                  <w:autoSpaceDN w:val="0"/>
                  <w:adjustRightInd w:val="0"/>
                  <w:spacing w:before="4"/>
                  <w:ind w:left="102"/>
                  <w:rPr>
                    <w:rFonts w:cs="Arial"/>
                    <w:szCs w:val="28"/>
                  </w:rPr>
                </w:pPr>
                <w:r>
                  <w:rPr>
                    <w:rFonts w:hint="eastAsia"/>
                    <w:b/>
                    <w:bCs/>
                    <w:szCs w:val="28"/>
                  </w:rPr>
                  <w:t>2.煤化工业务</w:t>
                </w:r>
              </w:p>
            </w:tc>
          </w:tr>
          <w:tr>
            <w:trPr>
              <w:trHeight w:hRule="exact" w:val="358"/>
              <w:jc w:val="center"/>
            </w:trPr>
            <w:tc>
              <w:tcPr>
                <w:tcW w:w="2142" w:type="dxa"/>
                <w:vAlign w:val="center"/>
              </w:tcPr>
              <w:p>
                <w:pPr>
                  <w:kinsoku w:val="0"/>
                  <w:overflowPunct w:val="0"/>
                  <w:autoSpaceDE w:val="0"/>
                  <w:autoSpaceDN w:val="0"/>
                  <w:adjustRightInd w:val="0"/>
                  <w:spacing w:before="4"/>
                  <w:ind w:left="328"/>
                  <w:rPr>
                    <w:szCs w:val="28"/>
                  </w:rPr>
                </w:pPr>
                <w:r>
                  <w:rPr>
                    <w:rFonts w:hint="eastAsia"/>
                    <w:szCs w:val="28"/>
                  </w:rPr>
                  <w:t>化工品产量</w:t>
                </w:r>
              </w:p>
            </w:tc>
            <w:tc>
              <w:tcPr>
                <w:tcW w:w="1554" w:type="dxa"/>
                <w:vAlign w:val="center"/>
              </w:tcPr>
              <w:p>
                <w:pPr>
                  <w:kinsoku w:val="0"/>
                  <w:overflowPunct w:val="0"/>
                  <w:autoSpaceDE w:val="0"/>
                  <w:autoSpaceDN w:val="0"/>
                  <w:adjustRightInd w:val="0"/>
                  <w:jc w:val="center"/>
                  <w:rPr>
                    <w:szCs w:val="28"/>
                  </w:rPr>
                </w:pPr>
                <w:r>
                  <w:rPr>
                    <w:rFonts w:hint="eastAsia"/>
                    <w:szCs w:val="28"/>
                  </w:rPr>
                  <w:t>千吨</w:t>
                </w:r>
              </w:p>
            </w:tc>
            <w:tc>
              <w:tcPr>
                <w:tcW w:w="1425" w:type="dxa"/>
                <w:tcMar>
                  <w:top w:w="0" w:type="dxa"/>
                  <w:left w:w="108" w:type="dxa"/>
                  <w:bottom w:w="0" w:type="dxa"/>
                  <w:right w:w="108" w:type="dxa"/>
                </w:tcMar>
                <w:vAlign w:val="center"/>
              </w:tcPr>
              <w:p>
                <w:pPr>
                  <w:jc w:val="right"/>
                  <w:rPr>
                    <w:szCs w:val="28"/>
                  </w:rPr>
                </w:pPr>
                <w:r>
                  <w:rPr>
                    <w:szCs w:val="28"/>
                  </w:rPr>
                  <w:t>9,775</w:t>
                </w:r>
              </w:p>
            </w:tc>
            <w:tc>
              <w:tcPr>
                <w:tcW w:w="1470" w:type="dxa"/>
                <w:tcMar>
                  <w:top w:w="0" w:type="dxa"/>
                  <w:left w:w="108" w:type="dxa"/>
                  <w:bottom w:w="0" w:type="dxa"/>
                  <w:right w:w="108" w:type="dxa"/>
                </w:tcMar>
                <w:vAlign w:val="center"/>
              </w:tcPr>
              <w:p>
                <w:pPr>
                  <w:jc w:val="right"/>
                  <w:rPr>
                    <w:szCs w:val="28"/>
                  </w:rPr>
                </w:pPr>
                <w:r>
                  <w:rPr>
                    <w:szCs w:val="28"/>
                  </w:rPr>
                  <w:t>9,012</w:t>
                </w:r>
              </w:p>
            </w:tc>
            <w:tc>
              <w:tcPr>
                <w:tcW w:w="1166" w:type="dxa"/>
                <w:tcMar>
                  <w:top w:w="0" w:type="dxa"/>
                  <w:left w:w="108" w:type="dxa"/>
                  <w:bottom w:w="0" w:type="dxa"/>
                  <w:right w:w="108" w:type="dxa"/>
                </w:tcMar>
                <w:vAlign w:val="center"/>
              </w:tcPr>
              <w:p>
                <w:pPr>
                  <w:jc w:val="right"/>
                  <w:rPr>
                    <w:szCs w:val="28"/>
                  </w:rPr>
                </w:pPr>
                <w:r>
                  <w:rPr>
                    <w:szCs w:val="28"/>
                  </w:rPr>
                  <w:t>762</w:t>
                </w:r>
              </w:p>
            </w:tc>
            <w:tc>
              <w:tcPr>
                <w:tcW w:w="1288" w:type="dxa"/>
                <w:tcMar>
                  <w:top w:w="0" w:type="dxa"/>
                  <w:left w:w="108" w:type="dxa"/>
                  <w:bottom w:w="0" w:type="dxa"/>
                  <w:right w:w="108" w:type="dxa"/>
                </w:tcMar>
                <w:vAlign w:val="center"/>
              </w:tcPr>
              <w:p>
                <w:pPr>
                  <w:jc w:val="right"/>
                  <w:rPr>
                    <w:szCs w:val="28"/>
                  </w:rPr>
                </w:pPr>
                <w:r>
                  <w:rPr>
                    <w:szCs w:val="28"/>
                  </w:rPr>
                  <w:t xml:space="preserve">8.46 </w:t>
                </w:r>
              </w:p>
            </w:tc>
          </w:tr>
          <w:tr>
            <w:trPr>
              <w:trHeight w:hRule="exact" w:val="358"/>
              <w:jc w:val="center"/>
            </w:trPr>
            <w:tc>
              <w:tcPr>
                <w:tcW w:w="2142" w:type="dxa"/>
                <w:vAlign w:val="center"/>
              </w:tcPr>
              <w:p>
                <w:pPr>
                  <w:kinsoku w:val="0"/>
                  <w:overflowPunct w:val="0"/>
                  <w:autoSpaceDE w:val="0"/>
                  <w:autoSpaceDN w:val="0"/>
                  <w:adjustRightInd w:val="0"/>
                  <w:spacing w:before="4"/>
                  <w:ind w:left="328"/>
                  <w:rPr>
                    <w:szCs w:val="28"/>
                  </w:rPr>
                </w:pPr>
                <w:r>
                  <w:rPr>
                    <w:rFonts w:hint="eastAsia"/>
                    <w:szCs w:val="28"/>
                  </w:rPr>
                  <w:t>化工品销量</w:t>
                </w:r>
              </w:p>
            </w:tc>
            <w:tc>
              <w:tcPr>
                <w:tcW w:w="1554" w:type="dxa"/>
                <w:vAlign w:val="center"/>
              </w:tcPr>
              <w:p>
                <w:pPr>
                  <w:kinsoku w:val="0"/>
                  <w:overflowPunct w:val="0"/>
                  <w:autoSpaceDE w:val="0"/>
                  <w:autoSpaceDN w:val="0"/>
                  <w:adjustRightInd w:val="0"/>
                  <w:jc w:val="center"/>
                  <w:rPr>
                    <w:szCs w:val="28"/>
                  </w:rPr>
                </w:pPr>
                <w:r>
                  <w:rPr>
                    <w:rFonts w:hint="eastAsia"/>
                    <w:szCs w:val="28"/>
                  </w:rPr>
                  <w:t>千吨</w:t>
                </w:r>
              </w:p>
            </w:tc>
            <w:tc>
              <w:tcPr>
                <w:tcW w:w="1425" w:type="dxa"/>
                <w:tcMar>
                  <w:top w:w="0" w:type="dxa"/>
                  <w:left w:w="108" w:type="dxa"/>
                  <w:bottom w:w="0" w:type="dxa"/>
                  <w:right w:w="108" w:type="dxa"/>
                </w:tcMar>
                <w:vAlign w:val="center"/>
              </w:tcPr>
              <w:p>
                <w:pPr>
                  <w:jc w:val="right"/>
                  <w:rPr>
                    <w:szCs w:val="28"/>
                  </w:rPr>
                </w:pPr>
                <w:r>
                  <w:rPr>
                    <w:szCs w:val="28"/>
                  </w:rPr>
                  <w:t>8,574</w:t>
                </w:r>
              </w:p>
            </w:tc>
            <w:tc>
              <w:tcPr>
                <w:tcW w:w="1470" w:type="dxa"/>
                <w:tcMar>
                  <w:top w:w="0" w:type="dxa"/>
                  <w:left w:w="108" w:type="dxa"/>
                  <w:bottom w:w="0" w:type="dxa"/>
                  <w:right w:w="108" w:type="dxa"/>
                </w:tcMar>
                <w:vAlign w:val="center"/>
              </w:tcPr>
              <w:p>
                <w:pPr>
                  <w:jc w:val="right"/>
                  <w:rPr>
                    <w:szCs w:val="28"/>
                  </w:rPr>
                </w:pPr>
                <w:r>
                  <w:rPr>
                    <w:szCs w:val="28"/>
                  </w:rPr>
                  <w:t>8,113</w:t>
                </w:r>
              </w:p>
            </w:tc>
            <w:tc>
              <w:tcPr>
                <w:tcW w:w="1166" w:type="dxa"/>
                <w:tcMar>
                  <w:top w:w="0" w:type="dxa"/>
                  <w:left w:w="108" w:type="dxa"/>
                  <w:bottom w:w="0" w:type="dxa"/>
                  <w:right w:w="108" w:type="dxa"/>
                </w:tcMar>
                <w:vAlign w:val="center"/>
              </w:tcPr>
              <w:p>
                <w:pPr>
                  <w:jc w:val="right"/>
                  <w:rPr>
                    <w:szCs w:val="28"/>
                  </w:rPr>
                </w:pPr>
                <w:r>
                  <w:rPr>
                    <w:szCs w:val="28"/>
                  </w:rPr>
                  <w:t>461</w:t>
                </w:r>
              </w:p>
            </w:tc>
            <w:tc>
              <w:tcPr>
                <w:tcW w:w="1288" w:type="dxa"/>
                <w:tcMar>
                  <w:top w:w="0" w:type="dxa"/>
                  <w:left w:w="108" w:type="dxa"/>
                  <w:bottom w:w="0" w:type="dxa"/>
                  <w:right w:w="108" w:type="dxa"/>
                </w:tcMar>
                <w:vAlign w:val="center"/>
              </w:tcPr>
              <w:p>
                <w:pPr>
                  <w:jc w:val="right"/>
                  <w:rPr>
                    <w:szCs w:val="28"/>
                  </w:rPr>
                </w:pPr>
                <w:r>
                  <w:rPr>
                    <w:szCs w:val="28"/>
                  </w:rPr>
                  <w:t xml:space="preserve">5.69 </w:t>
                </w:r>
              </w:p>
            </w:tc>
          </w:tr>
          <w:tr>
            <w:trPr>
              <w:trHeight w:val="360"/>
              <w:jc w:val="center"/>
            </w:trPr>
            <w:tc>
              <w:tcPr>
                <w:tcW w:w="9045" w:type="dxa"/>
                <w:gridSpan w:val="6"/>
                <w:tcMar>
                  <w:top w:w="0" w:type="dxa"/>
                  <w:left w:w="108" w:type="dxa"/>
                  <w:bottom w:w="0" w:type="dxa"/>
                  <w:right w:w="108" w:type="dxa"/>
                </w:tcMar>
                <w:vAlign w:val="center"/>
              </w:tcPr>
              <w:p>
                <w:pPr>
                  <w:kinsoku w:val="0"/>
                  <w:overflowPunct w:val="0"/>
                  <w:autoSpaceDE w:val="0"/>
                  <w:autoSpaceDN w:val="0"/>
                  <w:adjustRightInd w:val="0"/>
                  <w:spacing w:before="4"/>
                  <w:ind w:left="103"/>
                  <w:rPr>
                    <w:rFonts w:cs="Arial"/>
                    <w:szCs w:val="28"/>
                  </w:rPr>
                </w:pPr>
                <w:r>
                  <w:rPr>
                    <w:rFonts w:hint="eastAsia"/>
                    <w:b/>
                    <w:bCs/>
                    <w:szCs w:val="28"/>
                  </w:rPr>
                  <w:t>3.电力业务</w:t>
                </w:r>
              </w:p>
            </w:tc>
          </w:tr>
          <w:tr>
            <w:trPr>
              <w:trHeight w:hRule="exact" w:val="358"/>
              <w:jc w:val="center"/>
            </w:trPr>
            <w:tc>
              <w:tcPr>
                <w:tcW w:w="2142" w:type="dxa"/>
                <w:vAlign w:val="center"/>
              </w:tcPr>
              <w:p>
                <w:pPr>
                  <w:kinsoku w:val="0"/>
                  <w:overflowPunct w:val="0"/>
                  <w:autoSpaceDE w:val="0"/>
                  <w:autoSpaceDN w:val="0"/>
                  <w:adjustRightInd w:val="0"/>
                  <w:spacing w:before="4"/>
                  <w:ind w:left="328"/>
                  <w:rPr>
                    <w:szCs w:val="28"/>
                  </w:rPr>
                </w:pPr>
                <w:r>
                  <w:rPr>
                    <w:rFonts w:hint="eastAsia"/>
                    <w:szCs w:val="28"/>
                  </w:rPr>
                  <w:t>发电量</w:t>
                </w:r>
              </w:p>
            </w:tc>
            <w:tc>
              <w:tcPr>
                <w:tcW w:w="1554" w:type="dxa"/>
                <w:vAlign w:val="center"/>
              </w:tcPr>
              <w:p>
                <w:pPr>
                  <w:kinsoku w:val="0"/>
                  <w:overflowPunct w:val="0"/>
                  <w:autoSpaceDE w:val="0"/>
                  <w:autoSpaceDN w:val="0"/>
                  <w:adjustRightInd w:val="0"/>
                  <w:jc w:val="center"/>
                  <w:rPr>
                    <w:szCs w:val="28"/>
                  </w:rPr>
                </w:pPr>
                <w:r>
                  <w:rPr>
                    <w:rFonts w:hint="eastAsia"/>
                    <w:szCs w:val="28"/>
                  </w:rPr>
                  <w:t>万千瓦时</w:t>
                </w:r>
              </w:p>
            </w:tc>
            <w:tc>
              <w:tcPr>
                <w:tcW w:w="1425" w:type="dxa"/>
                <w:tcMar>
                  <w:top w:w="0" w:type="dxa"/>
                  <w:left w:w="108" w:type="dxa"/>
                  <w:bottom w:w="0" w:type="dxa"/>
                  <w:right w:w="108" w:type="dxa"/>
                </w:tcMar>
                <w:vAlign w:val="center"/>
              </w:tcPr>
              <w:p>
                <w:pPr>
                  <w:jc w:val="right"/>
                </w:pPr>
                <w:r>
                  <w:t>748,763</w:t>
                </w:r>
              </w:p>
            </w:tc>
            <w:tc>
              <w:tcPr>
                <w:tcW w:w="1470" w:type="dxa"/>
                <w:tcMar>
                  <w:top w:w="0" w:type="dxa"/>
                  <w:left w:w="108" w:type="dxa"/>
                  <w:bottom w:w="0" w:type="dxa"/>
                  <w:right w:w="108" w:type="dxa"/>
                </w:tcMar>
                <w:vAlign w:val="center"/>
              </w:tcPr>
              <w:p>
                <w:pPr>
                  <w:jc w:val="right"/>
                </w:pPr>
                <w:r>
                  <w:t>812,048</w:t>
                </w:r>
              </w:p>
            </w:tc>
            <w:tc>
              <w:tcPr>
                <w:tcW w:w="1166" w:type="dxa"/>
                <w:tcMar>
                  <w:top w:w="0" w:type="dxa"/>
                  <w:left w:w="108" w:type="dxa"/>
                  <w:bottom w:w="0" w:type="dxa"/>
                  <w:right w:w="108" w:type="dxa"/>
                </w:tcMar>
                <w:vAlign w:val="center"/>
              </w:tcPr>
              <w:p>
                <w:pPr>
                  <w:jc w:val="right"/>
                </w:pPr>
                <w:r>
                  <w:t>-63,285</w:t>
                </w:r>
              </w:p>
            </w:tc>
            <w:tc>
              <w:tcPr>
                <w:tcW w:w="1288" w:type="dxa"/>
                <w:tcMar>
                  <w:top w:w="0" w:type="dxa"/>
                  <w:left w:w="108" w:type="dxa"/>
                  <w:bottom w:w="0" w:type="dxa"/>
                  <w:right w:w="108" w:type="dxa"/>
                </w:tcMar>
                <w:vAlign w:val="center"/>
              </w:tcPr>
              <w:p>
                <w:pPr>
                  <w:jc w:val="right"/>
                </w:pPr>
                <w:r>
                  <w:t xml:space="preserve">-7.79 </w:t>
                </w:r>
              </w:p>
            </w:tc>
          </w:tr>
          <w:tr>
            <w:trPr>
              <w:trHeight w:hRule="exact" w:val="358"/>
              <w:jc w:val="center"/>
            </w:trPr>
            <w:tc>
              <w:tcPr>
                <w:tcW w:w="2142" w:type="dxa"/>
                <w:vAlign w:val="center"/>
              </w:tcPr>
              <w:p>
                <w:pPr>
                  <w:kinsoku w:val="0"/>
                  <w:overflowPunct w:val="0"/>
                  <w:autoSpaceDE w:val="0"/>
                  <w:autoSpaceDN w:val="0"/>
                  <w:adjustRightInd w:val="0"/>
                  <w:spacing w:before="4"/>
                  <w:ind w:left="328"/>
                  <w:rPr>
                    <w:szCs w:val="28"/>
                  </w:rPr>
                </w:pPr>
                <w:r>
                  <w:rPr>
                    <w:rFonts w:hint="eastAsia"/>
                    <w:szCs w:val="28"/>
                  </w:rPr>
                  <w:t>售电量</w:t>
                </w:r>
              </w:p>
            </w:tc>
            <w:tc>
              <w:tcPr>
                <w:tcW w:w="1554" w:type="dxa"/>
                <w:vAlign w:val="center"/>
              </w:tcPr>
              <w:p>
                <w:pPr>
                  <w:kinsoku w:val="0"/>
                  <w:overflowPunct w:val="0"/>
                  <w:autoSpaceDE w:val="0"/>
                  <w:autoSpaceDN w:val="0"/>
                  <w:adjustRightInd w:val="0"/>
                  <w:jc w:val="center"/>
                  <w:rPr>
                    <w:szCs w:val="28"/>
                  </w:rPr>
                </w:pPr>
                <w:r>
                  <w:rPr>
                    <w:rFonts w:hint="eastAsia"/>
                    <w:szCs w:val="28"/>
                  </w:rPr>
                  <w:t>万千瓦时</w:t>
                </w:r>
              </w:p>
            </w:tc>
            <w:tc>
              <w:tcPr>
                <w:tcW w:w="1425" w:type="dxa"/>
                <w:tcMar>
                  <w:top w:w="0" w:type="dxa"/>
                  <w:left w:w="108" w:type="dxa"/>
                  <w:bottom w:w="0" w:type="dxa"/>
                  <w:right w:w="108" w:type="dxa"/>
                </w:tcMar>
                <w:vAlign w:val="center"/>
              </w:tcPr>
              <w:p>
                <w:pPr>
                  <w:jc w:val="right"/>
                </w:pPr>
                <w:r>
                  <w:t>604,349</w:t>
                </w:r>
              </w:p>
            </w:tc>
            <w:tc>
              <w:tcPr>
                <w:tcW w:w="1470" w:type="dxa"/>
                <w:tcMar>
                  <w:top w:w="0" w:type="dxa"/>
                  <w:left w:w="108" w:type="dxa"/>
                  <w:bottom w:w="0" w:type="dxa"/>
                  <w:right w:w="108" w:type="dxa"/>
                </w:tcMar>
                <w:vAlign w:val="center"/>
              </w:tcPr>
              <w:p>
                <w:pPr>
                  <w:jc w:val="right"/>
                </w:pPr>
                <w:r>
                  <w:t>679,843</w:t>
                </w:r>
              </w:p>
            </w:tc>
            <w:tc>
              <w:tcPr>
                <w:tcW w:w="1166" w:type="dxa"/>
                <w:tcMar>
                  <w:top w:w="0" w:type="dxa"/>
                  <w:left w:w="108" w:type="dxa"/>
                  <w:bottom w:w="0" w:type="dxa"/>
                  <w:right w:w="108" w:type="dxa"/>
                </w:tcMar>
                <w:vAlign w:val="center"/>
              </w:tcPr>
              <w:p>
                <w:pPr>
                  <w:jc w:val="right"/>
                </w:pPr>
                <w:r>
                  <w:t>-75,494</w:t>
                </w:r>
              </w:p>
            </w:tc>
            <w:tc>
              <w:tcPr>
                <w:tcW w:w="1288" w:type="dxa"/>
                <w:tcMar>
                  <w:top w:w="0" w:type="dxa"/>
                  <w:left w:w="108" w:type="dxa"/>
                  <w:bottom w:w="0" w:type="dxa"/>
                  <w:right w:w="108" w:type="dxa"/>
                </w:tcMar>
                <w:vAlign w:val="center"/>
              </w:tcPr>
              <w:p>
                <w:pPr>
                  <w:jc w:val="right"/>
                </w:pPr>
                <w:r>
                  <w:t xml:space="preserve">-11.10 </w:t>
                </w:r>
              </w:p>
            </w:tc>
          </w:tr>
        </w:tbl>
        <w:p>
          <w:pPr>
            <w:ind w:firstLineChars="200" w:firstLine="420"/>
            <w:rPr>
              <w:rFonts w:asciiTheme="minorEastAsia" w:eastAsiaTheme="minorEastAsia" w:hAnsiTheme="minorEastAsia"/>
            </w:rPr>
          </w:pPr>
          <w:r>
            <w:rPr>
              <w:rFonts w:asciiTheme="minorEastAsia" w:eastAsiaTheme="minorEastAsia" w:hAnsiTheme="minorEastAsia" w:hint="eastAsia"/>
            </w:rPr>
            <w:t>注：报告期内公司合并西北矿业财务报表，构成同一控制下企业合并，公司对相关运营数据进行了追溯调整。</w:t>
          </w:r>
        </w:p>
      </w:sdtContent>
    </w:sdt>
    <w:p>
      <w:pPr>
        <w:pStyle w:val="2"/>
        <w:numPr>
          <w:ilvl w:val="0"/>
          <w:numId w:val="14"/>
        </w:numPr>
        <w:ind w:left="369" w:hangingChars="175" w:hanging="369"/>
      </w:pPr>
      <w:r>
        <w:rPr>
          <w:rFonts w:hint="eastAsia"/>
        </w:rPr>
        <w:t>报告期内核心竞争力分析</w:t>
      </w:r>
    </w:p>
    <w:sdt>
      <w:sdtPr>
        <w:alias w:val="是否适用：报告期内核心竞争力分析[双击切换]"/>
        <w:tag w:val="_GBC_a03591f0f7444c9b8f5c55d6f75c3136"/>
        <w:id w:val="530766828"/>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核心竞争力分析"/>
        <w:tag w:val="_GBC_956a57b53cd74344a32f2309bcc5f344"/>
        <w:id w:val="-248123242"/>
        <w:placeholder>
          <w:docPart w:val="GBC22222222222222222222222222222"/>
        </w:placeholder>
      </w:sdtPr>
      <w:sdtContent>
        <w:sdt>
          <w:sdtPr>
            <w:rPr>
              <w:rFonts w:hint="eastAsia"/>
            </w:rPr>
            <w:alias w:val="报告期内核心竞争力分析"/>
            <w:tag w:val="_GBC_956a57b53cd74344a32f2309bcc5f344"/>
            <w:id w:val="1153107473"/>
            <w:placeholder>
              <w:docPart w:val="AC98D4FFE00646BBB52A12FCFB8CCAFE"/>
            </w:placeholder>
          </w:sdtPr>
          <w:sdtEndPr>
            <w:rPr>
              <w:rFonts w:ascii="宋体" w:hAnsi="宋体"/>
            </w:rPr>
          </w:sdtEndPr>
          <w:sdtContent>
            <w:p>
              <w:pPr>
                <w:pStyle w:val="Style49"/>
                <w:ind w:firstLineChars="200" w:firstLine="420"/>
                <w:rPr>
                  <w:rFonts w:ascii="宋体" w:hAnsi="宋体"/>
                </w:rPr>
              </w:pPr>
              <w:r>
                <w:rPr>
                  <w:rFonts w:ascii="宋体" w:hAnsi="宋体" w:hint="eastAsia"/>
                </w:rPr>
                <w:t>本集团作为国际化大型能源企业，核心竞争力主要体现在以下几个方面：</w:t>
              </w:r>
            </w:p>
            <w:p>
              <w:pPr>
                <w:ind w:firstLineChars="200" w:firstLine="420"/>
                <w:jc w:val="both"/>
                <w:rPr>
                  <w:rFonts w:ascii="宋体" w:hAnsi="宋体"/>
                </w:rPr>
              </w:pPr>
              <w:r>
                <w:rPr>
                  <w:rFonts w:ascii="宋体" w:hAnsi="宋体" w:hint="eastAsia"/>
                </w:rPr>
                <w:t>一是资源储备丰富。本集团拥有山东、内蒙古、新疆、澳大利亚等核心煤炭生产基地，覆盖国内外重要能源基地，形成规模化开发优势。境内矿井中国国家标准资源量528.94亿吨，境外矿井JORC标准原地资源量80.80亿吨，储量规模位居行业前列。煤炭品种涵盖动力煤、喷吹煤和焦煤等，满足市场多元化需求。积极布局多矿种领域，拟建设内蒙古曹四夭钼矿，资源量10.4亿吨。在加拿大拥有6个钾盐采矿权，探明优质氯化钾资源量17亿吨。</w:t>
              </w:r>
            </w:p>
            <w:p>
              <w:pPr>
                <w:ind w:firstLineChars="200" w:firstLine="420"/>
                <w:jc w:val="both"/>
                <w:rPr>
                  <w:rFonts w:ascii="宋体" w:hAnsi="宋体"/>
                </w:rPr>
              </w:pPr>
              <w:r>
                <w:rPr>
                  <w:rFonts w:ascii="宋体" w:hAnsi="宋体" w:hint="eastAsia"/>
                </w:rPr>
                <w:t>二是产业链协同优势。本集团主要产业覆盖矿业、高端化工新材料、高端装备制造、智慧物流、新能源，通过构建完善的产业链条，实现资源高效配置和有效的成本控制，形成抵御市场风险的强大能力。</w:t>
              </w:r>
            </w:p>
            <w:p>
              <w:pPr>
                <w:ind w:firstLineChars="200" w:firstLine="420"/>
                <w:jc w:val="both"/>
                <w:rPr>
                  <w:rFonts w:ascii="宋体" w:hAnsi="宋体"/>
                </w:rPr>
              </w:pPr>
              <w:r>
                <w:rPr>
                  <w:rFonts w:ascii="宋体" w:hAnsi="宋体" w:hint="eastAsia"/>
                </w:rPr>
                <w:t>三是科技研发实力强劲。本集团有国家企业技术中心、院士工作站、国家CNAS认可实验室、博士后科研工作站、博士后创新基地等高层次研发平台，掌握先进的深部矿井开采、智能化综采等核心技术，生产效率和安全水平处于行业前列，“深部煤炭数智化高效开采成套技术与工程应用”项目荣获国家科技进步二等奖。研制应用世界首套8.2米超大采高综采装备；承担科技部重大攻关项目“4000吨级煤气化示范装置”达到国际领先，建成国内首套百万吨级煤间接液化示范装置。</w:t>
              </w:r>
            </w:p>
            <w:p>
              <w:pPr>
                <w:ind w:firstLineChars="200" w:firstLine="420"/>
                <w:jc w:val="both"/>
                <w:rPr>
                  <w:rFonts w:ascii="宋体" w:hAnsi="宋体"/>
                </w:rPr>
              </w:pPr>
              <w:r>
                <w:rPr>
                  <w:rFonts w:ascii="宋体" w:hAnsi="宋体" w:hint="eastAsia"/>
                </w:rPr>
                <w:t>四是国际化发展成效显著。本集团境外资产占比达到</w:t>
              </w:r>
              <w:r>
                <w:rPr>
                  <w:rFonts w:ascii="宋体" w:hAnsi="宋体" w:cs="宋体"/>
                  <w:kern w:val="2"/>
                  <w:szCs w:val="24"/>
                </w:rPr>
                <w:t>17.3</w:t>
              </w:r>
              <w:r>
                <w:rPr>
                  <w:rFonts w:ascii="宋体" w:hAnsi="宋体" w:hint="eastAsia"/>
                </w:rPr>
                <w:t>%，拥有境内外六地上市平台，是中国国际化程度、资本市场利用效率最高的能源上市公司之一。具备丰富的跨国资源并购和管理经验，成功运营澳大利亚、加拿大、德国等海外项目，产品覆盖亚太、欧洲等主流能源市场，建立多元化销售渠道，灵活调配全球供需，实现资源、产品、技术、人才全球化配置。</w:t>
              </w:r>
            </w:p>
          </w:sdtContent>
        </w:sdt>
      </w:sdtContent>
    </w:sdt>
    <w:p>
      <w:pPr>
        <w:rPr>
          <w:rFonts w:asciiTheme="minorEastAsia" w:eastAsiaTheme="minorEastAsia" w:hAnsiTheme="minorEastAsia"/>
        </w:rPr>
      </w:pPr>
    </w:p>
    <w:p>
      <w:pPr>
        <w:pStyle w:val="2"/>
        <w:numPr>
          <w:ilvl w:val="0"/>
          <w:numId w:val="14"/>
        </w:numPr>
        <w:ind w:left="369" w:hangingChars="175" w:hanging="369"/>
      </w:pPr>
      <w:r>
        <w:rPr>
          <w:rFonts w:hint="eastAsia"/>
        </w:rPr>
        <w:t>报告期内主要经营情况</w:t>
      </w:r>
    </w:p>
    <w:bookmarkStart w:id="45" w:name="_Hlk161862095" w:displacedByCustomXml="next"/>
    <w:sdt>
      <w:sdtPr>
        <w:rPr>
          <w:rFonts w:hint="eastAsia"/>
        </w:rPr>
        <w:alias w:val="报告期内主要经营情况"/>
        <w:tag w:val="_GBC_655a1c6ffd2a454085e53e5538e3b2ef"/>
        <w:id w:val="541713848"/>
        <w:placeholder>
          <w:docPart w:val="GBC22222222222222222222222222222"/>
        </w:placeholder>
      </w:sdtPr>
      <w:sdtContent>
        <w:sdt>
          <w:sdtPr>
            <w:rPr>
              <w:rFonts w:ascii="宋体" w:hAnsi="宋体" w:cs="宋体" w:hint="eastAsia"/>
              <w:szCs w:val="24"/>
            </w:rPr>
            <w:alias w:val="报告期内主要经营情况"/>
            <w:tag w:val="_GBC_655a1c6ffd2a454085e53e5538e3b2ef"/>
            <w:id w:val="103160196"/>
            <w:placeholder>
              <w:docPart w:val="3DF7B551C9DD44D2AD8EC67C3C7898A1"/>
            </w:placeholder>
          </w:sdtPr>
          <w:sdtEndPr>
            <w:rPr>
              <w:u w:val="single"/>
            </w:rPr>
          </w:sdtEndPr>
          <w:sdtContent>
            <w:p>
              <w:pPr>
                <w:keepNext/>
                <w:keepLines/>
                <w:widowControl w:val="0"/>
                <w:numPr>
                  <w:ilvl w:val="0"/>
                  <w:numId w:val="15"/>
                </w:numPr>
                <w:spacing w:before="60" w:after="60"/>
                <w:ind w:left="368" w:hangingChars="175" w:hanging="368"/>
                <w:jc w:val="both"/>
                <w:outlineLvl w:val="2"/>
                <w:rPr>
                  <w:rFonts w:ascii="宋体" w:hAnsi="宋体"/>
                  <w:b/>
                  <w:bCs/>
                  <w:kern w:val="2"/>
                </w:rPr>
              </w:pPr>
              <w:r>
                <w:rPr>
                  <w:rFonts w:ascii="宋体" w:hAnsi="宋体" w:hint="eastAsia"/>
                  <w:b/>
                  <w:bCs/>
                  <w:kern w:val="2"/>
                </w:rPr>
                <w:t>各业务分部经营情况</w:t>
              </w:r>
            </w:p>
            <w:p>
              <w:pPr>
                <w:widowControl w:val="0"/>
                <w:jc w:val="both"/>
                <w:rPr>
                  <w:rFonts w:ascii="宋体" w:hAnsi="宋体"/>
                  <w:b/>
                  <w:bCs/>
                  <w:kern w:val="2"/>
                </w:rPr>
              </w:pPr>
              <w:bookmarkStart w:id="46" w:name="_Hlk161862050"/>
              <w:bookmarkEnd w:id="45"/>
              <w:r>
                <w:rPr>
                  <w:rFonts w:ascii="宋体" w:hAnsi="宋体" w:hint="eastAsia"/>
                  <w:b/>
                  <w:bCs/>
                  <w:kern w:val="2"/>
                </w:rPr>
                <w:t>1</w:t>
              </w:r>
              <w:r>
                <w:rPr>
                  <w:rFonts w:ascii="宋体" w:hAnsi="宋体"/>
                  <w:b/>
                  <w:bCs/>
                  <w:kern w:val="2"/>
                </w:rPr>
                <w:t>.</w:t>
              </w:r>
              <w:r>
                <w:rPr>
                  <w:rFonts w:ascii="宋体" w:hAnsi="宋体" w:hint="eastAsia"/>
                  <w:b/>
                  <w:bCs/>
                  <w:kern w:val="2"/>
                </w:rPr>
                <w:t>煤炭业务</w:t>
              </w:r>
            </w:p>
            <w:p>
              <w:pPr>
                <w:widowControl w:val="0"/>
                <w:jc w:val="both"/>
                <w:rPr>
                  <w:rFonts w:ascii="宋体" w:hAnsi="宋体"/>
                  <w:b/>
                  <w:bCs/>
                  <w:kern w:val="2"/>
                </w:rPr>
              </w:pPr>
              <w:r>
                <w:rPr>
                  <w:rFonts w:ascii="宋体" w:hAnsi="宋体" w:hint="eastAsia"/>
                  <w:b/>
                  <w:bCs/>
                  <w:kern w:val="2"/>
                </w:rPr>
                <w:t>（1）煤炭产量</w:t>
              </w:r>
            </w:p>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年本集团生产商品煤</w:t>
              </w:r>
              <w:bookmarkStart w:id="47" w:name="_Hlk224396941"/>
              <w:r>
                <w:rPr>
                  <w:rFonts w:ascii="宋体" w:hAnsi="宋体"/>
                  <w:kern w:val="2"/>
                </w:rPr>
                <w:t>18,240</w:t>
              </w:r>
              <w:r>
                <w:rPr>
                  <w:rFonts w:ascii="宋体" w:hAnsi="宋体" w:hint="eastAsia"/>
                  <w:kern w:val="2"/>
                </w:rPr>
                <w:t>万</w:t>
              </w:r>
              <w:bookmarkEnd w:id="47"/>
              <w:r>
                <w:rPr>
                  <w:rFonts w:ascii="宋体" w:hAnsi="宋体" w:hint="eastAsia"/>
                  <w:kern w:val="2"/>
                </w:rPr>
                <w:t>吨，同比增加</w:t>
              </w:r>
              <w:bookmarkStart w:id="48" w:name="_Hlk224396949"/>
              <w:r>
                <w:rPr>
                  <w:rFonts w:ascii="宋体" w:hAnsi="宋体"/>
                  <w:kern w:val="2"/>
                </w:rPr>
                <w:t>1,078</w:t>
              </w:r>
              <w:bookmarkEnd w:id="48"/>
              <w:r>
                <w:rPr>
                  <w:rFonts w:ascii="宋体" w:hAnsi="宋体" w:hint="eastAsia"/>
                  <w:kern w:val="2"/>
                </w:rPr>
                <w:t>万吨或</w:t>
              </w:r>
              <w:bookmarkStart w:id="49" w:name="_Hlk224396960"/>
              <w:r>
                <w:rPr>
                  <w:rFonts w:ascii="宋体" w:hAnsi="宋体"/>
                  <w:kern w:val="2"/>
                </w:rPr>
                <w:t>6.3</w:t>
              </w:r>
              <w:bookmarkEnd w:id="49"/>
              <w:r>
                <w:rPr>
                  <w:rFonts w:ascii="宋体" w:hAnsi="宋体" w:hint="eastAsia"/>
                  <w:kern w:val="2"/>
                </w:rPr>
                <w:t>%</w:t>
              </w:r>
              <w:bookmarkStart w:id="50" w:name="_Hlk130143476"/>
              <w:r>
                <w:rPr>
                  <w:rFonts w:ascii="宋体" w:hAnsi="宋体" w:hint="eastAsia"/>
                  <w:kern w:val="2"/>
                </w:rPr>
                <w:t>，完成本年度商品煤产量计划的</w:t>
              </w:r>
              <w:bookmarkStart w:id="51" w:name="_Hlk224396965"/>
              <w:r>
                <w:rPr>
                  <w:rFonts w:ascii="宋体" w:hAnsi="宋体"/>
                  <w:kern w:val="2"/>
                </w:rPr>
                <w:t>117.7</w:t>
              </w:r>
              <w:bookmarkEnd w:id="51"/>
              <w:r>
                <w:rPr>
                  <w:rFonts w:ascii="宋体" w:hAnsi="宋体" w:hint="eastAsia"/>
                  <w:kern w:val="2"/>
                </w:rPr>
                <w:t>%。</w:t>
              </w:r>
            </w:p>
            <w:bookmarkEnd w:id="50"/>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年本集团商品煤产量如下表：</w:t>
              </w:r>
            </w:p>
            <w:p>
              <w:pPr>
                <w:widowControl w:val="0"/>
                <w:ind w:right="210"/>
                <w:jc w:val="right"/>
                <w:rPr>
                  <w:rFonts w:ascii="宋体" w:hAnsi="宋体"/>
                  <w:kern w:val="2"/>
                </w:rPr>
              </w:pPr>
              <w:r>
                <w:rPr>
                  <w:rFonts w:ascii="宋体" w:hAnsi="宋体" w:hint="eastAsia"/>
                  <w:kern w:val="2"/>
                </w:rPr>
                <w:t>单位：</w:t>
              </w:r>
              <w:r>
                <w:rPr>
                  <w:rFonts w:ascii="宋体" w:hAnsi="宋体"/>
                  <w:kern w:val="2"/>
                </w:rPr>
                <w:t>千吨</w:t>
              </w:r>
            </w:p>
            <w:tbl>
              <w:tblPr>
                <w:tblStyle w:val="g2"/>
                <w:tblW w:w="8900" w:type="dxa"/>
                <w:tblInd w:w="0" w:type="dxa"/>
                <w:tblCellMar>
                  <w:left w:w="108" w:type="dxa"/>
                  <w:right w:w="108" w:type="dxa"/>
                </w:tblCellMar>
                <w:tblLook w:val="04A0" w:firstRow="1" w:lastRow="0" w:firstColumn="1" w:lastColumn="0" w:noHBand="0" w:noVBand="1"/>
              </w:tblPr>
              <w:tblGrid>
                <w:gridCol w:w="2443"/>
                <w:gridCol w:w="1934"/>
                <w:gridCol w:w="1934"/>
                <w:gridCol w:w="1388"/>
                <w:gridCol w:w="1201"/>
              </w:tblGrid>
              <w:tr>
                <w:trPr>
                  <w:cantSplit/>
                  <w:tblHeader/>
                </w:trPr>
                <w:tc>
                  <w:tcPr>
                    <w:tcW w:w="2443" w:type="dxa"/>
                    <w:tcBorders>
                      <w:top w:val="single" w:sz="4" w:space="0" w:color="auto"/>
                      <w:left w:val="single" w:sz="4" w:space="0" w:color="auto"/>
                      <w:bottom w:val="single" w:sz="4" w:space="0" w:color="auto"/>
                      <w:right w:val="single" w:sz="4" w:space="0" w:color="auto"/>
                    </w:tcBorders>
                  </w:tcPr>
                  <w:p>
                    <w:pPr>
                      <w:jc w:val="center"/>
                      <w:rPr>
                        <w:rFonts w:ascii="宋体" w:hAnsi="宋体"/>
                        <w:kern w:val="2"/>
                      </w:rPr>
                    </w:pPr>
                    <w:r>
                      <w:rPr>
                        <w:rFonts w:ascii="宋体" w:hAnsi="宋体" w:hint="eastAsia"/>
                        <w:kern w:val="2"/>
                      </w:rPr>
                      <w:t>项目</w:t>
                    </w:r>
                  </w:p>
                </w:tc>
                <w:tc>
                  <w:tcPr>
                    <w:tcW w:w="1934" w:type="dxa"/>
                    <w:tcBorders>
                      <w:top w:val="single" w:sz="4" w:space="0" w:color="auto"/>
                      <w:left w:val="nil"/>
                      <w:bottom w:val="single" w:sz="4" w:space="0" w:color="auto"/>
                      <w:right w:val="single" w:sz="4" w:space="0" w:color="auto"/>
                    </w:tcBorders>
                  </w:tcPr>
                  <w:p>
                    <w:pPr>
                      <w:jc w:val="center"/>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w:t>
                    </w:r>
                  </w:p>
                </w:tc>
                <w:tc>
                  <w:tcPr>
                    <w:tcW w:w="1934"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202</w:t>
                    </w:r>
                    <w:r>
                      <w:rPr>
                        <w:rFonts w:ascii="宋体" w:hAnsi="宋体"/>
                        <w:kern w:val="2"/>
                      </w:rPr>
                      <w:t>4</w:t>
                    </w:r>
                    <w:r>
                      <w:rPr>
                        <w:rFonts w:ascii="宋体" w:hAnsi="宋体" w:hint="eastAsia"/>
                        <w:kern w:val="2"/>
                      </w:rPr>
                      <w:t>年</w:t>
                    </w:r>
                  </w:p>
                </w:tc>
                <w:tc>
                  <w:tcPr>
                    <w:tcW w:w="1388" w:type="dxa"/>
                    <w:tcBorders>
                      <w:top w:val="single" w:sz="4" w:space="0" w:color="auto"/>
                      <w:left w:val="nil"/>
                      <w:bottom w:val="single" w:sz="4" w:space="0" w:color="auto"/>
                      <w:right w:val="single" w:sz="4" w:space="0" w:color="auto"/>
                    </w:tcBorders>
                  </w:tcPr>
                  <w:p>
                    <w:pPr>
                      <w:jc w:val="center"/>
                      <w:rPr>
                        <w:rFonts w:ascii="宋体" w:hAnsi="宋体"/>
                        <w:kern w:val="2"/>
                      </w:rPr>
                    </w:pPr>
                    <w:r>
                      <w:rPr>
                        <w:rFonts w:ascii="宋体" w:hAnsi="宋体" w:hint="eastAsia"/>
                        <w:kern w:val="2"/>
                      </w:rPr>
                      <w:t>增减</w:t>
                    </w:r>
                  </w:p>
                </w:tc>
                <w:tc>
                  <w:tcPr>
                    <w:tcW w:w="1201" w:type="dxa"/>
                    <w:tcBorders>
                      <w:top w:val="single" w:sz="4" w:space="0" w:color="auto"/>
                      <w:left w:val="nil"/>
                      <w:bottom w:val="single" w:sz="4" w:space="0" w:color="auto"/>
                      <w:right w:val="single" w:sz="4" w:space="0" w:color="auto"/>
                    </w:tcBorders>
                  </w:tcPr>
                  <w:p>
                    <w:pPr>
                      <w:jc w:val="center"/>
                      <w:rPr>
                        <w:rFonts w:ascii="宋体" w:hAnsi="宋体"/>
                        <w:kern w:val="2"/>
                      </w:rPr>
                    </w:pPr>
                    <w:r>
                      <w:rPr>
                        <w:rFonts w:ascii="宋体" w:hAnsi="宋体" w:hint="eastAsia"/>
                        <w:kern w:val="2"/>
                      </w:rPr>
                      <w:t>增减幅(%</w:t>
                    </w:r>
                    <w:r>
                      <w:rPr>
                        <w:rFonts w:ascii="宋体" w:hAnsi="宋体"/>
                        <w:kern w:val="2"/>
                      </w:rPr>
                      <w:t>)</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一、公司</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20,434</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22,796</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-2,362</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-10.36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二、菏泽能化</w:t>
                    </w:r>
                    <w:r>
                      <w:rPr>
                        <w:rFonts w:ascii="宋体" w:hAnsi="宋体" w:hint="eastAsia"/>
                        <w:kern w:val="2"/>
                        <w:vertAlign w:val="superscript"/>
                      </w:rPr>
                      <w:t>注</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4,172</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1,913</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2,259</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118.05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三、鲁西矿业</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12,922</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12,251</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671</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5.48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四、天池能源</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1,281</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1,199</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6.83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五、西北矿业</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33,813</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29,129</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4,684</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16.08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六、未来能源</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18,002</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17,812</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190</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1.07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七、鄂尔多斯公司</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11,309</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11,230</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78</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0.70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八、昊盛煤业</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8,002</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6,227</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1,775</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28.51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九、内蒙古矿业</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8,067</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6,653</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1,413</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21.24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十、新疆能化</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20,379</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20,117</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261</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1.30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十一、兖煤澳洲</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38,565</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36,937</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1,628</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4.41 </w:t>
                    </w:r>
                  </w:p>
                </w:tc>
              </w:tr>
              <w:tr>
                <w:tc>
                  <w:tcPr>
                    <w:tcW w:w="2443"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十二、兖煤国际</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5,452</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5,357</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95</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1.77 </w:t>
                    </w:r>
                  </w:p>
                </w:tc>
              </w:tr>
              <w:tr>
                <w:tc>
                  <w:tcPr>
                    <w:tcW w:w="244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kern w:val="2"/>
                      </w:rPr>
                    </w:pPr>
                    <w:r>
                      <w:rPr>
                        <w:rFonts w:ascii="宋体" w:hAnsi="宋体" w:hint="eastAsia"/>
                        <w:kern w:val="2"/>
                        <w:lang w:val="en-GB"/>
                      </w:rPr>
                      <w:t>合计</w:t>
                    </w:r>
                  </w:p>
                </w:tc>
                <w:tc>
                  <w:tcPr>
                    <w:tcW w:w="1934" w:type="dxa"/>
                    <w:tcBorders>
                      <w:top w:val="single" w:sz="4" w:space="0" w:color="auto"/>
                      <w:bottom w:val="single" w:sz="4" w:space="0" w:color="auto"/>
                      <w:right w:val="single" w:sz="4" w:space="0" w:color="auto"/>
                    </w:tcBorders>
                    <w:vAlign w:val="center"/>
                  </w:tcPr>
                  <w:p>
                    <w:pPr>
                      <w:jc w:val="right"/>
                      <w:rPr>
                        <w:rFonts w:ascii="宋体" w:hAnsi="宋体"/>
                      </w:rPr>
                    </w:pPr>
                    <w:r>
                      <w:rPr>
                        <w:rFonts w:ascii="宋体" w:hAnsi="宋体"/>
                      </w:rPr>
                      <w:t>182,398</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171,622</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10,776</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6.28 </w:t>
                    </w:r>
                  </w:p>
                </w:tc>
              </w:tr>
            </w:tbl>
            <w:p>
              <w:pPr>
                <w:widowControl w:val="0"/>
                <w:ind w:firstLineChars="200" w:firstLine="420"/>
                <w:jc w:val="both"/>
                <w:rPr>
                  <w:rFonts w:ascii="宋体" w:hAnsi="宋体"/>
                  <w:kern w:val="2"/>
                </w:rPr>
              </w:pPr>
              <w:r>
                <w:rPr>
                  <w:rFonts w:ascii="宋体" w:hAnsi="宋体" w:hint="eastAsia"/>
                  <w:kern w:val="2"/>
                </w:rPr>
                <w:t>注：菏泽能化商品煤产量同比增加，主要是由于：菏泽能化下属万福煤矿投产，商品煤产量同比增加。</w:t>
              </w:r>
            </w:p>
            <w:p>
              <w:pPr>
                <w:rPr>
                  <w:rFonts w:ascii="宋体" w:hAnsi="宋体" w:cs="宋体"/>
                </w:rPr>
              </w:pPr>
            </w:p>
            <w:p>
              <w:pPr>
                <w:widowControl w:val="0"/>
                <w:jc w:val="both"/>
                <w:rPr>
                  <w:rFonts w:ascii="宋体" w:hAnsi="宋体"/>
                  <w:b/>
                  <w:bCs/>
                  <w:kern w:val="2"/>
                </w:rPr>
              </w:pPr>
              <w:r>
                <w:rPr>
                  <w:rFonts w:ascii="宋体" w:hAnsi="宋体" w:hint="eastAsia"/>
                  <w:b/>
                  <w:bCs/>
                  <w:kern w:val="2"/>
                </w:rPr>
                <w:t>(2)煤炭价格与销售</w:t>
              </w:r>
            </w:p>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年本集团销售煤炭</w:t>
              </w:r>
              <w:bookmarkStart w:id="52" w:name="_Hlk224396861"/>
              <w:r>
                <w:rPr>
                  <w:rFonts w:ascii="宋体" w:hAnsi="宋体"/>
                  <w:kern w:val="2"/>
                </w:rPr>
                <w:t>17,123</w:t>
              </w:r>
              <w:bookmarkEnd w:id="52"/>
              <w:r>
                <w:rPr>
                  <w:rFonts w:ascii="宋体" w:hAnsi="宋体" w:hint="eastAsia"/>
                  <w:kern w:val="2"/>
                </w:rPr>
                <w:t>万吨，同比增加</w:t>
              </w:r>
              <w:bookmarkStart w:id="53" w:name="_Hlk224396867"/>
              <w:r>
                <w:rPr>
                  <w:rFonts w:ascii="宋体" w:hAnsi="宋体"/>
                  <w:kern w:val="2"/>
                </w:rPr>
                <w:t>618</w:t>
              </w:r>
              <w:bookmarkEnd w:id="53"/>
              <w:r>
                <w:rPr>
                  <w:rFonts w:ascii="宋体" w:hAnsi="宋体" w:hint="eastAsia"/>
                  <w:kern w:val="2"/>
                </w:rPr>
                <w:t>万吨或</w:t>
              </w:r>
              <w:bookmarkStart w:id="54" w:name="_Hlk224396875"/>
              <w:r>
                <w:rPr>
                  <w:rFonts w:ascii="宋体" w:hAnsi="宋体"/>
                  <w:kern w:val="2"/>
                </w:rPr>
                <w:t>3.7</w:t>
              </w:r>
              <w:bookmarkEnd w:id="54"/>
              <w:r>
                <w:rPr>
                  <w:rFonts w:ascii="宋体" w:hAnsi="宋体"/>
                  <w:kern w:val="2"/>
                </w:rPr>
                <w:t>%</w:t>
              </w:r>
              <w:r>
                <w:rPr>
                  <w:rFonts w:ascii="宋体" w:hAnsi="宋体" w:hint="eastAsia"/>
                  <w:kern w:val="2"/>
                </w:rPr>
                <w:t>。</w:t>
              </w:r>
            </w:p>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年本集团实现煤炭业务销售收入</w:t>
              </w:r>
              <w:bookmarkStart w:id="55" w:name="_Hlk224396882"/>
              <w:r>
                <w:rPr>
                  <w:rFonts w:ascii="宋体" w:hAnsi="宋体"/>
                  <w:kern w:val="2"/>
                </w:rPr>
                <w:t>886.66</w:t>
              </w:r>
              <w:bookmarkEnd w:id="55"/>
              <w:r>
                <w:rPr>
                  <w:rFonts w:ascii="宋体" w:hAnsi="宋体" w:hint="eastAsia"/>
                  <w:kern w:val="2"/>
                </w:rPr>
                <w:t>亿元，同比减少</w:t>
              </w:r>
              <w:bookmarkStart w:id="56" w:name="_Hlk224396890"/>
              <w:r>
                <w:rPr>
                  <w:rFonts w:ascii="宋体" w:hAnsi="宋体"/>
                  <w:kern w:val="2"/>
                </w:rPr>
                <w:t>184.57</w:t>
              </w:r>
              <w:bookmarkEnd w:id="56"/>
              <w:r>
                <w:rPr>
                  <w:rFonts w:ascii="宋体" w:hAnsi="宋体" w:hint="eastAsia"/>
                  <w:kern w:val="2"/>
                </w:rPr>
                <w:t>亿元或</w:t>
              </w:r>
              <w:bookmarkStart w:id="57" w:name="_Hlk224396896"/>
              <w:r>
                <w:rPr>
                  <w:rFonts w:ascii="宋体" w:hAnsi="宋体"/>
                  <w:kern w:val="2"/>
                </w:rPr>
                <w:t>17.2</w:t>
              </w:r>
              <w:bookmarkEnd w:id="57"/>
              <w:r>
                <w:rPr>
                  <w:rFonts w:ascii="宋体" w:hAnsi="宋体" w:hint="eastAsia"/>
                  <w:kern w:val="2"/>
                </w:rPr>
                <w:t>%</w:t>
              </w:r>
              <w:bookmarkStart w:id="58" w:name="_Hlk161763334"/>
              <w:r>
                <w:rPr>
                  <w:rFonts w:ascii="宋体" w:hAnsi="宋体" w:hint="eastAsia"/>
                  <w:kern w:val="2"/>
                </w:rPr>
                <w:t>。</w:t>
              </w:r>
              <w:bookmarkEnd w:id="58"/>
            </w:p>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年本集团分煤种产、销情况如下表：</w:t>
              </w:r>
            </w:p>
            <w:tbl>
              <w:tblPr>
                <w:tblStyle w:val="g2"/>
                <w:tblW w:w="10632" w:type="dxa"/>
                <w:jc w:val="center"/>
                <w:tblInd w:w="0" w:type="dxa"/>
                <w:tblLayout w:type="fixed"/>
                <w:tblCellMar>
                  <w:left w:w="57" w:type="dxa"/>
                  <w:right w:w="57" w:type="dxa"/>
                </w:tblCellMar>
                <w:tblLook w:val="04A0" w:firstRow="1" w:lastRow="0" w:firstColumn="1" w:lastColumn="0" w:noHBand="0" w:noVBand="1"/>
              </w:tblPr>
              <w:tblGrid>
                <w:gridCol w:w="1838"/>
                <w:gridCol w:w="998"/>
                <w:gridCol w:w="992"/>
                <w:gridCol w:w="1134"/>
                <w:gridCol w:w="1276"/>
                <w:gridCol w:w="992"/>
                <w:gridCol w:w="992"/>
                <w:gridCol w:w="1134"/>
                <w:gridCol w:w="1276"/>
              </w:tblGrid>
              <w:tr>
                <w:trPr>
                  <w:trHeight w:val="312"/>
                  <w:tblHeader/>
                  <w:jc w:val="center"/>
                </w:trPr>
                <w:tc>
                  <w:tcPr>
                    <w:tcW w:w="1838" w:type="dxa"/>
                    <w:vMerge w:val="restart"/>
                    <w:vAlign w:val="center"/>
                  </w:tcPr>
                  <w:p>
                    <w:pPr>
                      <w:rPr>
                        <w:rFonts w:ascii="宋体" w:hAnsi="宋体"/>
                        <w:kern w:val="2"/>
                      </w:rPr>
                    </w:pPr>
                    <w:bookmarkStart w:id="59" w:name="_Hlk2602699"/>
                    <w:bookmarkEnd w:id="59"/>
                  </w:p>
                </w:tc>
                <w:tc>
                  <w:tcPr>
                    <w:tcW w:w="4400" w:type="dxa"/>
                    <w:gridSpan w:val="4"/>
                    <w:vAlign w:val="center"/>
                  </w:tcPr>
                  <w:p>
                    <w:pPr>
                      <w:jc w:val="center"/>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w:t>
                    </w:r>
                  </w:p>
                </w:tc>
                <w:tc>
                  <w:tcPr>
                    <w:tcW w:w="4394" w:type="dxa"/>
                    <w:gridSpan w:val="4"/>
                    <w:vAlign w:val="center"/>
                  </w:tcPr>
                  <w:p>
                    <w:pPr>
                      <w:jc w:val="center"/>
                      <w:rPr>
                        <w:rFonts w:ascii="宋体" w:hAnsi="宋体"/>
                        <w:kern w:val="2"/>
                      </w:rPr>
                    </w:pPr>
                    <w:r>
                      <w:rPr>
                        <w:rFonts w:ascii="宋体" w:hAnsi="宋体" w:hint="eastAsia"/>
                        <w:kern w:val="2"/>
                      </w:rPr>
                      <w:t>202</w:t>
                    </w:r>
                    <w:r>
                      <w:rPr>
                        <w:rFonts w:ascii="宋体" w:hAnsi="宋体"/>
                        <w:kern w:val="2"/>
                      </w:rPr>
                      <w:t>4</w:t>
                    </w:r>
                    <w:r>
                      <w:rPr>
                        <w:rFonts w:ascii="宋体" w:hAnsi="宋体" w:hint="eastAsia"/>
                        <w:kern w:val="2"/>
                      </w:rPr>
                      <w:t>年</w:t>
                    </w:r>
                  </w:p>
                </w:tc>
              </w:tr>
              <w:tr>
                <w:trPr>
                  <w:trHeight w:val="312"/>
                  <w:tblHeader/>
                  <w:jc w:val="center"/>
                </w:trPr>
                <w:tc>
                  <w:tcPr>
                    <w:tcW w:w="1838" w:type="dxa"/>
                    <w:vMerge/>
                    <w:vAlign w:val="center"/>
                  </w:tcPr>
                  <w:p>
                    <w:pPr>
                      <w:rPr>
                        <w:rFonts w:ascii="宋体" w:hAnsi="宋体"/>
                        <w:kern w:val="2"/>
                      </w:rPr>
                    </w:pPr>
                  </w:p>
                </w:tc>
                <w:tc>
                  <w:tcPr>
                    <w:tcW w:w="998" w:type="dxa"/>
                    <w:vAlign w:val="center"/>
                  </w:tcPr>
                  <w:p>
                    <w:pPr>
                      <w:jc w:val="center"/>
                      <w:rPr>
                        <w:rFonts w:ascii="宋体" w:hAnsi="宋体"/>
                        <w:kern w:val="2"/>
                      </w:rPr>
                    </w:pPr>
                    <w:r>
                      <w:rPr>
                        <w:rFonts w:ascii="宋体" w:hAnsi="宋体" w:hint="eastAsia"/>
                        <w:kern w:val="2"/>
                      </w:rPr>
                      <w:t>产量</w:t>
                    </w:r>
                  </w:p>
                </w:tc>
                <w:tc>
                  <w:tcPr>
                    <w:tcW w:w="992" w:type="dxa"/>
                    <w:vAlign w:val="center"/>
                  </w:tcPr>
                  <w:p>
                    <w:pPr>
                      <w:jc w:val="center"/>
                      <w:rPr>
                        <w:rFonts w:ascii="宋体" w:hAnsi="宋体"/>
                        <w:kern w:val="2"/>
                      </w:rPr>
                    </w:pPr>
                    <w:r>
                      <w:rPr>
                        <w:rFonts w:ascii="宋体" w:hAnsi="宋体" w:hint="eastAsia"/>
                        <w:kern w:val="2"/>
                      </w:rPr>
                      <w:t>销量</w:t>
                    </w:r>
                  </w:p>
                </w:tc>
                <w:tc>
                  <w:tcPr>
                    <w:tcW w:w="1134" w:type="dxa"/>
                    <w:vAlign w:val="center"/>
                  </w:tcPr>
                  <w:p>
                    <w:pPr>
                      <w:jc w:val="center"/>
                      <w:rPr>
                        <w:rFonts w:ascii="宋体" w:hAnsi="宋体"/>
                        <w:kern w:val="2"/>
                      </w:rPr>
                    </w:pPr>
                    <w:r>
                      <w:rPr>
                        <w:rFonts w:ascii="宋体" w:hAnsi="宋体" w:hint="eastAsia"/>
                        <w:kern w:val="2"/>
                      </w:rPr>
                      <w:t>销售价格</w:t>
                    </w:r>
                  </w:p>
                </w:tc>
                <w:tc>
                  <w:tcPr>
                    <w:tcW w:w="1276" w:type="dxa"/>
                    <w:vAlign w:val="center"/>
                  </w:tcPr>
                  <w:p>
                    <w:pPr>
                      <w:jc w:val="center"/>
                      <w:rPr>
                        <w:rFonts w:ascii="宋体" w:hAnsi="宋体"/>
                        <w:kern w:val="2"/>
                      </w:rPr>
                    </w:pPr>
                    <w:r>
                      <w:rPr>
                        <w:rFonts w:ascii="宋体" w:hAnsi="宋体" w:hint="eastAsia"/>
                        <w:kern w:val="2"/>
                      </w:rPr>
                      <w:t>销售收入</w:t>
                    </w:r>
                  </w:p>
                </w:tc>
                <w:tc>
                  <w:tcPr>
                    <w:tcW w:w="992" w:type="dxa"/>
                    <w:vAlign w:val="center"/>
                  </w:tcPr>
                  <w:p>
                    <w:pPr>
                      <w:jc w:val="center"/>
                      <w:rPr>
                        <w:rFonts w:ascii="宋体" w:hAnsi="宋体"/>
                        <w:kern w:val="2"/>
                      </w:rPr>
                    </w:pPr>
                    <w:r>
                      <w:rPr>
                        <w:rFonts w:ascii="宋体" w:hAnsi="宋体" w:hint="eastAsia"/>
                        <w:kern w:val="2"/>
                      </w:rPr>
                      <w:t>产量</w:t>
                    </w:r>
                  </w:p>
                </w:tc>
                <w:tc>
                  <w:tcPr>
                    <w:tcW w:w="992" w:type="dxa"/>
                    <w:vAlign w:val="center"/>
                  </w:tcPr>
                  <w:p>
                    <w:pPr>
                      <w:jc w:val="center"/>
                      <w:rPr>
                        <w:rFonts w:ascii="宋体" w:hAnsi="宋体"/>
                        <w:kern w:val="2"/>
                      </w:rPr>
                    </w:pPr>
                    <w:r>
                      <w:rPr>
                        <w:rFonts w:ascii="宋体" w:hAnsi="宋体" w:hint="eastAsia"/>
                        <w:kern w:val="2"/>
                      </w:rPr>
                      <w:t>销量</w:t>
                    </w:r>
                  </w:p>
                </w:tc>
                <w:tc>
                  <w:tcPr>
                    <w:tcW w:w="1134" w:type="dxa"/>
                    <w:vAlign w:val="center"/>
                  </w:tcPr>
                  <w:p>
                    <w:pPr>
                      <w:jc w:val="center"/>
                      <w:rPr>
                        <w:rFonts w:ascii="宋体" w:hAnsi="宋体"/>
                        <w:kern w:val="2"/>
                      </w:rPr>
                    </w:pPr>
                    <w:r>
                      <w:rPr>
                        <w:rFonts w:ascii="宋体" w:hAnsi="宋体" w:hint="eastAsia"/>
                        <w:kern w:val="2"/>
                      </w:rPr>
                      <w:t>销售价格</w:t>
                    </w:r>
                  </w:p>
                </w:tc>
                <w:tc>
                  <w:tcPr>
                    <w:tcW w:w="1276" w:type="dxa"/>
                    <w:vAlign w:val="center"/>
                  </w:tcPr>
                  <w:p>
                    <w:pPr>
                      <w:jc w:val="center"/>
                      <w:rPr>
                        <w:rFonts w:ascii="宋体" w:hAnsi="宋体"/>
                        <w:kern w:val="2"/>
                      </w:rPr>
                    </w:pPr>
                    <w:r>
                      <w:rPr>
                        <w:rFonts w:ascii="宋体" w:hAnsi="宋体" w:hint="eastAsia"/>
                        <w:kern w:val="2"/>
                      </w:rPr>
                      <w:t>销售收入</w:t>
                    </w:r>
                  </w:p>
                </w:tc>
              </w:tr>
              <w:tr>
                <w:trPr>
                  <w:trHeight w:val="312"/>
                  <w:tblHeader/>
                  <w:jc w:val="center"/>
                </w:trPr>
                <w:tc>
                  <w:tcPr>
                    <w:tcW w:w="1838" w:type="dxa"/>
                    <w:vMerge/>
                    <w:vAlign w:val="center"/>
                  </w:tcPr>
                  <w:p>
                    <w:pPr>
                      <w:rPr>
                        <w:rFonts w:ascii="宋体" w:hAnsi="宋体"/>
                        <w:kern w:val="2"/>
                      </w:rPr>
                    </w:pPr>
                  </w:p>
                </w:tc>
                <w:tc>
                  <w:tcPr>
                    <w:tcW w:w="998" w:type="dxa"/>
                    <w:vAlign w:val="center"/>
                  </w:tcPr>
                  <w:p>
                    <w:pPr>
                      <w:jc w:val="center"/>
                      <w:rPr>
                        <w:rFonts w:ascii="宋体" w:hAnsi="宋体"/>
                        <w:kern w:val="2"/>
                      </w:rPr>
                    </w:pPr>
                    <w:r>
                      <w:rPr>
                        <w:rFonts w:ascii="宋体" w:hAnsi="宋体" w:hint="eastAsia"/>
                        <w:kern w:val="2"/>
                      </w:rPr>
                      <w:t>（千吨）</w:t>
                    </w:r>
                  </w:p>
                </w:tc>
                <w:tc>
                  <w:tcPr>
                    <w:tcW w:w="992" w:type="dxa"/>
                    <w:vAlign w:val="center"/>
                  </w:tcPr>
                  <w:p>
                    <w:pPr>
                      <w:jc w:val="center"/>
                      <w:rPr>
                        <w:rFonts w:ascii="宋体" w:hAnsi="宋体"/>
                        <w:kern w:val="2"/>
                      </w:rPr>
                    </w:pPr>
                    <w:r>
                      <w:rPr>
                        <w:rFonts w:ascii="宋体" w:hAnsi="宋体" w:hint="eastAsia"/>
                        <w:kern w:val="2"/>
                      </w:rPr>
                      <w:t>（千吨）</w:t>
                    </w:r>
                  </w:p>
                </w:tc>
                <w:tc>
                  <w:tcPr>
                    <w:tcW w:w="1134" w:type="dxa"/>
                    <w:vAlign w:val="center"/>
                  </w:tcPr>
                  <w:p>
                    <w:pPr>
                      <w:jc w:val="center"/>
                      <w:rPr>
                        <w:rFonts w:ascii="宋体" w:hAnsi="宋体"/>
                        <w:kern w:val="2"/>
                      </w:rPr>
                    </w:pPr>
                    <w:r>
                      <w:rPr>
                        <w:rFonts w:ascii="宋体" w:hAnsi="宋体" w:hint="eastAsia"/>
                        <w:kern w:val="2"/>
                      </w:rPr>
                      <w:t>（元/吨）</w:t>
                    </w:r>
                  </w:p>
                </w:tc>
                <w:tc>
                  <w:tcPr>
                    <w:tcW w:w="1276" w:type="dxa"/>
                    <w:vAlign w:val="center"/>
                  </w:tcPr>
                  <w:p>
                    <w:pPr>
                      <w:jc w:val="center"/>
                      <w:rPr>
                        <w:rFonts w:ascii="宋体" w:hAnsi="宋体"/>
                        <w:kern w:val="2"/>
                      </w:rPr>
                    </w:pPr>
                    <w:r>
                      <w:rPr>
                        <w:rFonts w:ascii="宋体" w:hAnsi="宋体" w:hint="eastAsia"/>
                        <w:kern w:val="2"/>
                      </w:rPr>
                      <w:t>（百万元）</w:t>
                    </w:r>
                  </w:p>
                </w:tc>
                <w:tc>
                  <w:tcPr>
                    <w:tcW w:w="992" w:type="dxa"/>
                    <w:vAlign w:val="center"/>
                  </w:tcPr>
                  <w:p>
                    <w:pPr>
                      <w:jc w:val="center"/>
                      <w:rPr>
                        <w:rFonts w:ascii="宋体" w:hAnsi="宋体"/>
                        <w:kern w:val="2"/>
                      </w:rPr>
                    </w:pPr>
                    <w:r>
                      <w:rPr>
                        <w:rFonts w:ascii="宋体" w:hAnsi="宋体" w:hint="eastAsia"/>
                        <w:kern w:val="2"/>
                      </w:rPr>
                      <w:t>（千吨）</w:t>
                    </w:r>
                  </w:p>
                </w:tc>
                <w:tc>
                  <w:tcPr>
                    <w:tcW w:w="992" w:type="dxa"/>
                    <w:vAlign w:val="center"/>
                  </w:tcPr>
                  <w:p>
                    <w:pPr>
                      <w:jc w:val="center"/>
                      <w:rPr>
                        <w:rFonts w:ascii="宋体" w:hAnsi="宋体"/>
                        <w:kern w:val="2"/>
                      </w:rPr>
                    </w:pPr>
                    <w:r>
                      <w:rPr>
                        <w:rFonts w:ascii="宋体" w:hAnsi="宋体" w:hint="eastAsia"/>
                        <w:kern w:val="2"/>
                      </w:rPr>
                      <w:t>（千吨）</w:t>
                    </w:r>
                  </w:p>
                </w:tc>
                <w:tc>
                  <w:tcPr>
                    <w:tcW w:w="1134" w:type="dxa"/>
                    <w:vAlign w:val="center"/>
                  </w:tcPr>
                  <w:p>
                    <w:pPr>
                      <w:jc w:val="center"/>
                      <w:rPr>
                        <w:rFonts w:ascii="宋体" w:hAnsi="宋体"/>
                        <w:kern w:val="2"/>
                      </w:rPr>
                    </w:pPr>
                    <w:r>
                      <w:rPr>
                        <w:rFonts w:ascii="宋体" w:hAnsi="宋体" w:hint="eastAsia"/>
                        <w:kern w:val="2"/>
                      </w:rPr>
                      <w:t>（元/吨）</w:t>
                    </w:r>
                  </w:p>
                </w:tc>
                <w:tc>
                  <w:tcPr>
                    <w:tcW w:w="1276" w:type="dxa"/>
                    <w:vAlign w:val="center"/>
                  </w:tcPr>
                  <w:p>
                    <w:pPr>
                      <w:jc w:val="center"/>
                      <w:rPr>
                        <w:rFonts w:ascii="宋体" w:hAnsi="宋体"/>
                        <w:kern w:val="2"/>
                      </w:rPr>
                    </w:pPr>
                    <w:r>
                      <w:rPr>
                        <w:rFonts w:ascii="宋体" w:hAnsi="宋体" w:hint="eastAsia"/>
                        <w:kern w:val="2"/>
                      </w:rPr>
                      <w:t>（百万元）</w:t>
                    </w:r>
                  </w:p>
                </w:tc>
              </w:tr>
              <w:tr>
                <w:trPr>
                  <w:trHeight w:val="312"/>
                  <w:jc w:val="center"/>
                </w:trPr>
                <w:tc>
                  <w:tcPr>
                    <w:tcW w:w="1838" w:type="dxa"/>
                    <w:vAlign w:val="center"/>
                  </w:tcPr>
                  <w:p>
                    <w:pPr>
                      <w:rPr>
                        <w:rFonts w:ascii="宋体" w:hAnsi="宋体"/>
                        <w:kern w:val="2"/>
                      </w:rPr>
                    </w:pPr>
                    <w:r>
                      <w:rPr>
                        <w:rFonts w:ascii="宋体" w:hAnsi="宋体" w:hint="eastAsia"/>
                        <w:kern w:val="2"/>
                      </w:rPr>
                      <w:t>一、公司</w:t>
                    </w:r>
                  </w:p>
                </w:tc>
                <w:tc>
                  <w:tcPr>
                    <w:tcW w:w="998" w:type="dxa"/>
                    <w:vAlign w:val="center"/>
                  </w:tcPr>
                  <w:p>
                    <w:pPr>
                      <w:jc w:val="right"/>
                      <w:rPr>
                        <w:rFonts w:ascii="宋体" w:hAnsi="宋体" w:cs="宋体"/>
                      </w:rPr>
                    </w:pPr>
                    <w:r>
                      <w:rPr>
                        <w:rFonts w:ascii="宋体" w:hAnsi="宋体" w:cs="宋体"/>
                      </w:rPr>
                      <w:t>20,434</w:t>
                    </w:r>
                  </w:p>
                </w:tc>
                <w:tc>
                  <w:tcPr>
                    <w:tcW w:w="992" w:type="dxa"/>
                    <w:vAlign w:val="center"/>
                  </w:tcPr>
                  <w:p>
                    <w:pPr>
                      <w:jc w:val="right"/>
                      <w:rPr>
                        <w:rFonts w:ascii="宋体" w:hAnsi="宋体" w:cs="宋体"/>
                      </w:rPr>
                    </w:pPr>
                    <w:r>
                      <w:rPr>
                        <w:rFonts w:ascii="宋体" w:hAnsi="宋体" w:cs="宋体"/>
                      </w:rPr>
                      <w:t>18,950</w:t>
                    </w:r>
                  </w:p>
                </w:tc>
                <w:tc>
                  <w:tcPr>
                    <w:tcW w:w="1134" w:type="dxa"/>
                    <w:vAlign w:val="center"/>
                  </w:tcPr>
                  <w:p>
                    <w:pPr>
                      <w:jc w:val="right"/>
                      <w:rPr>
                        <w:rFonts w:ascii="宋体" w:hAnsi="宋体" w:cs="宋体"/>
                      </w:rPr>
                    </w:pPr>
                    <w:r>
                      <w:rPr>
                        <w:rFonts w:ascii="宋体" w:hAnsi="宋体" w:cs="宋体"/>
                      </w:rPr>
                      <w:t xml:space="preserve">595.03 </w:t>
                    </w:r>
                  </w:p>
                </w:tc>
                <w:tc>
                  <w:tcPr>
                    <w:tcW w:w="1276" w:type="dxa"/>
                    <w:vAlign w:val="center"/>
                  </w:tcPr>
                  <w:p>
                    <w:pPr>
                      <w:jc w:val="right"/>
                      <w:rPr>
                        <w:rFonts w:ascii="宋体" w:hAnsi="宋体" w:cs="宋体"/>
                      </w:rPr>
                    </w:pPr>
                    <w:r>
                      <w:rPr>
                        <w:rFonts w:ascii="宋体" w:hAnsi="宋体" w:cs="宋体"/>
                      </w:rPr>
                      <w:t>11,276</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22,796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21,614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774.78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16,746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1号精煤</w:t>
                    </w:r>
                  </w:p>
                </w:tc>
                <w:tc>
                  <w:tcPr>
                    <w:tcW w:w="998" w:type="dxa"/>
                    <w:vAlign w:val="center"/>
                  </w:tcPr>
                  <w:p>
                    <w:pPr>
                      <w:jc w:val="right"/>
                      <w:rPr>
                        <w:rFonts w:ascii="宋体" w:hAnsi="宋体" w:cs="宋体"/>
                      </w:rPr>
                    </w:pPr>
                    <w:r>
                      <w:rPr>
                        <w:rFonts w:ascii="宋体" w:hAnsi="宋体" w:cs="宋体"/>
                      </w:rPr>
                      <w:t>16</w:t>
                    </w:r>
                  </w:p>
                </w:tc>
                <w:tc>
                  <w:tcPr>
                    <w:tcW w:w="992" w:type="dxa"/>
                    <w:vAlign w:val="center"/>
                  </w:tcPr>
                  <w:p>
                    <w:pPr>
                      <w:jc w:val="right"/>
                      <w:rPr>
                        <w:rFonts w:ascii="宋体" w:hAnsi="宋体" w:cs="宋体"/>
                      </w:rPr>
                    </w:pPr>
                    <w:r>
                      <w:rPr>
                        <w:rFonts w:ascii="宋体" w:hAnsi="宋体" w:cs="宋体"/>
                      </w:rPr>
                      <w:t>20</w:t>
                    </w:r>
                  </w:p>
                </w:tc>
                <w:tc>
                  <w:tcPr>
                    <w:tcW w:w="1134" w:type="dxa"/>
                    <w:vAlign w:val="center"/>
                  </w:tcPr>
                  <w:p>
                    <w:pPr>
                      <w:jc w:val="right"/>
                      <w:rPr>
                        <w:rFonts w:ascii="宋体" w:hAnsi="宋体" w:cs="宋体"/>
                      </w:rPr>
                    </w:pPr>
                    <w:r>
                      <w:rPr>
                        <w:rFonts w:ascii="宋体" w:hAnsi="宋体" w:cs="宋体"/>
                      </w:rPr>
                      <w:t xml:space="preserve">1,037.15 </w:t>
                    </w:r>
                  </w:p>
                </w:tc>
                <w:tc>
                  <w:tcPr>
                    <w:tcW w:w="1276" w:type="dxa"/>
                    <w:vAlign w:val="center"/>
                  </w:tcPr>
                  <w:p>
                    <w:pPr>
                      <w:jc w:val="right"/>
                      <w:rPr>
                        <w:rFonts w:ascii="宋体" w:hAnsi="宋体" w:cs="宋体"/>
                      </w:rPr>
                    </w:pPr>
                    <w:r>
                      <w:rPr>
                        <w:rFonts w:ascii="宋体" w:hAnsi="宋体" w:cs="宋体"/>
                      </w:rPr>
                      <w:t>20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356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357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1,193.83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426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2号精煤</w:t>
                    </w:r>
                  </w:p>
                </w:tc>
                <w:tc>
                  <w:tcPr>
                    <w:tcW w:w="998" w:type="dxa"/>
                    <w:vAlign w:val="center"/>
                  </w:tcPr>
                  <w:p>
                    <w:pPr>
                      <w:jc w:val="right"/>
                      <w:rPr>
                        <w:rFonts w:ascii="宋体" w:hAnsi="宋体" w:cs="宋体"/>
                      </w:rPr>
                    </w:pPr>
                    <w:r>
                      <w:rPr>
                        <w:rFonts w:ascii="宋体" w:hAnsi="宋体" w:cs="宋体"/>
                      </w:rPr>
                      <w:t>4,991</w:t>
                    </w:r>
                  </w:p>
                </w:tc>
                <w:tc>
                  <w:tcPr>
                    <w:tcW w:w="992" w:type="dxa"/>
                    <w:vAlign w:val="center"/>
                  </w:tcPr>
                  <w:p>
                    <w:pPr>
                      <w:jc w:val="right"/>
                      <w:rPr>
                        <w:rFonts w:ascii="宋体" w:hAnsi="宋体" w:cs="宋体"/>
                      </w:rPr>
                    </w:pPr>
                    <w:r>
                      <w:rPr>
                        <w:rFonts w:ascii="宋体" w:hAnsi="宋体" w:cs="宋体"/>
                      </w:rPr>
                      <w:t>4,923</w:t>
                    </w:r>
                  </w:p>
                </w:tc>
                <w:tc>
                  <w:tcPr>
                    <w:tcW w:w="1134" w:type="dxa"/>
                    <w:vAlign w:val="center"/>
                  </w:tcPr>
                  <w:p>
                    <w:pPr>
                      <w:jc w:val="right"/>
                      <w:rPr>
                        <w:rFonts w:ascii="宋体" w:hAnsi="宋体" w:cs="宋体"/>
                      </w:rPr>
                    </w:pPr>
                    <w:r>
                      <w:rPr>
                        <w:rFonts w:ascii="宋体" w:hAnsi="宋体" w:cs="宋体"/>
                      </w:rPr>
                      <w:t xml:space="preserve">840.96 </w:t>
                    </w:r>
                  </w:p>
                </w:tc>
                <w:tc>
                  <w:tcPr>
                    <w:tcW w:w="1276" w:type="dxa"/>
                    <w:vAlign w:val="center"/>
                  </w:tcPr>
                  <w:p>
                    <w:pPr>
                      <w:jc w:val="right"/>
                      <w:rPr>
                        <w:rFonts w:ascii="宋体" w:hAnsi="宋体" w:cs="宋体"/>
                      </w:rPr>
                    </w:pPr>
                    <w:r>
                      <w:rPr>
                        <w:rFonts w:ascii="宋体" w:hAnsi="宋体" w:cs="宋体"/>
                      </w:rPr>
                      <w:t>4,140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6,113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6,417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1,140.73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7,320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3号精煤</w:t>
                    </w:r>
                  </w:p>
                </w:tc>
                <w:tc>
                  <w:tcPr>
                    <w:tcW w:w="998" w:type="dxa"/>
                    <w:vAlign w:val="center"/>
                  </w:tcPr>
                  <w:p>
                    <w:pPr>
                      <w:jc w:val="right"/>
                      <w:rPr>
                        <w:rFonts w:ascii="宋体" w:hAnsi="宋体" w:cs="宋体"/>
                      </w:rPr>
                    </w:pPr>
                    <w:r>
                      <w:rPr>
                        <w:rFonts w:ascii="宋体" w:hAnsi="宋体" w:cs="宋体"/>
                      </w:rPr>
                      <w:t>3,993</w:t>
                    </w:r>
                  </w:p>
                </w:tc>
                <w:tc>
                  <w:tcPr>
                    <w:tcW w:w="992" w:type="dxa"/>
                    <w:vAlign w:val="center"/>
                  </w:tcPr>
                  <w:p>
                    <w:pPr>
                      <w:jc w:val="right"/>
                      <w:rPr>
                        <w:rFonts w:ascii="宋体" w:hAnsi="宋体" w:cs="宋体"/>
                      </w:rPr>
                    </w:pPr>
                    <w:r>
                      <w:rPr>
                        <w:rFonts w:ascii="宋体" w:hAnsi="宋体" w:cs="宋体"/>
                      </w:rPr>
                      <w:t>4,061</w:t>
                    </w:r>
                  </w:p>
                </w:tc>
                <w:tc>
                  <w:tcPr>
                    <w:tcW w:w="1134" w:type="dxa"/>
                    <w:vAlign w:val="center"/>
                  </w:tcPr>
                  <w:p>
                    <w:pPr>
                      <w:jc w:val="right"/>
                      <w:rPr>
                        <w:rFonts w:ascii="宋体" w:hAnsi="宋体" w:cs="宋体"/>
                      </w:rPr>
                    </w:pPr>
                    <w:r>
                      <w:rPr>
                        <w:rFonts w:ascii="宋体" w:hAnsi="宋体" w:cs="宋体"/>
                      </w:rPr>
                      <w:t xml:space="preserve">717.62 </w:t>
                    </w:r>
                  </w:p>
                </w:tc>
                <w:tc>
                  <w:tcPr>
                    <w:tcW w:w="1276" w:type="dxa"/>
                    <w:vAlign w:val="center"/>
                  </w:tcPr>
                  <w:p>
                    <w:pPr>
                      <w:jc w:val="right"/>
                      <w:rPr>
                        <w:rFonts w:ascii="宋体" w:hAnsi="宋体" w:cs="宋体"/>
                      </w:rPr>
                    </w:pPr>
                    <w:r>
                      <w:rPr>
                        <w:rFonts w:ascii="宋体" w:hAnsi="宋体" w:cs="宋体"/>
                      </w:rPr>
                      <w:t>2,914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3,779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3,812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959.54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3,658 </w:t>
                    </w:r>
                  </w:p>
                </w:tc>
              </w:tr>
              <w:tr>
                <w:trPr>
                  <w:trHeight w:val="312"/>
                  <w:jc w:val="center"/>
                </w:trPr>
                <w:tc>
                  <w:tcPr>
                    <w:tcW w:w="1838" w:type="dxa"/>
                    <w:vAlign w:val="center"/>
                  </w:tcPr>
                  <w:p>
                    <w:pPr>
                      <w:ind w:firstLineChars="100" w:firstLine="210"/>
                      <w:rPr>
                        <w:rFonts w:ascii="宋体" w:hAnsi="宋体"/>
                        <w:kern w:val="2"/>
                      </w:rPr>
                    </w:pPr>
                    <w:r>
                      <w:rPr>
                        <w:rFonts w:ascii="宋体" w:hAnsi="宋体" w:hint="eastAsia"/>
                        <w:kern w:val="2"/>
                      </w:rPr>
                      <w:t>精煤小计</w:t>
                    </w:r>
                  </w:p>
                </w:tc>
                <w:tc>
                  <w:tcPr>
                    <w:tcW w:w="998" w:type="dxa"/>
                    <w:vAlign w:val="center"/>
                  </w:tcPr>
                  <w:p>
                    <w:pPr>
                      <w:jc w:val="right"/>
                      <w:rPr>
                        <w:rFonts w:ascii="宋体" w:hAnsi="宋体" w:cs="宋体"/>
                      </w:rPr>
                    </w:pPr>
                    <w:r>
                      <w:rPr>
                        <w:rFonts w:ascii="宋体" w:hAnsi="宋体" w:cs="宋体"/>
                      </w:rPr>
                      <w:t>9,000</w:t>
                    </w:r>
                  </w:p>
                </w:tc>
                <w:tc>
                  <w:tcPr>
                    <w:tcW w:w="992" w:type="dxa"/>
                    <w:vAlign w:val="center"/>
                  </w:tcPr>
                  <w:p>
                    <w:pPr>
                      <w:jc w:val="right"/>
                      <w:rPr>
                        <w:rFonts w:ascii="宋体" w:hAnsi="宋体" w:cs="宋体"/>
                      </w:rPr>
                    </w:pPr>
                    <w:r>
                      <w:rPr>
                        <w:rFonts w:ascii="宋体" w:hAnsi="宋体" w:cs="宋体"/>
                      </w:rPr>
                      <w:t>9,003</w:t>
                    </w:r>
                  </w:p>
                </w:tc>
                <w:tc>
                  <w:tcPr>
                    <w:tcW w:w="1134" w:type="dxa"/>
                    <w:vAlign w:val="center"/>
                  </w:tcPr>
                  <w:p>
                    <w:pPr>
                      <w:jc w:val="right"/>
                      <w:rPr>
                        <w:rFonts w:ascii="宋体" w:hAnsi="宋体" w:cs="宋体"/>
                      </w:rPr>
                    </w:pPr>
                    <w:r>
                      <w:rPr>
                        <w:rFonts w:ascii="宋体" w:hAnsi="宋体" w:cs="宋体"/>
                      </w:rPr>
                      <w:t xml:space="preserve">785.76 </w:t>
                    </w:r>
                  </w:p>
                </w:tc>
                <w:tc>
                  <w:tcPr>
                    <w:tcW w:w="1276" w:type="dxa"/>
                    <w:vAlign w:val="center"/>
                  </w:tcPr>
                  <w:p>
                    <w:pPr>
                      <w:jc w:val="right"/>
                      <w:rPr>
                        <w:rFonts w:ascii="宋体" w:hAnsi="宋体" w:cs="宋体"/>
                      </w:rPr>
                    </w:pPr>
                    <w:r>
                      <w:rPr>
                        <w:rFonts w:ascii="宋体" w:hAnsi="宋体" w:cs="宋体"/>
                      </w:rPr>
                      <w:t>7,074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10,248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10,586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1,077.27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11,404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经筛选原煤</w:t>
                    </w:r>
                  </w:p>
                </w:tc>
                <w:tc>
                  <w:tcPr>
                    <w:tcW w:w="998" w:type="dxa"/>
                    <w:vAlign w:val="center"/>
                  </w:tcPr>
                  <w:p>
                    <w:pPr>
                      <w:jc w:val="right"/>
                      <w:rPr>
                        <w:rFonts w:ascii="宋体" w:hAnsi="宋体" w:cs="宋体"/>
                      </w:rPr>
                    </w:pPr>
                    <w:r>
                      <w:rPr>
                        <w:rFonts w:ascii="宋体" w:hAnsi="宋体" w:cs="宋体"/>
                      </w:rPr>
                      <w:t>11,434</w:t>
                    </w:r>
                  </w:p>
                </w:tc>
                <w:tc>
                  <w:tcPr>
                    <w:tcW w:w="992" w:type="dxa"/>
                    <w:vAlign w:val="center"/>
                  </w:tcPr>
                  <w:p>
                    <w:pPr>
                      <w:jc w:val="right"/>
                      <w:rPr>
                        <w:rFonts w:ascii="宋体" w:hAnsi="宋体" w:cs="宋体"/>
                      </w:rPr>
                    </w:pPr>
                    <w:r>
                      <w:rPr>
                        <w:rFonts w:ascii="宋体" w:hAnsi="宋体" w:cs="宋体"/>
                      </w:rPr>
                      <w:t>9,947</w:t>
                    </w:r>
                  </w:p>
                </w:tc>
                <w:tc>
                  <w:tcPr>
                    <w:tcW w:w="1134" w:type="dxa"/>
                    <w:vAlign w:val="center"/>
                  </w:tcPr>
                  <w:p>
                    <w:pPr>
                      <w:jc w:val="right"/>
                      <w:rPr>
                        <w:rFonts w:ascii="宋体" w:hAnsi="宋体" w:cs="宋体"/>
                      </w:rPr>
                    </w:pPr>
                    <w:r>
                      <w:rPr>
                        <w:rFonts w:ascii="宋体" w:hAnsi="宋体" w:cs="宋体"/>
                      </w:rPr>
                      <w:t xml:space="preserve">422.40 </w:t>
                    </w:r>
                  </w:p>
                </w:tc>
                <w:tc>
                  <w:tcPr>
                    <w:tcW w:w="1276" w:type="dxa"/>
                    <w:vAlign w:val="center"/>
                  </w:tcPr>
                  <w:p>
                    <w:pPr>
                      <w:jc w:val="right"/>
                      <w:rPr>
                        <w:rFonts w:ascii="宋体" w:hAnsi="宋体" w:cs="宋体"/>
                      </w:rPr>
                    </w:pPr>
                    <w:r>
                      <w:rPr>
                        <w:rFonts w:ascii="宋体" w:hAnsi="宋体" w:cs="宋体"/>
                      </w:rPr>
                      <w:t>4,202</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12,547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11,028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484.41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5,342 </w:t>
                    </w:r>
                  </w:p>
                </w:tc>
              </w:tr>
              <w:tr>
                <w:trPr>
                  <w:trHeight w:val="312"/>
                  <w:jc w:val="center"/>
                </w:trPr>
                <w:tc>
                  <w:tcPr>
                    <w:tcW w:w="1838" w:type="dxa"/>
                    <w:vAlign w:val="center"/>
                  </w:tcPr>
                  <w:p>
                    <w:pPr>
                      <w:rPr>
                        <w:rFonts w:ascii="宋体" w:hAnsi="宋体"/>
                        <w:kern w:val="2"/>
                      </w:rPr>
                    </w:pPr>
                    <w:r>
                      <w:rPr>
                        <w:rFonts w:ascii="宋体" w:hAnsi="宋体" w:hint="eastAsia"/>
                        <w:kern w:val="2"/>
                      </w:rPr>
                      <w:t>二、菏泽能化</w:t>
                    </w:r>
                  </w:p>
                </w:tc>
                <w:tc>
                  <w:tcPr>
                    <w:tcW w:w="998" w:type="dxa"/>
                    <w:vAlign w:val="center"/>
                  </w:tcPr>
                  <w:p>
                    <w:pPr>
                      <w:jc w:val="right"/>
                      <w:rPr>
                        <w:rFonts w:ascii="宋体" w:hAnsi="宋体" w:cs="宋体"/>
                      </w:rPr>
                    </w:pPr>
                    <w:r>
                      <w:rPr>
                        <w:rFonts w:ascii="宋体" w:hAnsi="宋体" w:cs="宋体"/>
                      </w:rPr>
                      <w:t>4,172</w:t>
                    </w:r>
                  </w:p>
                </w:tc>
                <w:tc>
                  <w:tcPr>
                    <w:tcW w:w="992" w:type="dxa"/>
                    <w:vAlign w:val="center"/>
                  </w:tcPr>
                  <w:p>
                    <w:pPr>
                      <w:jc w:val="right"/>
                      <w:rPr>
                        <w:rFonts w:ascii="宋体" w:hAnsi="宋体" w:cs="宋体"/>
                      </w:rPr>
                    </w:pPr>
                    <w:r>
                      <w:rPr>
                        <w:rFonts w:ascii="宋体" w:hAnsi="宋体" w:cs="宋体"/>
                      </w:rPr>
                      <w:t>3,884</w:t>
                    </w:r>
                  </w:p>
                </w:tc>
                <w:tc>
                  <w:tcPr>
                    <w:tcW w:w="1134" w:type="dxa"/>
                    <w:vAlign w:val="center"/>
                  </w:tcPr>
                  <w:p>
                    <w:pPr>
                      <w:jc w:val="right"/>
                      <w:rPr>
                        <w:rFonts w:ascii="宋体" w:hAnsi="宋体" w:cs="宋体"/>
                      </w:rPr>
                    </w:pPr>
                    <w:r>
                      <w:rPr>
                        <w:rFonts w:ascii="宋体" w:hAnsi="宋体" w:cs="宋体"/>
                      </w:rPr>
                      <w:t xml:space="preserve">972.83 </w:t>
                    </w:r>
                  </w:p>
                </w:tc>
                <w:tc>
                  <w:tcPr>
                    <w:tcW w:w="1276" w:type="dxa"/>
                    <w:vAlign w:val="center"/>
                  </w:tcPr>
                  <w:p>
                    <w:pPr>
                      <w:jc w:val="right"/>
                      <w:rPr>
                        <w:rFonts w:ascii="宋体" w:hAnsi="宋体" w:cs="宋体"/>
                      </w:rPr>
                    </w:pPr>
                    <w:r>
                      <w:rPr>
                        <w:rFonts w:ascii="宋体" w:hAnsi="宋体" w:cs="宋体"/>
                      </w:rPr>
                      <w:t>3,778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1,913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1,269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1,363.55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1,731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2号精煤</w:t>
                    </w:r>
                  </w:p>
                </w:tc>
                <w:tc>
                  <w:tcPr>
                    <w:tcW w:w="998" w:type="dxa"/>
                    <w:vAlign w:val="center"/>
                  </w:tcPr>
                  <w:p>
                    <w:pPr>
                      <w:jc w:val="right"/>
                      <w:rPr>
                        <w:rFonts w:ascii="宋体" w:hAnsi="宋体" w:cs="宋体"/>
                      </w:rPr>
                    </w:pPr>
                    <w:r>
                      <w:rPr>
                        <w:rFonts w:ascii="宋体" w:hAnsi="宋体" w:cs="宋体"/>
                      </w:rPr>
                      <w:t>3,367</w:t>
                    </w:r>
                  </w:p>
                </w:tc>
                <w:tc>
                  <w:tcPr>
                    <w:tcW w:w="992" w:type="dxa"/>
                    <w:vAlign w:val="center"/>
                  </w:tcPr>
                  <w:p>
                    <w:pPr>
                      <w:jc w:val="right"/>
                      <w:rPr>
                        <w:rFonts w:ascii="宋体" w:hAnsi="宋体" w:cs="宋体"/>
                      </w:rPr>
                    </w:pPr>
                    <w:r>
                      <w:rPr>
                        <w:rFonts w:ascii="宋体" w:hAnsi="宋体" w:cs="宋体"/>
                      </w:rPr>
                      <w:t>3,356</w:t>
                    </w:r>
                  </w:p>
                </w:tc>
                <w:tc>
                  <w:tcPr>
                    <w:tcW w:w="1134" w:type="dxa"/>
                    <w:vAlign w:val="center"/>
                  </w:tcPr>
                  <w:p>
                    <w:pPr>
                      <w:jc w:val="right"/>
                      <w:rPr>
                        <w:rFonts w:ascii="宋体" w:hAnsi="宋体" w:cs="宋体"/>
                      </w:rPr>
                    </w:pPr>
                    <w:r>
                      <w:rPr>
                        <w:rFonts w:ascii="宋体" w:hAnsi="宋体" w:cs="宋体"/>
                      </w:rPr>
                      <w:t xml:space="preserve">1,026.05 </w:t>
                    </w:r>
                  </w:p>
                </w:tc>
                <w:tc>
                  <w:tcPr>
                    <w:tcW w:w="1276" w:type="dxa"/>
                    <w:vAlign w:val="center"/>
                  </w:tcPr>
                  <w:p>
                    <w:pPr>
                      <w:jc w:val="right"/>
                      <w:rPr>
                        <w:rFonts w:ascii="宋体" w:hAnsi="宋体" w:cs="宋体"/>
                      </w:rPr>
                    </w:pPr>
                    <w:r>
                      <w:rPr>
                        <w:rFonts w:ascii="宋体" w:hAnsi="宋体" w:cs="宋体"/>
                      </w:rPr>
                      <w:t>3,443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1,524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1,217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1,403.59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1,708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3号精煤</w:t>
                    </w:r>
                  </w:p>
                </w:tc>
                <w:tc>
                  <w:tcPr>
                    <w:tcW w:w="998" w:type="dxa"/>
                    <w:vAlign w:val="center"/>
                  </w:tcPr>
                  <w:p>
                    <w:pPr>
                      <w:jc w:val="right"/>
                      <w:rPr>
                        <w:rFonts w:ascii="宋体" w:hAnsi="宋体" w:cs="宋体"/>
                      </w:rPr>
                    </w:pPr>
                    <w:r>
                      <w:rPr>
                        <w:rFonts w:ascii="宋体" w:hAnsi="宋体" w:cs="宋体"/>
                      </w:rPr>
                      <w:t>60</w:t>
                    </w:r>
                  </w:p>
                </w:tc>
                <w:tc>
                  <w:tcPr>
                    <w:tcW w:w="992" w:type="dxa"/>
                    <w:vAlign w:val="center"/>
                  </w:tcPr>
                  <w:p>
                    <w:pPr>
                      <w:jc w:val="right"/>
                      <w:rPr>
                        <w:rFonts w:ascii="宋体" w:hAnsi="宋体" w:cs="宋体"/>
                      </w:rPr>
                    </w:pPr>
                    <w:r>
                      <w:rPr>
                        <w:rFonts w:ascii="宋体" w:hAnsi="宋体" w:cs="宋体"/>
                      </w:rPr>
                      <w:t>232</w:t>
                    </w:r>
                  </w:p>
                </w:tc>
                <w:tc>
                  <w:tcPr>
                    <w:tcW w:w="1134" w:type="dxa"/>
                    <w:vAlign w:val="center"/>
                  </w:tcPr>
                  <w:p>
                    <w:pPr>
                      <w:jc w:val="right"/>
                      <w:rPr>
                        <w:rFonts w:ascii="宋体" w:hAnsi="宋体" w:cs="宋体"/>
                      </w:rPr>
                    </w:pPr>
                    <w:r>
                      <w:rPr>
                        <w:rFonts w:ascii="宋体" w:hAnsi="宋体" w:cs="宋体"/>
                      </w:rPr>
                      <w:t xml:space="preserve">908.07 </w:t>
                    </w:r>
                  </w:p>
                </w:tc>
                <w:tc>
                  <w:tcPr>
                    <w:tcW w:w="1276" w:type="dxa"/>
                    <w:vAlign w:val="center"/>
                  </w:tcPr>
                  <w:p>
                    <w:pPr>
                      <w:jc w:val="right"/>
                      <w:rPr>
                        <w:rFonts w:ascii="宋体" w:hAnsi="宋体" w:cs="宋体"/>
                      </w:rPr>
                    </w:pPr>
                    <w:r>
                      <w:rPr>
                        <w:rFonts w:ascii="宋体" w:hAnsi="宋体" w:cs="宋体"/>
                      </w:rPr>
                      <w:t>210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hint="eastAsia"/>
                      </w:rPr>
                      <w:t>-</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经筛选原煤</w:t>
                    </w:r>
                  </w:p>
                </w:tc>
                <w:tc>
                  <w:tcPr>
                    <w:tcW w:w="998" w:type="dxa"/>
                    <w:vAlign w:val="center"/>
                  </w:tcPr>
                  <w:p>
                    <w:pPr>
                      <w:jc w:val="right"/>
                      <w:rPr>
                        <w:rFonts w:ascii="宋体" w:hAnsi="宋体" w:cs="宋体"/>
                      </w:rPr>
                    </w:pPr>
                    <w:r>
                      <w:rPr>
                        <w:rFonts w:ascii="宋体" w:hAnsi="宋体" w:cs="宋体"/>
                      </w:rPr>
                      <w:t>745</w:t>
                    </w:r>
                  </w:p>
                </w:tc>
                <w:tc>
                  <w:tcPr>
                    <w:tcW w:w="992" w:type="dxa"/>
                    <w:vAlign w:val="center"/>
                  </w:tcPr>
                  <w:p>
                    <w:pPr>
                      <w:jc w:val="right"/>
                      <w:rPr>
                        <w:rFonts w:ascii="宋体" w:hAnsi="宋体" w:cs="宋体"/>
                      </w:rPr>
                    </w:pPr>
                    <w:r>
                      <w:rPr>
                        <w:rFonts w:ascii="宋体" w:hAnsi="宋体" w:cs="宋体"/>
                      </w:rPr>
                      <w:t>296</w:t>
                    </w:r>
                  </w:p>
                </w:tc>
                <w:tc>
                  <w:tcPr>
                    <w:tcW w:w="1134" w:type="dxa"/>
                    <w:vAlign w:val="center"/>
                  </w:tcPr>
                  <w:p>
                    <w:pPr>
                      <w:jc w:val="right"/>
                      <w:rPr>
                        <w:rFonts w:ascii="宋体" w:hAnsi="宋体" w:cs="宋体"/>
                      </w:rPr>
                    </w:pPr>
                    <w:r>
                      <w:rPr>
                        <w:rFonts w:ascii="宋体" w:hAnsi="宋体" w:cs="宋体"/>
                      </w:rPr>
                      <w:t xml:space="preserve">420.84 </w:t>
                    </w:r>
                  </w:p>
                </w:tc>
                <w:tc>
                  <w:tcPr>
                    <w:tcW w:w="1276" w:type="dxa"/>
                    <w:vAlign w:val="center"/>
                  </w:tcPr>
                  <w:p>
                    <w:pPr>
                      <w:jc w:val="right"/>
                      <w:rPr>
                        <w:rFonts w:ascii="宋体" w:hAnsi="宋体" w:cs="宋体"/>
                      </w:rPr>
                    </w:pPr>
                    <w:r>
                      <w:rPr>
                        <w:rFonts w:ascii="宋体" w:hAnsi="宋体" w:cs="宋体"/>
                      </w:rPr>
                      <w:t>125</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389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441.34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23 </w:t>
                    </w:r>
                  </w:p>
                </w:tc>
              </w:tr>
              <w:tr>
                <w:trPr>
                  <w:trHeight w:val="312"/>
                  <w:jc w:val="center"/>
                </w:trPr>
                <w:tc>
                  <w:tcPr>
                    <w:tcW w:w="1838" w:type="dxa"/>
                    <w:vAlign w:val="center"/>
                  </w:tcPr>
                  <w:p>
                    <w:pPr>
                      <w:rPr>
                        <w:rFonts w:ascii="宋体" w:hAnsi="宋体"/>
                        <w:kern w:val="2"/>
                      </w:rPr>
                    </w:pPr>
                    <w:r>
                      <w:rPr>
                        <w:rFonts w:ascii="宋体" w:hAnsi="宋体" w:hint="eastAsia"/>
                        <w:kern w:val="2"/>
                      </w:rPr>
                      <w:t>三、鲁西矿业</w:t>
                    </w:r>
                  </w:p>
                </w:tc>
                <w:tc>
                  <w:tcPr>
                    <w:tcW w:w="998" w:type="dxa"/>
                    <w:vAlign w:val="center"/>
                  </w:tcPr>
                  <w:p>
                    <w:pPr>
                      <w:jc w:val="right"/>
                      <w:rPr>
                        <w:rFonts w:ascii="宋体" w:hAnsi="宋体" w:cs="宋体"/>
                      </w:rPr>
                    </w:pPr>
                    <w:r>
                      <w:rPr>
                        <w:rFonts w:ascii="宋体" w:hAnsi="宋体" w:cs="宋体"/>
                      </w:rPr>
                      <w:t>12,922</w:t>
                    </w:r>
                  </w:p>
                </w:tc>
                <w:tc>
                  <w:tcPr>
                    <w:tcW w:w="992" w:type="dxa"/>
                    <w:vAlign w:val="center"/>
                  </w:tcPr>
                  <w:p>
                    <w:pPr>
                      <w:jc w:val="right"/>
                      <w:rPr>
                        <w:rFonts w:ascii="宋体" w:hAnsi="宋体" w:cs="宋体"/>
                      </w:rPr>
                    </w:pPr>
                    <w:r>
                      <w:rPr>
                        <w:rFonts w:ascii="宋体" w:hAnsi="宋体" w:cs="宋体"/>
                      </w:rPr>
                      <w:t>13,780</w:t>
                    </w:r>
                  </w:p>
                </w:tc>
                <w:tc>
                  <w:tcPr>
                    <w:tcW w:w="1134" w:type="dxa"/>
                    <w:vAlign w:val="center"/>
                  </w:tcPr>
                  <w:p>
                    <w:pPr>
                      <w:jc w:val="right"/>
                      <w:rPr>
                        <w:rFonts w:ascii="宋体" w:hAnsi="宋体" w:cs="宋体"/>
                      </w:rPr>
                    </w:pPr>
                    <w:r>
                      <w:rPr>
                        <w:rFonts w:ascii="宋体" w:hAnsi="宋体" w:cs="宋体"/>
                      </w:rPr>
                      <w:t xml:space="preserve">787.13 </w:t>
                    </w:r>
                  </w:p>
                </w:tc>
                <w:tc>
                  <w:tcPr>
                    <w:tcW w:w="1276" w:type="dxa"/>
                    <w:vAlign w:val="center"/>
                  </w:tcPr>
                  <w:p>
                    <w:pPr>
                      <w:jc w:val="right"/>
                      <w:rPr>
                        <w:rFonts w:ascii="宋体" w:hAnsi="宋体" w:cs="宋体"/>
                      </w:rPr>
                    </w:pPr>
                    <w:r>
                      <w:rPr>
                        <w:rFonts w:ascii="宋体" w:hAnsi="宋体" w:cs="宋体"/>
                      </w:rPr>
                      <w:t>10,846</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12,251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11,639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1,075.37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12,516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洗精煤</w:t>
                    </w:r>
                  </w:p>
                </w:tc>
                <w:tc>
                  <w:tcPr>
                    <w:tcW w:w="998" w:type="dxa"/>
                    <w:vAlign w:val="center"/>
                  </w:tcPr>
                  <w:p>
                    <w:pPr>
                      <w:jc w:val="right"/>
                      <w:rPr>
                        <w:rFonts w:ascii="宋体" w:hAnsi="宋体" w:cs="宋体"/>
                      </w:rPr>
                    </w:pPr>
                    <w:r>
                      <w:rPr>
                        <w:rFonts w:ascii="宋体" w:hAnsi="宋体" w:cs="宋体"/>
                      </w:rPr>
                      <w:t>9,071</w:t>
                    </w:r>
                  </w:p>
                </w:tc>
                <w:tc>
                  <w:tcPr>
                    <w:tcW w:w="992" w:type="dxa"/>
                    <w:vAlign w:val="center"/>
                  </w:tcPr>
                  <w:p>
                    <w:pPr>
                      <w:jc w:val="right"/>
                      <w:rPr>
                        <w:rFonts w:ascii="宋体" w:hAnsi="宋体" w:cs="宋体"/>
                      </w:rPr>
                    </w:pPr>
                    <w:r>
                      <w:rPr>
                        <w:rFonts w:ascii="宋体" w:hAnsi="宋体" w:cs="宋体"/>
                      </w:rPr>
                      <w:t>9,852</w:t>
                    </w:r>
                  </w:p>
                </w:tc>
                <w:tc>
                  <w:tcPr>
                    <w:tcW w:w="1134" w:type="dxa"/>
                    <w:vAlign w:val="center"/>
                  </w:tcPr>
                  <w:p>
                    <w:pPr>
                      <w:jc w:val="right"/>
                      <w:rPr>
                        <w:rFonts w:ascii="宋体" w:hAnsi="宋体" w:cs="宋体"/>
                      </w:rPr>
                    </w:pPr>
                    <w:r>
                      <w:rPr>
                        <w:rFonts w:ascii="宋体" w:hAnsi="宋体" w:cs="宋体"/>
                      </w:rPr>
                      <w:t xml:space="preserve">942.66 </w:t>
                    </w:r>
                  </w:p>
                </w:tc>
                <w:tc>
                  <w:tcPr>
                    <w:tcW w:w="1276" w:type="dxa"/>
                    <w:vAlign w:val="center"/>
                  </w:tcPr>
                  <w:p>
                    <w:pPr>
                      <w:jc w:val="right"/>
                      <w:rPr>
                        <w:rFonts w:ascii="宋体" w:hAnsi="宋体" w:cs="宋体"/>
                      </w:rPr>
                    </w:pPr>
                    <w:r>
                      <w:rPr>
                        <w:rFonts w:ascii="宋体" w:hAnsi="宋体" w:cs="宋体"/>
                      </w:rPr>
                      <w:t>9,287</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9,033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8,077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1,379.16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11,139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洗混煤</w:t>
                    </w:r>
                  </w:p>
                </w:tc>
                <w:tc>
                  <w:tcPr>
                    <w:tcW w:w="998" w:type="dxa"/>
                    <w:vAlign w:val="center"/>
                  </w:tcPr>
                  <w:p>
                    <w:pPr>
                      <w:jc w:val="right"/>
                      <w:rPr>
                        <w:rFonts w:ascii="宋体" w:hAnsi="宋体" w:cs="宋体"/>
                      </w:rPr>
                    </w:pPr>
                    <w:r>
                      <w:rPr>
                        <w:rFonts w:ascii="宋体" w:hAnsi="宋体" w:cs="宋体"/>
                      </w:rPr>
                      <w:t>3,852</w:t>
                    </w:r>
                  </w:p>
                </w:tc>
                <w:tc>
                  <w:tcPr>
                    <w:tcW w:w="992" w:type="dxa"/>
                    <w:vAlign w:val="center"/>
                  </w:tcPr>
                  <w:p>
                    <w:pPr>
                      <w:jc w:val="right"/>
                      <w:rPr>
                        <w:rFonts w:ascii="宋体" w:hAnsi="宋体" w:cs="宋体"/>
                      </w:rPr>
                    </w:pPr>
                    <w:r>
                      <w:rPr>
                        <w:rFonts w:ascii="宋体" w:hAnsi="宋体" w:cs="宋体"/>
                      </w:rPr>
                      <w:t>3,928</w:t>
                    </w:r>
                  </w:p>
                </w:tc>
                <w:tc>
                  <w:tcPr>
                    <w:tcW w:w="1134" w:type="dxa"/>
                    <w:vAlign w:val="center"/>
                  </w:tcPr>
                  <w:p>
                    <w:pPr>
                      <w:jc w:val="right"/>
                      <w:rPr>
                        <w:rFonts w:ascii="宋体" w:hAnsi="宋体" w:cs="宋体"/>
                      </w:rPr>
                    </w:pPr>
                    <w:r>
                      <w:rPr>
                        <w:rFonts w:ascii="宋体" w:hAnsi="宋体" w:cs="宋体"/>
                      </w:rPr>
                      <w:t xml:space="preserve">396.97 </w:t>
                    </w:r>
                  </w:p>
                </w:tc>
                <w:tc>
                  <w:tcPr>
                    <w:tcW w:w="1276" w:type="dxa"/>
                    <w:vAlign w:val="center"/>
                  </w:tcPr>
                  <w:p>
                    <w:pPr>
                      <w:jc w:val="right"/>
                      <w:rPr>
                        <w:rFonts w:ascii="宋体" w:hAnsi="宋体" w:cs="宋体"/>
                      </w:rPr>
                    </w:pPr>
                    <w:r>
                      <w:rPr>
                        <w:rFonts w:ascii="宋体" w:hAnsi="宋体" w:cs="宋体"/>
                      </w:rPr>
                      <w:t>1,559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3,218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3,562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386.60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1,377 </w:t>
                    </w:r>
                  </w:p>
                </w:tc>
              </w:tr>
              <w:tr>
                <w:trPr>
                  <w:trHeight w:val="312"/>
                  <w:jc w:val="center"/>
                </w:trPr>
                <w:tc>
                  <w:tcPr>
                    <w:tcW w:w="1838" w:type="dxa"/>
                    <w:vAlign w:val="center"/>
                  </w:tcPr>
                  <w:p>
                    <w:pPr>
                      <w:rPr>
                        <w:rFonts w:ascii="宋体" w:hAnsi="宋体"/>
                        <w:kern w:val="2"/>
                      </w:rPr>
                    </w:pPr>
                    <w:r>
                      <w:rPr>
                        <w:rFonts w:ascii="宋体" w:hAnsi="宋体" w:hint="eastAsia"/>
                        <w:kern w:val="2"/>
                      </w:rPr>
                      <w:t>四、天池能源</w:t>
                    </w:r>
                  </w:p>
                </w:tc>
                <w:tc>
                  <w:tcPr>
                    <w:tcW w:w="998" w:type="dxa"/>
                    <w:vAlign w:val="center"/>
                  </w:tcPr>
                  <w:p>
                    <w:pPr>
                      <w:jc w:val="right"/>
                      <w:rPr>
                        <w:rFonts w:ascii="宋体" w:hAnsi="宋体" w:cs="宋体"/>
                      </w:rPr>
                    </w:pPr>
                    <w:r>
                      <w:rPr>
                        <w:rFonts w:ascii="宋体" w:hAnsi="宋体" w:cs="宋体"/>
                      </w:rPr>
                      <w:t>1,281</w:t>
                    </w:r>
                  </w:p>
                </w:tc>
                <w:tc>
                  <w:tcPr>
                    <w:tcW w:w="992" w:type="dxa"/>
                    <w:vAlign w:val="center"/>
                  </w:tcPr>
                  <w:p>
                    <w:pPr>
                      <w:jc w:val="right"/>
                      <w:rPr>
                        <w:rFonts w:ascii="宋体" w:hAnsi="宋体" w:cs="宋体"/>
                      </w:rPr>
                    </w:pPr>
                    <w:r>
                      <w:rPr>
                        <w:rFonts w:ascii="宋体" w:hAnsi="宋体" w:cs="宋体"/>
                      </w:rPr>
                      <w:t>1,274</w:t>
                    </w:r>
                  </w:p>
                </w:tc>
                <w:tc>
                  <w:tcPr>
                    <w:tcW w:w="1134" w:type="dxa"/>
                    <w:vAlign w:val="center"/>
                  </w:tcPr>
                  <w:p>
                    <w:pPr>
                      <w:jc w:val="right"/>
                      <w:rPr>
                        <w:rFonts w:ascii="宋体" w:hAnsi="宋体" w:cs="宋体"/>
                      </w:rPr>
                    </w:pPr>
                    <w:r>
                      <w:rPr>
                        <w:rFonts w:ascii="宋体" w:hAnsi="宋体" w:cs="宋体"/>
                      </w:rPr>
                      <w:t xml:space="preserve">380.16 </w:t>
                    </w:r>
                  </w:p>
                </w:tc>
                <w:tc>
                  <w:tcPr>
                    <w:tcW w:w="1276" w:type="dxa"/>
                    <w:vAlign w:val="center"/>
                  </w:tcPr>
                  <w:p>
                    <w:pPr>
                      <w:jc w:val="right"/>
                      <w:rPr>
                        <w:rFonts w:ascii="宋体" w:hAnsi="宋体" w:cs="宋体"/>
                      </w:rPr>
                    </w:pPr>
                    <w:r>
                      <w:rPr>
                        <w:rFonts w:ascii="宋体" w:hAnsi="宋体" w:cs="宋体"/>
                      </w:rPr>
                      <w:t>484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1,199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1,228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532.82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654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经筛选原煤</w:t>
                    </w:r>
                  </w:p>
                </w:tc>
                <w:tc>
                  <w:tcPr>
                    <w:tcW w:w="998" w:type="dxa"/>
                    <w:vAlign w:val="center"/>
                  </w:tcPr>
                  <w:p>
                    <w:pPr>
                      <w:jc w:val="right"/>
                      <w:rPr>
                        <w:rFonts w:ascii="宋体" w:hAnsi="宋体" w:cs="宋体"/>
                      </w:rPr>
                    </w:pPr>
                    <w:r>
                      <w:rPr>
                        <w:rFonts w:ascii="宋体" w:hAnsi="宋体" w:cs="宋体"/>
                      </w:rPr>
                      <w:t>1,281</w:t>
                    </w:r>
                  </w:p>
                </w:tc>
                <w:tc>
                  <w:tcPr>
                    <w:tcW w:w="992" w:type="dxa"/>
                    <w:vAlign w:val="center"/>
                  </w:tcPr>
                  <w:p>
                    <w:pPr>
                      <w:jc w:val="right"/>
                      <w:rPr>
                        <w:rFonts w:ascii="宋体" w:hAnsi="宋体" w:cs="宋体"/>
                      </w:rPr>
                    </w:pPr>
                    <w:r>
                      <w:rPr>
                        <w:rFonts w:ascii="宋体" w:hAnsi="宋体" w:cs="宋体"/>
                      </w:rPr>
                      <w:t>1,274</w:t>
                    </w:r>
                  </w:p>
                </w:tc>
                <w:tc>
                  <w:tcPr>
                    <w:tcW w:w="1134" w:type="dxa"/>
                    <w:vAlign w:val="center"/>
                  </w:tcPr>
                  <w:p>
                    <w:pPr>
                      <w:jc w:val="right"/>
                      <w:rPr>
                        <w:rFonts w:ascii="宋体" w:hAnsi="宋体" w:cs="宋体"/>
                      </w:rPr>
                    </w:pPr>
                    <w:r>
                      <w:rPr>
                        <w:rFonts w:ascii="宋体" w:hAnsi="宋体" w:cs="宋体"/>
                      </w:rPr>
                      <w:t xml:space="preserve">380.16 </w:t>
                    </w:r>
                  </w:p>
                </w:tc>
                <w:tc>
                  <w:tcPr>
                    <w:tcW w:w="1276" w:type="dxa"/>
                    <w:vAlign w:val="center"/>
                  </w:tcPr>
                  <w:p>
                    <w:pPr>
                      <w:jc w:val="right"/>
                      <w:rPr>
                        <w:rFonts w:ascii="宋体" w:hAnsi="宋体" w:cs="宋体"/>
                      </w:rPr>
                    </w:pPr>
                    <w:r>
                      <w:rPr>
                        <w:rFonts w:ascii="宋体" w:hAnsi="宋体" w:cs="宋体"/>
                      </w:rPr>
                      <w:t>484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1,199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1,228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532.82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654 </w:t>
                    </w:r>
                  </w:p>
                </w:tc>
              </w:tr>
              <w:tr>
                <w:trPr>
                  <w:trHeight w:val="312"/>
                  <w:jc w:val="center"/>
                </w:trPr>
                <w:tc>
                  <w:tcPr>
                    <w:tcW w:w="1838" w:type="dxa"/>
                    <w:vAlign w:val="center"/>
                  </w:tcPr>
                  <w:p>
                    <w:pPr>
                      <w:rPr>
                        <w:rFonts w:ascii="宋体" w:hAnsi="宋体"/>
                        <w:kern w:val="2"/>
                      </w:rPr>
                    </w:pPr>
                    <w:r>
                      <w:rPr>
                        <w:rFonts w:ascii="宋体" w:hAnsi="宋体" w:hint="eastAsia"/>
                        <w:kern w:val="2"/>
                      </w:rPr>
                      <w:t>五、西北矿业</w:t>
                    </w:r>
                  </w:p>
                </w:tc>
                <w:tc>
                  <w:tcPr>
                    <w:tcW w:w="998" w:type="dxa"/>
                    <w:vAlign w:val="center"/>
                  </w:tcPr>
                  <w:p>
                    <w:pPr>
                      <w:jc w:val="right"/>
                      <w:rPr>
                        <w:rFonts w:ascii="宋体" w:hAnsi="宋体" w:cs="宋体"/>
                      </w:rPr>
                    </w:pPr>
                    <w:r>
                      <w:rPr>
                        <w:rFonts w:ascii="宋体" w:hAnsi="宋体" w:cs="宋体"/>
                      </w:rPr>
                      <w:t>33,813</w:t>
                    </w:r>
                  </w:p>
                </w:tc>
                <w:tc>
                  <w:tcPr>
                    <w:tcW w:w="992" w:type="dxa"/>
                    <w:vAlign w:val="center"/>
                  </w:tcPr>
                  <w:p>
                    <w:pPr>
                      <w:jc w:val="right"/>
                      <w:rPr>
                        <w:rFonts w:ascii="宋体" w:hAnsi="宋体" w:cs="宋体"/>
                      </w:rPr>
                    </w:pPr>
                    <w:r>
                      <w:rPr>
                        <w:rFonts w:ascii="宋体" w:hAnsi="宋体" w:cs="宋体"/>
                      </w:rPr>
                      <w:t>32,970</w:t>
                    </w:r>
                  </w:p>
                </w:tc>
                <w:tc>
                  <w:tcPr>
                    <w:tcW w:w="1134" w:type="dxa"/>
                    <w:vAlign w:val="center"/>
                  </w:tcPr>
                  <w:p>
                    <w:pPr>
                      <w:jc w:val="right"/>
                      <w:rPr>
                        <w:rFonts w:ascii="宋体" w:hAnsi="宋体" w:cs="宋体"/>
                      </w:rPr>
                    </w:pPr>
                    <w:r>
                      <w:rPr>
                        <w:rFonts w:ascii="宋体" w:hAnsi="宋体" w:cs="宋体"/>
                      </w:rPr>
                      <w:t xml:space="preserve">420.41 </w:t>
                    </w:r>
                  </w:p>
                </w:tc>
                <w:tc>
                  <w:tcPr>
                    <w:tcW w:w="1276" w:type="dxa"/>
                    <w:vAlign w:val="center"/>
                  </w:tcPr>
                  <w:p>
                    <w:pPr>
                      <w:jc w:val="right"/>
                      <w:rPr>
                        <w:rFonts w:ascii="宋体" w:hAnsi="宋体" w:cs="宋体"/>
                      </w:rPr>
                    </w:pPr>
                    <w:r>
                      <w:rPr>
                        <w:rFonts w:ascii="宋体" w:hAnsi="宋体" w:cs="宋体"/>
                      </w:rPr>
                      <w:t>13,861</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29,129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28,741</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539.27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15,499</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洗精煤</w:t>
                    </w:r>
                  </w:p>
                </w:tc>
                <w:tc>
                  <w:tcPr>
                    <w:tcW w:w="998" w:type="dxa"/>
                    <w:vAlign w:val="center"/>
                  </w:tcPr>
                  <w:p>
                    <w:pPr>
                      <w:jc w:val="right"/>
                      <w:rPr>
                        <w:rFonts w:ascii="宋体" w:hAnsi="宋体" w:cs="宋体"/>
                      </w:rPr>
                    </w:pPr>
                    <w:r>
                      <w:rPr>
                        <w:rFonts w:ascii="宋体" w:hAnsi="宋体" w:cs="宋体"/>
                      </w:rPr>
                      <w:t>14,150</w:t>
                    </w:r>
                  </w:p>
                </w:tc>
                <w:tc>
                  <w:tcPr>
                    <w:tcW w:w="992" w:type="dxa"/>
                    <w:vAlign w:val="center"/>
                  </w:tcPr>
                  <w:p>
                    <w:pPr>
                      <w:jc w:val="right"/>
                      <w:rPr>
                        <w:rFonts w:ascii="宋体" w:hAnsi="宋体" w:cs="宋体"/>
                      </w:rPr>
                    </w:pPr>
                    <w:r>
                      <w:rPr>
                        <w:rFonts w:ascii="宋体" w:hAnsi="宋体" w:cs="宋体"/>
                      </w:rPr>
                      <w:t>13,956</w:t>
                    </w:r>
                  </w:p>
                </w:tc>
                <w:tc>
                  <w:tcPr>
                    <w:tcW w:w="1134" w:type="dxa"/>
                    <w:vAlign w:val="center"/>
                  </w:tcPr>
                  <w:p>
                    <w:pPr>
                      <w:jc w:val="right"/>
                      <w:rPr>
                        <w:rFonts w:ascii="宋体" w:hAnsi="宋体" w:cs="宋体"/>
                      </w:rPr>
                    </w:pPr>
                    <w:r>
                      <w:rPr>
                        <w:rFonts w:ascii="宋体" w:hAnsi="宋体" w:cs="宋体"/>
                      </w:rPr>
                      <w:t xml:space="preserve">529.66 </w:t>
                    </w:r>
                  </w:p>
                </w:tc>
                <w:tc>
                  <w:tcPr>
                    <w:tcW w:w="1276" w:type="dxa"/>
                    <w:vAlign w:val="center"/>
                  </w:tcPr>
                  <w:p>
                    <w:pPr>
                      <w:jc w:val="right"/>
                      <w:rPr>
                        <w:rFonts w:ascii="宋体" w:hAnsi="宋体" w:cs="宋体"/>
                      </w:rPr>
                    </w:pPr>
                    <w:r>
                      <w:rPr>
                        <w:rFonts w:ascii="宋体" w:hAnsi="宋体" w:cs="宋体"/>
                      </w:rPr>
                      <w:t>7,392</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11,975</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11,990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667.41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8,002</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洗混煤</w:t>
                    </w:r>
                  </w:p>
                </w:tc>
                <w:tc>
                  <w:tcPr>
                    <w:tcW w:w="998" w:type="dxa"/>
                    <w:vAlign w:val="center"/>
                  </w:tcPr>
                  <w:p>
                    <w:pPr>
                      <w:jc w:val="right"/>
                      <w:rPr>
                        <w:rFonts w:ascii="宋体" w:hAnsi="宋体" w:cs="宋体"/>
                      </w:rPr>
                    </w:pPr>
                    <w:r>
                      <w:rPr>
                        <w:rFonts w:ascii="宋体" w:hAnsi="宋体" w:cs="宋体"/>
                      </w:rPr>
                      <w:t>19,663</w:t>
                    </w:r>
                  </w:p>
                </w:tc>
                <w:tc>
                  <w:tcPr>
                    <w:tcW w:w="992" w:type="dxa"/>
                    <w:vAlign w:val="center"/>
                  </w:tcPr>
                  <w:p>
                    <w:pPr>
                      <w:jc w:val="right"/>
                      <w:rPr>
                        <w:rFonts w:ascii="宋体" w:hAnsi="宋体" w:cs="宋体"/>
                      </w:rPr>
                    </w:pPr>
                    <w:r>
                      <w:rPr>
                        <w:rFonts w:ascii="宋体" w:hAnsi="宋体" w:cs="宋体"/>
                      </w:rPr>
                      <w:t>19,014</w:t>
                    </w:r>
                  </w:p>
                </w:tc>
                <w:tc>
                  <w:tcPr>
                    <w:tcW w:w="1134" w:type="dxa"/>
                    <w:vAlign w:val="center"/>
                  </w:tcPr>
                  <w:p>
                    <w:pPr>
                      <w:jc w:val="right"/>
                      <w:rPr>
                        <w:rFonts w:ascii="宋体" w:hAnsi="宋体" w:cs="宋体"/>
                      </w:rPr>
                    </w:pPr>
                    <w:r>
                      <w:rPr>
                        <w:rFonts w:ascii="宋体" w:hAnsi="宋体" w:cs="宋体"/>
                      </w:rPr>
                      <w:t xml:space="preserve">340.22 </w:t>
                    </w:r>
                  </w:p>
                </w:tc>
                <w:tc>
                  <w:tcPr>
                    <w:tcW w:w="1276" w:type="dxa"/>
                    <w:vAlign w:val="center"/>
                  </w:tcPr>
                  <w:p>
                    <w:pPr>
                      <w:jc w:val="right"/>
                      <w:rPr>
                        <w:rFonts w:ascii="宋体" w:hAnsi="宋体" w:cs="宋体"/>
                      </w:rPr>
                    </w:pPr>
                    <w:r>
                      <w:rPr>
                        <w:rFonts w:ascii="宋体" w:hAnsi="宋体" w:cs="宋体"/>
                      </w:rPr>
                      <w:t>6,469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17,154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16,751</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447.55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7,497</w:t>
                    </w:r>
                  </w:p>
                </w:tc>
              </w:tr>
              <w:tr>
                <w:trPr>
                  <w:trHeight w:val="312"/>
                  <w:jc w:val="center"/>
                </w:trPr>
                <w:tc>
                  <w:tcPr>
                    <w:tcW w:w="1838" w:type="dxa"/>
                    <w:vAlign w:val="center"/>
                  </w:tcPr>
                  <w:p>
                    <w:pPr>
                      <w:rPr>
                        <w:rFonts w:ascii="宋体" w:hAnsi="宋体"/>
                        <w:kern w:val="2"/>
                      </w:rPr>
                    </w:pPr>
                    <w:r>
                      <w:rPr>
                        <w:rFonts w:ascii="宋体" w:hAnsi="宋体" w:hint="eastAsia"/>
                        <w:kern w:val="2"/>
                      </w:rPr>
                      <w:t>六、未来能源</w:t>
                    </w:r>
                  </w:p>
                </w:tc>
                <w:tc>
                  <w:tcPr>
                    <w:tcW w:w="998" w:type="dxa"/>
                    <w:vAlign w:val="center"/>
                  </w:tcPr>
                  <w:p>
                    <w:pPr>
                      <w:jc w:val="right"/>
                      <w:rPr>
                        <w:rFonts w:ascii="宋体" w:hAnsi="宋体" w:cs="宋体"/>
                      </w:rPr>
                    </w:pPr>
                    <w:r>
                      <w:rPr>
                        <w:rFonts w:ascii="宋体" w:hAnsi="宋体" w:cs="宋体"/>
                      </w:rPr>
                      <w:t>18,002</w:t>
                    </w:r>
                  </w:p>
                </w:tc>
                <w:tc>
                  <w:tcPr>
                    <w:tcW w:w="992" w:type="dxa"/>
                    <w:vAlign w:val="center"/>
                  </w:tcPr>
                  <w:p>
                    <w:pPr>
                      <w:jc w:val="right"/>
                      <w:rPr>
                        <w:rFonts w:ascii="宋体" w:hAnsi="宋体" w:cs="宋体"/>
                      </w:rPr>
                    </w:pPr>
                    <w:r>
                      <w:rPr>
                        <w:rFonts w:ascii="宋体" w:hAnsi="宋体" w:cs="宋体"/>
                      </w:rPr>
                      <w:t>10,893</w:t>
                    </w:r>
                  </w:p>
                </w:tc>
                <w:tc>
                  <w:tcPr>
                    <w:tcW w:w="1134" w:type="dxa"/>
                    <w:vAlign w:val="center"/>
                  </w:tcPr>
                  <w:p>
                    <w:pPr>
                      <w:jc w:val="right"/>
                      <w:rPr>
                        <w:rFonts w:ascii="宋体" w:hAnsi="宋体" w:cs="宋体"/>
                      </w:rPr>
                    </w:pPr>
                    <w:r>
                      <w:rPr>
                        <w:rFonts w:ascii="宋体" w:hAnsi="宋体" w:cs="宋体"/>
                      </w:rPr>
                      <w:t xml:space="preserve">473.95 </w:t>
                    </w:r>
                  </w:p>
                </w:tc>
                <w:tc>
                  <w:tcPr>
                    <w:tcW w:w="1276" w:type="dxa"/>
                    <w:vAlign w:val="center"/>
                  </w:tcPr>
                  <w:p>
                    <w:pPr>
                      <w:jc w:val="right"/>
                      <w:rPr>
                        <w:rFonts w:ascii="宋体" w:hAnsi="宋体" w:cs="宋体"/>
                      </w:rPr>
                    </w:pPr>
                    <w:r>
                      <w:rPr>
                        <w:rFonts w:ascii="宋体" w:hAnsi="宋体" w:cs="宋体"/>
                      </w:rPr>
                      <w:t>5,163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17,812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12,902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555.45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7,166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3号精煤</w:t>
                    </w:r>
                  </w:p>
                </w:tc>
                <w:tc>
                  <w:tcPr>
                    <w:tcW w:w="998" w:type="dxa"/>
                    <w:vAlign w:val="center"/>
                  </w:tcPr>
                  <w:p>
                    <w:pPr>
                      <w:jc w:val="right"/>
                      <w:rPr>
                        <w:rFonts w:ascii="宋体" w:hAnsi="宋体" w:cs="宋体"/>
                      </w:rPr>
                    </w:pPr>
                    <w:r>
                      <w:rPr>
                        <w:rFonts w:ascii="宋体" w:hAnsi="宋体" w:cs="宋体"/>
                      </w:rPr>
                      <w:t>1,929</w:t>
                    </w:r>
                  </w:p>
                </w:tc>
                <w:tc>
                  <w:tcPr>
                    <w:tcW w:w="992" w:type="dxa"/>
                    <w:vAlign w:val="center"/>
                  </w:tcPr>
                  <w:p>
                    <w:pPr>
                      <w:jc w:val="right"/>
                      <w:rPr>
                        <w:rFonts w:ascii="宋体" w:hAnsi="宋体" w:cs="宋体"/>
                      </w:rPr>
                    </w:pPr>
                    <w:r>
                      <w:rPr>
                        <w:rFonts w:ascii="宋体" w:hAnsi="宋体" w:cs="宋体"/>
                      </w:rPr>
                      <w:t>1,104</w:t>
                    </w:r>
                  </w:p>
                </w:tc>
                <w:tc>
                  <w:tcPr>
                    <w:tcW w:w="1134" w:type="dxa"/>
                    <w:vAlign w:val="center"/>
                  </w:tcPr>
                  <w:p>
                    <w:pPr>
                      <w:jc w:val="right"/>
                      <w:rPr>
                        <w:rFonts w:ascii="宋体" w:hAnsi="宋体" w:cs="宋体"/>
                      </w:rPr>
                    </w:pPr>
                    <w:r>
                      <w:rPr>
                        <w:rFonts w:ascii="宋体" w:hAnsi="宋体" w:cs="宋体"/>
                      </w:rPr>
                      <w:t xml:space="preserve">508.53 </w:t>
                    </w:r>
                  </w:p>
                </w:tc>
                <w:tc>
                  <w:tcPr>
                    <w:tcW w:w="1276" w:type="dxa"/>
                    <w:vAlign w:val="center"/>
                  </w:tcPr>
                  <w:p>
                    <w:pPr>
                      <w:jc w:val="right"/>
                      <w:rPr>
                        <w:rFonts w:ascii="宋体" w:hAnsi="宋体" w:cs="宋体"/>
                      </w:rPr>
                    </w:pPr>
                    <w:r>
                      <w:rPr>
                        <w:rFonts w:ascii="宋体" w:hAnsi="宋体" w:cs="宋体"/>
                      </w:rPr>
                      <w:t>562</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2,109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1,275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669.05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853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块煤</w:t>
                    </w:r>
                  </w:p>
                </w:tc>
                <w:tc>
                  <w:tcPr>
                    <w:tcW w:w="998" w:type="dxa"/>
                    <w:vAlign w:val="center"/>
                  </w:tcPr>
                  <w:p>
                    <w:pPr>
                      <w:jc w:val="right"/>
                      <w:rPr>
                        <w:rFonts w:ascii="宋体" w:hAnsi="宋体" w:cs="宋体"/>
                      </w:rPr>
                    </w:pPr>
                    <w:r>
                      <w:rPr>
                        <w:rFonts w:ascii="宋体" w:hAnsi="宋体" w:cs="宋体"/>
                      </w:rPr>
                      <w:t>4,270</w:t>
                    </w:r>
                  </w:p>
                </w:tc>
                <w:tc>
                  <w:tcPr>
                    <w:tcW w:w="992" w:type="dxa"/>
                    <w:vAlign w:val="center"/>
                  </w:tcPr>
                  <w:p>
                    <w:pPr>
                      <w:jc w:val="right"/>
                      <w:rPr>
                        <w:rFonts w:ascii="宋体" w:hAnsi="宋体" w:cs="宋体"/>
                      </w:rPr>
                    </w:pPr>
                    <w:r>
                      <w:rPr>
                        <w:rFonts w:ascii="宋体" w:hAnsi="宋体" w:cs="宋体"/>
                      </w:rPr>
                      <w:t>4,088</w:t>
                    </w:r>
                  </w:p>
                </w:tc>
                <w:tc>
                  <w:tcPr>
                    <w:tcW w:w="1134" w:type="dxa"/>
                    <w:vAlign w:val="center"/>
                  </w:tcPr>
                  <w:p>
                    <w:pPr>
                      <w:jc w:val="right"/>
                      <w:rPr>
                        <w:rFonts w:ascii="宋体" w:hAnsi="宋体" w:cs="宋体"/>
                      </w:rPr>
                    </w:pPr>
                    <w:r>
                      <w:rPr>
                        <w:rFonts w:ascii="宋体" w:hAnsi="宋体" w:cs="宋体"/>
                      </w:rPr>
                      <w:t xml:space="preserve">521.50 </w:t>
                    </w:r>
                  </w:p>
                </w:tc>
                <w:tc>
                  <w:tcPr>
                    <w:tcW w:w="1276" w:type="dxa"/>
                    <w:vAlign w:val="center"/>
                  </w:tcPr>
                  <w:p>
                    <w:pPr>
                      <w:jc w:val="right"/>
                      <w:rPr>
                        <w:rFonts w:ascii="宋体" w:hAnsi="宋体" w:cs="宋体"/>
                      </w:rPr>
                    </w:pPr>
                    <w:r>
                      <w:rPr>
                        <w:rFonts w:ascii="宋体" w:hAnsi="宋体" w:cs="宋体"/>
                      </w:rPr>
                      <w:t>2,132</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3,750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3,648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683.74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2,494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经筛选原煤</w:t>
                    </w:r>
                  </w:p>
                </w:tc>
                <w:tc>
                  <w:tcPr>
                    <w:tcW w:w="998" w:type="dxa"/>
                    <w:vAlign w:val="center"/>
                  </w:tcPr>
                  <w:p>
                    <w:pPr>
                      <w:jc w:val="right"/>
                      <w:rPr>
                        <w:rFonts w:ascii="宋体" w:hAnsi="宋体" w:cs="宋体"/>
                      </w:rPr>
                    </w:pPr>
                    <w:r>
                      <w:rPr>
                        <w:rFonts w:ascii="宋体" w:hAnsi="宋体" w:cs="宋体"/>
                      </w:rPr>
                      <w:t>11,802</w:t>
                    </w:r>
                  </w:p>
                </w:tc>
                <w:tc>
                  <w:tcPr>
                    <w:tcW w:w="992" w:type="dxa"/>
                    <w:vAlign w:val="center"/>
                  </w:tcPr>
                  <w:p>
                    <w:pPr>
                      <w:jc w:val="right"/>
                      <w:rPr>
                        <w:rFonts w:ascii="宋体" w:hAnsi="宋体" w:cs="宋体"/>
                      </w:rPr>
                    </w:pPr>
                    <w:r>
                      <w:rPr>
                        <w:rFonts w:ascii="宋体" w:hAnsi="宋体" w:cs="宋体"/>
                      </w:rPr>
                      <w:t>5,700</w:t>
                    </w:r>
                  </w:p>
                </w:tc>
                <w:tc>
                  <w:tcPr>
                    <w:tcW w:w="1134" w:type="dxa"/>
                    <w:vAlign w:val="center"/>
                  </w:tcPr>
                  <w:p>
                    <w:pPr>
                      <w:jc w:val="right"/>
                      <w:rPr>
                        <w:rFonts w:ascii="宋体" w:hAnsi="宋体" w:cs="宋体"/>
                      </w:rPr>
                    </w:pPr>
                    <w:r>
                      <w:rPr>
                        <w:rFonts w:ascii="宋体" w:hAnsi="宋体" w:cs="宋体"/>
                      </w:rPr>
                      <w:t xml:space="preserve">433.13 </w:t>
                    </w:r>
                  </w:p>
                </w:tc>
                <w:tc>
                  <w:tcPr>
                    <w:tcW w:w="1276" w:type="dxa"/>
                    <w:vAlign w:val="center"/>
                  </w:tcPr>
                  <w:p>
                    <w:pPr>
                      <w:jc w:val="right"/>
                      <w:rPr>
                        <w:rFonts w:ascii="宋体" w:hAnsi="宋体" w:cs="宋体"/>
                      </w:rPr>
                    </w:pPr>
                    <w:r>
                      <w:rPr>
                        <w:rFonts w:ascii="宋体" w:hAnsi="宋体" w:cs="宋体"/>
                      </w:rPr>
                      <w:t>2,469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11,952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7,979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478.66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3,819 </w:t>
                    </w:r>
                  </w:p>
                </w:tc>
              </w:tr>
              <w:tr>
                <w:trPr>
                  <w:trHeight w:val="312"/>
                  <w:jc w:val="center"/>
                </w:trPr>
                <w:tc>
                  <w:tcPr>
                    <w:tcW w:w="1838" w:type="dxa"/>
                    <w:vAlign w:val="center"/>
                  </w:tcPr>
                  <w:p>
                    <w:pPr>
                      <w:rPr>
                        <w:rFonts w:ascii="宋体" w:hAnsi="宋体"/>
                        <w:kern w:val="2"/>
                      </w:rPr>
                    </w:pPr>
                    <w:r>
                      <w:rPr>
                        <w:rFonts w:ascii="宋体" w:hAnsi="宋体" w:hint="eastAsia"/>
                        <w:kern w:val="2"/>
                      </w:rPr>
                      <w:t>七、鄂尔多斯公司</w:t>
                    </w:r>
                  </w:p>
                </w:tc>
                <w:tc>
                  <w:tcPr>
                    <w:tcW w:w="998" w:type="dxa"/>
                    <w:vAlign w:val="center"/>
                  </w:tcPr>
                  <w:p>
                    <w:pPr>
                      <w:jc w:val="right"/>
                      <w:rPr>
                        <w:rFonts w:ascii="宋体" w:hAnsi="宋体" w:cs="宋体"/>
                      </w:rPr>
                    </w:pPr>
                    <w:r>
                      <w:rPr>
                        <w:rFonts w:ascii="宋体" w:hAnsi="宋体" w:cs="宋体"/>
                      </w:rPr>
                      <w:t>11,309</w:t>
                    </w:r>
                  </w:p>
                </w:tc>
                <w:tc>
                  <w:tcPr>
                    <w:tcW w:w="992" w:type="dxa"/>
                    <w:vAlign w:val="center"/>
                  </w:tcPr>
                  <w:p>
                    <w:pPr>
                      <w:jc w:val="right"/>
                      <w:rPr>
                        <w:rFonts w:ascii="宋体" w:hAnsi="宋体" w:cs="宋体"/>
                      </w:rPr>
                    </w:pPr>
                    <w:r>
                      <w:rPr>
                        <w:rFonts w:ascii="宋体" w:hAnsi="宋体" w:cs="宋体"/>
                      </w:rPr>
                      <w:t>7,691</w:t>
                    </w:r>
                  </w:p>
                </w:tc>
                <w:tc>
                  <w:tcPr>
                    <w:tcW w:w="1134" w:type="dxa"/>
                    <w:vAlign w:val="center"/>
                  </w:tcPr>
                  <w:p>
                    <w:pPr>
                      <w:jc w:val="right"/>
                      <w:rPr>
                        <w:rFonts w:ascii="宋体" w:hAnsi="宋体" w:cs="宋体"/>
                      </w:rPr>
                    </w:pPr>
                    <w:r>
                      <w:rPr>
                        <w:rFonts w:ascii="宋体" w:hAnsi="宋体" w:cs="宋体"/>
                      </w:rPr>
                      <w:t xml:space="preserve">382.05 </w:t>
                    </w:r>
                  </w:p>
                </w:tc>
                <w:tc>
                  <w:tcPr>
                    <w:tcW w:w="1276" w:type="dxa"/>
                    <w:vAlign w:val="center"/>
                  </w:tcPr>
                  <w:p>
                    <w:pPr>
                      <w:jc w:val="right"/>
                      <w:rPr>
                        <w:rFonts w:ascii="宋体" w:hAnsi="宋体" w:cs="宋体"/>
                      </w:rPr>
                    </w:pPr>
                    <w:r>
                      <w:rPr>
                        <w:rFonts w:ascii="宋体" w:hAnsi="宋体" w:cs="宋体"/>
                      </w:rPr>
                      <w:t>2,938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11,230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8,749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419.70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3,672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经筛选原煤</w:t>
                    </w:r>
                  </w:p>
                </w:tc>
                <w:tc>
                  <w:tcPr>
                    <w:tcW w:w="998" w:type="dxa"/>
                    <w:vAlign w:val="center"/>
                  </w:tcPr>
                  <w:p>
                    <w:pPr>
                      <w:jc w:val="right"/>
                      <w:rPr>
                        <w:rFonts w:ascii="宋体" w:hAnsi="宋体" w:cs="宋体"/>
                      </w:rPr>
                    </w:pPr>
                    <w:r>
                      <w:rPr>
                        <w:rFonts w:ascii="宋体" w:hAnsi="宋体" w:cs="宋体"/>
                      </w:rPr>
                      <w:t>11,309</w:t>
                    </w:r>
                  </w:p>
                </w:tc>
                <w:tc>
                  <w:tcPr>
                    <w:tcW w:w="992" w:type="dxa"/>
                    <w:vAlign w:val="center"/>
                  </w:tcPr>
                  <w:p>
                    <w:pPr>
                      <w:jc w:val="right"/>
                      <w:rPr>
                        <w:rFonts w:ascii="宋体" w:hAnsi="宋体" w:cs="宋体"/>
                      </w:rPr>
                    </w:pPr>
                    <w:r>
                      <w:rPr>
                        <w:rFonts w:ascii="宋体" w:hAnsi="宋体" w:cs="宋体"/>
                      </w:rPr>
                      <w:t>7,691</w:t>
                    </w:r>
                  </w:p>
                </w:tc>
                <w:tc>
                  <w:tcPr>
                    <w:tcW w:w="1134" w:type="dxa"/>
                    <w:vAlign w:val="center"/>
                  </w:tcPr>
                  <w:p>
                    <w:pPr>
                      <w:jc w:val="right"/>
                      <w:rPr>
                        <w:rFonts w:ascii="宋体" w:hAnsi="宋体" w:cs="宋体"/>
                      </w:rPr>
                    </w:pPr>
                    <w:r>
                      <w:rPr>
                        <w:rFonts w:ascii="宋体" w:hAnsi="宋体" w:cs="宋体"/>
                      </w:rPr>
                      <w:t xml:space="preserve">382.05 </w:t>
                    </w:r>
                  </w:p>
                </w:tc>
                <w:tc>
                  <w:tcPr>
                    <w:tcW w:w="1276" w:type="dxa"/>
                    <w:vAlign w:val="center"/>
                  </w:tcPr>
                  <w:p>
                    <w:pPr>
                      <w:jc w:val="right"/>
                      <w:rPr>
                        <w:rFonts w:ascii="宋体" w:hAnsi="宋体" w:cs="宋体"/>
                      </w:rPr>
                    </w:pPr>
                    <w:r>
                      <w:rPr>
                        <w:rFonts w:ascii="宋体" w:hAnsi="宋体" w:cs="宋体"/>
                      </w:rPr>
                      <w:t>2,938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11,230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8,749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419.70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3,672 </w:t>
                    </w:r>
                  </w:p>
                </w:tc>
              </w:tr>
              <w:tr>
                <w:trPr>
                  <w:trHeight w:val="312"/>
                  <w:jc w:val="center"/>
                </w:trPr>
                <w:tc>
                  <w:tcPr>
                    <w:tcW w:w="1838" w:type="dxa"/>
                    <w:vAlign w:val="center"/>
                  </w:tcPr>
                  <w:p>
                    <w:pPr>
                      <w:rPr>
                        <w:rFonts w:ascii="宋体" w:hAnsi="宋体"/>
                        <w:kern w:val="2"/>
                      </w:rPr>
                    </w:pPr>
                    <w:r>
                      <w:rPr>
                        <w:rFonts w:ascii="宋体" w:hAnsi="宋体" w:hint="eastAsia"/>
                        <w:kern w:val="2"/>
                      </w:rPr>
                      <w:t>八、昊盛煤业</w:t>
                    </w:r>
                  </w:p>
                </w:tc>
                <w:tc>
                  <w:tcPr>
                    <w:tcW w:w="998" w:type="dxa"/>
                    <w:vAlign w:val="center"/>
                  </w:tcPr>
                  <w:p>
                    <w:pPr>
                      <w:jc w:val="right"/>
                      <w:rPr>
                        <w:rFonts w:ascii="宋体" w:hAnsi="宋体" w:cs="宋体"/>
                      </w:rPr>
                    </w:pPr>
                    <w:r>
                      <w:rPr>
                        <w:rFonts w:ascii="宋体" w:hAnsi="宋体" w:cs="宋体"/>
                      </w:rPr>
                      <w:t>8,002</w:t>
                    </w:r>
                  </w:p>
                </w:tc>
                <w:tc>
                  <w:tcPr>
                    <w:tcW w:w="992" w:type="dxa"/>
                    <w:vAlign w:val="center"/>
                  </w:tcPr>
                  <w:p>
                    <w:pPr>
                      <w:jc w:val="right"/>
                      <w:rPr>
                        <w:rFonts w:ascii="宋体" w:hAnsi="宋体" w:cs="宋体"/>
                      </w:rPr>
                    </w:pPr>
                    <w:r>
                      <w:rPr>
                        <w:rFonts w:ascii="宋体" w:hAnsi="宋体" w:cs="宋体"/>
                      </w:rPr>
                      <w:t>6,683</w:t>
                    </w:r>
                  </w:p>
                </w:tc>
                <w:tc>
                  <w:tcPr>
                    <w:tcW w:w="1134" w:type="dxa"/>
                    <w:vAlign w:val="center"/>
                  </w:tcPr>
                  <w:p>
                    <w:pPr>
                      <w:jc w:val="right"/>
                      <w:rPr>
                        <w:rFonts w:ascii="宋体" w:hAnsi="宋体" w:cs="宋体"/>
                      </w:rPr>
                    </w:pPr>
                    <w:r>
                      <w:rPr>
                        <w:rFonts w:ascii="宋体" w:hAnsi="宋体" w:cs="宋体"/>
                      </w:rPr>
                      <w:t xml:space="preserve">424.09 </w:t>
                    </w:r>
                  </w:p>
                </w:tc>
                <w:tc>
                  <w:tcPr>
                    <w:tcW w:w="1276" w:type="dxa"/>
                    <w:vAlign w:val="center"/>
                  </w:tcPr>
                  <w:p>
                    <w:pPr>
                      <w:jc w:val="right"/>
                      <w:rPr>
                        <w:rFonts w:ascii="宋体" w:hAnsi="宋体" w:cs="宋体"/>
                      </w:rPr>
                    </w:pPr>
                    <w:r>
                      <w:rPr>
                        <w:rFonts w:ascii="宋体" w:hAnsi="宋体" w:cs="宋体"/>
                      </w:rPr>
                      <w:t>2,834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6,227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4,913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539.57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2,651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经筛选原煤</w:t>
                    </w:r>
                  </w:p>
                </w:tc>
                <w:tc>
                  <w:tcPr>
                    <w:tcW w:w="998" w:type="dxa"/>
                    <w:vAlign w:val="center"/>
                  </w:tcPr>
                  <w:p>
                    <w:pPr>
                      <w:jc w:val="right"/>
                      <w:rPr>
                        <w:rFonts w:ascii="宋体" w:hAnsi="宋体" w:cs="宋体"/>
                      </w:rPr>
                    </w:pPr>
                    <w:r>
                      <w:rPr>
                        <w:rFonts w:ascii="宋体" w:hAnsi="宋体" w:cs="宋体"/>
                      </w:rPr>
                      <w:t>8,002</w:t>
                    </w:r>
                  </w:p>
                </w:tc>
                <w:tc>
                  <w:tcPr>
                    <w:tcW w:w="992" w:type="dxa"/>
                    <w:vAlign w:val="center"/>
                  </w:tcPr>
                  <w:p>
                    <w:pPr>
                      <w:jc w:val="right"/>
                      <w:rPr>
                        <w:rFonts w:ascii="宋体" w:hAnsi="宋体" w:cs="宋体"/>
                      </w:rPr>
                    </w:pPr>
                    <w:r>
                      <w:rPr>
                        <w:rFonts w:ascii="宋体" w:hAnsi="宋体" w:cs="宋体"/>
                      </w:rPr>
                      <w:t>6,683</w:t>
                    </w:r>
                  </w:p>
                </w:tc>
                <w:tc>
                  <w:tcPr>
                    <w:tcW w:w="1134" w:type="dxa"/>
                    <w:vAlign w:val="center"/>
                  </w:tcPr>
                  <w:p>
                    <w:pPr>
                      <w:jc w:val="right"/>
                      <w:rPr>
                        <w:rFonts w:ascii="宋体" w:hAnsi="宋体" w:cs="宋体"/>
                      </w:rPr>
                    </w:pPr>
                    <w:r>
                      <w:rPr>
                        <w:rFonts w:ascii="宋体" w:hAnsi="宋体" w:cs="宋体"/>
                      </w:rPr>
                      <w:t xml:space="preserve">424.09 </w:t>
                    </w:r>
                  </w:p>
                </w:tc>
                <w:tc>
                  <w:tcPr>
                    <w:tcW w:w="1276" w:type="dxa"/>
                    <w:vAlign w:val="center"/>
                  </w:tcPr>
                  <w:p>
                    <w:pPr>
                      <w:jc w:val="right"/>
                      <w:rPr>
                        <w:rFonts w:ascii="宋体" w:hAnsi="宋体" w:cs="宋体"/>
                      </w:rPr>
                    </w:pPr>
                    <w:r>
                      <w:rPr>
                        <w:rFonts w:ascii="宋体" w:hAnsi="宋体" w:cs="宋体"/>
                      </w:rPr>
                      <w:t>2,834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6,227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4,913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539.57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2,651 </w:t>
                    </w:r>
                  </w:p>
                </w:tc>
              </w:tr>
              <w:tr>
                <w:trPr>
                  <w:trHeight w:val="312"/>
                  <w:jc w:val="center"/>
                </w:trPr>
                <w:tc>
                  <w:tcPr>
                    <w:tcW w:w="1838" w:type="dxa"/>
                    <w:vAlign w:val="center"/>
                  </w:tcPr>
                  <w:p>
                    <w:pPr>
                      <w:rPr>
                        <w:rFonts w:ascii="宋体" w:hAnsi="宋体"/>
                        <w:kern w:val="2"/>
                      </w:rPr>
                    </w:pPr>
                    <w:r>
                      <w:rPr>
                        <w:rFonts w:ascii="宋体" w:hAnsi="宋体" w:hint="eastAsia"/>
                        <w:kern w:val="2"/>
                      </w:rPr>
                      <w:t>九、内蒙古矿业</w:t>
                    </w:r>
                  </w:p>
                </w:tc>
                <w:tc>
                  <w:tcPr>
                    <w:tcW w:w="998" w:type="dxa"/>
                    <w:vAlign w:val="center"/>
                  </w:tcPr>
                  <w:p>
                    <w:pPr>
                      <w:jc w:val="right"/>
                      <w:rPr>
                        <w:rFonts w:ascii="宋体" w:hAnsi="宋体" w:cs="宋体"/>
                      </w:rPr>
                    </w:pPr>
                    <w:r>
                      <w:rPr>
                        <w:rFonts w:ascii="宋体" w:hAnsi="宋体" w:cs="宋体"/>
                      </w:rPr>
                      <w:t>8,067</w:t>
                    </w:r>
                  </w:p>
                </w:tc>
                <w:tc>
                  <w:tcPr>
                    <w:tcW w:w="992" w:type="dxa"/>
                    <w:vAlign w:val="center"/>
                  </w:tcPr>
                  <w:p>
                    <w:pPr>
                      <w:jc w:val="right"/>
                      <w:rPr>
                        <w:rFonts w:ascii="宋体" w:hAnsi="宋体" w:cs="宋体"/>
                      </w:rPr>
                    </w:pPr>
                    <w:r>
                      <w:rPr>
                        <w:rFonts w:ascii="宋体" w:hAnsi="宋体" w:cs="宋体"/>
                      </w:rPr>
                      <w:t>6,846</w:t>
                    </w:r>
                  </w:p>
                </w:tc>
                <w:tc>
                  <w:tcPr>
                    <w:tcW w:w="1134" w:type="dxa"/>
                    <w:vAlign w:val="center"/>
                  </w:tcPr>
                  <w:p>
                    <w:pPr>
                      <w:jc w:val="right"/>
                      <w:rPr>
                        <w:rFonts w:ascii="宋体" w:hAnsi="宋体" w:cs="宋体"/>
                      </w:rPr>
                    </w:pPr>
                    <w:r>
                      <w:rPr>
                        <w:rFonts w:ascii="宋体" w:hAnsi="宋体" w:cs="宋体"/>
                      </w:rPr>
                      <w:t xml:space="preserve">373.65 </w:t>
                    </w:r>
                  </w:p>
                </w:tc>
                <w:tc>
                  <w:tcPr>
                    <w:tcW w:w="1276" w:type="dxa"/>
                    <w:vAlign w:val="center"/>
                  </w:tcPr>
                  <w:p>
                    <w:pPr>
                      <w:jc w:val="right"/>
                      <w:rPr>
                        <w:rFonts w:ascii="宋体" w:hAnsi="宋体" w:cs="宋体"/>
                      </w:rPr>
                    </w:pPr>
                    <w:r>
                      <w:rPr>
                        <w:rFonts w:ascii="宋体" w:hAnsi="宋体" w:cs="宋体"/>
                      </w:rPr>
                      <w:t>2,558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6,653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5,534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516.25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2,857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经筛选原煤</w:t>
                    </w:r>
                  </w:p>
                </w:tc>
                <w:tc>
                  <w:tcPr>
                    <w:tcW w:w="998" w:type="dxa"/>
                    <w:vAlign w:val="center"/>
                  </w:tcPr>
                  <w:p>
                    <w:pPr>
                      <w:jc w:val="right"/>
                      <w:rPr>
                        <w:rFonts w:ascii="宋体" w:hAnsi="宋体" w:cs="宋体"/>
                      </w:rPr>
                    </w:pPr>
                    <w:r>
                      <w:rPr>
                        <w:rFonts w:ascii="宋体" w:hAnsi="宋体" w:cs="宋体"/>
                      </w:rPr>
                      <w:t>8,067</w:t>
                    </w:r>
                  </w:p>
                </w:tc>
                <w:tc>
                  <w:tcPr>
                    <w:tcW w:w="992" w:type="dxa"/>
                    <w:vAlign w:val="center"/>
                  </w:tcPr>
                  <w:p>
                    <w:pPr>
                      <w:jc w:val="right"/>
                      <w:rPr>
                        <w:rFonts w:ascii="宋体" w:hAnsi="宋体" w:cs="宋体"/>
                      </w:rPr>
                    </w:pPr>
                    <w:r>
                      <w:rPr>
                        <w:rFonts w:ascii="宋体" w:hAnsi="宋体" w:cs="宋体"/>
                      </w:rPr>
                      <w:t>6,846</w:t>
                    </w:r>
                  </w:p>
                </w:tc>
                <w:tc>
                  <w:tcPr>
                    <w:tcW w:w="1134" w:type="dxa"/>
                    <w:vAlign w:val="center"/>
                  </w:tcPr>
                  <w:p>
                    <w:pPr>
                      <w:jc w:val="right"/>
                      <w:rPr>
                        <w:rFonts w:ascii="宋体" w:hAnsi="宋体" w:cs="宋体"/>
                      </w:rPr>
                    </w:pPr>
                    <w:r>
                      <w:rPr>
                        <w:rFonts w:ascii="宋体" w:hAnsi="宋体" w:cs="宋体"/>
                      </w:rPr>
                      <w:t xml:space="preserve">373.65 </w:t>
                    </w:r>
                  </w:p>
                </w:tc>
                <w:tc>
                  <w:tcPr>
                    <w:tcW w:w="1276" w:type="dxa"/>
                    <w:vAlign w:val="center"/>
                  </w:tcPr>
                  <w:p>
                    <w:pPr>
                      <w:jc w:val="right"/>
                      <w:rPr>
                        <w:rFonts w:ascii="宋体" w:hAnsi="宋体" w:cs="宋体"/>
                      </w:rPr>
                    </w:pPr>
                    <w:r>
                      <w:rPr>
                        <w:rFonts w:ascii="宋体" w:hAnsi="宋体" w:cs="宋体"/>
                      </w:rPr>
                      <w:t>2,558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6,653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5,534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516.25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2,857 </w:t>
                    </w:r>
                  </w:p>
                </w:tc>
              </w:tr>
              <w:tr>
                <w:trPr>
                  <w:trHeight w:val="312"/>
                  <w:jc w:val="center"/>
                </w:trPr>
                <w:tc>
                  <w:tcPr>
                    <w:tcW w:w="1838" w:type="dxa"/>
                    <w:vAlign w:val="center"/>
                  </w:tcPr>
                  <w:p>
                    <w:pPr>
                      <w:rPr>
                        <w:rFonts w:ascii="宋体" w:hAnsi="宋体"/>
                        <w:kern w:val="2"/>
                      </w:rPr>
                    </w:pPr>
                    <w:r>
                      <w:rPr>
                        <w:rFonts w:ascii="宋体" w:hAnsi="宋体" w:hint="eastAsia"/>
                        <w:kern w:val="2"/>
                      </w:rPr>
                      <w:t>十、新疆能化</w:t>
                    </w:r>
                  </w:p>
                </w:tc>
                <w:tc>
                  <w:tcPr>
                    <w:tcW w:w="998" w:type="dxa"/>
                    <w:vAlign w:val="center"/>
                  </w:tcPr>
                  <w:p>
                    <w:pPr>
                      <w:jc w:val="right"/>
                      <w:rPr>
                        <w:rFonts w:ascii="宋体" w:hAnsi="宋体" w:cs="宋体"/>
                      </w:rPr>
                    </w:pPr>
                    <w:r>
                      <w:rPr>
                        <w:rFonts w:ascii="宋体" w:hAnsi="宋体" w:cs="宋体"/>
                      </w:rPr>
                      <w:t>20,379</w:t>
                    </w:r>
                  </w:p>
                </w:tc>
                <w:tc>
                  <w:tcPr>
                    <w:tcW w:w="992" w:type="dxa"/>
                    <w:vAlign w:val="center"/>
                  </w:tcPr>
                  <w:p>
                    <w:pPr>
                      <w:jc w:val="right"/>
                      <w:rPr>
                        <w:rFonts w:ascii="宋体" w:hAnsi="宋体" w:cs="宋体"/>
                      </w:rPr>
                    </w:pPr>
                    <w:r>
                      <w:rPr>
                        <w:rFonts w:ascii="宋体" w:hAnsi="宋体" w:cs="宋体"/>
                      </w:rPr>
                      <w:t>18,999</w:t>
                    </w:r>
                  </w:p>
                </w:tc>
                <w:tc>
                  <w:tcPr>
                    <w:tcW w:w="1134" w:type="dxa"/>
                    <w:vAlign w:val="center"/>
                  </w:tcPr>
                  <w:p>
                    <w:pPr>
                      <w:jc w:val="right"/>
                      <w:rPr>
                        <w:rFonts w:ascii="宋体" w:hAnsi="宋体" w:cs="宋体"/>
                      </w:rPr>
                    </w:pPr>
                    <w:r>
                      <w:rPr>
                        <w:rFonts w:ascii="宋体" w:hAnsi="宋体" w:cs="宋体"/>
                      </w:rPr>
                      <w:t xml:space="preserve">117.03 </w:t>
                    </w:r>
                  </w:p>
                </w:tc>
                <w:tc>
                  <w:tcPr>
                    <w:tcW w:w="1276" w:type="dxa"/>
                    <w:vAlign w:val="center"/>
                  </w:tcPr>
                  <w:p>
                    <w:pPr>
                      <w:jc w:val="right"/>
                      <w:rPr>
                        <w:rFonts w:ascii="宋体" w:hAnsi="宋体" w:cs="宋体"/>
                      </w:rPr>
                    </w:pPr>
                    <w:r>
                      <w:rPr>
                        <w:rFonts w:ascii="宋体" w:hAnsi="宋体" w:cs="宋体"/>
                      </w:rPr>
                      <w:t>2,223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20,117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18,868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149.56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2,822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经筛选原煤</w:t>
                    </w:r>
                  </w:p>
                </w:tc>
                <w:tc>
                  <w:tcPr>
                    <w:tcW w:w="998" w:type="dxa"/>
                    <w:vAlign w:val="center"/>
                  </w:tcPr>
                  <w:p>
                    <w:pPr>
                      <w:jc w:val="right"/>
                      <w:rPr>
                        <w:rFonts w:ascii="宋体" w:hAnsi="宋体" w:cs="宋体"/>
                      </w:rPr>
                    </w:pPr>
                    <w:r>
                      <w:rPr>
                        <w:rFonts w:ascii="宋体" w:hAnsi="宋体" w:cs="宋体"/>
                      </w:rPr>
                      <w:t>20,379</w:t>
                    </w:r>
                  </w:p>
                </w:tc>
                <w:tc>
                  <w:tcPr>
                    <w:tcW w:w="992" w:type="dxa"/>
                    <w:vAlign w:val="center"/>
                  </w:tcPr>
                  <w:p>
                    <w:pPr>
                      <w:jc w:val="right"/>
                      <w:rPr>
                        <w:rFonts w:ascii="宋体" w:hAnsi="宋体" w:cs="宋体"/>
                      </w:rPr>
                    </w:pPr>
                    <w:r>
                      <w:rPr>
                        <w:rFonts w:ascii="宋体" w:hAnsi="宋体" w:cs="宋体"/>
                      </w:rPr>
                      <w:t>18,999</w:t>
                    </w:r>
                  </w:p>
                </w:tc>
                <w:tc>
                  <w:tcPr>
                    <w:tcW w:w="1134" w:type="dxa"/>
                    <w:vAlign w:val="center"/>
                  </w:tcPr>
                  <w:p>
                    <w:pPr>
                      <w:jc w:val="right"/>
                      <w:rPr>
                        <w:rFonts w:ascii="宋体" w:hAnsi="宋体" w:cs="宋体"/>
                      </w:rPr>
                    </w:pPr>
                    <w:r>
                      <w:rPr>
                        <w:rFonts w:ascii="宋体" w:hAnsi="宋体" w:cs="宋体"/>
                      </w:rPr>
                      <w:t xml:space="preserve">117.03 </w:t>
                    </w:r>
                  </w:p>
                </w:tc>
                <w:tc>
                  <w:tcPr>
                    <w:tcW w:w="1276" w:type="dxa"/>
                    <w:vAlign w:val="center"/>
                  </w:tcPr>
                  <w:p>
                    <w:pPr>
                      <w:jc w:val="right"/>
                      <w:rPr>
                        <w:rFonts w:ascii="宋体" w:hAnsi="宋体" w:cs="宋体"/>
                      </w:rPr>
                    </w:pPr>
                    <w:r>
                      <w:rPr>
                        <w:rFonts w:ascii="宋体" w:hAnsi="宋体" w:cs="宋体"/>
                      </w:rPr>
                      <w:t>2,223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20,117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18,868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149.56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2,822 </w:t>
                    </w:r>
                  </w:p>
                </w:tc>
              </w:tr>
              <w:tr>
                <w:trPr>
                  <w:trHeight w:val="312"/>
                  <w:jc w:val="center"/>
                </w:trPr>
                <w:tc>
                  <w:tcPr>
                    <w:tcW w:w="1838" w:type="dxa"/>
                    <w:vAlign w:val="center"/>
                  </w:tcPr>
                  <w:p>
                    <w:pPr>
                      <w:rPr>
                        <w:rFonts w:ascii="宋体" w:hAnsi="宋体"/>
                        <w:kern w:val="2"/>
                      </w:rPr>
                    </w:pPr>
                    <w:r>
                      <w:rPr>
                        <w:rFonts w:ascii="宋体" w:hAnsi="宋体" w:hint="eastAsia"/>
                        <w:kern w:val="2"/>
                      </w:rPr>
                      <w:t>十一、兖煤澳洲</w:t>
                    </w:r>
                  </w:p>
                </w:tc>
                <w:tc>
                  <w:tcPr>
                    <w:tcW w:w="998" w:type="dxa"/>
                    <w:vAlign w:val="center"/>
                  </w:tcPr>
                  <w:p>
                    <w:pPr>
                      <w:jc w:val="right"/>
                      <w:rPr>
                        <w:rFonts w:ascii="宋体" w:hAnsi="宋体" w:cs="宋体"/>
                      </w:rPr>
                    </w:pPr>
                    <w:r>
                      <w:rPr>
                        <w:rFonts w:ascii="宋体" w:hAnsi="宋体" w:cs="宋体"/>
                      </w:rPr>
                      <w:t>38,565</w:t>
                    </w:r>
                  </w:p>
                </w:tc>
                <w:tc>
                  <w:tcPr>
                    <w:tcW w:w="992" w:type="dxa"/>
                    <w:vAlign w:val="center"/>
                  </w:tcPr>
                  <w:p>
                    <w:pPr>
                      <w:jc w:val="right"/>
                      <w:rPr>
                        <w:rFonts w:ascii="宋体" w:hAnsi="宋体" w:cs="宋体"/>
                      </w:rPr>
                    </w:pPr>
                    <w:r>
                      <w:rPr>
                        <w:rFonts w:ascii="宋体" w:hAnsi="宋体" w:cs="宋体"/>
                      </w:rPr>
                      <w:t>38,107</w:t>
                    </w:r>
                  </w:p>
                </w:tc>
                <w:tc>
                  <w:tcPr>
                    <w:tcW w:w="1134" w:type="dxa"/>
                    <w:vAlign w:val="center"/>
                  </w:tcPr>
                  <w:p>
                    <w:pPr>
                      <w:jc w:val="right"/>
                      <w:rPr>
                        <w:rFonts w:ascii="宋体" w:hAnsi="宋体" w:cs="宋体"/>
                      </w:rPr>
                    </w:pPr>
                    <w:r>
                      <w:rPr>
                        <w:rFonts w:ascii="宋体" w:hAnsi="宋体" w:cs="宋体"/>
                      </w:rPr>
                      <w:t xml:space="preserve">674.67 </w:t>
                    </w:r>
                  </w:p>
                </w:tc>
                <w:tc>
                  <w:tcPr>
                    <w:tcW w:w="1276" w:type="dxa"/>
                    <w:vAlign w:val="center"/>
                  </w:tcPr>
                  <w:p>
                    <w:pPr>
                      <w:jc w:val="right"/>
                      <w:rPr>
                        <w:rFonts w:ascii="宋体" w:hAnsi="宋体" w:cs="宋体"/>
                      </w:rPr>
                    </w:pPr>
                    <w:r>
                      <w:rPr>
                        <w:rFonts w:ascii="宋体" w:hAnsi="宋体" w:cs="宋体"/>
                      </w:rPr>
                      <w:t>25,710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36,937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37,696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814.30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30,696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半硬焦煤</w:t>
                    </w:r>
                  </w:p>
                </w:tc>
                <w:tc>
                  <w:tcPr>
                    <w:tcW w:w="998" w:type="dxa"/>
                    <w:vAlign w:val="center"/>
                  </w:tcPr>
                  <w:p>
                    <w:pPr>
                      <w:jc w:val="right"/>
                      <w:rPr>
                        <w:rFonts w:ascii="宋体" w:hAnsi="宋体"/>
                      </w:rPr>
                    </w:pPr>
                    <w:r>
                      <w:rPr>
                        <w:rFonts w:ascii="宋体" w:hAnsi="宋体" w:cs="宋体" w:hint="eastAsia"/>
                      </w:rPr>
                      <w:t>-</w:t>
                    </w:r>
                  </w:p>
                </w:tc>
                <w:tc>
                  <w:tcPr>
                    <w:tcW w:w="992" w:type="dxa"/>
                    <w:vAlign w:val="center"/>
                  </w:tcPr>
                  <w:p>
                    <w:pPr>
                      <w:jc w:val="right"/>
                      <w:rPr>
                        <w:rFonts w:ascii="宋体" w:hAnsi="宋体"/>
                      </w:rPr>
                    </w:pPr>
                    <w:r>
                      <w:rPr>
                        <w:rFonts w:ascii="宋体" w:hAnsi="宋体" w:cs="宋体" w:hint="eastAsia"/>
                      </w:rPr>
                      <w:t>-</w:t>
                    </w:r>
                  </w:p>
                </w:tc>
                <w:tc>
                  <w:tcPr>
                    <w:tcW w:w="1134" w:type="dxa"/>
                    <w:vAlign w:val="center"/>
                  </w:tcPr>
                  <w:p>
                    <w:pPr>
                      <w:jc w:val="right"/>
                      <w:rPr>
                        <w:rFonts w:ascii="宋体" w:hAnsi="宋体"/>
                      </w:rPr>
                    </w:pPr>
                    <w:r>
                      <w:rPr>
                        <w:rFonts w:ascii="宋体" w:hAnsi="宋体" w:cs="宋体" w:hint="eastAsia"/>
                      </w:rPr>
                      <w:t>-</w:t>
                    </w:r>
                  </w:p>
                </w:tc>
                <w:tc>
                  <w:tcPr>
                    <w:tcW w:w="1276" w:type="dxa"/>
                    <w:vAlign w:val="center"/>
                  </w:tcPr>
                  <w:p>
                    <w:pPr>
                      <w:jc w:val="right"/>
                      <w:rPr>
                        <w:rFonts w:ascii="宋体" w:hAnsi="宋体"/>
                      </w:rPr>
                    </w:pPr>
                    <w:r>
                      <w:rPr>
                        <w:rFonts w:ascii="宋体" w:hAnsi="宋体" w:cs="宋体"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52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2,121.86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111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半软焦煤</w:t>
                    </w:r>
                  </w:p>
                </w:tc>
                <w:tc>
                  <w:tcPr>
                    <w:tcW w:w="998" w:type="dxa"/>
                    <w:vAlign w:val="center"/>
                  </w:tcPr>
                  <w:p>
                    <w:pPr>
                      <w:jc w:val="right"/>
                      <w:rPr>
                        <w:rFonts w:ascii="宋体" w:hAnsi="宋体" w:cs="宋体"/>
                      </w:rPr>
                    </w:pPr>
                    <w:r>
                      <w:rPr>
                        <w:rFonts w:ascii="宋体" w:hAnsi="宋体" w:cs="宋体"/>
                      </w:rPr>
                      <w:t>3,451</w:t>
                    </w:r>
                  </w:p>
                </w:tc>
                <w:tc>
                  <w:tcPr>
                    <w:tcW w:w="992" w:type="dxa"/>
                    <w:vAlign w:val="center"/>
                  </w:tcPr>
                  <w:p>
                    <w:pPr>
                      <w:jc w:val="right"/>
                      <w:rPr>
                        <w:rFonts w:ascii="宋体" w:hAnsi="宋体" w:cs="宋体"/>
                      </w:rPr>
                    </w:pPr>
                    <w:r>
                      <w:rPr>
                        <w:rFonts w:ascii="宋体" w:hAnsi="宋体" w:cs="宋体"/>
                      </w:rPr>
                      <w:t>3,410</w:t>
                    </w:r>
                  </w:p>
                </w:tc>
                <w:tc>
                  <w:tcPr>
                    <w:tcW w:w="1134" w:type="dxa"/>
                    <w:vAlign w:val="center"/>
                  </w:tcPr>
                  <w:p>
                    <w:pPr>
                      <w:jc w:val="right"/>
                      <w:rPr>
                        <w:rFonts w:ascii="宋体" w:hAnsi="宋体" w:cs="宋体"/>
                      </w:rPr>
                    </w:pPr>
                    <w:r>
                      <w:rPr>
                        <w:rFonts w:ascii="宋体" w:hAnsi="宋体" w:cs="宋体"/>
                      </w:rPr>
                      <w:t xml:space="preserve">855.95 </w:t>
                    </w:r>
                  </w:p>
                </w:tc>
                <w:tc>
                  <w:tcPr>
                    <w:tcW w:w="1276" w:type="dxa"/>
                    <w:vAlign w:val="center"/>
                  </w:tcPr>
                  <w:p>
                    <w:pPr>
                      <w:jc w:val="right"/>
                      <w:rPr>
                        <w:rFonts w:ascii="宋体" w:hAnsi="宋体" w:cs="宋体"/>
                      </w:rPr>
                    </w:pPr>
                    <w:r>
                      <w:rPr>
                        <w:rFonts w:ascii="宋体" w:hAnsi="宋体" w:cs="宋体"/>
                      </w:rPr>
                      <w:t>2,919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3,014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3,076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1,267.87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3,900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喷吹煤</w:t>
                    </w:r>
                  </w:p>
                </w:tc>
                <w:tc>
                  <w:tcPr>
                    <w:tcW w:w="998" w:type="dxa"/>
                    <w:vAlign w:val="center"/>
                  </w:tcPr>
                  <w:p>
                    <w:pPr>
                      <w:jc w:val="right"/>
                      <w:rPr>
                        <w:rFonts w:ascii="宋体" w:hAnsi="宋体" w:cs="宋体"/>
                      </w:rPr>
                    </w:pPr>
                    <w:r>
                      <w:rPr>
                        <w:rFonts w:ascii="宋体" w:hAnsi="宋体" w:cs="宋体"/>
                      </w:rPr>
                      <w:t>2,694</w:t>
                    </w:r>
                  </w:p>
                </w:tc>
                <w:tc>
                  <w:tcPr>
                    <w:tcW w:w="992" w:type="dxa"/>
                    <w:vAlign w:val="center"/>
                  </w:tcPr>
                  <w:p>
                    <w:pPr>
                      <w:jc w:val="right"/>
                      <w:rPr>
                        <w:rFonts w:ascii="宋体" w:hAnsi="宋体" w:cs="宋体"/>
                      </w:rPr>
                    </w:pPr>
                    <w:r>
                      <w:rPr>
                        <w:rFonts w:ascii="宋体" w:hAnsi="宋体" w:cs="宋体"/>
                      </w:rPr>
                      <w:t>2,662</w:t>
                    </w:r>
                  </w:p>
                </w:tc>
                <w:tc>
                  <w:tcPr>
                    <w:tcW w:w="1134" w:type="dxa"/>
                    <w:vAlign w:val="center"/>
                  </w:tcPr>
                  <w:p>
                    <w:pPr>
                      <w:jc w:val="right"/>
                      <w:rPr>
                        <w:rFonts w:ascii="宋体" w:hAnsi="宋体" w:cs="宋体"/>
                      </w:rPr>
                    </w:pPr>
                    <w:r>
                      <w:rPr>
                        <w:rFonts w:ascii="宋体" w:hAnsi="宋体" w:cs="宋体"/>
                      </w:rPr>
                      <w:t xml:space="preserve">1,006.65 </w:t>
                    </w:r>
                  </w:p>
                </w:tc>
                <w:tc>
                  <w:tcPr>
                    <w:tcW w:w="1276" w:type="dxa"/>
                    <w:vAlign w:val="center"/>
                  </w:tcPr>
                  <w:p>
                    <w:pPr>
                      <w:jc w:val="right"/>
                      <w:rPr>
                        <w:rFonts w:ascii="宋体" w:hAnsi="宋体" w:cs="宋体"/>
                      </w:rPr>
                    </w:pPr>
                    <w:r>
                      <w:rPr>
                        <w:rFonts w:ascii="宋体" w:hAnsi="宋体" w:cs="宋体"/>
                      </w:rPr>
                      <w:t>2,679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1,988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2,029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1,334.55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2,708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动力煤</w:t>
                    </w:r>
                  </w:p>
                </w:tc>
                <w:tc>
                  <w:tcPr>
                    <w:tcW w:w="998" w:type="dxa"/>
                    <w:vAlign w:val="center"/>
                  </w:tcPr>
                  <w:p>
                    <w:pPr>
                      <w:jc w:val="right"/>
                      <w:rPr>
                        <w:rFonts w:ascii="宋体" w:hAnsi="宋体" w:cs="宋体"/>
                      </w:rPr>
                    </w:pPr>
                    <w:r>
                      <w:rPr>
                        <w:rFonts w:ascii="宋体" w:hAnsi="宋体" w:cs="宋体"/>
                      </w:rPr>
                      <w:t>32,420</w:t>
                    </w:r>
                  </w:p>
                </w:tc>
                <w:tc>
                  <w:tcPr>
                    <w:tcW w:w="992" w:type="dxa"/>
                    <w:vAlign w:val="center"/>
                  </w:tcPr>
                  <w:p>
                    <w:pPr>
                      <w:jc w:val="right"/>
                      <w:rPr>
                        <w:rFonts w:ascii="宋体" w:hAnsi="宋体" w:cs="宋体"/>
                      </w:rPr>
                    </w:pPr>
                    <w:r>
                      <w:rPr>
                        <w:rFonts w:ascii="宋体" w:hAnsi="宋体" w:cs="宋体"/>
                      </w:rPr>
                      <w:t>32,035</w:t>
                    </w:r>
                  </w:p>
                </w:tc>
                <w:tc>
                  <w:tcPr>
                    <w:tcW w:w="1134" w:type="dxa"/>
                    <w:vAlign w:val="center"/>
                  </w:tcPr>
                  <w:p>
                    <w:pPr>
                      <w:jc w:val="right"/>
                      <w:rPr>
                        <w:rFonts w:ascii="宋体" w:hAnsi="宋体" w:cs="宋体"/>
                      </w:rPr>
                    </w:pPr>
                    <w:r>
                      <w:rPr>
                        <w:rFonts w:ascii="宋体" w:hAnsi="宋体" w:cs="宋体"/>
                      </w:rPr>
                      <w:t xml:space="preserve">627.79 </w:t>
                    </w:r>
                  </w:p>
                </w:tc>
                <w:tc>
                  <w:tcPr>
                    <w:tcW w:w="1276" w:type="dxa"/>
                    <w:vAlign w:val="center"/>
                  </w:tcPr>
                  <w:p>
                    <w:pPr>
                      <w:jc w:val="right"/>
                      <w:rPr>
                        <w:rFonts w:ascii="宋体" w:hAnsi="宋体" w:cs="宋体"/>
                      </w:rPr>
                    </w:pPr>
                    <w:r>
                      <w:rPr>
                        <w:rFonts w:ascii="宋体" w:hAnsi="宋体" w:cs="宋体"/>
                      </w:rPr>
                      <w:t>20,111</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31,883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32,538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736.87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23,976 </w:t>
                    </w:r>
                  </w:p>
                </w:tc>
              </w:tr>
              <w:tr>
                <w:trPr>
                  <w:trHeight w:val="312"/>
                  <w:jc w:val="center"/>
                </w:trPr>
                <w:tc>
                  <w:tcPr>
                    <w:tcW w:w="1838" w:type="dxa"/>
                    <w:vAlign w:val="center"/>
                  </w:tcPr>
                  <w:p>
                    <w:pPr>
                      <w:rPr>
                        <w:rFonts w:ascii="宋体" w:hAnsi="宋体"/>
                        <w:kern w:val="2"/>
                      </w:rPr>
                    </w:pPr>
                    <w:r>
                      <w:rPr>
                        <w:rFonts w:ascii="宋体" w:hAnsi="宋体" w:hint="eastAsia"/>
                        <w:kern w:val="2"/>
                      </w:rPr>
                      <w:t>十二、兖煤国际</w:t>
                    </w:r>
                  </w:p>
                </w:tc>
                <w:tc>
                  <w:tcPr>
                    <w:tcW w:w="998" w:type="dxa"/>
                    <w:vAlign w:val="center"/>
                  </w:tcPr>
                  <w:p>
                    <w:pPr>
                      <w:jc w:val="right"/>
                      <w:rPr>
                        <w:rFonts w:ascii="宋体" w:hAnsi="宋体" w:cs="宋体"/>
                      </w:rPr>
                    </w:pPr>
                    <w:r>
                      <w:rPr>
                        <w:rFonts w:ascii="宋体" w:hAnsi="宋体" w:cs="宋体"/>
                      </w:rPr>
                      <w:t>5,452</w:t>
                    </w:r>
                  </w:p>
                </w:tc>
                <w:tc>
                  <w:tcPr>
                    <w:tcW w:w="992" w:type="dxa"/>
                    <w:vAlign w:val="center"/>
                  </w:tcPr>
                  <w:p>
                    <w:pPr>
                      <w:jc w:val="right"/>
                      <w:rPr>
                        <w:rFonts w:ascii="宋体" w:hAnsi="宋体" w:cs="宋体"/>
                      </w:rPr>
                    </w:pPr>
                    <w:r>
                      <w:rPr>
                        <w:rFonts w:ascii="宋体" w:hAnsi="宋体" w:cs="宋体"/>
                      </w:rPr>
                      <w:t>5,294</w:t>
                    </w:r>
                  </w:p>
                </w:tc>
                <w:tc>
                  <w:tcPr>
                    <w:tcW w:w="1134" w:type="dxa"/>
                    <w:vAlign w:val="center"/>
                  </w:tcPr>
                  <w:p>
                    <w:pPr>
                      <w:jc w:val="right"/>
                      <w:rPr>
                        <w:rFonts w:ascii="宋体" w:hAnsi="宋体" w:cs="宋体"/>
                      </w:rPr>
                    </w:pPr>
                    <w:r>
                      <w:rPr>
                        <w:rFonts w:ascii="宋体" w:hAnsi="宋体" w:cs="宋体"/>
                      </w:rPr>
                      <w:t xml:space="preserve">582.39 </w:t>
                    </w:r>
                  </w:p>
                </w:tc>
                <w:tc>
                  <w:tcPr>
                    <w:tcW w:w="1276" w:type="dxa"/>
                    <w:vAlign w:val="center"/>
                  </w:tcPr>
                  <w:p>
                    <w:pPr>
                      <w:jc w:val="right"/>
                      <w:rPr>
                        <w:rFonts w:ascii="宋体" w:hAnsi="宋体" w:cs="宋体"/>
                      </w:rPr>
                    </w:pPr>
                    <w:r>
                      <w:rPr>
                        <w:rFonts w:ascii="宋体" w:hAnsi="宋体" w:cs="宋体"/>
                      </w:rPr>
                      <w:t>3,083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5,357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5,349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679.27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3,634 </w:t>
                    </w:r>
                  </w:p>
                </w:tc>
              </w:tr>
              <w:tr>
                <w:trPr>
                  <w:trHeight w:val="312"/>
                  <w:jc w:val="center"/>
                </w:trPr>
                <w:tc>
                  <w:tcPr>
                    <w:tcW w:w="1838" w:type="dxa"/>
                    <w:vAlign w:val="center"/>
                  </w:tcPr>
                  <w:p>
                    <w:pPr>
                      <w:ind w:firstLineChars="200" w:firstLine="420"/>
                      <w:rPr>
                        <w:rFonts w:ascii="宋体" w:hAnsi="宋体"/>
                        <w:kern w:val="2"/>
                      </w:rPr>
                    </w:pPr>
                    <w:r>
                      <w:rPr>
                        <w:rFonts w:ascii="宋体" w:hAnsi="宋体" w:hint="eastAsia"/>
                        <w:kern w:val="2"/>
                      </w:rPr>
                      <w:t>动力煤</w:t>
                    </w:r>
                  </w:p>
                </w:tc>
                <w:tc>
                  <w:tcPr>
                    <w:tcW w:w="998" w:type="dxa"/>
                    <w:vAlign w:val="center"/>
                  </w:tcPr>
                  <w:p>
                    <w:pPr>
                      <w:jc w:val="right"/>
                      <w:rPr>
                        <w:rFonts w:ascii="宋体" w:hAnsi="宋体" w:cs="宋体"/>
                      </w:rPr>
                    </w:pPr>
                    <w:r>
                      <w:rPr>
                        <w:rFonts w:ascii="宋体" w:hAnsi="宋体" w:cs="宋体"/>
                      </w:rPr>
                      <w:t>5,452</w:t>
                    </w:r>
                  </w:p>
                </w:tc>
                <w:tc>
                  <w:tcPr>
                    <w:tcW w:w="992" w:type="dxa"/>
                    <w:vAlign w:val="center"/>
                  </w:tcPr>
                  <w:p>
                    <w:pPr>
                      <w:jc w:val="right"/>
                      <w:rPr>
                        <w:rFonts w:ascii="宋体" w:hAnsi="宋体" w:cs="宋体"/>
                      </w:rPr>
                    </w:pPr>
                    <w:r>
                      <w:rPr>
                        <w:rFonts w:ascii="宋体" w:hAnsi="宋体" w:cs="宋体"/>
                      </w:rPr>
                      <w:t>5,294</w:t>
                    </w:r>
                  </w:p>
                </w:tc>
                <w:tc>
                  <w:tcPr>
                    <w:tcW w:w="1134" w:type="dxa"/>
                    <w:vAlign w:val="center"/>
                  </w:tcPr>
                  <w:p>
                    <w:pPr>
                      <w:jc w:val="right"/>
                      <w:rPr>
                        <w:rFonts w:ascii="宋体" w:hAnsi="宋体" w:cs="宋体"/>
                      </w:rPr>
                    </w:pPr>
                    <w:r>
                      <w:rPr>
                        <w:rFonts w:ascii="宋体" w:hAnsi="宋体" w:cs="宋体"/>
                      </w:rPr>
                      <w:t xml:space="preserve">582.39 </w:t>
                    </w:r>
                  </w:p>
                </w:tc>
                <w:tc>
                  <w:tcPr>
                    <w:tcW w:w="1276" w:type="dxa"/>
                    <w:vAlign w:val="center"/>
                  </w:tcPr>
                  <w:p>
                    <w:pPr>
                      <w:jc w:val="right"/>
                      <w:rPr>
                        <w:rFonts w:ascii="宋体" w:hAnsi="宋体" w:cs="宋体"/>
                      </w:rPr>
                    </w:pPr>
                    <w:r>
                      <w:rPr>
                        <w:rFonts w:ascii="宋体" w:hAnsi="宋体" w:cs="宋体"/>
                      </w:rPr>
                      <w:t>3,083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5,357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5,349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679.27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3,634 </w:t>
                    </w:r>
                  </w:p>
                </w:tc>
              </w:tr>
              <w:tr>
                <w:trPr>
                  <w:trHeight w:val="312"/>
                  <w:jc w:val="center"/>
                </w:trPr>
                <w:tc>
                  <w:tcPr>
                    <w:tcW w:w="1838" w:type="dxa"/>
                    <w:vAlign w:val="center"/>
                  </w:tcPr>
                  <w:p>
                    <w:pPr>
                      <w:rPr>
                        <w:rFonts w:ascii="宋体" w:hAnsi="宋体"/>
                        <w:kern w:val="2"/>
                      </w:rPr>
                    </w:pPr>
                    <w:r>
                      <w:rPr>
                        <w:rFonts w:ascii="宋体" w:hAnsi="宋体" w:hint="eastAsia"/>
                        <w:kern w:val="2"/>
                      </w:rPr>
                      <w:t>十三、自产煤小计</w:t>
                    </w:r>
                  </w:p>
                </w:tc>
                <w:tc>
                  <w:tcPr>
                    <w:tcW w:w="998" w:type="dxa"/>
                    <w:vAlign w:val="center"/>
                  </w:tcPr>
                  <w:p>
                    <w:pPr>
                      <w:jc w:val="right"/>
                      <w:rPr>
                        <w:rFonts w:ascii="宋体" w:hAnsi="宋体" w:cs="宋体"/>
                      </w:rPr>
                    </w:pPr>
                    <w:r>
                      <w:rPr>
                        <w:rFonts w:ascii="宋体" w:hAnsi="宋体" w:cs="宋体"/>
                      </w:rPr>
                      <w:t>182,398</w:t>
                    </w:r>
                  </w:p>
                </w:tc>
                <w:tc>
                  <w:tcPr>
                    <w:tcW w:w="992" w:type="dxa"/>
                    <w:vAlign w:val="center"/>
                  </w:tcPr>
                  <w:p>
                    <w:pPr>
                      <w:jc w:val="right"/>
                      <w:rPr>
                        <w:rFonts w:ascii="宋体" w:hAnsi="宋体" w:cs="宋体"/>
                      </w:rPr>
                    </w:pPr>
                    <w:r>
                      <w:rPr>
                        <w:rFonts w:ascii="宋体" w:hAnsi="宋体" w:cs="宋体"/>
                      </w:rPr>
                      <w:t>165,370</w:t>
                    </w:r>
                  </w:p>
                </w:tc>
                <w:tc>
                  <w:tcPr>
                    <w:tcW w:w="1134" w:type="dxa"/>
                    <w:vAlign w:val="center"/>
                  </w:tcPr>
                  <w:p>
                    <w:pPr>
                      <w:jc w:val="right"/>
                      <w:rPr>
                        <w:rFonts w:ascii="宋体" w:hAnsi="宋体" w:cs="宋体"/>
                      </w:rPr>
                    </w:pPr>
                    <w:r>
                      <w:rPr>
                        <w:rFonts w:ascii="宋体" w:hAnsi="宋体" w:cs="宋体"/>
                      </w:rPr>
                      <w:t xml:space="preserve">512.52 </w:t>
                    </w:r>
                  </w:p>
                </w:tc>
                <w:tc>
                  <w:tcPr>
                    <w:tcW w:w="1276" w:type="dxa"/>
                    <w:vAlign w:val="center"/>
                  </w:tcPr>
                  <w:p>
                    <w:pPr>
                      <w:jc w:val="right"/>
                      <w:rPr>
                        <w:rFonts w:ascii="宋体" w:hAnsi="宋体" w:cs="宋体"/>
                      </w:rPr>
                    </w:pPr>
                    <w:r>
                      <w:rPr>
                        <w:rFonts w:ascii="宋体" w:hAnsi="宋体" w:cs="宋体"/>
                      </w:rPr>
                      <w:t>84,755</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171,622</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158,502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634.97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100,644</w:t>
                    </w:r>
                  </w:p>
                </w:tc>
              </w:tr>
              <w:tr>
                <w:trPr>
                  <w:trHeight w:val="312"/>
                  <w:jc w:val="center"/>
                </w:trPr>
                <w:tc>
                  <w:tcPr>
                    <w:tcW w:w="1838" w:type="dxa"/>
                    <w:vAlign w:val="center"/>
                  </w:tcPr>
                  <w:p>
                    <w:pPr>
                      <w:rPr>
                        <w:rFonts w:ascii="宋体" w:hAnsi="宋体"/>
                        <w:kern w:val="2"/>
                      </w:rPr>
                    </w:pPr>
                    <w:r>
                      <w:rPr>
                        <w:rFonts w:ascii="宋体" w:hAnsi="宋体" w:hint="eastAsia"/>
                        <w:kern w:val="2"/>
                      </w:rPr>
                      <w:t>十四、贸易煤</w:t>
                    </w:r>
                  </w:p>
                </w:tc>
                <w:tc>
                  <w:tcPr>
                    <w:tcW w:w="998" w:type="dxa"/>
                    <w:vAlign w:val="center"/>
                  </w:tcPr>
                  <w:p>
                    <w:pPr>
                      <w:jc w:val="right"/>
                      <w:rPr>
                        <w:rFonts w:ascii="宋体" w:hAnsi="宋体" w:cs="宋体"/>
                      </w:rPr>
                    </w:pPr>
                    <w:r>
                      <w:rPr>
                        <w:rFonts w:ascii="宋体" w:hAnsi="宋体" w:cs="宋体" w:hint="eastAsia"/>
                      </w:rPr>
                      <w:t>-</w:t>
                    </w:r>
                  </w:p>
                </w:tc>
                <w:tc>
                  <w:tcPr>
                    <w:tcW w:w="992" w:type="dxa"/>
                    <w:vAlign w:val="center"/>
                  </w:tcPr>
                  <w:p>
                    <w:pPr>
                      <w:jc w:val="right"/>
                      <w:rPr>
                        <w:rFonts w:ascii="宋体" w:hAnsi="宋体" w:cs="宋体"/>
                      </w:rPr>
                    </w:pPr>
                    <w:r>
                      <w:rPr>
                        <w:rFonts w:ascii="宋体" w:hAnsi="宋体" w:cs="宋体"/>
                      </w:rPr>
                      <w:t>5,856</w:t>
                    </w:r>
                  </w:p>
                </w:tc>
                <w:tc>
                  <w:tcPr>
                    <w:tcW w:w="1134" w:type="dxa"/>
                    <w:vAlign w:val="center"/>
                  </w:tcPr>
                  <w:p>
                    <w:pPr>
                      <w:jc w:val="right"/>
                      <w:rPr>
                        <w:rFonts w:ascii="宋体" w:hAnsi="宋体" w:cs="宋体"/>
                      </w:rPr>
                    </w:pPr>
                    <w:r>
                      <w:rPr>
                        <w:rFonts w:ascii="宋体" w:hAnsi="宋体" w:cs="宋体"/>
                      </w:rPr>
                      <w:t xml:space="preserve">667.84 </w:t>
                    </w:r>
                  </w:p>
                </w:tc>
                <w:tc>
                  <w:tcPr>
                    <w:tcW w:w="1276" w:type="dxa"/>
                    <w:vAlign w:val="center"/>
                  </w:tcPr>
                  <w:p>
                    <w:pPr>
                      <w:jc w:val="right"/>
                      <w:rPr>
                        <w:rFonts w:ascii="宋体" w:hAnsi="宋体" w:cs="宋体"/>
                      </w:rPr>
                    </w:pPr>
                    <w:r>
                      <w:rPr>
                        <w:rFonts w:ascii="宋体" w:hAnsi="宋体" w:cs="宋体"/>
                      </w:rPr>
                      <w:t>3,911</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6,547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989.70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6,480</w:t>
                    </w:r>
                  </w:p>
                </w:tc>
              </w:tr>
              <w:tr>
                <w:trPr>
                  <w:trHeight w:val="312"/>
                  <w:jc w:val="center"/>
                </w:trPr>
                <w:tc>
                  <w:tcPr>
                    <w:tcW w:w="1838" w:type="dxa"/>
                    <w:vAlign w:val="center"/>
                  </w:tcPr>
                  <w:p>
                    <w:pPr>
                      <w:ind w:firstLineChars="100" w:firstLine="210"/>
                      <w:rPr>
                        <w:rFonts w:ascii="宋体" w:hAnsi="宋体"/>
                        <w:kern w:val="2"/>
                      </w:rPr>
                    </w:pPr>
                    <w:r>
                      <w:rPr>
                        <w:rFonts w:ascii="宋体" w:hAnsi="宋体" w:hint="eastAsia"/>
                        <w:kern w:val="2"/>
                      </w:rPr>
                      <w:t>本集团总计</w:t>
                    </w:r>
                  </w:p>
                </w:tc>
                <w:tc>
                  <w:tcPr>
                    <w:tcW w:w="998" w:type="dxa"/>
                    <w:vAlign w:val="center"/>
                  </w:tcPr>
                  <w:p>
                    <w:pPr>
                      <w:jc w:val="right"/>
                      <w:rPr>
                        <w:rFonts w:ascii="宋体" w:hAnsi="宋体" w:cs="宋体"/>
                      </w:rPr>
                    </w:pPr>
                    <w:r>
                      <w:rPr>
                        <w:rFonts w:ascii="宋体" w:hAnsi="宋体" w:cs="宋体"/>
                      </w:rPr>
                      <w:t>182,398</w:t>
                    </w:r>
                  </w:p>
                </w:tc>
                <w:tc>
                  <w:tcPr>
                    <w:tcW w:w="992" w:type="dxa"/>
                    <w:vAlign w:val="center"/>
                  </w:tcPr>
                  <w:p>
                    <w:pPr>
                      <w:jc w:val="right"/>
                      <w:rPr>
                        <w:rFonts w:ascii="宋体" w:hAnsi="宋体" w:cs="宋体"/>
                      </w:rPr>
                    </w:pPr>
                    <w:r>
                      <w:rPr>
                        <w:rFonts w:ascii="宋体" w:hAnsi="宋体" w:cs="宋体"/>
                      </w:rPr>
                      <w:t>171,226</w:t>
                    </w:r>
                  </w:p>
                </w:tc>
                <w:tc>
                  <w:tcPr>
                    <w:tcW w:w="1134" w:type="dxa"/>
                    <w:vAlign w:val="center"/>
                  </w:tcPr>
                  <w:p>
                    <w:pPr>
                      <w:jc w:val="right"/>
                      <w:rPr>
                        <w:rFonts w:ascii="宋体" w:hAnsi="宋体" w:cs="宋体"/>
                      </w:rPr>
                    </w:pPr>
                    <w:r>
                      <w:rPr>
                        <w:rFonts w:ascii="宋体" w:hAnsi="宋体" w:cs="宋体"/>
                      </w:rPr>
                      <w:t xml:space="preserve">517.83 </w:t>
                    </w:r>
                  </w:p>
                </w:tc>
                <w:tc>
                  <w:tcPr>
                    <w:tcW w:w="1276" w:type="dxa"/>
                    <w:vAlign w:val="center"/>
                  </w:tcPr>
                  <w:p>
                    <w:pPr>
                      <w:jc w:val="right"/>
                      <w:rPr>
                        <w:rFonts w:ascii="宋体" w:hAnsi="宋体" w:cs="宋体"/>
                      </w:rPr>
                    </w:pPr>
                    <w:r>
                      <w:rPr>
                        <w:rFonts w:ascii="宋体" w:hAnsi="宋体" w:cs="宋体"/>
                      </w:rPr>
                      <w:t>88,666</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171,622</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165,050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 xml:space="preserve">649.04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107,124</w:t>
                    </w:r>
                  </w:p>
                </w:tc>
              </w:tr>
            </w:tbl>
            <w:p>
              <w:pPr>
                <w:rPr>
                  <w:rFonts w:ascii="宋体" w:hAnsi="宋体" w:cs="宋体"/>
                </w:rPr>
              </w:pPr>
            </w:p>
            <w:p>
              <w:pPr>
                <w:widowControl w:val="0"/>
                <w:ind w:firstLineChars="200" w:firstLine="420"/>
                <w:jc w:val="both"/>
                <w:rPr>
                  <w:rFonts w:ascii="宋体" w:hAnsi="宋体"/>
                  <w:kern w:val="2"/>
                </w:rPr>
              </w:pPr>
              <w:r>
                <w:rPr>
                  <w:rFonts w:ascii="宋体" w:hAnsi="宋体" w:hint="eastAsia"/>
                  <w:kern w:val="2"/>
                </w:rPr>
                <w:t>影响煤炭业务销售收入变动因素分析如下表：</w:t>
              </w:r>
            </w:p>
            <w:tbl>
              <w:tblPr>
                <w:tblStyle w:val="g2"/>
                <w:tblW w:w="8922" w:type="dxa"/>
                <w:jc w:val="center"/>
                <w:tblInd w:w="0" w:type="dxa"/>
                <w:tblCellMar>
                  <w:left w:w="108" w:type="dxa"/>
                  <w:right w:w="108" w:type="dxa"/>
                </w:tblCellMar>
                <w:tblLook w:val="04A0" w:firstRow="1" w:lastRow="0" w:firstColumn="1" w:lastColumn="0" w:noHBand="0" w:noVBand="1"/>
              </w:tblPr>
              <w:tblGrid>
                <w:gridCol w:w="2728"/>
                <w:gridCol w:w="3129"/>
                <w:gridCol w:w="3065"/>
              </w:tblGrid>
              <w:tr>
                <w:trPr>
                  <w:trHeight w:val="400"/>
                  <w:jc w:val="center"/>
                </w:trPr>
                <w:tc>
                  <w:tcPr>
                    <w:tcW w:w="2728" w:type="dxa"/>
                    <w:vMerge w:val="restart"/>
                  </w:tcPr>
                  <w:p>
                    <w:pPr>
                      <w:rPr>
                        <w:rFonts w:ascii="宋体" w:hAnsi="宋体"/>
                        <w:kern w:val="2"/>
                      </w:rPr>
                    </w:pPr>
                    <w:bookmarkStart w:id="60" w:name="_Hlk67517613"/>
                  </w:p>
                </w:tc>
                <w:tc>
                  <w:tcPr>
                    <w:tcW w:w="3129" w:type="dxa"/>
                    <w:vAlign w:val="center"/>
                  </w:tcPr>
                  <w:p>
                    <w:pPr>
                      <w:jc w:val="center"/>
                      <w:rPr>
                        <w:rFonts w:ascii="宋体" w:hAnsi="宋体"/>
                        <w:kern w:val="2"/>
                      </w:rPr>
                    </w:pPr>
                    <w:r>
                      <w:rPr>
                        <w:rFonts w:ascii="宋体" w:hAnsi="宋体" w:hint="eastAsia"/>
                        <w:kern w:val="2"/>
                      </w:rPr>
                      <w:t>煤炭销量变化影响</w:t>
                    </w:r>
                  </w:p>
                </w:tc>
                <w:tc>
                  <w:tcPr>
                    <w:tcW w:w="3065" w:type="dxa"/>
                    <w:vAlign w:val="center"/>
                  </w:tcPr>
                  <w:p>
                    <w:pPr>
                      <w:jc w:val="center"/>
                      <w:rPr>
                        <w:rFonts w:ascii="宋体" w:hAnsi="宋体"/>
                        <w:kern w:val="2"/>
                      </w:rPr>
                    </w:pPr>
                    <w:r>
                      <w:rPr>
                        <w:rFonts w:ascii="宋体" w:hAnsi="宋体" w:hint="eastAsia"/>
                        <w:kern w:val="2"/>
                      </w:rPr>
                      <w:t>煤炭销售价格变化影响</w:t>
                    </w:r>
                  </w:p>
                </w:tc>
              </w:tr>
              <w:tr>
                <w:trPr>
                  <w:trHeight w:val="400"/>
                  <w:jc w:val="center"/>
                </w:trPr>
                <w:tc>
                  <w:tcPr>
                    <w:tcW w:w="0" w:type="auto"/>
                    <w:vMerge/>
                    <w:vAlign w:val="center"/>
                  </w:tcPr>
                  <w:p>
                    <w:pPr>
                      <w:rPr>
                        <w:rFonts w:ascii="宋体" w:hAnsi="宋体"/>
                        <w:kern w:val="2"/>
                      </w:rPr>
                    </w:pPr>
                  </w:p>
                </w:tc>
                <w:tc>
                  <w:tcPr>
                    <w:tcW w:w="3129" w:type="dxa"/>
                    <w:vAlign w:val="center"/>
                  </w:tcPr>
                  <w:p>
                    <w:pPr>
                      <w:jc w:val="center"/>
                      <w:rPr>
                        <w:rFonts w:ascii="宋体" w:hAnsi="宋体"/>
                        <w:kern w:val="2"/>
                      </w:rPr>
                    </w:pPr>
                    <w:r>
                      <w:rPr>
                        <w:rFonts w:ascii="宋体" w:hAnsi="宋体" w:hint="eastAsia"/>
                        <w:kern w:val="2"/>
                      </w:rPr>
                      <w:t>（百万元）</w:t>
                    </w:r>
                  </w:p>
                </w:tc>
                <w:tc>
                  <w:tcPr>
                    <w:tcW w:w="3065" w:type="dxa"/>
                    <w:vAlign w:val="center"/>
                  </w:tcPr>
                  <w:p>
                    <w:pPr>
                      <w:jc w:val="center"/>
                      <w:rPr>
                        <w:rFonts w:ascii="宋体" w:hAnsi="宋体"/>
                        <w:kern w:val="2"/>
                      </w:rPr>
                    </w:pPr>
                    <w:r>
                      <w:rPr>
                        <w:rFonts w:ascii="宋体" w:hAnsi="宋体" w:hint="eastAsia"/>
                        <w:kern w:val="2"/>
                      </w:rPr>
                      <w:t>（百万元）</w:t>
                    </w:r>
                  </w:p>
                </w:tc>
              </w:tr>
              <w:tr>
                <w:trPr>
                  <w:trHeight w:val="400"/>
                  <w:jc w:val="center"/>
                </w:trPr>
                <w:tc>
                  <w:tcPr>
                    <w:tcW w:w="2728" w:type="dxa"/>
                    <w:vAlign w:val="center"/>
                  </w:tcPr>
                  <w:p>
                    <w:pPr>
                      <w:rPr>
                        <w:rFonts w:ascii="宋体" w:hAnsi="宋体"/>
                        <w:kern w:val="2"/>
                      </w:rPr>
                    </w:pPr>
                    <w:r>
                      <w:rPr>
                        <w:rFonts w:ascii="宋体" w:hAnsi="宋体" w:hint="eastAsia"/>
                        <w:kern w:val="2"/>
                      </w:rPr>
                      <w:t>公司</w:t>
                    </w:r>
                  </w:p>
                </w:tc>
                <w:tc>
                  <w:tcPr>
                    <w:tcW w:w="3129" w:type="dxa"/>
                    <w:vAlign w:val="center"/>
                  </w:tcPr>
                  <w:p>
                    <w:pPr>
                      <w:jc w:val="right"/>
                      <w:rPr>
                        <w:rFonts w:ascii="宋体" w:hAnsi="宋体"/>
                        <w:kern w:val="2"/>
                      </w:rPr>
                    </w:pPr>
                    <w:r>
                      <w:rPr>
                        <w:rFonts w:ascii="宋体" w:hAnsi="宋体"/>
                        <w:kern w:val="2"/>
                      </w:rPr>
                      <w:t>-2,064</w:t>
                    </w:r>
                  </w:p>
                </w:tc>
                <w:tc>
                  <w:tcPr>
                    <w:tcW w:w="3065" w:type="dxa"/>
                    <w:vAlign w:val="center"/>
                  </w:tcPr>
                  <w:p>
                    <w:pPr>
                      <w:jc w:val="right"/>
                      <w:rPr>
                        <w:rFonts w:ascii="宋体" w:hAnsi="宋体"/>
                        <w:kern w:val="2"/>
                      </w:rPr>
                    </w:pPr>
                    <w:r>
                      <w:rPr>
                        <w:rFonts w:ascii="宋体" w:hAnsi="宋体"/>
                        <w:kern w:val="2"/>
                      </w:rPr>
                      <w:t>-3,406</w:t>
                    </w:r>
                  </w:p>
                </w:tc>
              </w:tr>
              <w:tr>
                <w:trPr>
                  <w:trHeight w:val="400"/>
                  <w:jc w:val="center"/>
                </w:trPr>
                <w:tc>
                  <w:tcPr>
                    <w:tcW w:w="2728" w:type="dxa"/>
                    <w:vAlign w:val="center"/>
                  </w:tcPr>
                  <w:p>
                    <w:pPr>
                      <w:rPr>
                        <w:rFonts w:ascii="宋体" w:hAnsi="宋体"/>
                        <w:kern w:val="2"/>
                      </w:rPr>
                    </w:pPr>
                    <w:r>
                      <w:rPr>
                        <w:rFonts w:ascii="宋体" w:hAnsi="宋体" w:hint="eastAsia"/>
                        <w:kern w:val="2"/>
                      </w:rPr>
                      <w:t>菏泽能化</w:t>
                    </w:r>
                  </w:p>
                </w:tc>
                <w:tc>
                  <w:tcPr>
                    <w:tcW w:w="3129" w:type="dxa"/>
                    <w:vAlign w:val="center"/>
                  </w:tcPr>
                  <w:p>
                    <w:pPr>
                      <w:jc w:val="right"/>
                      <w:rPr>
                        <w:rFonts w:ascii="宋体" w:hAnsi="宋体"/>
                        <w:kern w:val="2"/>
                      </w:rPr>
                    </w:pPr>
                    <w:r>
                      <w:rPr>
                        <w:rFonts w:ascii="宋体" w:hAnsi="宋体"/>
                        <w:kern w:val="2"/>
                      </w:rPr>
                      <w:t>3,565</w:t>
                    </w:r>
                  </w:p>
                </w:tc>
                <w:tc>
                  <w:tcPr>
                    <w:tcW w:w="3065" w:type="dxa"/>
                    <w:vAlign w:val="center"/>
                  </w:tcPr>
                  <w:p>
                    <w:pPr>
                      <w:jc w:val="right"/>
                      <w:rPr>
                        <w:rFonts w:ascii="宋体" w:hAnsi="宋体"/>
                        <w:kern w:val="2"/>
                      </w:rPr>
                    </w:pPr>
                    <w:r>
                      <w:rPr>
                        <w:rFonts w:ascii="宋体" w:hAnsi="宋体"/>
                        <w:kern w:val="2"/>
                      </w:rPr>
                      <w:t>-1,518</w:t>
                    </w:r>
                  </w:p>
                </w:tc>
              </w:tr>
              <w:tr>
                <w:trPr>
                  <w:trHeight w:val="400"/>
                  <w:jc w:val="center"/>
                </w:trPr>
                <w:tc>
                  <w:tcPr>
                    <w:tcW w:w="2728" w:type="dxa"/>
                    <w:vAlign w:val="center"/>
                  </w:tcPr>
                  <w:p>
                    <w:pPr>
                      <w:rPr>
                        <w:rFonts w:ascii="宋体" w:hAnsi="宋体"/>
                        <w:kern w:val="2"/>
                      </w:rPr>
                    </w:pPr>
                    <w:r>
                      <w:rPr>
                        <w:rFonts w:ascii="宋体" w:hAnsi="宋体" w:hint="eastAsia"/>
                        <w:kern w:val="2"/>
                      </w:rPr>
                      <w:t>鲁西矿业</w:t>
                    </w:r>
                  </w:p>
                </w:tc>
                <w:tc>
                  <w:tcPr>
                    <w:tcW w:w="3129" w:type="dxa"/>
                    <w:vAlign w:val="center"/>
                  </w:tcPr>
                  <w:p>
                    <w:pPr>
                      <w:jc w:val="right"/>
                      <w:rPr>
                        <w:rFonts w:ascii="宋体" w:hAnsi="宋体"/>
                        <w:kern w:val="2"/>
                      </w:rPr>
                    </w:pPr>
                    <w:r>
                      <w:rPr>
                        <w:rFonts w:ascii="宋体" w:hAnsi="宋体"/>
                        <w:kern w:val="2"/>
                      </w:rPr>
                      <w:t>2,302</w:t>
                    </w:r>
                  </w:p>
                </w:tc>
                <w:tc>
                  <w:tcPr>
                    <w:tcW w:w="3065" w:type="dxa"/>
                    <w:vAlign w:val="center"/>
                  </w:tcPr>
                  <w:p>
                    <w:pPr>
                      <w:jc w:val="right"/>
                      <w:rPr>
                        <w:rFonts w:ascii="宋体" w:hAnsi="宋体"/>
                        <w:kern w:val="2"/>
                      </w:rPr>
                    </w:pPr>
                    <w:r>
                      <w:rPr>
                        <w:rFonts w:ascii="宋体" w:hAnsi="宋体"/>
                        <w:kern w:val="2"/>
                      </w:rPr>
                      <w:t>-3,972</w:t>
                    </w:r>
                  </w:p>
                </w:tc>
              </w:tr>
              <w:tr>
                <w:trPr>
                  <w:trHeight w:val="400"/>
                  <w:jc w:val="center"/>
                </w:trPr>
                <w:tc>
                  <w:tcPr>
                    <w:tcW w:w="2728" w:type="dxa"/>
                    <w:vAlign w:val="center"/>
                  </w:tcPr>
                  <w:p>
                    <w:pPr>
                      <w:rPr>
                        <w:rFonts w:ascii="宋体" w:hAnsi="宋体"/>
                        <w:kern w:val="2"/>
                      </w:rPr>
                    </w:pPr>
                    <w:r>
                      <w:rPr>
                        <w:rFonts w:ascii="宋体" w:hAnsi="宋体" w:hint="eastAsia"/>
                        <w:kern w:val="2"/>
                      </w:rPr>
                      <w:t>天池能源</w:t>
                    </w:r>
                  </w:p>
                </w:tc>
                <w:tc>
                  <w:tcPr>
                    <w:tcW w:w="3129" w:type="dxa"/>
                    <w:vAlign w:val="center"/>
                  </w:tcPr>
                  <w:p>
                    <w:pPr>
                      <w:jc w:val="right"/>
                      <w:rPr>
                        <w:rFonts w:ascii="宋体" w:hAnsi="宋体"/>
                        <w:kern w:val="2"/>
                      </w:rPr>
                    </w:pPr>
                    <w:r>
                      <w:rPr>
                        <w:rFonts w:ascii="宋体" w:hAnsi="宋体"/>
                        <w:kern w:val="2"/>
                      </w:rPr>
                      <w:t>25</w:t>
                    </w:r>
                  </w:p>
                </w:tc>
                <w:tc>
                  <w:tcPr>
                    <w:tcW w:w="3065" w:type="dxa"/>
                    <w:vAlign w:val="center"/>
                  </w:tcPr>
                  <w:p>
                    <w:pPr>
                      <w:jc w:val="right"/>
                      <w:rPr>
                        <w:rFonts w:ascii="宋体" w:hAnsi="宋体"/>
                        <w:kern w:val="2"/>
                      </w:rPr>
                    </w:pPr>
                    <w:r>
                      <w:rPr>
                        <w:rFonts w:ascii="宋体" w:hAnsi="宋体"/>
                        <w:kern w:val="2"/>
                      </w:rPr>
                      <w:t>-194</w:t>
                    </w:r>
                  </w:p>
                </w:tc>
              </w:tr>
              <w:tr>
                <w:trPr>
                  <w:trHeight w:val="400"/>
                  <w:jc w:val="center"/>
                </w:trPr>
                <w:tc>
                  <w:tcPr>
                    <w:tcW w:w="2728" w:type="dxa"/>
                    <w:vAlign w:val="center"/>
                  </w:tcPr>
                  <w:p>
                    <w:pPr>
                      <w:rPr>
                        <w:rFonts w:ascii="宋体" w:hAnsi="宋体"/>
                        <w:kern w:val="2"/>
                      </w:rPr>
                    </w:pPr>
                    <w:r>
                      <w:rPr>
                        <w:rFonts w:ascii="宋体" w:hAnsi="宋体" w:hint="eastAsia"/>
                        <w:kern w:val="2"/>
                      </w:rPr>
                      <w:t>西北矿业</w:t>
                    </w:r>
                  </w:p>
                </w:tc>
                <w:tc>
                  <w:tcPr>
                    <w:tcW w:w="3129" w:type="dxa"/>
                    <w:vAlign w:val="center"/>
                  </w:tcPr>
                  <w:p>
                    <w:pPr>
                      <w:jc w:val="right"/>
                      <w:rPr>
                        <w:rFonts w:ascii="宋体" w:hAnsi="宋体"/>
                        <w:kern w:val="2"/>
                      </w:rPr>
                    </w:pPr>
                    <w:r>
                      <w:rPr>
                        <w:rFonts w:ascii="宋体" w:hAnsi="宋体"/>
                        <w:kern w:val="2"/>
                      </w:rPr>
                      <w:t>2,280</w:t>
                    </w:r>
                  </w:p>
                </w:tc>
                <w:tc>
                  <w:tcPr>
                    <w:tcW w:w="3065" w:type="dxa"/>
                    <w:vAlign w:val="center"/>
                  </w:tcPr>
                  <w:p>
                    <w:pPr>
                      <w:jc w:val="right"/>
                      <w:rPr>
                        <w:rFonts w:ascii="宋体" w:hAnsi="宋体"/>
                        <w:kern w:val="2"/>
                      </w:rPr>
                    </w:pPr>
                    <w:r>
                      <w:rPr>
                        <w:rFonts w:ascii="宋体" w:hAnsi="宋体"/>
                        <w:kern w:val="2"/>
                      </w:rPr>
                      <w:t>-3,919</w:t>
                    </w:r>
                  </w:p>
                </w:tc>
              </w:tr>
              <w:tr>
                <w:trPr>
                  <w:trHeight w:val="400"/>
                  <w:jc w:val="center"/>
                </w:trPr>
                <w:tc>
                  <w:tcPr>
                    <w:tcW w:w="2728" w:type="dxa"/>
                    <w:vAlign w:val="center"/>
                  </w:tcPr>
                  <w:p>
                    <w:pPr>
                      <w:rPr>
                        <w:rFonts w:ascii="宋体" w:hAnsi="宋体"/>
                        <w:kern w:val="2"/>
                      </w:rPr>
                    </w:pPr>
                    <w:r>
                      <w:rPr>
                        <w:rFonts w:ascii="宋体" w:hAnsi="宋体" w:hint="eastAsia"/>
                        <w:kern w:val="2"/>
                      </w:rPr>
                      <w:t>未来能源</w:t>
                    </w:r>
                  </w:p>
                </w:tc>
                <w:tc>
                  <w:tcPr>
                    <w:tcW w:w="3129" w:type="dxa"/>
                    <w:vAlign w:val="center"/>
                  </w:tcPr>
                  <w:p>
                    <w:pPr>
                      <w:jc w:val="right"/>
                      <w:rPr>
                        <w:rFonts w:ascii="宋体" w:hAnsi="宋体"/>
                        <w:kern w:val="2"/>
                      </w:rPr>
                    </w:pPr>
                    <w:r>
                      <w:rPr>
                        <w:rFonts w:ascii="宋体" w:hAnsi="宋体"/>
                        <w:kern w:val="2"/>
                      </w:rPr>
                      <w:t>-1,115</w:t>
                    </w:r>
                  </w:p>
                </w:tc>
                <w:tc>
                  <w:tcPr>
                    <w:tcW w:w="3065" w:type="dxa"/>
                    <w:vAlign w:val="center"/>
                  </w:tcPr>
                  <w:p>
                    <w:pPr>
                      <w:jc w:val="right"/>
                      <w:rPr>
                        <w:rFonts w:ascii="宋体" w:hAnsi="宋体"/>
                        <w:kern w:val="2"/>
                      </w:rPr>
                    </w:pPr>
                    <w:r>
                      <w:rPr>
                        <w:rFonts w:ascii="宋体" w:hAnsi="宋体"/>
                        <w:kern w:val="2"/>
                      </w:rPr>
                      <w:t>-888</w:t>
                    </w:r>
                  </w:p>
                </w:tc>
              </w:tr>
              <w:tr>
                <w:trPr>
                  <w:trHeight w:val="400"/>
                  <w:jc w:val="center"/>
                </w:trPr>
                <w:tc>
                  <w:tcPr>
                    <w:tcW w:w="2728" w:type="dxa"/>
                    <w:vAlign w:val="center"/>
                  </w:tcPr>
                  <w:p>
                    <w:pPr>
                      <w:rPr>
                        <w:rFonts w:ascii="宋体" w:hAnsi="宋体"/>
                        <w:kern w:val="2"/>
                      </w:rPr>
                    </w:pPr>
                    <w:r>
                      <w:rPr>
                        <w:rFonts w:ascii="宋体" w:hAnsi="宋体" w:hint="eastAsia"/>
                        <w:kern w:val="2"/>
                      </w:rPr>
                      <w:t>鄂尔多斯公司</w:t>
                    </w:r>
                  </w:p>
                </w:tc>
                <w:tc>
                  <w:tcPr>
                    <w:tcW w:w="3129" w:type="dxa"/>
                    <w:vAlign w:val="center"/>
                  </w:tcPr>
                  <w:p>
                    <w:pPr>
                      <w:jc w:val="right"/>
                      <w:rPr>
                        <w:rFonts w:ascii="宋体" w:hAnsi="宋体"/>
                        <w:kern w:val="2"/>
                      </w:rPr>
                    </w:pPr>
                    <w:r>
                      <w:rPr>
                        <w:rFonts w:ascii="宋体" w:hAnsi="宋体"/>
                        <w:kern w:val="2"/>
                      </w:rPr>
                      <w:t>-444</w:t>
                    </w:r>
                  </w:p>
                </w:tc>
                <w:tc>
                  <w:tcPr>
                    <w:tcW w:w="3065" w:type="dxa"/>
                    <w:vAlign w:val="center"/>
                  </w:tcPr>
                  <w:p>
                    <w:pPr>
                      <w:jc w:val="right"/>
                      <w:rPr>
                        <w:rFonts w:ascii="宋体" w:hAnsi="宋体"/>
                        <w:kern w:val="2"/>
                      </w:rPr>
                    </w:pPr>
                    <w:r>
                      <w:rPr>
                        <w:rFonts w:ascii="宋体" w:hAnsi="宋体"/>
                        <w:kern w:val="2"/>
                      </w:rPr>
                      <w:t>-290</w:t>
                    </w:r>
                  </w:p>
                </w:tc>
              </w:tr>
              <w:tr>
                <w:trPr>
                  <w:trHeight w:val="400"/>
                  <w:jc w:val="center"/>
                </w:trPr>
                <w:tc>
                  <w:tcPr>
                    <w:tcW w:w="2728" w:type="dxa"/>
                    <w:vAlign w:val="center"/>
                  </w:tcPr>
                  <w:p>
                    <w:pPr>
                      <w:rPr>
                        <w:rFonts w:ascii="宋体" w:hAnsi="宋体"/>
                        <w:kern w:val="2"/>
                      </w:rPr>
                    </w:pPr>
                    <w:r>
                      <w:rPr>
                        <w:rFonts w:ascii="宋体" w:hAnsi="宋体" w:hint="eastAsia"/>
                        <w:kern w:val="2"/>
                      </w:rPr>
                      <w:t>昊盛煤业</w:t>
                    </w:r>
                  </w:p>
                </w:tc>
                <w:tc>
                  <w:tcPr>
                    <w:tcW w:w="3129" w:type="dxa"/>
                    <w:vAlign w:val="center"/>
                  </w:tcPr>
                  <w:p>
                    <w:pPr>
                      <w:jc w:val="right"/>
                      <w:rPr>
                        <w:rFonts w:ascii="宋体" w:hAnsi="宋体"/>
                        <w:kern w:val="2"/>
                      </w:rPr>
                    </w:pPr>
                    <w:r>
                      <w:rPr>
                        <w:rFonts w:ascii="宋体" w:hAnsi="宋体"/>
                        <w:kern w:val="2"/>
                      </w:rPr>
                      <w:t>955</w:t>
                    </w:r>
                  </w:p>
                </w:tc>
                <w:tc>
                  <w:tcPr>
                    <w:tcW w:w="3065" w:type="dxa"/>
                    <w:vAlign w:val="center"/>
                  </w:tcPr>
                  <w:p>
                    <w:pPr>
                      <w:jc w:val="right"/>
                      <w:rPr>
                        <w:rFonts w:ascii="宋体" w:hAnsi="宋体"/>
                        <w:kern w:val="2"/>
                      </w:rPr>
                    </w:pPr>
                    <w:r>
                      <w:rPr>
                        <w:rFonts w:ascii="宋体" w:hAnsi="宋体"/>
                        <w:kern w:val="2"/>
                      </w:rPr>
                      <w:t>-772</w:t>
                    </w:r>
                  </w:p>
                </w:tc>
              </w:tr>
              <w:tr>
                <w:trPr>
                  <w:trHeight w:val="400"/>
                  <w:jc w:val="center"/>
                </w:trPr>
                <w:tc>
                  <w:tcPr>
                    <w:tcW w:w="2728" w:type="dxa"/>
                    <w:vAlign w:val="center"/>
                  </w:tcPr>
                  <w:p>
                    <w:pPr>
                      <w:rPr>
                        <w:rFonts w:ascii="宋体" w:hAnsi="宋体"/>
                        <w:kern w:val="2"/>
                      </w:rPr>
                    </w:pPr>
                    <w:r>
                      <w:rPr>
                        <w:rFonts w:ascii="宋体" w:hAnsi="宋体" w:hint="eastAsia"/>
                        <w:kern w:val="2"/>
                      </w:rPr>
                      <w:t>内蒙古矿业</w:t>
                    </w:r>
                  </w:p>
                </w:tc>
                <w:tc>
                  <w:tcPr>
                    <w:tcW w:w="3129" w:type="dxa"/>
                    <w:vAlign w:val="center"/>
                  </w:tcPr>
                  <w:p>
                    <w:pPr>
                      <w:jc w:val="right"/>
                      <w:rPr>
                        <w:rFonts w:ascii="宋体" w:hAnsi="宋体"/>
                        <w:kern w:val="2"/>
                      </w:rPr>
                    </w:pPr>
                    <w:r>
                      <w:rPr>
                        <w:rFonts w:ascii="宋体" w:hAnsi="宋体"/>
                        <w:kern w:val="2"/>
                      </w:rPr>
                      <w:t>677</w:t>
                    </w:r>
                  </w:p>
                </w:tc>
                <w:tc>
                  <w:tcPr>
                    <w:tcW w:w="3065" w:type="dxa"/>
                    <w:vAlign w:val="center"/>
                  </w:tcPr>
                  <w:p>
                    <w:pPr>
                      <w:jc w:val="right"/>
                      <w:rPr>
                        <w:rFonts w:ascii="宋体" w:hAnsi="宋体"/>
                        <w:kern w:val="2"/>
                      </w:rPr>
                    </w:pPr>
                    <w:r>
                      <w:rPr>
                        <w:rFonts w:ascii="宋体" w:hAnsi="宋体"/>
                        <w:kern w:val="2"/>
                      </w:rPr>
                      <w:t>-976</w:t>
                    </w:r>
                  </w:p>
                </w:tc>
              </w:tr>
              <w:tr>
                <w:trPr>
                  <w:trHeight w:val="400"/>
                  <w:jc w:val="center"/>
                </w:trPr>
                <w:tc>
                  <w:tcPr>
                    <w:tcW w:w="2728" w:type="dxa"/>
                    <w:vAlign w:val="center"/>
                  </w:tcPr>
                  <w:p>
                    <w:pPr>
                      <w:rPr>
                        <w:rFonts w:ascii="宋体" w:hAnsi="宋体"/>
                        <w:kern w:val="2"/>
                      </w:rPr>
                    </w:pPr>
                    <w:r>
                      <w:rPr>
                        <w:rFonts w:ascii="宋体" w:hAnsi="宋体" w:hint="eastAsia"/>
                        <w:kern w:val="2"/>
                      </w:rPr>
                      <w:t>新疆能化</w:t>
                    </w:r>
                  </w:p>
                </w:tc>
                <w:tc>
                  <w:tcPr>
                    <w:tcW w:w="3129" w:type="dxa"/>
                    <w:vAlign w:val="center"/>
                  </w:tcPr>
                  <w:p>
                    <w:pPr>
                      <w:jc w:val="right"/>
                      <w:rPr>
                        <w:rFonts w:ascii="宋体" w:hAnsi="宋体"/>
                        <w:kern w:val="2"/>
                      </w:rPr>
                    </w:pPr>
                    <w:r>
                      <w:rPr>
                        <w:rFonts w:ascii="宋体" w:hAnsi="宋体"/>
                        <w:kern w:val="2"/>
                      </w:rPr>
                      <w:t>19</w:t>
                    </w:r>
                  </w:p>
                </w:tc>
                <w:tc>
                  <w:tcPr>
                    <w:tcW w:w="3065" w:type="dxa"/>
                    <w:vAlign w:val="center"/>
                  </w:tcPr>
                  <w:p>
                    <w:pPr>
                      <w:jc w:val="right"/>
                      <w:rPr>
                        <w:rFonts w:ascii="宋体" w:hAnsi="宋体"/>
                        <w:kern w:val="2"/>
                      </w:rPr>
                    </w:pPr>
                    <w:r>
                      <w:rPr>
                        <w:rFonts w:ascii="宋体" w:hAnsi="宋体"/>
                        <w:kern w:val="2"/>
                      </w:rPr>
                      <w:t>-618</w:t>
                    </w:r>
                  </w:p>
                </w:tc>
              </w:tr>
              <w:tr>
                <w:trPr>
                  <w:trHeight w:val="400"/>
                  <w:jc w:val="center"/>
                </w:trPr>
                <w:tc>
                  <w:tcPr>
                    <w:tcW w:w="2728" w:type="dxa"/>
                    <w:vAlign w:val="center"/>
                  </w:tcPr>
                  <w:p>
                    <w:pPr>
                      <w:rPr>
                        <w:rFonts w:ascii="宋体" w:hAnsi="宋体"/>
                        <w:kern w:val="2"/>
                      </w:rPr>
                    </w:pPr>
                    <w:r>
                      <w:rPr>
                        <w:rFonts w:ascii="宋体" w:hAnsi="宋体" w:hint="eastAsia"/>
                        <w:kern w:val="2"/>
                      </w:rPr>
                      <w:t>兖煤澳洲</w:t>
                    </w:r>
                  </w:p>
                </w:tc>
                <w:tc>
                  <w:tcPr>
                    <w:tcW w:w="3129" w:type="dxa"/>
                    <w:vAlign w:val="center"/>
                  </w:tcPr>
                  <w:p>
                    <w:pPr>
                      <w:jc w:val="right"/>
                      <w:rPr>
                        <w:rFonts w:ascii="宋体" w:hAnsi="宋体"/>
                        <w:kern w:val="2"/>
                      </w:rPr>
                    </w:pPr>
                    <w:r>
                      <w:rPr>
                        <w:rFonts w:ascii="宋体" w:hAnsi="宋体"/>
                        <w:kern w:val="2"/>
                      </w:rPr>
                      <w:t>335</w:t>
                    </w:r>
                  </w:p>
                </w:tc>
                <w:tc>
                  <w:tcPr>
                    <w:tcW w:w="3065" w:type="dxa"/>
                    <w:vAlign w:val="center"/>
                  </w:tcPr>
                  <w:p>
                    <w:pPr>
                      <w:jc w:val="right"/>
                      <w:rPr>
                        <w:rFonts w:ascii="宋体" w:hAnsi="宋体"/>
                        <w:kern w:val="2"/>
                      </w:rPr>
                    </w:pPr>
                    <w:r>
                      <w:rPr>
                        <w:rFonts w:ascii="宋体" w:hAnsi="宋体"/>
                        <w:kern w:val="2"/>
                      </w:rPr>
                      <w:t>-5,321</w:t>
                    </w:r>
                  </w:p>
                </w:tc>
              </w:tr>
              <w:tr>
                <w:trPr>
                  <w:trHeight w:val="400"/>
                  <w:jc w:val="center"/>
                </w:trPr>
                <w:tc>
                  <w:tcPr>
                    <w:tcW w:w="2728" w:type="dxa"/>
                    <w:vAlign w:val="center"/>
                  </w:tcPr>
                  <w:p>
                    <w:pPr>
                      <w:rPr>
                        <w:rFonts w:ascii="宋体" w:hAnsi="宋体"/>
                        <w:kern w:val="2"/>
                      </w:rPr>
                    </w:pPr>
                    <w:r>
                      <w:rPr>
                        <w:rFonts w:ascii="宋体" w:hAnsi="宋体" w:hint="eastAsia"/>
                        <w:kern w:val="2"/>
                      </w:rPr>
                      <w:t>兖煤国际</w:t>
                    </w:r>
                  </w:p>
                </w:tc>
                <w:tc>
                  <w:tcPr>
                    <w:tcW w:w="3129" w:type="dxa"/>
                    <w:vAlign w:val="center"/>
                  </w:tcPr>
                  <w:p>
                    <w:pPr>
                      <w:jc w:val="right"/>
                      <w:rPr>
                        <w:rFonts w:ascii="宋体" w:hAnsi="宋体"/>
                        <w:kern w:val="2"/>
                      </w:rPr>
                    </w:pPr>
                    <w:r>
                      <w:rPr>
                        <w:rFonts w:ascii="宋体" w:hAnsi="宋体"/>
                        <w:kern w:val="2"/>
                      </w:rPr>
                      <w:t>-38</w:t>
                    </w:r>
                  </w:p>
                </w:tc>
                <w:tc>
                  <w:tcPr>
                    <w:tcW w:w="3065" w:type="dxa"/>
                    <w:vAlign w:val="center"/>
                  </w:tcPr>
                  <w:p>
                    <w:pPr>
                      <w:jc w:val="right"/>
                      <w:rPr>
                        <w:rFonts w:ascii="宋体" w:hAnsi="宋体"/>
                        <w:kern w:val="2"/>
                      </w:rPr>
                    </w:pPr>
                    <w:r>
                      <w:rPr>
                        <w:rFonts w:ascii="宋体" w:hAnsi="宋体"/>
                        <w:kern w:val="2"/>
                      </w:rPr>
                      <w:t>-513</w:t>
                    </w:r>
                  </w:p>
                </w:tc>
              </w:tr>
              <w:tr>
                <w:trPr>
                  <w:trHeight w:val="400"/>
                  <w:jc w:val="center"/>
                </w:trPr>
                <w:tc>
                  <w:tcPr>
                    <w:tcW w:w="2728" w:type="dxa"/>
                    <w:vAlign w:val="center"/>
                  </w:tcPr>
                  <w:p>
                    <w:pPr>
                      <w:rPr>
                        <w:rFonts w:ascii="宋体" w:hAnsi="宋体"/>
                        <w:kern w:val="2"/>
                      </w:rPr>
                    </w:pPr>
                    <w:r>
                      <w:rPr>
                        <w:rFonts w:ascii="宋体" w:hAnsi="宋体" w:hint="eastAsia"/>
                        <w:kern w:val="2"/>
                      </w:rPr>
                      <w:t>贸易煤</w:t>
                    </w:r>
                  </w:p>
                </w:tc>
                <w:tc>
                  <w:tcPr>
                    <w:tcW w:w="3129" w:type="dxa"/>
                    <w:vAlign w:val="center"/>
                  </w:tcPr>
                  <w:p>
                    <w:pPr>
                      <w:jc w:val="right"/>
                      <w:rPr>
                        <w:rFonts w:ascii="宋体" w:hAnsi="宋体"/>
                        <w:kern w:val="2"/>
                      </w:rPr>
                    </w:pPr>
                    <w:r>
                      <w:rPr>
                        <w:rFonts w:ascii="宋体" w:hAnsi="宋体"/>
                        <w:kern w:val="2"/>
                      </w:rPr>
                      <w:t>-684</w:t>
                    </w:r>
                  </w:p>
                </w:tc>
                <w:tc>
                  <w:tcPr>
                    <w:tcW w:w="3065" w:type="dxa"/>
                    <w:vAlign w:val="center"/>
                  </w:tcPr>
                  <w:p>
                    <w:pPr>
                      <w:jc w:val="right"/>
                      <w:rPr>
                        <w:rFonts w:ascii="宋体" w:hAnsi="宋体"/>
                        <w:kern w:val="2"/>
                      </w:rPr>
                    </w:pPr>
                    <w:r>
                      <w:rPr>
                        <w:rFonts w:ascii="宋体" w:hAnsi="宋体"/>
                        <w:kern w:val="2"/>
                      </w:rPr>
                      <w:t>-1,885</w:t>
                    </w:r>
                  </w:p>
                </w:tc>
              </w:tr>
              <w:bookmarkEnd w:id="60"/>
            </w:tbl>
            <w:p>
              <w:pPr>
                <w:rPr>
                  <w:rFonts w:ascii="宋体" w:hAnsi="宋体" w:cs="宋体"/>
                </w:rPr>
              </w:pPr>
            </w:p>
            <w:p>
              <w:pPr>
                <w:widowControl w:val="0"/>
                <w:ind w:firstLineChars="200" w:firstLine="420"/>
                <w:jc w:val="both"/>
                <w:rPr>
                  <w:rFonts w:ascii="宋体" w:hAnsi="宋体"/>
                  <w:kern w:val="2"/>
                </w:rPr>
              </w:pPr>
              <w:r>
                <w:rPr>
                  <w:rFonts w:ascii="宋体" w:hAnsi="宋体" w:hint="eastAsia"/>
                  <w:kern w:val="2"/>
                </w:rPr>
                <w:t>本集团煤炭产品销售主要集中于中国、日本、韩国、澳大利亚、泰国等市场。</w:t>
              </w:r>
            </w:p>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年本集团按地区分类的煤炭销售情况如下表：</w:t>
              </w:r>
            </w:p>
            <w:tbl>
              <w:tblPr>
                <w:tblStyle w:val="g2"/>
                <w:tblW w:w="4871" w:type="pct"/>
                <w:jc w:val="center"/>
                <w:tblInd w:w="0" w:type="dxa"/>
                <w:tblCellMar>
                  <w:left w:w="108" w:type="dxa"/>
                  <w:right w:w="108" w:type="dxa"/>
                </w:tblCellMar>
                <w:tblLook w:val="04A0" w:firstRow="1" w:lastRow="0" w:firstColumn="1" w:lastColumn="0" w:noHBand="0" w:noVBand="1"/>
              </w:tblPr>
              <w:tblGrid>
                <w:gridCol w:w="2313"/>
                <w:gridCol w:w="1554"/>
                <w:gridCol w:w="1606"/>
                <w:gridCol w:w="1661"/>
                <w:gridCol w:w="1461"/>
              </w:tblGrid>
              <w:tr>
                <w:trPr>
                  <w:trHeight w:val="333"/>
                  <w:tblHeader/>
                  <w:jc w:val="center"/>
                </w:trPr>
                <w:tc>
                  <w:tcPr>
                    <w:tcW w:w="1346" w:type="pct"/>
                    <w:vMerge w:val="restar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p>
                </w:tc>
                <w:tc>
                  <w:tcPr>
                    <w:tcW w:w="1838" w:type="pct"/>
                    <w:gridSpan w:val="2"/>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w:t>
                    </w:r>
                  </w:p>
                </w:tc>
                <w:tc>
                  <w:tcPr>
                    <w:tcW w:w="1816" w:type="pct"/>
                    <w:gridSpan w:val="2"/>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202</w:t>
                    </w:r>
                    <w:r>
                      <w:rPr>
                        <w:rFonts w:ascii="宋体" w:hAnsi="宋体"/>
                        <w:kern w:val="2"/>
                      </w:rPr>
                      <w:t>4</w:t>
                    </w:r>
                    <w:r>
                      <w:rPr>
                        <w:rFonts w:ascii="宋体" w:hAnsi="宋体" w:hint="eastAsia"/>
                        <w:kern w:val="2"/>
                      </w:rPr>
                      <w:t>年</w:t>
                    </w:r>
                  </w:p>
                </w:tc>
              </w:tr>
              <w:tr>
                <w:trPr>
                  <w:trHeight w:val="77"/>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p>
                </w:tc>
                <w:tc>
                  <w:tcPr>
                    <w:tcW w:w="904" w:type="pct"/>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销量</w:t>
                    </w:r>
                  </w:p>
                </w:tc>
                <w:tc>
                  <w:tcPr>
                    <w:tcW w:w="934" w:type="pct"/>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销售收入</w:t>
                    </w:r>
                  </w:p>
                </w:tc>
                <w:tc>
                  <w:tcPr>
                    <w:tcW w:w="966" w:type="pct"/>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销量</w:t>
                    </w:r>
                  </w:p>
                </w:tc>
                <w:tc>
                  <w:tcPr>
                    <w:tcW w:w="850" w:type="pct"/>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销售收入</w:t>
                    </w:r>
                  </w:p>
                </w:tc>
              </w:tr>
              <w:tr>
                <w:trPr>
                  <w:trHeight w:val="77"/>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p>
                </w:tc>
                <w:tc>
                  <w:tcPr>
                    <w:tcW w:w="904" w:type="pct"/>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（千吨）</w:t>
                    </w:r>
                  </w:p>
                </w:tc>
                <w:tc>
                  <w:tcPr>
                    <w:tcW w:w="934" w:type="pct"/>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（百万元）</w:t>
                    </w:r>
                  </w:p>
                </w:tc>
                <w:tc>
                  <w:tcPr>
                    <w:tcW w:w="966" w:type="pct"/>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（千吨）</w:t>
                    </w:r>
                  </w:p>
                </w:tc>
                <w:tc>
                  <w:tcPr>
                    <w:tcW w:w="850" w:type="pct"/>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（百万元）</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一、中国</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143,304</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69,165</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139,803</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85,767</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tcPr>
                  <w:p>
                    <w:pPr>
                      <w:ind w:firstLineChars="200" w:firstLine="420"/>
                      <w:rPr>
                        <w:rFonts w:ascii="宋体" w:hAnsi="宋体"/>
                        <w:kern w:val="2"/>
                      </w:rPr>
                    </w:pPr>
                    <w:r>
                      <w:rPr>
                        <w:rFonts w:ascii="宋体" w:hAnsi="宋体" w:hint="eastAsia"/>
                        <w:kern w:val="2"/>
                      </w:rPr>
                      <w:t>华东地区</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54,942</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32,628</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55,968</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42,278</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tcPr>
                  <w:p>
                    <w:pPr>
                      <w:ind w:firstLineChars="200" w:firstLine="420"/>
                      <w:rPr>
                        <w:rFonts w:ascii="宋体" w:hAnsi="宋体"/>
                        <w:kern w:val="2"/>
                      </w:rPr>
                    </w:pPr>
                    <w:r>
                      <w:rPr>
                        <w:rFonts w:ascii="宋体" w:hAnsi="宋体" w:hint="eastAsia"/>
                        <w:kern w:val="2"/>
                      </w:rPr>
                      <w:t>华南地区</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14,075</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7,435</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16,471</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10,721</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tcPr>
                  <w:p>
                    <w:pPr>
                      <w:ind w:firstLineChars="200" w:firstLine="420"/>
                      <w:rPr>
                        <w:rFonts w:ascii="宋体" w:hAnsi="宋体"/>
                        <w:kern w:val="2"/>
                      </w:rPr>
                    </w:pPr>
                    <w:r>
                      <w:rPr>
                        <w:rFonts w:ascii="宋体" w:hAnsi="宋体" w:hint="eastAsia"/>
                        <w:kern w:val="2"/>
                      </w:rPr>
                      <w:t>华中地区</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9,318</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5,474</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8,993</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7,226</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tcPr>
                  <w:p>
                    <w:pPr>
                      <w:ind w:firstLineChars="200" w:firstLine="420"/>
                      <w:rPr>
                        <w:rFonts w:ascii="宋体" w:hAnsi="宋体"/>
                        <w:kern w:val="2"/>
                      </w:rPr>
                    </w:pPr>
                    <w:r>
                      <w:rPr>
                        <w:rFonts w:ascii="宋体" w:hAnsi="宋体" w:hint="eastAsia"/>
                        <w:kern w:val="2"/>
                      </w:rPr>
                      <w:t>华北地区</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31,115</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14,233</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25,511</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14,175</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tcPr>
                  <w:p>
                    <w:pPr>
                      <w:ind w:firstLineChars="200" w:firstLine="420"/>
                      <w:rPr>
                        <w:rFonts w:ascii="宋体" w:hAnsi="宋体"/>
                        <w:kern w:val="2"/>
                      </w:rPr>
                    </w:pPr>
                    <w:r>
                      <w:rPr>
                        <w:rFonts w:ascii="宋体" w:hAnsi="宋体" w:hint="eastAsia"/>
                        <w:kern w:val="2"/>
                      </w:rPr>
                      <w:t>西北地区</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31,539</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7,783</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30,403</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9,255</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ind w:firstLineChars="200" w:firstLine="420"/>
                      <w:rPr>
                        <w:rFonts w:ascii="宋体" w:hAnsi="宋体"/>
                        <w:kern w:val="2"/>
                      </w:rPr>
                    </w:pPr>
                    <w:r>
                      <w:rPr>
                        <w:rFonts w:ascii="宋体" w:hAnsi="宋体" w:hint="eastAsia"/>
                        <w:kern w:val="2"/>
                      </w:rPr>
                      <w:t>其他地区</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2,316</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1,611</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2,457</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2,112</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二、日本</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11,949</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9,491</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 xml:space="preserve">9,983 </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 xml:space="preserve">10,684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三、韩国</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5,075</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3,493</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 xml:space="preserve">5,291 </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 xml:space="preserve">4,859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四、澳大利亚</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2,839</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1,494</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 xml:space="preserve">3,773 </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 xml:space="preserve">1,666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五、泰国</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3,871</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1,994</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 xml:space="preserve">3,554 </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 xml:space="preserve">1,788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六、其他</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4,189</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3,029</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2,645</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2,360</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七、本集团总计</w:t>
                    </w:r>
                  </w:p>
                </w:tc>
                <w:tc>
                  <w:tcPr>
                    <w:tcW w:w="90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171,226</w:t>
                    </w:r>
                  </w:p>
                </w:tc>
                <w:tc>
                  <w:tcPr>
                    <w:tcW w:w="934"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88,666</w:t>
                    </w:r>
                  </w:p>
                </w:tc>
                <w:tc>
                  <w:tcPr>
                    <w:tcW w:w="966"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165,050</w:t>
                    </w:r>
                  </w:p>
                </w:tc>
                <w:tc>
                  <w:tcPr>
                    <w:tcW w:w="850" w:type="pct"/>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kern w:val="2"/>
                      </w:rPr>
                      <w:t>107,124</w:t>
                    </w:r>
                  </w:p>
                </w:tc>
              </w:tr>
            </w:tbl>
            <w:p>
              <w:pPr>
                <w:rPr>
                  <w:rFonts w:ascii="宋体" w:hAnsi="宋体" w:cs="宋体"/>
                </w:rPr>
              </w:pPr>
            </w:p>
            <w:p>
              <w:pPr>
                <w:rPr>
                  <w:rFonts w:ascii="宋体" w:hAnsi="宋体"/>
                  <w:kern w:val="2"/>
                </w:rPr>
              </w:pPr>
              <w:r>
                <w:rPr>
                  <w:rFonts w:ascii="宋体" w:hAnsi="宋体"/>
                  <w:kern w:val="2"/>
                </w:rPr>
                <w:br w:type="page"/>
              </w:r>
            </w:p>
            <w:p>
              <w:pPr>
                <w:widowControl w:val="0"/>
                <w:ind w:firstLineChars="200" w:firstLine="420"/>
                <w:jc w:val="both"/>
                <w:rPr>
                  <w:rFonts w:ascii="宋体" w:hAnsi="宋体"/>
                  <w:kern w:val="2"/>
                </w:rPr>
              </w:pPr>
              <w:r>
                <w:rPr>
                  <w:rFonts w:ascii="宋体" w:hAnsi="宋体" w:hint="eastAsia"/>
                  <w:kern w:val="2"/>
                </w:rPr>
                <w:lastRenderedPageBreak/>
                <w:t>本集团煤炭产品大部分销往电力、冶金、化工、商贸等行业。</w:t>
              </w:r>
            </w:p>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年本集团按行业分类的煤炭销售情况如下表：</w:t>
              </w:r>
            </w:p>
            <w:tbl>
              <w:tblPr>
                <w:tblStyle w:val="g2"/>
                <w:tblW w:w="9070" w:type="dxa"/>
                <w:jc w:val="center"/>
                <w:tblInd w:w="0" w:type="dxa"/>
                <w:tblLayout w:type="fixed"/>
                <w:tblCellMar>
                  <w:left w:w="108" w:type="dxa"/>
                  <w:right w:w="108" w:type="dxa"/>
                </w:tblCellMar>
                <w:tblLook w:val="04A0" w:firstRow="1" w:lastRow="0" w:firstColumn="1" w:lastColumn="0" w:noHBand="0" w:noVBand="1"/>
              </w:tblPr>
              <w:tblGrid>
                <w:gridCol w:w="2278"/>
                <w:gridCol w:w="1697"/>
                <w:gridCol w:w="1699"/>
                <w:gridCol w:w="1697"/>
                <w:gridCol w:w="1699"/>
              </w:tblGrid>
              <w:tr>
                <w:trPr>
                  <w:trHeight w:val="348"/>
                  <w:jc w:val="center"/>
                </w:trPr>
                <w:tc>
                  <w:tcPr>
                    <w:tcW w:w="2278" w:type="dxa"/>
                    <w:vMerge w:val="restart"/>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p>
                </w:tc>
                <w:tc>
                  <w:tcPr>
                    <w:tcW w:w="3396" w:type="dxa"/>
                    <w:gridSpan w:val="2"/>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w:t>
                    </w:r>
                  </w:p>
                </w:tc>
                <w:tc>
                  <w:tcPr>
                    <w:tcW w:w="3396" w:type="dxa"/>
                    <w:gridSpan w:val="2"/>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202</w:t>
                    </w:r>
                    <w:r>
                      <w:rPr>
                        <w:rFonts w:ascii="宋体" w:hAnsi="宋体"/>
                        <w:kern w:val="2"/>
                      </w:rPr>
                      <w:t>4</w:t>
                    </w:r>
                    <w:r>
                      <w:rPr>
                        <w:rFonts w:ascii="宋体" w:hAnsi="宋体" w:hint="eastAsia"/>
                        <w:kern w:val="2"/>
                      </w:rPr>
                      <w:t>年</w:t>
                    </w:r>
                  </w:p>
                </w:tc>
              </w:tr>
              <w:tr>
                <w:trPr>
                  <w:trHeight w:val="161"/>
                  <w:jc w:val="center"/>
                </w:trPr>
                <w:tc>
                  <w:tcPr>
                    <w:tcW w:w="2278" w:type="dxa"/>
                    <w:vMerge/>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p>
                </w:tc>
                <w:tc>
                  <w:tcPr>
                    <w:tcW w:w="1697"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销量</w:t>
                    </w:r>
                  </w:p>
                </w:tc>
                <w:tc>
                  <w:tcPr>
                    <w:tcW w:w="1699"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销售收入</w:t>
                    </w:r>
                  </w:p>
                </w:tc>
                <w:tc>
                  <w:tcPr>
                    <w:tcW w:w="1697"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销量</w:t>
                    </w:r>
                  </w:p>
                </w:tc>
                <w:tc>
                  <w:tcPr>
                    <w:tcW w:w="1699"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销售收入</w:t>
                    </w:r>
                  </w:p>
                </w:tc>
              </w:tr>
              <w:tr>
                <w:trPr>
                  <w:trHeight w:val="161"/>
                  <w:jc w:val="center"/>
                </w:trPr>
                <w:tc>
                  <w:tcPr>
                    <w:tcW w:w="2278" w:type="dxa"/>
                    <w:vMerge/>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p>
                </w:tc>
                <w:tc>
                  <w:tcPr>
                    <w:tcW w:w="1697"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（千吨）</w:t>
                    </w:r>
                  </w:p>
                </w:tc>
                <w:tc>
                  <w:tcPr>
                    <w:tcW w:w="1699"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（百万元）</w:t>
                    </w:r>
                  </w:p>
                </w:tc>
                <w:tc>
                  <w:tcPr>
                    <w:tcW w:w="1697"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（千吨）</w:t>
                    </w:r>
                  </w:p>
                </w:tc>
                <w:tc>
                  <w:tcPr>
                    <w:tcW w:w="1699" w:type="dxa"/>
                    <w:tcBorders>
                      <w:top w:val="single" w:sz="4" w:space="0" w:color="auto"/>
                      <w:left w:val="nil"/>
                      <w:bottom w:val="single" w:sz="4" w:space="0" w:color="auto"/>
                      <w:right w:val="single" w:sz="4" w:space="0" w:color="auto"/>
                    </w:tcBorders>
                    <w:vAlign w:val="center"/>
                  </w:tcPr>
                  <w:p>
                    <w:pPr>
                      <w:jc w:val="center"/>
                      <w:rPr>
                        <w:rFonts w:ascii="宋体" w:hAnsi="宋体"/>
                        <w:kern w:val="2"/>
                      </w:rPr>
                    </w:pPr>
                    <w:r>
                      <w:rPr>
                        <w:rFonts w:ascii="宋体" w:hAnsi="宋体" w:hint="eastAsia"/>
                        <w:kern w:val="2"/>
                      </w:rPr>
                      <w:t>（百万元）</w:t>
                    </w:r>
                  </w:p>
                </w:tc>
              </w:tr>
              <w:tr>
                <w:trPr>
                  <w:trHeight w:val="280"/>
                  <w:jc w:val="center"/>
                </w:trPr>
                <w:tc>
                  <w:tcPr>
                    <w:tcW w:w="2278"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一、电力</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64,033</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34,668</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73,310</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43,770</w:t>
                    </w:r>
                  </w:p>
                </w:tc>
              </w:tr>
              <w:tr>
                <w:trPr>
                  <w:trHeight w:val="335"/>
                  <w:jc w:val="center"/>
                </w:trPr>
                <w:tc>
                  <w:tcPr>
                    <w:tcW w:w="2278"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二、冶金</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21,993</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18,197</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19,706</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23,234</w:t>
                    </w:r>
                  </w:p>
                </w:tc>
              </w:tr>
              <w:tr>
                <w:trPr>
                  <w:trHeight w:val="295"/>
                  <w:jc w:val="center"/>
                </w:trPr>
                <w:tc>
                  <w:tcPr>
                    <w:tcW w:w="2278"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三、化工</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22,393</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9,666</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20,337</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11,927</w:t>
                    </w:r>
                  </w:p>
                </w:tc>
              </w:tr>
              <w:tr>
                <w:trPr>
                  <w:trHeight w:val="295"/>
                  <w:jc w:val="center"/>
                </w:trPr>
                <w:tc>
                  <w:tcPr>
                    <w:tcW w:w="2278"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四、商贸</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53,399</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21,200</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42,520</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21,996</w:t>
                    </w:r>
                  </w:p>
                </w:tc>
              </w:tr>
              <w:tr>
                <w:trPr>
                  <w:trHeight w:val="335"/>
                  <w:jc w:val="center"/>
                </w:trPr>
                <w:tc>
                  <w:tcPr>
                    <w:tcW w:w="2278"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五、其他</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9,408</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4,936</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9,177</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6,197</w:t>
                    </w:r>
                  </w:p>
                </w:tc>
              </w:tr>
              <w:tr>
                <w:trPr>
                  <w:trHeight w:val="351"/>
                  <w:jc w:val="center"/>
                </w:trPr>
                <w:tc>
                  <w:tcPr>
                    <w:tcW w:w="2278" w:type="dxa"/>
                    <w:tcBorders>
                      <w:top w:val="single" w:sz="4" w:space="0" w:color="auto"/>
                      <w:left w:val="single" w:sz="4" w:space="0" w:color="auto"/>
                      <w:bottom w:val="single" w:sz="4" w:space="0" w:color="auto"/>
                      <w:right w:val="single" w:sz="4" w:space="0" w:color="auto"/>
                    </w:tcBorders>
                    <w:vAlign w:val="center"/>
                  </w:tcPr>
                  <w:p>
                    <w:pPr>
                      <w:rPr>
                        <w:rFonts w:ascii="宋体" w:hAnsi="宋体"/>
                        <w:kern w:val="2"/>
                      </w:rPr>
                    </w:pPr>
                    <w:r>
                      <w:rPr>
                        <w:rFonts w:ascii="宋体" w:hAnsi="宋体" w:hint="eastAsia"/>
                        <w:kern w:val="2"/>
                      </w:rPr>
                      <w:t>六、本集团总计</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171,226</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88,666</w:t>
                    </w:r>
                  </w:p>
                </w:tc>
                <w:tc>
                  <w:tcPr>
                    <w:tcW w:w="1697"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165,050</w:t>
                    </w:r>
                  </w:p>
                </w:tc>
                <w:tc>
                  <w:tcPr>
                    <w:tcW w:w="1699" w:type="dxa"/>
                    <w:tcBorders>
                      <w:top w:val="single" w:sz="4" w:space="0" w:color="auto"/>
                      <w:left w:val="nil"/>
                      <w:bottom w:val="single" w:sz="4" w:space="0" w:color="auto"/>
                      <w:right w:val="single" w:sz="4" w:space="0" w:color="auto"/>
                    </w:tcBorders>
                    <w:vAlign w:val="center"/>
                  </w:tcPr>
                  <w:p>
                    <w:pPr>
                      <w:jc w:val="right"/>
                      <w:rPr>
                        <w:rFonts w:ascii="宋体" w:hAnsi="宋体"/>
                        <w:kern w:val="2"/>
                      </w:rPr>
                    </w:pPr>
                    <w:r>
                      <w:rPr>
                        <w:rFonts w:ascii="宋体" w:hAnsi="宋体" w:hint="eastAsia"/>
                      </w:rPr>
                      <w:t>107,124</w:t>
                    </w:r>
                  </w:p>
                </w:tc>
              </w:tr>
            </w:tbl>
            <w:p>
              <w:pPr>
                <w:rPr>
                  <w:rFonts w:ascii="宋体" w:hAnsi="宋体" w:cs="宋体"/>
                </w:rPr>
              </w:pPr>
            </w:p>
            <w:p>
              <w:pPr>
                <w:widowControl w:val="0"/>
                <w:jc w:val="both"/>
                <w:rPr>
                  <w:rFonts w:ascii="宋体" w:hAnsi="宋体"/>
                  <w:b/>
                  <w:bCs/>
                  <w:kern w:val="2"/>
                </w:rPr>
              </w:pPr>
              <w:r>
                <w:rPr>
                  <w:rFonts w:ascii="宋体" w:hAnsi="宋体" w:hint="eastAsia"/>
                  <w:b/>
                  <w:bCs/>
                  <w:kern w:val="2"/>
                </w:rPr>
                <w:t>(3)煤炭销售成本</w:t>
              </w:r>
            </w:p>
            <w:p>
              <w:pPr>
                <w:widowControl w:val="0"/>
                <w:ind w:firstLineChars="200" w:firstLine="420"/>
                <w:jc w:val="both"/>
                <w:rPr>
                  <w:rFonts w:ascii="宋体" w:hAnsi="宋体"/>
                  <w:kern w:val="2"/>
                </w:rPr>
              </w:pPr>
              <w:r>
                <w:rPr>
                  <w:rFonts w:ascii="宋体" w:hAnsi="宋体"/>
                  <w:kern w:val="2"/>
                </w:rPr>
                <w:t>2025年本集团煤炭业务销售成本565.95亿元，同比</w:t>
              </w:r>
              <w:r>
                <w:rPr>
                  <w:rFonts w:ascii="宋体" w:hAnsi="宋体" w:hint="eastAsia"/>
                  <w:kern w:val="2"/>
                </w:rPr>
                <w:t>减少</w:t>
              </w:r>
              <w:r>
                <w:rPr>
                  <w:rFonts w:ascii="宋体" w:hAnsi="宋体"/>
                  <w:kern w:val="2"/>
                </w:rPr>
                <w:t>25.72亿元或4.3%</w:t>
              </w:r>
              <w:bookmarkStart w:id="61" w:name="_Hlk212407965"/>
              <w:r>
                <w:rPr>
                  <w:rFonts w:ascii="宋体" w:hAnsi="宋体" w:hint="eastAsia"/>
                  <w:kern w:val="2"/>
                </w:rPr>
                <w:t>；自产煤吨煤销售成本</w:t>
              </w:r>
              <w:r>
                <w:rPr>
                  <w:rFonts w:ascii="宋体" w:hAnsi="宋体"/>
                  <w:kern w:val="2"/>
                </w:rPr>
                <w:t xml:space="preserve">321.09 </w:t>
              </w:r>
              <w:r>
                <w:rPr>
                  <w:rFonts w:ascii="宋体" w:hAnsi="宋体" w:hint="eastAsia"/>
                  <w:kern w:val="2"/>
                </w:rPr>
                <w:t>元/吨，同比下降</w:t>
              </w:r>
              <w:r>
                <w:rPr>
                  <w:rFonts w:ascii="宋体" w:hAnsi="宋体"/>
                  <w:kern w:val="2"/>
                </w:rPr>
                <w:t>14.43</w:t>
              </w:r>
              <w:r>
                <w:rPr>
                  <w:rFonts w:ascii="宋体" w:hAnsi="宋体" w:hint="eastAsia"/>
                  <w:kern w:val="2"/>
                </w:rPr>
                <w:t>元/吨或</w:t>
              </w:r>
              <w:r>
                <w:rPr>
                  <w:rFonts w:ascii="宋体" w:hAnsi="宋体"/>
                  <w:kern w:val="2"/>
                </w:rPr>
                <w:t>4.3%</w:t>
              </w:r>
              <w:r>
                <w:rPr>
                  <w:rFonts w:ascii="宋体" w:hAnsi="宋体" w:hint="eastAsia"/>
                  <w:kern w:val="2"/>
                </w:rPr>
                <w:t>。</w:t>
              </w:r>
              <w:bookmarkEnd w:id="61"/>
            </w:p>
            <w:p>
              <w:pPr>
                <w:widowControl w:val="0"/>
                <w:ind w:firstLineChars="200" w:firstLine="420"/>
                <w:jc w:val="both"/>
                <w:rPr>
                  <w:rFonts w:ascii="宋体" w:hAnsi="宋体"/>
                  <w:kern w:val="2"/>
                </w:rPr>
              </w:pPr>
              <w:r>
                <w:rPr>
                  <w:rFonts w:ascii="宋体" w:hAnsi="宋体" w:hint="eastAsia"/>
                  <w:kern w:val="2"/>
                </w:rPr>
                <w:t>按经营主体分类的煤炭业务销售成本情况如下表：</w:t>
              </w:r>
            </w:p>
            <w:tbl>
              <w:tblPr>
                <w:tblStyle w:val="g21"/>
                <w:tblW w:w="107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07"/>
                <w:gridCol w:w="1276"/>
                <w:gridCol w:w="1281"/>
                <w:gridCol w:w="1265"/>
                <w:gridCol w:w="856"/>
                <w:gridCol w:w="1147"/>
                <w:gridCol w:w="1115"/>
                <w:gridCol w:w="1134"/>
                <w:gridCol w:w="1018"/>
              </w:tblGrid>
              <w:tr>
                <w:trPr>
                  <w:trHeight w:val="312"/>
                  <w:jc w:val="center"/>
                </w:trPr>
                <w:tc>
                  <w:tcPr>
                    <w:tcW w:w="1707" w:type="dxa"/>
                    <w:vMerge w:val="restart"/>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p>
                </w:tc>
                <w:tc>
                  <w:tcPr>
                    <w:tcW w:w="4678" w:type="dxa"/>
                    <w:gridSpan w:val="4"/>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销售成本总额</w:t>
                    </w:r>
                  </w:p>
                </w:tc>
                <w:tc>
                  <w:tcPr>
                    <w:tcW w:w="4414" w:type="dxa"/>
                    <w:gridSpan w:val="4"/>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吨煤销售成本</w:t>
                    </w:r>
                  </w:p>
                </w:tc>
              </w:tr>
              <w:tr>
                <w:trPr>
                  <w:trHeight w:val="312"/>
                  <w:jc w:val="center"/>
                </w:trPr>
                <w:tc>
                  <w:tcPr>
                    <w:tcW w:w="1707" w:type="dxa"/>
                    <w:vMerge/>
                    <w:tcBorders>
                      <w:top w:val="single" w:sz="4" w:space="0" w:color="auto"/>
                      <w:left w:val="single" w:sz="4" w:space="0" w:color="auto"/>
                      <w:bottom w:val="single" w:sz="4" w:space="0" w:color="auto"/>
                      <w:right w:val="single" w:sz="4" w:space="0" w:color="auto"/>
                    </w:tcBorders>
                    <w:vAlign w:val="center"/>
                  </w:tcPr>
                  <w:p>
                    <w:pPr>
                      <w:rPr>
                        <w:rFonts w:ascii="宋体" w:hAnsi="宋体"/>
                        <w:bCs/>
                        <w:lang w:val="en-GB"/>
                      </w:rPr>
                    </w:pP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2025年</w:t>
                    </w:r>
                  </w:p>
                </w:tc>
                <w:tc>
                  <w:tcPr>
                    <w:tcW w:w="128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202</w:t>
                    </w:r>
                    <w:r>
                      <w:rPr>
                        <w:rFonts w:ascii="宋体" w:hAnsi="宋体"/>
                        <w:lang w:val="en-GB"/>
                      </w:rPr>
                      <w:t>4</w:t>
                    </w:r>
                    <w:r>
                      <w:rPr>
                        <w:rFonts w:ascii="宋体" w:hAnsi="宋体" w:hint="eastAsia"/>
                        <w:lang w:val="en-GB"/>
                      </w:rPr>
                      <w:t>年</w:t>
                    </w:r>
                  </w:p>
                </w:tc>
                <w:tc>
                  <w:tcPr>
                    <w:tcW w:w="1265"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增减</w:t>
                    </w:r>
                  </w:p>
                </w:tc>
                <w:tc>
                  <w:tcPr>
                    <w:tcW w:w="856"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增减幅</w:t>
                    </w:r>
                  </w:p>
                </w:tc>
                <w:tc>
                  <w:tcPr>
                    <w:tcW w:w="1147"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2025年</w:t>
                    </w:r>
                  </w:p>
                </w:tc>
                <w:tc>
                  <w:tcPr>
                    <w:tcW w:w="1115"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202</w:t>
                    </w:r>
                    <w:r>
                      <w:rPr>
                        <w:rFonts w:ascii="宋体" w:hAnsi="宋体"/>
                        <w:lang w:val="en-GB"/>
                      </w:rPr>
                      <w:t>4</w:t>
                    </w:r>
                    <w:r>
                      <w:rPr>
                        <w:rFonts w:ascii="宋体" w:hAnsi="宋体" w:hint="eastAsia"/>
                        <w:lang w:val="en-GB"/>
                      </w:rPr>
                      <w:t>年</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增减</w:t>
                    </w:r>
                  </w:p>
                </w:tc>
                <w:tc>
                  <w:tcPr>
                    <w:tcW w:w="10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增减幅</w:t>
                    </w:r>
                  </w:p>
                </w:tc>
              </w:tr>
              <w:tr>
                <w:trPr>
                  <w:trHeight w:val="312"/>
                  <w:jc w:val="center"/>
                </w:trPr>
                <w:tc>
                  <w:tcPr>
                    <w:tcW w:w="1707" w:type="dxa"/>
                    <w:vMerge/>
                    <w:tcBorders>
                      <w:top w:val="single" w:sz="4" w:space="0" w:color="auto"/>
                      <w:left w:val="single" w:sz="4" w:space="0" w:color="auto"/>
                      <w:bottom w:val="single" w:sz="4" w:space="0" w:color="auto"/>
                      <w:right w:val="single" w:sz="4" w:space="0" w:color="auto"/>
                    </w:tcBorders>
                    <w:vAlign w:val="center"/>
                  </w:tcPr>
                  <w:p>
                    <w:pPr>
                      <w:rPr>
                        <w:rFonts w:ascii="宋体" w:hAnsi="宋体"/>
                        <w:bCs/>
                        <w:lang w:val="en-GB"/>
                      </w:rPr>
                    </w:pPr>
                  </w:p>
                </w:tc>
                <w:tc>
                  <w:tcPr>
                    <w:tcW w:w="1276"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（百万元）</w:t>
                    </w:r>
                  </w:p>
                </w:tc>
                <w:tc>
                  <w:tcPr>
                    <w:tcW w:w="128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w:t>
                    </w:r>
                    <w:r>
                      <w:rPr>
                        <w:rFonts w:ascii="宋体" w:hAnsi="宋体"/>
                        <w:lang w:val="en-GB"/>
                      </w:rPr>
                      <w:t>百万元</w:t>
                    </w:r>
                    <w:r>
                      <w:rPr>
                        <w:rFonts w:ascii="宋体" w:hAnsi="宋体" w:hint="eastAsia"/>
                        <w:lang w:val="en-GB"/>
                      </w:rPr>
                      <w:t>）</w:t>
                    </w:r>
                  </w:p>
                </w:tc>
                <w:tc>
                  <w:tcPr>
                    <w:tcW w:w="1265"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w:t>
                    </w:r>
                    <w:r>
                      <w:rPr>
                        <w:rFonts w:ascii="宋体" w:hAnsi="宋体"/>
                        <w:lang w:val="en-GB"/>
                      </w:rPr>
                      <w:t>百万元</w:t>
                    </w:r>
                    <w:r>
                      <w:rPr>
                        <w:rFonts w:ascii="宋体" w:hAnsi="宋体" w:hint="eastAsia"/>
                        <w:lang w:val="en-GB"/>
                      </w:rPr>
                      <w:t>）</w:t>
                    </w:r>
                  </w:p>
                </w:tc>
                <w:tc>
                  <w:tcPr>
                    <w:tcW w:w="856"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w:t>
                    </w:r>
                  </w:p>
                </w:tc>
                <w:tc>
                  <w:tcPr>
                    <w:tcW w:w="1147"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hint="eastAsia"/>
                        <w:lang w:val="en-GB"/>
                      </w:rPr>
                      <w:t>（元/吨）</w:t>
                    </w:r>
                  </w:p>
                </w:tc>
                <w:tc>
                  <w:tcPr>
                    <w:tcW w:w="1115"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lang w:val="en-GB"/>
                      </w:rPr>
                      <w:t>（</w:t>
                    </w:r>
                    <w:r>
                      <w:rPr>
                        <w:rFonts w:ascii="宋体" w:hAnsi="宋体" w:hint="eastAsia"/>
                        <w:lang w:val="en-GB"/>
                      </w:rPr>
                      <w:t>元/吨</w:t>
                    </w:r>
                    <w:r>
                      <w:rPr>
                        <w:rFonts w:ascii="宋体" w:hAnsi="宋体"/>
                        <w:lang w:val="en-GB"/>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lang w:val="en-GB"/>
                      </w:rPr>
                      <w:t>（</w:t>
                    </w:r>
                    <w:r>
                      <w:rPr>
                        <w:rFonts w:ascii="宋体" w:hAnsi="宋体" w:hint="eastAsia"/>
                        <w:lang w:val="en-GB"/>
                      </w:rPr>
                      <w:t>元/吨</w:t>
                    </w:r>
                    <w:r>
                      <w:rPr>
                        <w:rFonts w:ascii="宋体" w:hAnsi="宋体"/>
                        <w:lang w:val="en-GB"/>
                      </w:rPr>
                      <w:t>）</w:t>
                    </w:r>
                  </w:p>
                </w:tc>
                <w:tc>
                  <w:tcPr>
                    <w:tcW w:w="10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lang w:val="en-GB"/>
                      </w:rPr>
                    </w:pPr>
                    <w:r>
                      <w:rPr>
                        <w:rFonts w:ascii="宋体" w:hAnsi="宋体"/>
                        <w:lang w:val="en-GB"/>
                      </w:rPr>
                      <w:t>（</w:t>
                    </w:r>
                    <w:r>
                      <w:rPr>
                        <w:rFonts w:ascii="宋体" w:hAnsi="宋体" w:hint="eastAsia"/>
                        <w:lang w:val="en-GB"/>
                      </w:rPr>
                      <w:t>%</w:t>
                    </w:r>
                    <w:r>
                      <w:rPr>
                        <w:rFonts w:ascii="宋体" w:hAnsi="宋体"/>
                        <w:lang w:val="en-GB"/>
                      </w:rPr>
                      <w:t>）</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公司</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7,806</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8,399</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-593</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-7.06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381.17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360.20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20.96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5.82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菏泽能化</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2,443</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1,244</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1,199</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96.36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629.09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784.05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-154.95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-19.76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鲁西矿业</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6,523</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6,361</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162</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2.55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473.36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550.59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-77.23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-14.03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天池能源</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445</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437</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8</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1.77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349.13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356.02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-6.89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-1.94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西北矿业</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9,235</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9,377</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-142</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-1.52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280.11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326.27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-46.16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-14.15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未来能源</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1,815</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2,055</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-240</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-11.68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127.75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136.14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-8.39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-6.16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鄂尔多斯公司</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1,467</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1,746</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-279</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-15.96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175.10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183.20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-8.10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-4.42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昊盛煤业</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1,897</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2,040</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-144</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-7.04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236.73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328.58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-91.85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-27.95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内蒙古矿业</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1,972</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1,794</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178</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9.90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241.92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270.75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-28.83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-10.65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新疆能化</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1,471</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1,870</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-400</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-21.38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77.41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99.13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-21.72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-21.91 </w:t>
                    </w:r>
                  </w:p>
                </w:tc>
              </w:tr>
              <w:tr>
                <w:trPr>
                  <w:trHeight w:val="312"/>
                  <w:jc w:val="center"/>
                </w:trPr>
                <w:tc>
                  <w:tcPr>
                    <w:tcW w:w="1707" w:type="dxa"/>
                    <w:vAlign w:val="center"/>
                  </w:tcPr>
                  <w:p>
                    <w:pPr>
                      <w:ind w:firstLineChars="100" w:firstLine="210"/>
                      <w:jc w:val="both"/>
                      <w:rPr>
                        <w:rFonts w:ascii="宋体" w:hAnsi="宋体"/>
                      </w:rPr>
                    </w:pPr>
                    <w:r>
                      <w:rPr>
                        <w:rFonts w:ascii="宋体" w:hAnsi="宋体" w:hint="eastAsia"/>
                      </w:rPr>
                      <w:t>兖煤澳洲</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19,080</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19,228</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-148</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-0.77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500.71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510.09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-9.38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-1.84 </w:t>
                    </w:r>
                  </w:p>
                </w:tc>
              </w:tr>
              <w:tr>
                <w:trPr>
                  <w:trHeight w:val="250"/>
                  <w:jc w:val="center"/>
                </w:trPr>
                <w:tc>
                  <w:tcPr>
                    <w:tcW w:w="1707" w:type="dxa"/>
                    <w:vAlign w:val="center"/>
                  </w:tcPr>
                  <w:p>
                    <w:pPr>
                      <w:ind w:firstLineChars="100" w:firstLine="210"/>
                      <w:jc w:val="both"/>
                      <w:rPr>
                        <w:rFonts w:ascii="宋体" w:hAnsi="宋体"/>
                      </w:rPr>
                    </w:pPr>
                    <w:r>
                      <w:rPr>
                        <w:rFonts w:ascii="宋体" w:hAnsi="宋体" w:hint="eastAsia"/>
                      </w:rPr>
                      <w:t>兖煤国际</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2,674</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2,758</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-85</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-3.07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505.06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515.63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-10.57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-2.05 </w:t>
                    </w:r>
                  </w:p>
                </w:tc>
              </w:tr>
              <w:tr>
                <w:trPr>
                  <w:trHeight w:val="250"/>
                  <w:jc w:val="center"/>
                </w:trPr>
                <w:tc>
                  <w:tcPr>
                    <w:tcW w:w="1707" w:type="dxa"/>
                    <w:vAlign w:val="center"/>
                  </w:tcPr>
                  <w:p>
                    <w:pPr>
                      <w:ind w:firstLineChars="100" w:firstLine="210"/>
                      <w:jc w:val="both"/>
                      <w:rPr>
                        <w:rFonts w:ascii="宋体" w:hAnsi="宋体"/>
                      </w:rPr>
                    </w:pPr>
                    <w:r>
                      <w:rPr>
                        <w:rFonts w:ascii="宋体" w:hAnsi="宋体" w:hint="eastAsia"/>
                      </w:rPr>
                      <w:t>贸易煤</w:t>
                    </w:r>
                  </w:p>
                </w:tc>
                <w:tc>
                  <w:tcPr>
                    <w:tcW w:w="127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3,497</w:t>
                    </w:r>
                  </w:p>
                </w:tc>
                <w:tc>
                  <w:tcPr>
                    <w:tcW w:w="1281"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5,986</w:t>
                    </w:r>
                  </w:p>
                </w:tc>
                <w:tc>
                  <w:tcPr>
                    <w:tcW w:w="126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-2,490</w:t>
                    </w:r>
                  </w:p>
                </w:tc>
                <w:tc>
                  <w:tcPr>
                    <w:tcW w:w="856"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-41.59 </w:t>
                    </w:r>
                  </w:p>
                </w:tc>
                <w:tc>
                  <w:tcPr>
                    <w:tcW w:w="1147"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597.13 </w:t>
                    </w:r>
                  </w:p>
                </w:tc>
                <w:tc>
                  <w:tcPr>
                    <w:tcW w:w="1115"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914.35 </w:t>
                    </w:r>
                  </w:p>
                </w:tc>
                <w:tc>
                  <w:tcPr>
                    <w:tcW w:w="1134"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-317.22 </w:t>
                    </w:r>
                  </w:p>
                </w:tc>
                <w:tc>
                  <w:tcPr>
                    <w:tcW w:w="1018" w:type="dxa"/>
                    <w:tcBorders>
                      <w:top w:val="single" w:sz="4" w:space="0" w:color="auto"/>
                      <w:left w:val="single" w:sz="4" w:space="0" w:color="auto"/>
                      <w:bottom w:val="single" w:sz="4" w:space="0" w:color="auto"/>
                      <w:right w:val="single" w:sz="4" w:space="0" w:color="auto"/>
                    </w:tcBorders>
                    <w:vAlign w:val="center"/>
                  </w:tcPr>
                  <w:p>
                    <w:pPr>
                      <w:widowControl w:val="0"/>
                      <w:jc w:val="right"/>
                      <w:rPr>
                        <w:rFonts w:ascii="宋体" w:hAnsi="宋体"/>
                        <w:kern w:val="2"/>
                      </w:rPr>
                    </w:pPr>
                    <w:r>
                      <w:rPr>
                        <w:rFonts w:ascii="宋体" w:hAnsi="宋体"/>
                        <w:kern w:val="2"/>
                      </w:rPr>
                      <w:t xml:space="preserve">-34.69 </w:t>
                    </w:r>
                  </w:p>
                </w:tc>
              </w:tr>
            </w:tbl>
            <w:p>
              <w:pPr>
                <w:rPr>
                  <w:rFonts w:ascii="宋体" w:hAnsi="宋体" w:cs="宋体"/>
                </w:rPr>
              </w:pPr>
            </w:p>
            <w:p>
              <w:pPr>
                <w:rPr>
                  <w:rFonts w:ascii="宋体" w:hAnsi="宋体" w:cs="宋体"/>
                </w:rPr>
              </w:pPr>
              <w:r>
                <w:rPr>
                  <w:rFonts w:ascii="宋体" w:hAnsi="宋体" w:cs="宋体" w:hint="eastAsia"/>
                </w:rPr>
                <w:t>注：上表销售成本总额、吨煤销售成本为未经各业务分部抵消前数据。</w:t>
              </w:r>
            </w:p>
            <w:p>
              <w:pPr>
                <w:rPr>
                  <w:rFonts w:ascii="宋体" w:hAnsi="宋体" w:cs="宋体"/>
                </w:rPr>
              </w:pPr>
            </w:p>
            <w:p>
              <w:pPr>
                <w:rPr>
                  <w:rFonts w:ascii="宋体" w:hAnsi="宋体"/>
                  <w:b/>
                  <w:bCs/>
                  <w:kern w:val="2"/>
                </w:rPr>
              </w:pPr>
              <w:r>
                <w:rPr>
                  <w:rFonts w:ascii="宋体" w:hAnsi="宋体"/>
                  <w:b/>
                  <w:bCs/>
                  <w:kern w:val="2"/>
                </w:rPr>
                <w:br w:type="page"/>
              </w:r>
            </w:p>
            <w:p>
              <w:pPr>
                <w:widowControl w:val="0"/>
                <w:jc w:val="both"/>
                <w:rPr>
                  <w:rFonts w:ascii="宋体" w:hAnsi="宋体"/>
                  <w:b/>
                  <w:bCs/>
                  <w:kern w:val="2"/>
                </w:rPr>
              </w:pPr>
              <w:r>
                <w:rPr>
                  <w:rFonts w:ascii="宋体" w:hAnsi="宋体" w:hint="eastAsia"/>
                  <w:b/>
                  <w:bCs/>
                  <w:kern w:val="2"/>
                </w:rPr>
                <w:lastRenderedPageBreak/>
                <w:t>2</w:t>
              </w:r>
              <w:r>
                <w:rPr>
                  <w:rFonts w:ascii="宋体" w:hAnsi="宋体"/>
                  <w:b/>
                  <w:bCs/>
                  <w:kern w:val="2"/>
                </w:rPr>
                <w:t>.</w:t>
              </w:r>
              <w:r>
                <w:rPr>
                  <w:rFonts w:ascii="宋体" w:hAnsi="宋体" w:hint="eastAsia"/>
                  <w:b/>
                  <w:bCs/>
                  <w:kern w:val="2"/>
                </w:rPr>
                <w:t>煤化工业务</w:t>
              </w:r>
            </w:p>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年本集团煤化工业务经营情况如下表：</w:t>
              </w:r>
            </w:p>
            <w:tbl>
              <w:tblPr>
                <w:tblStyle w:val="g114"/>
                <w:tblW w:w="10337" w:type="dxa"/>
                <w:jc w:val="center"/>
                <w:tblCellMar>
                  <w:left w:w="0" w:type="dxa"/>
                </w:tblCellMar>
                <w:tblLook w:val="04A0" w:firstRow="1" w:lastRow="0" w:firstColumn="1" w:lastColumn="0" w:noHBand="0" w:noVBand="1"/>
              </w:tblPr>
              <w:tblGrid>
                <w:gridCol w:w="2252"/>
                <w:gridCol w:w="946"/>
                <w:gridCol w:w="843"/>
                <w:gridCol w:w="1053"/>
                <w:gridCol w:w="1053"/>
                <w:gridCol w:w="972"/>
                <w:gridCol w:w="972"/>
                <w:gridCol w:w="1123"/>
                <w:gridCol w:w="1123"/>
              </w:tblGrid>
              <w:tr>
                <w:trPr>
                  <w:trHeight w:val="312"/>
                  <w:jc w:val="center"/>
                </w:trPr>
                <w:tc>
                  <w:tcPr>
                    <w:tcW w:w="2274" w:type="dxa"/>
                    <w:vMerge w:val="restart"/>
                    <w:vAlign w:val="center"/>
                  </w:tcPr>
                  <w:p>
                    <w:pPr>
                      <w:spacing w:line="240" w:lineRule="atLeast"/>
                      <w:rPr>
                        <w:rFonts w:ascii="宋体" w:hAnsi="宋体"/>
                      </w:rPr>
                    </w:pPr>
                    <w:bookmarkStart w:id="62" w:name="_Hlk3298498"/>
                    <w:bookmarkEnd w:id="62"/>
                  </w:p>
                </w:tc>
                <w:tc>
                  <w:tcPr>
                    <w:tcW w:w="3811" w:type="dxa"/>
                    <w:gridSpan w:val="4"/>
                    <w:vAlign w:val="center"/>
                  </w:tcPr>
                  <w:p>
                    <w:pPr>
                      <w:spacing w:line="240" w:lineRule="atLeast"/>
                      <w:jc w:val="center"/>
                      <w:rPr>
                        <w:rFonts w:ascii="宋体" w:hAnsi="宋体"/>
                      </w:rPr>
                    </w:pPr>
                    <w:r>
                      <w:rPr>
                        <w:rFonts w:ascii="宋体" w:hAnsi="宋体" w:hint="eastAsia"/>
                      </w:rPr>
                      <w:t>202</w:t>
                    </w:r>
                    <w:r>
                      <w:rPr>
                        <w:rFonts w:ascii="宋体" w:hAnsi="宋体"/>
                      </w:rPr>
                      <w:t>5</w:t>
                    </w:r>
                    <w:r>
                      <w:rPr>
                        <w:rFonts w:ascii="宋体" w:hAnsi="宋体" w:hint="eastAsia"/>
                      </w:rPr>
                      <w:t>年</w:t>
                    </w:r>
                  </w:p>
                </w:tc>
                <w:tc>
                  <w:tcPr>
                    <w:tcW w:w="4252" w:type="dxa"/>
                    <w:gridSpan w:val="4"/>
                    <w:vAlign w:val="center"/>
                  </w:tcPr>
                  <w:p>
                    <w:pPr>
                      <w:spacing w:line="240" w:lineRule="atLeast"/>
                      <w:jc w:val="center"/>
                      <w:rPr>
                        <w:rFonts w:ascii="宋体" w:hAnsi="宋体"/>
                      </w:rPr>
                    </w:pPr>
                    <w:r>
                      <w:rPr>
                        <w:rFonts w:ascii="宋体" w:hAnsi="宋体" w:hint="eastAsia"/>
                      </w:rPr>
                      <w:t>202</w:t>
                    </w:r>
                    <w:r>
                      <w:rPr>
                        <w:rFonts w:ascii="宋体" w:hAnsi="宋体"/>
                      </w:rPr>
                      <w:t>4</w:t>
                    </w:r>
                    <w:r>
                      <w:rPr>
                        <w:rFonts w:ascii="宋体" w:hAnsi="宋体" w:hint="eastAsia"/>
                      </w:rPr>
                      <w:t>年</w:t>
                    </w:r>
                  </w:p>
                </w:tc>
              </w:tr>
              <w:tr>
                <w:trPr>
                  <w:trHeight w:val="312"/>
                  <w:jc w:val="center"/>
                </w:trPr>
                <w:tc>
                  <w:tcPr>
                    <w:tcW w:w="2274" w:type="dxa"/>
                    <w:vMerge/>
                    <w:vAlign w:val="center"/>
                  </w:tcPr>
                  <w:p>
                    <w:pPr>
                      <w:spacing w:line="240" w:lineRule="atLeast"/>
                      <w:rPr>
                        <w:rFonts w:ascii="宋体" w:hAnsi="宋体"/>
                      </w:rPr>
                    </w:pPr>
                  </w:p>
                </w:tc>
                <w:tc>
                  <w:tcPr>
                    <w:tcW w:w="962" w:type="dxa"/>
                    <w:vAlign w:val="center"/>
                  </w:tcPr>
                  <w:p>
                    <w:pPr>
                      <w:jc w:val="center"/>
                      <w:rPr>
                        <w:rFonts w:ascii="宋体" w:hAnsi="宋体"/>
                      </w:rPr>
                    </w:pPr>
                    <w:r>
                      <w:rPr>
                        <w:rFonts w:ascii="宋体" w:hAnsi="宋体" w:hint="eastAsia"/>
                      </w:rPr>
                      <w:t>产量</w:t>
                    </w:r>
                  </w:p>
                </w:tc>
                <w:tc>
                  <w:tcPr>
                    <w:tcW w:w="840" w:type="dxa"/>
                    <w:vAlign w:val="center"/>
                  </w:tcPr>
                  <w:p>
                    <w:pPr>
                      <w:jc w:val="center"/>
                      <w:rPr>
                        <w:rFonts w:ascii="宋体" w:hAnsi="宋体"/>
                      </w:rPr>
                    </w:pPr>
                    <w:r>
                      <w:rPr>
                        <w:rFonts w:ascii="宋体" w:hAnsi="宋体" w:hint="eastAsia"/>
                      </w:rPr>
                      <w:t>销量</w:t>
                    </w:r>
                  </w:p>
                </w:tc>
                <w:tc>
                  <w:tcPr>
                    <w:tcW w:w="1007" w:type="dxa"/>
                    <w:vAlign w:val="center"/>
                  </w:tcPr>
                  <w:p>
                    <w:pPr>
                      <w:jc w:val="center"/>
                      <w:rPr>
                        <w:rFonts w:ascii="宋体" w:hAnsi="宋体"/>
                      </w:rPr>
                    </w:pPr>
                    <w:r>
                      <w:rPr>
                        <w:rFonts w:ascii="宋体" w:hAnsi="宋体" w:hint="eastAsia"/>
                      </w:rPr>
                      <w:t>销售收入</w:t>
                    </w:r>
                  </w:p>
                </w:tc>
                <w:tc>
                  <w:tcPr>
                    <w:tcW w:w="1002" w:type="dxa"/>
                    <w:vAlign w:val="center"/>
                  </w:tcPr>
                  <w:p>
                    <w:pPr>
                      <w:jc w:val="center"/>
                      <w:rPr>
                        <w:rFonts w:ascii="宋体" w:hAnsi="宋体"/>
                      </w:rPr>
                    </w:pPr>
                    <w:r>
                      <w:rPr>
                        <w:rFonts w:ascii="宋体" w:hAnsi="宋体" w:hint="eastAsia"/>
                      </w:rPr>
                      <w:t>销售成本</w:t>
                    </w:r>
                  </w:p>
                </w:tc>
                <w:tc>
                  <w:tcPr>
                    <w:tcW w:w="992" w:type="dxa"/>
                    <w:vAlign w:val="center"/>
                  </w:tcPr>
                  <w:p>
                    <w:pPr>
                      <w:jc w:val="center"/>
                      <w:rPr>
                        <w:rFonts w:ascii="宋体" w:hAnsi="宋体"/>
                      </w:rPr>
                    </w:pPr>
                    <w:r>
                      <w:rPr>
                        <w:rFonts w:ascii="宋体" w:hAnsi="宋体" w:hint="eastAsia"/>
                      </w:rPr>
                      <w:t>产量</w:t>
                    </w:r>
                  </w:p>
                </w:tc>
                <w:tc>
                  <w:tcPr>
                    <w:tcW w:w="992" w:type="dxa"/>
                    <w:vAlign w:val="center"/>
                  </w:tcPr>
                  <w:p>
                    <w:pPr>
                      <w:jc w:val="center"/>
                      <w:rPr>
                        <w:rFonts w:ascii="宋体" w:hAnsi="宋体"/>
                      </w:rPr>
                    </w:pPr>
                    <w:r>
                      <w:rPr>
                        <w:rFonts w:ascii="宋体" w:hAnsi="宋体" w:hint="eastAsia"/>
                      </w:rPr>
                      <w:t>销量</w:t>
                    </w:r>
                  </w:p>
                </w:tc>
                <w:tc>
                  <w:tcPr>
                    <w:tcW w:w="1134" w:type="dxa"/>
                    <w:vAlign w:val="center"/>
                  </w:tcPr>
                  <w:p>
                    <w:pPr>
                      <w:jc w:val="center"/>
                      <w:rPr>
                        <w:rFonts w:ascii="宋体" w:hAnsi="宋体"/>
                      </w:rPr>
                    </w:pPr>
                    <w:r>
                      <w:rPr>
                        <w:rFonts w:ascii="宋体" w:hAnsi="宋体" w:hint="eastAsia"/>
                      </w:rPr>
                      <w:t>销售收入</w:t>
                    </w:r>
                  </w:p>
                </w:tc>
                <w:tc>
                  <w:tcPr>
                    <w:tcW w:w="1134" w:type="dxa"/>
                    <w:vAlign w:val="center"/>
                  </w:tcPr>
                  <w:p>
                    <w:pPr>
                      <w:jc w:val="center"/>
                      <w:rPr>
                        <w:rFonts w:ascii="宋体" w:hAnsi="宋体"/>
                      </w:rPr>
                    </w:pPr>
                    <w:r>
                      <w:rPr>
                        <w:rFonts w:ascii="宋体" w:hAnsi="宋体" w:hint="eastAsia"/>
                      </w:rPr>
                      <w:t>销售成本</w:t>
                    </w:r>
                  </w:p>
                </w:tc>
              </w:tr>
              <w:tr>
                <w:trPr>
                  <w:trHeight w:val="312"/>
                  <w:jc w:val="center"/>
                </w:trPr>
                <w:tc>
                  <w:tcPr>
                    <w:tcW w:w="2274" w:type="dxa"/>
                    <w:vMerge/>
                    <w:vAlign w:val="center"/>
                  </w:tcPr>
                  <w:p>
                    <w:pPr>
                      <w:spacing w:line="240" w:lineRule="atLeast"/>
                      <w:rPr>
                        <w:rFonts w:ascii="宋体" w:hAnsi="宋体"/>
                        <w:bCs/>
                      </w:rPr>
                    </w:pPr>
                  </w:p>
                </w:tc>
                <w:tc>
                  <w:tcPr>
                    <w:tcW w:w="962" w:type="dxa"/>
                    <w:vAlign w:val="center"/>
                  </w:tcPr>
                  <w:p>
                    <w:pPr>
                      <w:ind w:leftChars="-50" w:left="-105" w:rightChars="-50" w:right="-105"/>
                      <w:jc w:val="center"/>
                      <w:rPr>
                        <w:rFonts w:ascii="宋体" w:hAnsi="宋体"/>
                      </w:rPr>
                    </w:pPr>
                    <w:r>
                      <w:rPr>
                        <w:rFonts w:ascii="宋体" w:hAnsi="宋体" w:hint="eastAsia"/>
                      </w:rPr>
                      <w:t>（千吨）</w:t>
                    </w:r>
                  </w:p>
                </w:tc>
                <w:tc>
                  <w:tcPr>
                    <w:tcW w:w="840" w:type="dxa"/>
                    <w:vAlign w:val="center"/>
                  </w:tcPr>
                  <w:p>
                    <w:pPr>
                      <w:ind w:leftChars="-50" w:left="-105" w:rightChars="-50" w:right="-105"/>
                      <w:jc w:val="center"/>
                      <w:rPr>
                        <w:rFonts w:ascii="宋体" w:hAnsi="宋体"/>
                      </w:rPr>
                    </w:pPr>
                    <w:r>
                      <w:rPr>
                        <w:rFonts w:ascii="宋体" w:hAnsi="宋体" w:hint="eastAsia"/>
                      </w:rPr>
                      <w:t>（千吨）</w:t>
                    </w:r>
                  </w:p>
                </w:tc>
                <w:tc>
                  <w:tcPr>
                    <w:tcW w:w="1007" w:type="dxa"/>
                    <w:vAlign w:val="center"/>
                  </w:tcPr>
                  <w:p>
                    <w:pPr>
                      <w:ind w:leftChars="-50" w:left="-105" w:rightChars="-50" w:right="-105"/>
                      <w:jc w:val="center"/>
                      <w:rPr>
                        <w:rFonts w:ascii="宋体" w:hAnsi="宋体"/>
                      </w:rPr>
                    </w:pPr>
                    <w:r>
                      <w:rPr>
                        <w:rFonts w:ascii="宋体" w:hAnsi="宋体" w:hint="eastAsia"/>
                      </w:rPr>
                      <w:t>（百万元）</w:t>
                    </w:r>
                  </w:p>
                </w:tc>
                <w:tc>
                  <w:tcPr>
                    <w:tcW w:w="1002" w:type="dxa"/>
                    <w:vAlign w:val="center"/>
                  </w:tcPr>
                  <w:p>
                    <w:pPr>
                      <w:ind w:leftChars="-50" w:left="-105" w:rightChars="-50" w:right="-105"/>
                      <w:jc w:val="center"/>
                      <w:rPr>
                        <w:rFonts w:ascii="宋体" w:hAnsi="宋体"/>
                      </w:rPr>
                    </w:pPr>
                    <w:r>
                      <w:rPr>
                        <w:rFonts w:ascii="宋体" w:hAnsi="宋体" w:hint="eastAsia"/>
                      </w:rPr>
                      <w:t>（百万元）</w:t>
                    </w:r>
                  </w:p>
                </w:tc>
                <w:tc>
                  <w:tcPr>
                    <w:tcW w:w="992" w:type="dxa"/>
                    <w:vAlign w:val="center"/>
                  </w:tcPr>
                  <w:p>
                    <w:pPr>
                      <w:ind w:leftChars="-50" w:left="-105" w:rightChars="-50" w:right="-105"/>
                      <w:jc w:val="center"/>
                      <w:rPr>
                        <w:rFonts w:ascii="宋体" w:hAnsi="宋体"/>
                      </w:rPr>
                    </w:pPr>
                    <w:r>
                      <w:rPr>
                        <w:rFonts w:ascii="宋体" w:hAnsi="宋体" w:hint="eastAsia"/>
                      </w:rPr>
                      <w:t>（千吨）</w:t>
                    </w:r>
                  </w:p>
                </w:tc>
                <w:tc>
                  <w:tcPr>
                    <w:tcW w:w="992" w:type="dxa"/>
                    <w:vAlign w:val="center"/>
                  </w:tcPr>
                  <w:p>
                    <w:pPr>
                      <w:ind w:leftChars="-50" w:left="-105" w:rightChars="-50" w:right="-105"/>
                      <w:jc w:val="center"/>
                      <w:rPr>
                        <w:rFonts w:ascii="宋体" w:hAnsi="宋体"/>
                      </w:rPr>
                    </w:pPr>
                    <w:r>
                      <w:rPr>
                        <w:rFonts w:ascii="宋体" w:hAnsi="宋体" w:hint="eastAsia"/>
                      </w:rPr>
                      <w:t>（千吨）</w:t>
                    </w:r>
                  </w:p>
                </w:tc>
                <w:tc>
                  <w:tcPr>
                    <w:tcW w:w="1134" w:type="dxa"/>
                    <w:vAlign w:val="center"/>
                  </w:tcPr>
                  <w:p>
                    <w:pPr>
                      <w:ind w:leftChars="-50" w:left="-105" w:rightChars="-50" w:right="-105"/>
                      <w:jc w:val="center"/>
                      <w:rPr>
                        <w:rFonts w:ascii="宋体" w:hAnsi="宋体"/>
                      </w:rPr>
                    </w:pPr>
                    <w:r>
                      <w:rPr>
                        <w:rFonts w:ascii="宋体" w:hAnsi="宋体" w:hint="eastAsia"/>
                      </w:rPr>
                      <w:t>（百万元）</w:t>
                    </w:r>
                  </w:p>
                </w:tc>
                <w:tc>
                  <w:tcPr>
                    <w:tcW w:w="1134" w:type="dxa"/>
                    <w:vAlign w:val="center"/>
                  </w:tcPr>
                  <w:p>
                    <w:pPr>
                      <w:ind w:leftChars="-50" w:left="-105" w:rightChars="-50" w:right="-105"/>
                      <w:jc w:val="center"/>
                      <w:rPr>
                        <w:rFonts w:ascii="宋体" w:hAnsi="宋体"/>
                      </w:rPr>
                    </w:pPr>
                    <w:r>
                      <w:rPr>
                        <w:rFonts w:ascii="宋体" w:hAnsi="宋体" w:hint="eastAsia"/>
                      </w:rPr>
                      <w:t>（百万元）</w:t>
                    </w:r>
                  </w:p>
                </w:tc>
              </w:tr>
              <w:tr>
                <w:trPr>
                  <w:trHeight w:val="312"/>
                  <w:jc w:val="center"/>
                </w:trPr>
                <w:tc>
                  <w:tcPr>
                    <w:tcW w:w="2274" w:type="dxa"/>
                    <w:vAlign w:val="center"/>
                  </w:tcPr>
                  <w:p>
                    <w:pPr>
                      <w:ind w:firstLineChars="200" w:firstLine="420"/>
                      <w:rPr>
                        <w:rFonts w:ascii="宋体" w:hAnsi="宋体"/>
                      </w:rPr>
                    </w:pPr>
                    <w:r>
                      <w:rPr>
                        <w:rFonts w:ascii="宋体" w:hAnsi="宋体" w:hint="eastAsia"/>
                      </w:rPr>
                      <w:t>甲醇</w:t>
                    </w:r>
                  </w:p>
                </w:tc>
                <w:tc>
                  <w:tcPr>
                    <w:tcW w:w="962" w:type="dxa"/>
                    <w:vAlign w:val="center"/>
                  </w:tcPr>
                  <w:p>
                    <w:pPr>
                      <w:jc w:val="right"/>
                      <w:rPr>
                        <w:rFonts w:ascii="宋体" w:hAnsi="宋体" w:cs="宋体"/>
                      </w:rPr>
                    </w:pPr>
                    <w:r>
                      <w:rPr>
                        <w:rFonts w:ascii="宋体" w:hAnsi="宋体" w:cs="宋体"/>
                      </w:rPr>
                      <w:t>4,540</w:t>
                    </w:r>
                  </w:p>
                </w:tc>
                <w:tc>
                  <w:tcPr>
                    <w:tcW w:w="840" w:type="dxa"/>
                    <w:vAlign w:val="center"/>
                  </w:tcPr>
                  <w:p>
                    <w:pPr>
                      <w:jc w:val="right"/>
                      <w:rPr>
                        <w:rFonts w:ascii="宋体" w:hAnsi="宋体" w:cs="宋体"/>
                      </w:rPr>
                    </w:pPr>
                    <w:r>
                      <w:rPr>
                        <w:rFonts w:ascii="宋体" w:hAnsi="宋体" w:cs="宋体"/>
                      </w:rPr>
                      <w:t>4,327</w:t>
                    </w:r>
                  </w:p>
                </w:tc>
                <w:tc>
                  <w:tcPr>
                    <w:tcW w:w="1007" w:type="dxa"/>
                    <w:vAlign w:val="center"/>
                  </w:tcPr>
                  <w:p>
                    <w:pPr>
                      <w:jc w:val="right"/>
                      <w:rPr>
                        <w:rFonts w:ascii="宋体" w:hAnsi="宋体" w:cs="宋体"/>
                      </w:rPr>
                    </w:pPr>
                    <w:r>
                      <w:rPr>
                        <w:rFonts w:ascii="宋体" w:hAnsi="宋体" w:cs="宋体"/>
                      </w:rPr>
                      <w:t>7,702</w:t>
                    </w:r>
                  </w:p>
                </w:tc>
                <w:tc>
                  <w:tcPr>
                    <w:tcW w:w="1002" w:type="dxa"/>
                    <w:vAlign w:val="center"/>
                  </w:tcPr>
                  <w:p>
                    <w:pPr>
                      <w:jc w:val="right"/>
                      <w:rPr>
                        <w:rFonts w:ascii="宋体" w:hAnsi="宋体" w:cs="宋体"/>
                      </w:rPr>
                    </w:pPr>
                    <w:r>
                      <w:rPr>
                        <w:rFonts w:ascii="宋体" w:hAnsi="宋体" w:cs="宋体"/>
                      </w:rPr>
                      <w:t>5,275</w:t>
                    </w:r>
                  </w:p>
                </w:tc>
                <w:tc>
                  <w:tcPr>
                    <w:tcW w:w="992" w:type="dxa"/>
                    <w:vAlign w:val="center"/>
                  </w:tcPr>
                  <w:p>
                    <w:pPr>
                      <w:jc w:val="right"/>
                      <w:rPr>
                        <w:rFonts w:ascii="宋体" w:hAnsi="宋体" w:cs="宋体"/>
                      </w:rPr>
                    </w:pPr>
                    <w:r>
                      <w:rPr>
                        <w:rFonts w:ascii="宋体" w:hAnsi="宋体" w:cs="宋体"/>
                      </w:rPr>
                      <w:t>4,416</w:t>
                    </w:r>
                  </w:p>
                </w:tc>
                <w:tc>
                  <w:tcPr>
                    <w:tcW w:w="992" w:type="dxa"/>
                    <w:vAlign w:val="center"/>
                  </w:tcPr>
                  <w:p>
                    <w:pPr>
                      <w:jc w:val="right"/>
                      <w:rPr>
                        <w:rFonts w:ascii="宋体" w:hAnsi="宋体" w:cs="宋体"/>
                      </w:rPr>
                    </w:pPr>
                    <w:r>
                      <w:rPr>
                        <w:rFonts w:ascii="宋体" w:hAnsi="宋体" w:cs="宋体"/>
                      </w:rPr>
                      <w:t>4,250</w:t>
                    </w:r>
                  </w:p>
                </w:tc>
                <w:tc>
                  <w:tcPr>
                    <w:tcW w:w="1134" w:type="dxa"/>
                    <w:vAlign w:val="center"/>
                  </w:tcPr>
                  <w:p>
                    <w:pPr>
                      <w:jc w:val="right"/>
                      <w:rPr>
                        <w:rFonts w:ascii="宋体" w:hAnsi="宋体" w:cs="宋体"/>
                      </w:rPr>
                    </w:pPr>
                    <w:r>
                      <w:rPr>
                        <w:rFonts w:ascii="宋体" w:hAnsi="宋体" w:cs="宋体"/>
                      </w:rPr>
                      <w:t>7,741</w:t>
                    </w:r>
                  </w:p>
                </w:tc>
                <w:tc>
                  <w:tcPr>
                    <w:tcW w:w="1134" w:type="dxa"/>
                    <w:vAlign w:val="center"/>
                  </w:tcPr>
                  <w:p>
                    <w:pPr>
                      <w:jc w:val="right"/>
                      <w:rPr>
                        <w:rFonts w:ascii="宋体" w:hAnsi="宋体" w:cs="宋体"/>
                      </w:rPr>
                    </w:pPr>
                    <w:r>
                      <w:rPr>
                        <w:rFonts w:ascii="宋体" w:hAnsi="宋体" w:cs="宋体"/>
                      </w:rPr>
                      <w:t>6,389</w:t>
                    </w:r>
                  </w:p>
                </w:tc>
              </w:tr>
              <w:tr>
                <w:trPr>
                  <w:trHeight w:val="312"/>
                  <w:jc w:val="center"/>
                </w:trPr>
                <w:tc>
                  <w:tcPr>
                    <w:tcW w:w="2274" w:type="dxa"/>
                    <w:vAlign w:val="center"/>
                  </w:tcPr>
                  <w:p>
                    <w:pPr>
                      <w:ind w:firstLineChars="200" w:firstLine="420"/>
                      <w:rPr>
                        <w:rFonts w:ascii="宋体" w:hAnsi="宋体"/>
                      </w:rPr>
                    </w:pPr>
                    <w:r>
                      <w:rPr>
                        <w:rFonts w:ascii="宋体" w:hAnsi="宋体" w:hint="eastAsia"/>
                      </w:rPr>
                      <w:t>醋酸</w:t>
                    </w:r>
                  </w:p>
                </w:tc>
                <w:tc>
                  <w:tcPr>
                    <w:tcW w:w="962" w:type="dxa"/>
                    <w:vAlign w:val="center"/>
                  </w:tcPr>
                  <w:p>
                    <w:pPr>
                      <w:jc w:val="right"/>
                      <w:rPr>
                        <w:rFonts w:ascii="宋体" w:hAnsi="宋体" w:cs="宋体"/>
                      </w:rPr>
                    </w:pPr>
                    <w:r>
                      <w:rPr>
                        <w:rFonts w:ascii="宋体" w:hAnsi="宋体" w:cs="宋体"/>
                      </w:rPr>
                      <w:t>1,082</w:t>
                    </w:r>
                  </w:p>
                </w:tc>
                <w:tc>
                  <w:tcPr>
                    <w:tcW w:w="840" w:type="dxa"/>
                    <w:vAlign w:val="center"/>
                  </w:tcPr>
                  <w:p>
                    <w:pPr>
                      <w:jc w:val="right"/>
                      <w:rPr>
                        <w:rFonts w:ascii="宋体" w:hAnsi="宋体" w:cs="宋体"/>
                      </w:rPr>
                    </w:pPr>
                    <w:r>
                      <w:rPr>
                        <w:rFonts w:ascii="宋体" w:hAnsi="宋体" w:cs="宋体"/>
                      </w:rPr>
                      <w:t>766</w:t>
                    </w:r>
                  </w:p>
                </w:tc>
                <w:tc>
                  <w:tcPr>
                    <w:tcW w:w="1007" w:type="dxa"/>
                    <w:vAlign w:val="center"/>
                  </w:tcPr>
                  <w:p>
                    <w:pPr>
                      <w:jc w:val="right"/>
                      <w:rPr>
                        <w:rFonts w:ascii="宋体" w:hAnsi="宋体" w:cs="宋体"/>
                      </w:rPr>
                    </w:pPr>
                    <w:r>
                      <w:rPr>
                        <w:rFonts w:ascii="宋体" w:hAnsi="宋体" w:cs="宋体"/>
                      </w:rPr>
                      <w:t>1,638</w:t>
                    </w:r>
                  </w:p>
                </w:tc>
                <w:tc>
                  <w:tcPr>
                    <w:tcW w:w="1002" w:type="dxa"/>
                    <w:vAlign w:val="center"/>
                  </w:tcPr>
                  <w:p>
                    <w:pPr>
                      <w:jc w:val="right"/>
                      <w:rPr>
                        <w:rFonts w:ascii="宋体" w:hAnsi="宋体" w:cs="宋体"/>
                      </w:rPr>
                    </w:pPr>
                    <w:r>
                      <w:rPr>
                        <w:rFonts w:ascii="宋体" w:hAnsi="宋体" w:cs="宋体"/>
                      </w:rPr>
                      <w:t>1,459</w:t>
                    </w:r>
                  </w:p>
                </w:tc>
                <w:tc>
                  <w:tcPr>
                    <w:tcW w:w="992" w:type="dxa"/>
                    <w:vAlign w:val="center"/>
                  </w:tcPr>
                  <w:p>
                    <w:pPr>
                      <w:jc w:val="right"/>
                      <w:rPr>
                        <w:rFonts w:ascii="宋体" w:hAnsi="宋体" w:cs="宋体"/>
                      </w:rPr>
                    </w:pPr>
                    <w:r>
                      <w:rPr>
                        <w:rFonts w:ascii="宋体" w:hAnsi="宋体" w:cs="宋体"/>
                      </w:rPr>
                      <w:t xml:space="preserve">1,040 </w:t>
                    </w:r>
                  </w:p>
                </w:tc>
                <w:tc>
                  <w:tcPr>
                    <w:tcW w:w="992" w:type="dxa"/>
                    <w:vAlign w:val="center"/>
                  </w:tcPr>
                  <w:p>
                    <w:pPr>
                      <w:jc w:val="right"/>
                      <w:rPr>
                        <w:rFonts w:ascii="宋体" w:hAnsi="宋体" w:cs="宋体"/>
                      </w:rPr>
                    </w:pPr>
                    <w:r>
                      <w:rPr>
                        <w:rFonts w:ascii="宋体" w:hAnsi="宋体" w:cs="宋体"/>
                      </w:rPr>
                      <w:t xml:space="preserve">743 </w:t>
                    </w:r>
                  </w:p>
                </w:tc>
                <w:tc>
                  <w:tcPr>
                    <w:tcW w:w="1134" w:type="dxa"/>
                    <w:vAlign w:val="center"/>
                  </w:tcPr>
                  <w:p>
                    <w:pPr>
                      <w:jc w:val="right"/>
                      <w:rPr>
                        <w:rFonts w:ascii="宋体" w:hAnsi="宋体" w:cs="宋体"/>
                      </w:rPr>
                    </w:pPr>
                    <w:r>
                      <w:rPr>
                        <w:rFonts w:ascii="宋体" w:hAnsi="宋体" w:cs="宋体"/>
                      </w:rPr>
                      <w:t xml:space="preserve">1,928 </w:t>
                    </w:r>
                  </w:p>
                </w:tc>
                <w:tc>
                  <w:tcPr>
                    <w:tcW w:w="1134" w:type="dxa"/>
                    <w:vAlign w:val="center"/>
                  </w:tcPr>
                  <w:p>
                    <w:pPr>
                      <w:jc w:val="right"/>
                      <w:rPr>
                        <w:rFonts w:ascii="宋体" w:hAnsi="宋体" w:cs="宋体"/>
                      </w:rPr>
                    </w:pPr>
                    <w:r>
                      <w:rPr>
                        <w:rFonts w:ascii="宋体" w:hAnsi="宋体" w:cs="宋体"/>
                      </w:rPr>
                      <w:t xml:space="preserve">1,656 </w:t>
                    </w:r>
                  </w:p>
                </w:tc>
              </w:tr>
              <w:tr>
                <w:trPr>
                  <w:trHeight w:val="312"/>
                  <w:jc w:val="center"/>
                </w:trPr>
                <w:tc>
                  <w:tcPr>
                    <w:tcW w:w="2274" w:type="dxa"/>
                    <w:vAlign w:val="center"/>
                  </w:tcPr>
                  <w:p>
                    <w:pPr>
                      <w:ind w:firstLineChars="200" w:firstLine="420"/>
                      <w:rPr>
                        <w:rFonts w:ascii="宋体" w:hAnsi="宋体"/>
                      </w:rPr>
                    </w:pPr>
                    <w:r>
                      <w:rPr>
                        <w:rFonts w:ascii="宋体" w:hAnsi="宋体" w:hint="eastAsia"/>
                      </w:rPr>
                      <w:t>醋酸乙酯</w:t>
                    </w:r>
                  </w:p>
                </w:tc>
                <w:tc>
                  <w:tcPr>
                    <w:tcW w:w="962" w:type="dxa"/>
                    <w:vAlign w:val="center"/>
                  </w:tcPr>
                  <w:p>
                    <w:pPr>
                      <w:jc w:val="right"/>
                      <w:rPr>
                        <w:rFonts w:ascii="宋体" w:hAnsi="宋体" w:cs="宋体"/>
                      </w:rPr>
                    </w:pPr>
                    <w:r>
                      <w:rPr>
                        <w:rFonts w:ascii="宋体" w:hAnsi="宋体" w:cs="宋体"/>
                      </w:rPr>
                      <w:t>238</w:t>
                    </w:r>
                  </w:p>
                </w:tc>
                <w:tc>
                  <w:tcPr>
                    <w:tcW w:w="840" w:type="dxa"/>
                    <w:vAlign w:val="center"/>
                  </w:tcPr>
                  <w:p>
                    <w:pPr>
                      <w:jc w:val="right"/>
                      <w:rPr>
                        <w:rFonts w:ascii="宋体" w:hAnsi="宋体" w:cs="宋体"/>
                      </w:rPr>
                    </w:pPr>
                    <w:r>
                      <w:rPr>
                        <w:rFonts w:ascii="宋体" w:hAnsi="宋体" w:cs="宋体"/>
                      </w:rPr>
                      <w:t>239</w:t>
                    </w:r>
                  </w:p>
                </w:tc>
                <w:tc>
                  <w:tcPr>
                    <w:tcW w:w="1007" w:type="dxa"/>
                    <w:vAlign w:val="center"/>
                  </w:tcPr>
                  <w:p>
                    <w:pPr>
                      <w:jc w:val="right"/>
                      <w:rPr>
                        <w:rFonts w:ascii="宋体" w:hAnsi="宋体" w:cs="宋体"/>
                      </w:rPr>
                    </w:pPr>
                    <w:r>
                      <w:rPr>
                        <w:rFonts w:ascii="宋体" w:hAnsi="宋体" w:cs="宋体"/>
                      </w:rPr>
                      <w:t>1,084</w:t>
                    </w:r>
                  </w:p>
                </w:tc>
                <w:tc>
                  <w:tcPr>
                    <w:tcW w:w="1002" w:type="dxa"/>
                    <w:vAlign w:val="center"/>
                  </w:tcPr>
                  <w:p>
                    <w:pPr>
                      <w:jc w:val="right"/>
                      <w:rPr>
                        <w:rFonts w:ascii="宋体" w:hAnsi="宋体" w:cs="宋体"/>
                      </w:rPr>
                    </w:pPr>
                    <w:r>
                      <w:rPr>
                        <w:rFonts w:ascii="宋体" w:hAnsi="宋体" w:cs="宋体"/>
                      </w:rPr>
                      <w:t>1,082</w:t>
                    </w:r>
                  </w:p>
                </w:tc>
                <w:tc>
                  <w:tcPr>
                    <w:tcW w:w="992" w:type="dxa"/>
                    <w:vAlign w:val="center"/>
                  </w:tcPr>
                  <w:p>
                    <w:pPr>
                      <w:jc w:val="right"/>
                      <w:rPr>
                        <w:rFonts w:ascii="宋体" w:hAnsi="宋体" w:cs="宋体"/>
                      </w:rPr>
                    </w:pPr>
                    <w:r>
                      <w:rPr>
                        <w:rFonts w:ascii="宋体" w:hAnsi="宋体" w:cs="宋体"/>
                      </w:rPr>
                      <w:t xml:space="preserve">285 </w:t>
                    </w:r>
                  </w:p>
                </w:tc>
                <w:tc>
                  <w:tcPr>
                    <w:tcW w:w="992" w:type="dxa"/>
                    <w:vAlign w:val="center"/>
                  </w:tcPr>
                  <w:p>
                    <w:pPr>
                      <w:jc w:val="right"/>
                      <w:rPr>
                        <w:rFonts w:ascii="宋体" w:hAnsi="宋体" w:cs="宋体"/>
                      </w:rPr>
                    </w:pPr>
                    <w:r>
                      <w:rPr>
                        <w:rFonts w:ascii="宋体" w:hAnsi="宋体" w:cs="宋体"/>
                      </w:rPr>
                      <w:t xml:space="preserve">284 </w:t>
                    </w:r>
                  </w:p>
                </w:tc>
                <w:tc>
                  <w:tcPr>
                    <w:tcW w:w="1134" w:type="dxa"/>
                    <w:vAlign w:val="center"/>
                  </w:tcPr>
                  <w:p>
                    <w:pPr>
                      <w:jc w:val="right"/>
                      <w:rPr>
                        <w:rFonts w:ascii="宋体" w:hAnsi="宋体" w:cs="宋体"/>
                      </w:rPr>
                    </w:pPr>
                    <w:r>
                      <w:rPr>
                        <w:rFonts w:ascii="宋体" w:hAnsi="宋体" w:cs="宋体"/>
                      </w:rPr>
                      <w:t xml:space="preserve">1,457 </w:t>
                    </w:r>
                  </w:p>
                </w:tc>
                <w:tc>
                  <w:tcPr>
                    <w:tcW w:w="1134" w:type="dxa"/>
                    <w:vAlign w:val="center"/>
                  </w:tcPr>
                  <w:p>
                    <w:pPr>
                      <w:jc w:val="right"/>
                      <w:rPr>
                        <w:rFonts w:ascii="宋体" w:hAnsi="宋体" w:cs="宋体"/>
                      </w:rPr>
                    </w:pPr>
                    <w:r>
                      <w:rPr>
                        <w:rFonts w:ascii="宋体" w:hAnsi="宋体" w:cs="宋体"/>
                      </w:rPr>
                      <w:t xml:space="preserve">1,366 </w:t>
                    </w:r>
                  </w:p>
                </w:tc>
              </w:tr>
              <w:tr>
                <w:trPr>
                  <w:trHeight w:val="312"/>
                  <w:jc w:val="center"/>
                </w:trPr>
                <w:tc>
                  <w:tcPr>
                    <w:tcW w:w="2274" w:type="dxa"/>
                    <w:vAlign w:val="center"/>
                  </w:tcPr>
                  <w:p>
                    <w:pPr>
                      <w:ind w:firstLineChars="200" w:firstLine="420"/>
                      <w:rPr>
                        <w:rFonts w:ascii="宋体" w:hAnsi="宋体"/>
                      </w:rPr>
                    </w:pPr>
                    <w:r>
                      <w:rPr>
                        <w:rFonts w:ascii="宋体" w:hAnsi="宋体" w:hint="eastAsia"/>
                      </w:rPr>
                      <w:t>己内酰胺</w:t>
                    </w:r>
                  </w:p>
                </w:tc>
                <w:tc>
                  <w:tcPr>
                    <w:tcW w:w="962" w:type="dxa"/>
                    <w:vAlign w:val="center"/>
                  </w:tcPr>
                  <w:p>
                    <w:pPr>
                      <w:jc w:val="right"/>
                      <w:rPr>
                        <w:rFonts w:ascii="宋体" w:hAnsi="宋体" w:cs="宋体"/>
                      </w:rPr>
                    </w:pPr>
                    <w:r>
                      <w:rPr>
                        <w:rFonts w:ascii="宋体" w:hAnsi="宋体" w:cs="宋体"/>
                      </w:rPr>
                      <w:t>357</w:t>
                    </w:r>
                  </w:p>
                </w:tc>
                <w:tc>
                  <w:tcPr>
                    <w:tcW w:w="840" w:type="dxa"/>
                    <w:vAlign w:val="center"/>
                  </w:tcPr>
                  <w:p>
                    <w:pPr>
                      <w:jc w:val="right"/>
                      <w:rPr>
                        <w:rFonts w:ascii="宋体" w:hAnsi="宋体" w:cs="宋体"/>
                      </w:rPr>
                    </w:pPr>
                    <w:r>
                      <w:rPr>
                        <w:rFonts w:ascii="宋体" w:hAnsi="宋体" w:cs="宋体"/>
                      </w:rPr>
                      <w:t>355</w:t>
                    </w:r>
                  </w:p>
                </w:tc>
                <w:tc>
                  <w:tcPr>
                    <w:tcW w:w="1007" w:type="dxa"/>
                    <w:vAlign w:val="center"/>
                  </w:tcPr>
                  <w:p>
                    <w:pPr>
                      <w:jc w:val="right"/>
                      <w:rPr>
                        <w:rFonts w:ascii="宋体" w:hAnsi="宋体" w:cs="宋体"/>
                      </w:rPr>
                    </w:pPr>
                    <w:r>
                      <w:rPr>
                        <w:rFonts w:ascii="宋体" w:hAnsi="宋体" w:cs="宋体"/>
                      </w:rPr>
                      <w:t>2,854</w:t>
                    </w:r>
                  </w:p>
                </w:tc>
                <w:tc>
                  <w:tcPr>
                    <w:tcW w:w="1002" w:type="dxa"/>
                    <w:vAlign w:val="center"/>
                  </w:tcPr>
                  <w:p>
                    <w:pPr>
                      <w:jc w:val="right"/>
                      <w:rPr>
                        <w:rFonts w:ascii="宋体" w:hAnsi="宋体" w:cs="宋体"/>
                      </w:rPr>
                    </w:pPr>
                    <w:r>
                      <w:rPr>
                        <w:rFonts w:ascii="宋体" w:hAnsi="宋体" w:cs="宋体"/>
                      </w:rPr>
                      <w:t>2,845</w:t>
                    </w:r>
                  </w:p>
                </w:tc>
                <w:tc>
                  <w:tcPr>
                    <w:tcW w:w="992" w:type="dxa"/>
                    <w:vAlign w:val="center"/>
                  </w:tcPr>
                  <w:p>
                    <w:pPr>
                      <w:jc w:val="right"/>
                      <w:rPr>
                        <w:rFonts w:ascii="宋体" w:hAnsi="宋体" w:cs="宋体"/>
                      </w:rPr>
                    </w:pPr>
                    <w:r>
                      <w:rPr>
                        <w:rFonts w:ascii="宋体" w:hAnsi="宋体" w:cs="宋体"/>
                      </w:rPr>
                      <w:t xml:space="preserve">337 </w:t>
                    </w:r>
                  </w:p>
                </w:tc>
                <w:tc>
                  <w:tcPr>
                    <w:tcW w:w="992" w:type="dxa"/>
                    <w:vAlign w:val="center"/>
                  </w:tcPr>
                  <w:p>
                    <w:pPr>
                      <w:jc w:val="right"/>
                      <w:rPr>
                        <w:rFonts w:ascii="宋体" w:hAnsi="宋体" w:cs="宋体"/>
                      </w:rPr>
                    </w:pPr>
                    <w:r>
                      <w:rPr>
                        <w:rFonts w:ascii="宋体" w:hAnsi="宋体" w:cs="宋体"/>
                      </w:rPr>
                      <w:t xml:space="preserve">336 </w:t>
                    </w:r>
                  </w:p>
                </w:tc>
                <w:tc>
                  <w:tcPr>
                    <w:tcW w:w="1134" w:type="dxa"/>
                    <w:vAlign w:val="center"/>
                  </w:tcPr>
                  <w:p>
                    <w:pPr>
                      <w:jc w:val="right"/>
                      <w:rPr>
                        <w:rFonts w:ascii="宋体" w:hAnsi="宋体" w:cs="宋体"/>
                      </w:rPr>
                    </w:pPr>
                    <w:r>
                      <w:rPr>
                        <w:rFonts w:ascii="宋体" w:hAnsi="宋体" w:cs="宋体"/>
                      </w:rPr>
                      <w:t xml:space="preserve">3,626 </w:t>
                    </w:r>
                  </w:p>
                </w:tc>
                <w:tc>
                  <w:tcPr>
                    <w:tcW w:w="1134" w:type="dxa"/>
                    <w:vAlign w:val="center"/>
                  </w:tcPr>
                  <w:p>
                    <w:pPr>
                      <w:jc w:val="right"/>
                      <w:rPr>
                        <w:rFonts w:ascii="宋体" w:hAnsi="宋体" w:cs="宋体"/>
                      </w:rPr>
                    </w:pPr>
                    <w:r>
                      <w:rPr>
                        <w:rFonts w:ascii="宋体" w:hAnsi="宋体" w:cs="宋体"/>
                      </w:rPr>
                      <w:t xml:space="preserve">3,324 </w:t>
                    </w:r>
                  </w:p>
                </w:tc>
              </w:tr>
              <w:tr>
                <w:trPr>
                  <w:trHeight w:val="312"/>
                  <w:jc w:val="center"/>
                </w:trPr>
                <w:tc>
                  <w:tcPr>
                    <w:tcW w:w="2274" w:type="dxa"/>
                    <w:vAlign w:val="center"/>
                  </w:tcPr>
                  <w:p>
                    <w:pPr>
                      <w:ind w:firstLineChars="200" w:firstLine="420"/>
                      <w:rPr>
                        <w:rFonts w:ascii="宋体" w:hAnsi="宋体"/>
                      </w:rPr>
                    </w:pPr>
                    <w:r>
                      <w:rPr>
                        <w:rFonts w:ascii="宋体" w:hAnsi="宋体" w:hint="eastAsia"/>
                      </w:rPr>
                      <w:t>聚甲醛</w:t>
                    </w:r>
                  </w:p>
                </w:tc>
                <w:tc>
                  <w:tcPr>
                    <w:tcW w:w="962" w:type="dxa"/>
                    <w:vAlign w:val="center"/>
                  </w:tcPr>
                  <w:p>
                    <w:pPr>
                      <w:jc w:val="right"/>
                      <w:rPr>
                        <w:rFonts w:ascii="宋体" w:hAnsi="宋体" w:cs="宋体"/>
                      </w:rPr>
                    </w:pPr>
                    <w:r>
                      <w:rPr>
                        <w:rFonts w:ascii="宋体" w:hAnsi="宋体" w:cs="宋体"/>
                      </w:rPr>
                      <w:t>71</w:t>
                    </w:r>
                  </w:p>
                </w:tc>
                <w:tc>
                  <w:tcPr>
                    <w:tcW w:w="840" w:type="dxa"/>
                    <w:vAlign w:val="center"/>
                  </w:tcPr>
                  <w:p>
                    <w:pPr>
                      <w:jc w:val="right"/>
                      <w:rPr>
                        <w:rFonts w:ascii="宋体" w:hAnsi="宋体" w:cs="宋体"/>
                      </w:rPr>
                    </w:pPr>
                    <w:r>
                      <w:rPr>
                        <w:rFonts w:ascii="宋体" w:hAnsi="宋体" w:cs="宋体"/>
                      </w:rPr>
                      <w:t>71</w:t>
                    </w:r>
                  </w:p>
                </w:tc>
                <w:tc>
                  <w:tcPr>
                    <w:tcW w:w="1007" w:type="dxa"/>
                    <w:vAlign w:val="center"/>
                  </w:tcPr>
                  <w:p>
                    <w:pPr>
                      <w:jc w:val="right"/>
                      <w:rPr>
                        <w:rFonts w:ascii="宋体" w:hAnsi="宋体" w:cs="宋体"/>
                      </w:rPr>
                    </w:pPr>
                    <w:r>
                      <w:rPr>
                        <w:rFonts w:ascii="宋体" w:hAnsi="宋体" w:cs="宋体"/>
                      </w:rPr>
                      <w:t>514</w:t>
                    </w:r>
                  </w:p>
                </w:tc>
                <w:tc>
                  <w:tcPr>
                    <w:tcW w:w="1002" w:type="dxa"/>
                    <w:vAlign w:val="center"/>
                  </w:tcPr>
                  <w:p>
                    <w:pPr>
                      <w:jc w:val="right"/>
                      <w:rPr>
                        <w:rFonts w:ascii="宋体" w:hAnsi="宋体" w:cs="宋体"/>
                      </w:rPr>
                    </w:pPr>
                    <w:r>
                      <w:rPr>
                        <w:rFonts w:ascii="宋体" w:hAnsi="宋体" w:cs="宋体"/>
                      </w:rPr>
                      <w:t>588</w:t>
                    </w:r>
                  </w:p>
                </w:tc>
                <w:tc>
                  <w:tcPr>
                    <w:tcW w:w="992" w:type="dxa"/>
                    <w:vAlign w:val="center"/>
                  </w:tcPr>
                  <w:p>
                    <w:pPr>
                      <w:jc w:val="right"/>
                      <w:rPr>
                        <w:rFonts w:ascii="宋体" w:hAnsi="宋体" w:cs="宋体"/>
                      </w:rPr>
                    </w:pPr>
                    <w:r>
                      <w:rPr>
                        <w:rFonts w:ascii="宋体" w:hAnsi="宋体" w:cs="宋体"/>
                      </w:rPr>
                      <w:t xml:space="preserve">65 </w:t>
                    </w:r>
                  </w:p>
                </w:tc>
                <w:tc>
                  <w:tcPr>
                    <w:tcW w:w="992" w:type="dxa"/>
                    <w:vAlign w:val="center"/>
                  </w:tcPr>
                  <w:p>
                    <w:pPr>
                      <w:jc w:val="right"/>
                      <w:rPr>
                        <w:rFonts w:ascii="宋体" w:hAnsi="宋体" w:cs="宋体"/>
                      </w:rPr>
                    </w:pPr>
                    <w:r>
                      <w:rPr>
                        <w:rFonts w:ascii="宋体" w:hAnsi="宋体" w:cs="宋体"/>
                      </w:rPr>
                      <w:t xml:space="preserve">65 </w:t>
                    </w:r>
                  </w:p>
                </w:tc>
                <w:tc>
                  <w:tcPr>
                    <w:tcW w:w="1134" w:type="dxa"/>
                    <w:vAlign w:val="center"/>
                  </w:tcPr>
                  <w:p>
                    <w:pPr>
                      <w:jc w:val="right"/>
                      <w:rPr>
                        <w:rFonts w:ascii="宋体" w:hAnsi="宋体" w:cs="宋体"/>
                      </w:rPr>
                    </w:pPr>
                    <w:r>
                      <w:rPr>
                        <w:rFonts w:ascii="宋体" w:hAnsi="宋体" w:cs="宋体"/>
                      </w:rPr>
                      <w:t xml:space="preserve">626 </w:t>
                    </w:r>
                  </w:p>
                </w:tc>
                <w:tc>
                  <w:tcPr>
                    <w:tcW w:w="1134" w:type="dxa"/>
                    <w:vAlign w:val="center"/>
                  </w:tcPr>
                  <w:p>
                    <w:pPr>
                      <w:jc w:val="right"/>
                      <w:rPr>
                        <w:rFonts w:ascii="宋体" w:hAnsi="宋体" w:cs="宋体"/>
                      </w:rPr>
                    </w:pPr>
                    <w:r>
                      <w:rPr>
                        <w:rFonts w:ascii="宋体" w:hAnsi="宋体" w:cs="宋体"/>
                      </w:rPr>
                      <w:t xml:space="preserve">565 </w:t>
                    </w:r>
                  </w:p>
                </w:tc>
              </w:tr>
              <w:tr>
                <w:trPr>
                  <w:trHeight w:val="312"/>
                  <w:jc w:val="center"/>
                </w:trPr>
                <w:tc>
                  <w:tcPr>
                    <w:tcW w:w="2274" w:type="dxa"/>
                    <w:vAlign w:val="center"/>
                  </w:tcPr>
                  <w:p>
                    <w:pPr>
                      <w:ind w:firstLineChars="200" w:firstLine="420"/>
                      <w:rPr>
                        <w:rFonts w:ascii="宋体" w:hAnsi="宋体"/>
                      </w:rPr>
                    </w:pPr>
                    <w:r>
                      <w:rPr>
                        <w:rFonts w:ascii="宋体" w:hAnsi="宋体" w:hint="eastAsia"/>
                      </w:rPr>
                      <w:t>粗液体蜡</w:t>
                    </w:r>
                    <w:r>
                      <w:rPr>
                        <w:rFonts w:ascii="宋体" w:hAnsi="宋体" w:hint="eastAsia"/>
                        <w:vertAlign w:val="superscript"/>
                      </w:rPr>
                      <w:t>注</w:t>
                    </w:r>
                  </w:p>
                </w:tc>
                <w:tc>
                  <w:tcPr>
                    <w:tcW w:w="962" w:type="dxa"/>
                    <w:vAlign w:val="center"/>
                  </w:tcPr>
                  <w:p>
                    <w:pPr>
                      <w:jc w:val="right"/>
                      <w:rPr>
                        <w:rFonts w:ascii="宋体" w:hAnsi="宋体" w:cs="宋体"/>
                      </w:rPr>
                    </w:pPr>
                    <w:r>
                      <w:rPr>
                        <w:rFonts w:ascii="宋体" w:hAnsi="宋体" w:cs="宋体"/>
                      </w:rPr>
                      <w:t>-</w:t>
                    </w:r>
                  </w:p>
                </w:tc>
                <w:tc>
                  <w:tcPr>
                    <w:tcW w:w="840" w:type="dxa"/>
                    <w:vAlign w:val="center"/>
                  </w:tcPr>
                  <w:p>
                    <w:pPr>
                      <w:jc w:val="right"/>
                      <w:rPr>
                        <w:rFonts w:ascii="宋体" w:hAnsi="宋体" w:cs="宋体"/>
                      </w:rPr>
                    </w:pPr>
                    <w:r>
                      <w:rPr>
                        <w:rFonts w:ascii="宋体" w:hAnsi="宋体" w:cs="宋体"/>
                      </w:rPr>
                      <w:t>-</w:t>
                    </w:r>
                  </w:p>
                </w:tc>
                <w:tc>
                  <w:tcPr>
                    <w:tcW w:w="1007" w:type="dxa"/>
                    <w:vAlign w:val="center"/>
                  </w:tcPr>
                  <w:p>
                    <w:pPr>
                      <w:jc w:val="right"/>
                      <w:rPr>
                        <w:rFonts w:ascii="宋体" w:hAnsi="宋体" w:cs="宋体"/>
                      </w:rPr>
                    </w:pPr>
                    <w:r>
                      <w:rPr>
                        <w:rFonts w:ascii="宋体" w:hAnsi="宋体" w:cs="宋体"/>
                      </w:rPr>
                      <w:t>-</w:t>
                    </w:r>
                  </w:p>
                </w:tc>
                <w:tc>
                  <w:tcPr>
                    <w:tcW w:w="1002" w:type="dxa"/>
                    <w:vAlign w:val="center"/>
                  </w:tcPr>
                  <w:p>
                    <w:pPr>
                      <w:jc w:val="right"/>
                      <w:rPr>
                        <w:rFonts w:ascii="宋体" w:hAnsi="宋体" w:cs="宋体"/>
                      </w:rPr>
                    </w:pPr>
                    <w:r>
                      <w:rPr>
                        <w:rFonts w:ascii="宋体" w:hAnsi="宋体" w:cs="宋体"/>
                      </w:rPr>
                      <w:t>-</w:t>
                    </w:r>
                  </w:p>
                </w:tc>
                <w:tc>
                  <w:tcPr>
                    <w:tcW w:w="992" w:type="dxa"/>
                    <w:vAlign w:val="center"/>
                  </w:tcPr>
                  <w:p>
                    <w:pPr>
                      <w:jc w:val="right"/>
                      <w:rPr>
                        <w:rFonts w:ascii="宋体" w:hAnsi="宋体" w:cs="宋体"/>
                      </w:rPr>
                    </w:pPr>
                    <w:r>
                      <w:rPr>
                        <w:rFonts w:ascii="宋体" w:hAnsi="宋体" w:cs="宋体"/>
                      </w:rPr>
                      <w:t xml:space="preserve">288 </w:t>
                    </w:r>
                  </w:p>
                </w:tc>
                <w:tc>
                  <w:tcPr>
                    <w:tcW w:w="992" w:type="dxa"/>
                    <w:vAlign w:val="center"/>
                  </w:tcPr>
                  <w:p>
                    <w:pPr>
                      <w:jc w:val="right"/>
                      <w:rPr>
                        <w:rFonts w:ascii="宋体" w:hAnsi="宋体" w:cs="宋体"/>
                      </w:rPr>
                    </w:pPr>
                    <w:r>
                      <w:rPr>
                        <w:rFonts w:ascii="宋体" w:hAnsi="宋体" w:cs="宋体"/>
                      </w:rPr>
                      <w:t xml:space="preserve">300 </w:t>
                    </w:r>
                  </w:p>
                </w:tc>
                <w:tc>
                  <w:tcPr>
                    <w:tcW w:w="1134" w:type="dxa"/>
                    <w:vAlign w:val="center"/>
                  </w:tcPr>
                  <w:p>
                    <w:pPr>
                      <w:jc w:val="right"/>
                      <w:rPr>
                        <w:rFonts w:ascii="宋体" w:hAnsi="宋体" w:cs="宋体"/>
                      </w:rPr>
                    </w:pPr>
                    <w:r>
                      <w:rPr>
                        <w:rFonts w:ascii="宋体" w:hAnsi="宋体" w:cs="宋体"/>
                      </w:rPr>
                      <w:t xml:space="preserve">1,874 </w:t>
                    </w:r>
                  </w:p>
                </w:tc>
                <w:tc>
                  <w:tcPr>
                    <w:tcW w:w="1134" w:type="dxa"/>
                    <w:vAlign w:val="center"/>
                  </w:tcPr>
                  <w:p>
                    <w:pPr>
                      <w:jc w:val="right"/>
                      <w:rPr>
                        <w:rFonts w:ascii="宋体" w:hAnsi="宋体" w:cs="宋体"/>
                      </w:rPr>
                    </w:pPr>
                    <w:r>
                      <w:rPr>
                        <w:rFonts w:ascii="宋体" w:hAnsi="宋体" w:cs="宋体"/>
                      </w:rPr>
                      <w:t xml:space="preserve">899 </w:t>
                    </w:r>
                  </w:p>
                </w:tc>
              </w:tr>
              <w:tr>
                <w:trPr>
                  <w:trHeight w:val="312"/>
                  <w:jc w:val="center"/>
                </w:trPr>
                <w:tc>
                  <w:tcPr>
                    <w:tcW w:w="2274" w:type="dxa"/>
                    <w:vAlign w:val="center"/>
                  </w:tcPr>
                  <w:p>
                    <w:pPr>
                      <w:ind w:firstLineChars="200" w:firstLine="420"/>
                      <w:rPr>
                        <w:rFonts w:ascii="宋体" w:hAnsi="宋体"/>
                      </w:rPr>
                    </w:pPr>
                    <w:r>
                      <w:rPr>
                        <w:rFonts w:ascii="宋体" w:hAnsi="宋体" w:cs="宋体" w:hint="eastAsia"/>
                      </w:rPr>
                      <w:t>石脑油</w:t>
                    </w:r>
                  </w:p>
                </w:tc>
                <w:tc>
                  <w:tcPr>
                    <w:tcW w:w="962" w:type="dxa"/>
                    <w:vAlign w:val="center"/>
                  </w:tcPr>
                  <w:p>
                    <w:pPr>
                      <w:jc w:val="right"/>
                      <w:rPr>
                        <w:rFonts w:ascii="宋体" w:hAnsi="宋体" w:cs="宋体"/>
                      </w:rPr>
                    </w:pPr>
                    <w:r>
                      <w:rPr>
                        <w:rFonts w:ascii="宋体" w:hAnsi="宋体" w:cs="宋体"/>
                      </w:rPr>
                      <w:t>257</w:t>
                    </w:r>
                  </w:p>
                </w:tc>
                <w:tc>
                  <w:tcPr>
                    <w:tcW w:w="840" w:type="dxa"/>
                    <w:vAlign w:val="center"/>
                  </w:tcPr>
                  <w:p>
                    <w:pPr>
                      <w:jc w:val="right"/>
                      <w:rPr>
                        <w:rFonts w:ascii="宋体" w:hAnsi="宋体" w:cs="宋体"/>
                      </w:rPr>
                    </w:pPr>
                    <w:r>
                      <w:rPr>
                        <w:rFonts w:ascii="宋体" w:hAnsi="宋体" w:cs="宋体"/>
                      </w:rPr>
                      <w:t>257</w:t>
                    </w:r>
                  </w:p>
                </w:tc>
                <w:tc>
                  <w:tcPr>
                    <w:tcW w:w="1007" w:type="dxa"/>
                    <w:vAlign w:val="center"/>
                  </w:tcPr>
                  <w:p>
                    <w:pPr>
                      <w:jc w:val="right"/>
                      <w:rPr>
                        <w:rFonts w:ascii="宋体" w:hAnsi="宋体" w:cs="宋体"/>
                      </w:rPr>
                    </w:pPr>
                    <w:r>
                      <w:rPr>
                        <w:rFonts w:ascii="宋体" w:hAnsi="宋体" w:cs="宋体"/>
                      </w:rPr>
                      <w:t>1,613</w:t>
                    </w:r>
                  </w:p>
                </w:tc>
                <w:tc>
                  <w:tcPr>
                    <w:tcW w:w="1002" w:type="dxa"/>
                    <w:vAlign w:val="center"/>
                  </w:tcPr>
                  <w:p>
                    <w:pPr>
                      <w:jc w:val="right"/>
                      <w:rPr>
                        <w:rFonts w:ascii="宋体" w:hAnsi="宋体" w:cs="宋体"/>
                      </w:rPr>
                    </w:pPr>
                    <w:r>
                      <w:rPr>
                        <w:rFonts w:ascii="宋体" w:hAnsi="宋体" w:cs="宋体"/>
                      </w:rPr>
                      <w:t>560</w:t>
                    </w:r>
                  </w:p>
                </w:tc>
                <w:tc>
                  <w:tcPr>
                    <w:tcW w:w="992" w:type="dxa"/>
                    <w:vAlign w:val="center"/>
                  </w:tcPr>
                  <w:p>
                    <w:pPr>
                      <w:jc w:val="right"/>
                      <w:rPr>
                        <w:rFonts w:ascii="宋体" w:hAnsi="宋体" w:cs="宋体"/>
                      </w:rPr>
                    </w:pPr>
                    <w:r>
                      <w:rPr>
                        <w:rFonts w:ascii="宋体" w:hAnsi="宋体" w:cs="宋体"/>
                      </w:rPr>
                      <w:t xml:space="preserve">233 </w:t>
                    </w:r>
                  </w:p>
                </w:tc>
                <w:tc>
                  <w:tcPr>
                    <w:tcW w:w="992" w:type="dxa"/>
                    <w:vAlign w:val="center"/>
                  </w:tcPr>
                  <w:p>
                    <w:pPr>
                      <w:jc w:val="right"/>
                      <w:rPr>
                        <w:rFonts w:ascii="宋体" w:hAnsi="宋体" w:cs="宋体"/>
                      </w:rPr>
                    </w:pPr>
                    <w:r>
                      <w:rPr>
                        <w:rFonts w:ascii="宋体" w:hAnsi="宋体" w:cs="宋体"/>
                      </w:rPr>
                      <w:t xml:space="preserve">235 </w:t>
                    </w:r>
                  </w:p>
                </w:tc>
                <w:tc>
                  <w:tcPr>
                    <w:tcW w:w="1134" w:type="dxa"/>
                    <w:vAlign w:val="center"/>
                  </w:tcPr>
                  <w:p>
                    <w:pPr>
                      <w:jc w:val="right"/>
                      <w:rPr>
                        <w:rFonts w:ascii="宋体" w:hAnsi="宋体" w:cs="宋体"/>
                      </w:rPr>
                    </w:pPr>
                    <w:r>
                      <w:rPr>
                        <w:rFonts w:ascii="宋体" w:hAnsi="宋体" w:cs="宋体"/>
                      </w:rPr>
                      <w:t xml:space="preserve">1,537 </w:t>
                    </w:r>
                  </w:p>
                </w:tc>
                <w:tc>
                  <w:tcPr>
                    <w:tcW w:w="1134" w:type="dxa"/>
                    <w:vAlign w:val="center"/>
                  </w:tcPr>
                  <w:p>
                    <w:pPr>
                      <w:jc w:val="right"/>
                      <w:rPr>
                        <w:rFonts w:ascii="宋体" w:hAnsi="宋体" w:cs="宋体"/>
                      </w:rPr>
                    </w:pPr>
                    <w:r>
                      <w:rPr>
                        <w:rFonts w:ascii="宋体" w:hAnsi="宋体" w:cs="宋体"/>
                      </w:rPr>
                      <w:t xml:space="preserve">693 </w:t>
                    </w:r>
                  </w:p>
                </w:tc>
              </w:tr>
              <w:tr>
                <w:trPr>
                  <w:trHeight w:val="312"/>
                  <w:jc w:val="center"/>
                </w:trPr>
                <w:tc>
                  <w:tcPr>
                    <w:tcW w:w="2274" w:type="dxa"/>
                    <w:vAlign w:val="center"/>
                  </w:tcPr>
                  <w:p>
                    <w:pPr>
                      <w:ind w:firstLineChars="200" w:firstLine="420"/>
                      <w:rPr>
                        <w:rFonts w:ascii="宋体" w:hAnsi="宋体"/>
                      </w:rPr>
                    </w:pPr>
                    <w:r>
                      <w:rPr>
                        <w:rFonts w:ascii="宋体" w:hAnsi="宋体"/>
                      </w:rPr>
                      <w:t>全馏分液体石蜡</w:t>
                    </w:r>
                    <w:r>
                      <w:rPr>
                        <w:rFonts w:ascii="宋体" w:hAnsi="宋体" w:hint="eastAsia"/>
                        <w:vertAlign w:val="superscript"/>
                      </w:rPr>
                      <w:t>注</w:t>
                    </w:r>
                  </w:p>
                </w:tc>
                <w:tc>
                  <w:tcPr>
                    <w:tcW w:w="962" w:type="dxa"/>
                    <w:vAlign w:val="center"/>
                  </w:tcPr>
                  <w:p>
                    <w:pPr>
                      <w:jc w:val="right"/>
                      <w:rPr>
                        <w:rFonts w:ascii="宋体" w:hAnsi="宋体" w:cs="宋体"/>
                      </w:rPr>
                    </w:pPr>
                    <w:r>
                      <w:rPr>
                        <w:rFonts w:ascii="宋体" w:hAnsi="宋体" w:cs="宋体"/>
                      </w:rPr>
                      <w:t>447</w:t>
                    </w:r>
                  </w:p>
                </w:tc>
                <w:tc>
                  <w:tcPr>
                    <w:tcW w:w="840" w:type="dxa"/>
                    <w:vAlign w:val="center"/>
                  </w:tcPr>
                  <w:p>
                    <w:pPr>
                      <w:jc w:val="right"/>
                      <w:rPr>
                        <w:rFonts w:ascii="宋体" w:hAnsi="宋体" w:cs="宋体"/>
                      </w:rPr>
                    </w:pPr>
                    <w:r>
                      <w:rPr>
                        <w:rFonts w:ascii="宋体" w:hAnsi="宋体" w:cs="宋体"/>
                      </w:rPr>
                      <w:t>446</w:t>
                    </w:r>
                  </w:p>
                </w:tc>
                <w:tc>
                  <w:tcPr>
                    <w:tcW w:w="1007" w:type="dxa"/>
                    <w:vAlign w:val="center"/>
                  </w:tcPr>
                  <w:p>
                    <w:pPr>
                      <w:jc w:val="right"/>
                      <w:rPr>
                        <w:rFonts w:ascii="宋体" w:hAnsi="宋体" w:cs="宋体"/>
                      </w:rPr>
                    </w:pPr>
                    <w:r>
                      <w:rPr>
                        <w:rFonts w:ascii="宋体" w:hAnsi="宋体" w:cs="宋体"/>
                      </w:rPr>
                      <w:t>2,557</w:t>
                    </w:r>
                  </w:p>
                </w:tc>
                <w:tc>
                  <w:tcPr>
                    <w:tcW w:w="1002" w:type="dxa"/>
                    <w:vAlign w:val="center"/>
                  </w:tcPr>
                  <w:p>
                    <w:pPr>
                      <w:jc w:val="right"/>
                      <w:rPr>
                        <w:rFonts w:ascii="宋体" w:hAnsi="宋体" w:cs="宋体"/>
                      </w:rPr>
                    </w:pPr>
                    <w:r>
                      <w:rPr>
                        <w:rFonts w:ascii="宋体" w:hAnsi="宋体" w:cs="宋体"/>
                      </w:rPr>
                      <w:t>972</w:t>
                    </w:r>
                  </w:p>
                </w:tc>
                <w:tc>
                  <w:tcPr>
                    <w:tcW w:w="992" w:type="dxa"/>
                    <w:vAlign w:val="center"/>
                  </w:tcPr>
                  <w:p>
                    <w:pPr>
                      <w:jc w:val="right"/>
                      <w:rPr>
                        <w:rFonts w:ascii="宋体" w:hAnsi="宋体" w:cs="宋体"/>
                      </w:rPr>
                    </w:pPr>
                    <w:r>
                      <w:rPr>
                        <w:rFonts w:ascii="宋体" w:hAnsi="宋体" w:cs="宋体"/>
                      </w:rPr>
                      <w:t xml:space="preserve">116 </w:t>
                    </w:r>
                  </w:p>
                </w:tc>
                <w:tc>
                  <w:tcPr>
                    <w:tcW w:w="992" w:type="dxa"/>
                    <w:vAlign w:val="center"/>
                  </w:tcPr>
                  <w:p>
                    <w:pPr>
                      <w:jc w:val="right"/>
                      <w:rPr>
                        <w:rFonts w:ascii="宋体" w:hAnsi="宋体" w:cs="宋体"/>
                      </w:rPr>
                    </w:pPr>
                    <w:r>
                      <w:rPr>
                        <w:rFonts w:ascii="宋体" w:hAnsi="宋体" w:cs="宋体"/>
                      </w:rPr>
                      <w:t xml:space="preserve">111 </w:t>
                    </w:r>
                  </w:p>
                </w:tc>
                <w:tc>
                  <w:tcPr>
                    <w:tcW w:w="1134" w:type="dxa"/>
                    <w:vAlign w:val="center"/>
                  </w:tcPr>
                  <w:p>
                    <w:pPr>
                      <w:jc w:val="right"/>
                      <w:rPr>
                        <w:rFonts w:ascii="宋体" w:hAnsi="宋体" w:cs="宋体"/>
                      </w:rPr>
                    </w:pPr>
                    <w:r>
                      <w:rPr>
                        <w:rFonts w:ascii="宋体" w:hAnsi="宋体" w:cs="宋体"/>
                      </w:rPr>
                      <w:t xml:space="preserve">660 </w:t>
                    </w:r>
                  </w:p>
                </w:tc>
                <w:tc>
                  <w:tcPr>
                    <w:tcW w:w="1134" w:type="dxa"/>
                    <w:vAlign w:val="center"/>
                  </w:tcPr>
                  <w:p>
                    <w:pPr>
                      <w:jc w:val="right"/>
                      <w:rPr>
                        <w:rFonts w:ascii="宋体" w:hAnsi="宋体" w:cs="宋体"/>
                      </w:rPr>
                    </w:pPr>
                    <w:r>
                      <w:rPr>
                        <w:rFonts w:ascii="宋体" w:hAnsi="宋体" w:cs="宋体"/>
                      </w:rPr>
                      <w:t xml:space="preserve">313 </w:t>
                    </w:r>
                  </w:p>
                </w:tc>
              </w:tr>
              <w:tr>
                <w:trPr>
                  <w:trHeight w:val="312"/>
                  <w:jc w:val="center"/>
                </w:trPr>
                <w:tc>
                  <w:tcPr>
                    <w:tcW w:w="2274" w:type="dxa"/>
                    <w:vAlign w:val="center"/>
                  </w:tcPr>
                  <w:p>
                    <w:pPr>
                      <w:ind w:firstLineChars="200" w:firstLine="420"/>
                      <w:rPr>
                        <w:rFonts w:ascii="宋体" w:hAnsi="宋体"/>
                      </w:rPr>
                    </w:pPr>
                    <w:r>
                      <w:rPr>
                        <w:rFonts w:ascii="宋体" w:hAnsi="宋体" w:hint="eastAsia"/>
                      </w:rPr>
                      <w:t>乙二醇</w:t>
                    </w:r>
                  </w:p>
                </w:tc>
                <w:tc>
                  <w:tcPr>
                    <w:tcW w:w="962" w:type="dxa"/>
                    <w:vAlign w:val="center"/>
                  </w:tcPr>
                  <w:p>
                    <w:pPr>
                      <w:jc w:val="right"/>
                      <w:rPr>
                        <w:rFonts w:ascii="宋体" w:hAnsi="宋体" w:cs="宋体"/>
                      </w:rPr>
                    </w:pPr>
                    <w:r>
                      <w:rPr>
                        <w:rFonts w:ascii="宋体" w:hAnsi="宋体" w:cs="宋体"/>
                      </w:rPr>
                      <w:t>395</w:t>
                    </w:r>
                  </w:p>
                </w:tc>
                <w:tc>
                  <w:tcPr>
                    <w:tcW w:w="840" w:type="dxa"/>
                    <w:vAlign w:val="center"/>
                  </w:tcPr>
                  <w:p>
                    <w:pPr>
                      <w:jc w:val="right"/>
                      <w:rPr>
                        <w:rFonts w:ascii="宋体" w:hAnsi="宋体" w:cs="宋体"/>
                      </w:rPr>
                    </w:pPr>
                    <w:r>
                      <w:rPr>
                        <w:rFonts w:ascii="宋体" w:hAnsi="宋体" w:cs="宋体"/>
                      </w:rPr>
                      <w:t>390</w:t>
                    </w:r>
                  </w:p>
                </w:tc>
                <w:tc>
                  <w:tcPr>
                    <w:tcW w:w="1007" w:type="dxa"/>
                    <w:vAlign w:val="center"/>
                  </w:tcPr>
                  <w:p>
                    <w:pPr>
                      <w:jc w:val="right"/>
                      <w:rPr>
                        <w:rFonts w:ascii="宋体" w:hAnsi="宋体" w:cs="宋体"/>
                      </w:rPr>
                    </w:pPr>
                    <w:r>
                      <w:rPr>
                        <w:rFonts w:ascii="宋体" w:hAnsi="宋体" w:cs="宋体"/>
                      </w:rPr>
                      <w:t>1,476</w:t>
                    </w:r>
                  </w:p>
                </w:tc>
                <w:tc>
                  <w:tcPr>
                    <w:tcW w:w="1002" w:type="dxa"/>
                    <w:vAlign w:val="center"/>
                  </w:tcPr>
                  <w:p>
                    <w:pPr>
                      <w:jc w:val="right"/>
                      <w:rPr>
                        <w:rFonts w:ascii="宋体" w:hAnsi="宋体" w:cs="宋体"/>
                      </w:rPr>
                    </w:pPr>
                    <w:r>
                      <w:rPr>
                        <w:rFonts w:ascii="宋体" w:hAnsi="宋体" w:cs="宋体"/>
                      </w:rPr>
                      <w:t>826</w:t>
                    </w:r>
                  </w:p>
                </w:tc>
                <w:tc>
                  <w:tcPr>
                    <w:tcW w:w="992" w:type="dxa"/>
                    <w:vAlign w:val="center"/>
                  </w:tcPr>
                  <w:p>
                    <w:pPr>
                      <w:jc w:val="right"/>
                      <w:rPr>
                        <w:rFonts w:ascii="宋体" w:hAnsi="宋体" w:cs="宋体"/>
                      </w:rPr>
                    </w:pPr>
                    <w:r>
                      <w:rPr>
                        <w:rFonts w:ascii="宋体" w:hAnsi="宋体" w:cs="宋体"/>
                      </w:rPr>
                      <w:t xml:space="preserve">401 </w:t>
                    </w:r>
                  </w:p>
                </w:tc>
                <w:tc>
                  <w:tcPr>
                    <w:tcW w:w="992" w:type="dxa"/>
                    <w:vAlign w:val="center"/>
                  </w:tcPr>
                  <w:p>
                    <w:pPr>
                      <w:jc w:val="right"/>
                      <w:rPr>
                        <w:rFonts w:ascii="宋体" w:hAnsi="宋体" w:cs="宋体"/>
                      </w:rPr>
                    </w:pPr>
                    <w:r>
                      <w:rPr>
                        <w:rFonts w:ascii="宋体" w:hAnsi="宋体" w:cs="宋体"/>
                      </w:rPr>
                      <w:t xml:space="preserve">394 </w:t>
                    </w:r>
                  </w:p>
                </w:tc>
                <w:tc>
                  <w:tcPr>
                    <w:tcW w:w="1134" w:type="dxa"/>
                    <w:vAlign w:val="center"/>
                  </w:tcPr>
                  <w:p>
                    <w:pPr>
                      <w:jc w:val="right"/>
                      <w:rPr>
                        <w:rFonts w:ascii="宋体" w:hAnsi="宋体" w:cs="宋体"/>
                      </w:rPr>
                    </w:pPr>
                    <w:r>
                      <w:rPr>
                        <w:rFonts w:ascii="宋体" w:hAnsi="宋体" w:cs="宋体"/>
                      </w:rPr>
                      <w:t xml:space="preserve">1,524 </w:t>
                    </w:r>
                  </w:p>
                </w:tc>
                <w:tc>
                  <w:tcPr>
                    <w:tcW w:w="1134" w:type="dxa"/>
                    <w:vAlign w:val="center"/>
                  </w:tcPr>
                  <w:p>
                    <w:pPr>
                      <w:jc w:val="right"/>
                      <w:rPr>
                        <w:rFonts w:ascii="宋体" w:hAnsi="宋体" w:cs="宋体"/>
                      </w:rPr>
                    </w:pPr>
                    <w:r>
                      <w:rPr>
                        <w:rFonts w:ascii="宋体" w:hAnsi="宋体" w:cs="宋体"/>
                      </w:rPr>
                      <w:t xml:space="preserve">1,078 </w:t>
                    </w:r>
                  </w:p>
                </w:tc>
              </w:tr>
              <w:tr>
                <w:trPr>
                  <w:trHeight w:val="312"/>
                  <w:jc w:val="center"/>
                </w:trPr>
                <w:tc>
                  <w:tcPr>
                    <w:tcW w:w="2274" w:type="dxa"/>
                    <w:vAlign w:val="center"/>
                  </w:tcPr>
                  <w:p>
                    <w:pPr>
                      <w:ind w:firstLineChars="200" w:firstLine="420"/>
                      <w:rPr>
                        <w:rFonts w:ascii="宋体" w:hAnsi="宋体"/>
                      </w:rPr>
                    </w:pPr>
                    <w:r>
                      <w:rPr>
                        <w:rFonts w:ascii="宋体" w:hAnsi="宋体" w:hint="eastAsia"/>
                      </w:rPr>
                      <w:t>尿素</w:t>
                    </w:r>
                  </w:p>
                </w:tc>
                <w:tc>
                  <w:tcPr>
                    <w:tcW w:w="962" w:type="dxa"/>
                    <w:vAlign w:val="center"/>
                  </w:tcPr>
                  <w:p>
                    <w:pPr>
                      <w:jc w:val="right"/>
                      <w:rPr>
                        <w:rFonts w:ascii="宋体" w:hAnsi="宋体" w:cs="宋体"/>
                      </w:rPr>
                    </w:pPr>
                    <w:r>
                      <w:rPr>
                        <w:rFonts w:ascii="宋体" w:hAnsi="宋体" w:cs="宋体"/>
                      </w:rPr>
                      <w:t>910</w:t>
                    </w:r>
                  </w:p>
                </w:tc>
                <w:tc>
                  <w:tcPr>
                    <w:tcW w:w="840" w:type="dxa"/>
                    <w:vAlign w:val="center"/>
                  </w:tcPr>
                  <w:p>
                    <w:pPr>
                      <w:jc w:val="right"/>
                      <w:rPr>
                        <w:rFonts w:ascii="宋体" w:hAnsi="宋体" w:cs="宋体"/>
                      </w:rPr>
                    </w:pPr>
                    <w:r>
                      <w:rPr>
                        <w:rFonts w:ascii="宋体" w:hAnsi="宋体" w:cs="宋体"/>
                      </w:rPr>
                      <w:t>846</w:t>
                    </w:r>
                  </w:p>
                </w:tc>
                <w:tc>
                  <w:tcPr>
                    <w:tcW w:w="1007" w:type="dxa"/>
                    <w:vAlign w:val="center"/>
                  </w:tcPr>
                  <w:p>
                    <w:pPr>
                      <w:jc w:val="right"/>
                      <w:rPr>
                        <w:rFonts w:ascii="宋体" w:hAnsi="宋体" w:cs="宋体"/>
                      </w:rPr>
                    </w:pPr>
                    <w:r>
                      <w:rPr>
                        <w:rFonts w:ascii="宋体" w:hAnsi="宋体" w:cs="宋体"/>
                      </w:rPr>
                      <w:t>1,223</w:t>
                    </w:r>
                  </w:p>
                </w:tc>
                <w:tc>
                  <w:tcPr>
                    <w:tcW w:w="1002" w:type="dxa"/>
                    <w:vAlign w:val="center"/>
                  </w:tcPr>
                  <w:p>
                    <w:pPr>
                      <w:jc w:val="right"/>
                      <w:rPr>
                        <w:rFonts w:ascii="宋体" w:hAnsi="宋体" w:cs="宋体"/>
                      </w:rPr>
                    </w:pPr>
                    <w:r>
                      <w:rPr>
                        <w:rFonts w:ascii="宋体" w:hAnsi="宋体" w:cs="宋体"/>
                      </w:rPr>
                      <w:t>1,096</w:t>
                    </w:r>
                  </w:p>
                </w:tc>
                <w:tc>
                  <w:tcPr>
                    <w:tcW w:w="992" w:type="dxa"/>
                    <w:vAlign w:val="center"/>
                  </w:tcPr>
                  <w:p>
                    <w:pPr>
                      <w:jc w:val="right"/>
                      <w:rPr>
                        <w:rFonts w:ascii="宋体" w:hAnsi="宋体" w:cs="宋体"/>
                      </w:rPr>
                    </w:pPr>
                    <w:r>
                      <w:rPr>
                        <w:rFonts w:ascii="宋体" w:hAnsi="宋体" w:cs="宋体"/>
                      </w:rPr>
                      <w:t xml:space="preserve">716 </w:t>
                    </w:r>
                  </w:p>
                </w:tc>
                <w:tc>
                  <w:tcPr>
                    <w:tcW w:w="992" w:type="dxa"/>
                    <w:vAlign w:val="center"/>
                  </w:tcPr>
                  <w:p>
                    <w:pPr>
                      <w:jc w:val="right"/>
                      <w:rPr>
                        <w:rFonts w:ascii="宋体" w:hAnsi="宋体" w:cs="宋体"/>
                      </w:rPr>
                    </w:pPr>
                    <w:r>
                      <w:rPr>
                        <w:rFonts w:ascii="宋体" w:hAnsi="宋体" w:cs="宋体"/>
                      </w:rPr>
                      <w:t xml:space="preserve">664 </w:t>
                    </w:r>
                  </w:p>
                </w:tc>
                <w:tc>
                  <w:tcPr>
                    <w:tcW w:w="1134" w:type="dxa"/>
                    <w:vAlign w:val="center"/>
                  </w:tcPr>
                  <w:p>
                    <w:pPr>
                      <w:jc w:val="right"/>
                      <w:rPr>
                        <w:rFonts w:ascii="宋体" w:hAnsi="宋体" w:cs="宋体"/>
                      </w:rPr>
                    </w:pPr>
                    <w:r>
                      <w:rPr>
                        <w:rFonts w:ascii="宋体" w:hAnsi="宋体" w:cs="宋体"/>
                      </w:rPr>
                      <w:t xml:space="preserve">1,192 </w:t>
                    </w:r>
                  </w:p>
                </w:tc>
                <w:tc>
                  <w:tcPr>
                    <w:tcW w:w="1134" w:type="dxa"/>
                    <w:vAlign w:val="center"/>
                  </w:tcPr>
                  <w:p>
                    <w:pPr>
                      <w:jc w:val="right"/>
                      <w:rPr>
                        <w:rFonts w:ascii="宋体" w:hAnsi="宋体" w:cs="宋体"/>
                      </w:rPr>
                    </w:pPr>
                    <w:r>
                      <w:rPr>
                        <w:rFonts w:ascii="宋体" w:hAnsi="宋体" w:cs="宋体"/>
                      </w:rPr>
                      <w:t xml:space="preserve">892 </w:t>
                    </w:r>
                  </w:p>
                </w:tc>
              </w:tr>
              <w:tr>
                <w:trPr>
                  <w:trHeight w:val="70"/>
                  <w:jc w:val="center"/>
                </w:trPr>
                <w:tc>
                  <w:tcPr>
                    <w:tcW w:w="2274" w:type="dxa"/>
                    <w:vAlign w:val="center"/>
                  </w:tcPr>
                  <w:p>
                    <w:pPr>
                      <w:ind w:firstLineChars="200" w:firstLine="420"/>
                      <w:rPr>
                        <w:rFonts w:ascii="宋体" w:hAnsi="宋体"/>
                      </w:rPr>
                    </w:pPr>
                    <w:r>
                      <w:rPr>
                        <w:rFonts w:ascii="宋体" w:hAnsi="宋体" w:hint="eastAsia"/>
                      </w:rPr>
                      <w:t>其他</w:t>
                    </w:r>
                  </w:p>
                </w:tc>
                <w:tc>
                  <w:tcPr>
                    <w:tcW w:w="962" w:type="dxa"/>
                    <w:vAlign w:val="center"/>
                  </w:tcPr>
                  <w:p>
                    <w:pPr>
                      <w:jc w:val="right"/>
                      <w:rPr>
                        <w:rFonts w:ascii="宋体" w:hAnsi="宋体" w:cs="宋体"/>
                      </w:rPr>
                    </w:pPr>
                    <w:r>
                      <w:rPr>
                        <w:rFonts w:ascii="宋体" w:hAnsi="宋体" w:cs="宋体"/>
                      </w:rPr>
                      <w:t>1,478</w:t>
                    </w:r>
                  </w:p>
                </w:tc>
                <w:tc>
                  <w:tcPr>
                    <w:tcW w:w="840" w:type="dxa"/>
                    <w:vAlign w:val="center"/>
                  </w:tcPr>
                  <w:p>
                    <w:pPr>
                      <w:jc w:val="right"/>
                      <w:rPr>
                        <w:rFonts w:ascii="宋体" w:hAnsi="宋体" w:cs="宋体"/>
                      </w:rPr>
                    </w:pPr>
                    <w:r>
                      <w:rPr>
                        <w:rFonts w:ascii="宋体" w:hAnsi="宋体" w:cs="宋体"/>
                      </w:rPr>
                      <w:t>877</w:t>
                    </w:r>
                  </w:p>
                </w:tc>
                <w:tc>
                  <w:tcPr>
                    <w:tcW w:w="1007" w:type="dxa"/>
                    <w:vAlign w:val="center"/>
                  </w:tcPr>
                  <w:p>
                    <w:pPr>
                      <w:jc w:val="right"/>
                      <w:rPr>
                        <w:rFonts w:ascii="宋体" w:hAnsi="宋体" w:cs="宋体"/>
                      </w:rPr>
                    </w:pPr>
                    <w:r>
                      <w:rPr>
                        <w:rFonts w:ascii="宋体" w:hAnsi="宋体" w:cs="宋体"/>
                      </w:rPr>
                      <w:t>3,633</w:t>
                    </w:r>
                  </w:p>
                </w:tc>
                <w:tc>
                  <w:tcPr>
                    <w:tcW w:w="1002" w:type="dxa"/>
                    <w:vAlign w:val="center"/>
                  </w:tcPr>
                  <w:p>
                    <w:pPr>
                      <w:jc w:val="right"/>
                      <w:rPr>
                        <w:rFonts w:ascii="宋体" w:hAnsi="宋体" w:cs="宋体"/>
                      </w:rPr>
                    </w:pPr>
                    <w:r>
                      <w:rPr>
                        <w:rFonts w:ascii="宋体" w:hAnsi="宋体" w:cs="宋体"/>
                      </w:rPr>
                      <w:t>3,203</w:t>
                    </w:r>
                  </w:p>
                </w:tc>
                <w:tc>
                  <w:tcPr>
                    <w:tcW w:w="992" w:type="dxa"/>
                    <w:vAlign w:val="center"/>
                  </w:tcPr>
                  <w:p>
                    <w:pPr>
                      <w:jc w:val="right"/>
                      <w:rPr>
                        <w:rFonts w:ascii="宋体" w:hAnsi="宋体" w:cs="宋体"/>
                      </w:rPr>
                    </w:pPr>
                    <w:r>
                      <w:rPr>
                        <w:rFonts w:ascii="宋体" w:hAnsi="宋体" w:cs="宋体"/>
                      </w:rPr>
                      <w:t xml:space="preserve">1,116 </w:t>
                    </w:r>
                  </w:p>
                </w:tc>
                <w:tc>
                  <w:tcPr>
                    <w:tcW w:w="992" w:type="dxa"/>
                    <w:vAlign w:val="center"/>
                  </w:tcPr>
                  <w:p>
                    <w:pPr>
                      <w:jc w:val="right"/>
                      <w:rPr>
                        <w:rFonts w:ascii="宋体" w:hAnsi="宋体" w:cs="宋体"/>
                      </w:rPr>
                    </w:pPr>
                    <w:r>
                      <w:rPr>
                        <w:rFonts w:ascii="宋体" w:hAnsi="宋体" w:cs="宋体"/>
                      </w:rPr>
                      <w:t xml:space="preserve">731 </w:t>
                    </w:r>
                  </w:p>
                </w:tc>
                <w:tc>
                  <w:tcPr>
                    <w:tcW w:w="1134" w:type="dxa"/>
                    <w:vAlign w:val="center"/>
                  </w:tcPr>
                  <w:p>
                    <w:pPr>
                      <w:jc w:val="right"/>
                      <w:rPr>
                        <w:rFonts w:ascii="宋体" w:hAnsi="宋体" w:cs="宋体"/>
                      </w:rPr>
                    </w:pPr>
                    <w:r>
                      <w:rPr>
                        <w:rFonts w:ascii="宋体" w:hAnsi="宋体" w:cs="宋体"/>
                      </w:rPr>
                      <w:t xml:space="preserve">3,637 </w:t>
                    </w:r>
                  </w:p>
                </w:tc>
                <w:tc>
                  <w:tcPr>
                    <w:tcW w:w="1134" w:type="dxa"/>
                    <w:vAlign w:val="center"/>
                  </w:tcPr>
                  <w:p>
                    <w:pPr>
                      <w:jc w:val="right"/>
                      <w:rPr>
                        <w:rFonts w:ascii="宋体" w:hAnsi="宋体" w:cs="宋体"/>
                      </w:rPr>
                    </w:pPr>
                    <w:r>
                      <w:rPr>
                        <w:rFonts w:ascii="宋体" w:hAnsi="宋体" w:cs="宋体"/>
                      </w:rPr>
                      <w:t xml:space="preserve">3,171 </w:t>
                    </w:r>
                  </w:p>
                </w:tc>
              </w:tr>
              <w:tr>
                <w:trPr>
                  <w:trHeight w:val="312"/>
                  <w:jc w:val="center"/>
                </w:trPr>
                <w:tc>
                  <w:tcPr>
                    <w:tcW w:w="2274" w:type="dxa"/>
                    <w:vAlign w:val="center"/>
                  </w:tcPr>
                  <w:p>
                    <w:pPr>
                      <w:jc w:val="center"/>
                      <w:rPr>
                        <w:rFonts w:ascii="宋体" w:hAnsi="宋体"/>
                      </w:rPr>
                    </w:pPr>
                    <w:r>
                      <w:rPr>
                        <w:rFonts w:ascii="宋体" w:hAnsi="宋体" w:hint="eastAsia"/>
                      </w:rPr>
                      <w:t>合计</w:t>
                    </w:r>
                  </w:p>
                </w:tc>
                <w:tc>
                  <w:tcPr>
                    <w:tcW w:w="962" w:type="dxa"/>
                    <w:vAlign w:val="center"/>
                  </w:tcPr>
                  <w:p>
                    <w:pPr>
                      <w:jc w:val="right"/>
                      <w:rPr>
                        <w:rFonts w:ascii="宋体" w:hAnsi="宋体" w:cs="宋体"/>
                      </w:rPr>
                    </w:pPr>
                    <w:r>
                      <w:rPr>
                        <w:rFonts w:ascii="宋体" w:hAnsi="宋体" w:cs="宋体"/>
                      </w:rPr>
                      <w:t>9,775</w:t>
                    </w:r>
                  </w:p>
                </w:tc>
                <w:tc>
                  <w:tcPr>
                    <w:tcW w:w="840" w:type="dxa"/>
                    <w:vAlign w:val="center"/>
                  </w:tcPr>
                  <w:p>
                    <w:pPr>
                      <w:jc w:val="right"/>
                      <w:rPr>
                        <w:rFonts w:ascii="宋体" w:hAnsi="宋体" w:cs="宋体"/>
                      </w:rPr>
                    </w:pPr>
                    <w:r>
                      <w:rPr>
                        <w:rFonts w:ascii="宋体" w:hAnsi="宋体" w:cs="宋体"/>
                      </w:rPr>
                      <w:t>8,574</w:t>
                    </w:r>
                  </w:p>
                </w:tc>
                <w:tc>
                  <w:tcPr>
                    <w:tcW w:w="1007" w:type="dxa"/>
                    <w:vAlign w:val="center"/>
                  </w:tcPr>
                  <w:p>
                    <w:pPr>
                      <w:jc w:val="right"/>
                      <w:rPr>
                        <w:rFonts w:ascii="宋体" w:hAnsi="宋体" w:cs="宋体"/>
                      </w:rPr>
                    </w:pPr>
                    <w:r>
                      <w:rPr>
                        <w:rFonts w:ascii="宋体" w:hAnsi="宋体" w:cs="宋体"/>
                      </w:rPr>
                      <w:t>24,293</w:t>
                    </w:r>
                  </w:p>
                </w:tc>
                <w:tc>
                  <w:tcPr>
                    <w:tcW w:w="1002" w:type="dxa"/>
                    <w:vAlign w:val="center"/>
                  </w:tcPr>
                  <w:p>
                    <w:pPr>
                      <w:jc w:val="right"/>
                      <w:rPr>
                        <w:rFonts w:ascii="宋体" w:hAnsi="宋体" w:cs="宋体"/>
                      </w:rPr>
                    </w:pPr>
                    <w:r>
                      <w:rPr>
                        <w:rFonts w:ascii="宋体" w:hAnsi="宋体" w:cs="宋体"/>
                      </w:rPr>
                      <w:t>17,907</w:t>
                    </w:r>
                  </w:p>
                </w:tc>
                <w:tc>
                  <w:tcPr>
                    <w:tcW w:w="992" w:type="dxa"/>
                    <w:vAlign w:val="center"/>
                  </w:tcPr>
                  <w:p>
                    <w:pPr>
                      <w:jc w:val="right"/>
                      <w:rPr>
                        <w:rFonts w:ascii="宋体" w:hAnsi="宋体" w:cs="宋体"/>
                      </w:rPr>
                    </w:pPr>
                    <w:r>
                      <w:rPr>
                        <w:rFonts w:ascii="宋体" w:hAnsi="宋体" w:cs="宋体"/>
                      </w:rPr>
                      <w:t>9,012</w:t>
                    </w:r>
                  </w:p>
                </w:tc>
                <w:tc>
                  <w:tcPr>
                    <w:tcW w:w="992" w:type="dxa"/>
                    <w:vAlign w:val="center"/>
                  </w:tcPr>
                  <w:p>
                    <w:pPr>
                      <w:jc w:val="right"/>
                      <w:rPr>
                        <w:rFonts w:ascii="宋体" w:hAnsi="宋体" w:cs="宋体"/>
                      </w:rPr>
                    </w:pPr>
                    <w:r>
                      <w:rPr>
                        <w:rFonts w:ascii="宋体" w:hAnsi="宋体" w:cs="宋体"/>
                      </w:rPr>
                      <w:t>8,113</w:t>
                    </w:r>
                  </w:p>
                </w:tc>
                <w:tc>
                  <w:tcPr>
                    <w:tcW w:w="1134" w:type="dxa"/>
                    <w:vAlign w:val="center"/>
                  </w:tcPr>
                  <w:p>
                    <w:pPr>
                      <w:jc w:val="right"/>
                      <w:rPr>
                        <w:rFonts w:ascii="宋体" w:hAnsi="宋体" w:cs="宋体"/>
                      </w:rPr>
                    </w:pPr>
                    <w:r>
                      <w:rPr>
                        <w:rFonts w:ascii="宋体" w:hAnsi="宋体" w:cs="宋体"/>
                      </w:rPr>
                      <w:t>25,801</w:t>
                    </w:r>
                  </w:p>
                </w:tc>
                <w:tc>
                  <w:tcPr>
                    <w:tcW w:w="1134" w:type="dxa"/>
                    <w:vAlign w:val="center"/>
                  </w:tcPr>
                  <w:p>
                    <w:pPr>
                      <w:jc w:val="right"/>
                      <w:rPr>
                        <w:rFonts w:ascii="宋体" w:hAnsi="宋体" w:cs="宋体"/>
                      </w:rPr>
                    </w:pPr>
                    <w:r>
                      <w:rPr>
                        <w:rFonts w:ascii="宋体" w:hAnsi="宋体" w:cs="宋体"/>
                      </w:rPr>
                      <w:t>20,347</w:t>
                    </w:r>
                  </w:p>
                </w:tc>
              </w:tr>
            </w:tbl>
            <w:p>
              <w:pPr>
                <w:widowControl w:val="0"/>
                <w:ind w:firstLineChars="200" w:firstLine="420"/>
                <w:jc w:val="both"/>
                <w:rPr>
                  <w:rFonts w:ascii="宋体" w:hAnsi="宋体"/>
                  <w:kern w:val="2"/>
                </w:rPr>
              </w:pPr>
              <w:r>
                <w:rPr>
                  <w:rFonts w:ascii="宋体" w:hAnsi="宋体" w:hint="eastAsia"/>
                  <w:kern w:val="2"/>
                </w:rPr>
                <w:t>注：</w:t>
              </w:r>
            </w:p>
            <w:p>
              <w:pPr>
                <w:widowControl w:val="0"/>
                <w:ind w:firstLineChars="200" w:firstLine="420"/>
                <w:jc w:val="both"/>
                <w:rPr>
                  <w:rFonts w:ascii="宋体" w:hAnsi="宋体"/>
                  <w:kern w:val="2"/>
                </w:rPr>
              </w:pPr>
              <w:bookmarkStart w:id="63" w:name="_Hlk224396661"/>
              <w:r>
                <w:rPr>
                  <w:rFonts w:ascii="宋体" w:hAnsi="宋体" w:hint="eastAsia"/>
                  <w:kern w:val="2"/>
                </w:rPr>
                <w:t>粗液体蜡、全馏分液体石蜡产量、销量、销售收入、销售成本同比增减变动，主要是由于：未来能源积极应对市场环境变化，进行柔性生产，不断优化产品结构，影响其化工品产量、销量变动。</w:t>
              </w:r>
            </w:p>
            <w:bookmarkEnd w:id="63"/>
            <w:p>
              <w:pPr>
                <w:widowControl w:val="0"/>
                <w:ind w:firstLineChars="200" w:firstLine="420"/>
                <w:jc w:val="both"/>
                <w:rPr>
                  <w:rFonts w:ascii="宋体" w:hAnsi="宋体"/>
                  <w:kern w:val="2"/>
                </w:rPr>
              </w:pPr>
            </w:p>
            <w:p>
              <w:pPr>
                <w:widowControl w:val="0"/>
                <w:ind w:firstLineChars="200" w:firstLine="420"/>
                <w:jc w:val="both"/>
                <w:rPr>
                  <w:rFonts w:ascii="宋体" w:hAnsi="宋体"/>
                  <w:kern w:val="2"/>
                </w:rPr>
              </w:pPr>
            </w:p>
            <w:p>
              <w:pPr>
                <w:widowControl w:val="0"/>
                <w:jc w:val="both"/>
                <w:rPr>
                  <w:rFonts w:ascii="宋体" w:hAnsi="宋体"/>
                  <w:b/>
                  <w:bCs/>
                  <w:kern w:val="2"/>
                </w:rPr>
              </w:pPr>
              <w:r>
                <w:rPr>
                  <w:rFonts w:ascii="宋体" w:hAnsi="宋体" w:hint="eastAsia"/>
                  <w:b/>
                  <w:bCs/>
                  <w:kern w:val="2"/>
                </w:rPr>
                <w:t>3</w:t>
              </w:r>
              <w:r>
                <w:rPr>
                  <w:rFonts w:ascii="宋体" w:hAnsi="宋体"/>
                  <w:b/>
                  <w:bCs/>
                  <w:kern w:val="2"/>
                </w:rPr>
                <w:t>.</w:t>
              </w:r>
              <w:r>
                <w:rPr>
                  <w:rFonts w:ascii="宋体" w:hAnsi="宋体" w:hint="eastAsia"/>
                  <w:b/>
                  <w:bCs/>
                  <w:kern w:val="2"/>
                </w:rPr>
                <w:t>电力业务</w:t>
              </w:r>
            </w:p>
            <w:p>
              <w:pPr>
                <w:widowControl w:val="0"/>
                <w:ind w:firstLineChars="200" w:firstLine="420"/>
                <w:jc w:val="both"/>
                <w:rPr>
                  <w:rFonts w:ascii="宋体" w:hAnsi="宋体"/>
                  <w:kern w:val="2"/>
                </w:rPr>
              </w:pPr>
              <w:r>
                <w:rPr>
                  <w:rFonts w:ascii="宋体" w:hAnsi="宋体" w:hint="eastAsia"/>
                  <w:kern w:val="2"/>
                </w:rPr>
                <w:t>202</w:t>
              </w:r>
              <w:r>
                <w:rPr>
                  <w:rFonts w:ascii="宋体" w:hAnsi="宋体"/>
                  <w:kern w:val="2"/>
                </w:rPr>
                <w:t>5</w:t>
              </w:r>
              <w:r>
                <w:rPr>
                  <w:rFonts w:ascii="宋体" w:hAnsi="宋体" w:hint="eastAsia"/>
                  <w:kern w:val="2"/>
                </w:rPr>
                <w:t>年本集团电力业务经营情况如下：</w:t>
              </w:r>
            </w:p>
            <w:tbl>
              <w:tblPr>
                <w:tblStyle w:val="g114"/>
                <w:tblW w:w="10393" w:type="dxa"/>
                <w:jc w:val="center"/>
                <w:tblCellMar>
                  <w:left w:w="0" w:type="dxa"/>
                </w:tblCellMar>
                <w:tblLook w:val="04A0" w:firstRow="1" w:lastRow="0" w:firstColumn="1" w:lastColumn="0" w:noHBand="0" w:noVBand="1"/>
              </w:tblPr>
              <w:tblGrid>
                <w:gridCol w:w="1676"/>
                <w:gridCol w:w="1143"/>
                <w:gridCol w:w="1188"/>
                <w:gridCol w:w="1102"/>
                <w:gridCol w:w="985"/>
                <w:gridCol w:w="1143"/>
                <w:gridCol w:w="1143"/>
                <w:gridCol w:w="1028"/>
                <w:gridCol w:w="985"/>
              </w:tblGrid>
              <w:tr>
                <w:trPr>
                  <w:trHeight w:val="312"/>
                  <w:jc w:val="center"/>
                </w:trPr>
                <w:tc>
                  <w:tcPr>
                    <w:tcW w:w="1695" w:type="dxa"/>
                    <w:vMerge w:val="restart"/>
                    <w:vAlign w:val="center"/>
                  </w:tcPr>
                  <w:p>
                    <w:pPr>
                      <w:spacing w:line="240" w:lineRule="atLeast"/>
                      <w:rPr>
                        <w:rFonts w:ascii="宋体" w:hAnsi="宋体"/>
                      </w:rPr>
                    </w:pPr>
                    <w:bookmarkStart w:id="64" w:name="_Hlk3298539"/>
                    <w:bookmarkStart w:id="65" w:name="_Hlk192414028"/>
                    <w:bookmarkEnd w:id="64"/>
                  </w:p>
                </w:tc>
                <w:tc>
                  <w:tcPr>
                    <w:tcW w:w="4394" w:type="dxa"/>
                    <w:gridSpan w:val="4"/>
                    <w:vAlign w:val="center"/>
                  </w:tcPr>
                  <w:p>
                    <w:pPr>
                      <w:spacing w:line="240" w:lineRule="atLeast"/>
                      <w:jc w:val="center"/>
                      <w:rPr>
                        <w:rFonts w:ascii="宋体" w:hAnsi="宋体"/>
                      </w:rPr>
                    </w:pPr>
                    <w:r>
                      <w:rPr>
                        <w:rFonts w:ascii="宋体" w:hAnsi="宋体" w:hint="eastAsia"/>
                      </w:rPr>
                      <w:t>202</w:t>
                    </w:r>
                    <w:r>
                      <w:rPr>
                        <w:rFonts w:ascii="宋体" w:hAnsi="宋体"/>
                      </w:rPr>
                      <w:t>5</w:t>
                    </w:r>
                    <w:r>
                      <w:rPr>
                        <w:rFonts w:ascii="宋体" w:hAnsi="宋体" w:hint="eastAsia"/>
                      </w:rPr>
                      <w:t>年</w:t>
                    </w:r>
                  </w:p>
                </w:tc>
                <w:tc>
                  <w:tcPr>
                    <w:tcW w:w="4304" w:type="dxa"/>
                    <w:gridSpan w:val="4"/>
                    <w:vAlign w:val="center"/>
                  </w:tcPr>
                  <w:p>
                    <w:pPr>
                      <w:spacing w:line="240" w:lineRule="atLeast"/>
                      <w:jc w:val="center"/>
                      <w:rPr>
                        <w:rFonts w:ascii="宋体" w:hAnsi="宋体"/>
                      </w:rPr>
                    </w:pPr>
                    <w:r>
                      <w:rPr>
                        <w:rFonts w:ascii="宋体" w:hAnsi="宋体" w:hint="eastAsia"/>
                      </w:rPr>
                      <w:t>202</w:t>
                    </w:r>
                    <w:r>
                      <w:rPr>
                        <w:rFonts w:ascii="宋体" w:hAnsi="宋体"/>
                      </w:rPr>
                      <w:t>4</w:t>
                    </w:r>
                    <w:r>
                      <w:rPr>
                        <w:rFonts w:ascii="宋体" w:hAnsi="宋体" w:hint="eastAsia"/>
                      </w:rPr>
                      <w:t>年</w:t>
                    </w:r>
                  </w:p>
                </w:tc>
              </w:tr>
              <w:tr>
                <w:trPr>
                  <w:trHeight w:val="312"/>
                  <w:jc w:val="center"/>
                </w:trPr>
                <w:tc>
                  <w:tcPr>
                    <w:tcW w:w="1695" w:type="dxa"/>
                    <w:vMerge/>
                    <w:vAlign w:val="center"/>
                  </w:tcPr>
                  <w:p>
                    <w:pPr>
                      <w:spacing w:line="240" w:lineRule="atLeast"/>
                      <w:rPr>
                        <w:rFonts w:ascii="宋体" w:hAnsi="宋体"/>
                      </w:rPr>
                    </w:pPr>
                  </w:p>
                </w:tc>
                <w:tc>
                  <w:tcPr>
                    <w:tcW w:w="1070" w:type="dxa"/>
                    <w:vAlign w:val="center"/>
                  </w:tcPr>
                  <w:p>
                    <w:pPr>
                      <w:jc w:val="center"/>
                      <w:rPr>
                        <w:rFonts w:ascii="宋体" w:hAnsi="宋体"/>
                      </w:rPr>
                    </w:pPr>
                    <w:r>
                      <w:rPr>
                        <w:rFonts w:ascii="宋体" w:hAnsi="宋体" w:hint="eastAsia"/>
                      </w:rPr>
                      <w:t>发电量</w:t>
                    </w:r>
                  </w:p>
                </w:tc>
                <w:tc>
                  <w:tcPr>
                    <w:tcW w:w="1198" w:type="dxa"/>
                    <w:vAlign w:val="center"/>
                  </w:tcPr>
                  <w:p>
                    <w:pPr>
                      <w:jc w:val="center"/>
                      <w:rPr>
                        <w:rFonts w:ascii="宋体" w:hAnsi="宋体"/>
                      </w:rPr>
                    </w:pPr>
                    <w:r>
                      <w:rPr>
                        <w:rFonts w:ascii="宋体" w:hAnsi="宋体" w:hint="eastAsia"/>
                      </w:rPr>
                      <w:t>售电量</w:t>
                    </w:r>
                  </w:p>
                </w:tc>
                <w:tc>
                  <w:tcPr>
                    <w:tcW w:w="1134" w:type="dxa"/>
                    <w:vAlign w:val="center"/>
                  </w:tcPr>
                  <w:p>
                    <w:pPr>
                      <w:jc w:val="center"/>
                      <w:rPr>
                        <w:rFonts w:ascii="宋体" w:hAnsi="宋体"/>
                      </w:rPr>
                    </w:pPr>
                    <w:r>
                      <w:rPr>
                        <w:rFonts w:ascii="宋体" w:hAnsi="宋体" w:hint="eastAsia"/>
                      </w:rPr>
                      <w:t>销售收入</w:t>
                    </w:r>
                  </w:p>
                </w:tc>
                <w:tc>
                  <w:tcPr>
                    <w:tcW w:w="992" w:type="dxa"/>
                    <w:vAlign w:val="center"/>
                  </w:tcPr>
                  <w:p>
                    <w:pPr>
                      <w:jc w:val="center"/>
                      <w:rPr>
                        <w:rFonts w:ascii="宋体" w:hAnsi="宋体"/>
                      </w:rPr>
                    </w:pPr>
                    <w:r>
                      <w:rPr>
                        <w:rFonts w:ascii="宋体" w:hAnsi="宋体" w:hint="eastAsia"/>
                      </w:rPr>
                      <w:t>销售成本</w:t>
                    </w:r>
                  </w:p>
                </w:tc>
                <w:tc>
                  <w:tcPr>
                    <w:tcW w:w="1134" w:type="dxa"/>
                    <w:vAlign w:val="center"/>
                  </w:tcPr>
                  <w:p>
                    <w:pPr>
                      <w:jc w:val="center"/>
                      <w:rPr>
                        <w:rFonts w:ascii="宋体" w:hAnsi="宋体"/>
                      </w:rPr>
                    </w:pPr>
                    <w:r>
                      <w:rPr>
                        <w:rFonts w:ascii="宋体" w:hAnsi="宋体" w:hint="eastAsia"/>
                      </w:rPr>
                      <w:t>发电量</w:t>
                    </w:r>
                  </w:p>
                </w:tc>
                <w:tc>
                  <w:tcPr>
                    <w:tcW w:w="1134" w:type="dxa"/>
                    <w:vAlign w:val="center"/>
                  </w:tcPr>
                  <w:p>
                    <w:pPr>
                      <w:jc w:val="center"/>
                      <w:rPr>
                        <w:rFonts w:ascii="宋体" w:hAnsi="宋体"/>
                      </w:rPr>
                    </w:pPr>
                    <w:r>
                      <w:rPr>
                        <w:rFonts w:ascii="宋体" w:hAnsi="宋体" w:hint="eastAsia"/>
                      </w:rPr>
                      <w:t>售电量</w:t>
                    </w:r>
                  </w:p>
                </w:tc>
                <w:tc>
                  <w:tcPr>
                    <w:tcW w:w="1044" w:type="dxa"/>
                    <w:vAlign w:val="center"/>
                  </w:tcPr>
                  <w:p>
                    <w:pPr>
                      <w:jc w:val="center"/>
                      <w:rPr>
                        <w:rFonts w:ascii="宋体" w:hAnsi="宋体"/>
                      </w:rPr>
                    </w:pPr>
                    <w:r>
                      <w:rPr>
                        <w:rFonts w:ascii="宋体" w:hAnsi="宋体" w:hint="eastAsia"/>
                      </w:rPr>
                      <w:t>销售收入</w:t>
                    </w:r>
                  </w:p>
                </w:tc>
                <w:tc>
                  <w:tcPr>
                    <w:tcW w:w="992" w:type="dxa"/>
                    <w:vAlign w:val="center"/>
                  </w:tcPr>
                  <w:p>
                    <w:pPr>
                      <w:jc w:val="center"/>
                      <w:rPr>
                        <w:rFonts w:ascii="宋体" w:hAnsi="宋体"/>
                      </w:rPr>
                    </w:pPr>
                    <w:r>
                      <w:rPr>
                        <w:rFonts w:ascii="宋体" w:hAnsi="宋体" w:hint="eastAsia"/>
                      </w:rPr>
                      <w:t>销售成本</w:t>
                    </w:r>
                  </w:p>
                </w:tc>
              </w:tr>
              <w:tr>
                <w:trPr>
                  <w:trHeight w:val="312"/>
                  <w:jc w:val="center"/>
                </w:trPr>
                <w:tc>
                  <w:tcPr>
                    <w:tcW w:w="1695" w:type="dxa"/>
                    <w:vMerge/>
                    <w:vAlign w:val="center"/>
                  </w:tcPr>
                  <w:p>
                    <w:pPr>
                      <w:spacing w:line="240" w:lineRule="atLeast"/>
                      <w:rPr>
                        <w:rFonts w:ascii="宋体" w:hAnsi="宋体"/>
                        <w:bCs/>
                      </w:rPr>
                    </w:pPr>
                  </w:p>
                </w:tc>
                <w:tc>
                  <w:tcPr>
                    <w:tcW w:w="1070" w:type="dxa"/>
                    <w:vAlign w:val="center"/>
                  </w:tcPr>
                  <w:p>
                    <w:pPr>
                      <w:ind w:leftChars="-50" w:left="-105" w:rightChars="-50" w:right="-105"/>
                      <w:jc w:val="center"/>
                      <w:rPr>
                        <w:rFonts w:ascii="宋体" w:hAnsi="宋体"/>
                        <w:spacing w:val="-20"/>
                      </w:rPr>
                    </w:pPr>
                    <w:r>
                      <w:rPr>
                        <w:rFonts w:ascii="宋体" w:hAnsi="宋体" w:hint="eastAsia"/>
                        <w:spacing w:val="-20"/>
                      </w:rPr>
                      <w:t>（万千瓦时）</w:t>
                    </w:r>
                  </w:p>
                </w:tc>
                <w:tc>
                  <w:tcPr>
                    <w:tcW w:w="1198" w:type="dxa"/>
                    <w:vAlign w:val="center"/>
                  </w:tcPr>
                  <w:p>
                    <w:pPr>
                      <w:ind w:leftChars="-50" w:left="-105" w:rightChars="-50" w:right="-105"/>
                      <w:jc w:val="center"/>
                      <w:rPr>
                        <w:rFonts w:ascii="宋体" w:hAnsi="宋体"/>
                        <w:spacing w:val="-20"/>
                      </w:rPr>
                    </w:pPr>
                    <w:r>
                      <w:rPr>
                        <w:rFonts w:ascii="宋体" w:hAnsi="宋体" w:hint="eastAsia"/>
                        <w:spacing w:val="-20"/>
                      </w:rPr>
                      <w:t>（万千瓦时）</w:t>
                    </w:r>
                  </w:p>
                </w:tc>
                <w:tc>
                  <w:tcPr>
                    <w:tcW w:w="1134" w:type="dxa"/>
                    <w:vAlign w:val="center"/>
                  </w:tcPr>
                  <w:p>
                    <w:pPr>
                      <w:ind w:leftChars="-50" w:left="-105" w:rightChars="-50" w:right="-105"/>
                      <w:jc w:val="center"/>
                      <w:rPr>
                        <w:rFonts w:ascii="宋体" w:hAnsi="宋体"/>
                        <w:spacing w:val="-20"/>
                      </w:rPr>
                    </w:pPr>
                    <w:r>
                      <w:rPr>
                        <w:rFonts w:ascii="宋体" w:hAnsi="宋体" w:hint="eastAsia"/>
                        <w:spacing w:val="-20"/>
                      </w:rPr>
                      <w:t>（百万元）</w:t>
                    </w:r>
                  </w:p>
                </w:tc>
                <w:tc>
                  <w:tcPr>
                    <w:tcW w:w="992" w:type="dxa"/>
                    <w:vAlign w:val="center"/>
                  </w:tcPr>
                  <w:p>
                    <w:pPr>
                      <w:ind w:leftChars="-50" w:left="-105" w:rightChars="-50" w:right="-105"/>
                      <w:jc w:val="center"/>
                      <w:rPr>
                        <w:rFonts w:ascii="宋体" w:hAnsi="宋体"/>
                        <w:spacing w:val="-20"/>
                      </w:rPr>
                    </w:pPr>
                    <w:r>
                      <w:rPr>
                        <w:rFonts w:ascii="宋体" w:hAnsi="宋体" w:hint="eastAsia"/>
                        <w:spacing w:val="-20"/>
                      </w:rPr>
                      <w:t>（百万元）</w:t>
                    </w:r>
                  </w:p>
                </w:tc>
                <w:tc>
                  <w:tcPr>
                    <w:tcW w:w="1134" w:type="dxa"/>
                    <w:vAlign w:val="center"/>
                  </w:tcPr>
                  <w:p>
                    <w:pPr>
                      <w:ind w:leftChars="-50" w:left="-105" w:rightChars="-50" w:right="-105"/>
                      <w:jc w:val="center"/>
                      <w:rPr>
                        <w:rFonts w:ascii="宋体" w:hAnsi="宋体"/>
                        <w:spacing w:val="-20"/>
                      </w:rPr>
                    </w:pPr>
                    <w:r>
                      <w:rPr>
                        <w:rFonts w:ascii="宋体" w:hAnsi="宋体" w:hint="eastAsia"/>
                        <w:spacing w:val="-20"/>
                      </w:rPr>
                      <w:t>（万千瓦时）</w:t>
                    </w:r>
                  </w:p>
                </w:tc>
                <w:tc>
                  <w:tcPr>
                    <w:tcW w:w="1134" w:type="dxa"/>
                    <w:vAlign w:val="center"/>
                  </w:tcPr>
                  <w:p>
                    <w:pPr>
                      <w:ind w:leftChars="-50" w:left="-105" w:rightChars="-50" w:right="-105"/>
                      <w:jc w:val="center"/>
                      <w:rPr>
                        <w:rFonts w:ascii="宋体" w:hAnsi="宋体"/>
                        <w:spacing w:val="-20"/>
                      </w:rPr>
                    </w:pPr>
                    <w:r>
                      <w:rPr>
                        <w:rFonts w:ascii="宋体" w:hAnsi="宋体" w:hint="eastAsia"/>
                        <w:spacing w:val="-20"/>
                      </w:rPr>
                      <w:t>（万千瓦时）</w:t>
                    </w:r>
                  </w:p>
                </w:tc>
                <w:tc>
                  <w:tcPr>
                    <w:tcW w:w="1044" w:type="dxa"/>
                    <w:vAlign w:val="center"/>
                  </w:tcPr>
                  <w:p>
                    <w:pPr>
                      <w:ind w:leftChars="-50" w:left="-105" w:rightChars="-50" w:right="-105"/>
                      <w:jc w:val="center"/>
                      <w:rPr>
                        <w:rFonts w:ascii="宋体" w:hAnsi="宋体"/>
                        <w:spacing w:val="-20"/>
                      </w:rPr>
                    </w:pPr>
                    <w:r>
                      <w:rPr>
                        <w:rFonts w:ascii="宋体" w:hAnsi="宋体" w:hint="eastAsia"/>
                        <w:spacing w:val="-20"/>
                      </w:rPr>
                      <w:t>（百万元）</w:t>
                    </w:r>
                  </w:p>
                </w:tc>
                <w:tc>
                  <w:tcPr>
                    <w:tcW w:w="992" w:type="dxa"/>
                    <w:vAlign w:val="center"/>
                  </w:tcPr>
                  <w:p>
                    <w:pPr>
                      <w:ind w:leftChars="-50" w:left="-105" w:rightChars="-50" w:right="-105"/>
                      <w:jc w:val="center"/>
                      <w:rPr>
                        <w:rFonts w:ascii="宋体" w:hAnsi="宋体"/>
                        <w:spacing w:val="-20"/>
                      </w:rPr>
                    </w:pPr>
                    <w:r>
                      <w:rPr>
                        <w:rFonts w:ascii="宋体" w:hAnsi="宋体" w:hint="eastAsia"/>
                        <w:spacing w:val="-20"/>
                      </w:rPr>
                      <w:t>（百万元）</w:t>
                    </w:r>
                  </w:p>
                </w:tc>
              </w:tr>
              <w:tr>
                <w:trPr>
                  <w:trHeight w:val="312"/>
                  <w:jc w:val="center"/>
                </w:trPr>
                <w:tc>
                  <w:tcPr>
                    <w:tcW w:w="1695" w:type="dxa"/>
                  </w:tcPr>
                  <w:p>
                    <w:pPr>
                      <w:rPr>
                        <w:rFonts w:ascii="宋体" w:hAnsi="宋体"/>
                      </w:rPr>
                    </w:pPr>
                    <w:r>
                      <w:rPr>
                        <w:rFonts w:ascii="宋体" w:hAnsi="宋体" w:hint="eastAsia"/>
                      </w:rPr>
                      <w:t>一、济三电力</w:t>
                    </w:r>
                  </w:p>
                </w:tc>
                <w:tc>
                  <w:tcPr>
                    <w:tcW w:w="1070" w:type="dxa"/>
                    <w:vAlign w:val="center"/>
                  </w:tcPr>
                  <w:p>
                    <w:pPr>
                      <w:jc w:val="right"/>
                      <w:rPr>
                        <w:rFonts w:ascii="宋体" w:hAnsi="宋体"/>
                      </w:rPr>
                    </w:pPr>
                    <w:r>
                      <w:rPr>
                        <w:rFonts w:ascii="宋体" w:hAnsi="宋体"/>
                      </w:rPr>
                      <w:t xml:space="preserve">75,268 </w:t>
                    </w:r>
                  </w:p>
                </w:tc>
                <w:tc>
                  <w:tcPr>
                    <w:tcW w:w="1198" w:type="dxa"/>
                    <w:vAlign w:val="center"/>
                  </w:tcPr>
                  <w:p>
                    <w:pPr>
                      <w:jc w:val="right"/>
                      <w:rPr>
                        <w:rFonts w:ascii="宋体" w:hAnsi="宋体"/>
                      </w:rPr>
                    </w:pPr>
                    <w:r>
                      <w:rPr>
                        <w:rFonts w:ascii="宋体" w:hAnsi="宋体"/>
                      </w:rPr>
                      <w:t xml:space="preserve">64,957 </w:t>
                    </w:r>
                  </w:p>
                </w:tc>
                <w:tc>
                  <w:tcPr>
                    <w:tcW w:w="1134" w:type="dxa"/>
                    <w:vAlign w:val="center"/>
                  </w:tcPr>
                  <w:p>
                    <w:pPr>
                      <w:jc w:val="right"/>
                      <w:rPr>
                        <w:rFonts w:ascii="宋体" w:hAnsi="宋体"/>
                      </w:rPr>
                    </w:pPr>
                    <w:r>
                      <w:rPr>
                        <w:rFonts w:ascii="宋体" w:hAnsi="宋体"/>
                      </w:rPr>
                      <w:t>252</w:t>
                    </w:r>
                  </w:p>
                </w:tc>
                <w:tc>
                  <w:tcPr>
                    <w:tcW w:w="992" w:type="dxa"/>
                    <w:vAlign w:val="center"/>
                  </w:tcPr>
                  <w:p>
                    <w:pPr>
                      <w:jc w:val="right"/>
                      <w:rPr>
                        <w:rFonts w:ascii="宋体" w:hAnsi="宋体"/>
                      </w:rPr>
                    </w:pPr>
                    <w:r>
                      <w:rPr>
                        <w:rFonts w:ascii="宋体" w:hAnsi="宋体"/>
                      </w:rPr>
                      <w:t xml:space="preserve">200 </w:t>
                    </w:r>
                  </w:p>
                </w:tc>
                <w:tc>
                  <w:tcPr>
                    <w:tcW w:w="1134" w:type="dxa"/>
                    <w:vAlign w:val="center"/>
                  </w:tcPr>
                  <w:p>
                    <w:pPr>
                      <w:jc w:val="right"/>
                      <w:rPr>
                        <w:rFonts w:ascii="宋体" w:hAnsi="宋体"/>
                      </w:rPr>
                    </w:pPr>
                    <w:r>
                      <w:rPr>
                        <w:rFonts w:ascii="宋体" w:hAnsi="宋体"/>
                      </w:rPr>
                      <w:t xml:space="preserve">134,391 </w:t>
                    </w:r>
                  </w:p>
                </w:tc>
                <w:tc>
                  <w:tcPr>
                    <w:tcW w:w="1134" w:type="dxa"/>
                    <w:vAlign w:val="center"/>
                  </w:tcPr>
                  <w:p>
                    <w:pPr>
                      <w:jc w:val="right"/>
                      <w:rPr>
                        <w:rFonts w:ascii="宋体" w:hAnsi="宋体"/>
                      </w:rPr>
                    </w:pPr>
                    <w:r>
                      <w:rPr>
                        <w:rFonts w:ascii="宋体" w:hAnsi="宋体"/>
                      </w:rPr>
                      <w:t xml:space="preserve">120,451 </w:t>
                    </w:r>
                  </w:p>
                </w:tc>
                <w:tc>
                  <w:tcPr>
                    <w:tcW w:w="1044" w:type="dxa"/>
                    <w:vAlign w:val="center"/>
                  </w:tcPr>
                  <w:p>
                    <w:pPr>
                      <w:jc w:val="right"/>
                      <w:rPr>
                        <w:rFonts w:ascii="宋体" w:hAnsi="宋体"/>
                      </w:rPr>
                    </w:pPr>
                    <w:r>
                      <w:rPr>
                        <w:rFonts w:ascii="宋体" w:hAnsi="宋体"/>
                      </w:rPr>
                      <w:t xml:space="preserve">519 </w:t>
                    </w:r>
                  </w:p>
                </w:tc>
                <w:tc>
                  <w:tcPr>
                    <w:tcW w:w="992" w:type="dxa"/>
                    <w:vAlign w:val="center"/>
                  </w:tcPr>
                  <w:p>
                    <w:pPr>
                      <w:jc w:val="right"/>
                      <w:rPr>
                        <w:rFonts w:ascii="宋体" w:hAnsi="宋体"/>
                      </w:rPr>
                    </w:pPr>
                    <w:r>
                      <w:rPr>
                        <w:rFonts w:ascii="宋体" w:hAnsi="宋体" w:cs="宋体"/>
                        <w:szCs w:val="24"/>
                      </w:rPr>
                      <w:t xml:space="preserve">341 </w:t>
                    </w:r>
                  </w:p>
                </w:tc>
              </w:tr>
              <w:tr>
                <w:trPr>
                  <w:trHeight w:val="312"/>
                  <w:jc w:val="center"/>
                </w:trPr>
                <w:tc>
                  <w:tcPr>
                    <w:tcW w:w="1695" w:type="dxa"/>
                    <w:vAlign w:val="center"/>
                  </w:tcPr>
                  <w:p>
                    <w:pPr>
                      <w:rPr>
                        <w:rFonts w:ascii="宋体" w:hAnsi="宋体"/>
                      </w:rPr>
                    </w:pPr>
                    <w:r>
                      <w:rPr>
                        <w:rFonts w:ascii="宋体" w:hAnsi="宋体" w:hint="eastAsia"/>
                      </w:rPr>
                      <w:t>二、菏泽能化</w:t>
                    </w:r>
                  </w:p>
                </w:tc>
                <w:tc>
                  <w:tcPr>
                    <w:tcW w:w="1070" w:type="dxa"/>
                    <w:vAlign w:val="center"/>
                  </w:tcPr>
                  <w:p>
                    <w:pPr>
                      <w:jc w:val="right"/>
                      <w:rPr>
                        <w:rFonts w:ascii="宋体" w:hAnsi="宋体"/>
                      </w:rPr>
                    </w:pPr>
                    <w:r>
                      <w:rPr>
                        <w:rFonts w:ascii="宋体" w:hAnsi="宋体"/>
                      </w:rPr>
                      <w:t xml:space="preserve">153,525 </w:t>
                    </w:r>
                  </w:p>
                </w:tc>
                <w:tc>
                  <w:tcPr>
                    <w:tcW w:w="1198" w:type="dxa"/>
                    <w:vAlign w:val="center"/>
                  </w:tcPr>
                  <w:p>
                    <w:pPr>
                      <w:jc w:val="right"/>
                      <w:rPr>
                        <w:rFonts w:ascii="宋体" w:hAnsi="宋体"/>
                      </w:rPr>
                    </w:pPr>
                    <w:r>
                      <w:rPr>
                        <w:rFonts w:ascii="宋体" w:hAnsi="宋体"/>
                      </w:rPr>
                      <w:t xml:space="preserve">134,023 </w:t>
                    </w:r>
                  </w:p>
                </w:tc>
                <w:tc>
                  <w:tcPr>
                    <w:tcW w:w="1134" w:type="dxa"/>
                    <w:vAlign w:val="center"/>
                  </w:tcPr>
                  <w:p>
                    <w:pPr>
                      <w:jc w:val="right"/>
                      <w:rPr>
                        <w:rFonts w:ascii="宋体" w:hAnsi="宋体"/>
                      </w:rPr>
                    </w:pPr>
                    <w:r>
                      <w:rPr>
                        <w:rFonts w:ascii="宋体" w:hAnsi="宋体"/>
                      </w:rPr>
                      <w:t>515</w:t>
                    </w:r>
                  </w:p>
                </w:tc>
                <w:tc>
                  <w:tcPr>
                    <w:tcW w:w="992" w:type="dxa"/>
                    <w:vAlign w:val="center"/>
                  </w:tcPr>
                  <w:p>
                    <w:pPr>
                      <w:jc w:val="right"/>
                      <w:rPr>
                        <w:rFonts w:ascii="宋体" w:hAnsi="宋体"/>
                      </w:rPr>
                    </w:pPr>
                    <w:r>
                      <w:rPr>
                        <w:rFonts w:ascii="宋体" w:hAnsi="宋体"/>
                      </w:rPr>
                      <w:t xml:space="preserve">418 </w:t>
                    </w:r>
                  </w:p>
                </w:tc>
                <w:tc>
                  <w:tcPr>
                    <w:tcW w:w="1134" w:type="dxa"/>
                    <w:vAlign w:val="center"/>
                  </w:tcPr>
                  <w:p>
                    <w:pPr>
                      <w:jc w:val="right"/>
                      <w:rPr>
                        <w:rFonts w:ascii="宋体" w:hAnsi="宋体"/>
                      </w:rPr>
                    </w:pPr>
                    <w:r>
                      <w:rPr>
                        <w:rFonts w:ascii="宋体" w:hAnsi="宋体"/>
                      </w:rPr>
                      <w:t xml:space="preserve">145,924 </w:t>
                    </w:r>
                  </w:p>
                </w:tc>
                <w:tc>
                  <w:tcPr>
                    <w:tcW w:w="1134" w:type="dxa"/>
                    <w:vAlign w:val="center"/>
                  </w:tcPr>
                  <w:p>
                    <w:pPr>
                      <w:jc w:val="right"/>
                      <w:rPr>
                        <w:rFonts w:ascii="宋体" w:hAnsi="宋体"/>
                      </w:rPr>
                    </w:pPr>
                    <w:r>
                      <w:rPr>
                        <w:rFonts w:ascii="宋体" w:hAnsi="宋体"/>
                      </w:rPr>
                      <w:t xml:space="preserve">129,991 </w:t>
                    </w:r>
                  </w:p>
                </w:tc>
                <w:tc>
                  <w:tcPr>
                    <w:tcW w:w="1044" w:type="dxa"/>
                    <w:vAlign w:val="center"/>
                  </w:tcPr>
                  <w:p>
                    <w:pPr>
                      <w:jc w:val="right"/>
                      <w:rPr>
                        <w:rFonts w:ascii="宋体" w:hAnsi="宋体"/>
                      </w:rPr>
                    </w:pPr>
                    <w:r>
                      <w:rPr>
                        <w:rFonts w:ascii="宋体" w:hAnsi="宋体"/>
                      </w:rPr>
                      <w:t xml:space="preserve">529 </w:t>
                    </w:r>
                  </w:p>
                </w:tc>
                <w:tc>
                  <w:tcPr>
                    <w:tcW w:w="992" w:type="dxa"/>
                    <w:vAlign w:val="center"/>
                  </w:tcPr>
                  <w:p>
                    <w:pPr>
                      <w:jc w:val="right"/>
                      <w:rPr>
                        <w:rFonts w:ascii="宋体" w:hAnsi="宋体"/>
                      </w:rPr>
                    </w:pPr>
                    <w:r>
                      <w:rPr>
                        <w:rFonts w:ascii="宋体" w:hAnsi="宋体" w:cs="宋体"/>
                        <w:szCs w:val="24"/>
                      </w:rPr>
                      <w:t xml:space="preserve">468 </w:t>
                    </w:r>
                  </w:p>
                </w:tc>
              </w:tr>
              <w:tr>
                <w:trPr>
                  <w:trHeight w:val="312"/>
                  <w:jc w:val="center"/>
                </w:trPr>
                <w:tc>
                  <w:tcPr>
                    <w:tcW w:w="1695" w:type="dxa"/>
                    <w:vAlign w:val="center"/>
                  </w:tcPr>
                  <w:p>
                    <w:pPr>
                      <w:rPr>
                        <w:rFonts w:ascii="宋体" w:hAnsi="宋体"/>
                      </w:rPr>
                    </w:pPr>
                    <w:r>
                      <w:rPr>
                        <w:rFonts w:ascii="宋体" w:hAnsi="宋体" w:hint="eastAsia"/>
                      </w:rPr>
                      <w:t>三、鲁南化工</w:t>
                    </w:r>
                  </w:p>
                </w:tc>
                <w:tc>
                  <w:tcPr>
                    <w:tcW w:w="1070" w:type="dxa"/>
                    <w:vAlign w:val="center"/>
                  </w:tcPr>
                  <w:p>
                    <w:pPr>
                      <w:jc w:val="right"/>
                      <w:rPr>
                        <w:rFonts w:ascii="宋体" w:hAnsi="宋体"/>
                      </w:rPr>
                    </w:pPr>
                    <w:r>
                      <w:rPr>
                        <w:rFonts w:ascii="宋体" w:hAnsi="宋体"/>
                      </w:rPr>
                      <w:t xml:space="preserve">31,124 </w:t>
                    </w:r>
                  </w:p>
                </w:tc>
                <w:tc>
                  <w:tcPr>
                    <w:tcW w:w="1198" w:type="dxa"/>
                    <w:vAlign w:val="center"/>
                  </w:tcPr>
                  <w:p>
                    <w:pPr>
                      <w:jc w:val="right"/>
                      <w:rPr>
                        <w:rFonts w:ascii="宋体" w:hAnsi="宋体"/>
                      </w:rPr>
                    </w:pPr>
                    <w:r>
                      <w:rPr>
                        <w:rFonts w:ascii="宋体" w:hAnsi="宋体"/>
                      </w:rPr>
                      <w:t xml:space="preserve">17,579 </w:t>
                    </w:r>
                  </w:p>
                </w:tc>
                <w:tc>
                  <w:tcPr>
                    <w:tcW w:w="1134" w:type="dxa"/>
                    <w:vAlign w:val="center"/>
                  </w:tcPr>
                  <w:p>
                    <w:pPr>
                      <w:jc w:val="right"/>
                      <w:rPr>
                        <w:rFonts w:ascii="宋体" w:hAnsi="宋体"/>
                      </w:rPr>
                    </w:pPr>
                    <w:r>
                      <w:rPr>
                        <w:rFonts w:ascii="宋体" w:hAnsi="宋体"/>
                      </w:rPr>
                      <w:t>60</w:t>
                    </w:r>
                  </w:p>
                </w:tc>
                <w:tc>
                  <w:tcPr>
                    <w:tcW w:w="992" w:type="dxa"/>
                    <w:vAlign w:val="center"/>
                  </w:tcPr>
                  <w:p>
                    <w:pPr>
                      <w:jc w:val="right"/>
                      <w:rPr>
                        <w:rFonts w:ascii="宋体" w:hAnsi="宋体"/>
                      </w:rPr>
                    </w:pPr>
                    <w:r>
                      <w:rPr>
                        <w:rFonts w:ascii="宋体" w:hAnsi="宋体"/>
                      </w:rPr>
                      <w:t xml:space="preserve">41 </w:t>
                    </w:r>
                  </w:p>
                </w:tc>
                <w:tc>
                  <w:tcPr>
                    <w:tcW w:w="1134" w:type="dxa"/>
                    <w:vAlign w:val="center"/>
                  </w:tcPr>
                  <w:p>
                    <w:pPr>
                      <w:jc w:val="right"/>
                      <w:rPr>
                        <w:rFonts w:ascii="宋体" w:hAnsi="宋体"/>
                      </w:rPr>
                    </w:pPr>
                    <w:r>
                      <w:rPr>
                        <w:rFonts w:ascii="宋体" w:hAnsi="宋体"/>
                      </w:rPr>
                      <w:t xml:space="preserve">21,985 </w:t>
                    </w:r>
                  </w:p>
                </w:tc>
                <w:tc>
                  <w:tcPr>
                    <w:tcW w:w="1134" w:type="dxa"/>
                    <w:vAlign w:val="center"/>
                  </w:tcPr>
                  <w:p>
                    <w:pPr>
                      <w:jc w:val="right"/>
                      <w:rPr>
                        <w:rFonts w:ascii="宋体" w:hAnsi="宋体"/>
                      </w:rPr>
                    </w:pPr>
                    <w:r>
                      <w:rPr>
                        <w:rFonts w:ascii="宋体" w:hAnsi="宋体"/>
                      </w:rPr>
                      <w:t xml:space="preserve">14,787 </w:t>
                    </w:r>
                  </w:p>
                </w:tc>
                <w:tc>
                  <w:tcPr>
                    <w:tcW w:w="1044" w:type="dxa"/>
                    <w:vAlign w:val="center"/>
                  </w:tcPr>
                  <w:p>
                    <w:pPr>
                      <w:jc w:val="right"/>
                      <w:rPr>
                        <w:rFonts w:ascii="宋体" w:hAnsi="宋体"/>
                      </w:rPr>
                    </w:pPr>
                    <w:r>
                      <w:rPr>
                        <w:rFonts w:ascii="宋体" w:hAnsi="宋体"/>
                      </w:rPr>
                      <w:t xml:space="preserve">49 </w:t>
                    </w:r>
                  </w:p>
                </w:tc>
                <w:tc>
                  <w:tcPr>
                    <w:tcW w:w="992" w:type="dxa"/>
                    <w:vAlign w:val="center"/>
                  </w:tcPr>
                  <w:p>
                    <w:pPr>
                      <w:jc w:val="right"/>
                      <w:rPr>
                        <w:rFonts w:ascii="宋体" w:hAnsi="宋体"/>
                      </w:rPr>
                    </w:pPr>
                    <w:r>
                      <w:rPr>
                        <w:rFonts w:ascii="宋体" w:hAnsi="宋体" w:cs="宋体"/>
                        <w:szCs w:val="24"/>
                      </w:rPr>
                      <w:t xml:space="preserve">43 </w:t>
                    </w:r>
                  </w:p>
                </w:tc>
              </w:tr>
              <w:tr>
                <w:trPr>
                  <w:trHeight w:val="312"/>
                  <w:jc w:val="center"/>
                </w:trPr>
                <w:tc>
                  <w:tcPr>
                    <w:tcW w:w="1695" w:type="dxa"/>
                    <w:vAlign w:val="center"/>
                  </w:tcPr>
                  <w:p>
                    <w:pPr>
                      <w:rPr>
                        <w:rFonts w:ascii="宋体" w:hAnsi="宋体"/>
                      </w:rPr>
                    </w:pPr>
                    <w:r>
                      <w:rPr>
                        <w:rFonts w:ascii="宋体" w:hAnsi="宋体" w:hint="eastAsia"/>
                      </w:rPr>
                      <w:t>四、榆林能化</w:t>
                    </w:r>
                  </w:p>
                </w:tc>
                <w:tc>
                  <w:tcPr>
                    <w:tcW w:w="1070" w:type="dxa"/>
                    <w:vAlign w:val="center"/>
                  </w:tcPr>
                  <w:p>
                    <w:pPr>
                      <w:jc w:val="right"/>
                      <w:rPr>
                        <w:rFonts w:ascii="宋体" w:hAnsi="宋体"/>
                      </w:rPr>
                    </w:pPr>
                    <w:r>
                      <w:rPr>
                        <w:rFonts w:ascii="宋体" w:hAnsi="宋体"/>
                      </w:rPr>
                      <w:t xml:space="preserve">9,116 </w:t>
                    </w:r>
                  </w:p>
                </w:tc>
                <w:tc>
                  <w:tcPr>
                    <w:tcW w:w="1198" w:type="dxa"/>
                    <w:vAlign w:val="center"/>
                  </w:tcPr>
                  <w:p>
                    <w:pPr>
                      <w:jc w:val="right"/>
                      <w:rPr>
                        <w:rFonts w:ascii="宋体" w:hAnsi="宋体"/>
                      </w:rPr>
                    </w:pPr>
                    <w:r>
                      <w:rPr>
                        <w:rFonts w:ascii="宋体" w:hAnsi="宋体"/>
                      </w:rPr>
                      <w:t xml:space="preserve">7,868 </w:t>
                    </w:r>
                  </w:p>
                </w:tc>
                <w:tc>
                  <w:tcPr>
                    <w:tcW w:w="1134" w:type="dxa"/>
                    <w:vAlign w:val="center"/>
                  </w:tcPr>
                  <w:p>
                    <w:pPr>
                      <w:jc w:val="right"/>
                      <w:rPr>
                        <w:rFonts w:ascii="宋体" w:hAnsi="宋体"/>
                      </w:rPr>
                    </w:pPr>
                    <w:r>
                      <w:rPr>
                        <w:rFonts w:ascii="宋体" w:hAnsi="宋体"/>
                      </w:rPr>
                      <w:t>19</w:t>
                    </w:r>
                  </w:p>
                </w:tc>
                <w:tc>
                  <w:tcPr>
                    <w:tcW w:w="992" w:type="dxa"/>
                    <w:vAlign w:val="center"/>
                  </w:tcPr>
                  <w:p>
                    <w:pPr>
                      <w:jc w:val="right"/>
                      <w:rPr>
                        <w:rFonts w:ascii="宋体" w:hAnsi="宋体"/>
                      </w:rPr>
                    </w:pPr>
                    <w:r>
                      <w:rPr>
                        <w:rFonts w:ascii="宋体" w:hAnsi="宋体"/>
                      </w:rPr>
                      <w:t xml:space="preserve">19 </w:t>
                    </w:r>
                  </w:p>
                </w:tc>
                <w:tc>
                  <w:tcPr>
                    <w:tcW w:w="1134" w:type="dxa"/>
                    <w:vAlign w:val="center"/>
                  </w:tcPr>
                  <w:p>
                    <w:pPr>
                      <w:jc w:val="right"/>
                      <w:rPr>
                        <w:rFonts w:ascii="宋体" w:hAnsi="宋体"/>
                      </w:rPr>
                    </w:pPr>
                    <w:r>
                      <w:rPr>
                        <w:rFonts w:ascii="宋体" w:hAnsi="宋体"/>
                      </w:rPr>
                      <w:t xml:space="preserve">14,924 </w:t>
                    </w:r>
                  </w:p>
                </w:tc>
                <w:tc>
                  <w:tcPr>
                    <w:tcW w:w="1134" w:type="dxa"/>
                    <w:vAlign w:val="center"/>
                  </w:tcPr>
                  <w:p>
                    <w:pPr>
                      <w:jc w:val="right"/>
                      <w:rPr>
                        <w:rFonts w:ascii="宋体" w:hAnsi="宋体"/>
                      </w:rPr>
                    </w:pPr>
                    <w:r>
                      <w:rPr>
                        <w:rFonts w:ascii="宋体" w:hAnsi="宋体"/>
                      </w:rPr>
                      <w:t xml:space="preserve">11,782 </w:t>
                    </w:r>
                  </w:p>
                </w:tc>
                <w:tc>
                  <w:tcPr>
                    <w:tcW w:w="1044" w:type="dxa"/>
                    <w:vAlign w:val="center"/>
                  </w:tcPr>
                  <w:p>
                    <w:pPr>
                      <w:jc w:val="right"/>
                      <w:rPr>
                        <w:rFonts w:ascii="宋体" w:hAnsi="宋体"/>
                      </w:rPr>
                    </w:pPr>
                    <w:r>
                      <w:rPr>
                        <w:rFonts w:ascii="宋体" w:hAnsi="宋体"/>
                      </w:rPr>
                      <w:t xml:space="preserve">29 </w:t>
                    </w:r>
                  </w:p>
                </w:tc>
                <w:tc>
                  <w:tcPr>
                    <w:tcW w:w="992" w:type="dxa"/>
                    <w:vAlign w:val="center"/>
                  </w:tcPr>
                  <w:p>
                    <w:pPr>
                      <w:jc w:val="right"/>
                      <w:rPr>
                        <w:rFonts w:ascii="宋体" w:hAnsi="宋体"/>
                      </w:rPr>
                    </w:pPr>
                    <w:r>
                      <w:rPr>
                        <w:rFonts w:ascii="宋体" w:hAnsi="宋体" w:cs="宋体"/>
                        <w:szCs w:val="24"/>
                      </w:rPr>
                      <w:t xml:space="preserve">29 </w:t>
                    </w:r>
                  </w:p>
                </w:tc>
              </w:tr>
              <w:tr>
                <w:trPr>
                  <w:trHeight w:val="312"/>
                  <w:jc w:val="center"/>
                </w:trPr>
                <w:tc>
                  <w:tcPr>
                    <w:tcW w:w="1695" w:type="dxa"/>
                  </w:tcPr>
                  <w:p>
                    <w:pPr>
                      <w:rPr>
                        <w:rFonts w:ascii="宋体" w:hAnsi="宋体"/>
                      </w:rPr>
                    </w:pPr>
                    <w:r>
                      <w:rPr>
                        <w:rFonts w:ascii="宋体" w:hAnsi="宋体" w:hint="eastAsia"/>
                      </w:rPr>
                      <w:t>五、未来能源</w:t>
                    </w:r>
                  </w:p>
                </w:tc>
                <w:tc>
                  <w:tcPr>
                    <w:tcW w:w="1070" w:type="dxa"/>
                    <w:vAlign w:val="center"/>
                  </w:tcPr>
                  <w:p>
                    <w:pPr>
                      <w:jc w:val="right"/>
                      <w:rPr>
                        <w:rFonts w:ascii="宋体" w:hAnsi="宋体"/>
                      </w:rPr>
                    </w:pPr>
                    <w:r>
                      <w:rPr>
                        <w:rFonts w:ascii="宋体" w:hAnsi="宋体"/>
                      </w:rPr>
                      <w:t xml:space="preserve">106,181 </w:t>
                    </w:r>
                  </w:p>
                </w:tc>
                <w:tc>
                  <w:tcPr>
                    <w:tcW w:w="1198" w:type="dxa"/>
                    <w:vAlign w:val="center"/>
                  </w:tcPr>
                  <w:p>
                    <w:pPr>
                      <w:jc w:val="right"/>
                      <w:rPr>
                        <w:rFonts w:ascii="宋体" w:hAnsi="宋体"/>
                      </w:rPr>
                    </w:pPr>
                    <w:r>
                      <w:rPr>
                        <w:rFonts w:ascii="宋体" w:hAnsi="宋体"/>
                      </w:rPr>
                      <w:t xml:space="preserve">32,120 </w:t>
                    </w:r>
                  </w:p>
                </w:tc>
                <w:tc>
                  <w:tcPr>
                    <w:tcW w:w="1134" w:type="dxa"/>
                    <w:vAlign w:val="center"/>
                  </w:tcPr>
                  <w:p>
                    <w:pPr>
                      <w:jc w:val="right"/>
                      <w:rPr>
                        <w:rFonts w:ascii="宋体" w:hAnsi="宋体"/>
                      </w:rPr>
                    </w:pPr>
                    <w:r>
                      <w:rPr>
                        <w:rFonts w:ascii="宋体" w:hAnsi="宋体"/>
                      </w:rPr>
                      <w:t>97</w:t>
                    </w:r>
                  </w:p>
                </w:tc>
                <w:tc>
                  <w:tcPr>
                    <w:tcW w:w="992" w:type="dxa"/>
                    <w:vAlign w:val="center"/>
                  </w:tcPr>
                  <w:p>
                    <w:pPr>
                      <w:jc w:val="right"/>
                      <w:rPr>
                        <w:rFonts w:ascii="宋体" w:hAnsi="宋体"/>
                      </w:rPr>
                    </w:pPr>
                    <w:r>
                      <w:rPr>
                        <w:rFonts w:ascii="宋体" w:hAnsi="宋体"/>
                      </w:rPr>
                      <w:t xml:space="preserve">112 </w:t>
                    </w:r>
                  </w:p>
                </w:tc>
                <w:tc>
                  <w:tcPr>
                    <w:tcW w:w="1134" w:type="dxa"/>
                    <w:vAlign w:val="center"/>
                  </w:tcPr>
                  <w:p>
                    <w:pPr>
                      <w:jc w:val="right"/>
                      <w:rPr>
                        <w:rFonts w:ascii="宋体" w:hAnsi="宋体"/>
                      </w:rPr>
                    </w:pPr>
                    <w:r>
                      <w:rPr>
                        <w:rFonts w:ascii="宋体" w:hAnsi="宋体"/>
                      </w:rPr>
                      <w:t xml:space="preserve">94,799 </w:t>
                    </w:r>
                  </w:p>
                </w:tc>
                <w:tc>
                  <w:tcPr>
                    <w:tcW w:w="1134" w:type="dxa"/>
                    <w:vAlign w:val="center"/>
                  </w:tcPr>
                  <w:p>
                    <w:pPr>
                      <w:jc w:val="right"/>
                      <w:rPr>
                        <w:rFonts w:ascii="宋体" w:hAnsi="宋体"/>
                      </w:rPr>
                    </w:pPr>
                    <w:r>
                      <w:rPr>
                        <w:rFonts w:ascii="宋体" w:hAnsi="宋体"/>
                      </w:rPr>
                      <w:t xml:space="preserve">29,944 </w:t>
                    </w:r>
                  </w:p>
                </w:tc>
                <w:tc>
                  <w:tcPr>
                    <w:tcW w:w="1044" w:type="dxa"/>
                    <w:vAlign w:val="center"/>
                  </w:tcPr>
                  <w:p>
                    <w:pPr>
                      <w:jc w:val="right"/>
                      <w:rPr>
                        <w:rFonts w:ascii="宋体" w:hAnsi="宋体"/>
                      </w:rPr>
                    </w:pPr>
                    <w:r>
                      <w:rPr>
                        <w:rFonts w:ascii="宋体" w:hAnsi="宋体"/>
                      </w:rPr>
                      <w:t xml:space="preserve">87 </w:t>
                    </w:r>
                  </w:p>
                </w:tc>
                <w:tc>
                  <w:tcPr>
                    <w:tcW w:w="992" w:type="dxa"/>
                    <w:vAlign w:val="center"/>
                  </w:tcPr>
                  <w:p>
                    <w:pPr>
                      <w:jc w:val="right"/>
                      <w:rPr>
                        <w:rFonts w:ascii="宋体" w:hAnsi="宋体"/>
                      </w:rPr>
                    </w:pPr>
                    <w:r>
                      <w:rPr>
                        <w:rFonts w:ascii="宋体" w:hAnsi="宋体" w:cs="宋体"/>
                        <w:szCs w:val="24"/>
                      </w:rPr>
                      <w:t xml:space="preserve">86 </w:t>
                    </w:r>
                  </w:p>
                </w:tc>
              </w:tr>
              <w:tr>
                <w:trPr>
                  <w:trHeight w:val="312"/>
                  <w:jc w:val="center"/>
                </w:trPr>
                <w:tc>
                  <w:tcPr>
                    <w:tcW w:w="1695" w:type="dxa"/>
                  </w:tcPr>
                  <w:p>
                    <w:pPr>
                      <w:rPr>
                        <w:rFonts w:ascii="宋体" w:hAnsi="宋体"/>
                      </w:rPr>
                    </w:pPr>
                    <w:r>
                      <w:rPr>
                        <w:rFonts w:ascii="宋体" w:hAnsi="宋体" w:hint="eastAsia"/>
                      </w:rPr>
                      <w:t>六、内蒙古矿业</w:t>
                    </w:r>
                  </w:p>
                </w:tc>
                <w:tc>
                  <w:tcPr>
                    <w:tcW w:w="1070" w:type="dxa"/>
                    <w:vAlign w:val="center"/>
                  </w:tcPr>
                  <w:p>
                    <w:pPr>
                      <w:jc w:val="right"/>
                      <w:rPr>
                        <w:rFonts w:ascii="宋体" w:hAnsi="宋体"/>
                      </w:rPr>
                    </w:pPr>
                    <w:r>
                      <w:rPr>
                        <w:rFonts w:ascii="宋体" w:hAnsi="宋体"/>
                      </w:rPr>
                      <w:t xml:space="preserve">373,549 </w:t>
                    </w:r>
                  </w:p>
                </w:tc>
                <w:tc>
                  <w:tcPr>
                    <w:tcW w:w="1198" w:type="dxa"/>
                    <w:vAlign w:val="center"/>
                  </w:tcPr>
                  <w:p>
                    <w:pPr>
                      <w:jc w:val="right"/>
                      <w:rPr>
                        <w:rFonts w:ascii="宋体" w:hAnsi="宋体"/>
                      </w:rPr>
                    </w:pPr>
                    <w:r>
                      <w:rPr>
                        <w:rFonts w:ascii="宋体" w:hAnsi="宋体"/>
                      </w:rPr>
                      <w:t xml:space="preserve">347,803 </w:t>
                    </w:r>
                  </w:p>
                </w:tc>
                <w:tc>
                  <w:tcPr>
                    <w:tcW w:w="1134" w:type="dxa"/>
                    <w:vAlign w:val="center"/>
                  </w:tcPr>
                  <w:p>
                    <w:pPr>
                      <w:jc w:val="right"/>
                      <w:rPr>
                        <w:rFonts w:ascii="宋体" w:hAnsi="宋体"/>
                      </w:rPr>
                    </w:pPr>
                    <w:r>
                      <w:rPr>
                        <w:rFonts w:ascii="宋体" w:hAnsi="宋体"/>
                      </w:rPr>
                      <w:t>1,367</w:t>
                    </w:r>
                  </w:p>
                </w:tc>
                <w:tc>
                  <w:tcPr>
                    <w:tcW w:w="992" w:type="dxa"/>
                    <w:vAlign w:val="center"/>
                  </w:tcPr>
                  <w:p>
                    <w:pPr>
                      <w:jc w:val="right"/>
                      <w:rPr>
                        <w:rFonts w:ascii="宋体" w:hAnsi="宋体"/>
                      </w:rPr>
                    </w:pPr>
                    <w:r>
                      <w:rPr>
                        <w:rFonts w:ascii="宋体" w:hAnsi="宋体"/>
                      </w:rPr>
                      <w:t xml:space="preserve">1,071 </w:t>
                    </w:r>
                  </w:p>
                </w:tc>
                <w:tc>
                  <w:tcPr>
                    <w:tcW w:w="1134" w:type="dxa"/>
                    <w:vAlign w:val="center"/>
                  </w:tcPr>
                  <w:p>
                    <w:pPr>
                      <w:jc w:val="right"/>
                      <w:rPr>
                        <w:rFonts w:ascii="宋体" w:hAnsi="宋体"/>
                      </w:rPr>
                    </w:pPr>
                    <w:r>
                      <w:rPr>
                        <w:rFonts w:ascii="宋体" w:hAnsi="宋体"/>
                      </w:rPr>
                      <w:t xml:space="preserve">400,026 </w:t>
                    </w:r>
                  </w:p>
                </w:tc>
                <w:tc>
                  <w:tcPr>
                    <w:tcW w:w="1134" w:type="dxa"/>
                    <w:vAlign w:val="center"/>
                  </w:tcPr>
                  <w:p>
                    <w:pPr>
                      <w:jc w:val="right"/>
                      <w:rPr>
                        <w:rFonts w:ascii="宋体" w:hAnsi="宋体"/>
                      </w:rPr>
                    </w:pPr>
                    <w:r>
                      <w:rPr>
                        <w:rFonts w:ascii="宋体" w:hAnsi="宋体"/>
                      </w:rPr>
                      <w:t xml:space="preserve">372,889 </w:t>
                    </w:r>
                  </w:p>
                </w:tc>
                <w:tc>
                  <w:tcPr>
                    <w:tcW w:w="1044" w:type="dxa"/>
                    <w:vAlign w:val="center"/>
                  </w:tcPr>
                  <w:p>
                    <w:pPr>
                      <w:jc w:val="right"/>
                      <w:rPr>
                        <w:rFonts w:ascii="宋体" w:hAnsi="宋体"/>
                      </w:rPr>
                    </w:pPr>
                    <w:r>
                      <w:rPr>
                        <w:rFonts w:ascii="宋体" w:hAnsi="宋体"/>
                      </w:rPr>
                      <w:t xml:space="preserve">1,322 </w:t>
                    </w:r>
                  </w:p>
                </w:tc>
                <w:tc>
                  <w:tcPr>
                    <w:tcW w:w="992" w:type="dxa"/>
                    <w:vAlign w:val="center"/>
                  </w:tcPr>
                  <w:p>
                    <w:pPr>
                      <w:jc w:val="right"/>
                      <w:rPr>
                        <w:rFonts w:ascii="宋体" w:hAnsi="宋体"/>
                      </w:rPr>
                    </w:pPr>
                    <w:r>
                      <w:rPr>
                        <w:rFonts w:ascii="宋体" w:hAnsi="宋体" w:cs="宋体"/>
                        <w:szCs w:val="24"/>
                      </w:rPr>
                      <w:t xml:space="preserve">1,237 </w:t>
                    </w:r>
                  </w:p>
                </w:tc>
              </w:tr>
              <w:tr>
                <w:trPr>
                  <w:trHeight w:val="312"/>
                  <w:jc w:val="center"/>
                </w:trPr>
                <w:tc>
                  <w:tcPr>
                    <w:tcW w:w="1695" w:type="dxa"/>
                    <w:vAlign w:val="center"/>
                  </w:tcPr>
                  <w:p>
                    <w:pPr>
                      <w:jc w:val="center"/>
                      <w:rPr>
                        <w:rFonts w:ascii="宋体" w:hAnsi="宋体"/>
                      </w:rPr>
                    </w:pPr>
                    <w:r>
                      <w:rPr>
                        <w:rFonts w:ascii="宋体" w:hAnsi="宋体" w:hint="eastAsia"/>
                      </w:rPr>
                      <w:t>合计</w:t>
                    </w:r>
                  </w:p>
                </w:tc>
                <w:tc>
                  <w:tcPr>
                    <w:tcW w:w="1070" w:type="dxa"/>
                    <w:vAlign w:val="center"/>
                  </w:tcPr>
                  <w:p>
                    <w:pPr>
                      <w:jc w:val="right"/>
                      <w:rPr>
                        <w:rFonts w:ascii="宋体" w:hAnsi="宋体"/>
                      </w:rPr>
                    </w:pPr>
                    <w:r>
                      <w:rPr>
                        <w:rFonts w:ascii="宋体" w:hAnsi="宋体"/>
                      </w:rPr>
                      <w:t xml:space="preserve">748,763 </w:t>
                    </w:r>
                  </w:p>
                </w:tc>
                <w:tc>
                  <w:tcPr>
                    <w:tcW w:w="1198" w:type="dxa"/>
                    <w:vAlign w:val="center"/>
                  </w:tcPr>
                  <w:p>
                    <w:pPr>
                      <w:jc w:val="right"/>
                      <w:rPr>
                        <w:rFonts w:ascii="宋体" w:hAnsi="宋体"/>
                      </w:rPr>
                    </w:pPr>
                    <w:r>
                      <w:rPr>
                        <w:rFonts w:ascii="宋体" w:hAnsi="宋体"/>
                      </w:rPr>
                      <w:t xml:space="preserve">604,349 </w:t>
                    </w:r>
                  </w:p>
                </w:tc>
                <w:tc>
                  <w:tcPr>
                    <w:tcW w:w="1134" w:type="dxa"/>
                    <w:vAlign w:val="center"/>
                  </w:tcPr>
                  <w:p>
                    <w:pPr>
                      <w:jc w:val="right"/>
                      <w:rPr>
                        <w:rFonts w:ascii="宋体" w:hAnsi="宋体"/>
                      </w:rPr>
                    </w:pPr>
                    <w:r>
                      <w:rPr>
                        <w:rFonts w:ascii="宋体" w:hAnsi="宋体"/>
                      </w:rPr>
                      <w:t>2,310</w:t>
                    </w:r>
                  </w:p>
                </w:tc>
                <w:tc>
                  <w:tcPr>
                    <w:tcW w:w="992" w:type="dxa"/>
                    <w:vAlign w:val="center"/>
                  </w:tcPr>
                  <w:p>
                    <w:pPr>
                      <w:jc w:val="right"/>
                      <w:rPr>
                        <w:rFonts w:ascii="宋体" w:hAnsi="宋体"/>
                      </w:rPr>
                    </w:pPr>
                    <w:r>
                      <w:rPr>
                        <w:rFonts w:ascii="宋体" w:hAnsi="宋体"/>
                      </w:rPr>
                      <w:t xml:space="preserve">1,861 </w:t>
                    </w:r>
                  </w:p>
                </w:tc>
                <w:tc>
                  <w:tcPr>
                    <w:tcW w:w="1134" w:type="dxa"/>
                    <w:vAlign w:val="center"/>
                  </w:tcPr>
                  <w:p>
                    <w:pPr>
                      <w:jc w:val="right"/>
                      <w:rPr>
                        <w:rFonts w:ascii="宋体" w:hAnsi="宋体"/>
                      </w:rPr>
                    </w:pPr>
                    <w:r>
                      <w:rPr>
                        <w:rFonts w:ascii="宋体" w:hAnsi="宋体"/>
                      </w:rPr>
                      <w:t xml:space="preserve">812,048 </w:t>
                    </w:r>
                  </w:p>
                </w:tc>
                <w:tc>
                  <w:tcPr>
                    <w:tcW w:w="1134" w:type="dxa"/>
                    <w:vAlign w:val="center"/>
                  </w:tcPr>
                  <w:p>
                    <w:pPr>
                      <w:jc w:val="right"/>
                      <w:rPr>
                        <w:rFonts w:ascii="宋体" w:hAnsi="宋体"/>
                      </w:rPr>
                    </w:pPr>
                    <w:r>
                      <w:rPr>
                        <w:rFonts w:ascii="宋体" w:hAnsi="宋体"/>
                      </w:rPr>
                      <w:t xml:space="preserve">679,843 </w:t>
                    </w:r>
                  </w:p>
                </w:tc>
                <w:tc>
                  <w:tcPr>
                    <w:tcW w:w="1044" w:type="dxa"/>
                    <w:vAlign w:val="center"/>
                  </w:tcPr>
                  <w:p>
                    <w:pPr>
                      <w:jc w:val="right"/>
                      <w:rPr>
                        <w:rFonts w:ascii="宋体" w:hAnsi="宋体"/>
                      </w:rPr>
                    </w:pPr>
                    <w:r>
                      <w:rPr>
                        <w:rFonts w:ascii="宋体" w:hAnsi="宋体"/>
                      </w:rPr>
                      <w:t xml:space="preserve">2,537 </w:t>
                    </w:r>
                  </w:p>
                </w:tc>
                <w:tc>
                  <w:tcPr>
                    <w:tcW w:w="992" w:type="dxa"/>
                    <w:vAlign w:val="center"/>
                  </w:tcPr>
                  <w:p>
                    <w:pPr>
                      <w:jc w:val="right"/>
                      <w:rPr>
                        <w:rFonts w:ascii="宋体" w:hAnsi="宋体"/>
                      </w:rPr>
                    </w:pPr>
                    <w:r>
                      <w:rPr>
                        <w:rFonts w:ascii="宋体" w:hAnsi="宋体" w:cs="宋体"/>
                        <w:szCs w:val="24"/>
                      </w:rPr>
                      <w:t xml:space="preserve">2,205 </w:t>
                    </w:r>
                  </w:p>
                </w:tc>
              </w:tr>
              <w:bookmarkEnd w:id="46"/>
              <w:bookmarkEnd w:id="65"/>
            </w:tbl>
            <w:p>
              <w:pPr>
                <w:widowControl w:val="0"/>
                <w:ind w:firstLineChars="200" w:firstLine="420"/>
                <w:jc w:val="both"/>
                <w:rPr>
                  <w:rFonts w:ascii="宋体" w:hAnsi="宋体"/>
                  <w:kern w:val="2"/>
                </w:rPr>
              </w:pPr>
            </w:p>
            <w:p>
              <w:pPr>
                <w:widowControl w:val="0"/>
                <w:ind w:firstLineChars="200" w:firstLine="420"/>
                <w:jc w:val="both"/>
                <w:rPr>
                  <w:rFonts w:ascii="宋体" w:hAnsi="宋体" w:cs="宋体"/>
                  <w:szCs w:val="24"/>
                  <w:u w:val="single"/>
                </w:rPr>
              </w:pPr>
            </w:p>
          </w:sdtContent>
        </w:sdt>
      </w:sdtContent>
    </w:sdt>
    <w:p>
      <w:pPr>
        <w:pStyle w:val="Style49"/>
      </w:pPr>
      <w:r>
        <w:br w:type="page"/>
      </w:r>
    </w:p>
    <w:p>
      <w:pPr>
        <w:keepNext/>
        <w:keepLines/>
        <w:widowControl w:val="0"/>
        <w:numPr>
          <w:ilvl w:val="0"/>
          <w:numId w:val="15"/>
        </w:numPr>
        <w:spacing w:before="60" w:after="60"/>
        <w:ind w:left="369" w:hangingChars="175" w:hanging="369"/>
        <w:jc w:val="both"/>
        <w:outlineLvl w:val="2"/>
        <w:rPr>
          <w:rFonts w:ascii="宋体" w:hAnsi="宋体"/>
          <w:b/>
          <w:bCs/>
          <w:kern w:val="2"/>
        </w:rPr>
      </w:pPr>
      <w:bookmarkStart w:id="66" w:name="_Toc342565895"/>
      <w:bookmarkStart w:id="67" w:name="_Toc342559738"/>
      <w:r>
        <w:rPr>
          <w:rFonts w:ascii="宋体" w:hAnsi="宋体" w:hint="eastAsia"/>
          <w:b/>
          <w:bCs/>
          <w:kern w:val="2"/>
        </w:rPr>
        <w:lastRenderedPageBreak/>
        <w:t>主营业务分析</w:t>
      </w:r>
      <w:bookmarkEnd w:id="66"/>
      <w:bookmarkEnd w:id="67"/>
    </w:p>
    <w:p>
      <w:pPr>
        <w:pStyle w:val="4"/>
        <w:numPr>
          <w:ilvl w:val="0"/>
          <w:numId w:val="16"/>
        </w:numPr>
      </w:pPr>
      <w:r>
        <w:t>利润表及现金流量表相关科目变动分析表</w:t>
      </w:r>
    </w:p>
    <w:p>
      <w:pPr>
        <w:pStyle w:val="aff9"/>
        <w:ind w:left="360" w:firstLineChars="0" w:firstLine="0"/>
        <w:jc w:val="right"/>
        <w:rPr>
          <w:rFonts w:ascii="宋体" w:hAnsi="宋体"/>
        </w:rPr>
      </w:pPr>
      <w:bookmarkStart w:id="68" w:name="_Hlk89098131"/>
      <w:bookmarkStart w:id="69" w:name="_Hlk10208083"/>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7415981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百万元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4038692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ff4"/>
        <w:tblW w:w="9048" w:type="dxa"/>
        <w:tblLayout w:type="fixed"/>
        <w:tblLook w:val="04A0" w:firstRow="1" w:lastRow="0" w:firstColumn="1" w:lastColumn="0" w:noHBand="0" w:noVBand="1"/>
      </w:tblPr>
      <w:tblGrid>
        <w:gridCol w:w="3089"/>
        <w:gridCol w:w="2128"/>
        <w:gridCol w:w="1987"/>
        <w:gridCol w:w="1844"/>
      </w:tblGrid>
      <w:tr>
        <w:bookmarkStart w:id="70" w:name="_Hlk10208057" w:displacedByCustomXml="next"/>
        <w:sdt>
          <w:sdtPr>
            <w:tag w:val="_PLD_e184eafc8be3478d9fc8a544274385f7"/>
            <w:id w:val="247771503"/>
          </w:sdtPr>
          <w:sdtContent>
            <w:tc>
              <w:tcPr>
                <w:tcW w:w="3089" w:type="dxa"/>
                <w:vAlign w:val="center"/>
              </w:tcPr>
              <w:p>
                <w:pPr>
                  <w:pStyle w:val="aff9"/>
                  <w:ind w:firstLineChars="0" w:firstLine="0"/>
                  <w:jc w:val="center"/>
                  <w:rPr>
                    <w:rFonts w:ascii="宋体" w:hAnsi="宋体"/>
                    <w:szCs w:val="21"/>
                  </w:rPr>
                </w:pPr>
                <w:r>
                  <w:rPr>
                    <w:rFonts w:ascii="宋体" w:hAnsi="宋体" w:hint="eastAsia"/>
                    <w:szCs w:val="21"/>
                  </w:rPr>
                  <w:t>科目</w:t>
                </w:r>
              </w:p>
            </w:tc>
          </w:sdtContent>
        </w:sdt>
        <w:sdt>
          <w:sdtPr>
            <w:tag w:val="_PLD_c49cd176da60479fbcfeedd35cc9f509"/>
            <w:id w:val="1154424415"/>
          </w:sdtPr>
          <w:sdtContent>
            <w:tc>
              <w:tcPr>
                <w:tcW w:w="2128" w:type="dxa"/>
                <w:vAlign w:val="center"/>
              </w:tcPr>
              <w:p>
                <w:pPr>
                  <w:pStyle w:val="aff9"/>
                  <w:ind w:firstLineChars="0" w:firstLine="0"/>
                  <w:jc w:val="center"/>
                  <w:rPr>
                    <w:rFonts w:ascii="宋体" w:hAnsi="宋体"/>
                    <w:szCs w:val="21"/>
                  </w:rPr>
                </w:pPr>
                <w:r>
                  <w:rPr>
                    <w:rFonts w:ascii="宋体" w:hAnsi="宋体" w:hint="eastAsia"/>
                    <w:szCs w:val="21"/>
                  </w:rPr>
                  <w:t>本期数</w:t>
                </w:r>
              </w:p>
            </w:tc>
          </w:sdtContent>
        </w:sdt>
        <w:sdt>
          <w:sdtPr>
            <w:tag w:val="_PLD_0b6df7534554463db9f304bbe9b6a71e"/>
            <w:id w:val="1622881203"/>
          </w:sdtPr>
          <w:sdtContent>
            <w:tc>
              <w:tcPr>
                <w:tcW w:w="1987" w:type="dxa"/>
                <w:vAlign w:val="center"/>
              </w:tcPr>
              <w:p>
                <w:pPr>
                  <w:pStyle w:val="aff9"/>
                  <w:ind w:firstLineChars="0" w:firstLine="0"/>
                  <w:jc w:val="center"/>
                  <w:rPr>
                    <w:rFonts w:ascii="宋体" w:hAnsi="宋体"/>
                    <w:szCs w:val="21"/>
                  </w:rPr>
                </w:pPr>
                <w:r>
                  <w:rPr>
                    <w:rFonts w:ascii="宋体" w:hAnsi="宋体" w:hint="eastAsia"/>
                    <w:szCs w:val="21"/>
                  </w:rPr>
                  <w:t>上年同期数</w:t>
                </w:r>
              </w:p>
            </w:tc>
          </w:sdtContent>
        </w:sdt>
        <w:sdt>
          <w:sdtPr>
            <w:tag w:val="_PLD_a903eeff1728490ba821c9389249303c"/>
            <w:id w:val="-1366743835"/>
          </w:sdtPr>
          <w:sdtContent>
            <w:tc>
              <w:tcPr>
                <w:tcW w:w="1844" w:type="dxa"/>
                <w:vAlign w:val="center"/>
              </w:tcPr>
              <w:p>
                <w:pPr>
                  <w:pStyle w:val="aff9"/>
                  <w:ind w:firstLineChars="0" w:firstLine="0"/>
                  <w:jc w:val="center"/>
                  <w:rPr>
                    <w:rFonts w:ascii="宋体" w:hAnsi="宋体"/>
                    <w:szCs w:val="21"/>
                  </w:rPr>
                </w:pPr>
                <w:r>
                  <w:rPr>
                    <w:rFonts w:ascii="宋体" w:hAnsi="宋体" w:hint="eastAsia"/>
                    <w:szCs w:val="21"/>
                  </w:rPr>
                  <w:t>变动比例（%）</w:t>
                </w:r>
              </w:p>
            </w:tc>
          </w:sdtContent>
        </w:sdt>
      </w:tr>
      <w:tr>
        <w:tc>
          <w:tcPr>
            <w:tcW w:w="3089" w:type="dxa"/>
            <w:vAlign w:val="center"/>
          </w:tcPr>
          <w:p>
            <w:pPr>
              <w:pStyle w:val="aff9"/>
              <w:ind w:firstLineChars="0" w:firstLine="0"/>
              <w:rPr>
                <w:rFonts w:ascii="宋体" w:hAnsi="宋体"/>
                <w:szCs w:val="21"/>
              </w:rPr>
            </w:pPr>
            <w:r>
              <w:rPr>
                <w:rFonts w:ascii="宋体" w:hAnsi="宋体" w:hint="eastAsia"/>
                <w:szCs w:val="21"/>
              </w:rPr>
              <w:t>营业收入</w:t>
            </w:r>
          </w:p>
        </w:tc>
        <w:tc>
          <w:tcPr>
            <w:tcW w:w="2128" w:type="dxa"/>
            <w:vAlign w:val="center"/>
          </w:tcPr>
          <w:p>
            <w:pPr>
              <w:jc w:val="right"/>
              <w:rPr>
                <w:rFonts w:ascii="宋体" w:hAnsi="宋体"/>
              </w:rPr>
            </w:pPr>
            <w:r>
              <w:rPr>
                <w:rFonts w:ascii="宋体" w:hAnsi="宋体"/>
              </w:rPr>
              <w:t xml:space="preserve">144,933 </w:t>
            </w:r>
          </w:p>
        </w:tc>
        <w:tc>
          <w:tcPr>
            <w:tcW w:w="1987" w:type="dxa"/>
            <w:vAlign w:val="center"/>
          </w:tcPr>
          <w:p>
            <w:pPr>
              <w:jc w:val="right"/>
              <w:rPr>
                <w:rFonts w:ascii="宋体" w:hAnsi="宋体"/>
              </w:rPr>
            </w:pPr>
            <w:r>
              <w:rPr>
                <w:rFonts w:ascii="宋体" w:hAnsi="宋体"/>
              </w:rPr>
              <w:t xml:space="preserve">156,672 </w:t>
            </w:r>
          </w:p>
        </w:tc>
        <w:tc>
          <w:tcPr>
            <w:tcW w:w="1844" w:type="dxa"/>
            <w:vAlign w:val="center"/>
          </w:tcPr>
          <w:p>
            <w:pPr>
              <w:jc w:val="right"/>
              <w:rPr>
                <w:rFonts w:ascii="宋体" w:hAnsi="宋体"/>
              </w:rPr>
            </w:pPr>
            <w:r>
              <w:rPr>
                <w:rFonts w:ascii="宋体" w:hAnsi="宋体"/>
              </w:rPr>
              <w:t xml:space="preserve">-7.49 </w:t>
            </w:r>
          </w:p>
        </w:tc>
      </w:tr>
      <w:tr>
        <w:tc>
          <w:tcPr>
            <w:tcW w:w="3089" w:type="dxa"/>
            <w:vAlign w:val="center"/>
          </w:tcPr>
          <w:p>
            <w:pPr>
              <w:pStyle w:val="aff9"/>
              <w:ind w:firstLineChars="0" w:firstLine="0"/>
              <w:rPr>
                <w:rFonts w:ascii="宋体" w:hAnsi="宋体"/>
                <w:szCs w:val="21"/>
              </w:rPr>
            </w:pPr>
            <w:r>
              <w:rPr>
                <w:rFonts w:ascii="宋体" w:hAnsi="宋体"/>
                <w:szCs w:val="21"/>
              </w:rPr>
              <w:t>营业成本</w:t>
            </w:r>
          </w:p>
        </w:tc>
        <w:tc>
          <w:tcPr>
            <w:tcW w:w="2128" w:type="dxa"/>
            <w:vAlign w:val="center"/>
          </w:tcPr>
          <w:p>
            <w:pPr>
              <w:jc w:val="right"/>
              <w:rPr>
                <w:rFonts w:ascii="宋体" w:hAnsi="宋体"/>
              </w:rPr>
            </w:pPr>
            <w:r>
              <w:rPr>
                <w:rFonts w:ascii="宋体" w:hAnsi="宋体"/>
              </w:rPr>
              <w:t xml:space="preserve">102,409 </w:t>
            </w:r>
          </w:p>
        </w:tc>
        <w:tc>
          <w:tcPr>
            <w:tcW w:w="1987" w:type="dxa"/>
            <w:vAlign w:val="center"/>
          </w:tcPr>
          <w:p>
            <w:pPr>
              <w:jc w:val="right"/>
              <w:rPr>
                <w:rFonts w:ascii="宋体" w:hAnsi="宋体"/>
              </w:rPr>
            </w:pPr>
            <w:r>
              <w:rPr>
                <w:rFonts w:ascii="宋体" w:hAnsi="宋体"/>
              </w:rPr>
              <w:t xml:space="preserve">100,361 </w:t>
            </w:r>
          </w:p>
        </w:tc>
        <w:tc>
          <w:tcPr>
            <w:tcW w:w="1844" w:type="dxa"/>
            <w:vAlign w:val="center"/>
          </w:tcPr>
          <w:p>
            <w:pPr>
              <w:jc w:val="right"/>
              <w:rPr>
                <w:rFonts w:ascii="宋体" w:hAnsi="宋体"/>
              </w:rPr>
            </w:pPr>
            <w:r>
              <w:rPr>
                <w:rFonts w:ascii="宋体" w:hAnsi="宋体"/>
              </w:rPr>
              <w:t xml:space="preserve">2.04 </w:t>
            </w:r>
          </w:p>
        </w:tc>
      </w:tr>
      <w:tr>
        <w:tc>
          <w:tcPr>
            <w:tcW w:w="3089" w:type="dxa"/>
            <w:vAlign w:val="center"/>
          </w:tcPr>
          <w:p>
            <w:pPr>
              <w:pStyle w:val="aff9"/>
              <w:ind w:firstLineChars="0" w:firstLine="0"/>
              <w:rPr>
                <w:rFonts w:ascii="宋体" w:hAnsi="宋体"/>
                <w:szCs w:val="21"/>
              </w:rPr>
            </w:pPr>
            <w:r>
              <w:rPr>
                <w:rFonts w:ascii="宋体" w:hAnsi="宋体"/>
                <w:szCs w:val="21"/>
              </w:rPr>
              <w:t>销售费用</w:t>
            </w:r>
          </w:p>
        </w:tc>
        <w:tc>
          <w:tcPr>
            <w:tcW w:w="2128" w:type="dxa"/>
            <w:vAlign w:val="center"/>
          </w:tcPr>
          <w:p>
            <w:pPr>
              <w:jc w:val="right"/>
              <w:rPr>
                <w:rFonts w:ascii="宋体" w:hAnsi="宋体"/>
              </w:rPr>
            </w:pPr>
            <w:r>
              <w:rPr>
                <w:rFonts w:ascii="宋体" w:hAnsi="宋体"/>
              </w:rPr>
              <w:t xml:space="preserve">2,886 </w:t>
            </w:r>
          </w:p>
        </w:tc>
        <w:tc>
          <w:tcPr>
            <w:tcW w:w="1987" w:type="dxa"/>
            <w:vAlign w:val="center"/>
          </w:tcPr>
          <w:p>
            <w:pPr>
              <w:jc w:val="right"/>
              <w:rPr>
                <w:rFonts w:ascii="宋体" w:hAnsi="宋体"/>
              </w:rPr>
            </w:pPr>
            <w:r>
              <w:rPr>
                <w:rFonts w:ascii="宋体" w:hAnsi="宋体"/>
              </w:rPr>
              <w:t xml:space="preserve">4,919 </w:t>
            </w:r>
          </w:p>
        </w:tc>
        <w:tc>
          <w:tcPr>
            <w:tcW w:w="1844" w:type="dxa"/>
            <w:vAlign w:val="center"/>
          </w:tcPr>
          <w:p>
            <w:pPr>
              <w:jc w:val="right"/>
              <w:rPr>
                <w:rFonts w:ascii="宋体" w:hAnsi="宋体"/>
              </w:rPr>
            </w:pPr>
            <w:r>
              <w:rPr>
                <w:rFonts w:ascii="宋体" w:hAnsi="宋体"/>
              </w:rPr>
              <w:t xml:space="preserve">-41.33 </w:t>
            </w:r>
          </w:p>
        </w:tc>
      </w:tr>
      <w:tr>
        <w:tc>
          <w:tcPr>
            <w:tcW w:w="3089" w:type="dxa"/>
            <w:vAlign w:val="center"/>
          </w:tcPr>
          <w:p>
            <w:pPr>
              <w:pStyle w:val="aff9"/>
              <w:ind w:firstLineChars="0" w:firstLine="0"/>
              <w:rPr>
                <w:rFonts w:ascii="宋体" w:hAnsi="宋体"/>
                <w:szCs w:val="21"/>
              </w:rPr>
            </w:pPr>
            <w:r>
              <w:rPr>
                <w:rFonts w:ascii="宋体" w:hAnsi="宋体"/>
                <w:szCs w:val="21"/>
              </w:rPr>
              <w:t>管理费用</w:t>
            </w:r>
          </w:p>
        </w:tc>
        <w:tc>
          <w:tcPr>
            <w:tcW w:w="2128" w:type="dxa"/>
            <w:vAlign w:val="center"/>
          </w:tcPr>
          <w:p>
            <w:pPr>
              <w:jc w:val="right"/>
              <w:rPr>
                <w:rFonts w:ascii="宋体" w:hAnsi="宋体"/>
              </w:rPr>
            </w:pPr>
            <w:r>
              <w:rPr>
                <w:rFonts w:ascii="宋体" w:hAnsi="宋体"/>
              </w:rPr>
              <w:t xml:space="preserve">9,829 </w:t>
            </w:r>
          </w:p>
        </w:tc>
        <w:tc>
          <w:tcPr>
            <w:tcW w:w="1987" w:type="dxa"/>
            <w:vAlign w:val="center"/>
          </w:tcPr>
          <w:p>
            <w:pPr>
              <w:jc w:val="right"/>
              <w:rPr>
                <w:rFonts w:ascii="宋体" w:hAnsi="宋体"/>
              </w:rPr>
            </w:pPr>
            <w:r>
              <w:rPr>
                <w:rFonts w:ascii="宋体" w:hAnsi="宋体"/>
              </w:rPr>
              <w:t xml:space="preserve">10,499 </w:t>
            </w:r>
          </w:p>
        </w:tc>
        <w:tc>
          <w:tcPr>
            <w:tcW w:w="1844" w:type="dxa"/>
            <w:vAlign w:val="center"/>
          </w:tcPr>
          <w:p>
            <w:pPr>
              <w:jc w:val="right"/>
              <w:rPr>
                <w:rFonts w:ascii="宋体" w:hAnsi="宋体"/>
              </w:rPr>
            </w:pPr>
            <w:r>
              <w:rPr>
                <w:rFonts w:ascii="宋体" w:hAnsi="宋体"/>
              </w:rPr>
              <w:t xml:space="preserve">-6.38 </w:t>
            </w:r>
          </w:p>
        </w:tc>
      </w:tr>
      <w:tr>
        <w:tc>
          <w:tcPr>
            <w:tcW w:w="3089" w:type="dxa"/>
            <w:vAlign w:val="center"/>
          </w:tcPr>
          <w:p>
            <w:pPr>
              <w:pStyle w:val="aff9"/>
              <w:ind w:firstLineChars="0" w:firstLine="0"/>
              <w:rPr>
                <w:rFonts w:ascii="宋体" w:hAnsi="宋体"/>
                <w:szCs w:val="21"/>
              </w:rPr>
            </w:pPr>
            <w:r>
              <w:rPr>
                <w:rFonts w:ascii="宋体" w:hAnsi="宋体"/>
                <w:szCs w:val="21"/>
              </w:rPr>
              <w:t>财务费用</w:t>
            </w:r>
          </w:p>
        </w:tc>
        <w:tc>
          <w:tcPr>
            <w:tcW w:w="2128" w:type="dxa"/>
            <w:vAlign w:val="center"/>
          </w:tcPr>
          <w:p>
            <w:pPr>
              <w:jc w:val="right"/>
              <w:rPr>
                <w:rFonts w:ascii="宋体" w:hAnsi="宋体"/>
              </w:rPr>
            </w:pPr>
            <w:r>
              <w:rPr>
                <w:rFonts w:ascii="宋体" w:hAnsi="宋体"/>
              </w:rPr>
              <w:t xml:space="preserve">4,148 </w:t>
            </w:r>
          </w:p>
        </w:tc>
        <w:tc>
          <w:tcPr>
            <w:tcW w:w="1987" w:type="dxa"/>
            <w:vAlign w:val="center"/>
          </w:tcPr>
          <w:p>
            <w:pPr>
              <w:jc w:val="right"/>
              <w:rPr>
                <w:rFonts w:ascii="宋体" w:hAnsi="宋体"/>
              </w:rPr>
            </w:pPr>
            <w:r>
              <w:rPr>
                <w:rFonts w:ascii="宋体" w:hAnsi="宋体"/>
              </w:rPr>
              <w:t xml:space="preserve">3,137 </w:t>
            </w:r>
          </w:p>
        </w:tc>
        <w:tc>
          <w:tcPr>
            <w:tcW w:w="1844" w:type="dxa"/>
            <w:vAlign w:val="center"/>
          </w:tcPr>
          <w:p>
            <w:pPr>
              <w:jc w:val="right"/>
              <w:rPr>
                <w:rFonts w:ascii="宋体" w:hAnsi="宋体"/>
              </w:rPr>
            </w:pPr>
            <w:r>
              <w:rPr>
                <w:rFonts w:ascii="宋体" w:hAnsi="宋体"/>
              </w:rPr>
              <w:t xml:space="preserve">32.24 </w:t>
            </w:r>
          </w:p>
        </w:tc>
      </w:tr>
      <w:tr>
        <w:tc>
          <w:tcPr>
            <w:tcW w:w="3089" w:type="dxa"/>
            <w:vAlign w:val="center"/>
          </w:tcPr>
          <w:p>
            <w:pPr>
              <w:pStyle w:val="aff9"/>
              <w:ind w:firstLineChars="0" w:firstLine="0"/>
              <w:rPr>
                <w:rFonts w:ascii="宋体" w:hAnsi="宋体"/>
                <w:szCs w:val="21"/>
              </w:rPr>
            </w:pPr>
            <w:r>
              <w:rPr>
                <w:rFonts w:ascii="宋体" w:hAnsi="宋体" w:hint="eastAsia"/>
                <w:szCs w:val="21"/>
              </w:rPr>
              <w:t>研发费用</w:t>
            </w:r>
          </w:p>
        </w:tc>
        <w:tc>
          <w:tcPr>
            <w:tcW w:w="2128" w:type="dxa"/>
            <w:vAlign w:val="center"/>
          </w:tcPr>
          <w:p>
            <w:pPr>
              <w:jc w:val="right"/>
              <w:rPr>
                <w:rFonts w:ascii="宋体" w:hAnsi="宋体"/>
              </w:rPr>
            </w:pPr>
            <w:r>
              <w:rPr>
                <w:rFonts w:ascii="宋体" w:hAnsi="宋体"/>
              </w:rPr>
              <w:t xml:space="preserve">3,398 </w:t>
            </w:r>
          </w:p>
        </w:tc>
        <w:tc>
          <w:tcPr>
            <w:tcW w:w="1987" w:type="dxa"/>
            <w:vAlign w:val="center"/>
          </w:tcPr>
          <w:p>
            <w:pPr>
              <w:jc w:val="right"/>
              <w:rPr>
                <w:rFonts w:ascii="宋体" w:hAnsi="宋体"/>
              </w:rPr>
            </w:pPr>
            <w:r>
              <w:rPr>
                <w:rFonts w:ascii="宋体" w:hAnsi="宋体"/>
              </w:rPr>
              <w:t xml:space="preserve">3,499 </w:t>
            </w:r>
          </w:p>
        </w:tc>
        <w:tc>
          <w:tcPr>
            <w:tcW w:w="1844" w:type="dxa"/>
            <w:vAlign w:val="center"/>
          </w:tcPr>
          <w:p>
            <w:pPr>
              <w:jc w:val="right"/>
              <w:rPr>
                <w:rFonts w:ascii="宋体" w:hAnsi="宋体"/>
              </w:rPr>
            </w:pPr>
            <w:r>
              <w:rPr>
                <w:rFonts w:ascii="宋体" w:hAnsi="宋体"/>
              </w:rPr>
              <w:t xml:space="preserve">-2.89 </w:t>
            </w:r>
          </w:p>
        </w:tc>
      </w:tr>
      <w:tr>
        <w:tc>
          <w:tcPr>
            <w:tcW w:w="3089" w:type="dxa"/>
            <w:vAlign w:val="center"/>
          </w:tcPr>
          <w:p>
            <w:pPr>
              <w:pStyle w:val="aff9"/>
              <w:ind w:firstLineChars="0" w:firstLine="0"/>
              <w:rPr>
                <w:rFonts w:ascii="宋体" w:hAnsi="宋体"/>
                <w:szCs w:val="21"/>
              </w:rPr>
            </w:pPr>
            <w:r>
              <w:rPr>
                <w:rFonts w:ascii="宋体" w:hAnsi="宋体"/>
                <w:szCs w:val="21"/>
              </w:rPr>
              <w:t>经营活动产生的现金流量净额</w:t>
            </w:r>
          </w:p>
        </w:tc>
        <w:tc>
          <w:tcPr>
            <w:tcW w:w="2128" w:type="dxa"/>
            <w:vAlign w:val="center"/>
          </w:tcPr>
          <w:p>
            <w:pPr>
              <w:jc w:val="right"/>
              <w:rPr>
                <w:rFonts w:ascii="宋体" w:hAnsi="宋体"/>
              </w:rPr>
            </w:pPr>
            <w:r>
              <w:rPr>
                <w:rFonts w:ascii="宋体" w:hAnsi="宋体"/>
              </w:rPr>
              <w:t xml:space="preserve">19,485 </w:t>
            </w:r>
          </w:p>
        </w:tc>
        <w:tc>
          <w:tcPr>
            <w:tcW w:w="1987" w:type="dxa"/>
            <w:vAlign w:val="center"/>
          </w:tcPr>
          <w:p>
            <w:pPr>
              <w:jc w:val="right"/>
              <w:rPr>
                <w:rFonts w:ascii="宋体" w:hAnsi="宋体"/>
              </w:rPr>
            </w:pPr>
            <w:r>
              <w:rPr>
                <w:rFonts w:ascii="宋体" w:hAnsi="宋体"/>
              </w:rPr>
              <w:t xml:space="preserve">25,852 </w:t>
            </w:r>
          </w:p>
        </w:tc>
        <w:tc>
          <w:tcPr>
            <w:tcW w:w="1844" w:type="dxa"/>
            <w:vAlign w:val="center"/>
          </w:tcPr>
          <w:p>
            <w:pPr>
              <w:jc w:val="right"/>
              <w:rPr>
                <w:rFonts w:ascii="宋体" w:hAnsi="宋体"/>
              </w:rPr>
            </w:pPr>
            <w:r>
              <w:rPr>
                <w:rFonts w:ascii="宋体" w:hAnsi="宋体"/>
              </w:rPr>
              <w:t xml:space="preserve">-24.63 </w:t>
            </w:r>
          </w:p>
        </w:tc>
      </w:tr>
      <w:tr>
        <w:tc>
          <w:tcPr>
            <w:tcW w:w="3089" w:type="dxa"/>
            <w:vAlign w:val="center"/>
          </w:tcPr>
          <w:p>
            <w:pPr>
              <w:pStyle w:val="aff9"/>
              <w:ind w:firstLineChars="0" w:firstLine="0"/>
              <w:rPr>
                <w:rFonts w:ascii="宋体" w:hAnsi="宋体"/>
                <w:szCs w:val="21"/>
              </w:rPr>
            </w:pPr>
            <w:r>
              <w:rPr>
                <w:rFonts w:ascii="宋体" w:hAnsi="宋体"/>
                <w:szCs w:val="21"/>
              </w:rPr>
              <w:t>投资活动产生的现金流量净额</w:t>
            </w:r>
          </w:p>
        </w:tc>
        <w:tc>
          <w:tcPr>
            <w:tcW w:w="2128" w:type="dxa"/>
            <w:vAlign w:val="center"/>
          </w:tcPr>
          <w:p>
            <w:pPr>
              <w:jc w:val="right"/>
              <w:rPr>
                <w:rFonts w:ascii="宋体" w:hAnsi="宋体"/>
              </w:rPr>
            </w:pPr>
            <w:r>
              <w:rPr>
                <w:rFonts w:ascii="宋体" w:hAnsi="宋体"/>
              </w:rPr>
              <w:t xml:space="preserve">-16,951 </w:t>
            </w:r>
          </w:p>
        </w:tc>
        <w:tc>
          <w:tcPr>
            <w:tcW w:w="1987" w:type="dxa"/>
            <w:vAlign w:val="center"/>
          </w:tcPr>
          <w:p>
            <w:pPr>
              <w:jc w:val="right"/>
              <w:rPr>
                <w:rFonts w:ascii="宋体" w:hAnsi="宋体"/>
              </w:rPr>
            </w:pPr>
            <w:r>
              <w:rPr>
                <w:rFonts w:ascii="宋体" w:hAnsi="宋体"/>
              </w:rPr>
              <w:t xml:space="preserve">-15,458 </w:t>
            </w:r>
          </w:p>
        </w:tc>
        <w:tc>
          <w:tcPr>
            <w:tcW w:w="1844" w:type="dxa"/>
            <w:vAlign w:val="center"/>
          </w:tcPr>
          <w:p>
            <w:pPr>
              <w:jc w:val="right"/>
              <w:rPr>
                <w:rFonts w:ascii="宋体" w:hAnsi="宋体"/>
              </w:rPr>
            </w:pPr>
            <w:r>
              <w:rPr>
                <w:rFonts w:ascii="宋体" w:hAnsi="宋体" w:hint="eastAsia"/>
              </w:rPr>
              <w:t>-</w:t>
            </w:r>
          </w:p>
        </w:tc>
      </w:tr>
      <w:tr>
        <w:tc>
          <w:tcPr>
            <w:tcW w:w="3089" w:type="dxa"/>
            <w:vAlign w:val="center"/>
          </w:tcPr>
          <w:p>
            <w:pPr>
              <w:pStyle w:val="aff9"/>
              <w:ind w:firstLineChars="0" w:firstLine="0"/>
              <w:rPr>
                <w:rFonts w:ascii="宋体" w:hAnsi="宋体"/>
                <w:szCs w:val="21"/>
              </w:rPr>
            </w:pPr>
            <w:r>
              <w:rPr>
                <w:rFonts w:ascii="宋体" w:hAnsi="宋体"/>
                <w:szCs w:val="21"/>
              </w:rPr>
              <w:t>筹资活动产生的现金流量净额</w:t>
            </w:r>
          </w:p>
        </w:tc>
        <w:tc>
          <w:tcPr>
            <w:tcW w:w="2128" w:type="dxa"/>
            <w:vAlign w:val="center"/>
          </w:tcPr>
          <w:p>
            <w:pPr>
              <w:jc w:val="right"/>
              <w:rPr>
                <w:rFonts w:ascii="宋体" w:hAnsi="宋体"/>
              </w:rPr>
            </w:pPr>
            <w:r>
              <w:rPr>
                <w:rFonts w:ascii="宋体" w:hAnsi="宋体"/>
              </w:rPr>
              <w:t xml:space="preserve">-7,662 </w:t>
            </w:r>
          </w:p>
        </w:tc>
        <w:tc>
          <w:tcPr>
            <w:tcW w:w="1987" w:type="dxa"/>
            <w:vAlign w:val="center"/>
          </w:tcPr>
          <w:p>
            <w:pPr>
              <w:jc w:val="right"/>
              <w:rPr>
                <w:rFonts w:ascii="宋体" w:hAnsi="宋体"/>
              </w:rPr>
            </w:pPr>
            <w:r>
              <w:rPr>
                <w:rFonts w:ascii="宋体" w:hAnsi="宋体"/>
              </w:rPr>
              <w:t xml:space="preserve">-9,770 </w:t>
            </w:r>
          </w:p>
        </w:tc>
        <w:tc>
          <w:tcPr>
            <w:tcW w:w="1844" w:type="dxa"/>
            <w:vAlign w:val="center"/>
          </w:tcPr>
          <w:p>
            <w:pPr>
              <w:jc w:val="right"/>
              <w:rPr>
                <w:rFonts w:ascii="宋体" w:hAnsi="宋体"/>
              </w:rPr>
            </w:pPr>
            <w:r>
              <w:rPr>
                <w:rFonts w:ascii="宋体" w:hAnsi="宋体" w:hint="eastAsia"/>
              </w:rPr>
              <w:t>-</w:t>
            </w:r>
          </w:p>
        </w:tc>
      </w:tr>
      <w:tr>
        <w:tc>
          <w:tcPr>
            <w:tcW w:w="3089" w:type="dxa"/>
            <w:vAlign w:val="center"/>
          </w:tcPr>
          <w:p>
            <w:pPr>
              <w:pStyle w:val="aff9"/>
              <w:ind w:firstLineChars="0" w:firstLine="0"/>
              <w:rPr>
                <w:rFonts w:ascii="宋体" w:hAnsi="宋体"/>
                <w:szCs w:val="21"/>
              </w:rPr>
            </w:pPr>
            <w:r>
              <w:rPr>
                <w:rFonts w:ascii="宋体" w:hAnsi="宋体" w:hint="eastAsia"/>
                <w:szCs w:val="21"/>
              </w:rPr>
              <w:t>所得税费用</w:t>
            </w:r>
          </w:p>
        </w:tc>
        <w:tc>
          <w:tcPr>
            <w:tcW w:w="2128" w:type="dxa"/>
          </w:tcPr>
          <w:p>
            <w:pPr>
              <w:jc w:val="right"/>
              <w:rPr>
                <w:rFonts w:ascii="宋体" w:hAnsi="宋体"/>
              </w:rPr>
            </w:pPr>
            <w:r>
              <w:rPr>
                <w:rFonts w:ascii="宋体" w:hAnsi="宋体"/>
              </w:rPr>
              <w:t>4,199</w:t>
            </w:r>
          </w:p>
        </w:tc>
        <w:tc>
          <w:tcPr>
            <w:tcW w:w="1987" w:type="dxa"/>
          </w:tcPr>
          <w:p>
            <w:pPr>
              <w:jc w:val="right"/>
              <w:rPr>
                <w:rFonts w:ascii="宋体" w:hAnsi="宋体"/>
              </w:rPr>
            </w:pPr>
            <w:r>
              <w:rPr>
                <w:rFonts w:ascii="宋体" w:hAnsi="宋体"/>
              </w:rPr>
              <w:t>6,761</w:t>
            </w:r>
          </w:p>
        </w:tc>
        <w:tc>
          <w:tcPr>
            <w:tcW w:w="1844" w:type="dxa"/>
          </w:tcPr>
          <w:p>
            <w:pPr>
              <w:jc w:val="right"/>
              <w:rPr>
                <w:rFonts w:ascii="宋体" w:hAnsi="宋体"/>
              </w:rPr>
            </w:pPr>
            <w:r>
              <w:rPr>
                <w:rFonts w:ascii="宋体" w:hAnsi="宋体"/>
              </w:rPr>
              <w:t xml:space="preserve">-37.89 </w:t>
            </w:r>
          </w:p>
        </w:tc>
      </w:tr>
    </w:tbl>
    <w:bookmarkEnd w:id="70"/>
    <w:p>
      <w:pPr>
        <w:pStyle w:val="aff9"/>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1288898562"/>
          <w:placeholder>
            <w:docPart w:val="GBC22222222222222222222222222222"/>
          </w:placeholder>
        </w:sdtPr>
        <w:sdtContent>
          <w:r>
            <w:rPr>
              <w:rFonts w:ascii="宋体" w:hAnsi="宋体" w:hint="eastAsia"/>
            </w:rPr>
            <w:t>由于矿业权出让收益征收相关规定变化，本集团冲回部分已计提采矿权出让收益，影响销售费用同比减少17.06亿元。</w:t>
          </w:r>
        </w:sdtContent>
      </w:sdt>
    </w:p>
    <w:p>
      <w:pPr>
        <w:pStyle w:val="aff9"/>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243141539"/>
          <w:placeholder>
            <w:docPart w:val="GBC22222222222222222222222222222"/>
          </w:placeholder>
        </w:sdtPr>
        <w:sdtContent>
          <w:r>
            <w:rPr>
              <w:rFonts w:ascii="宋体" w:hAnsi="宋体" w:hint="eastAsia"/>
            </w:rPr>
            <w:t>汇率变动导致汇兑损失同比增加9</w:t>
          </w:r>
          <w:r>
            <w:rPr>
              <w:rFonts w:ascii="宋体" w:hAnsi="宋体"/>
            </w:rPr>
            <w:t>.67</w:t>
          </w:r>
          <w:r>
            <w:rPr>
              <w:rFonts w:ascii="宋体" w:hAnsi="宋体" w:hint="eastAsia"/>
            </w:rPr>
            <w:t>亿元。</w:t>
          </w:r>
        </w:sdtContent>
      </w:sdt>
    </w:p>
    <w:p>
      <w:pPr>
        <w:pStyle w:val="aff9"/>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838580686"/>
          <w:placeholder>
            <w:docPart w:val="GBC22222222222222222222222222222"/>
          </w:placeholder>
        </w:sdtPr>
        <w:sdtContent>
          <w:r>
            <w:rPr>
              <w:rFonts w:ascii="宋体" w:hAnsi="宋体" w:hint="eastAsia"/>
              <w:szCs w:val="21"/>
            </w:rPr>
            <w:t>山能财司对外提供存贷款等金融服务，影响本集团经营活动产生的现金流量变动。剔除山能财司对经营活动现金流的影响后，2025年本集团经营活动产生的现金流量净额为167.2</w:t>
          </w:r>
          <w:r>
            <w:rPr>
              <w:rFonts w:ascii="宋体" w:hAnsi="宋体"/>
              <w:szCs w:val="21"/>
            </w:rPr>
            <w:t>3</w:t>
          </w:r>
          <w:r>
            <w:rPr>
              <w:rFonts w:ascii="宋体" w:hAnsi="宋体" w:hint="eastAsia"/>
              <w:szCs w:val="21"/>
            </w:rPr>
            <w:t>亿元，上年同期为275.58亿元，同比减少108.35亿元或39.3%。主要是由于：①销售商品、提供劳务收到的现金同比减少49.14亿元；②购买商品、接受劳务支付的现金同比增加110.12亿元；③支付的各项税费同比减少50.96亿元。</w:t>
          </w:r>
        </w:sdtContent>
      </w:sdt>
    </w:p>
    <w:sdt>
      <w:sdtPr>
        <w:rPr>
          <w:rFonts w:ascii="宋体" w:hAnsi="宋体" w:hint="eastAsia"/>
          <w:szCs w:val="21"/>
        </w:rPr>
        <w:alias w:val="利润表及现金流量表相关科目变动分析"/>
        <w:tag w:val="_TUP_5989ae500ae74401876a819076b8f108"/>
        <w:id w:val="610855516"/>
        <w:placeholder>
          <w:docPart w:val="GBC22222222222222222222222222222"/>
        </w:placeholder>
      </w:sdtPr>
      <w:sdtContent>
        <w:p>
          <w:pPr>
            <w:pStyle w:val="aff9"/>
            <w:ind w:firstLineChars="0" w:firstLine="0"/>
            <w:jc w:val="left"/>
            <w:rPr>
              <w:rFonts w:ascii="宋体" w:hAnsi="宋体" w:cs="宋体"/>
              <w:kern w:val="0"/>
              <w:szCs w:val="24"/>
            </w:rPr>
          </w:pPr>
          <w:sdt>
            <w:sdtPr>
              <w:rPr>
                <w:rFonts w:ascii="宋体" w:hAnsi="宋体" w:hint="eastAsia"/>
                <w:szCs w:val="21"/>
              </w:rPr>
              <w:alias w:val="利润表及现金流量表相关科目变动分析-科目名称"/>
              <w:tag w:val="_GBC_6a3b5b3ab1e744efb8a1a528ee1c5244"/>
              <w:id w:val="-2125536666"/>
              <w:placeholder>
                <w:docPart w:val="GBC22222222222222222222222222222"/>
              </w:placeholder>
            </w:sdtPr>
            <w:sdtContent>
              <w:r>
                <w:rPr>
                  <w:rFonts w:ascii="宋体" w:hAnsi="宋体" w:hint="eastAsia"/>
                  <w:szCs w:val="21"/>
                </w:rPr>
                <w:t>所得税费用</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550923958"/>
              <w:placeholder>
                <w:docPart w:val="GBC22222222222222222222222222222"/>
              </w:placeholder>
            </w:sdtPr>
            <w:sdtContent>
              <w:r>
                <w:rPr>
                  <w:rFonts w:ascii="宋体" w:hAnsi="宋体" w:hint="eastAsia"/>
                  <w:szCs w:val="21"/>
                </w:rPr>
                <w:t>本集团应纳税所得额同比减少。</w:t>
              </w:r>
            </w:sdtContent>
          </w:sdt>
        </w:p>
      </w:sdtContent>
    </w:sdt>
    <w:p>
      <w:pPr>
        <w:rPr>
          <w:u w:val="single"/>
        </w:rPr>
      </w:pPr>
      <w:bookmarkStart w:id="71" w:name="_Hlk89098827"/>
      <w:bookmarkEnd w:id="68"/>
      <w:bookmarkEnd w:id="69"/>
    </w:p>
    <w:p>
      <w:pPr>
        <w:pStyle w:val="Style61"/>
      </w:pPr>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955606574"/>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bookmarkEnd w:id="71"/>
    <w:p>
      <w:pPr>
        <w:pStyle w:val="4"/>
        <w:numPr>
          <w:ilvl w:val="0"/>
          <w:numId w:val="16"/>
        </w:numPr>
      </w:pPr>
      <w:r>
        <w:rPr>
          <w:rFonts w:hint="eastAsia"/>
        </w:rPr>
        <w:t>收入和成本分析</w:t>
      </w:r>
    </w:p>
    <w:sdt>
      <w:sdtPr>
        <w:alias w:val="是否适用：收入和成本分析[双击切换]"/>
        <w:tag w:val="_GBC_c1a771ff956341da84dd26322335800f"/>
        <w:id w:val="1095821308"/>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tabs>
          <w:tab w:val="left" w:pos="851"/>
        </w:tabs>
      </w:pPr>
    </w:p>
    <w:p>
      <w:pPr>
        <w:pStyle w:val="5"/>
        <w:numPr>
          <w:ilvl w:val="0"/>
          <w:numId w:val="17"/>
        </w:numPr>
        <w:tabs>
          <w:tab w:val="left" w:pos="567"/>
        </w:tabs>
        <w:ind w:leftChars="0"/>
      </w:pPr>
      <w:bookmarkStart w:id="72" w:name="_Toc342559756"/>
      <w:bookmarkStart w:id="73" w:name="_Toc342565904"/>
      <w:bookmarkStart w:id="74" w:name="_Toc340829716"/>
      <w:bookmarkEnd w:id="72"/>
      <w:bookmarkEnd w:id="73"/>
      <w:bookmarkEnd w:id="74"/>
      <w:r>
        <w:t>主营业务</w:t>
      </w:r>
      <w:r>
        <w:rPr>
          <w:rFonts w:hint="eastAsia"/>
        </w:rPr>
        <w:t>分</w:t>
      </w:r>
      <w:r>
        <w:t>行业</w:t>
      </w:r>
      <w:r>
        <w:rPr>
          <w:rFonts w:hint="eastAsia"/>
        </w:rPr>
        <w:t>、分</w:t>
      </w:r>
      <w:r>
        <w:t>产品</w:t>
      </w:r>
      <w:r>
        <w:rPr>
          <w:rFonts w:hint="eastAsia"/>
        </w:rPr>
        <w:t>、分地区、分销售模式情况</w:t>
      </w:r>
    </w:p>
    <w:p>
      <w:pPr>
        <w:jc w:val="right"/>
      </w:pPr>
      <w:r>
        <w:rPr>
          <w:rFonts w:hint="eastAsia"/>
        </w:rPr>
        <w:t>单位：</w:t>
      </w:r>
      <w:sdt>
        <w:sdtPr>
          <w:alias w:val="单位：主营业务分行业、分产品情况表"/>
          <w:tag w:val="_GBC_f77c8e6b92b44adf9014b95a44af704b"/>
          <w:id w:val="481587687"/>
          <w:comboBox>
            <w:listItem w:displayText="元" w:value="1"/>
            <w:listItem w:displayText="千元" w:value="1000"/>
            <w:listItem w:displayText="万元" w:value="10000"/>
            <w:listItem w:displayText="百万元" w:value="1000000"/>
            <w:listItem w:displayText="亿元" w:value="100000000"/>
          </w:comboBox>
        </w:sdtPr>
        <w:sdtContent>
          <w:r>
            <w:t>百万元</w:t>
          </w:r>
        </w:sdtContent>
      </w:sdt>
      <w:r>
        <w:rPr>
          <w:rFonts w:hint="eastAsia"/>
        </w:rPr>
        <w:t xml:space="preserve">  </w:t>
      </w:r>
      <w:r>
        <w:rPr>
          <w:rFonts w:hint="eastAsia"/>
        </w:rPr>
        <w:t>币种：</w:t>
      </w:r>
      <w:sdt>
        <w:sdtPr>
          <w:alias w:val="币种：主营业务分行业、分产品情况表"/>
          <w:tag w:val="_GBC_3341f58078504155bf0c18cadb3b7f9d"/>
          <w:id w:val="4042675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4"/>
        <w:tblW w:w="10785" w:type="dxa"/>
        <w:jc w:val="center"/>
        <w:tblLayout w:type="fixed"/>
        <w:tblLook w:val="04A0" w:firstRow="1" w:lastRow="0" w:firstColumn="1" w:lastColumn="0" w:noHBand="0" w:noVBand="1"/>
      </w:tblPr>
      <w:tblGrid>
        <w:gridCol w:w="2106"/>
        <w:gridCol w:w="1391"/>
        <w:gridCol w:w="1480"/>
        <w:gridCol w:w="1236"/>
        <w:gridCol w:w="1236"/>
        <w:gridCol w:w="1062"/>
        <w:gridCol w:w="2274"/>
      </w:tblGrid>
      <w:tr>
        <w:trPr>
          <w:jc w:val="center"/>
        </w:trPr>
        <w:sdt>
          <w:sdtPr>
            <w:rPr>
              <w:rFonts w:ascii="宋体" w:hAnsi="宋体"/>
              <w:sz w:val="20"/>
              <w:szCs w:val="20"/>
            </w:rPr>
            <w:tag w:val="_PLD_b5033a4d190942bd99650d59a8d741f9"/>
            <w:id w:val="1170833942"/>
          </w:sdtPr>
          <w:sdtContent>
            <w:tc>
              <w:tcPr>
                <w:tcW w:w="10785" w:type="dxa"/>
                <w:gridSpan w:val="7"/>
                <w:vAlign w:val="center"/>
              </w:tcPr>
              <w:p>
                <w:pPr>
                  <w:jc w:val="center"/>
                  <w:rPr>
                    <w:rFonts w:ascii="宋体" w:hAnsi="宋体"/>
                  </w:rPr>
                </w:pPr>
                <w:r>
                  <w:rPr>
                    <w:rFonts w:ascii="宋体" w:hAnsi="宋体" w:hint="eastAsia"/>
                  </w:rPr>
                  <w:t>主营业务分行业情况</w:t>
                </w:r>
              </w:p>
            </w:tc>
          </w:sdtContent>
        </w:sdt>
      </w:tr>
      <w:tr>
        <w:trPr>
          <w:jc w:val="center"/>
        </w:trPr>
        <w:sdt>
          <w:sdtPr>
            <w:rPr>
              <w:rFonts w:ascii="宋体" w:hAnsi="宋体"/>
              <w:sz w:val="20"/>
              <w:szCs w:val="20"/>
            </w:rPr>
            <w:tag w:val="_PLD_ab888f46a9d64f09b94dccfab854ad45"/>
            <w:id w:val="-245031799"/>
          </w:sdtPr>
          <w:sdtContent>
            <w:tc>
              <w:tcPr>
                <w:tcW w:w="2106" w:type="dxa"/>
                <w:vAlign w:val="center"/>
              </w:tcPr>
              <w:p>
                <w:pPr>
                  <w:jc w:val="center"/>
                  <w:rPr>
                    <w:rFonts w:ascii="宋体" w:hAnsi="宋体"/>
                  </w:rPr>
                </w:pPr>
                <w:r>
                  <w:rPr>
                    <w:rFonts w:ascii="宋体" w:hAnsi="宋体"/>
                  </w:rPr>
                  <w:t>分行业</w:t>
                </w:r>
              </w:p>
            </w:tc>
          </w:sdtContent>
        </w:sdt>
        <w:sdt>
          <w:sdtPr>
            <w:rPr>
              <w:rFonts w:ascii="宋体" w:hAnsi="宋体"/>
              <w:sz w:val="20"/>
              <w:szCs w:val="20"/>
            </w:rPr>
            <w:tag w:val="_PLD_7fe8bd490c23482eac6c726b40c3125c"/>
            <w:id w:val="147945745"/>
          </w:sdtPr>
          <w:sdtContent>
            <w:tc>
              <w:tcPr>
                <w:tcW w:w="1391" w:type="dxa"/>
                <w:vAlign w:val="center"/>
              </w:tcPr>
              <w:p>
                <w:pPr>
                  <w:jc w:val="center"/>
                  <w:rPr>
                    <w:rFonts w:ascii="宋体" w:hAnsi="宋体"/>
                  </w:rPr>
                </w:pPr>
                <w:r>
                  <w:rPr>
                    <w:rFonts w:ascii="宋体" w:hAnsi="宋体"/>
                  </w:rPr>
                  <w:t>营业收入</w:t>
                </w:r>
              </w:p>
            </w:tc>
          </w:sdtContent>
        </w:sdt>
        <w:sdt>
          <w:sdtPr>
            <w:rPr>
              <w:rFonts w:ascii="宋体" w:hAnsi="宋体"/>
              <w:sz w:val="20"/>
              <w:szCs w:val="20"/>
            </w:rPr>
            <w:tag w:val="_PLD_43ea5bcd646542838f56af8b6a2863cb"/>
            <w:id w:val="-586770412"/>
          </w:sdtPr>
          <w:sdtContent>
            <w:tc>
              <w:tcPr>
                <w:tcW w:w="1480" w:type="dxa"/>
                <w:vAlign w:val="center"/>
              </w:tcPr>
              <w:p>
                <w:pPr>
                  <w:jc w:val="center"/>
                  <w:rPr>
                    <w:rFonts w:ascii="宋体" w:hAnsi="宋体"/>
                  </w:rPr>
                </w:pPr>
                <w:r>
                  <w:rPr>
                    <w:rFonts w:ascii="宋体" w:hAnsi="宋体"/>
                  </w:rPr>
                  <w:t>营业成本</w:t>
                </w:r>
              </w:p>
            </w:tc>
          </w:sdtContent>
        </w:sdt>
        <w:sdt>
          <w:sdtPr>
            <w:rPr>
              <w:rFonts w:ascii="宋体" w:hAnsi="宋体"/>
              <w:sz w:val="20"/>
              <w:szCs w:val="20"/>
            </w:rPr>
            <w:tag w:val="_PLD_2beea8e29ca14ce68ca930225f6b78ba"/>
            <w:id w:val="-2043352793"/>
          </w:sdtPr>
          <w:sdtContent>
            <w:tc>
              <w:tcPr>
                <w:tcW w:w="1236" w:type="dxa"/>
                <w:vAlign w:val="center"/>
              </w:tcPr>
              <w:p>
                <w:pPr>
                  <w:jc w:val="center"/>
                  <w:rPr>
                    <w:rFonts w:ascii="宋体" w:hAnsi="宋体"/>
                  </w:rPr>
                </w:pPr>
                <w:r>
                  <w:rPr>
                    <w:rFonts w:ascii="宋体" w:hAnsi="宋体" w:hint="eastAsia"/>
                  </w:rPr>
                  <w:t>毛利率</w:t>
                </w:r>
                <w:r>
                  <w:rPr>
                    <w:rFonts w:ascii="宋体" w:hAnsi="宋体"/>
                  </w:rPr>
                  <w:t>（</w:t>
                </w:r>
                <w:r>
                  <w:rPr>
                    <w:rFonts w:ascii="宋体" w:hAnsi="宋体" w:hint="eastAsia"/>
                  </w:rPr>
                  <w:t>%</w:t>
                </w:r>
                <w:r>
                  <w:rPr>
                    <w:rFonts w:ascii="宋体" w:hAnsi="宋体"/>
                  </w:rPr>
                  <w:t>）</w:t>
                </w:r>
              </w:p>
            </w:tc>
          </w:sdtContent>
        </w:sdt>
        <w:sdt>
          <w:sdtPr>
            <w:rPr>
              <w:rFonts w:ascii="宋体" w:hAnsi="宋体"/>
              <w:sz w:val="20"/>
              <w:szCs w:val="20"/>
            </w:rPr>
            <w:tag w:val="_PLD_f9dadced328346f0b76bc97b709dc071"/>
            <w:id w:val="-173502455"/>
          </w:sdtPr>
          <w:sdtContent>
            <w:tc>
              <w:tcPr>
                <w:tcW w:w="1236" w:type="dxa"/>
                <w:vAlign w:val="center"/>
              </w:tcPr>
              <w:p>
                <w:pPr>
                  <w:jc w:val="center"/>
                  <w:rPr>
                    <w:rFonts w:ascii="宋体" w:hAnsi="宋体"/>
                  </w:rPr>
                </w:pPr>
                <w:r>
                  <w:rPr>
                    <w:rFonts w:ascii="宋体" w:hAnsi="宋体"/>
                  </w:rPr>
                  <w:t>营业收入比上年增减（</w:t>
                </w:r>
                <w:r>
                  <w:rPr>
                    <w:rFonts w:ascii="宋体" w:hAnsi="宋体" w:hint="eastAsia"/>
                  </w:rPr>
                  <w:t>%</w:t>
                </w:r>
                <w:r>
                  <w:rPr>
                    <w:rFonts w:ascii="宋体" w:hAnsi="宋体"/>
                  </w:rPr>
                  <w:t>）</w:t>
                </w:r>
              </w:p>
            </w:tc>
          </w:sdtContent>
        </w:sdt>
        <w:sdt>
          <w:sdtPr>
            <w:rPr>
              <w:rFonts w:ascii="宋体" w:hAnsi="宋体"/>
              <w:sz w:val="20"/>
              <w:szCs w:val="20"/>
            </w:rPr>
            <w:tag w:val="_PLD_c02171812b4a4964854b289e6b6282d1"/>
            <w:id w:val="392623795"/>
          </w:sdtPr>
          <w:sdtContent>
            <w:tc>
              <w:tcPr>
                <w:tcW w:w="1062" w:type="dxa"/>
                <w:vAlign w:val="center"/>
              </w:tcPr>
              <w:p>
                <w:pPr>
                  <w:jc w:val="center"/>
                  <w:rPr>
                    <w:rFonts w:ascii="宋体" w:hAnsi="宋体"/>
                  </w:rPr>
                </w:pPr>
                <w:r>
                  <w:rPr>
                    <w:rFonts w:ascii="宋体" w:hAnsi="宋体"/>
                  </w:rPr>
                  <w:t>营业成本比上年增减（</w:t>
                </w:r>
                <w:r>
                  <w:rPr>
                    <w:rFonts w:ascii="宋体" w:hAnsi="宋体" w:hint="eastAsia"/>
                  </w:rPr>
                  <w:t>%</w:t>
                </w:r>
                <w:r>
                  <w:rPr>
                    <w:rFonts w:ascii="宋体" w:hAnsi="宋体"/>
                  </w:rPr>
                  <w:t>）</w:t>
                </w:r>
              </w:p>
            </w:tc>
          </w:sdtContent>
        </w:sdt>
        <w:sdt>
          <w:sdtPr>
            <w:rPr>
              <w:rFonts w:ascii="宋体" w:hAnsi="宋体"/>
              <w:sz w:val="20"/>
              <w:szCs w:val="20"/>
            </w:rPr>
            <w:tag w:val="_PLD_6ec6853f40254c1e8badc94bd41729ab"/>
            <w:id w:val="-1605484006"/>
          </w:sdtPr>
          <w:sdtContent>
            <w:tc>
              <w:tcPr>
                <w:tcW w:w="2274" w:type="dxa"/>
                <w:vAlign w:val="center"/>
              </w:tcPr>
              <w:p>
                <w:pPr>
                  <w:jc w:val="center"/>
                  <w:rPr>
                    <w:rFonts w:ascii="宋体" w:hAnsi="宋体"/>
                  </w:rPr>
                </w:pPr>
                <w:r>
                  <w:rPr>
                    <w:rFonts w:ascii="宋体" w:hAnsi="宋体" w:hint="eastAsia"/>
                  </w:rPr>
                  <w:t>毛利率</w:t>
                </w:r>
                <w:r>
                  <w:rPr>
                    <w:rFonts w:ascii="宋体" w:hAnsi="宋体"/>
                  </w:rPr>
                  <w:t>比上年增减（</w:t>
                </w:r>
                <w:r>
                  <w:rPr>
                    <w:rFonts w:ascii="宋体" w:hAnsi="宋体" w:hint="eastAsia"/>
                  </w:rPr>
                  <w:t>%</w:t>
                </w:r>
                <w:r>
                  <w:rPr>
                    <w:rFonts w:ascii="宋体" w:hAnsi="宋体"/>
                  </w:rPr>
                  <w:t>）</w:t>
                </w:r>
              </w:p>
            </w:tc>
          </w:sdtContent>
        </w:sdt>
      </w:tr>
      <w:sdt>
        <w:sdtPr>
          <w:rPr>
            <w:rFonts w:ascii="宋体" w:hAnsi="宋体" w:cs="宋体"/>
            <w:kern w:val="0"/>
            <w:szCs w:val="21"/>
          </w:rPr>
          <w:alias w:val="董事会报告出具的分行业主营业务"/>
          <w:tag w:val="_TUP_fab3da88965048348763b19310ce503d"/>
          <w:id w:val="1100674573"/>
          <w:placeholder>
            <w:docPart w:val="238F8DF45B2D41A5BDE3DB3A4AE8E3A4"/>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1.煤炭业务</w:t>
                </w:r>
              </w:p>
            </w:tc>
            <w:tc>
              <w:tcPr>
                <w:tcW w:w="1391" w:type="dxa"/>
                <w:vAlign w:val="center"/>
              </w:tcPr>
              <w:p>
                <w:pPr>
                  <w:jc w:val="right"/>
                  <w:rPr>
                    <w:rFonts w:ascii="宋体" w:hAnsi="宋体"/>
                  </w:rPr>
                </w:pPr>
                <w:r>
                  <w:rPr>
                    <w:rFonts w:ascii="宋体" w:hAnsi="宋体" w:hint="eastAsia"/>
                  </w:rPr>
                  <w:t>88,666</w:t>
                </w:r>
              </w:p>
            </w:tc>
            <w:tc>
              <w:tcPr>
                <w:tcW w:w="1480" w:type="dxa"/>
                <w:vAlign w:val="center"/>
              </w:tcPr>
              <w:p>
                <w:pPr>
                  <w:jc w:val="right"/>
                  <w:rPr>
                    <w:rFonts w:ascii="宋体" w:hAnsi="宋体"/>
                  </w:rPr>
                </w:pPr>
                <w:r>
                  <w:rPr>
                    <w:rFonts w:ascii="宋体" w:hAnsi="宋体" w:hint="eastAsia"/>
                  </w:rPr>
                  <w:t>56,595</w:t>
                </w:r>
              </w:p>
            </w:tc>
            <w:tc>
              <w:tcPr>
                <w:tcW w:w="1236" w:type="dxa"/>
                <w:vAlign w:val="center"/>
              </w:tcPr>
              <w:p>
                <w:pPr>
                  <w:jc w:val="right"/>
                  <w:rPr>
                    <w:rFonts w:ascii="宋体" w:hAnsi="宋体"/>
                  </w:rPr>
                </w:pPr>
                <w:r>
                  <w:rPr>
                    <w:rFonts w:ascii="宋体" w:hAnsi="宋体" w:hint="eastAsia"/>
                  </w:rPr>
                  <w:t>36.17</w:t>
                </w:r>
              </w:p>
            </w:tc>
            <w:tc>
              <w:tcPr>
                <w:tcW w:w="1236" w:type="dxa"/>
                <w:vAlign w:val="center"/>
              </w:tcPr>
              <w:p>
                <w:pPr>
                  <w:jc w:val="right"/>
                  <w:rPr>
                    <w:rFonts w:ascii="宋体" w:hAnsi="宋体"/>
                  </w:rPr>
                </w:pPr>
                <w:r>
                  <w:rPr>
                    <w:rFonts w:ascii="宋体" w:hAnsi="宋体" w:hint="eastAsia"/>
                  </w:rPr>
                  <w:t>-17.23</w:t>
                </w:r>
              </w:p>
            </w:tc>
            <w:tc>
              <w:tcPr>
                <w:tcW w:w="1062" w:type="dxa"/>
                <w:vAlign w:val="center"/>
              </w:tcPr>
              <w:p>
                <w:pPr>
                  <w:jc w:val="right"/>
                  <w:rPr>
                    <w:rFonts w:ascii="宋体" w:hAnsi="宋体"/>
                  </w:rPr>
                </w:pPr>
                <w:r>
                  <w:rPr>
                    <w:rFonts w:ascii="宋体" w:hAnsi="宋体" w:hint="eastAsia"/>
                  </w:rPr>
                  <w:t>-4.35</w:t>
                </w:r>
              </w:p>
            </w:tc>
            <w:tc>
              <w:tcPr>
                <w:tcW w:w="2274" w:type="dxa"/>
                <w:vAlign w:val="center"/>
              </w:tcPr>
              <w:p>
                <w:pPr>
                  <w:jc w:val="right"/>
                  <w:rPr>
                    <w:rFonts w:ascii="宋体" w:hAnsi="宋体"/>
                  </w:rPr>
                </w:pPr>
                <w:r>
                  <w:rPr>
                    <w:rFonts w:ascii="宋体" w:hAnsi="宋体" w:hint="eastAsia"/>
                  </w:rPr>
                  <w:t>减少</w:t>
                </w:r>
                <w:r>
                  <w:rPr>
                    <w:rFonts w:ascii="宋体" w:hAnsi="宋体"/>
                  </w:rPr>
                  <w:t>8.60个百分点</w:t>
                </w:r>
              </w:p>
            </w:tc>
          </w:tr>
        </w:sdtContent>
      </w:sdt>
      <w:sdt>
        <w:sdtPr>
          <w:rPr>
            <w:rFonts w:ascii="宋体" w:hAnsi="宋体" w:cs="宋体"/>
            <w:kern w:val="0"/>
            <w:szCs w:val="21"/>
          </w:rPr>
          <w:alias w:val="董事会报告出具的分行业主营业务"/>
          <w:tag w:val="_TUP_fab3da88965048348763b19310ce503d"/>
          <w:id w:val="-1373069148"/>
          <w:placeholder>
            <w:docPart w:val="238F8DF45B2D41A5BDE3DB3A4AE8E3A4"/>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其中：自产煤业务</w:t>
                </w:r>
              </w:p>
            </w:tc>
            <w:tc>
              <w:tcPr>
                <w:tcW w:w="1391" w:type="dxa"/>
                <w:vAlign w:val="center"/>
              </w:tcPr>
              <w:p>
                <w:pPr>
                  <w:jc w:val="right"/>
                  <w:rPr>
                    <w:rFonts w:ascii="宋体" w:hAnsi="宋体"/>
                  </w:rPr>
                </w:pPr>
                <w:r>
                  <w:rPr>
                    <w:rFonts w:ascii="宋体" w:hAnsi="宋体" w:hint="eastAsia"/>
                  </w:rPr>
                  <w:t>84,755</w:t>
                </w:r>
              </w:p>
            </w:tc>
            <w:tc>
              <w:tcPr>
                <w:tcW w:w="1480" w:type="dxa"/>
                <w:vAlign w:val="center"/>
              </w:tcPr>
              <w:p>
                <w:pPr>
                  <w:jc w:val="right"/>
                  <w:rPr>
                    <w:rFonts w:ascii="宋体" w:hAnsi="宋体"/>
                  </w:rPr>
                </w:pPr>
                <w:r>
                  <w:rPr>
                    <w:rFonts w:ascii="宋体" w:hAnsi="宋体" w:hint="eastAsia"/>
                  </w:rPr>
                  <w:t>53,098</w:t>
                </w:r>
              </w:p>
            </w:tc>
            <w:tc>
              <w:tcPr>
                <w:tcW w:w="1236" w:type="dxa"/>
                <w:vAlign w:val="center"/>
              </w:tcPr>
              <w:p>
                <w:pPr>
                  <w:jc w:val="right"/>
                  <w:rPr>
                    <w:rFonts w:ascii="宋体" w:hAnsi="宋体"/>
                  </w:rPr>
                </w:pPr>
                <w:r>
                  <w:rPr>
                    <w:rFonts w:ascii="宋体" w:hAnsi="宋体" w:hint="eastAsia"/>
                  </w:rPr>
                  <w:t>37.35</w:t>
                </w:r>
              </w:p>
            </w:tc>
            <w:tc>
              <w:tcPr>
                <w:tcW w:w="1236" w:type="dxa"/>
                <w:vAlign w:val="center"/>
              </w:tcPr>
              <w:p>
                <w:pPr>
                  <w:jc w:val="right"/>
                  <w:rPr>
                    <w:rFonts w:ascii="宋体" w:hAnsi="宋体"/>
                  </w:rPr>
                </w:pPr>
                <w:r>
                  <w:rPr>
                    <w:rFonts w:ascii="宋体" w:hAnsi="宋体" w:hint="eastAsia"/>
                  </w:rPr>
                  <w:t>-15.79</w:t>
                </w:r>
              </w:p>
            </w:tc>
            <w:tc>
              <w:tcPr>
                <w:tcW w:w="1062" w:type="dxa"/>
                <w:vAlign w:val="center"/>
              </w:tcPr>
              <w:p>
                <w:pPr>
                  <w:jc w:val="right"/>
                  <w:rPr>
                    <w:rFonts w:ascii="宋体" w:hAnsi="宋体"/>
                  </w:rPr>
                </w:pPr>
                <w:r>
                  <w:rPr>
                    <w:rFonts w:ascii="宋体" w:hAnsi="宋体" w:hint="eastAsia"/>
                  </w:rPr>
                  <w:t>-0.16</w:t>
                </w:r>
              </w:p>
            </w:tc>
            <w:tc>
              <w:tcPr>
                <w:tcW w:w="2274" w:type="dxa"/>
                <w:vAlign w:val="center"/>
              </w:tcPr>
              <w:p>
                <w:pPr>
                  <w:jc w:val="right"/>
                  <w:rPr>
                    <w:rFonts w:ascii="宋体" w:hAnsi="宋体"/>
                  </w:rPr>
                </w:pPr>
                <w:r>
                  <w:rPr>
                    <w:rFonts w:ascii="宋体" w:hAnsi="宋体" w:hint="eastAsia"/>
                  </w:rPr>
                  <w:t>减少</w:t>
                </w:r>
                <w:r>
                  <w:rPr>
                    <w:rFonts w:ascii="宋体" w:hAnsi="宋体"/>
                  </w:rPr>
                  <w:t>9.81个百分点</w:t>
                </w:r>
              </w:p>
            </w:tc>
          </w:tr>
        </w:sdtContent>
      </w:sdt>
      <w:sdt>
        <w:sdtPr>
          <w:rPr>
            <w:rFonts w:ascii="宋体" w:hAnsi="宋体" w:cs="宋体"/>
            <w:kern w:val="0"/>
            <w:szCs w:val="21"/>
          </w:rPr>
          <w:alias w:val="董事会报告出具的分行业主营业务"/>
          <w:tag w:val="_TUP_fab3da88965048348763b19310ce503d"/>
          <w:id w:val="590205661"/>
          <w:placeholder>
            <w:docPart w:val="238F8DF45B2D41A5BDE3DB3A4AE8E3A4"/>
          </w:placeholder>
        </w:sdtPr>
        <w:sdtEndPr>
          <w:rPr>
            <w:rFonts w:cs="Times New Roman"/>
            <w:color w:val="008000"/>
          </w:rPr>
        </w:sdtEndPr>
        <w:sdtContent>
          <w:tr>
            <w:trPr>
              <w:jc w:val="center"/>
            </w:trPr>
            <w:tc>
              <w:tcPr>
                <w:tcW w:w="2106" w:type="dxa"/>
                <w:vAlign w:val="center"/>
              </w:tcPr>
              <w:p>
                <w:pPr>
                  <w:pStyle w:val="aff9"/>
                  <w:ind w:firstLineChars="300" w:firstLine="630"/>
                  <w:jc w:val="left"/>
                  <w:rPr>
                    <w:rFonts w:ascii="宋体" w:hAnsi="宋体" w:cs="宋体"/>
                    <w:kern w:val="0"/>
                    <w:szCs w:val="21"/>
                  </w:rPr>
                </w:pPr>
                <w:r>
                  <w:rPr>
                    <w:rFonts w:ascii="宋体" w:hAnsi="宋体" w:hint="eastAsia"/>
                  </w:rPr>
                  <w:t>贸易煤业务</w:t>
                </w:r>
              </w:p>
            </w:tc>
            <w:tc>
              <w:tcPr>
                <w:tcW w:w="1391" w:type="dxa"/>
                <w:vAlign w:val="center"/>
              </w:tcPr>
              <w:p>
                <w:pPr>
                  <w:jc w:val="right"/>
                  <w:rPr>
                    <w:rFonts w:ascii="宋体" w:hAnsi="宋体"/>
                  </w:rPr>
                </w:pPr>
                <w:r>
                  <w:rPr>
                    <w:rFonts w:ascii="宋体" w:hAnsi="宋体" w:hint="eastAsia"/>
                  </w:rPr>
                  <w:t>3,911</w:t>
                </w:r>
              </w:p>
            </w:tc>
            <w:tc>
              <w:tcPr>
                <w:tcW w:w="1480" w:type="dxa"/>
                <w:vAlign w:val="center"/>
              </w:tcPr>
              <w:p>
                <w:pPr>
                  <w:jc w:val="right"/>
                  <w:rPr>
                    <w:rFonts w:ascii="宋体" w:hAnsi="宋体"/>
                  </w:rPr>
                </w:pPr>
                <w:r>
                  <w:rPr>
                    <w:rFonts w:ascii="宋体" w:hAnsi="宋体" w:hint="eastAsia"/>
                  </w:rPr>
                  <w:t>3,497</w:t>
                </w:r>
              </w:p>
            </w:tc>
            <w:tc>
              <w:tcPr>
                <w:tcW w:w="1236" w:type="dxa"/>
                <w:vAlign w:val="center"/>
              </w:tcPr>
              <w:p>
                <w:pPr>
                  <w:jc w:val="right"/>
                  <w:rPr>
                    <w:rFonts w:ascii="宋体" w:hAnsi="宋体"/>
                  </w:rPr>
                </w:pPr>
                <w:r>
                  <w:rPr>
                    <w:rFonts w:ascii="宋体" w:hAnsi="宋体" w:hint="eastAsia"/>
                  </w:rPr>
                  <w:t>10.59</w:t>
                </w:r>
              </w:p>
            </w:tc>
            <w:tc>
              <w:tcPr>
                <w:tcW w:w="1236" w:type="dxa"/>
                <w:vAlign w:val="center"/>
              </w:tcPr>
              <w:p>
                <w:pPr>
                  <w:jc w:val="right"/>
                  <w:rPr>
                    <w:rFonts w:ascii="宋体" w:hAnsi="宋体"/>
                  </w:rPr>
                </w:pPr>
                <w:r>
                  <w:rPr>
                    <w:rFonts w:ascii="宋体" w:hAnsi="宋体" w:hint="eastAsia"/>
                  </w:rPr>
                  <w:t>-39.65</w:t>
                </w:r>
              </w:p>
            </w:tc>
            <w:tc>
              <w:tcPr>
                <w:tcW w:w="1062" w:type="dxa"/>
                <w:vAlign w:val="center"/>
              </w:tcPr>
              <w:p>
                <w:pPr>
                  <w:jc w:val="right"/>
                  <w:rPr>
                    <w:rFonts w:ascii="宋体" w:hAnsi="宋体"/>
                  </w:rPr>
                </w:pPr>
                <w:r>
                  <w:rPr>
                    <w:rFonts w:ascii="宋体" w:hAnsi="宋体" w:hint="eastAsia"/>
                  </w:rPr>
                  <w:t>-41.59</w:t>
                </w:r>
              </w:p>
            </w:tc>
            <w:tc>
              <w:tcPr>
                <w:tcW w:w="2274" w:type="dxa"/>
                <w:vAlign w:val="center"/>
              </w:tcPr>
              <w:p>
                <w:pPr>
                  <w:jc w:val="right"/>
                  <w:rPr>
                    <w:rFonts w:ascii="宋体" w:hAnsi="宋体"/>
                  </w:rPr>
                </w:pPr>
                <w:r>
                  <w:rPr>
                    <w:rFonts w:ascii="宋体" w:hAnsi="宋体" w:hint="eastAsia"/>
                  </w:rPr>
                  <w:t>增加2.98个百分点</w:t>
                </w:r>
              </w:p>
            </w:tc>
          </w:tr>
        </w:sdtContent>
      </w:sdt>
      <w:sdt>
        <w:sdtPr>
          <w:rPr>
            <w:rFonts w:ascii="宋体" w:hAnsi="宋体" w:cs="宋体"/>
            <w:kern w:val="0"/>
            <w:szCs w:val="21"/>
          </w:rPr>
          <w:alias w:val="董事会报告出具的分行业主营业务"/>
          <w:tag w:val="_TUP_fab3da88965048348763b19310ce503d"/>
          <w:id w:val="-493882768"/>
          <w:placeholder>
            <w:docPart w:val="238F8DF45B2D41A5BDE3DB3A4AE8E3A4"/>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2.煤化工业务</w:t>
                </w:r>
              </w:p>
            </w:tc>
            <w:tc>
              <w:tcPr>
                <w:tcW w:w="1391" w:type="dxa"/>
                <w:vAlign w:val="center"/>
              </w:tcPr>
              <w:p>
                <w:pPr>
                  <w:jc w:val="right"/>
                  <w:rPr>
                    <w:rFonts w:ascii="宋体" w:hAnsi="宋体"/>
                  </w:rPr>
                </w:pPr>
                <w:r>
                  <w:rPr>
                    <w:rFonts w:ascii="宋体" w:hAnsi="宋体" w:hint="eastAsia"/>
                  </w:rPr>
                  <w:t>24,293</w:t>
                </w:r>
              </w:p>
            </w:tc>
            <w:tc>
              <w:tcPr>
                <w:tcW w:w="1480" w:type="dxa"/>
                <w:vAlign w:val="center"/>
              </w:tcPr>
              <w:p>
                <w:pPr>
                  <w:jc w:val="right"/>
                  <w:rPr>
                    <w:rFonts w:ascii="宋体" w:hAnsi="宋体"/>
                  </w:rPr>
                </w:pPr>
                <w:r>
                  <w:rPr>
                    <w:rFonts w:ascii="宋体" w:hAnsi="宋体" w:hint="eastAsia"/>
                  </w:rPr>
                  <w:t>17,907</w:t>
                </w:r>
              </w:p>
            </w:tc>
            <w:tc>
              <w:tcPr>
                <w:tcW w:w="1236" w:type="dxa"/>
                <w:vAlign w:val="center"/>
              </w:tcPr>
              <w:p>
                <w:pPr>
                  <w:jc w:val="right"/>
                  <w:rPr>
                    <w:rFonts w:ascii="宋体" w:hAnsi="宋体"/>
                  </w:rPr>
                </w:pPr>
                <w:r>
                  <w:rPr>
                    <w:rFonts w:ascii="宋体" w:hAnsi="宋体" w:hint="eastAsia"/>
                  </w:rPr>
                  <w:t>26.29</w:t>
                </w:r>
              </w:p>
            </w:tc>
            <w:tc>
              <w:tcPr>
                <w:tcW w:w="1236" w:type="dxa"/>
                <w:vAlign w:val="center"/>
              </w:tcPr>
              <w:p>
                <w:pPr>
                  <w:jc w:val="right"/>
                  <w:rPr>
                    <w:rFonts w:ascii="宋体" w:hAnsi="宋体"/>
                  </w:rPr>
                </w:pPr>
                <w:r>
                  <w:rPr>
                    <w:rFonts w:ascii="宋体" w:hAnsi="宋体" w:hint="eastAsia"/>
                  </w:rPr>
                  <w:t>-5.84</w:t>
                </w:r>
              </w:p>
            </w:tc>
            <w:tc>
              <w:tcPr>
                <w:tcW w:w="1062" w:type="dxa"/>
                <w:vAlign w:val="center"/>
              </w:tcPr>
              <w:p>
                <w:pPr>
                  <w:jc w:val="right"/>
                  <w:rPr>
                    <w:rFonts w:ascii="宋体" w:hAnsi="宋体"/>
                  </w:rPr>
                </w:pPr>
                <w:r>
                  <w:rPr>
                    <w:rFonts w:ascii="宋体" w:hAnsi="宋体" w:hint="eastAsia"/>
                  </w:rPr>
                  <w:t>-11.99</w:t>
                </w:r>
              </w:p>
            </w:tc>
            <w:tc>
              <w:tcPr>
                <w:tcW w:w="2274" w:type="dxa"/>
                <w:vAlign w:val="center"/>
              </w:tcPr>
              <w:p>
                <w:pPr>
                  <w:jc w:val="right"/>
                  <w:rPr>
                    <w:rFonts w:ascii="宋体" w:hAnsi="宋体"/>
                  </w:rPr>
                </w:pPr>
                <w:r>
                  <w:rPr>
                    <w:rFonts w:ascii="宋体" w:hAnsi="宋体" w:hint="eastAsia"/>
                  </w:rPr>
                  <w:t>增加</w:t>
                </w:r>
                <w:r>
                  <w:rPr>
                    <w:rFonts w:ascii="宋体" w:hAnsi="宋体"/>
                  </w:rPr>
                  <w:t>5.15个百分点</w:t>
                </w:r>
              </w:p>
            </w:tc>
          </w:tr>
        </w:sdtContent>
      </w:sdt>
      <w:sdt>
        <w:sdtPr>
          <w:rPr>
            <w:rFonts w:ascii="宋体" w:hAnsi="宋体" w:cs="宋体"/>
            <w:kern w:val="0"/>
            <w:szCs w:val="21"/>
          </w:rPr>
          <w:alias w:val="董事会报告出具的分行业主营业务"/>
          <w:tag w:val="_TUP_fab3da88965048348763b19310ce503d"/>
          <w:id w:val="607159395"/>
          <w:placeholder>
            <w:docPart w:val="238F8DF45B2D41A5BDE3DB3A4AE8E3A4"/>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3.电力业务</w:t>
                </w:r>
              </w:p>
            </w:tc>
            <w:tc>
              <w:tcPr>
                <w:tcW w:w="1391" w:type="dxa"/>
                <w:vAlign w:val="center"/>
              </w:tcPr>
              <w:p>
                <w:pPr>
                  <w:jc w:val="right"/>
                  <w:rPr>
                    <w:rFonts w:ascii="宋体" w:hAnsi="宋体"/>
                  </w:rPr>
                </w:pPr>
                <w:r>
                  <w:rPr>
                    <w:rFonts w:ascii="宋体" w:hAnsi="宋体" w:hint="eastAsia"/>
                  </w:rPr>
                  <w:t>2,310</w:t>
                </w:r>
              </w:p>
            </w:tc>
            <w:tc>
              <w:tcPr>
                <w:tcW w:w="1480" w:type="dxa"/>
                <w:vAlign w:val="center"/>
              </w:tcPr>
              <w:p>
                <w:pPr>
                  <w:jc w:val="right"/>
                  <w:rPr>
                    <w:rFonts w:ascii="宋体" w:hAnsi="宋体"/>
                  </w:rPr>
                </w:pPr>
                <w:r>
                  <w:rPr>
                    <w:rFonts w:ascii="宋体" w:hAnsi="宋体" w:hint="eastAsia"/>
                  </w:rPr>
                  <w:t>1,861</w:t>
                </w:r>
              </w:p>
            </w:tc>
            <w:tc>
              <w:tcPr>
                <w:tcW w:w="1236" w:type="dxa"/>
                <w:vAlign w:val="center"/>
              </w:tcPr>
              <w:p>
                <w:pPr>
                  <w:jc w:val="right"/>
                  <w:rPr>
                    <w:rFonts w:ascii="宋体" w:hAnsi="宋体"/>
                  </w:rPr>
                </w:pPr>
                <w:r>
                  <w:rPr>
                    <w:rFonts w:ascii="宋体" w:hAnsi="宋体" w:hint="eastAsia"/>
                  </w:rPr>
                  <w:t>19.43</w:t>
                </w:r>
              </w:p>
            </w:tc>
            <w:tc>
              <w:tcPr>
                <w:tcW w:w="1236" w:type="dxa"/>
                <w:vAlign w:val="center"/>
              </w:tcPr>
              <w:p>
                <w:pPr>
                  <w:jc w:val="right"/>
                  <w:rPr>
                    <w:rFonts w:ascii="宋体" w:hAnsi="宋体"/>
                  </w:rPr>
                </w:pPr>
                <w:r>
                  <w:rPr>
                    <w:rFonts w:ascii="宋体" w:hAnsi="宋体" w:hint="eastAsia"/>
                  </w:rPr>
                  <w:t>-8.95</w:t>
                </w:r>
              </w:p>
            </w:tc>
            <w:tc>
              <w:tcPr>
                <w:tcW w:w="1062" w:type="dxa"/>
                <w:vAlign w:val="center"/>
              </w:tcPr>
              <w:p>
                <w:pPr>
                  <w:jc w:val="right"/>
                  <w:rPr>
                    <w:rFonts w:ascii="宋体" w:hAnsi="宋体"/>
                  </w:rPr>
                </w:pPr>
                <w:r>
                  <w:rPr>
                    <w:rFonts w:ascii="宋体" w:hAnsi="宋体" w:hint="eastAsia"/>
                  </w:rPr>
                  <w:t>-15.61</w:t>
                </w:r>
              </w:p>
            </w:tc>
            <w:tc>
              <w:tcPr>
                <w:tcW w:w="2274" w:type="dxa"/>
                <w:vAlign w:val="center"/>
              </w:tcPr>
              <w:p>
                <w:pPr>
                  <w:jc w:val="right"/>
                  <w:rPr>
                    <w:rFonts w:ascii="宋体" w:hAnsi="宋体"/>
                  </w:rPr>
                </w:pPr>
                <w:r>
                  <w:rPr>
                    <w:rFonts w:ascii="宋体" w:hAnsi="宋体" w:hint="eastAsia"/>
                  </w:rPr>
                  <w:t>增加</w:t>
                </w:r>
                <w:r>
                  <w:rPr>
                    <w:rFonts w:ascii="宋体" w:hAnsi="宋体"/>
                  </w:rPr>
                  <w:t>6.36个百分点</w:t>
                </w:r>
              </w:p>
            </w:tc>
          </w:tr>
        </w:sdtContent>
      </w:sdt>
      <w:sdt>
        <w:sdtPr>
          <w:rPr>
            <w:rFonts w:ascii="宋体" w:hAnsi="宋体" w:cs="宋体"/>
            <w:kern w:val="0"/>
            <w:szCs w:val="21"/>
          </w:rPr>
          <w:alias w:val="董事会报告出具的分行业主营业务"/>
          <w:tag w:val="_TUP_fab3da88965048348763b19310ce503d"/>
          <w:id w:val="865713902"/>
          <w:placeholder>
            <w:docPart w:val="6C35BA39E1594F7782B3C9DB938EA362"/>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4.物流运输</w:t>
                </w:r>
              </w:p>
            </w:tc>
            <w:tc>
              <w:tcPr>
                <w:tcW w:w="1391" w:type="dxa"/>
                <w:vAlign w:val="center"/>
              </w:tcPr>
              <w:p>
                <w:pPr>
                  <w:jc w:val="right"/>
                  <w:rPr>
                    <w:rFonts w:ascii="宋体" w:hAnsi="宋体"/>
                  </w:rPr>
                </w:pPr>
                <w:r>
                  <w:rPr>
                    <w:rFonts w:ascii="宋体" w:hAnsi="宋体"/>
                  </w:rPr>
                  <w:t>15,083</w:t>
                </w:r>
              </w:p>
            </w:tc>
            <w:tc>
              <w:tcPr>
                <w:tcW w:w="1480" w:type="dxa"/>
                <w:vAlign w:val="center"/>
              </w:tcPr>
              <w:p>
                <w:pPr>
                  <w:jc w:val="right"/>
                  <w:rPr>
                    <w:rFonts w:ascii="宋体" w:hAnsi="宋体"/>
                  </w:rPr>
                </w:pPr>
                <w:r>
                  <w:rPr>
                    <w:rFonts w:ascii="宋体" w:hAnsi="宋体"/>
                  </w:rPr>
                  <w:t>14,660</w:t>
                </w:r>
              </w:p>
            </w:tc>
            <w:tc>
              <w:tcPr>
                <w:tcW w:w="1236" w:type="dxa"/>
                <w:vAlign w:val="center"/>
              </w:tcPr>
              <w:p>
                <w:pPr>
                  <w:jc w:val="right"/>
                  <w:rPr>
                    <w:rFonts w:ascii="宋体" w:hAnsi="宋体"/>
                  </w:rPr>
                </w:pPr>
                <w:r>
                  <w:rPr>
                    <w:rFonts w:ascii="宋体" w:hAnsi="宋体"/>
                  </w:rPr>
                  <w:t xml:space="preserve">2.80 </w:t>
                </w:r>
              </w:p>
            </w:tc>
            <w:tc>
              <w:tcPr>
                <w:tcW w:w="1236" w:type="dxa"/>
                <w:vAlign w:val="center"/>
              </w:tcPr>
              <w:p>
                <w:pPr>
                  <w:jc w:val="right"/>
                  <w:rPr>
                    <w:rFonts w:ascii="宋体" w:hAnsi="宋体"/>
                  </w:rPr>
                </w:pPr>
                <w:r>
                  <w:rPr>
                    <w:rFonts w:ascii="宋体" w:hAnsi="宋体"/>
                  </w:rPr>
                  <w:t xml:space="preserve">361.09 </w:t>
                </w:r>
              </w:p>
            </w:tc>
            <w:tc>
              <w:tcPr>
                <w:tcW w:w="1062" w:type="dxa"/>
                <w:vAlign w:val="center"/>
              </w:tcPr>
              <w:p>
                <w:pPr>
                  <w:jc w:val="right"/>
                  <w:rPr>
                    <w:rFonts w:ascii="宋体" w:hAnsi="宋体"/>
                  </w:rPr>
                </w:pPr>
                <w:r>
                  <w:rPr>
                    <w:rFonts w:ascii="宋体" w:hAnsi="宋体"/>
                  </w:rPr>
                  <w:t xml:space="preserve">426.97 </w:t>
                </w:r>
              </w:p>
            </w:tc>
            <w:tc>
              <w:tcPr>
                <w:tcW w:w="2274" w:type="dxa"/>
                <w:vAlign w:val="center"/>
              </w:tcPr>
              <w:p>
                <w:pPr>
                  <w:jc w:val="right"/>
                  <w:rPr>
                    <w:rFonts w:ascii="宋体" w:hAnsi="宋体"/>
                  </w:rPr>
                </w:pPr>
                <w:r>
                  <w:rPr>
                    <w:rFonts w:ascii="宋体" w:hAnsi="宋体" w:hint="eastAsia"/>
                  </w:rPr>
                  <w:t>减少</w:t>
                </w:r>
                <w:r>
                  <w:rPr>
                    <w:rFonts w:ascii="宋体" w:hAnsi="宋体"/>
                  </w:rPr>
                  <w:t>12.15个百分点</w:t>
                </w:r>
              </w:p>
            </w:tc>
          </w:tr>
        </w:sdtContent>
      </w:sdt>
      <w:sdt>
        <w:sdtPr>
          <w:rPr>
            <w:rFonts w:ascii="宋体" w:hAnsi="宋体" w:cs="宋体"/>
            <w:kern w:val="0"/>
            <w:szCs w:val="21"/>
          </w:rPr>
          <w:alias w:val="董事会报告出具的分行业主营业务"/>
          <w:tag w:val="_TUP_fab3da88965048348763b19310ce503d"/>
          <w:id w:val="367733678"/>
          <w:placeholder>
            <w:docPart w:val="BED461BA8F9E4C19B9AB186DF8561C31"/>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5.其他业务</w:t>
                </w:r>
              </w:p>
            </w:tc>
            <w:tc>
              <w:tcPr>
                <w:tcW w:w="1391" w:type="dxa"/>
                <w:vAlign w:val="center"/>
              </w:tcPr>
              <w:p>
                <w:pPr>
                  <w:jc w:val="right"/>
                  <w:rPr>
                    <w:rFonts w:ascii="宋体" w:hAnsi="宋体"/>
                  </w:rPr>
                </w:pPr>
                <w:r>
                  <w:rPr>
                    <w:rFonts w:ascii="宋体" w:hAnsi="宋体"/>
                  </w:rPr>
                  <w:t>2,989</w:t>
                </w:r>
              </w:p>
            </w:tc>
            <w:tc>
              <w:tcPr>
                <w:tcW w:w="1480" w:type="dxa"/>
                <w:vAlign w:val="center"/>
              </w:tcPr>
              <w:p>
                <w:pPr>
                  <w:jc w:val="right"/>
                  <w:rPr>
                    <w:rFonts w:ascii="宋体" w:hAnsi="宋体"/>
                  </w:rPr>
                </w:pPr>
                <w:r>
                  <w:rPr>
                    <w:rFonts w:ascii="宋体" w:hAnsi="宋体"/>
                  </w:rPr>
                  <w:t>2,470</w:t>
                </w:r>
              </w:p>
            </w:tc>
            <w:tc>
              <w:tcPr>
                <w:tcW w:w="1236" w:type="dxa"/>
                <w:vAlign w:val="center"/>
              </w:tcPr>
              <w:p>
                <w:pPr>
                  <w:jc w:val="right"/>
                  <w:rPr>
                    <w:rFonts w:ascii="宋体" w:hAnsi="宋体"/>
                  </w:rPr>
                </w:pPr>
                <w:r>
                  <w:rPr>
                    <w:rFonts w:ascii="宋体" w:hAnsi="宋体"/>
                  </w:rPr>
                  <w:t xml:space="preserve">17.36 </w:t>
                </w:r>
              </w:p>
            </w:tc>
            <w:tc>
              <w:tcPr>
                <w:tcW w:w="1236" w:type="dxa"/>
                <w:vAlign w:val="center"/>
              </w:tcPr>
              <w:p>
                <w:pPr>
                  <w:jc w:val="right"/>
                  <w:rPr>
                    <w:rFonts w:ascii="宋体" w:hAnsi="宋体"/>
                  </w:rPr>
                </w:pPr>
                <w:r>
                  <w:rPr>
                    <w:rFonts w:ascii="宋体" w:hAnsi="宋体"/>
                  </w:rPr>
                  <w:t xml:space="preserve">23.90 </w:t>
                </w:r>
              </w:p>
            </w:tc>
            <w:tc>
              <w:tcPr>
                <w:tcW w:w="1062" w:type="dxa"/>
                <w:vAlign w:val="center"/>
              </w:tcPr>
              <w:p>
                <w:pPr>
                  <w:jc w:val="right"/>
                  <w:rPr>
                    <w:rFonts w:ascii="宋体" w:hAnsi="宋体"/>
                  </w:rPr>
                </w:pPr>
                <w:r>
                  <w:rPr>
                    <w:rFonts w:ascii="宋体" w:hAnsi="宋体"/>
                  </w:rPr>
                  <w:t xml:space="preserve">13.01 </w:t>
                </w:r>
              </w:p>
            </w:tc>
            <w:tc>
              <w:tcPr>
                <w:tcW w:w="2274" w:type="dxa"/>
                <w:vAlign w:val="center"/>
              </w:tcPr>
              <w:p>
                <w:pPr>
                  <w:jc w:val="right"/>
                  <w:rPr>
                    <w:rFonts w:ascii="宋体" w:hAnsi="宋体"/>
                  </w:rPr>
                </w:pPr>
                <w:r>
                  <w:rPr>
                    <w:rFonts w:ascii="宋体" w:hAnsi="宋体" w:hint="eastAsia"/>
                  </w:rPr>
                  <w:t>增加</w:t>
                </w:r>
                <w:r>
                  <w:rPr>
                    <w:rFonts w:ascii="宋体" w:hAnsi="宋体"/>
                  </w:rPr>
                  <w:t>7.96个百分点</w:t>
                </w:r>
              </w:p>
            </w:tc>
          </w:tr>
        </w:sdtContent>
      </w:sdt>
      <w:tr>
        <w:trPr>
          <w:jc w:val="center"/>
        </w:trPr>
        <w:sdt>
          <w:sdtPr>
            <w:rPr>
              <w:rFonts w:ascii="宋体" w:hAnsi="宋体"/>
              <w:sz w:val="20"/>
              <w:szCs w:val="20"/>
            </w:rPr>
            <w:tag w:val="_PLD_49258193d94b4f5fa47e482cd615784f"/>
            <w:id w:val="-126859752"/>
          </w:sdtPr>
          <w:sdtContent>
            <w:tc>
              <w:tcPr>
                <w:tcW w:w="10785" w:type="dxa"/>
                <w:gridSpan w:val="7"/>
                <w:vAlign w:val="center"/>
              </w:tcPr>
              <w:p>
                <w:pPr>
                  <w:jc w:val="center"/>
                  <w:rPr>
                    <w:rFonts w:ascii="宋体" w:hAnsi="宋体"/>
                  </w:rPr>
                </w:pPr>
                <w:r>
                  <w:rPr>
                    <w:rFonts w:ascii="宋体" w:hAnsi="宋体" w:hint="eastAsia"/>
                  </w:rPr>
                  <w:t>主营业务分产品情况</w:t>
                </w:r>
              </w:p>
            </w:tc>
          </w:sdtContent>
        </w:sdt>
      </w:tr>
      <w:tr>
        <w:trPr>
          <w:jc w:val="center"/>
        </w:trPr>
        <w:sdt>
          <w:sdtPr>
            <w:rPr>
              <w:rFonts w:ascii="宋体" w:hAnsi="宋体"/>
              <w:sz w:val="20"/>
              <w:szCs w:val="20"/>
            </w:rPr>
            <w:tag w:val="_PLD_1d72749a5d4248359cb1b92e381ef722"/>
            <w:id w:val="1302740000"/>
          </w:sdtPr>
          <w:sdtContent>
            <w:tc>
              <w:tcPr>
                <w:tcW w:w="2106" w:type="dxa"/>
                <w:vAlign w:val="center"/>
              </w:tcPr>
              <w:p>
                <w:pPr>
                  <w:pStyle w:val="aff9"/>
                  <w:ind w:firstLineChars="0" w:firstLine="0"/>
                  <w:jc w:val="center"/>
                  <w:rPr>
                    <w:rFonts w:ascii="宋体" w:hAnsi="宋体"/>
                    <w:szCs w:val="21"/>
                  </w:rPr>
                </w:pPr>
                <w:r>
                  <w:rPr>
                    <w:rFonts w:ascii="宋体" w:hAnsi="宋体" w:hint="eastAsia"/>
                    <w:szCs w:val="21"/>
                  </w:rPr>
                  <w:t>分产品</w:t>
                </w:r>
              </w:p>
            </w:tc>
          </w:sdtContent>
        </w:sdt>
        <w:sdt>
          <w:sdtPr>
            <w:rPr>
              <w:rFonts w:ascii="宋体" w:hAnsi="宋体"/>
              <w:sz w:val="20"/>
              <w:szCs w:val="20"/>
            </w:rPr>
            <w:tag w:val="_PLD_5e318ae25ee540258ffd6821c201e0af"/>
            <w:id w:val="-118915261"/>
          </w:sdtPr>
          <w:sdtContent>
            <w:tc>
              <w:tcPr>
                <w:tcW w:w="1391" w:type="dxa"/>
                <w:vAlign w:val="center"/>
              </w:tcPr>
              <w:p>
                <w:pPr>
                  <w:jc w:val="center"/>
                  <w:rPr>
                    <w:rFonts w:ascii="宋体" w:hAnsi="宋体"/>
                  </w:rPr>
                </w:pPr>
                <w:r>
                  <w:rPr>
                    <w:rFonts w:ascii="宋体" w:hAnsi="宋体" w:hint="eastAsia"/>
                  </w:rPr>
                  <w:t>营业收入</w:t>
                </w:r>
              </w:p>
            </w:tc>
          </w:sdtContent>
        </w:sdt>
        <w:sdt>
          <w:sdtPr>
            <w:rPr>
              <w:rFonts w:ascii="宋体" w:hAnsi="宋体"/>
              <w:sz w:val="20"/>
              <w:szCs w:val="20"/>
            </w:rPr>
            <w:tag w:val="_PLD_d7023b8e0b18494eaae569b7bcd4781f"/>
            <w:id w:val="-1870520495"/>
          </w:sdtPr>
          <w:sdtContent>
            <w:tc>
              <w:tcPr>
                <w:tcW w:w="1480" w:type="dxa"/>
                <w:vAlign w:val="center"/>
              </w:tcPr>
              <w:p>
                <w:pPr>
                  <w:jc w:val="center"/>
                  <w:rPr>
                    <w:rFonts w:ascii="宋体" w:hAnsi="宋体"/>
                  </w:rPr>
                </w:pPr>
                <w:r>
                  <w:rPr>
                    <w:rFonts w:ascii="宋体" w:hAnsi="宋体" w:hint="eastAsia"/>
                  </w:rPr>
                  <w:t>营业成本</w:t>
                </w:r>
              </w:p>
            </w:tc>
          </w:sdtContent>
        </w:sdt>
        <w:sdt>
          <w:sdtPr>
            <w:rPr>
              <w:rFonts w:ascii="宋体" w:hAnsi="宋体"/>
              <w:sz w:val="20"/>
              <w:szCs w:val="20"/>
            </w:rPr>
            <w:tag w:val="_PLD_c7e7c31f672744488b53ec34a4e0abde"/>
            <w:id w:val="-981232281"/>
          </w:sdtPr>
          <w:sdtContent>
            <w:tc>
              <w:tcPr>
                <w:tcW w:w="1236" w:type="dxa"/>
                <w:vAlign w:val="center"/>
              </w:tcPr>
              <w:p>
                <w:pPr>
                  <w:jc w:val="center"/>
                  <w:rPr>
                    <w:rFonts w:ascii="宋体" w:hAnsi="宋体"/>
                  </w:rPr>
                </w:pPr>
                <w:r>
                  <w:rPr>
                    <w:rFonts w:ascii="宋体" w:hAnsi="宋体" w:hint="eastAsia"/>
                  </w:rPr>
                  <w:t>毛利率（%）</w:t>
                </w:r>
              </w:p>
            </w:tc>
          </w:sdtContent>
        </w:sdt>
        <w:sdt>
          <w:sdtPr>
            <w:rPr>
              <w:rFonts w:ascii="宋体" w:hAnsi="宋体"/>
              <w:sz w:val="20"/>
              <w:szCs w:val="20"/>
            </w:rPr>
            <w:tag w:val="_PLD_0ca65e94b76d4933977b3fe13864caf2"/>
            <w:id w:val="46811519"/>
          </w:sdtPr>
          <w:sdtContent>
            <w:tc>
              <w:tcPr>
                <w:tcW w:w="1236" w:type="dxa"/>
                <w:vAlign w:val="center"/>
              </w:tcPr>
              <w:p>
                <w:pPr>
                  <w:jc w:val="center"/>
                  <w:rPr>
                    <w:rFonts w:ascii="宋体" w:hAnsi="宋体"/>
                  </w:rPr>
                </w:pPr>
                <w:r>
                  <w:rPr>
                    <w:rFonts w:ascii="宋体" w:hAnsi="宋体" w:hint="eastAsia"/>
                  </w:rPr>
                  <w:t>营业收入比上年增减（%）</w:t>
                </w:r>
              </w:p>
            </w:tc>
          </w:sdtContent>
        </w:sdt>
        <w:sdt>
          <w:sdtPr>
            <w:rPr>
              <w:rFonts w:ascii="宋体" w:hAnsi="宋体"/>
              <w:sz w:val="20"/>
              <w:szCs w:val="20"/>
            </w:rPr>
            <w:tag w:val="_PLD_0fcddf8af1ce40e3bbe0b8e78c8c2496"/>
            <w:id w:val="-412165783"/>
          </w:sdtPr>
          <w:sdtContent>
            <w:tc>
              <w:tcPr>
                <w:tcW w:w="1062" w:type="dxa"/>
                <w:vAlign w:val="center"/>
              </w:tcPr>
              <w:p>
                <w:pPr>
                  <w:jc w:val="center"/>
                  <w:rPr>
                    <w:rFonts w:ascii="宋体" w:hAnsi="宋体"/>
                  </w:rPr>
                </w:pPr>
                <w:r>
                  <w:rPr>
                    <w:rFonts w:ascii="宋体" w:hAnsi="宋体" w:hint="eastAsia"/>
                  </w:rPr>
                  <w:t>营业成本比上年增减（%）</w:t>
                </w:r>
              </w:p>
            </w:tc>
          </w:sdtContent>
        </w:sdt>
        <w:sdt>
          <w:sdtPr>
            <w:rPr>
              <w:rFonts w:ascii="宋体" w:hAnsi="宋体"/>
              <w:sz w:val="20"/>
              <w:szCs w:val="20"/>
            </w:rPr>
            <w:tag w:val="_PLD_fd695ef26ff948df8cd16c66ef5ffea9"/>
            <w:id w:val="176545848"/>
          </w:sdtPr>
          <w:sdtContent>
            <w:tc>
              <w:tcPr>
                <w:tcW w:w="2274" w:type="dxa"/>
                <w:vAlign w:val="center"/>
              </w:tcPr>
              <w:p>
                <w:pPr>
                  <w:jc w:val="center"/>
                  <w:rPr>
                    <w:rFonts w:ascii="宋体" w:hAnsi="宋体"/>
                  </w:rPr>
                </w:pPr>
                <w:r>
                  <w:rPr>
                    <w:rFonts w:ascii="宋体" w:hAnsi="宋体" w:hint="eastAsia"/>
                  </w:rPr>
                  <w:t>毛利率</w:t>
                </w:r>
                <w:r>
                  <w:rPr>
                    <w:rFonts w:ascii="宋体" w:hAnsi="宋体"/>
                  </w:rPr>
                  <w:t>比上年增减（</w:t>
                </w:r>
                <w:r>
                  <w:rPr>
                    <w:rFonts w:ascii="宋体" w:hAnsi="宋体" w:hint="eastAsia"/>
                  </w:rPr>
                  <w:t>%</w:t>
                </w:r>
                <w:r>
                  <w:rPr>
                    <w:rFonts w:ascii="宋体" w:hAnsi="宋体"/>
                  </w:rPr>
                  <w:t>）</w:t>
                </w:r>
              </w:p>
            </w:tc>
          </w:sdtContent>
        </w:sdt>
      </w:tr>
      <w:sdt>
        <w:sdtPr>
          <w:rPr>
            <w:rFonts w:ascii="宋体" w:hAnsi="宋体" w:cs="宋体"/>
            <w:kern w:val="0"/>
            <w:szCs w:val="21"/>
          </w:rPr>
          <w:alias w:val="董事会报告出具的分行业主营业务"/>
          <w:tag w:val="_TUP_fab3da88965048348763b19310ce503d"/>
          <w:id w:val="533770730"/>
          <w:placeholder>
            <w:docPart w:val="4FA70789C5ED4E2F9C571B86DA09C9F3"/>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1.煤炭业务</w:t>
                </w:r>
              </w:p>
            </w:tc>
            <w:tc>
              <w:tcPr>
                <w:tcW w:w="1391" w:type="dxa"/>
                <w:vAlign w:val="center"/>
              </w:tcPr>
              <w:p>
                <w:pPr>
                  <w:jc w:val="right"/>
                  <w:rPr>
                    <w:rFonts w:ascii="宋体" w:hAnsi="宋体"/>
                  </w:rPr>
                </w:pPr>
                <w:r>
                  <w:rPr>
                    <w:rFonts w:ascii="宋体" w:hAnsi="宋体" w:hint="eastAsia"/>
                  </w:rPr>
                  <w:t>88,666</w:t>
                </w:r>
              </w:p>
            </w:tc>
            <w:tc>
              <w:tcPr>
                <w:tcW w:w="1480" w:type="dxa"/>
                <w:vAlign w:val="center"/>
              </w:tcPr>
              <w:p>
                <w:pPr>
                  <w:jc w:val="right"/>
                  <w:rPr>
                    <w:rFonts w:ascii="宋体" w:hAnsi="宋体"/>
                  </w:rPr>
                </w:pPr>
                <w:r>
                  <w:rPr>
                    <w:rFonts w:ascii="宋体" w:hAnsi="宋体" w:hint="eastAsia"/>
                  </w:rPr>
                  <w:t>56,595</w:t>
                </w:r>
              </w:p>
            </w:tc>
            <w:tc>
              <w:tcPr>
                <w:tcW w:w="1236" w:type="dxa"/>
                <w:vAlign w:val="center"/>
              </w:tcPr>
              <w:p>
                <w:pPr>
                  <w:jc w:val="right"/>
                  <w:rPr>
                    <w:rFonts w:ascii="宋体" w:hAnsi="宋体"/>
                  </w:rPr>
                </w:pPr>
                <w:r>
                  <w:rPr>
                    <w:rFonts w:ascii="宋体" w:hAnsi="宋体" w:hint="eastAsia"/>
                  </w:rPr>
                  <w:t>36.17</w:t>
                </w:r>
              </w:p>
            </w:tc>
            <w:tc>
              <w:tcPr>
                <w:tcW w:w="1236" w:type="dxa"/>
                <w:vAlign w:val="center"/>
              </w:tcPr>
              <w:p>
                <w:pPr>
                  <w:jc w:val="right"/>
                  <w:rPr>
                    <w:rFonts w:ascii="宋体" w:hAnsi="宋体"/>
                  </w:rPr>
                </w:pPr>
                <w:r>
                  <w:rPr>
                    <w:rFonts w:ascii="宋体" w:hAnsi="宋体" w:hint="eastAsia"/>
                  </w:rPr>
                  <w:t>-17.23</w:t>
                </w:r>
              </w:p>
            </w:tc>
            <w:tc>
              <w:tcPr>
                <w:tcW w:w="1062" w:type="dxa"/>
                <w:vAlign w:val="center"/>
              </w:tcPr>
              <w:p>
                <w:pPr>
                  <w:jc w:val="right"/>
                  <w:rPr>
                    <w:rFonts w:ascii="宋体" w:hAnsi="宋体"/>
                  </w:rPr>
                </w:pPr>
                <w:r>
                  <w:rPr>
                    <w:rFonts w:ascii="宋体" w:hAnsi="宋体" w:hint="eastAsia"/>
                  </w:rPr>
                  <w:t>-4.35</w:t>
                </w:r>
              </w:p>
            </w:tc>
            <w:tc>
              <w:tcPr>
                <w:tcW w:w="2274" w:type="dxa"/>
                <w:vAlign w:val="center"/>
              </w:tcPr>
              <w:p>
                <w:pPr>
                  <w:jc w:val="right"/>
                  <w:rPr>
                    <w:rFonts w:ascii="宋体" w:hAnsi="宋体"/>
                  </w:rPr>
                </w:pPr>
                <w:r>
                  <w:rPr>
                    <w:rFonts w:ascii="宋体" w:hAnsi="宋体" w:hint="eastAsia"/>
                  </w:rPr>
                  <w:t>减少</w:t>
                </w:r>
                <w:r>
                  <w:rPr>
                    <w:rFonts w:ascii="宋体" w:hAnsi="宋体"/>
                  </w:rPr>
                  <w:t>8.60个百分点</w:t>
                </w:r>
              </w:p>
            </w:tc>
          </w:tr>
        </w:sdtContent>
      </w:sdt>
      <w:sdt>
        <w:sdtPr>
          <w:rPr>
            <w:rFonts w:ascii="宋体" w:hAnsi="宋体" w:cs="宋体"/>
            <w:kern w:val="0"/>
            <w:szCs w:val="21"/>
          </w:rPr>
          <w:alias w:val="董事会报告出具的分行业主营业务"/>
          <w:tag w:val="_TUP_fab3da88965048348763b19310ce503d"/>
          <w:id w:val="-1160391095"/>
          <w:placeholder>
            <w:docPart w:val="31CEF01F56124F588F0E01981FD6384B"/>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其中：自产煤业务</w:t>
                </w:r>
              </w:p>
            </w:tc>
            <w:tc>
              <w:tcPr>
                <w:tcW w:w="1391" w:type="dxa"/>
                <w:vAlign w:val="center"/>
              </w:tcPr>
              <w:p>
                <w:pPr>
                  <w:jc w:val="right"/>
                  <w:rPr>
                    <w:rFonts w:ascii="宋体" w:hAnsi="宋体"/>
                  </w:rPr>
                </w:pPr>
                <w:r>
                  <w:rPr>
                    <w:rFonts w:ascii="宋体" w:hAnsi="宋体" w:hint="eastAsia"/>
                  </w:rPr>
                  <w:t>84,755</w:t>
                </w:r>
              </w:p>
            </w:tc>
            <w:tc>
              <w:tcPr>
                <w:tcW w:w="1480" w:type="dxa"/>
                <w:vAlign w:val="center"/>
              </w:tcPr>
              <w:p>
                <w:pPr>
                  <w:jc w:val="right"/>
                  <w:rPr>
                    <w:rFonts w:ascii="宋体" w:hAnsi="宋体"/>
                  </w:rPr>
                </w:pPr>
                <w:r>
                  <w:rPr>
                    <w:rFonts w:ascii="宋体" w:hAnsi="宋体" w:hint="eastAsia"/>
                  </w:rPr>
                  <w:t>53,098</w:t>
                </w:r>
              </w:p>
            </w:tc>
            <w:tc>
              <w:tcPr>
                <w:tcW w:w="1236" w:type="dxa"/>
                <w:vAlign w:val="center"/>
              </w:tcPr>
              <w:p>
                <w:pPr>
                  <w:jc w:val="right"/>
                  <w:rPr>
                    <w:rFonts w:ascii="宋体" w:hAnsi="宋体"/>
                  </w:rPr>
                </w:pPr>
                <w:r>
                  <w:rPr>
                    <w:rFonts w:ascii="宋体" w:hAnsi="宋体" w:hint="eastAsia"/>
                  </w:rPr>
                  <w:t>37.35</w:t>
                </w:r>
              </w:p>
            </w:tc>
            <w:tc>
              <w:tcPr>
                <w:tcW w:w="1236" w:type="dxa"/>
                <w:vAlign w:val="center"/>
              </w:tcPr>
              <w:p>
                <w:pPr>
                  <w:jc w:val="right"/>
                  <w:rPr>
                    <w:rFonts w:ascii="宋体" w:hAnsi="宋体"/>
                  </w:rPr>
                </w:pPr>
                <w:r>
                  <w:rPr>
                    <w:rFonts w:ascii="宋体" w:hAnsi="宋体" w:hint="eastAsia"/>
                  </w:rPr>
                  <w:t>-15.79</w:t>
                </w:r>
              </w:p>
            </w:tc>
            <w:tc>
              <w:tcPr>
                <w:tcW w:w="1062" w:type="dxa"/>
                <w:vAlign w:val="center"/>
              </w:tcPr>
              <w:p>
                <w:pPr>
                  <w:jc w:val="right"/>
                  <w:rPr>
                    <w:rFonts w:ascii="宋体" w:hAnsi="宋体"/>
                  </w:rPr>
                </w:pPr>
                <w:r>
                  <w:rPr>
                    <w:rFonts w:ascii="宋体" w:hAnsi="宋体" w:hint="eastAsia"/>
                  </w:rPr>
                  <w:t>-0.16</w:t>
                </w:r>
              </w:p>
            </w:tc>
            <w:tc>
              <w:tcPr>
                <w:tcW w:w="2274" w:type="dxa"/>
                <w:vAlign w:val="center"/>
              </w:tcPr>
              <w:p>
                <w:pPr>
                  <w:jc w:val="right"/>
                  <w:rPr>
                    <w:rFonts w:ascii="宋体" w:hAnsi="宋体"/>
                  </w:rPr>
                </w:pPr>
                <w:r>
                  <w:rPr>
                    <w:rFonts w:ascii="宋体" w:hAnsi="宋体" w:hint="eastAsia"/>
                  </w:rPr>
                  <w:t>减少</w:t>
                </w:r>
                <w:r>
                  <w:rPr>
                    <w:rFonts w:ascii="宋体" w:hAnsi="宋体"/>
                  </w:rPr>
                  <w:t>9.81个百分点</w:t>
                </w:r>
              </w:p>
            </w:tc>
          </w:tr>
        </w:sdtContent>
      </w:sdt>
      <w:sdt>
        <w:sdtPr>
          <w:rPr>
            <w:rFonts w:ascii="宋体" w:hAnsi="宋体" w:cs="宋体"/>
            <w:kern w:val="0"/>
            <w:szCs w:val="21"/>
          </w:rPr>
          <w:alias w:val="董事会报告出具的分行业主营业务"/>
          <w:tag w:val="_TUP_fab3da88965048348763b19310ce503d"/>
          <w:id w:val="260339678"/>
          <w:placeholder>
            <w:docPart w:val="9664DE16AB7B4578BDC0298B74C8AD75"/>
          </w:placeholder>
        </w:sdtPr>
        <w:sdtEndPr>
          <w:rPr>
            <w:rFonts w:cs="Times New Roman"/>
            <w:color w:val="008000"/>
          </w:rPr>
        </w:sdtEndPr>
        <w:sdtContent>
          <w:tr>
            <w:trPr>
              <w:jc w:val="center"/>
            </w:trPr>
            <w:tc>
              <w:tcPr>
                <w:tcW w:w="2106" w:type="dxa"/>
                <w:vAlign w:val="center"/>
              </w:tcPr>
              <w:p>
                <w:pPr>
                  <w:pStyle w:val="aff9"/>
                  <w:ind w:firstLineChars="300" w:firstLine="630"/>
                  <w:jc w:val="left"/>
                  <w:rPr>
                    <w:rFonts w:ascii="宋体" w:hAnsi="宋体" w:cs="宋体"/>
                    <w:kern w:val="0"/>
                    <w:szCs w:val="21"/>
                  </w:rPr>
                </w:pPr>
                <w:r>
                  <w:rPr>
                    <w:rFonts w:ascii="宋体" w:hAnsi="宋体" w:hint="eastAsia"/>
                  </w:rPr>
                  <w:t>贸易煤业务</w:t>
                </w:r>
              </w:p>
            </w:tc>
            <w:tc>
              <w:tcPr>
                <w:tcW w:w="1391" w:type="dxa"/>
                <w:vAlign w:val="center"/>
              </w:tcPr>
              <w:p>
                <w:pPr>
                  <w:jc w:val="right"/>
                  <w:rPr>
                    <w:rFonts w:ascii="宋体" w:hAnsi="宋体"/>
                  </w:rPr>
                </w:pPr>
                <w:r>
                  <w:rPr>
                    <w:rFonts w:ascii="宋体" w:hAnsi="宋体" w:hint="eastAsia"/>
                  </w:rPr>
                  <w:t>3,911</w:t>
                </w:r>
              </w:p>
            </w:tc>
            <w:tc>
              <w:tcPr>
                <w:tcW w:w="1480" w:type="dxa"/>
                <w:vAlign w:val="center"/>
              </w:tcPr>
              <w:p>
                <w:pPr>
                  <w:jc w:val="right"/>
                  <w:rPr>
                    <w:rFonts w:ascii="宋体" w:hAnsi="宋体"/>
                  </w:rPr>
                </w:pPr>
                <w:r>
                  <w:rPr>
                    <w:rFonts w:ascii="宋体" w:hAnsi="宋体" w:hint="eastAsia"/>
                  </w:rPr>
                  <w:t>3,497</w:t>
                </w:r>
              </w:p>
            </w:tc>
            <w:tc>
              <w:tcPr>
                <w:tcW w:w="1236" w:type="dxa"/>
                <w:vAlign w:val="center"/>
              </w:tcPr>
              <w:p>
                <w:pPr>
                  <w:jc w:val="right"/>
                  <w:rPr>
                    <w:rFonts w:ascii="宋体" w:hAnsi="宋体"/>
                  </w:rPr>
                </w:pPr>
                <w:r>
                  <w:rPr>
                    <w:rFonts w:ascii="宋体" w:hAnsi="宋体" w:hint="eastAsia"/>
                  </w:rPr>
                  <w:t>10.59</w:t>
                </w:r>
              </w:p>
            </w:tc>
            <w:tc>
              <w:tcPr>
                <w:tcW w:w="1236" w:type="dxa"/>
                <w:vAlign w:val="center"/>
              </w:tcPr>
              <w:p>
                <w:pPr>
                  <w:jc w:val="right"/>
                  <w:rPr>
                    <w:rFonts w:ascii="宋体" w:hAnsi="宋体"/>
                  </w:rPr>
                </w:pPr>
                <w:r>
                  <w:rPr>
                    <w:rFonts w:ascii="宋体" w:hAnsi="宋体" w:hint="eastAsia"/>
                  </w:rPr>
                  <w:t>-39.65</w:t>
                </w:r>
              </w:p>
            </w:tc>
            <w:tc>
              <w:tcPr>
                <w:tcW w:w="1062" w:type="dxa"/>
                <w:vAlign w:val="center"/>
              </w:tcPr>
              <w:p>
                <w:pPr>
                  <w:jc w:val="right"/>
                  <w:rPr>
                    <w:rFonts w:ascii="宋体" w:hAnsi="宋体"/>
                  </w:rPr>
                </w:pPr>
                <w:r>
                  <w:rPr>
                    <w:rFonts w:ascii="宋体" w:hAnsi="宋体" w:hint="eastAsia"/>
                  </w:rPr>
                  <w:t>-41.59</w:t>
                </w:r>
              </w:p>
            </w:tc>
            <w:tc>
              <w:tcPr>
                <w:tcW w:w="2274" w:type="dxa"/>
                <w:vAlign w:val="center"/>
              </w:tcPr>
              <w:p>
                <w:pPr>
                  <w:jc w:val="right"/>
                  <w:rPr>
                    <w:rFonts w:ascii="宋体" w:hAnsi="宋体"/>
                  </w:rPr>
                </w:pPr>
                <w:r>
                  <w:rPr>
                    <w:rFonts w:ascii="宋体" w:hAnsi="宋体" w:hint="eastAsia"/>
                  </w:rPr>
                  <w:t>增加2.98个百分点</w:t>
                </w:r>
              </w:p>
            </w:tc>
          </w:tr>
        </w:sdtContent>
      </w:sdt>
      <w:sdt>
        <w:sdtPr>
          <w:rPr>
            <w:rFonts w:ascii="宋体" w:hAnsi="宋体" w:cs="宋体"/>
            <w:kern w:val="0"/>
            <w:szCs w:val="21"/>
          </w:rPr>
          <w:alias w:val="董事会报告出具的分行业主营业务"/>
          <w:tag w:val="_TUP_fab3da88965048348763b19310ce503d"/>
          <w:id w:val="-914545508"/>
          <w:placeholder>
            <w:docPart w:val="168D4D35AA3E477DB89C9923190E7F65"/>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2.煤化工业务</w:t>
                </w:r>
              </w:p>
            </w:tc>
            <w:tc>
              <w:tcPr>
                <w:tcW w:w="1391" w:type="dxa"/>
                <w:vAlign w:val="center"/>
              </w:tcPr>
              <w:p>
                <w:pPr>
                  <w:jc w:val="right"/>
                  <w:rPr>
                    <w:rFonts w:ascii="宋体" w:hAnsi="宋体"/>
                  </w:rPr>
                </w:pPr>
                <w:r>
                  <w:rPr>
                    <w:rFonts w:ascii="宋体" w:hAnsi="宋体" w:hint="eastAsia"/>
                  </w:rPr>
                  <w:t>24,293</w:t>
                </w:r>
              </w:p>
            </w:tc>
            <w:tc>
              <w:tcPr>
                <w:tcW w:w="1480" w:type="dxa"/>
                <w:vAlign w:val="center"/>
              </w:tcPr>
              <w:p>
                <w:pPr>
                  <w:jc w:val="right"/>
                  <w:rPr>
                    <w:rFonts w:ascii="宋体" w:hAnsi="宋体"/>
                  </w:rPr>
                </w:pPr>
                <w:r>
                  <w:rPr>
                    <w:rFonts w:ascii="宋体" w:hAnsi="宋体" w:hint="eastAsia"/>
                  </w:rPr>
                  <w:t>17,907</w:t>
                </w:r>
              </w:p>
            </w:tc>
            <w:tc>
              <w:tcPr>
                <w:tcW w:w="1236" w:type="dxa"/>
                <w:vAlign w:val="center"/>
              </w:tcPr>
              <w:p>
                <w:pPr>
                  <w:jc w:val="right"/>
                  <w:rPr>
                    <w:rFonts w:ascii="宋体" w:hAnsi="宋体"/>
                  </w:rPr>
                </w:pPr>
                <w:r>
                  <w:rPr>
                    <w:rFonts w:ascii="宋体" w:hAnsi="宋体" w:hint="eastAsia"/>
                  </w:rPr>
                  <w:t>26.29</w:t>
                </w:r>
              </w:p>
            </w:tc>
            <w:tc>
              <w:tcPr>
                <w:tcW w:w="1236" w:type="dxa"/>
                <w:vAlign w:val="center"/>
              </w:tcPr>
              <w:p>
                <w:pPr>
                  <w:jc w:val="right"/>
                  <w:rPr>
                    <w:rFonts w:ascii="宋体" w:hAnsi="宋体"/>
                  </w:rPr>
                </w:pPr>
                <w:r>
                  <w:rPr>
                    <w:rFonts w:ascii="宋体" w:hAnsi="宋体" w:hint="eastAsia"/>
                  </w:rPr>
                  <w:t>-5.84</w:t>
                </w:r>
              </w:p>
            </w:tc>
            <w:tc>
              <w:tcPr>
                <w:tcW w:w="1062" w:type="dxa"/>
                <w:vAlign w:val="center"/>
              </w:tcPr>
              <w:p>
                <w:pPr>
                  <w:jc w:val="right"/>
                  <w:rPr>
                    <w:rFonts w:ascii="宋体" w:hAnsi="宋体"/>
                  </w:rPr>
                </w:pPr>
                <w:r>
                  <w:rPr>
                    <w:rFonts w:ascii="宋体" w:hAnsi="宋体" w:hint="eastAsia"/>
                  </w:rPr>
                  <w:t>-11.99</w:t>
                </w:r>
              </w:p>
            </w:tc>
            <w:tc>
              <w:tcPr>
                <w:tcW w:w="2274" w:type="dxa"/>
                <w:vAlign w:val="center"/>
              </w:tcPr>
              <w:p>
                <w:pPr>
                  <w:jc w:val="right"/>
                  <w:rPr>
                    <w:rFonts w:ascii="宋体" w:hAnsi="宋体"/>
                  </w:rPr>
                </w:pPr>
                <w:r>
                  <w:rPr>
                    <w:rFonts w:ascii="宋体" w:hAnsi="宋体" w:hint="eastAsia"/>
                  </w:rPr>
                  <w:t>增加</w:t>
                </w:r>
                <w:r>
                  <w:rPr>
                    <w:rFonts w:ascii="宋体" w:hAnsi="宋体"/>
                  </w:rPr>
                  <w:t>5.15个百分点</w:t>
                </w:r>
              </w:p>
            </w:tc>
          </w:tr>
        </w:sdtContent>
      </w:sdt>
      <w:sdt>
        <w:sdtPr>
          <w:rPr>
            <w:rFonts w:ascii="宋体" w:hAnsi="宋体" w:cs="宋体"/>
            <w:kern w:val="0"/>
            <w:szCs w:val="21"/>
          </w:rPr>
          <w:alias w:val="董事会报告出具的分行业主营业务"/>
          <w:tag w:val="_TUP_fab3da88965048348763b19310ce503d"/>
          <w:id w:val="-820192917"/>
          <w:placeholder>
            <w:docPart w:val="973DA3EC161348F9B0318B26891FC2E4"/>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3.电力业务</w:t>
                </w:r>
              </w:p>
            </w:tc>
            <w:tc>
              <w:tcPr>
                <w:tcW w:w="1391" w:type="dxa"/>
                <w:vAlign w:val="center"/>
              </w:tcPr>
              <w:p>
                <w:pPr>
                  <w:jc w:val="right"/>
                  <w:rPr>
                    <w:rFonts w:ascii="宋体" w:hAnsi="宋体"/>
                  </w:rPr>
                </w:pPr>
                <w:r>
                  <w:rPr>
                    <w:rFonts w:ascii="宋体" w:hAnsi="宋体" w:hint="eastAsia"/>
                  </w:rPr>
                  <w:t>2,310</w:t>
                </w:r>
              </w:p>
            </w:tc>
            <w:tc>
              <w:tcPr>
                <w:tcW w:w="1480" w:type="dxa"/>
                <w:vAlign w:val="center"/>
              </w:tcPr>
              <w:p>
                <w:pPr>
                  <w:jc w:val="right"/>
                  <w:rPr>
                    <w:rFonts w:ascii="宋体" w:hAnsi="宋体"/>
                  </w:rPr>
                </w:pPr>
                <w:r>
                  <w:rPr>
                    <w:rFonts w:ascii="宋体" w:hAnsi="宋体" w:hint="eastAsia"/>
                  </w:rPr>
                  <w:t>1,861</w:t>
                </w:r>
              </w:p>
            </w:tc>
            <w:tc>
              <w:tcPr>
                <w:tcW w:w="1236" w:type="dxa"/>
                <w:vAlign w:val="center"/>
              </w:tcPr>
              <w:p>
                <w:pPr>
                  <w:jc w:val="right"/>
                  <w:rPr>
                    <w:rFonts w:ascii="宋体" w:hAnsi="宋体"/>
                  </w:rPr>
                </w:pPr>
                <w:r>
                  <w:rPr>
                    <w:rFonts w:ascii="宋体" w:hAnsi="宋体" w:hint="eastAsia"/>
                  </w:rPr>
                  <w:t>19.43</w:t>
                </w:r>
              </w:p>
            </w:tc>
            <w:tc>
              <w:tcPr>
                <w:tcW w:w="1236" w:type="dxa"/>
                <w:vAlign w:val="center"/>
              </w:tcPr>
              <w:p>
                <w:pPr>
                  <w:jc w:val="right"/>
                  <w:rPr>
                    <w:rFonts w:ascii="宋体" w:hAnsi="宋体"/>
                  </w:rPr>
                </w:pPr>
                <w:r>
                  <w:rPr>
                    <w:rFonts w:ascii="宋体" w:hAnsi="宋体" w:hint="eastAsia"/>
                  </w:rPr>
                  <w:t>-8.95</w:t>
                </w:r>
              </w:p>
            </w:tc>
            <w:tc>
              <w:tcPr>
                <w:tcW w:w="1062" w:type="dxa"/>
                <w:vAlign w:val="center"/>
              </w:tcPr>
              <w:p>
                <w:pPr>
                  <w:jc w:val="right"/>
                  <w:rPr>
                    <w:rFonts w:ascii="宋体" w:hAnsi="宋体"/>
                  </w:rPr>
                </w:pPr>
                <w:r>
                  <w:rPr>
                    <w:rFonts w:ascii="宋体" w:hAnsi="宋体" w:hint="eastAsia"/>
                  </w:rPr>
                  <w:t>-15.61</w:t>
                </w:r>
              </w:p>
            </w:tc>
            <w:tc>
              <w:tcPr>
                <w:tcW w:w="2274" w:type="dxa"/>
                <w:vAlign w:val="center"/>
              </w:tcPr>
              <w:p>
                <w:pPr>
                  <w:jc w:val="right"/>
                  <w:rPr>
                    <w:rFonts w:ascii="宋体" w:hAnsi="宋体"/>
                  </w:rPr>
                </w:pPr>
                <w:r>
                  <w:rPr>
                    <w:rFonts w:ascii="宋体" w:hAnsi="宋体" w:hint="eastAsia"/>
                  </w:rPr>
                  <w:t>增加</w:t>
                </w:r>
                <w:r>
                  <w:rPr>
                    <w:rFonts w:ascii="宋体" w:hAnsi="宋体"/>
                  </w:rPr>
                  <w:t>6.36个百分点</w:t>
                </w:r>
              </w:p>
            </w:tc>
          </w:tr>
        </w:sdtContent>
      </w:sdt>
      <w:sdt>
        <w:sdtPr>
          <w:rPr>
            <w:rFonts w:ascii="宋体" w:hAnsi="宋体" w:cs="宋体"/>
            <w:kern w:val="0"/>
            <w:szCs w:val="21"/>
          </w:rPr>
          <w:alias w:val="董事会报告出具的分行业主营业务"/>
          <w:tag w:val="_TUP_fab3da88965048348763b19310ce503d"/>
          <w:id w:val="960224511"/>
          <w:placeholder>
            <w:docPart w:val="42CB57C5F2734F3489323A4BCCC487B2"/>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4.物流运输</w:t>
                </w:r>
              </w:p>
            </w:tc>
            <w:tc>
              <w:tcPr>
                <w:tcW w:w="1391" w:type="dxa"/>
                <w:vAlign w:val="center"/>
              </w:tcPr>
              <w:p>
                <w:pPr>
                  <w:jc w:val="right"/>
                  <w:rPr>
                    <w:rFonts w:ascii="宋体" w:hAnsi="宋体"/>
                  </w:rPr>
                </w:pPr>
                <w:r>
                  <w:rPr>
                    <w:rFonts w:ascii="宋体" w:hAnsi="宋体"/>
                  </w:rPr>
                  <w:t>15,083</w:t>
                </w:r>
              </w:p>
            </w:tc>
            <w:tc>
              <w:tcPr>
                <w:tcW w:w="1480" w:type="dxa"/>
                <w:vAlign w:val="center"/>
              </w:tcPr>
              <w:p>
                <w:pPr>
                  <w:jc w:val="right"/>
                  <w:rPr>
                    <w:rFonts w:ascii="宋体" w:hAnsi="宋体"/>
                  </w:rPr>
                </w:pPr>
                <w:r>
                  <w:rPr>
                    <w:rFonts w:ascii="宋体" w:hAnsi="宋体"/>
                  </w:rPr>
                  <w:t>14,660</w:t>
                </w:r>
              </w:p>
            </w:tc>
            <w:tc>
              <w:tcPr>
                <w:tcW w:w="1236" w:type="dxa"/>
                <w:vAlign w:val="center"/>
              </w:tcPr>
              <w:p>
                <w:pPr>
                  <w:jc w:val="right"/>
                  <w:rPr>
                    <w:rFonts w:ascii="宋体" w:hAnsi="宋体"/>
                  </w:rPr>
                </w:pPr>
                <w:r>
                  <w:rPr>
                    <w:rFonts w:ascii="宋体" w:hAnsi="宋体"/>
                  </w:rPr>
                  <w:t xml:space="preserve">2.80 </w:t>
                </w:r>
              </w:p>
            </w:tc>
            <w:tc>
              <w:tcPr>
                <w:tcW w:w="1236" w:type="dxa"/>
                <w:vAlign w:val="center"/>
              </w:tcPr>
              <w:p>
                <w:pPr>
                  <w:jc w:val="right"/>
                  <w:rPr>
                    <w:rFonts w:ascii="宋体" w:hAnsi="宋体"/>
                  </w:rPr>
                </w:pPr>
                <w:r>
                  <w:rPr>
                    <w:rFonts w:ascii="宋体" w:hAnsi="宋体"/>
                  </w:rPr>
                  <w:t xml:space="preserve">361.09 </w:t>
                </w:r>
              </w:p>
            </w:tc>
            <w:tc>
              <w:tcPr>
                <w:tcW w:w="1062" w:type="dxa"/>
                <w:vAlign w:val="center"/>
              </w:tcPr>
              <w:p>
                <w:pPr>
                  <w:jc w:val="right"/>
                  <w:rPr>
                    <w:rFonts w:ascii="宋体" w:hAnsi="宋体"/>
                  </w:rPr>
                </w:pPr>
                <w:r>
                  <w:rPr>
                    <w:rFonts w:ascii="宋体" w:hAnsi="宋体"/>
                  </w:rPr>
                  <w:t xml:space="preserve">426.97 </w:t>
                </w:r>
              </w:p>
            </w:tc>
            <w:tc>
              <w:tcPr>
                <w:tcW w:w="2274" w:type="dxa"/>
                <w:vAlign w:val="center"/>
              </w:tcPr>
              <w:p>
                <w:pPr>
                  <w:jc w:val="right"/>
                  <w:rPr>
                    <w:rFonts w:ascii="宋体" w:hAnsi="宋体"/>
                  </w:rPr>
                </w:pPr>
                <w:r>
                  <w:rPr>
                    <w:rFonts w:ascii="宋体" w:hAnsi="宋体" w:hint="eastAsia"/>
                  </w:rPr>
                  <w:t>减少</w:t>
                </w:r>
                <w:r>
                  <w:rPr>
                    <w:rFonts w:ascii="宋体" w:hAnsi="宋体"/>
                  </w:rPr>
                  <w:t>12.15个百分点</w:t>
                </w:r>
              </w:p>
            </w:tc>
          </w:tr>
        </w:sdtContent>
      </w:sdt>
      <w:sdt>
        <w:sdtPr>
          <w:rPr>
            <w:rFonts w:ascii="宋体" w:hAnsi="宋体" w:cs="宋体"/>
            <w:kern w:val="0"/>
            <w:szCs w:val="21"/>
          </w:rPr>
          <w:alias w:val="董事会报告出具的分行业主营业务"/>
          <w:tag w:val="_TUP_fab3da88965048348763b19310ce503d"/>
          <w:id w:val="-1684504790"/>
          <w:placeholder>
            <w:docPart w:val="CC545DE1E2364DDB82EFED33B4617352"/>
          </w:placeholder>
        </w:sdtPr>
        <w:sdtEndPr>
          <w:rPr>
            <w:rFonts w:cs="Times New Roman"/>
            <w:color w:val="008000"/>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hint="eastAsia"/>
                  </w:rPr>
                  <w:t>5.其他业务</w:t>
                </w:r>
              </w:p>
            </w:tc>
            <w:tc>
              <w:tcPr>
                <w:tcW w:w="1391" w:type="dxa"/>
                <w:vAlign w:val="center"/>
              </w:tcPr>
              <w:p>
                <w:pPr>
                  <w:jc w:val="right"/>
                  <w:rPr>
                    <w:rFonts w:ascii="宋体" w:hAnsi="宋体"/>
                  </w:rPr>
                </w:pPr>
                <w:r>
                  <w:rPr>
                    <w:rFonts w:ascii="宋体" w:hAnsi="宋体"/>
                  </w:rPr>
                  <w:t>2,989</w:t>
                </w:r>
              </w:p>
            </w:tc>
            <w:tc>
              <w:tcPr>
                <w:tcW w:w="1480" w:type="dxa"/>
                <w:vAlign w:val="center"/>
              </w:tcPr>
              <w:p>
                <w:pPr>
                  <w:jc w:val="right"/>
                  <w:rPr>
                    <w:rFonts w:ascii="宋体" w:hAnsi="宋体"/>
                  </w:rPr>
                </w:pPr>
                <w:r>
                  <w:rPr>
                    <w:rFonts w:ascii="宋体" w:hAnsi="宋体"/>
                  </w:rPr>
                  <w:t>2,470</w:t>
                </w:r>
              </w:p>
            </w:tc>
            <w:tc>
              <w:tcPr>
                <w:tcW w:w="1236" w:type="dxa"/>
                <w:vAlign w:val="center"/>
              </w:tcPr>
              <w:p>
                <w:pPr>
                  <w:jc w:val="right"/>
                  <w:rPr>
                    <w:rFonts w:ascii="宋体" w:hAnsi="宋体"/>
                  </w:rPr>
                </w:pPr>
                <w:r>
                  <w:rPr>
                    <w:rFonts w:ascii="宋体" w:hAnsi="宋体"/>
                  </w:rPr>
                  <w:t xml:space="preserve">17.36 </w:t>
                </w:r>
              </w:p>
            </w:tc>
            <w:tc>
              <w:tcPr>
                <w:tcW w:w="1236" w:type="dxa"/>
                <w:vAlign w:val="center"/>
              </w:tcPr>
              <w:p>
                <w:pPr>
                  <w:jc w:val="right"/>
                  <w:rPr>
                    <w:rFonts w:ascii="宋体" w:hAnsi="宋体"/>
                  </w:rPr>
                </w:pPr>
                <w:r>
                  <w:rPr>
                    <w:rFonts w:ascii="宋体" w:hAnsi="宋体"/>
                  </w:rPr>
                  <w:t xml:space="preserve">23.90 </w:t>
                </w:r>
              </w:p>
            </w:tc>
            <w:tc>
              <w:tcPr>
                <w:tcW w:w="1062" w:type="dxa"/>
                <w:vAlign w:val="center"/>
              </w:tcPr>
              <w:p>
                <w:pPr>
                  <w:jc w:val="right"/>
                  <w:rPr>
                    <w:rFonts w:ascii="宋体" w:hAnsi="宋体"/>
                  </w:rPr>
                </w:pPr>
                <w:r>
                  <w:rPr>
                    <w:rFonts w:ascii="宋体" w:hAnsi="宋体"/>
                  </w:rPr>
                  <w:t xml:space="preserve">13.01 </w:t>
                </w:r>
              </w:p>
            </w:tc>
            <w:tc>
              <w:tcPr>
                <w:tcW w:w="2274" w:type="dxa"/>
                <w:vAlign w:val="center"/>
              </w:tcPr>
              <w:p>
                <w:pPr>
                  <w:jc w:val="right"/>
                  <w:rPr>
                    <w:rFonts w:ascii="宋体" w:hAnsi="宋体"/>
                  </w:rPr>
                </w:pPr>
                <w:r>
                  <w:rPr>
                    <w:rFonts w:ascii="宋体" w:hAnsi="宋体" w:hint="eastAsia"/>
                  </w:rPr>
                  <w:t>增加</w:t>
                </w:r>
                <w:r>
                  <w:rPr>
                    <w:rFonts w:ascii="宋体" w:hAnsi="宋体"/>
                  </w:rPr>
                  <w:t>7.96个百分点</w:t>
                </w:r>
              </w:p>
            </w:tc>
          </w:tr>
        </w:sdtContent>
      </w:sdt>
      <w:tr>
        <w:trPr>
          <w:jc w:val="center"/>
        </w:trPr>
        <w:sdt>
          <w:sdtPr>
            <w:rPr>
              <w:rFonts w:ascii="宋体" w:hAnsi="宋体"/>
              <w:sz w:val="20"/>
              <w:szCs w:val="20"/>
            </w:rPr>
            <w:tag w:val="_PLD_fe4b98c3f70c495d9eb9797ce0f7b5f6"/>
            <w:id w:val="-1035811093"/>
          </w:sdtPr>
          <w:sdtContent>
            <w:tc>
              <w:tcPr>
                <w:tcW w:w="10785" w:type="dxa"/>
                <w:gridSpan w:val="7"/>
                <w:vAlign w:val="center"/>
              </w:tcPr>
              <w:p>
                <w:pPr>
                  <w:jc w:val="center"/>
                  <w:rPr>
                    <w:rFonts w:ascii="宋体" w:hAnsi="宋体"/>
                  </w:rPr>
                </w:pPr>
                <w:r>
                  <w:rPr>
                    <w:rFonts w:ascii="宋体" w:hAnsi="宋体" w:hint="eastAsia"/>
                  </w:rPr>
                  <w:t>主营业务分地区情况</w:t>
                </w:r>
              </w:p>
            </w:tc>
          </w:sdtContent>
        </w:sdt>
      </w:tr>
      <w:tr>
        <w:trPr>
          <w:jc w:val="center"/>
        </w:trPr>
        <w:sdt>
          <w:sdtPr>
            <w:rPr>
              <w:rFonts w:ascii="宋体" w:hAnsi="宋体"/>
              <w:sz w:val="20"/>
              <w:szCs w:val="20"/>
            </w:rPr>
            <w:tag w:val="_PLD_88d8ea3d867f4a97a5a66d059c2a507e"/>
            <w:id w:val="-1846387078"/>
          </w:sdtPr>
          <w:sdtContent>
            <w:tc>
              <w:tcPr>
                <w:tcW w:w="2106" w:type="dxa"/>
                <w:vAlign w:val="center"/>
              </w:tcPr>
              <w:p>
                <w:pPr>
                  <w:jc w:val="center"/>
                  <w:rPr>
                    <w:rFonts w:ascii="宋体" w:hAnsi="宋体"/>
                  </w:rPr>
                </w:pPr>
                <w:r>
                  <w:rPr>
                    <w:rFonts w:ascii="宋体" w:hAnsi="宋体" w:hint="eastAsia"/>
                  </w:rPr>
                  <w:t>分地区</w:t>
                </w:r>
              </w:p>
            </w:tc>
          </w:sdtContent>
        </w:sdt>
        <w:sdt>
          <w:sdtPr>
            <w:rPr>
              <w:rFonts w:ascii="宋体" w:hAnsi="宋体"/>
              <w:sz w:val="20"/>
              <w:szCs w:val="20"/>
            </w:rPr>
            <w:tag w:val="_PLD_d960c947c6424e2a87acbd6f4d534b0a"/>
            <w:id w:val="-1230227885"/>
          </w:sdtPr>
          <w:sdtContent>
            <w:tc>
              <w:tcPr>
                <w:tcW w:w="1391" w:type="dxa"/>
                <w:vAlign w:val="center"/>
              </w:tcPr>
              <w:p>
                <w:pPr>
                  <w:jc w:val="center"/>
                  <w:rPr>
                    <w:rFonts w:ascii="宋体" w:hAnsi="宋体"/>
                  </w:rPr>
                </w:pPr>
                <w:r>
                  <w:rPr>
                    <w:rFonts w:ascii="宋体" w:hAnsi="宋体" w:hint="eastAsia"/>
                  </w:rPr>
                  <w:t>营业收入</w:t>
                </w:r>
              </w:p>
            </w:tc>
          </w:sdtContent>
        </w:sdt>
        <w:sdt>
          <w:sdtPr>
            <w:rPr>
              <w:rFonts w:ascii="宋体" w:hAnsi="宋体"/>
              <w:sz w:val="20"/>
              <w:szCs w:val="20"/>
            </w:rPr>
            <w:tag w:val="_PLD_0cab657ed1664cda8d161069df0d4ffe"/>
            <w:id w:val="1388146875"/>
          </w:sdtPr>
          <w:sdtContent>
            <w:tc>
              <w:tcPr>
                <w:tcW w:w="1480" w:type="dxa"/>
                <w:vAlign w:val="center"/>
              </w:tcPr>
              <w:p>
                <w:pPr>
                  <w:jc w:val="center"/>
                  <w:rPr>
                    <w:rFonts w:ascii="宋体" w:hAnsi="宋体"/>
                  </w:rPr>
                </w:pPr>
                <w:r>
                  <w:rPr>
                    <w:rFonts w:ascii="宋体" w:hAnsi="宋体" w:hint="eastAsia"/>
                  </w:rPr>
                  <w:t>营业成本</w:t>
                </w:r>
              </w:p>
            </w:tc>
          </w:sdtContent>
        </w:sdt>
        <w:sdt>
          <w:sdtPr>
            <w:rPr>
              <w:rFonts w:ascii="宋体" w:hAnsi="宋体"/>
              <w:sz w:val="20"/>
              <w:szCs w:val="20"/>
            </w:rPr>
            <w:tag w:val="_PLD_de52f565c0c94f5f8930a8d275890566"/>
            <w:id w:val="74867742"/>
          </w:sdtPr>
          <w:sdtContent>
            <w:tc>
              <w:tcPr>
                <w:tcW w:w="1236" w:type="dxa"/>
                <w:vAlign w:val="center"/>
              </w:tcPr>
              <w:p>
                <w:pPr>
                  <w:jc w:val="center"/>
                  <w:rPr>
                    <w:rFonts w:ascii="宋体" w:hAnsi="宋体"/>
                  </w:rPr>
                </w:pPr>
                <w:r>
                  <w:rPr>
                    <w:rFonts w:ascii="宋体" w:hAnsi="宋体" w:hint="eastAsia"/>
                  </w:rPr>
                  <w:t>毛利率（%）</w:t>
                </w:r>
              </w:p>
            </w:tc>
          </w:sdtContent>
        </w:sdt>
        <w:sdt>
          <w:sdtPr>
            <w:rPr>
              <w:rFonts w:ascii="宋体" w:hAnsi="宋体"/>
              <w:sz w:val="20"/>
              <w:szCs w:val="20"/>
            </w:rPr>
            <w:tag w:val="_PLD_66acbff90fbb46ac8fc6c5840a2a1352"/>
            <w:id w:val="1004007009"/>
          </w:sdtPr>
          <w:sdtContent>
            <w:tc>
              <w:tcPr>
                <w:tcW w:w="1236" w:type="dxa"/>
                <w:vAlign w:val="center"/>
              </w:tcPr>
              <w:p>
                <w:pPr>
                  <w:jc w:val="center"/>
                  <w:rPr>
                    <w:rFonts w:ascii="宋体" w:hAnsi="宋体"/>
                  </w:rPr>
                </w:pPr>
                <w:r>
                  <w:rPr>
                    <w:rFonts w:ascii="宋体" w:hAnsi="宋体" w:hint="eastAsia"/>
                  </w:rPr>
                  <w:t>营业收入比上年增减（%）</w:t>
                </w:r>
              </w:p>
            </w:tc>
          </w:sdtContent>
        </w:sdt>
        <w:sdt>
          <w:sdtPr>
            <w:rPr>
              <w:rFonts w:ascii="宋体" w:hAnsi="宋体"/>
              <w:sz w:val="20"/>
              <w:szCs w:val="20"/>
            </w:rPr>
            <w:tag w:val="_PLD_24222e0fb06f4b87bb8e6a25bfc923a9"/>
            <w:id w:val="1894780897"/>
          </w:sdtPr>
          <w:sdtContent>
            <w:tc>
              <w:tcPr>
                <w:tcW w:w="1062" w:type="dxa"/>
                <w:vAlign w:val="center"/>
              </w:tcPr>
              <w:p>
                <w:pPr>
                  <w:jc w:val="center"/>
                  <w:rPr>
                    <w:rFonts w:ascii="宋体" w:hAnsi="宋体"/>
                  </w:rPr>
                </w:pPr>
                <w:r>
                  <w:rPr>
                    <w:rFonts w:ascii="宋体" w:hAnsi="宋体" w:hint="eastAsia"/>
                  </w:rPr>
                  <w:t>营业成本比上年增减（%）</w:t>
                </w:r>
              </w:p>
            </w:tc>
          </w:sdtContent>
        </w:sdt>
        <w:sdt>
          <w:sdtPr>
            <w:rPr>
              <w:rFonts w:ascii="宋体" w:hAnsi="宋体"/>
              <w:sz w:val="20"/>
              <w:szCs w:val="20"/>
            </w:rPr>
            <w:tag w:val="_PLD_055160da443c4e4a8c520dbbde5baec3"/>
            <w:id w:val="-2065554294"/>
          </w:sdtPr>
          <w:sdtContent>
            <w:tc>
              <w:tcPr>
                <w:tcW w:w="2274" w:type="dxa"/>
                <w:vAlign w:val="center"/>
              </w:tcPr>
              <w:p>
                <w:pPr>
                  <w:jc w:val="center"/>
                  <w:rPr>
                    <w:rFonts w:ascii="宋体" w:hAnsi="宋体"/>
                  </w:rPr>
                </w:pPr>
                <w:r>
                  <w:rPr>
                    <w:rFonts w:ascii="宋体" w:hAnsi="宋体" w:hint="eastAsia"/>
                  </w:rPr>
                  <w:t>毛利率</w:t>
                </w:r>
                <w:r>
                  <w:rPr>
                    <w:rFonts w:ascii="宋体" w:hAnsi="宋体"/>
                  </w:rPr>
                  <w:t>比上年增减（</w:t>
                </w:r>
                <w:r>
                  <w:rPr>
                    <w:rFonts w:ascii="宋体" w:hAnsi="宋体" w:hint="eastAsia"/>
                  </w:rPr>
                  <w:t>%</w:t>
                </w:r>
                <w:r>
                  <w:rPr>
                    <w:rFonts w:ascii="宋体" w:hAnsi="宋体"/>
                  </w:rPr>
                  <w:t>）</w:t>
                </w:r>
              </w:p>
            </w:tc>
          </w:sdtContent>
        </w:sdt>
      </w:tr>
      <w:sdt>
        <w:sdtPr>
          <w:rPr>
            <w:rFonts w:ascii="宋体" w:hAnsi="宋体" w:cs="宋体" w:hint="eastAsia"/>
            <w:kern w:val="0"/>
            <w:szCs w:val="21"/>
          </w:rPr>
          <w:alias w:val="董事会报告出具的分地区主营业务"/>
          <w:tag w:val="_TUP_0f1c163f212246d99030500182c6a741"/>
          <w:id w:val="476030830"/>
          <w:placeholder>
            <w:docPart w:val="3D69895F28214ECAA84C052A60A3E16E"/>
          </w:placeholder>
        </w:sdtPr>
        <w:sdtEndPr>
          <w:rPr>
            <w:rFonts w:cs="Times New Roman"/>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cs="宋体" w:hint="eastAsia"/>
                    <w:kern w:val="0"/>
                    <w:szCs w:val="21"/>
                  </w:rPr>
                  <w:t>国内</w:t>
                </w:r>
              </w:p>
            </w:tc>
            <w:tc>
              <w:tcPr>
                <w:tcW w:w="1391" w:type="dxa"/>
                <w:vAlign w:val="center"/>
              </w:tcPr>
              <w:p>
                <w:pPr>
                  <w:jc w:val="right"/>
                  <w:rPr>
                    <w:rFonts w:ascii="宋体" w:hAnsi="宋体"/>
                  </w:rPr>
                </w:pPr>
                <w:r>
                  <w:rPr>
                    <w:rFonts w:ascii="宋体" w:hAnsi="宋体"/>
                  </w:rPr>
                  <w:t>102,633</w:t>
                </w:r>
              </w:p>
            </w:tc>
            <w:tc>
              <w:tcPr>
                <w:tcW w:w="1480" w:type="dxa"/>
                <w:vAlign w:val="center"/>
              </w:tcPr>
              <w:p>
                <w:pPr>
                  <w:jc w:val="right"/>
                  <w:rPr>
                    <w:rFonts w:ascii="宋体" w:hAnsi="宋体"/>
                  </w:rPr>
                </w:pPr>
                <w:r>
                  <w:rPr>
                    <w:rFonts w:ascii="宋体" w:hAnsi="宋体"/>
                  </w:rPr>
                  <w:t>70,275</w:t>
                </w:r>
              </w:p>
            </w:tc>
            <w:tc>
              <w:tcPr>
                <w:tcW w:w="1236" w:type="dxa"/>
                <w:vAlign w:val="center"/>
              </w:tcPr>
              <w:p>
                <w:pPr>
                  <w:jc w:val="right"/>
                  <w:rPr>
                    <w:rFonts w:ascii="宋体" w:hAnsi="宋体"/>
                  </w:rPr>
                </w:pPr>
                <w:r>
                  <w:rPr>
                    <w:rFonts w:ascii="宋体" w:hAnsi="宋体"/>
                  </w:rPr>
                  <w:t xml:space="preserve">31.53 </w:t>
                </w:r>
              </w:p>
            </w:tc>
            <w:tc>
              <w:tcPr>
                <w:tcW w:w="1236" w:type="dxa"/>
                <w:vAlign w:val="center"/>
              </w:tcPr>
              <w:p>
                <w:pPr>
                  <w:jc w:val="right"/>
                  <w:rPr>
                    <w:rFonts w:ascii="宋体" w:hAnsi="宋体"/>
                  </w:rPr>
                </w:pPr>
                <w:r>
                  <w:rPr>
                    <w:rFonts w:ascii="宋体" w:hAnsi="宋体"/>
                  </w:rPr>
                  <w:t xml:space="preserve">-2.69 </w:t>
                </w:r>
              </w:p>
            </w:tc>
            <w:tc>
              <w:tcPr>
                <w:tcW w:w="1062" w:type="dxa"/>
                <w:vAlign w:val="center"/>
              </w:tcPr>
              <w:p>
                <w:pPr>
                  <w:jc w:val="right"/>
                  <w:rPr>
                    <w:rFonts w:ascii="宋体" w:hAnsi="宋体"/>
                  </w:rPr>
                </w:pPr>
                <w:r>
                  <w:rPr>
                    <w:rFonts w:ascii="宋体" w:hAnsi="宋体"/>
                  </w:rPr>
                  <w:t xml:space="preserve">10.52 </w:t>
                </w:r>
              </w:p>
            </w:tc>
            <w:tc>
              <w:tcPr>
                <w:tcW w:w="2274" w:type="dxa"/>
                <w:vAlign w:val="center"/>
              </w:tcPr>
              <w:p>
                <w:pPr>
                  <w:jc w:val="right"/>
                  <w:rPr>
                    <w:rFonts w:ascii="宋体" w:hAnsi="宋体"/>
                  </w:rPr>
                </w:pPr>
                <w:r>
                  <w:rPr>
                    <w:rFonts w:ascii="宋体" w:hAnsi="宋体" w:hint="eastAsia"/>
                  </w:rPr>
                  <w:t>减少</w:t>
                </w:r>
                <w:r>
                  <w:rPr>
                    <w:rFonts w:ascii="宋体" w:hAnsi="宋体"/>
                  </w:rPr>
                  <w:t>8.18个百分点</w:t>
                </w:r>
              </w:p>
            </w:tc>
          </w:tr>
        </w:sdtContent>
      </w:sdt>
      <w:sdt>
        <w:sdtPr>
          <w:rPr>
            <w:rFonts w:ascii="宋体" w:hAnsi="宋体" w:cs="宋体" w:hint="eastAsia"/>
            <w:kern w:val="0"/>
            <w:szCs w:val="21"/>
          </w:rPr>
          <w:alias w:val="董事会报告出具的分地区主营业务"/>
          <w:tag w:val="_TUP_0f1c163f212246d99030500182c6a741"/>
          <w:id w:val="2138211792"/>
          <w:placeholder>
            <w:docPart w:val="32E44CA5D53348F084595A0A4755BDB1"/>
          </w:placeholder>
        </w:sdtPr>
        <w:sdtEndPr>
          <w:rPr>
            <w:rFonts w:cs="Times New Roman"/>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cs="宋体" w:hint="eastAsia"/>
                    <w:kern w:val="0"/>
                    <w:szCs w:val="21"/>
                  </w:rPr>
                  <w:t>国外</w:t>
                </w:r>
              </w:p>
            </w:tc>
            <w:tc>
              <w:tcPr>
                <w:tcW w:w="1391" w:type="dxa"/>
                <w:vAlign w:val="center"/>
              </w:tcPr>
              <w:p>
                <w:pPr>
                  <w:jc w:val="right"/>
                  <w:rPr>
                    <w:rFonts w:ascii="宋体" w:hAnsi="宋体"/>
                  </w:rPr>
                </w:pPr>
                <w:r>
                  <w:rPr>
                    <w:rFonts w:ascii="宋体" w:hAnsi="宋体"/>
                  </w:rPr>
                  <w:t>30,708</w:t>
                </w:r>
              </w:p>
            </w:tc>
            <w:tc>
              <w:tcPr>
                <w:tcW w:w="1480" w:type="dxa"/>
                <w:vAlign w:val="center"/>
              </w:tcPr>
              <w:p>
                <w:pPr>
                  <w:jc w:val="right"/>
                  <w:rPr>
                    <w:rFonts w:ascii="宋体" w:hAnsi="宋体"/>
                  </w:rPr>
                </w:pPr>
                <w:r>
                  <w:rPr>
                    <w:rFonts w:ascii="宋体" w:hAnsi="宋体"/>
                  </w:rPr>
                  <w:t>23,218</w:t>
                </w:r>
              </w:p>
            </w:tc>
            <w:tc>
              <w:tcPr>
                <w:tcW w:w="1236" w:type="dxa"/>
                <w:vAlign w:val="center"/>
              </w:tcPr>
              <w:p>
                <w:pPr>
                  <w:jc w:val="right"/>
                  <w:rPr>
                    <w:rFonts w:ascii="宋体" w:hAnsi="宋体"/>
                  </w:rPr>
                </w:pPr>
                <w:r>
                  <w:rPr>
                    <w:rFonts w:ascii="宋体" w:hAnsi="宋体"/>
                  </w:rPr>
                  <w:t xml:space="preserve">24.39 </w:t>
                </w:r>
              </w:p>
            </w:tc>
            <w:tc>
              <w:tcPr>
                <w:tcW w:w="1236" w:type="dxa"/>
                <w:vAlign w:val="center"/>
              </w:tcPr>
              <w:p>
                <w:pPr>
                  <w:jc w:val="right"/>
                  <w:rPr>
                    <w:rFonts w:ascii="宋体" w:hAnsi="宋体"/>
                  </w:rPr>
                </w:pPr>
                <w:r>
                  <w:rPr>
                    <w:rFonts w:ascii="宋体" w:hAnsi="宋体"/>
                  </w:rPr>
                  <w:t xml:space="preserve">-13.93 </w:t>
                </w:r>
              </w:p>
            </w:tc>
            <w:tc>
              <w:tcPr>
                <w:tcW w:w="1062" w:type="dxa"/>
                <w:vAlign w:val="center"/>
              </w:tcPr>
              <w:p>
                <w:pPr>
                  <w:jc w:val="right"/>
                  <w:rPr>
                    <w:rFonts w:ascii="宋体" w:hAnsi="宋体"/>
                  </w:rPr>
                </w:pPr>
                <w:r>
                  <w:rPr>
                    <w:rFonts w:ascii="宋体" w:hAnsi="宋体"/>
                  </w:rPr>
                  <w:t xml:space="preserve">0.49 </w:t>
                </w:r>
              </w:p>
            </w:tc>
            <w:tc>
              <w:tcPr>
                <w:tcW w:w="2274" w:type="dxa"/>
                <w:vAlign w:val="center"/>
              </w:tcPr>
              <w:p>
                <w:pPr>
                  <w:jc w:val="right"/>
                  <w:rPr>
                    <w:rFonts w:ascii="宋体" w:hAnsi="宋体"/>
                  </w:rPr>
                </w:pPr>
                <w:r>
                  <w:rPr>
                    <w:rFonts w:ascii="宋体" w:hAnsi="宋体" w:hint="eastAsia"/>
                  </w:rPr>
                  <w:t>减少</w:t>
                </w:r>
                <w:r>
                  <w:rPr>
                    <w:rFonts w:ascii="宋体" w:hAnsi="宋体"/>
                  </w:rPr>
                  <w:t>10.85个百分点</w:t>
                </w:r>
              </w:p>
            </w:tc>
          </w:tr>
        </w:sdtContent>
      </w:sdt>
      <w:tr>
        <w:trPr>
          <w:jc w:val="center"/>
        </w:trPr>
        <w:tc>
          <w:tcPr>
            <w:tcW w:w="10785" w:type="dxa"/>
            <w:gridSpan w:val="7"/>
            <w:vAlign w:val="center"/>
          </w:tcPr>
          <w:p>
            <w:pPr>
              <w:jc w:val="center"/>
              <w:rPr>
                <w:rFonts w:ascii="宋体" w:hAnsi="宋体"/>
              </w:rPr>
            </w:pPr>
            <w:sdt>
              <w:sdtPr>
                <w:rPr>
                  <w:rFonts w:ascii="宋体" w:hAnsi="宋体"/>
                </w:rPr>
                <w:tag w:val="_PLD_4be57b876a364ef5aee49673f139ef4a"/>
                <w:id w:val="-836225319"/>
              </w:sdtPr>
              <w:sdtContent>
                <w:r>
                  <w:rPr>
                    <w:rFonts w:ascii="宋体" w:hAnsi="宋体" w:hint="eastAsia"/>
                  </w:rPr>
                  <w:t>主营业务分销售模式情况</w:t>
                </w:r>
              </w:sdtContent>
            </w:sdt>
          </w:p>
        </w:tc>
      </w:tr>
      <w:tr>
        <w:trPr>
          <w:jc w:val="center"/>
        </w:trPr>
        <w:sdt>
          <w:sdtPr>
            <w:rPr>
              <w:rFonts w:ascii="宋体" w:hAnsi="宋体"/>
              <w:sz w:val="20"/>
              <w:szCs w:val="20"/>
            </w:rPr>
            <w:tag w:val="_PLD_fe8c7b7bf3a444db814cf5c56b1b72e0"/>
            <w:id w:val="2091494308"/>
          </w:sdtPr>
          <w:sdtContent>
            <w:tc>
              <w:tcPr>
                <w:tcW w:w="2106" w:type="dxa"/>
                <w:vAlign w:val="center"/>
              </w:tcPr>
              <w:p>
                <w:pPr>
                  <w:pStyle w:val="aff9"/>
                  <w:ind w:firstLineChars="0" w:firstLine="0"/>
                  <w:jc w:val="center"/>
                  <w:rPr>
                    <w:rFonts w:ascii="宋体" w:hAnsi="宋体" w:cs="宋体"/>
                    <w:kern w:val="0"/>
                    <w:szCs w:val="21"/>
                  </w:rPr>
                </w:pPr>
                <w:r>
                  <w:rPr>
                    <w:rFonts w:ascii="宋体" w:hAnsi="宋体" w:cs="宋体" w:hint="eastAsia"/>
                    <w:kern w:val="0"/>
                    <w:szCs w:val="21"/>
                  </w:rPr>
                  <w:t>销售模式</w:t>
                </w:r>
              </w:p>
            </w:tc>
          </w:sdtContent>
        </w:sdt>
        <w:sdt>
          <w:sdtPr>
            <w:rPr>
              <w:rFonts w:ascii="宋体" w:hAnsi="宋体"/>
              <w:sz w:val="20"/>
              <w:szCs w:val="20"/>
            </w:rPr>
            <w:tag w:val="_PLD_a8a3a2b010534c9d820c7f9b6fd92caf"/>
            <w:id w:val="269208139"/>
          </w:sdtPr>
          <w:sdtContent>
            <w:tc>
              <w:tcPr>
                <w:tcW w:w="1391" w:type="dxa"/>
                <w:vAlign w:val="center"/>
              </w:tcPr>
              <w:p>
                <w:pPr>
                  <w:jc w:val="center"/>
                  <w:rPr>
                    <w:rFonts w:ascii="宋体" w:hAnsi="宋体"/>
                  </w:rPr>
                </w:pPr>
                <w:r>
                  <w:rPr>
                    <w:rFonts w:ascii="宋体" w:hAnsi="宋体" w:hint="eastAsia"/>
                  </w:rPr>
                  <w:t>营业收入</w:t>
                </w:r>
              </w:p>
            </w:tc>
          </w:sdtContent>
        </w:sdt>
        <w:sdt>
          <w:sdtPr>
            <w:rPr>
              <w:rFonts w:ascii="宋体" w:hAnsi="宋体"/>
              <w:sz w:val="20"/>
              <w:szCs w:val="20"/>
            </w:rPr>
            <w:tag w:val="_PLD_cc237396dacd4c16b49a8294763c220b"/>
            <w:id w:val="96838607"/>
          </w:sdtPr>
          <w:sdtContent>
            <w:tc>
              <w:tcPr>
                <w:tcW w:w="1480" w:type="dxa"/>
                <w:vAlign w:val="center"/>
              </w:tcPr>
              <w:p>
                <w:pPr>
                  <w:jc w:val="center"/>
                  <w:rPr>
                    <w:rFonts w:ascii="宋体" w:hAnsi="宋体"/>
                  </w:rPr>
                </w:pPr>
                <w:r>
                  <w:rPr>
                    <w:rFonts w:ascii="宋体" w:hAnsi="宋体" w:hint="eastAsia"/>
                  </w:rPr>
                  <w:t>营业成本</w:t>
                </w:r>
              </w:p>
            </w:tc>
          </w:sdtContent>
        </w:sdt>
        <w:sdt>
          <w:sdtPr>
            <w:rPr>
              <w:rFonts w:ascii="宋体" w:hAnsi="宋体"/>
              <w:sz w:val="20"/>
              <w:szCs w:val="20"/>
            </w:rPr>
            <w:tag w:val="_PLD_941b22ab04a244cdbd8aa22ae424dacb"/>
            <w:id w:val="-1414163115"/>
          </w:sdtPr>
          <w:sdtContent>
            <w:tc>
              <w:tcPr>
                <w:tcW w:w="1236" w:type="dxa"/>
                <w:vAlign w:val="center"/>
              </w:tcPr>
              <w:p>
                <w:pPr>
                  <w:jc w:val="center"/>
                  <w:rPr>
                    <w:rFonts w:ascii="宋体" w:hAnsi="宋体"/>
                  </w:rPr>
                </w:pPr>
                <w:r>
                  <w:rPr>
                    <w:rFonts w:ascii="宋体" w:hAnsi="宋体" w:hint="eastAsia"/>
                  </w:rPr>
                  <w:t>毛利率（</w:t>
                </w:r>
                <w:r>
                  <w:rPr>
                    <w:rFonts w:ascii="宋体" w:hAnsi="宋体"/>
                  </w:rPr>
                  <w:t>%）</w:t>
                </w:r>
              </w:p>
            </w:tc>
          </w:sdtContent>
        </w:sdt>
        <w:sdt>
          <w:sdtPr>
            <w:rPr>
              <w:rFonts w:ascii="宋体" w:hAnsi="宋体"/>
              <w:sz w:val="20"/>
              <w:szCs w:val="20"/>
            </w:rPr>
            <w:tag w:val="_PLD_e219c48b013d406696797c069f5c1054"/>
            <w:id w:val="957675776"/>
          </w:sdtPr>
          <w:sdtContent>
            <w:tc>
              <w:tcPr>
                <w:tcW w:w="1236" w:type="dxa"/>
                <w:vAlign w:val="center"/>
              </w:tcPr>
              <w:p>
                <w:pPr>
                  <w:jc w:val="center"/>
                  <w:rPr>
                    <w:rFonts w:ascii="宋体" w:hAnsi="宋体"/>
                  </w:rPr>
                </w:pPr>
                <w:r>
                  <w:rPr>
                    <w:rFonts w:ascii="宋体" w:hAnsi="宋体" w:hint="eastAsia"/>
                  </w:rPr>
                  <w:t>营业收入比上年增减（</w:t>
                </w:r>
                <w:r>
                  <w:rPr>
                    <w:rFonts w:ascii="宋体" w:hAnsi="宋体"/>
                  </w:rPr>
                  <w:t>%）</w:t>
                </w:r>
              </w:p>
            </w:tc>
          </w:sdtContent>
        </w:sdt>
        <w:sdt>
          <w:sdtPr>
            <w:rPr>
              <w:rFonts w:ascii="宋体" w:hAnsi="宋体"/>
              <w:sz w:val="20"/>
              <w:szCs w:val="20"/>
            </w:rPr>
            <w:tag w:val="_PLD_ea6dd0b86c3c4f81ac1d0aab660982a0"/>
            <w:id w:val="-272624582"/>
          </w:sdtPr>
          <w:sdtContent>
            <w:tc>
              <w:tcPr>
                <w:tcW w:w="1062" w:type="dxa"/>
                <w:vAlign w:val="center"/>
              </w:tcPr>
              <w:p>
                <w:pPr>
                  <w:jc w:val="center"/>
                  <w:rPr>
                    <w:rFonts w:ascii="宋体" w:hAnsi="宋体"/>
                  </w:rPr>
                </w:pPr>
                <w:r>
                  <w:rPr>
                    <w:rFonts w:ascii="宋体" w:hAnsi="宋体" w:hint="eastAsia"/>
                  </w:rPr>
                  <w:t>营业成本比上年增减（</w:t>
                </w:r>
                <w:r>
                  <w:rPr>
                    <w:rFonts w:ascii="宋体" w:hAnsi="宋体"/>
                  </w:rPr>
                  <w:t>%）</w:t>
                </w:r>
              </w:p>
            </w:tc>
          </w:sdtContent>
        </w:sdt>
        <w:sdt>
          <w:sdtPr>
            <w:rPr>
              <w:rFonts w:ascii="宋体" w:hAnsi="宋体"/>
              <w:sz w:val="20"/>
              <w:szCs w:val="20"/>
            </w:rPr>
            <w:tag w:val="_PLD_b228d83849d948259a50feeb3c8039e4"/>
            <w:id w:val="1344282770"/>
          </w:sdtPr>
          <w:sdtContent>
            <w:tc>
              <w:tcPr>
                <w:tcW w:w="2274" w:type="dxa"/>
                <w:vAlign w:val="center"/>
              </w:tcPr>
              <w:p>
                <w:pPr>
                  <w:jc w:val="center"/>
                  <w:rPr>
                    <w:rFonts w:ascii="宋体" w:hAnsi="宋体"/>
                  </w:rPr>
                </w:pPr>
                <w:r>
                  <w:rPr>
                    <w:rFonts w:ascii="宋体" w:hAnsi="宋体" w:hint="eastAsia"/>
                  </w:rPr>
                  <w:t>毛利率比上年增减（</w:t>
                </w:r>
                <w:r>
                  <w:rPr>
                    <w:rFonts w:ascii="宋体" w:hAnsi="宋体"/>
                  </w:rPr>
                  <w:t>%）</w:t>
                </w:r>
              </w:p>
            </w:tc>
          </w:sdtContent>
        </w:sdt>
      </w:tr>
      <w:sdt>
        <w:sdtPr>
          <w:rPr>
            <w:rFonts w:ascii="宋体" w:hAnsi="宋体" w:cs="宋体" w:hint="eastAsia"/>
            <w:kern w:val="0"/>
            <w:szCs w:val="21"/>
          </w:rPr>
          <w:alias w:val="主营业务按销售模式情况明细"/>
          <w:tag w:val="_TUP_b18af0e5ce6b494485a511064f55de99"/>
          <w:id w:val="-1130861136"/>
          <w:placeholder>
            <w:docPart w:val="2DEA67D2BCB9462FB84CF73CCFF9A26F"/>
          </w:placeholder>
        </w:sdtPr>
        <w:sdtEndPr>
          <w:rPr>
            <w:rFonts w:cs="Times New Roman"/>
          </w:rPr>
        </w:sdtEndPr>
        <w:sdtContent>
          <w:tr>
            <w:trPr>
              <w:jc w:val="center"/>
            </w:trPr>
            <w:tc>
              <w:tcPr>
                <w:tcW w:w="2106" w:type="dxa"/>
                <w:vAlign w:val="center"/>
              </w:tcPr>
              <w:p>
                <w:pPr>
                  <w:pStyle w:val="aff9"/>
                  <w:ind w:firstLineChars="0" w:firstLine="0"/>
                  <w:jc w:val="left"/>
                  <w:rPr>
                    <w:rFonts w:ascii="宋体" w:hAnsi="宋体" w:cs="宋体"/>
                    <w:kern w:val="0"/>
                    <w:szCs w:val="21"/>
                  </w:rPr>
                </w:pPr>
                <w:r>
                  <w:rPr>
                    <w:rFonts w:ascii="宋体" w:hAnsi="宋体" w:cs="宋体" w:hint="eastAsia"/>
                    <w:kern w:val="0"/>
                    <w:szCs w:val="21"/>
                  </w:rPr>
                  <w:t>直销</w:t>
                </w:r>
              </w:p>
            </w:tc>
            <w:tc>
              <w:tcPr>
                <w:tcW w:w="1391" w:type="dxa"/>
                <w:vAlign w:val="center"/>
              </w:tcPr>
              <w:p>
                <w:pPr>
                  <w:jc w:val="right"/>
                  <w:rPr>
                    <w:rFonts w:ascii="宋体" w:hAnsi="宋体"/>
                  </w:rPr>
                </w:pPr>
                <w:r>
                  <w:rPr>
                    <w:rFonts w:ascii="宋体" w:hAnsi="宋体"/>
                  </w:rPr>
                  <w:t>133,341</w:t>
                </w:r>
              </w:p>
            </w:tc>
            <w:tc>
              <w:tcPr>
                <w:tcW w:w="1480" w:type="dxa"/>
                <w:vAlign w:val="center"/>
              </w:tcPr>
              <w:p>
                <w:pPr>
                  <w:jc w:val="right"/>
                  <w:rPr>
                    <w:rFonts w:ascii="宋体" w:hAnsi="宋体"/>
                  </w:rPr>
                </w:pPr>
                <w:r>
                  <w:rPr>
                    <w:rFonts w:ascii="宋体" w:hAnsi="宋体"/>
                  </w:rPr>
                  <w:t>93,492</w:t>
                </w:r>
              </w:p>
            </w:tc>
            <w:tc>
              <w:tcPr>
                <w:tcW w:w="1236" w:type="dxa"/>
                <w:vAlign w:val="center"/>
              </w:tcPr>
              <w:p>
                <w:pPr>
                  <w:jc w:val="right"/>
                  <w:rPr>
                    <w:rFonts w:ascii="宋体" w:hAnsi="宋体"/>
                  </w:rPr>
                </w:pPr>
                <w:r>
                  <w:rPr>
                    <w:rFonts w:ascii="宋体" w:hAnsi="宋体"/>
                  </w:rPr>
                  <w:t xml:space="preserve">29.88 </w:t>
                </w:r>
              </w:p>
            </w:tc>
            <w:tc>
              <w:tcPr>
                <w:tcW w:w="1236" w:type="dxa"/>
                <w:vAlign w:val="center"/>
              </w:tcPr>
              <w:p>
                <w:pPr>
                  <w:jc w:val="right"/>
                  <w:rPr>
                    <w:rFonts w:ascii="宋体" w:hAnsi="宋体"/>
                  </w:rPr>
                </w:pPr>
                <w:r>
                  <w:rPr>
                    <w:rFonts w:ascii="宋体" w:hAnsi="宋体"/>
                  </w:rPr>
                  <w:t xml:space="preserve">-5.53 </w:t>
                </w:r>
              </w:p>
            </w:tc>
            <w:tc>
              <w:tcPr>
                <w:tcW w:w="1062" w:type="dxa"/>
                <w:vAlign w:val="center"/>
              </w:tcPr>
              <w:p>
                <w:pPr>
                  <w:jc w:val="right"/>
                  <w:rPr>
                    <w:rFonts w:ascii="宋体" w:hAnsi="宋体"/>
                  </w:rPr>
                </w:pPr>
                <w:r>
                  <w:rPr>
                    <w:rFonts w:ascii="宋体" w:hAnsi="宋体"/>
                  </w:rPr>
                  <w:t xml:space="preserve">7.85 </w:t>
                </w:r>
              </w:p>
            </w:tc>
            <w:tc>
              <w:tcPr>
                <w:tcW w:w="2274" w:type="dxa"/>
                <w:vAlign w:val="center"/>
              </w:tcPr>
              <w:p>
                <w:pPr>
                  <w:jc w:val="right"/>
                  <w:rPr>
                    <w:rFonts w:ascii="宋体" w:hAnsi="宋体"/>
                  </w:rPr>
                </w:pPr>
                <w:r>
                  <w:rPr>
                    <w:rFonts w:ascii="宋体" w:hAnsi="宋体" w:hint="eastAsia"/>
                  </w:rPr>
                  <w:t>减少</w:t>
                </w:r>
                <w:r>
                  <w:rPr>
                    <w:rFonts w:ascii="宋体" w:hAnsi="宋体"/>
                  </w:rPr>
                  <w:t>8.70个百分点</w:t>
                </w:r>
              </w:p>
            </w:tc>
          </w:tr>
        </w:sdtContent>
      </w:sdt>
    </w:tbl>
    <w:p>
      <w:pPr>
        <w:pStyle w:val="Style61"/>
      </w:pPr>
      <w:r>
        <w:t>主营业务分行业</w:t>
      </w:r>
      <w:r>
        <w:rPr>
          <w:rFonts w:hint="eastAsia"/>
        </w:rPr>
        <w:t>、</w:t>
      </w:r>
      <w:r>
        <w:t>分产品、分地区</w:t>
      </w:r>
      <w:r>
        <w:rPr>
          <w:rFonts w:hint="eastAsia"/>
        </w:rPr>
        <w:t>、分销售模式</w:t>
      </w:r>
      <w:r>
        <w:t>情况的说明</w:t>
      </w:r>
    </w:p>
    <w:sdt>
      <w:sdtPr>
        <w:rPr>
          <w:rFonts w:hint="eastAsia"/>
        </w:rPr>
        <w:alias w:val="主营业务分行业和分产品情况的说明"/>
        <w:tag w:val="_GBC_81b87428f4384bf2959419c3aea2dad2"/>
        <w:id w:val="1497144937"/>
      </w:sdtPr>
      <w:sdtContent>
        <w:p>
          <w:pPr>
            <w:pStyle w:val="Style61"/>
          </w:pPr>
          <w:r>
            <w:rPr>
              <w:rFonts w:hint="eastAsia"/>
            </w:rPr>
            <w:t>上述各业务分部间销售详情请见按中国会计准则编制的财务报表附注“其他重要事项—分部信息”。</w:t>
          </w:r>
        </w:p>
      </w:sdtContent>
    </w:sdt>
    <w:p>
      <w:pPr>
        <w:pStyle w:val="Style49"/>
      </w:pPr>
    </w:p>
    <w:p>
      <w:pPr>
        <w:pStyle w:val="5"/>
        <w:numPr>
          <w:ilvl w:val="0"/>
          <w:numId w:val="17"/>
        </w:numPr>
        <w:tabs>
          <w:tab w:val="left" w:pos="567"/>
        </w:tabs>
        <w:ind w:leftChars="0"/>
      </w:pPr>
      <w:r>
        <w:t>产销量情况分析表</w:t>
      </w:r>
    </w:p>
    <w:sdt>
      <w:sdtPr>
        <w:alias w:val="是否适用：产销量情况分析表[双击切换]"/>
        <w:tag w:val="_GBC_6ff51c492b3040799712ea51f78bdcc0"/>
        <w:id w:val="-1812852651"/>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4"/>
        <w:tblW w:w="9614" w:type="dxa"/>
        <w:jc w:val="center"/>
        <w:tblLayout w:type="fixed"/>
        <w:tblLook w:val="04A0" w:firstRow="1" w:lastRow="0" w:firstColumn="1" w:lastColumn="0" w:noHBand="0" w:noVBand="1"/>
      </w:tblPr>
      <w:tblGrid>
        <w:gridCol w:w="1701"/>
        <w:gridCol w:w="1129"/>
        <w:gridCol w:w="1129"/>
        <w:gridCol w:w="1131"/>
        <w:gridCol w:w="1131"/>
        <w:gridCol w:w="1131"/>
        <w:gridCol w:w="1131"/>
        <w:gridCol w:w="1131"/>
      </w:tblGrid>
      <w:tr>
        <w:trPr>
          <w:jc w:val="center"/>
        </w:trPr>
        <w:sdt>
          <w:sdtPr>
            <w:rPr>
              <w:rFonts w:ascii="宋体" w:hAnsi="宋体"/>
              <w:sz w:val="20"/>
              <w:szCs w:val="20"/>
            </w:rPr>
            <w:tag w:val="_PLD_259e79e9293847dfb1bd7816b6ad48e6"/>
            <w:id w:val="-566500304"/>
          </w:sdtPr>
          <w:sdtContent>
            <w:tc>
              <w:tcPr>
                <w:tcW w:w="1701" w:type="dxa"/>
                <w:vAlign w:val="center"/>
              </w:tcPr>
              <w:p>
                <w:pPr>
                  <w:jc w:val="center"/>
                  <w:rPr>
                    <w:rFonts w:ascii="宋体" w:hAnsi="宋体"/>
                  </w:rPr>
                </w:pPr>
                <w:r>
                  <w:rPr>
                    <w:rFonts w:ascii="宋体" w:hAnsi="宋体" w:hint="eastAsia"/>
                  </w:rPr>
                  <w:t>主要产品</w:t>
                </w:r>
              </w:p>
            </w:tc>
          </w:sdtContent>
        </w:sdt>
        <w:tc>
          <w:tcPr>
            <w:tcW w:w="1129" w:type="dxa"/>
            <w:vAlign w:val="center"/>
          </w:tcPr>
          <w:sdt>
            <w:sdtPr>
              <w:rPr>
                <w:rFonts w:ascii="宋体" w:hAnsi="宋体"/>
                <w:sz w:val="20"/>
                <w:szCs w:val="20"/>
              </w:rPr>
              <w:tag w:val="_PLD_6d13c84fd3694535a3f1b6bcdd58d107"/>
              <w:id w:val="1638224641"/>
            </w:sdtPr>
            <w:sdtContent>
              <w:p>
                <w:pPr>
                  <w:jc w:val="center"/>
                  <w:rPr>
                    <w:rFonts w:ascii="宋体" w:hAnsi="宋体"/>
                  </w:rPr>
                </w:pPr>
                <w:r>
                  <w:rPr>
                    <w:rFonts w:ascii="宋体" w:hAnsi="宋体" w:hint="eastAsia"/>
                  </w:rPr>
                  <w:t>单位</w:t>
                </w:r>
              </w:p>
            </w:sdtContent>
          </w:sdt>
        </w:tc>
        <w:sdt>
          <w:sdtPr>
            <w:rPr>
              <w:rFonts w:ascii="宋体" w:hAnsi="宋体"/>
              <w:sz w:val="20"/>
              <w:szCs w:val="20"/>
            </w:rPr>
            <w:tag w:val="_PLD_3645c9ae184248f6bd2dda9de0540406"/>
            <w:id w:val="-1810005314"/>
          </w:sdtPr>
          <w:sdtContent>
            <w:tc>
              <w:tcPr>
                <w:tcW w:w="1129" w:type="dxa"/>
                <w:vAlign w:val="center"/>
              </w:tcPr>
              <w:p>
                <w:pPr>
                  <w:jc w:val="center"/>
                  <w:rPr>
                    <w:rFonts w:ascii="宋体" w:hAnsi="宋体"/>
                  </w:rPr>
                </w:pPr>
                <w:r>
                  <w:rPr>
                    <w:rFonts w:ascii="宋体" w:hAnsi="宋体" w:hint="eastAsia"/>
                  </w:rPr>
                  <w:t>生产量</w:t>
                </w:r>
              </w:p>
            </w:tc>
          </w:sdtContent>
        </w:sdt>
        <w:sdt>
          <w:sdtPr>
            <w:rPr>
              <w:rFonts w:ascii="宋体" w:hAnsi="宋体"/>
              <w:sz w:val="20"/>
              <w:szCs w:val="20"/>
            </w:rPr>
            <w:tag w:val="_PLD_b4bd7da564c3452cb40ff15542829b7a"/>
            <w:id w:val="336651804"/>
          </w:sdtPr>
          <w:sdtContent>
            <w:tc>
              <w:tcPr>
                <w:tcW w:w="1131" w:type="dxa"/>
                <w:vAlign w:val="center"/>
              </w:tcPr>
              <w:p>
                <w:pPr>
                  <w:jc w:val="center"/>
                  <w:rPr>
                    <w:rFonts w:ascii="宋体" w:hAnsi="宋体"/>
                  </w:rPr>
                </w:pPr>
                <w:r>
                  <w:rPr>
                    <w:rFonts w:ascii="宋体" w:hAnsi="宋体" w:hint="eastAsia"/>
                  </w:rPr>
                  <w:t>销售量</w:t>
                </w:r>
              </w:p>
            </w:tc>
          </w:sdtContent>
        </w:sdt>
        <w:sdt>
          <w:sdtPr>
            <w:rPr>
              <w:rFonts w:ascii="宋体" w:hAnsi="宋体"/>
              <w:sz w:val="20"/>
              <w:szCs w:val="20"/>
            </w:rPr>
            <w:tag w:val="_PLD_4f74a09ae16245a3a6e2c536c1266361"/>
            <w:id w:val="838434350"/>
          </w:sdtPr>
          <w:sdtContent>
            <w:tc>
              <w:tcPr>
                <w:tcW w:w="1131" w:type="dxa"/>
                <w:vAlign w:val="center"/>
              </w:tcPr>
              <w:p>
                <w:pPr>
                  <w:jc w:val="center"/>
                  <w:rPr>
                    <w:rFonts w:ascii="宋体" w:hAnsi="宋体"/>
                  </w:rPr>
                </w:pPr>
                <w:r>
                  <w:rPr>
                    <w:rFonts w:ascii="宋体" w:hAnsi="宋体" w:hint="eastAsia"/>
                  </w:rPr>
                  <w:t>库存量</w:t>
                </w:r>
              </w:p>
            </w:tc>
          </w:sdtContent>
        </w:sdt>
        <w:sdt>
          <w:sdtPr>
            <w:rPr>
              <w:rFonts w:ascii="宋体" w:hAnsi="宋体"/>
              <w:sz w:val="20"/>
              <w:szCs w:val="20"/>
            </w:rPr>
            <w:tag w:val="_PLD_21bd7a4d992742feb4b83db592f976fd"/>
            <w:id w:val="231590097"/>
          </w:sdtPr>
          <w:sdtContent>
            <w:tc>
              <w:tcPr>
                <w:tcW w:w="1131" w:type="dxa"/>
                <w:vAlign w:val="center"/>
              </w:tcPr>
              <w:p>
                <w:pPr>
                  <w:jc w:val="center"/>
                  <w:rPr>
                    <w:rFonts w:ascii="宋体" w:hAnsi="宋体"/>
                  </w:rPr>
                </w:pPr>
                <w:r>
                  <w:rPr>
                    <w:rFonts w:ascii="宋体" w:hAnsi="宋体" w:hint="eastAsia"/>
                  </w:rPr>
                  <w:t>生产量比上年增减（%）</w:t>
                </w:r>
              </w:p>
            </w:tc>
          </w:sdtContent>
        </w:sdt>
        <w:sdt>
          <w:sdtPr>
            <w:rPr>
              <w:rFonts w:ascii="宋体" w:hAnsi="宋体"/>
              <w:sz w:val="20"/>
              <w:szCs w:val="20"/>
            </w:rPr>
            <w:tag w:val="_PLD_37e055a5474a4aac989b4e3a88756935"/>
            <w:id w:val="1894688517"/>
          </w:sdtPr>
          <w:sdtContent>
            <w:tc>
              <w:tcPr>
                <w:tcW w:w="1131" w:type="dxa"/>
                <w:vAlign w:val="center"/>
              </w:tcPr>
              <w:p>
                <w:pPr>
                  <w:jc w:val="center"/>
                  <w:rPr>
                    <w:rFonts w:ascii="宋体" w:hAnsi="宋体"/>
                  </w:rPr>
                </w:pPr>
                <w:r>
                  <w:rPr>
                    <w:rFonts w:ascii="宋体" w:hAnsi="宋体" w:hint="eastAsia"/>
                  </w:rPr>
                  <w:t>销售量比上年增减（%）</w:t>
                </w:r>
              </w:p>
            </w:tc>
          </w:sdtContent>
        </w:sdt>
        <w:sdt>
          <w:sdtPr>
            <w:rPr>
              <w:rFonts w:ascii="宋体" w:hAnsi="宋体"/>
              <w:sz w:val="20"/>
              <w:szCs w:val="20"/>
            </w:rPr>
            <w:tag w:val="_PLD_d03cdf85475e4722ae39e10ea525eee5"/>
            <w:id w:val="-595778945"/>
          </w:sdtPr>
          <w:sdtContent>
            <w:tc>
              <w:tcPr>
                <w:tcW w:w="1131" w:type="dxa"/>
                <w:vAlign w:val="center"/>
              </w:tcPr>
              <w:p>
                <w:pPr>
                  <w:jc w:val="center"/>
                  <w:rPr>
                    <w:rFonts w:ascii="宋体" w:hAnsi="宋体"/>
                  </w:rPr>
                </w:pPr>
                <w:r>
                  <w:rPr>
                    <w:rFonts w:ascii="宋体" w:hAnsi="宋体" w:hint="eastAsia"/>
                  </w:rPr>
                  <w:t>库存量比上年增减（%）</w:t>
                </w:r>
              </w:p>
            </w:tc>
          </w:sdtContent>
        </w:sdt>
      </w:tr>
      <w:tr>
        <w:trPr>
          <w:trHeight w:val="248"/>
          <w:jc w:val="center"/>
        </w:trPr>
        <w:tc>
          <w:tcPr>
            <w:tcW w:w="1701" w:type="dxa"/>
          </w:tcPr>
          <w:p>
            <w:pPr>
              <w:pStyle w:val="Style49"/>
              <w:rPr>
                <w:rFonts w:ascii="宋体" w:hAnsi="宋体"/>
              </w:rPr>
            </w:pPr>
            <w:r>
              <w:rPr>
                <w:rFonts w:ascii="宋体" w:hAnsi="宋体" w:hint="eastAsia"/>
              </w:rPr>
              <w:t>自产商品煤</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182,398</w:t>
            </w:r>
          </w:p>
        </w:tc>
        <w:tc>
          <w:tcPr>
            <w:tcW w:w="1131" w:type="dxa"/>
            <w:vAlign w:val="center"/>
          </w:tcPr>
          <w:p>
            <w:pPr>
              <w:jc w:val="right"/>
              <w:rPr>
                <w:rFonts w:ascii="宋体" w:hAnsi="宋体"/>
              </w:rPr>
            </w:pPr>
            <w:r>
              <w:rPr>
                <w:rFonts w:ascii="宋体" w:hAnsi="宋体"/>
              </w:rPr>
              <w:t>165,370</w:t>
            </w:r>
          </w:p>
        </w:tc>
        <w:tc>
          <w:tcPr>
            <w:tcW w:w="1131" w:type="dxa"/>
            <w:vAlign w:val="center"/>
          </w:tcPr>
          <w:p>
            <w:pPr>
              <w:jc w:val="right"/>
              <w:rPr>
                <w:rFonts w:ascii="宋体" w:hAnsi="宋体"/>
                <w:highlight w:val="yellow"/>
              </w:rPr>
            </w:pPr>
            <w:r>
              <w:rPr>
                <w:rFonts w:ascii="宋体" w:hAnsi="宋体"/>
              </w:rPr>
              <w:t xml:space="preserve">6,729 </w:t>
            </w:r>
          </w:p>
        </w:tc>
        <w:tc>
          <w:tcPr>
            <w:tcW w:w="1131" w:type="dxa"/>
          </w:tcPr>
          <w:p>
            <w:pPr>
              <w:jc w:val="right"/>
              <w:rPr>
                <w:rFonts w:ascii="宋体" w:hAnsi="宋体"/>
              </w:rPr>
            </w:pPr>
            <w:r>
              <w:rPr>
                <w:rFonts w:ascii="宋体" w:hAnsi="宋体" w:hint="eastAsia"/>
              </w:rPr>
              <w:t xml:space="preserve">6.28 </w:t>
            </w:r>
          </w:p>
        </w:tc>
        <w:tc>
          <w:tcPr>
            <w:tcW w:w="1131" w:type="dxa"/>
          </w:tcPr>
          <w:p>
            <w:pPr>
              <w:jc w:val="right"/>
              <w:rPr>
                <w:rFonts w:ascii="宋体" w:hAnsi="宋体"/>
              </w:rPr>
            </w:pPr>
            <w:r>
              <w:rPr>
                <w:rFonts w:ascii="宋体" w:hAnsi="宋体" w:hint="eastAsia"/>
              </w:rPr>
              <w:t xml:space="preserve">4.33 </w:t>
            </w:r>
          </w:p>
        </w:tc>
        <w:tc>
          <w:tcPr>
            <w:tcW w:w="1131" w:type="dxa"/>
            <w:vAlign w:val="center"/>
          </w:tcPr>
          <w:p>
            <w:pPr>
              <w:jc w:val="right"/>
              <w:rPr>
                <w:rFonts w:ascii="宋体" w:hAnsi="宋体"/>
              </w:rPr>
            </w:pPr>
            <w:r>
              <w:rPr>
                <w:rFonts w:ascii="宋体" w:hAnsi="宋体"/>
              </w:rPr>
              <w:t xml:space="preserve">-14.50 </w:t>
            </w:r>
          </w:p>
        </w:tc>
      </w:tr>
      <w:tr>
        <w:trPr>
          <w:trHeight w:val="248"/>
          <w:jc w:val="center"/>
        </w:trPr>
        <w:tc>
          <w:tcPr>
            <w:tcW w:w="1701" w:type="dxa"/>
          </w:tcPr>
          <w:p>
            <w:pPr>
              <w:pStyle w:val="Style49"/>
              <w:rPr>
                <w:rFonts w:ascii="宋体" w:hAnsi="宋体"/>
              </w:rPr>
            </w:pPr>
            <w:r>
              <w:rPr>
                <w:rFonts w:ascii="宋体" w:hAnsi="宋体" w:hint="eastAsia"/>
              </w:rPr>
              <w:t>甲醇</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4,540</w:t>
            </w:r>
          </w:p>
        </w:tc>
        <w:tc>
          <w:tcPr>
            <w:tcW w:w="1131" w:type="dxa"/>
            <w:vAlign w:val="center"/>
          </w:tcPr>
          <w:p>
            <w:pPr>
              <w:jc w:val="right"/>
              <w:rPr>
                <w:rFonts w:ascii="宋体" w:hAnsi="宋体"/>
              </w:rPr>
            </w:pPr>
            <w:r>
              <w:rPr>
                <w:rFonts w:ascii="宋体" w:hAnsi="宋体"/>
              </w:rPr>
              <w:t>4,327</w:t>
            </w:r>
          </w:p>
        </w:tc>
        <w:tc>
          <w:tcPr>
            <w:tcW w:w="1131" w:type="dxa"/>
            <w:vAlign w:val="center"/>
          </w:tcPr>
          <w:p>
            <w:pPr>
              <w:jc w:val="right"/>
              <w:rPr>
                <w:rFonts w:ascii="宋体" w:hAnsi="宋体"/>
              </w:rPr>
            </w:pPr>
            <w:r>
              <w:rPr>
                <w:rFonts w:ascii="宋体" w:hAnsi="宋体"/>
              </w:rPr>
              <w:t xml:space="preserve">72 </w:t>
            </w:r>
          </w:p>
        </w:tc>
        <w:tc>
          <w:tcPr>
            <w:tcW w:w="1131" w:type="dxa"/>
          </w:tcPr>
          <w:p>
            <w:pPr>
              <w:jc w:val="right"/>
              <w:rPr>
                <w:rFonts w:ascii="宋体" w:hAnsi="宋体"/>
              </w:rPr>
            </w:pPr>
            <w:r>
              <w:rPr>
                <w:rFonts w:ascii="宋体" w:hAnsi="宋体"/>
              </w:rPr>
              <w:t xml:space="preserve">2.81 </w:t>
            </w:r>
          </w:p>
        </w:tc>
        <w:tc>
          <w:tcPr>
            <w:tcW w:w="1131" w:type="dxa"/>
          </w:tcPr>
          <w:p>
            <w:pPr>
              <w:jc w:val="right"/>
              <w:rPr>
                <w:rFonts w:ascii="宋体" w:hAnsi="宋体"/>
              </w:rPr>
            </w:pPr>
            <w:r>
              <w:rPr>
                <w:rFonts w:ascii="宋体" w:hAnsi="宋体"/>
              </w:rPr>
              <w:t xml:space="preserve">1.81 </w:t>
            </w:r>
          </w:p>
        </w:tc>
        <w:tc>
          <w:tcPr>
            <w:tcW w:w="1131" w:type="dxa"/>
            <w:vAlign w:val="center"/>
          </w:tcPr>
          <w:p>
            <w:pPr>
              <w:jc w:val="right"/>
              <w:rPr>
                <w:rFonts w:ascii="宋体" w:hAnsi="宋体"/>
              </w:rPr>
            </w:pPr>
            <w:r>
              <w:rPr>
                <w:rFonts w:ascii="宋体" w:hAnsi="宋体"/>
              </w:rPr>
              <w:t xml:space="preserve">24.26 </w:t>
            </w:r>
          </w:p>
        </w:tc>
      </w:tr>
      <w:tr>
        <w:trPr>
          <w:trHeight w:val="248"/>
          <w:jc w:val="center"/>
        </w:trPr>
        <w:tc>
          <w:tcPr>
            <w:tcW w:w="1701" w:type="dxa"/>
          </w:tcPr>
          <w:p>
            <w:pPr>
              <w:pStyle w:val="Style49"/>
              <w:rPr>
                <w:rFonts w:ascii="宋体" w:hAnsi="宋体"/>
              </w:rPr>
            </w:pPr>
            <w:r>
              <w:rPr>
                <w:rFonts w:ascii="宋体" w:hAnsi="宋体" w:hint="eastAsia"/>
              </w:rPr>
              <w:t>乙二醇</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395</w:t>
            </w:r>
          </w:p>
        </w:tc>
        <w:tc>
          <w:tcPr>
            <w:tcW w:w="1131" w:type="dxa"/>
            <w:vAlign w:val="center"/>
          </w:tcPr>
          <w:p>
            <w:pPr>
              <w:jc w:val="right"/>
              <w:rPr>
                <w:rFonts w:ascii="宋体" w:hAnsi="宋体"/>
              </w:rPr>
            </w:pPr>
            <w:r>
              <w:rPr>
                <w:rFonts w:ascii="宋体" w:hAnsi="宋体"/>
              </w:rPr>
              <w:t>390</w:t>
            </w:r>
          </w:p>
        </w:tc>
        <w:tc>
          <w:tcPr>
            <w:tcW w:w="1131" w:type="dxa"/>
            <w:vAlign w:val="center"/>
          </w:tcPr>
          <w:p>
            <w:pPr>
              <w:jc w:val="right"/>
              <w:rPr>
                <w:rFonts w:ascii="宋体" w:hAnsi="宋体"/>
              </w:rPr>
            </w:pPr>
            <w:r>
              <w:rPr>
                <w:rFonts w:ascii="宋体" w:hAnsi="宋体"/>
              </w:rPr>
              <w:t xml:space="preserve">31 </w:t>
            </w:r>
          </w:p>
        </w:tc>
        <w:tc>
          <w:tcPr>
            <w:tcW w:w="1131" w:type="dxa"/>
          </w:tcPr>
          <w:p>
            <w:pPr>
              <w:jc w:val="right"/>
              <w:rPr>
                <w:rFonts w:ascii="宋体" w:hAnsi="宋体"/>
              </w:rPr>
            </w:pPr>
            <w:r>
              <w:rPr>
                <w:rFonts w:ascii="宋体" w:hAnsi="宋体"/>
              </w:rPr>
              <w:t xml:space="preserve">-1.46 </w:t>
            </w:r>
          </w:p>
        </w:tc>
        <w:tc>
          <w:tcPr>
            <w:tcW w:w="1131" w:type="dxa"/>
          </w:tcPr>
          <w:p>
            <w:pPr>
              <w:jc w:val="right"/>
              <w:rPr>
                <w:rFonts w:ascii="宋体" w:hAnsi="宋体"/>
              </w:rPr>
            </w:pPr>
            <w:r>
              <w:rPr>
                <w:rFonts w:ascii="宋体" w:hAnsi="宋体"/>
              </w:rPr>
              <w:t xml:space="preserve">-0.94 </w:t>
            </w:r>
          </w:p>
        </w:tc>
        <w:tc>
          <w:tcPr>
            <w:tcW w:w="1131" w:type="dxa"/>
            <w:vAlign w:val="center"/>
          </w:tcPr>
          <w:p>
            <w:pPr>
              <w:jc w:val="right"/>
              <w:rPr>
                <w:rFonts w:ascii="宋体" w:hAnsi="宋体"/>
              </w:rPr>
            </w:pPr>
            <w:r>
              <w:rPr>
                <w:rFonts w:ascii="宋体" w:hAnsi="宋体"/>
              </w:rPr>
              <w:t xml:space="preserve">20.94 </w:t>
            </w:r>
          </w:p>
        </w:tc>
      </w:tr>
      <w:tr>
        <w:trPr>
          <w:trHeight w:val="248"/>
          <w:jc w:val="center"/>
        </w:trPr>
        <w:tc>
          <w:tcPr>
            <w:tcW w:w="1701" w:type="dxa"/>
          </w:tcPr>
          <w:p>
            <w:pPr>
              <w:pStyle w:val="Style49"/>
              <w:rPr>
                <w:rFonts w:ascii="宋体" w:hAnsi="宋体"/>
              </w:rPr>
            </w:pPr>
            <w:r>
              <w:rPr>
                <w:rFonts w:ascii="宋体" w:hAnsi="宋体" w:hint="eastAsia"/>
              </w:rPr>
              <w:t>醋酸</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1,082</w:t>
            </w:r>
          </w:p>
        </w:tc>
        <w:tc>
          <w:tcPr>
            <w:tcW w:w="1131" w:type="dxa"/>
            <w:vAlign w:val="center"/>
          </w:tcPr>
          <w:p>
            <w:pPr>
              <w:jc w:val="right"/>
              <w:rPr>
                <w:rFonts w:ascii="宋体" w:hAnsi="宋体"/>
              </w:rPr>
            </w:pPr>
            <w:r>
              <w:rPr>
                <w:rFonts w:ascii="宋体" w:hAnsi="宋体"/>
              </w:rPr>
              <w:t>766</w:t>
            </w:r>
          </w:p>
        </w:tc>
        <w:tc>
          <w:tcPr>
            <w:tcW w:w="1131" w:type="dxa"/>
            <w:vAlign w:val="center"/>
          </w:tcPr>
          <w:p>
            <w:pPr>
              <w:jc w:val="right"/>
              <w:rPr>
                <w:rFonts w:ascii="宋体" w:hAnsi="宋体"/>
              </w:rPr>
            </w:pPr>
            <w:r>
              <w:rPr>
                <w:rFonts w:ascii="宋体" w:hAnsi="宋体"/>
              </w:rPr>
              <w:t xml:space="preserve">9 </w:t>
            </w:r>
          </w:p>
        </w:tc>
        <w:tc>
          <w:tcPr>
            <w:tcW w:w="1131" w:type="dxa"/>
          </w:tcPr>
          <w:p>
            <w:pPr>
              <w:jc w:val="right"/>
              <w:rPr>
                <w:rFonts w:ascii="宋体" w:hAnsi="宋体"/>
              </w:rPr>
            </w:pPr>
            <w:r>
              <w:rPr>
                <w:rFonts w:ascii="宋体" w:hAnsi="宋体"/>
              </w:rPr>
              <w:t xml:space="preserve">3.99 </w:t>
            </w:r>
          </w:p>
        </w:tc>
        <w:tc>
          <w:tcPr>
            <w:tcW w:w="1131" w:type="dxa"/>
          </w:tcPr>
          <w:p>
            <w:pPr>
              <w:jc w:val="right"/>
              <w:rPr>
                <w:rFonts w:ascii="宋体" w:hAnsi="宋体"/>
              </w:rPr>
            </w:pPr>
            <w:r>
              <w:rPr>
                <w:rFonts w:ascii="宋体" w:hAnsi="宋体"/>
              </w:rPr>
              <w:t xml:space="preserve">3.13 </w:t>
            </w:r>
          </w:p>
        </w:tc>
        <w:tc>
          <w:tcPr>
            <w:tcW w:w="1131" w:type="dxa"/>
            <w:vAlign w:val="center"/>
          </w:tcPr>
          <w:p>
            <w:pPr>
              <w:jc w:val="right"/>
              <w:rPr>
                <w:rFonts w:ascii="宋体" w:hAnsi="宋体"/>
              </w:rPr>
            </w:pPr>
            <w:r>
              <w:rPr>
                <w:rFonts w:ascii="宋体" w:hAnsi="宋体"/>
              </w:rPr>
              <w:t xml:space="preserve">121.62 </w:t>
            </w:r>
          </w:p>
        </w:tc>
      </w:tr>
      <w:tr>
        <w:trPr>
          <w:trHeight w:val="248"/>
          <w:jc w:val="center"/>
        </w:trPr>
        <w:tc>
          <w:tcPr>
            <w:tcW w:w="1701" w:type="dxa"/>
          </w:tcPr>
          <w:p>
            <w:pPr>
              <w:pStyle w:val="Style49"/>
              <w:rPr>
                <w:rFonts w:ascii="宋体" w:hAnsi="宋体"/>
              </w:rPr>
            </w:pPr>
            <w:r>
              <w:rPr>
                <w:rFonts w:ascii="宋体" w:hAnsi="宋体" w:hint="eastAsia"/>
              </w:rPr>
              <w:t>醋酸乙酯</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238</w:t>
            </w:r>
          </w:p>
        </w:tc>
        <w:tc>
          <w:tcPr>
            <w:tcW w:w="1131" w:type="dxa"/>
            <w:vAlign w:val="center"/>
          </w:tcPr>
          <w:p>
            <w:pPr>
              <w:jc w:val="right"/>
              <w:rPr>
                <w:rFonts w:ascii="宋体" w:hAnsi="宋体"/>
              </w:rPr>
            </w:pPr>
            <w:r>
              <w:rPr>
                <w:rFonts w:ascii="宋体" w:hAnsi="宋体"/>
              </w:rPr>
              <w:t>239</w:t>
            </w:r>
          </w:p>
        </w:tc>
        <w:tc>
          <w:tcPr>
            <w:tcW w:w="1131" w:type="dxa"/>
            <w:vAlign w:val="center"/>
          </w:tcPr>
          <w:p>
            <w:pPr>
              <w:jc w:val="right"/>
              <w:rPr>
                <w:rFonts w:ascii="宋体" w:hAnsi="宋体"/>
              </w:rPr>
            </w:pPr>
            <w:r>
              <w:rPr>
                <w:rFonts w:ascii="宋体" w:hAnsi="宋体"/>
              </w:rPr>
              <w:t xml:space="preserve">4 </w:t>
            </w:r>
          </w:p>
        </w:tc>
        <w:tc>
          <w:tcPr>
            <w:tcW w:w="1131" w:type="dxa"/>
          </w:tcPr>
          <w:p>
            <w:pPr>
              <w:jc w:val="right"/>
              <w:rPr>
                <w:rFonts w:ascii="宋体" w:hAnsi="宋体"/>
              </w:rPr>
            </w:pPr>
            <w:r>
              <w:rPr>
                <w:rFonts w:ascii="宋体" w:hAnsi="宋体"/>
              </w:rPr>
              <w:t xml:space="preserve">-16.40 </w:t>
            </w:r>
          </w:p>
        </w:tc>
        <w:tc>
          <w:tcPr>
            <w:tcW w:w="1131" w:type="dxa"/>
          </w:tcPr>
          <w:p>
            <w:pPr>
              <w:jc w:val="right"/>
              <w:rPr>
                <w:rFonts w:ascii="宋体" w:hAnsi="宋体"/>
              </w:rPr>
            </w:pPr>
            <w:r>
              <w:rPr>
                <w:rFonts w:ascii="宋体" w:hAnsi="宋体"/>
              </w:rPr>
              <w:t xml:space="preserve">-15.96 </w:t>
            </w:r>
          </w:p>
        </w:tc>
        <w:tc>
          <w:tcPr>
            <w:tcW w:w="1131" w:type="dxa"/>
            <w:vAlign w:val="center"/>
          </w:tcPr>
          <w:p>
            <w:pPr>
              <w:jc w:val="right"/>
              <w:rPr>
                <w:rFonts w:ascii="宋体" w:hAnsi="宋体"/>
              </w:rPr>
            </w:pPr>
            <w:r>
              <w:rPr>
                <w:rFonts w:ascii="宋体" w:hAnsi="宋体"/>
              </w:rPr>
              <w:t xml:space="preserve">-15.23 </w:t>
            </w:r>
          </w:p>
        </w:tc>
      </w:tr>
      <w:tr>
        <w:trPr>
          <w:trHeight w:val="248"/>
          <w:jc w:val="center"/>
        </w:trPr>
        <w:tc>
          <w:tcPr>
            <w:tcW w:w="1701" w:type="dxa"/>
          </w:tcPr>
          <w:p>
            <w:pPr>
              <w:pStyle w:val="Style49"/>
              <w:rPr>
                <w:rFonts w:ascii="宋体" w:hAnsi="宋体"/>
              </w:rPr>
            </w:pPr>
            <w:r>
              <w:rPr>
                <w:rFonts w:ascii="宋体" w:hAnsi="宋体" w:hint="eastAsia"/>
              </w:rPr>
              <w:t>聚甲醛</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71</w:t>
            </w:r>
          </w:p>
        </w:tc>
        <w:tc>
          <w:tcPr>
            <w:tcW w:w="1131" w:type="dxa"/>
            <w:vAlign w:val="center"/>
          </w:tcPr>
          <w:p>
            <w:pPr>
              <w:jc w:val="right"/>
              <w:rPr>
                <w:rFonts w:ascii="宋体" w:hAnsi="宋体"/>
              </w:rPr>
            </w:pPr>
            <w:r>
              <w:rPr>
                <w:rFonts w:ascii="宋体" w:hAnsi="宋体"/>
              </w:rPr>
              <w:t>71</w:t>
            </w:r>
          </w:p>
        </w:tc>
        <w:tc>
          <w:tcPr>
            <w:tcW w:w="1131" w:type="dxa"/>
            <w:vAlign w:val="center"/>
          </w:tcPr>
          <w:p>
            <w:pPr>
              <w:jc w:val="right"/>
              <w:rPr>
                <w:rFonts w:ascii="宋体" w:hAnsi="宋体"/>
              </w:rPr>
            </w:pPr>
            <w:r>
              <w:rPr>
                <w:rFonts w:ascii="宋体" w:hAnsi="宋体"/>
              </w:rPr>
              <w:t xml:space="preserve">1 </w:t>
            </w:r>
          </w:p>
        </w:tc>
        <w:tc>
          <w:tcPr>
            <w:tcW w:w="1131" w:type="dxa"/>
          </w:tcPr>
          <w:p>
            <w:pPr>
              <w:jc w:val="right"/>
              <w:rPr>
                <w:rFonts w:ascii="宋体" w:hAnsi="宋体"/>
              </w:rPr>
            </w:pPr>
            <w:r>
              <w:rPr>
                <w:rFonts w:ascii="宋体" w:hAnsi="宋体"/>
              </w:rPr>
              <w:t xml:space="preserve">8.60 </w:t>
            </w:r>
          </w:p>
        </w:tc>
        <w:tc>
          <w:tcPr>
            <w:tcW w:w="1131" w:type="dxa"/>
          </w:tcPr>
          <w:p>
            <w:pPr>
              <w:jc w:val="right"/>
              <w:rPr>
                <w:rFonts w:ascii="宋体" w:hAnsi="宋体"/>
              </w:rPr>
            </w:pPr>
            <w:r>
              <w:rPr>
                <w:rFonts w:ascii="宋体" w:hAnsi="宋体"/>
              </w:rPr>
              <w:t xml:space="preserve">8.73 </w:t>
            </w:r>
          </w:p>
        </w:tc>
        <w:tc>
          <w:tcPr>
            <w:tcW w:w="1131" w:type="dxa"/>
            <w:vAlign w:val="center"/>
          </w:tcPr>
          <w:p>
            <w:pPr>
              <w:jc w:val="right"/>
              <w:rPr>
                <w:rFonts w:ascii="宋体" w:hAnsi="宋体"/>
              </w:rPr>
            </w:pPr>
            <w:r>
              <w:rPr>
                <w:rFonts w:ascii="宋体" w:hAnsi="宋体"/>
              </w:rPr>
              <w:t xml:space="preserve">3.50 </w:t>
            </w:r>
          </w:p>
        </w:tc>
      </w:tr>
      <w:tr>
        <w:trPr>
          <w:trHeight w:val="248"/>
          <w:jc w:val="center"/>
        </w:trPr>
        <w:tc>
          <w:tcPr>
            <w:tcW w:w="1701" w:type="dxa"/>
          </w:tcPr>
          <w:p>
            <w:pPr>
              <w:pStyle w:val="Style49"/>
              <w:rPr>
                <w:rFonts w:ascii="宋体" w:hAnsi="宋体"/>
              </w:rPr>
            </w:pPr>
            <w:r>
              <w:rPr>
                <w:rFonts w:ascii="宋体" w:hAnsi="宋体" w:hint="eastAsia"/>
              </w:rPr>
              <w:t>己内酰胺</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357</w:t>
            </w:r>
          </w:p>
        </w:tc>
        <w:tc>
          <w:tcPr>
            <w:tcW w:w="1131" w:type="dxa"/>
            <w:vAlign w:val="center"/>
          </w:tcPr>
          <w:p>
            <w:pPr>
              <w:jc w:val="right"/>
              <w:rPr>
                <w:rFonts w:ascii="宋体" w:hAnsi="宋体"/>
              </w:rPr>
            </w:pPr>
            <w:r>
              <w:rPr>
                <w:rFonts w:ascii="宋体" w:hAnsi="宋体"/>
              </w:rPr>
              <w:t>355</w:t>
            </w:r>
          </w:p>
        </w:tc>
        <w:tc>
          <w:tcPr>
            <w:tcW w:w="1131" w:type="dxa"/>
            <w:vAlign w:val="center"/>
          </w:tcPr>
          <w:p>
            <w:pPr>
              <w:jc w:val="right"/>
              <w:rPr>
                <w:rFonts w:ascii="宋体" w:hAnsi="宋体"/>
              </w:rPr>
            </w:pPr>
            <w:r>
              <w:rPr>
                <w:rFonts w:ascii="宋体" w:hAnsi="宋体"/>
              </w:rPr>
              <w:t xml:space="preserve">7 </w:t>
            </w:r>
          </w:p>
        </w:tc>
        <w:tc>
          <w:tcPr>
            <w:tcW w:w="1131" w:type="dxa"/>
          </w:tcPr>
          <w:p>
            <w:pPr>
              <w:jc w:val="right"/>
              <w:rPr>
                <w:rFonts w:ascii="宋体" w:hAnsi="宋体"/>
              </w:rPr>
            </w:pPr>
            <w:r>
              <w:rPr>
                <w:rFonts w:ascii="宋体" w:hAnsi="宋体"/>
              </w:rPr>
              <w:t xml:space="preserve">6.08 </w:t>
            </w:r>
          </w:p>
        </w:tc>
        <w:tc>
          <w:tcPr>
            <w:tcW w:w="1131" w:type="dxa"/>
          </w:tcPr>
          <w:p>
            <w:pPr>
              <w:jc w:val="right"/>
              <w:rPr>
                <w:rFonts w:ascii="宋体" w:hAnsi="宋体"/>
              </w:rPr>
            </w:pPr>
            <w:r>
              <w:rPr>
                <w:rFonts w:ascii="宋体" w:hAnsi="宋体"/>
              </w:rPr>
              <w:t xml:space="preserve">5.80 </w:t>
            </w:r>
          </w:p>
        </w:tc>
        <w:tc>
          <w:tcPr>
            <w:tcW w:w="1131" w:type="dxa"/>
            <w:vAlign w:val="center"/>
          </w:tcPr>
          <w:p>
            <w:pPr>
              <w:jc w:val="right"/>
              <w:rPr>
                <w:rFonts w:ascii="宋体" w:hAnsi="宋体"/>
              </w:rPr>
            </w:pPr>
            <w:r>
              <w:rPr>
                <w:rFonts w:ascii="宋体" w:hAnsi="宋体"/>
              </w:rPr>
              <w:t xml:space="preserve">30.35 </w:t>
            </w:r>
          </w:p>
        </w:tc>
      </w:tr>
      <w:tr>
        <w:trPr>
          <w:trHeight w:val="248"/>
          <w:jc w:val="center"/>
        </w:trPr>
        <w:tc>
          <w:tcPr>
            <w:tcW w:w="1701" w:type="dxa"/>
          </w:tcPr>
          <w:p>
            <w:pPr>
              <w:pStyle w:val="Style49"/>
              <w:rPr>
                <w:rFonts w:ascii="宋体" w:hAnsi="宋体"/>
              </w:rPr>
            </w:pPr>
            <w:r>
              <w:rPr>
                <w:rFonts w:ascii="宋体" w:hAnsi="宋体" w:hint="eastAsia"/>
              </w:rPr>
              <w:t xml:space="preserve">全馏分液体石蜡 </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447</w:t>
            </w:r>
          </w:p>
        </w:tc>
        <w:tc>
          <w:tcPr>
            <w:tcW w:w="1131" w:type="dxa"/>
            <w:vAlign w:val="center"/>
          </w:tcPr>
          <w:p>
            <w:pPr>
              <w:jc w:val="right"/>
              <w:rPr>
                <w:rFonts w:ascii="宋体" w:hAnsi="宋体"/>
              </w:rPr>
            </w:pPr>
            <w:r>
              <w:rPr>
                <w:rFonts w:ascii="宋体" w:hAnsi="宋体"/>
              </w:rPr>
              <w:t>446</w:t>
            </w:r>
          </w:p>
        </w:tc>
        <w:tc>
          <w:tcPr>
            <w:tcW w:w="1131" w:type="dxa"/>
            <w:vAlign w:val="center"/>
          </w:tcPr>
          <w:p>
            <w:pPr>
              <w:jc w:val="right"/>
              <w:rPr>
                <w:rFonts w:ascii="宋体" w:hAnsi="宋体"/>
              </w:rPr>
            </w:pPr>
            <w:r>
              <w:rPr>
                <w:rFonts w:ascii="宋体" w:hAnsi="宋体"/>
              </w:rPr>
              <w:t xml:space="preserve">6 </w:t>
            </w:r>
          </w:p>
        </w:tc>
        <w:tc>
          <w:tcPr>
            <w:tcW w:w="1131" w:type="dxa"/>
          </w:tcPr>
          <w:p>
            <w:pPr>
              <w:jc w:val="right"/>
              <w:rPr>
                <w:rFonts w:ascii="宋体" w:hAnsi="宋体"/>
              </w:rPr>
            </w:pPr>
            <w:r>
              <w:rPr>
                <w:rFonts w:ascii="宋体" w:hAnsi="宋体"/>
              </w:rPr>
              <w:t xml:space="preserve">285.48 </w:t>
            </w:r>
          </w:p>
        </w:tc>
        <w:tc>
          <w:tcPr>
            <w:tcW w:w="1131" w:type="dxa"/>
          </w:tcPr>
          <w:p>
            <w:pPr>
              <w:jc w:val="right"/>
              <w:rPr>
                <w:rFonts w:ascii="宋体" w:hAnsi="宋体"/>
              </w:rPr>
            </w:pPr>
            <w:r>
              <w:rPr>
                <w:rFonts w:ascii="宋体" w:hAnsi="宋体"/>
              </w:rPr>
              <w:t xml:space="preserve">301.99 </w:t>
            </w:r>
          </w:p>
        </w:tc>
        <w:tc>
          <w:tcPr>
            <w:tcW w:w="1131" w:type="dxa"/>
            <w:vAlign w:val="center"/>
          </w:tcPr>
          <w:p>
            <w:pPr>
              <w:jc w:val="right"/>
              <w:rPr>
                <w:rFonts w:ascii="宋体" w:hAnsi="宋体"/>
              </w:rPr>
            </w:pPr>
            <w:r>
              <w:rPr>
                <w:rFonts w:ascii="宋体" w:hAnsi="宋体"/>
              </w:rPr>
              <w:t xml:space="preserve">19.95 </w:t>
            </w:r>
          </w:p>
        </w:tc>
      </w:tr>
      <w:tr>
        <w:trPr>
          <w:trHeight w:val="248"/>
          <w:jc w:val="center"/>
        </w:trPr>
        <w:tc>
          <w:tcPr>
            <w:tcW w:w="1701" w:type="dxa"/>
          </w:tcPr>
          <w:p>
            <w:pPr>
              <w:pStyle w:val="Style49"/>
              <w:rPr>
                <w:rFonts w:ascii="宋体" w:hAnsi="宋体"/>
              </w:rPr>
            </w:pPr>
            <w:r>
              <w:rPr>
                <w:rFonts w:ascii="宋体" w:hAnsi="宋体" w:hint="eastAsia"/>
              </w:rPr>
              <w:t>石脑油</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257</w:t>
            </w:r>
          </w:p>
        </w:tc>
        <w:tc>
          <w:tcPr>
            <w:tcW w:w="1131" w:type="dxa"/>
            <w:vAlign w:val="center"/>
          </w:tcPr>
          <w:p>
            <w:pPr>
              <w:jc w:val="right"/>
              <w:rPr>
                <w:rFonts w:ascii="宋体" w:hAnsi="宋体"/>
              </w:rPr>
            </w:pPr>
            <w:r>
              <w:rPr>
                <w:rFonts w:ascii="宋体" w:hAnsi="宋体"/>
              </w:rPr>
              <w:t>257</w:t>
            </w:r>
          </w:p>
        </w:tc>
        <w:tc>
          <w:tcPr>
            <w:tcW w:w="1131" w:type="dxa"/>
            <w:vAlign w:val="center"/>
          </w:tcPr>
          <w:p>
            <w:pPr>
              <w:jc w:val="right"/>
              <w:rPr>
                <w:rFonts w:ascii="宋体" w:hAnsi="宋体"/>
              </w:rPr>
            </w:pPr>
            <w:r>
              <w:rPr>
                <w:rFonts w:ascii="宋体" w:hAnsi="宋体"/>
              </w:rPr>
              <w:t xml:space="preserve">3 </w:t>
            </w:r>
          </w:p>
        </w:tc>
        <w:tc>
          <w:tcPr>
            <w:tcW w:w="1131" w:type="dxa"/>
          </w:tcPr>
          <w:p>
            <w:pPr>
              <w:jc w:val="right"/>
              <w:rPr>
                <w:rFonts w:ascii="宋体" w:hAnsi="宋体"/>
              </w:rPr>
            </w:pPr>
            <w:r>
              <w:rPr>
                <w:rFonts w:ascii="宋体" w:hAnsi="宋体"/>
              </w:rPr>
              <w:t xml:space="preserve">10.22 </w:t>
            </w:r>
          </w:p>
        </w:tc>
        <w:tc>
          <w:tcPr>
            <w:tcW w:w="1131" w:type="dxa"/>
          </w:tcPr>
          <w:p>
            <w:pPr>
              <w:jc w:val="right"/>
              <w:rPr>
                <w:rFonts w:ascii="宋体" w:hAnsi="宋体"/>
              </w:rPr>
            </w:pPr>
            <w:r>
              <w:rPr>
                <w:rFonts w:ascii="宋体" w:hAnsi="宋体"/>
              </w:rPr>
              <w:t xml:space="preserve">9.49 </w:t>
            </w:r>
          </w:p>
        </w:tc>
        <w:tc>
          <w:tcPr>
            <w:tcW w:w="1131" w:type="dxa"/>
            <w:vAlign w:val="center"/>
          </w:tcPr>
          <w:p>
            <w:pPr>
              <w:jc w:val="right"/>
              <w:rPr>
                <w:rFonts w:ascii="宋体" w:hAnsi="宋体"/>
              </w:rPr>
            </w:pPr>
            <w:r>
              <w:rPr>
                <w:rFonts w:ascii="宋体" w:hAnsi="宋体"/>
              </w:rPr>
              <w:t xml:space="preserve">-0.56 </w:t>
            </w:r>
          </w:p>
        </w:tc>
      </w:tr>
      <w:tr>
        <w:trPr>
          <w:trHeight w:val="248"/>
          <w:jc w:val="center"/>
        </w:trPr>
        <w:tc>
          <w:tcPr>
            <w:tcW w:w="1701" w:type="dxa"/>
          </w:tcPr>
          <w:p>
            <w:pPr>
              <w:pStyle w:val="Style49"/>
              <w:rPr>
                <w:rFonts w:ascii="宋体" w:hAnsi="宋体"/>
              </w:rPr>
            </w:pPr>
            <w:r>
              <w:rPr>
                <w:rFonts w:ascii="宋体" w:hAnsi="宋体" w:hint="eastAsia"/>
              </w:rPr>
              <w:t>尿素</w:t>
            </w:r>
          </w:p>
        </w:tc>
        <w:tc>
          <w:tcPr>
            <w:tcW w:w="1129" w:type="dxa"/>
            <w:vAlign w:val="center"/>
          </w:tcPr>
          <w:p>
            <w:pPr>
              <w:jc w:val="center"/>
              <w:rPr>
                <w:rFonts w:ascii="宋体" w:hAnsi="宋体"/>
              </w:rPr>
            </w:pPr>
            <w:r>
              <w:rPr>
                <w:rFonts w:ascii="宋体" w:hAnsi="宋体" w:hint="eastAsia"/>
              </w:rPr>
              <w:t>千吨</w:t>
            </w:r>
          </w:p>
        </w:tc>
        <w:tc>
          <w:tcPr>
            <w:tcW w:w="1129" w:type="dxa"/>
            <w:vAlign w:val="center"/>
          </w:tcPr>
          <w:p>
            <w:pPr>
              <w:jc w:val="right"/>
              <w:rPr>
                <w:rFonts w:ascii="宋体" w:hAnsi="宋体"/>
              </w:rPr>
            </w:pPr>
            <w:r>
              <w:rPr>
                <w:rFonts w:ascii="宋体" w:hAnsi="宋体"/>
              </w:rPr>
              <w:t>910</w:t>
            </w:r>
          </w:p>
        </w:tc>
        <w:tc>
          <w:tcPr>
            <w:tcW w:w="1131" w:type="dxa"/>
            <w:vAlign w:val="center"/>
          </w:tcPr>
          <w:p>
            <w:pPr>
              <w:jc w:val="right"/>
              <w:rPr>
                <w:rFonts w:ascii="宋体" w:hAnsi="宋体"/>
              </w:rPr>
            </w:pPr>
            <w:r>
              <w:rPr>
                <w:rFonts w:ascii="宋体" w:hAnsi="宋体"/>
              </w:rPr>
              <w:t>846</w:t>
            </w:r>
          </w:p>
        </w:tc>
        <w:tc>
          <w:tcPr>
            <w:tcW w:w="1131" w:type="dxa"/>
            <w:vAlign w:val="center"/>
          </w:tcPr>
          <w:p>
            <w:pPr>
              <w:jc w:val="right"/>
              <w:rPr>
                <w:rFonts w:ascii="宋体" w:hAnsi="宋体"/>
              </w:rPr>
            </w:pPr>
            <w:r>
              <w:rPr>
                <w:rFonts w:ascii="宋体" w:hAnsi="宋体"/>
              </w:rPr>
              <w:t xml:space="preserve">99 </w:t>
            </w:r>
          </w:p>
        </w:tc>
        <w:tc>
          <w:tcPr>
            <w:tcW w:w="1131" w:type="dxa"/>
          </w:tcPr>
          <w:p>
            <w:pPr>
              <w:jc w:val="right"/>
              <w:rPr>
                <w:rFonts w:ascii="宋体" w:hAnsi="宋体"/>
              </w:rPr>
            </w:pPr>
            <w:r>
              <w:rPr>
                <w:rFonts w:ascii="宋体" w:hAnsi="宋体"/>
              </w:rPr>
              <w:t xml:space="preserve">27.17 </w:t>
            </w:r>
          </w:p>
        </w:tc>
        <w:tc>
          <w:tcPr>
            <w:tcW w:w="1131" w:type="dxa"/>
          </w:tcPr>
          <w:p>
            <w:pPr>
              <w:jc w:val="right"/>
              <w:rPr>
                <w:rFonts w:ascii="宋体" w:hAnsi="宋体"/>
              </w:rPr>
            </w:pPr>
            <w:r>
              <w:rPr>
                <w:rFonts w:ascii="宋体" w:hAnsi="宋体"/>
              </w:rPr>
              <w:t xml:space="preserve">27.34 </w:t>
            </w:r>
          </w:p>
        </w:tc>
        <w:tc>
          <w:tcPr>
            <w:tcW w:w="1131" w:type="dxa"/>
            <w:vAlign w:val="center"/>
          </w:tcPr>
          <w:p>
            <w:pPr>
              <w:jc w:val="right"/>
              <w:rPr>
                <w:rFonts w:ascii="宋体" w:hAnsi="宋体"/>
              </w:rPr>
            </w:pPr>
            <w:r>
              <w:rPr>
                <w:rFonts w:ascii="宋体" w:hAnsi="宋体"/>
              </w:rPr>
              <w:t xml:space="preserve">346.64 </w:t>
            </w:r>
          </w:p>
        </w:tc>
      </w:tr>
    </w:tbl>
    <w:p>
      <w:pPr>
        <w:pStyle w:val="Style49"/>
      </w:pPr>
    </w:p>
    <w:p>
      <w:pPr>
        <w:pStyle w:val="Style49"/>
      </w:pPr>
      <w:r>
        <w:rPr>
          <w:rFonts w:hint="eastAsia"/>
        </w:rPr>
        <w:t>产销量情况说明</w:t>
      </w:r>
    </w:p>
    <w:sdt>
      <w:sdtPr>
        <w:rPr>
          <w:rFonts w:hint="eastAsia"/>
        </w:rPr>
        <w:alias w:val="产销量情况说明"/>
        <w:tag w:val="_GBC_1aea839efa9940859168bf3f05061254"/>
        <w:id w:val="-1133642021"/>
        <w:placeholder>
          <w:docPart w:val="GBC22222222222222222222222222222"/>
        </w:placeholder>
      </w:sdtPr>
      <w:sdtContent>
        <w:p>
          <w:pPr>
            <w:ind w:firstLineChars="200" w:firstLine="420"/>
          </w:pPr>
          <w:r>
            <w:rPr>
              <w:rFonts w:hint="eastAsia"/>
            </w:rPr>
            <w:t>主要产品的产销量变动详情请见本节之“各业务分部经营情况”相关内容。</w:t>
          </w:r>
        </w:p>
      </w:sdtContent>
    </w:sdt>
    <w:p>
      <w:pPr>
        <w:pStyle w:val="Style49"/>
      </w:pPr>
    </w:p>
    <w:p>
      <w:pPr>
        <w:pStyle w:val="5"/>
        <w:numPr>
          <w:ilvl w:val="0"/>
          <w:numId w:val="17"/>
        </w:numPr>
        <w:tabs>
          <w:tab w:val="left" w:pos="567"/>
        </w:tabs>
        <w:ind w:leftChars="0"/>
      </w:pPr>
      <w:bookmarkStart w:id="75" w:name="_Hlk89876471"/>
      <w:r>
        <w:t>重大采购合同、重大销售合同的履行情况</w:t>
      </w:r>
    </w:p>
    <w:sdt>
      <w:sdtPr>
        <w:rPr>
          <w:rFonts w:hint="eastAsia"/>
        </w:rPr>
        <w:alias w:val="是否适用：重大采购合同、重大销售合同的履行情况 [双击切换]"/>
        <w:tag w:val="_GBC_7db64bb10282470b9d1599cd986236d4"/>
        <w:id w:val="-212753058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61"/>
      </w:pPr>
      <w:r>
        <w:br w:type="page"/>
      </w:r>
    </w:p>
    <w:p>
      <w:pPr>
        <w:pStyle w:val="Style49"/>
      </w:pPr>
    </w:p>
    <w:bookmarkEnd w:id="75"/>
    <w:p>
      <w:pPr>
        <w:pStyle w:val="5"/>
        <w:numPr>
          <w:ilvl w:val="0"/>
          <w:numId w:val="17"/>
        </w:numPr>
        <w:tabs>
          <w:tab w:val="left" w:pos="567"/>
        </w:tabs>
        <w:ind w:leftChars="0"/>
      </w:pPr>
      <w:r>
        <w:t>成本分析表</w:t>
      </w:r>
    </w:p>
    <w:p>
      <w:pPr>
        <w:pStyle w:val="aff9"/>
        <w:wordWrap w:val="0"/>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8457815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百万元</w:t>
          </w:r>
        </w:sdtContent>
      </w:sdt>
      <w:r>
        <w:rPr>
          <w:rFonts w:hint="eastAsia"/>
          <w:szCs w:val="21"/>
        </w:rPr>
        <w:t xml:space="preserve">  </w:t>
      </w:r>
      <w:r>
        <w:rPr>
          <w:rFonts w:hint="eastAsia"/>
          <w:szCs w:val="21"/>
        </w:rPr>
        <w:t>币种：</w:t>
      </w:r>
      <w:sdt>
        <w:sdtPr>
          <w:rPr>
            <w:rFonts w:hint="eastAsia"/>
            <w:szCs w:val="21"/>
          </w:rPr>
          <w:alias w:val="币种：成本分析表"/>
          <w:tag w:val="_GBC_5c55578755b74bb6835d3a10e2d5f7d9"/>
          <w:id w:val="3619473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p>
      <w:pPr>
        <w:pStyle w:val="aff9"/>
        <w:ind w:firstLineChars="0" w:firstLine="0"/>
        <w:jc w:val="right"/>
        <w:rPr>
          <w:szCs w:val="21"/>
        </w:rPr>
      </w:pPr>
    </w:p>
    <w:tbl>
      <w:tblPr>
        <w:tblStyle w:val="aff4"/>
        <w:tblW w:w="8782" w:type="dxa"/>
        <w:jc w:val="center"/>
        <w:tblLayout w:type="fixed"/>
        <w:tblLook w:val="04A0" w:firstRow="1" w:lastRow="0" w:firstColumn="1" w:lastColumn="0" w:noHBand="0" w:noVBand="1"/>
      </w:tblPr>
      <w:tblGrid>
        <w:gridCol w:w="1917"/>
        <w:gridCol w:w="1064"/>
        <w:gridCol w:w="1407"/>
        <w:gridCol w:w="1275"/>
        <w:gridCol w:w="1418"/>
        <w:gridCol w:w="1701"/>
      </w:tblGrid>
      <w:tr>
        <w:trPr>
          <w:trHeight w:val="135"/>
          <w:jc w:val="center"/>
        </w:trPr>
        <w:tc>
          <w:tcPr>
            <w:tcW w:w="1917" w:type="dxa"/>
            <w:vAlign w:val="center"/>
          </w:tcPr>
          <w:p>
            <w:pPr>
              <w:jc w:val="left"/>
              <w:rPr>
                <w:rFonts w:ascii="宋体" w:hAnsi="宋体"/>
              </w:rPr>
            </w:pPr>
            <w:r>
              <w:rPr>
                <w:rFonts w:ascii="宋体" w:hAnsi="宋体" w:hint="eastAsia"/>
              </w:rPr>
              <w:t>煤炭</w:t>
            </w:r>
            <w:sdt>
              <w:sdtPr>
                <w:rPr>
                  <w:rFonts w:ascii="宋体" w:hAnsi="宋体"/>
                </w:rPr>
                <w:tag w:val="_PLD_11eb33bcb20d4489a1b9fff2216d0a84"/>
                <w:id w:val="-52470699"/>
              </w:sdtPr>
              <w:sdtContent>
                <w:r>
                  <w:rPr>
                    <w:rFonts w:ascii="宋体" w:hAnsi="宋体"/>
                  </w:rPr>
                  <w:t>成本构成项目</w:t>
                </w:r>
              </w:sdtContent>
            </w:sdt>
          </w:p>
        </w:tc>
        <w:sdt>
          <w:sdtPr>
            <w:rPr>
              <w:rFonts w:ascii="宋体" w:hAnsi="宋体"/>
              <w:sz w:val="20"/>
              <w:szCs w:val="20"/>
            </w:rPr>
            <w:tag w:val="_PLD_25c03477e66a432199f6493c38aaca71"/>
            <w:id w:val="-2146876066"/>
          </w:sdtPr>
          <w:sdtContent>
            <w:tc>
              <w:tcPr>
                <w:tcW w:w="1064" w:type="dxa"/>
                <w:vAlign w:val="center"/>
              </w:tcPr>
              <w:p>
                <w:pPr>
                  <w:jc w:val="center"/>
                  <w:rPr>
                    <w:rFonts w:ascii="宋体" w:hAnsi="宋体"/>
                  </w:rPr>
                </w:pPr>
                <w:r>
                  <w:rPr>
                    <w:rFonts w:ascii="宋体" w:hAnsi="宋体"/>
                  </w:rPr>
                  <w:t>本期金额</w:t>
                </w:r>
              </w:p>
            </w:tc>
          </w:sdtContent>
        </w:sdt>
        <w:sdt>
          <w:sdtPr>
            <w:rPr>
              <w:rFonts w:ascii="宋体" w:hAnsi="宋体"/>
              <w:sz w:val="20"/>
              <w:szCs w:val="20"/>
            </w:rPr>
            <w:tag w:val="_PLD_29b86b13ed1449cfb64b8547d9ed08a7"/>
            <w:id w:val="-2135859005"/>
          </w:sdtPr>
          <w:sdtContent>
            <w:tc>
              <w:tcPr>
                <w:tcW w:w="1407" w:type="dxa"/>
                <w:vAlign w:val="center"/>
              </w:tcPr>
              <w:p>
                <w:pPr>
                  <w:jc w:val="center"/>
                  <w:rPr>
                    <w:rFonts w:ascii="宋体" w:hAnsi="宋体"/>
                  </w:rPr>
                </w:pPr>
                <w:r>
                  <w:rPr>
                    <w:rFonts w:ascii="宋体" w:hAnsi="宋体"/>
                  </w:rPr>
                  <w:t>本期占总成本比例(</w:t>
                </w:r>
                <w:r>
                  <w:rPr>
                    <w:rFonts w:ascii="宋体" w:hAnsi="宋体" w:hint="eastAsia"/>
                  </w:rPr>
                  <w:t>%</w:t>
                </w:r>
                <w:r>
                  <w:rPr>
                    <w:rFonts w:ascii="宋体" w:hAnsi="宋体"/>
                  </w:rPr>
                  <w:t>)</w:t>
                </w:r>
              </w:p>
            </w:tc>
          </w:sdtContent>
        </w:sdt>
        <w:sdt>
          <w:sdtPr>
            <w:rPr>
              <w:rFonts w:ascii="宋体" w:hAnsi="宋体"/>
              <w:sz w:val="20"/>
              <w:szCs w:val="20"/>
            </w:rPr>
            <w:tag w:val="_PLD_5ff02c2ae2d941d5bb2ed5b1e6bfa8e6"/>
            <w:id w:val="1732656602"/>
          </w:sdtPr>
          <w:sdtContent>
            <w:tc>
              <w:tcPr>
                <w:tcW w:w="1275" w:type="dxa"/>
                <w:vAlign w:val="center"/>
              </w:tcPr>
              <w:p>
                <w:pPr>
                  <w:jc w:val="center"/>
                  <w:rPr>
                    <w:rFonts w:ascii="宋体" w:hAnsi="宋体"/>
                  </w:rPr>
                </w:pPr>
                <w:r>
                  <w:rPr>
                    <w:rFonts w:ascii="宋体" w:hAnsi="宋体"/>
                  </w:rPr>
                  <w:t>上年同期</w:t>
                </w:r>
              </w:p>
              <w:p>
                <w:pPr>
                  <w:jc w:val="center"/>
                  <w:rPr>
                    <w:rFonts w:ascii="宋体" w:hAnsi="宋体"/>
                  </w:rPr>
                </w:pPr>
                <w:r>
                  <w:rPr>
                    <w:rFonts w:ascii="宋体" w:hAnsi="宋体"/>
                  </w:rPr>
                  <w:t>金额</w:t>
                </w:r>
              </w:p>
            </w:tc>
          </w:sdtContent>
        </w:sdt>
        <w:sdt>
          <w:sdtPr>
            <w:rPr>
              <w:rFonts w:ascii="宋体" w:hAnsi="宋体"/>
              <w:sz w:val="20"/>
              <w:szCs w:val="20"/>
            </w:rPr>
            <w:tag w:val="_PLD_517f7979a01748fba12b11d5561fdcdd"/>
            <w:id w:val="875354826"/>
          </w:sdtPr>
          <w:sdtContent>
            <w:tc>
              <w:tcPr>
                <w:tcW w:w="1418" w:type="dxa"/>
                <w:vAlign w:val="center"/>
              </w:tcPr>
              <w:p>
                <w:pPr>
                  <w:jc w:val="center"/>
                  <w:rPr>
                    <w:rFonts w:ascii="宋体" w:hAnsi="宋体"/>
                  </w:rPr>
                </w:pPr>
                <w:r>
                  <w:rPr>
                    <w:rFonts w:ascii="宋体" w:hAnsi="宋体"/>
                  </w:rPr>
                  <w:t>上年同期占总成本比例(</w:t>
                </w:r>
                <w:r>
                  <w:rPr>
                    <w:rFonts w:ascii="宋体" w:hAnsi="宋体" w:hint="eastAsia"/>
                  </w:rPr>
                  <w:t>%</w:t>
                </w:r>
                <w:r>
                  <w:rPr>
                    <w:rFonts w:ascii="宋体" w:hAnsi="宋体"/>
                  </w:rPr>
                  <w:t>)</w:t>
                </w:r>
              </w:p>
            </w:tc>
          </w:sdtContent>
        </w:sdt>
        <w:sdt>
          <w:sdtPr>
            <w:rPr>
              <w:rFonts w:ascii="宋体" w:hAnsi="宋体"/>
              <w:sz w:val="20"/>
              <w:szCs w:val="20"/>
            </w:rPr>
            <w:tag w:val="_PLD_51133d067ddc4eeda00133d4c26d206f"/>
            <w:id w:val="-274559382"/>
          </w:sdtPr>
          <w:sdtContent>
            <w:tc>
              <w:tcPr>
                <w:tcW w:w="1701" w:type="dxa"/>
                <w:vAlign w:val="center"/>
              </w:tcPr>
              <w:p>
                <w:pPr>
                  <w:jc w:val="center"/>
                  <w:rPr>
                    <w:rFonts w:ascii="宋体" w:hAnsi="宋体"/>
                  </w:rPr>
                </w:pPr>
                <w:r>
                  <w:rPr>
                    <w:rFonts w:ascii="宋体" w:hAnsi="宋体"/>
                  </w:rPr>
                  <w:t>本期金额较上年同期变动比例(</w:t>
                </w:r>
                <w:r>
                  <w:rPr>
                    <w:rFonts w:ascii="宋体" w:hAnsi="宋体" w:hint="eastAsia"/>
                  </w:rPr>
                  <w:t>%</w:t>
                </w:r>
                <w:r>
                  <w:rPr>
                    <w:rFonts w:ascii="宋体" w:hAnsi="宋体"/>
                  </w:rPr>
                  <w:t>)</w:t>
                </w:r>
              </w:p>
            </w:tc>
          </w:sdtContent>
        </w:sdt>
      </w:tr>
      <w:tr>
        <w:trPr>
          <w:trHeight w:val="165"/>
          <w:jc w:val="center"/>
        </w:trPr>
        <w:tc>
          <w:tcPr>
            <w:tcW w:w="1917" w:type="dxa"/>
          </w:tcPr>
          <w:p>
            <w:pPr>
              <w:pStyle w:val="Style49"/>
            </w:pPr>
            <w:r>
              <w:rPr>
                <w:rFonts w:hint="eastAsia"/>
              </w:rPr>
              <w:t>一、自产煤成本</w:t>
            </w:r>
          </w:p>
        </w:tc>
        <w:tc>
          <w:tcPr>
            <w:tcW w:w="1064" w:type="dxa"/>
            <w:vAlign w:val="center"/>
          </w:tcPr>
          <w:p>
            <w:pPr>
              <w:jc w:val="right"/>
              <w:rPr>
                <w:rFonts w:ascii="宋体" w:hAnsi="宋体"/>
              </w:rPr>
            </w:pPr>
            <w:r>
              <w:rPr>
                <w:rFonts w:ascii="宋体" w:hAnsi="宋体"/>
              </w:rPr>
              <w:t>53,098</w:t>
            </w:r>
          </w:p>
        </w:tc>
        <w:tc>
          <w:tcPr>
            <w:tcW w:w="1407" w:type="dxa"/>
            <w:vAlign w:val="center"/>
          </w:tcPr>
          <w:p>
            <w:pPr>
              <w:jc w:val="right"/>
              <w:rPr>
                <w:rFonts w:ascii="宋体" w:hAnsi="宋体"/>
              </w:rPr>
            </w:pPr>
            <w:r>
              <w:rPr>
                <w:rFonts w:ascii="宋体" w:hAnsi="宋体"/>
              </w:rPr>
              <w:t>100</w:t>
            </w:r>
          </w:p>
        </w:tc>
        <w:tc>
          <w:tcPr>
            <w:tcW w:w="1275" w:type="dxa"/>
            <w:vAlign w:val="center"/>
          </w:tcPr>
          <w:p>
            <w:pPr>
              <w:jc w:val="right"/>
              <w:rPr>
                <w:rFonts w:ascii="宋体" w:hAnsi="宋体"/>
              </w:rPr>
            </w:pPr>
            <w:r>
              <w:rPr>
                <w:rFonts w:ascii="宋体" w:hAnsi="宋体"/>
              </w:rPr>
              <w:t>53,181</w:t>
            </w:r>
          </w:p>
        </w:tc>
        <w:tc>
          <w:tcPr>
            <w:tcW w:w="1418" w:type="dxa"/>
            <w:vAlign w:val="center"/>
          </w:tcPr>
          <w:p>
            <w:pPr>
              <w:jc w:val="right"/>
              <w:rPr>
                <w:rFonts w:ascii="宋体" w:hAnsi="宋体"/>
              </w:rPr>
            </w:pPr>
            <w:r>
              <w:rPr>
                <w:rFonts w:ascii="宋体" w:hAnsi="宋体"/>
              </w:rPr>
              <w:t>100</w:t>
            </w:r>
          </w:p>
        </w:tc>
        <w:tc>
          <w:tcPr>
            <w:tcW w:w="1701" w:type="dxa"/>
            <w:vAlign w:val="center"/>
          </w:tcPr>
          <w:p>
            <w:pPr>
              <w:jc w:val="right"/>
              <w:rPr>
                <w:rFonts w:ascii="宋体" w:hAnsi="宋体"/>
              </w:rPr>
            </w:pPr>
            <w:r>
              <w:rPr>
                <w:rFonts w:ascii="宋体" w:hAnsi="宋体"/>
              </w:rPr>
              <w:t>-0.16</w:t>
            </w:r>
          </w:p>
        </w:tc>
      </w:tr>
      <w:tr>
        <w:trPr>
          <w:trHeight w:val="165"/>
          <w:jc w:val="center"/>
        </w:trPr>
        <w:tc>
          <w:tcPr>
            <w:tcW w:w="1917" w:type="dxa"/>
          </w:tcPr>
          <w:p>
            <w:pPr>
              <w:pStyle w:val="Style49"/>
              <w:ind w:firstLineChars="200" w:firstLine="420"/>
            </w:pPr>
            <w:r>
              <w:rPr>
                <w:rFonts w:ascii="宋体" w:hAnsi="宋体" w:hint="eastAsia"/>
              </w:rPr>
              <w:t>1.材料</w:t>
            </w:r>
          </w:p>
        </w:tc>
        <w:tc>
          <w:tcPr>
            <w:tcW w:w="1064" w:type="dxa"/>
            <w:vAlign w:val="center"/>
          </w:tcPr>
          <w:p>
            <w:pPr>
              <w:jc w:val="right"/>
              <w:rPr>
                <w:rFonts w:ascii="宋体" w:hAnsi="宋体"/>
              </w:rPr>
            </w:pPr>
            <w:r>
              <w:rPr>
                <w:rFonts w:ascii="宋体" w:hAnsi="宋体"/>
              </w:rPr>
              <w:t>7,031</w:t>
            </w:r>
          </w:p>
        </w:tc>
        <w:tc>
          <w:tcPr>
            <w:tcW w:w="1407" w:type="dxa"/>
            <w:vAlign w:val="center"/>
          </w:tcPr>
          <w:p>
            <w:pPr>
              <w:jc w:val="right"/>
              <w:rPr>
                <w:rFonts w:ascii="宋体" w:hAnsi="宋体"/>
              </w:rPr>
            </w:pPr>
            <w:r>
              <w:rPr>
                <w:rFonts w:ascii="宋体" w:hAnsi="宋体"/>
              </w:rPr>
              <w:t>13.24</w:t>
            </w:r>
          </w:p>
        </w:tc>
        <w:tc>
          <w:tcPr>
            <w:tcW w:w="1275" w:type="dxa"/>
            <w:vAlign w:val="center"/>
          </w:tcPr>
          <w:p>
            <w:pPr>
              <w:jc w:val="right"/>
              <w:rPr>
                <w:rFonts w:ascii="宋体" w:hAnsi="宋体"/>
              </w:rPr>
            </w:pPr>
            <w:r>
              <w:rPr>
                <w:rFonts w:ascii="宋体" w:hAnsi="宋体"/>
              </w:rPr>
              <w:t>6,852</w:t>
            </w:r>
          </w:p>
        </w:tc>
        <w:tc>
          <w:tcPr>
            <w:tcW w:w="1418" w:type="dxa"/>
            <w:vAlign w:val="center"/>
          </w:tcPr>
          <w:p>
            <w:pPr>
              <w:jc w:val="right"/>
              <w:rPr>
                <w:rFonts w:ascii="宋体" w:hAnsi="宋体"/>
              </w:rPr>
            </w:pPr>
            <w:r>
              <w:rPr>
                <w:rFonts w:ascii="宋体" w:hAnsi="宋体"/>
              </w:rPr>
              <w:t>12.88</w:t>
            </w:r>
          </w:p>
        </w:tc>
        <w:tc>
          <w:tcPr>
            <w:tcW w:w="1701" w:type="dxa"/>
            <w:vAlign w:val="center"/>
          </w:tcPr>
          <w:p>
            <w:pPr>
              <w:jc w:val="right"/>
              <w:rPr>
                <w:rFonts w:ascii="宋体" w:hAnsi="宋体"/>
              </w:rPr>
            </w:pPr>
            <w:r>
              <w:rPr>
                <w:rFonts w:ascii="宋体" w:hAnsi="宋体"/>
              </w:rPr>
              <w:t>2.62</w:t>
            </w:r>
          </w:p>
        </w:tc>
      </w:tr>
      <w:tr>
        <w:trPr>
          <w:trHeight w:val="165"/>
          <w:jc w:val="center"/>
        </w:trPr>
        <w:tc>
          <w:tcPr>
            <w:tcW w:w="1917" w:type="dxa"/>
          </w:tcPr>
          <w:p>
            <w:pPr>
              <w:pStyle w:val="Style49"/>
              <w:ind w:firstLineChars="200" w:firstLine="420"/>
            </w:pPr>
            <w:r>
              <w:rPr>
                <w:rFonts w:ascii="宋体" w:hAnsi="宋体" w:hint="eastAsia"/>
              </w:rPr>
              <w:t>2.工资及雇员福利</w:t>
            </w:r>
          </w:p>
        </w:tc>
        <w:tc>
          <w:tcPr>
            <w:tcW w:w="1064" w:type="dxa"/>
            <w:vAlign w:val="center"/>
          </w:tcPr>
          <w:p>
            <w:pPr>
              <w:jc w:val="right"/>
              <w:rPr>
                <w:rFonts w:ascii="宋体" w:hAnsi="宋体"/>
              </w:rPr>
            </w:pPr>
            <w:r>
              <w:rPr>
                <w:rFonts w:ascii="宋体" w:hAnsi="宋体"/>
              </w:rPr>
              <w:t>13,165</w:t>
            </w:r>
          </w:p>
        </w:tc>
        <w:tc>
          <w:tcPr>
            <w:tcW w:w="1407" w:type="dxa"/>
            <w:vAlign w:val="center"/>
          </w:tcPr>
          <w:p>
            <w:pPr>
              <w:jc w:val="right"/>
              <w:rPr>
                <w:rFonts w:ascii="宋体" w:hAnsi="宋体"/>
              </w:rPr>
            </w:pPr>
            <w:r>
              <w:rPr>
                <w:rFonts w:ascii="宋体" w:hAnsi="宋体"/>
              </w:rPr>
              <w:t>24.79</w:t>
            </w:r>
          </w:p>
        </w:tc>
        <w:tc>
          <w:tcPr>
            <w:tcW w:w="1275" w:type="dxa"/>
            <w:vAlign w:val="center"/>
          </w:tcPr>
          <w:p>
            <w:pPr>
              <w:jc w:val="right"/>
              <w:rPr>
                <w:rFonts w:ascii="宋体" w:hAnsi="宋体"/>
              </w:rPr>
            </w:pPr>
            <w:r>
              <w:rPr>
                <w:rFonts w:ascii="宋体" w:hAnsi="宋体"/>
              </w:rPr>
              <w:t>13,830</w:t>
            </w:r>
          </w:p>
        </w:tc>
        <w:tc>
          <w:tcPr>
            <w:tcW w:w="1418" w:type="dxa"/>
            <w:vAlign w:val="center"/>
          </w:tcPr>
          <w:p>
            <w:pPr>
              <w:jc w:val="right"/>
              <w:rPr>
                <w:rFonts w:ascii="宋体" w:hAnsi="宋体"/>
              </w:rPr>
            </w:pPr>
            <w:r>
              <w:rPr>
                <w:rFonts w:ascii="宋体" w:hAnsi="宋体"/>
              </w:rPr>
              <w:t>26.01</w:t>
            </w:r>
          </w:p>
        </w:tc>
        <w:tc>
          <w:tcPr>
            <w:tcW w:w="1701" w:type="dxa"/>
            <w:vAlign w:val="center"/>
          </w:tcPr>
          <w:p>
            <w:pPr>
              <w:jc w:val="right"/>
              <w:rPr>
                <w:rFonts w:ascii="宋体" w:hAnsi="宋体"/>
              </w:rPr>
            </w:pPr>
            <w:r>
              <w:rPr>
                <w:rFonts w:ascii="宋体" w:hAnsi="宋体"/>
              </w:rPr>
              <w:t>-4.81</w:t>
            </w:r>
          </w:p>
        </w:tc>
      </w:tr>
      <w:tr>
        <w:trPr>
          <w:trHeight w:val="165"/>
          <w:jc w:val="center"/>
        </w:trPr>
        <w:tc>
          <w:tcPr>
            <w:tcW w:w="1917" w:type="dxa"/>
          </w:tcPr>
          <w:p>
            <w:pPr>
              <w:pStyle w:val="Style49"/>
              <w:ind w:firstLineChars="200" w:firstLine="420"/>
            </w:pPr>
            <w:r>
              <w:rPr>
                <w:rFonts w:ascii="宋体" w:hAnsi="宋体" w:hint="eastAsia"/>
              </w:rPr>
              <w:t>3.电力</w:t>
            </w:r>
          </w:p>
        </w:tc>
        <w:tc>
          <w:tcPr>
            <w:tcW w:w="1064" w:type="dxa"/>
            <w:vAlign w:val="center"/>
          </w:tcPr>
          <w:p>
            <w:pPr>
              <w:jc w:val="right"/>
              <w:rPr>
                <w:rFonts w:ascii="宋体" w:hAnsi="宋体"/>
              </w:rPr>
            </w:pPr>
            <w:r>
              <w:rPr>
                <w:rFonts w:ascii="宋体" w:hAnsi="宋体"/>
              </w:rPr>
              <w:t>2,792</w:t>
            </w:r>
          </w:p>
        </w:tc>
        <w:tc>
          <w:tcPr>
            <w:tcW w:w="1407" w:type="dxa"/>
            <w:vAlign w:val="center"/>
          </w:tcPr>
          <w:p>
            <w:pPr>
              <w:jc w:val="right"/>
              <w:rPr>
                <w:rFonts w:ascii="宋体" w:hAnsi="宋体"/>
              </w:rPr>
            </w:pPr>
            <w:r>
              <w:rPr>
                <w:rFonts w:ascii="宋体" w:hAnsi="宋体"/>
              </w:rPr>
              <w:t>5.26</w:t>
            </w:r>
          </w:p>
        </w:tc>
        <w:tc>
          <w:tcPr>
            <w:tcW w:w="1275" w:type="dxa"/>
            <w:vAlign w:val="center"/>
          </w:tcPr>
          <w:p>
            <w:pPr>
              <w:jc w:val="right"/>
              <w:rPr>
                <w:rFonts w:ascii="宋体" w:hAnsi="宋体"/>
              </w:rPr>
            </w:pPr>
            <w:r>
              <w:rPr>
                <w:rFonts w:ascii="宋体" w:hAnsi="宋体"/>
              </w:rPr>
              <w:t>2,878</w:t>
            </w:r>
          </w:p>
        </w:tc>
        <w:tc>
          <w:tcPr>
            <w:tcW w:w="1418" w:type="dxa"/>
            <w:vAlign w:val="center"/>
          </w:tcPr>
          <w:p>
            <w:pPr>
              <w:jc w:val="right"/>
              <w:rPr>
                <w:rFonts w:ascii="宋体" w:hAnsi="宋体"/>
              </w:rPr>
            </w:pPr>
            <w:r>
              <w:rPr>
                <w:rFonts w:ascii="宋体" w:hAnsi="宋体"/>
              </w:rPr>
              <w:t>5.41</w:t>
            </w:r>
          </w:p>
        </w:tc>
        <w:tc>
          <w:tcPr>
            <w:tcW w:w="1701" w:type="dxa"/>
            <w:vAlign w:val="center"/>
          </w:tcPr>
          <w:p>
            <w:pPr>
              <w:jc w:val="right"/>
              <w:rPr>
                <w:rFonts w:ascii="宋体" w:hAnsi="宋体"/>
              </w:rPr>
            </w:pPr>
            <w:r>
              <w:rPr>
                <w:rFonts w:ascii="宋体" w:hAnsi="宋体"/>
              </w:rPr>
              <w:t>-3.00</w:t>
            </w:r>
          </w:p>
        </w:tc>
      </w:tr>
      <w:tr>
        <w:trPr>
          <w:trHeight w:val="165"/>
          <w:jc w:val="center"/>
        </w:trPr>
        <w:tc>
          <w:tcPr>
            <w:tcW w:w="1917" w:type="dxa"/>
          </w:tcPr>
          <w:p>
            <w:pPr>
              <w:pStyle w:val="Style49"/>
              <w:ind w:firstLineChars="200" w:firstLine="420"/>
            </w:pPr>
            <w:r>
              <w:rPr>
                <w:rFonts w:ascii="宋体" w:hAnsi="宋体" w:hint="eastAsia"/>
              </w:rPr>
              <w:t>4.折旧</w:t>
            </w:r>
          </w:p>
        </w:tc>
        <w:tc>
          <w:tcPr>
            <w:tcW w:w="1064" w:type="dxa"/>
            <w:vAlign w:val="center"/>
          </w:tcPr>
          <w:p>
            <w:pPr>
              <w:jc w:val="right"/>
              <w:rPr>
                <w:rFonts w:ascii="宋体" w:hAnsi="宋体"/>
              </w:rPr>
            </w:pPr>
            <w:r>
              <w:rPr>
                <w:rFonts w:ascii="宋体" w:hAnsi="宋体"/>
              </w:rPr>
              <w:t>7,327</w:t>
            </w:r>
          </w:p>
        </w:tc>
        <w:tc>
          <w:tcPr>
            <w:tcW w:w="1407" w:type="dxa"/>
            <w:vAlign w:val="center"/>
          </w:tcPr>
          <w:p>
            <w:pPr>
              <w:jc w:val="right"/>
              <w:rPr>
                <w:rFonts w:ascii="宋体" w:hAnsi="宋体"/>
              </w:rPr>
            </w:pPr>
            <w:r>
              <w:rPr>
                <w:rFonts w:ascii="宋体" w:hAnsi="宋体"/>
              </w:rPr>
              <w:t>13.80</w:t>
            </w:r>
          </w:p>
        </w:tc>
        <w:tc>
          <w:tcPr>
            <w:tcW w:w="1275" w:type="dxa"/>
            <w:vAlign w:val="center"/>
          </w:tcPr>
          <w:p>
            <w:pPr>
              <w:jc w:val="right"/>
              <w:rPr>
                <w:rFonts w:ascii="宋体" w:hAnsi="宋体"/>
              </w:rPr>
            </w:pPr>
            <w:r>
              <w:rPr>
                <w:rFonts w:ascii="宋体" w:hAnsi="宋体"/>
              </w:rPr>
              <w:t>6,842</w:t>
            </w:r>
          </w:p>
        </w:tc>
        <w:tc>
          <w:tcPr>
            <w:tcW w:w="1418" w:type="dxa"/>
            <w:vAlign w:val="center"/>
          </w:tcPr>
          <w:p>
            <w:pPr>
              <w:jc w:val="right"/>
              <w:rPr>
                <w:rFonts w:ascii="宋体" w:hAnsi="宋体"/>
              </w:rPr>
            </w:pPr>
            <w:r>
              <w:rPr>
                <w:rFonts w:ascii="宋体" w:hAnsi="宋体"/>
              </w:rPr>
              <w:t>12.87</w:t>
            </w:r>
          </w:p>
        </w:tc>
        <w:tc>
          <w:tcPr>
            <w:tcW w:w="1701" w:type="dxa"/>
            <w:vAlign w:val="center"/>
          </w:tcPr>
          <w:p>
            <w:pPr>
              <w:jc w:val="right"/>
              <w:rPr>
                <w:rFonts w:ascii="宋体" w:hAnsi="宋体"/>
              </w:rPr>
            </w:pPr>
            <w:r>
              <w:rPr>
                <w:rFonts w:ascii="宋体" w:hAnsi="宋体"/>
              </w:rPr>
              <w:t>7.08</w:t>
            </w:r>
          </w:p>
        </w:tc>
      </w:tr>
      <w:tr>
        <w:trPr>
          <w:trHeight w:val="165"/>
          <w:jc w:val="center"/>
        </w:trPr>
        <w:tc>
          <w:tcPr>
            <w:tcW w:w="1917" w:type="dxa"/>
          </w:tcPr>
          <w:p>
            <w:pPr>
              <w:pStyle w:val="Style49"/>
              <w:ind w:firstLineChars="200" w:firstLine="420"/>
            </w:pPr>
            <w:r>
              <w:rPr>
                <w:rFonts w:ascii="宋体" w:hAnsi="宋体" w:hint="eastAsia"/>
              </w:rPr>
              <w:t>5.塌陷费</w:t>
            </w:r>
          </w:p>
        </w:tc>
        <w:tc>
          <w:tcPr>
            <w:tcW w:w="1064" w:type="dxa"/>
            <w:vAlign w:val="center"/>
          </w:tcPr>
          <w:p>
            <w:pPr>
              <w:jc w:val="right"/>
              <w:rPr>
                <w:rFonts w:ascii="宋体" w:hAnsi="宋体"/>
              </w:rPr>
            </w:pPr>
            <w:r>
              <w:rPr>
                <w:rFonts w:ascii="宋体" w:hAnsi="宋体"/>
              </w:rPr>
              <w:t>2,082</w:t>
            </w:r>
          </w:p>
        </w:tc>
        <w:tc>
          <w:tcPr>
            <w:tcW w:w="1407" w:type="dxa"/>
            <w:vAlign w:val="center"/>
          </w:tcPr>
          <w:p>
            <w:pPr>
              <w:jc w:val="right"/>
              <w:rPr>
                <w:rFonts w:ascii="宋体" w:hAnsi="宋体"/>
              </w:rPr>
            </w:pPr>
            <w:r>
              <w:rPr>
                <w:rFonts w:ascii="宋体" w:hAnsi="宋体"/>
              </w:rPr>
              <w:t>3.92</w:t>
            </w:r>
          </w:p>
        </w:tc>
        <w:tc>
          <w:tcPr>
            <w:tcW w:w="1275" w:type="dxa"/>
            <w:vAlign w:val="center"/>
          </w:tcPr>
          <w:p>
            <w:pPr>
              <w:jc w:val="right"/>
              <w:rPr>
                <w:rFonts w:ascii="宋体" w:hAnsi="宋体"/>
              </w:rPr>
            </w:pPr>
            <w:r>
              <w:rPr>
                <w:rFonts w:ascii="宋体" w:hAnsi="宋体"/>
              </w:rPr>
              <w:t>2,475</w:t>
            </w:r>
          </w:p>
        </w:tc>
        <w:tc>
          <w:tcPr>
            <w:tcW w:w="1418" w:type="dxa"/>
            <w:vAlign w:val="center"/>
          </w:tcPr>
          <w:p>
            <w:pPr>
              <w:jc w:val="right"/>
              <w:rPr>
                <w:rFonts w:ascii="宋体" w:hAnsi="宋体"/>
              </w:rPr>
            </w:pPr>
            <w:r>
              <w:rPr>
                <w:rFonts w:ascii="宋体" w:hAnsi="宋体"/>
              </w:rPr>
              <w:t>4.65</w:t>
            </w:r>
          </w:p>
        </w:tc>
        <w:tc>
          <w:tcPr>
            <w:tcW w:w="1701" w:type="dxa"/>
            <w:vAlign w:val="center"/>
          </w:tcPr>
          <w:p>
            <w:pPr>
              <w:jc w:val="right"/>
              <w:rPr>
                <w:rFonts w:ascii="宋体" w:hAnsi="宋体"/>
              </w:rPr>
            </w:pPr>
            <w:r>
              <w:rPr>
                <w:rFonts w:ascii="宋体" w:hAnsi="宋体"/>
              </w:rPr>
              <w:t>-15.87</w:t>
            </w:r>
          </w:p>
        </w:tc>
      </w:tr>
      <w:tr>
        <w:trPr>
          <w:trHeight w:val="165"/>
          <w:jc w:val="center"/>
        </w:trPr>
        <w:tc>
          <w:tcPr>
            <w:tcW w:w="1917" w:type="dxa"/>
          </w:tcPr>
          <w:p>
            <w:pPr>
              <w:pStyle w:val="Style49"/>
              <w:ind w:firstLineChars="200" w:firstLine="420"/>
            </w:pPr>
            <w:r>
              <w:rPr>
                <w:rFonts w:ascii="宋体" w:hAnsi="宋体" w:hint="eastAsia"/>
              </w:rPr>
              <w:t>6.修理费</w:t>
            </w:r>
          </w:p>
        </w:tc>
        <w:tc>
          <w:tcPr>
            <w:tcW w:w="1064" w:type="dxa"/>
            <w:vAlign w:val="center"/>
          </w:tcPr>
          <w:p>
            <w:pPr>
              <w:jc w:val="right"/>
              <w:rPr>
                <w:rFonts w:ascii="宋体" w:hAnsi="宋体"/>
              </w:rPr>
            </w:pPr>
            <w:r>
              <w:rPr>
                <w:rFonts w:ascii="宋体" w:hAnsi="宋体"/>
              </w:rPr>
              <w:t>3,231</w:t>
            </w:r>
          </w:p>
        </w:tc>
        <w:tc>
          <w:tcPr>
            <w:tcW w:w="1407" w:type="dxa"/>
            <w:vAlign w:val="center"/>
          </w:tcPr>
          <w:p>
            <w:pPr>
              <w:jc w:val="right"/>
              <w:rPr>
                <w:rFonts w:ascii="宋体" w:hAnsi="宋体"/>
              </w:rPr>
            </w:pPr>
            <w:r>
              <w:rPr>
                <w:rFonts w:ascii="宋体" w:hAnsi="宋体"/>
              </w:rPr>
              <w:t>6.09</w:t>
            </w:r>
          </w:p>
        </w:tc>
        <w:tc>
          <w:tcPr>
            <w:tcW w:w="1275" w:type="dxa"/>
            <w:vAlign w:val="center"/>
          </w:tcPr>
          <w:p>
            <w:pPr>
              <w:jc w:val="right"/>
              <w:rPr>
                <w:rFonts w:ascii="宋体" w:hAnsi="宋体"/>
              </w:rPr>
            </w:pPr>
            <w:r>
              <w:rPr>
                <w:rFonts w:ascii="宋体" w:hAnsi="宋体"/>
              </w:rPr>
              <w:t>3,282</w:t>
            </w:r>
          </w:p>
        </w:tc>
        <w:tc>
          <w:tcPr>
            <w:tcW w:w="1418" w:type="dxa"/>
            <w:vAlign w:val="center"/>
          </w:tcPr>
          <w:p>
            <w:pPr>
              <w:jc w:val="right"/>
              <w:rPr>
                <w:rFonts w:ascii="宋体" w:hAnsi="宋体"/>
              </w:rPr>
            </w:pPr>
            <w:r>
              <w:rPr>
                <w:rFonts w:ascii="宋体" w:hAnsi="宋体"/>
              </w:rPr>
              <w:t>6.17</w:t>
            </w:r>
          </w:p>
        </w:tc>
        <w:tc>
          <w:tcPr>
            <w:tcW w:w="1701" w:type="dxa"/>
            <w:vAlign w:val="center"/>
          </w:tcPr>
          <w:p>
            <w:pPr>
              <w:jc w:val="right"/>
              <w:rPr>
                <w:rFonts w:ascii="宋体" w:hAnsi="宋体"/>
              </w:rPr>
            </w:pPr>
            <w:r>
              <w:rPr>
                <w:rFonts w:ascii="宋体" w:hAnsi="宋体"/>
              </w:rPr>
              <w:t>-1.55</w:t>
            </w:r>
          </w:p>
        </w:tc>
      </w:tr>
      <w:tr>
        <w:trPr>
          <w:trHeight w:val="165"/>
          <w:jc w:val="center"/>
        </w:trPr>
        <w:tc>
          <w:tcPr>
            <w:tcW w:w="1917" w:type="dxa"/>
          </w:tcPr>
          <w:p>
            <w:pPr>
              <w:pStyle w:val="Style49"/>
              <w:ind w:firstLineChars="200" w:firstLine="420"/>
            </w:pPr>
            <w:r>
              <w:rPr>
                <w:rFonts w:ascii="宋体" w:hAnsi="宋体" w:hint="eastAsia"/>
              </w:rPr>
              <w:t>7.采矿权摊销</w:t>
            </w:r>
          </w:p>
        </w:tc>
        <w:tc>
          <w:tcPr>
            <w:tcW w:w="1064" w:type="dxa"/>
            <w:vAlign w:val="center"/>
          </w:tcPr>
          <w:p>
            <w:pPr>
              <w:jc w:val="right"/>
              <w:rPr>
                <w:rFonts w:ascii="宋体" w:hAnsi="宋体"/>
              </w:rPr>
            </w:pPr>
            <w:r>
              <w:rPr>
                <w:rFonts w:ascii="宋体" w:hAnsi="宋体"/>
              </w:rPr>
              <w:t>2,450</w:t>
            </w:r>
          </w:p>
        </w:tc>
        <w:tc>
          <w:tcPr>
            <w:tcW w:w="1407" w:type="dxa"/>
            <w:vAlign w:val="center"/>
          </w:tcPr>
          <w:p>
            <w:pPr>
              <w:jc w:val="right"/>
              <w:rPr>
                <w:rFonts w:ascii="宋体" w:hAnsi="宋体"/>
              </w:rPr>
            </w:pPr>
            <w:r>
              <w:rPr>
                <w:rFonts w:ascii="宋体" w:hAnsi="宋体"/>
              </w:rPr>
              <w:t>4.61</w:t>
            </w:r>
          </w:p>
        </w:tc>
        <w:tc>
          <w:tcPr>
            <w:tcW w:w="1275" w:type="dxa"/>
            <w:vAlign w:val="center"/>
          </w:tcPr>
          <w:p>
            <w:pPr>
              <w:jc w:val="right"/>
              <w:rPr>
                <w:rFonts w:ascii="宋体" w:hAnsi="宋体"/>
              </w:rPr>
            </w:pPr>
            <w:r>
              <w:rPr>
                <w:rFonts w:ascii="宋体" w:hAnsi="宋体"/>
              </w:rPr>
              <w:t>2,479</w:t>
            </w:r>
          </w:p>
        </w:tc>
        <w:tc>
          <w:tcPr>
            <w:tcW w:w="1418" w:type="dxa"/>
            <w:vAlign w:val="center"/>
          </w:tcPr>
          <w:p>
            <w:pPr>
              <w:jc w:val="right"/>
              <w:rPr>
                <w:rFonts w:ascii="宋体" w:hAnsi="宋体"/>
              </w:rPr>
            </w:pPr>
            <w:r>
              <w:rPr>
                <w:rFonts w:ascii="宋体" w:hAnsi="宋体"/>
              </w:rPr>
              <w:t>4.66</w:t>
            </w:r>
          </w:p>
        </w:tc>
        <w:tc>
          <w:tcPr>
            <w:tcW w:w="1701" w:type="dxa"/>
            <w:vAlign w:val="center"/>
          </w:tcPr>
          <w:p>
            <w:pPr>
              <w:jc w:val="right"/>
              <w:rPr>
                <w:rFonts w:ascii="宋体" w:hAnsi="宋体"/>
              </w:rPr>
            </w:pPr>
            <w:r>
              <w:rPr>
                <w:rFonts w:ascii="宋体" w:hAnsi="宋体"/>
              </w:rPr>
              <w:t>-1.14</w:t>
            </w:r>
          </w:p>
        </w:tc>
      </w:tr>
      <w:tr>
        <w:trPr>
          <w:trHeight w:val="165"/>
          <w:jc w:val="center"/>
        </w:trPr>
        <w:tc>
          <w:tcPr>
            <w:tcW w:w="1917" w:type="dxa"/>
          </w:tcPr>
          <w:p>
            <w:pPr>
              <w:pStyle w:val="Style49"/>
              <w:ind w:firstLineChars="200" w:firstLine="420"/>
            </w:pPr>
            <w:r>
              <w:rPr>
                <w:rFonts w:ascii="宋体" w:hAnsi="宋体" w:hint="eastAsia"/>
              </w:rPr>
              <w:t>8.运输</w:t>
            </w:r>
          </w:p>
        </w:tc>
        <w:tc>
          <w:tcPr>
            <w:tcW w:w="1064" w:type="dxa"/>
            <w:vAlign w:val="center"/>
          </w:tcPr>
          <w:p>
            <w:pPr>
              <w:jc w:val="right"/>
              <w:rPr>
                <w:rFonts w:ascii="宋体" w:hAnsi="宋体"/>
              </w:rPr>
            </w:pPr>
            <w:r>
              <w:rPr>
                <w:rFonts w:ascii="宋体" w:hAnsi="宋体"/>
              </w:rPr>
              <w:t>4,782</w:t>
            </w:r>
          </w:p>
        </w:tc>
        <w:tc>
          <w:tcPr>
            <w:tcW w:w="1407" w:type="dxa"/>
            <w:vAlign w:val="center"/>
          </w:tcPr>
          <w:p>
            <w:pPr>
              <w:jc w:val="right"/>
              <w:rPr>
                <w:rFonts w:ascii="宋体" w:hAnsi="宋体"/>
              </w:rPr>
            </w:pPr>
            <w:r>
              <w:rPr>
                <w:rFonts w:ascii="宋体" w:hAnsi="宋体"/>
              </w:rPr>
              <w:t>9.01</w:t>
            </w:r>
          </w:p>
        </w:tc>
        <w:tc>
          <w:tcPr>
            <w:tcW w:w="1275" w:type="dxa"/>
            <w:vAlign w:val="center"/>
          </w:tcPr>
          <w:p>
            <w:pPr>
              <w:jc w:val="right"/>
              <w:rPr>
                <w:rFonts w:ascii="宋体" w:hAnsi="宋体"/>
              </w:rPr>
            </w:pPr>
            <w:r>
              <w:rPr>
                <w:rFonts w:ascii="宋体" w:hAnsi="宋体"/>
              </w:rPr>
              <w:t>4,691</w:t>
            </w:r>
          </w:p>
        </w:tc>
        <w:tc>
          <w:tcPr>
            <w:tcW w:w="1418" w:type="dxa"/>
            <w:vAlign w:val="center"/>
          </w:tcPr>
          <w:p>
            <w:pPr>
              <w:jc w:val="right"/>
              <w:rPr>
                <w:rFonts w:ascii="宋体" w:hAnsi="宋体"/>
              </w:rPr>
            </w:pPr>
            <w:r>
              <w:rPr>
                <w:rFonts w:ascii="宋体" w:hAnsi="宋体"/>
              </w:rPr>
              <w:t>8.82</w:t>
            </w:r>
          </w:p>
        </w:tc>
        <w:tc>
          <w:tcPr>
            <w:tcW w:w="1701" w:type="dxa"/>
            <w:vAlign w:val="center"/>
          </w:tcPr>
          <w:p>
            <w:pPr>
              <w:jc w:val="right"/>
              <w:rPr>
                <w:rFonts w:ascii="宋体" w:hAnsi="宋体"/>
              </w:rPr>
            </w:pPr>
            <w:r>
              <w:rPr>
                <w:rFonts w:ascii="宋体" w:hAnsi="宋体"/>
              </w:rPr>
              <w:t>1.94</w:t>
            </w:r>
          </w:p>
        </w:tc>
      </w:tr>
      <w:tr>
        <w:trPr>
          <w:trHeight w:val="165"/>
          <w:jc w:val="center"/>
        </w:trPr>
        <w:tc>
          <w:tcPr>
            <w:tcW w:w="1917" w:type="dxa"/>
          </w:tcPr>
          <w:p>
            <w:pPr>
              <w:pStyle w:val="Style49"/>
              <w:ind w:firstLineChars="200" w:firstLine="420"/>
            </w:pPr>
            <w:r>
              <w:rPr>
                <w:rFonts w:ascii="宋体" w:hAnsi="宋体" w:hint="eastAsia"/>
              </w:rPr>
              <w:t>9</w:t>
            </w:r>
            <w:r>
              <w:rPr>
                <w:rFonts w:ascii="宋体" w:hAnsi="宋体"/>
              </w:rPr>
              <w:t>.</w:t>
            </w:r>
            <w:r>
              <w:rPr>
                <w:rFonts w:ascii="宋体" w:hAnsi="宋体" w:hint="eastAsia"/>
              </w:rPr>
              <w:t>劳务费</w:t>
            </w:r>
          </w:p>
        </w:tc>
        <w:tc>
          <w:tcPr>
            <w:tcW w:w="1064" w:type="dxa"/>
            <w:vAlign w:val="center"/>
          </w:tcPr>
          <w:p>
            <w:pPr>
              <w:jc w:val="right"/>
              <w:rPr>
                <w:rFonts w:ascii="宋体" w:hAnsi="宋体"/>
              </w:rPr>
            </w:pPr>
            <w:r>
              <w:rPr>
                <w:rFonts w:ascii="宋体" w:hAnsi="宋体"/>
              </w:rPr>
              <w:t>3,179</w:t>
            </w:r>
          </w:p>
        </w:tc>
        <w:tc>
          <w:tcPr>
            <w:tcW w:w="1407" w:type="dxa"/>
            <w:vAlign w:val="center"/>
          </w:tcPr>
          <w:p>
            <w:pPr>
              <w:jc w:val="right"/>
              <w:rPr>
                <w:rFonts w:ascii="宋体" w:hAnsi="宋体"/>
              </w:rPr>
            </w:pPr>
            <w:r>
              <w:rPr>
                <w:rFonts w:ascii="宋体" w:hAnsi="宋体"/>
              </w:rPr>
              <w:t>5.99</w:t>
            </w:r>
          </w:p>
        </w:tc>
        <w:tc>
          <w:tcPr>
            <w:tcW w:w="1275" w:type="dxa"/>
            <w:vAlign w:val="center"/>
          </w:tcPr>
          <w:p>
            <w:pPr>
              <w:jc w:val="right"/>
              <w:rPr>
                <w:rFonts w:ascii="宋体" w:hAnsi="宋体"/>
              </w:rPr>
            </w:pPr>
            <w:r>
              <w:rPr>
                <w:rFonts w:ascii="宋体" w:hAnsi="宋体"/>
              </w:rPr>
              <w:t>3,818</w:t>
            </w:r>
          </w:p>
        </w:tc>
        <w:tc>
          <w:tcPr>
            <w:tcW w:w="1418" w:type="dxa"/>
            <w:vAlign w:val="center"/>
          </w:tcPr>
          <w:p>
            <w:pPr>
              <w:jc w:val="right"/>
              <w:rPr>
                <w:rFonts w:ascii="宋体" w:hAnsi="宋体"/>
              </w:rPr>
            </w:pPr>
            <w:r>
              <w:rPr>
                <w:rFonts w:ascii="宋体" w:hAnsi="宋体"/>
              </w:rPr>
              <w:t>7.18</w:t>
            </w:r>
          </w:p>
        </w:tc>
        <w:tc>
          <w:tcPr>
            <w:tcW w:w="1701" w:type="dxa"/>
            <w:vAlign w:val="center"/>
          </w:tcPr>
          <w:p>
            <w:pPr>
              <w:jc w:val="right"/>
              <w:rPr>
                <w:rFonts w:ascii="宋体" w:hAnsi="宋体"/>
              </w:rPr>
            </w:pPr>
            <w:r>
              <w:rPr>
                <w:rFonts w:ascii="宋体" w:hAnsi="宋体"/>
              </w:rPr>
              <w:t>-16.73</w:t>
            </w:r>
          </w:p>
        </w:tc>
      </w:tr>
      <w:tr>
        <w:trPr>
          <w:trHeight w:val="165"/>
          <w:jc w:val="center"/>
        </w:trPr>
        <w:tc>
          <w:tcPr>
            <w:tcW w:w="1917" w:type="dxa"/>
          </w:tcPr>
          <w:p>
            <w:pPr>
              <w:pStyle w:val="Style49"/>
              <w:ind w:firstLineChars="200" w:firstLine="420"/>
            </w:pPr>
            <w:r>
              <w:rPr>
                <w:rFonts w:ascii="宋体" w:hAnsi="宋体"/>
              </w:rPr>
              <w:t>10</w:t>
            </w:r>
            <w:r>
              <w:rPr>
                <w:rFonts w:ascii="宋体" w:hAnsi="宋体" w:hint="eastAsia"/>
              </w:rPr>
              <w:t>.其他</w:t>
            </w:r>
          </w:p>
        </w:tc>
        <w:tc>
          <w:tcPr>
            <w:tcW w:w="1064" w:type="dxa"/>
            <w:vAlign w:val="center"/>
          </w:tcPr>
          <w:p>
            <w:pPr>
              <w:jc w:val="right"/>
              <w:rPr>
                <w:rFonts w:ascii="宋体" w:hAnsi="宋体"/>
              </w:rPr>
            </w:pPr>
            <w:r>
              <w:rPr>
                <w:rFonts w:ascii="宋体" w:hAnsi="宋体"/>
              </w:rPr>
              <w:t>7,058</w:t>
            </w:r>
          </w:p>
        </w:tc>
        <w:tc>
          <w:tcPr>
            <w:tcW w:w="1407" w:type="dxa"/>
            <w:vAlign w:val="center"/>
          </w:tcPr>
          <w:p>
            <w:pPr>
              <w:jc w:val="right"/>
              <w:rPr>
                <w:rFonts w:ascii="宋体" w:hAnsi="宋体"/>
              </w:rPr>
            </w:pPr>
            <w:r>
              <w:rPr>
                <w:rFonts w:ascii="宋体" w:hAnsi="宋体"/>
              </w:rPr>
              <w:t>13.29</w:t>
            </w:r>
          </w:p>
        </w:tc>
        <w:tc>
          <w:tcPr>
            <w:tcW w:w="1275" w:type="dxa"/>
            <w:vAlign w:val="center"/>
          </w:tcPr>
          <w:p>
            <w:pPr>
              <w:jc w:val="right"/>
              <w:rPr>
                <w:rFonts w:ascii="宋体" w:hAnsi="宋体"/>
              </w:rPr>
            </w:pPr>
            <w:r>
              <w:rPr>
                <w:rFonts w:ascii="宋体" w:hAnsi="宋体"/>
              </w:rPr>
              <w:t>6,034</w:t>
            </w:r>
          </w:p>
        </w:tc>
        <w:tc>
          <w:tcPr>
            <w:tcW w:w="1418" w:type="dxa"/>
            <w:vAlign w:val="center"/>
          </w:tcPr>
          <w:p>
            <w:pPr>
              <w:jc w:val="right"/>
              <w:rPr>
                <w:rFonts w:ascii="宋体" w:hAnsi="宋体"/>
              </w:rPr>
            </w:pPr>
            <w:r>
              <w:rPr>
                <w:rFonts w:ascii="宋体" w:hAnsi="宋体"/>
              </w:rPr>
              <w:t>11.35</w:t>
            </w:r>
          </w:p>
        </w:tc>
        <w:tc>
          <w:tcPr>
            <w:tcW w:w="1701" w:type="dxa"/>
            <w:vAlign w:val="center"/>
          </w:tcPr>
          <w:p>
            <w:pPr>
              <w:jc w:val="right"/>
              <w:rPr>
                <w:rFonts w:ascii="宋体" w:hAnsi="宋体"/>
              </w:rPr>
            </w:pPr>
            <w:r>
              <w:rPr>
                <w:rFonts w:ascii="宋体" w:hAnsi="宋体"/>
              </w:rPr>
              <w:t>16.98</w:t>
            </w:r>
          </w:p>
        </w:tc>
      </w:tr>
      <w:tr>
        <w:trPr>
          <w:trHeight w:val="165"/>
          <w:jc w:val="center"/>
        </w:trPr>
        <w:tc>
          <w:tcPr>
            <w:tcW w:w="1917" w:type="dxa"/>
          </w:tcPr>
          <w:p>
            <w:pPr>
              <w:pStyle w:val="Style49"/>
            </w:pPr>
            <w:r>
              <w:rPr>
                <w:rFonts w:ascii="宋体" w:hAnsi="宋体" w:hint="eastAsia"/>
              </w:rPr>
              <w:t>二、贸易煤成本</w:t>
            </w:r>
          </w:p>
        </w:tc>
        <w:tc>
          <w:tcPr>
            <w:tcW w:w="1064" w:type="dxa"/>
            <w:vAlign w:val="center"/>
          </w:tcPr>
          <w:p>
            <w:pPr>
              <w:jc w:val="right"/>
              <w:rPr>
                <w:rFonts w:ascii="宋体" w:hAnsi="宋体"/>
              </w:rPr>
            </w:pPr>
            <w:r>
              <w:rPr>
                <w:rFonts w:ascii="宋体" w:hAnsi="宋体"/>
              </w:rPr>
              <w:t>3,497</w:t>
            </w:r>
          </w:p>
        </w:tc>
        <w:tc>
          <w:tcPr>
            <w:tcW w:w="1407" w:type="dxa"/>
            <w:vAlign w:val="center"/>
          </w:tcPr>
          <w:p>
            <w:pPr>
              <w:jc w:val="right"/>
              <w:rPr>
                <w:rFonts w:ascii="宋体" w:hAnsi="宋体"/>
              </w:rPr>
            </w:pPr>
            <w:r>
              <w:rPr>
                <w:rFonts w:ascii="宋体" w:hAnsi="宋体" w:hint="eastAsia"/>
              </w:rPr>
              <w:t>-</w:t>
            </w:r>
          </w:p>
        </w:tc>
        <w:tc>
          <w:tcPr>
            <w:tcW w:w="1275" w:type="dxa"/>
            <w:vAlign w:val="center"/>
          </w:tcPr>
          <w:p>
            <w:pPr>
              <w:jc w:val="right"/>
              <w:rPr>
                <w:rFonts w:ascii="宋体" w:hAnsi="宋体"/>
              </w:rPr>
            </w:pPr>
            <w:r>
              <w:rPr>
                <w:rFonts w:ascii="宋体" w:hAnsi="宋体"/>
              </w:rPr>
              <w:t>5,986</w:t>
            </w:r>
          </w:p>
        </w:tc>
        <w:tc>
          <w:tcPr>
            <w:tcW w:w="1418" w:type="dxa"/>
            <w:vAlign w:val="center"/>
          </w:tcPr>
          <w:p>
            <w:pPr>
              <w:jc w:val="right"/>
              <w:rPr>
                <w:rFonts w:ascii="宋体" w:hAnsi="宋体"/>
              </w:rPr>
            </w:pPr>
            <w:r>
              <w:rPr>
                <w:rFonts w:ascii="宋体" w:hAnsi="宋体" w:hint="eastAsia"/>
              </w:rPr>
              <w:t>-</w:t>
            </w:r>
          </w:p>
        </w:tc>
        <w:tc>
          <w:tcPr>
            <w:tcW w:w="1701" w:type="dxa"/>
            <w:vAlign w:val="center"/>
          </w:tcPr>
          <w:p>
            <w:pPr>
              <w:jc w:val="right"/>
              <w:rPr>
                <w:rFonts w:ascii="宋体" w:hAnsi="宋体"/>
              </w:rPr>
            </w:pPr>
            <w:r>
              <w:rPr>
                <w:rFonts w:ascii="宋体" w:hAnsi="宋体"/>
              </w:rPr>
              <w:t>-41.59</w:t>
            </w:r>
          </w:p>
        </w:tc>
      </w:tr>
      <w:tr>
        <w:trPr>
          <w:trHeight w:val="165"/>
          <w:jc w:val="center"/>
        </w:trPr>
        <w:tc>
          <w:tcPr>
            <w:tcW w:w="1917" w:type="dxa"/>
          </w:tcPr>
          <w:p>
            <w:pPr>
              <w:pStyle w:val="Style49"/>
            </w:pPr>
            <w:r>
              <w:rPr>
                <w:rFonts w:hint="eastAsia"/>
              </w:rPr>
              <w:t>三、煤炭合计</w:t>
            </w:r>
          </w:p>
        </w:tc>
        <w:tc>
          <w:tcPr>
            <w:tcW w:w="1064" w:type="dxa"/>
            <w:vAlign w:val="center"/>
          </w:tcPr>
          <w:p>
            <w:pPr>
              <w:jc w:val="right"/>
              <w:rPr>
                <w:rFonts w:ascii="宋体" w:hAnsi="宋体"/>
              </w:rPr>
            </w:pPr>
            <w:r>
              <w:rPr>
                <w:rFonts w:ascii="宋体" w:hAnsi="宋体"/>
              </w:rPr>
              <w:t>56,595</w:t>
            </w:r>
          </w:p>
        </w:tc>
        <w:tc>
          <w:tcPr>
            <w:tcW w:w="1407" w:type="dxa"/>
            <w:vAlign w:val="center"/>
          </w:tcPr>
          <w:p>
            <w:pPr>
              <w:jc w:val="right"/>
              <w:rPr>
                <w:rFonts w:ascii="宋体" w:hAnsi="宋体"/>
              </w:rPr>
            </w:pPr>
            <w:r>
              <w:rPr>
                <w:rFonts w:ascii="宋体" w:hAnsi="宋体" w:hint="eastAsia"/>
              </w:rPr>
              <w:t>-</w:t>
            </w:r>
          </w:p>
        </w:tc>
        <w:tc>
          <w:tcPr>
            <w:tcW w:w="1275" w:type="dxa"/>
            <w:vAlign w:val="center"/>
          </w:tcPr>
          <w:p>
            <w:pPr>
              <w:jc w:val="right"/>
              <w:rPr>
                <w:rFonts w:ascii="宋体" w:hAnsi="宋体"/>
              </w:rPr>
            </w:pPr>
            <w:r>
              <w:rPr>
                <w:rFonts w:ascii="宋体" w:hAnsi="宋体"/>
              </w:rPr>
              <w:t>59,168</w:t>
            </w:r>
          </w:p>
        </w:tc>
        <w:tc>
          <w:tcPr>
            <w:tcW w:w="1418" w:type="dxa"/>
            <w:vAlign w:val="center"/>
          </w:tcPr>
          <w:p>
            <w:pPr>
              <w:jc w:val="right"/>
              <w:rPr>
                <w:rFonts w:ascii="宋体" w:hAnsi="宋体"/>
              </w:rPr>
            </w:pPr>
            <w:r>
              <w:rPr>
                <w:rFonts w:ascii="宋体" w:hAnsi="宋体" w:hint="eastAsia"/>
              </w:rPr>
              <w:t>-</w:t>
            </w:r>
          </w:p>
        </w:tc>
        <w:tc>
          <w:tcPr>
            <w:tcW w:w="1701" w:type="dxa"/>
            <w:vAlign w:val="center"/>
          </w:tcPr>
          <w:p>
            <w:pPr>
              <w:jc w:val="right"/>
              <w:rPr>
                <w:rFonts w:ascii="宋体" w:hAnsi="宋体"/>
              </w:rPr>
            </w:pPr>
            <w:r>
              <w:rPr>
                <w:rFonts w:ascii="宋体" w:hAnsi="宋体"/>
              </w:rPr>
              <w:t>-4.35</w:t>
            </w:r>
          </w:p>
        </w:tc>
      </w:tr>
    </w:tbl>
    <w:p>
      <w:pPr>
        <w:spacing w:beforeLines="100" w:before="240" w:line="360" w:lineRule="auto"/>
      </w:pPr>
    </w:p>
    <w:tbl>
      <w:tblPr>
        <w:tblStyle w:val="aff4"/>
        <w:tblW w:w="8782" w:type="dxa"/>
        <w:jc w:val="center"/>
        <w:tblLayout w:type="fixed"/>
        <w:tblLook w:val="04A0" w:firstRow="1" w:lastRow="0" w:firstColumn="1" w:lastColumn="0" w:noHBand="0" w:noVBand="1"/>
      </w:tblPr>
      <w:tblGrid>
        <w:gridCol w:w="1917"/>
        <w:gridCol w:w="1064"/>
        <w:gridCol w:w="1407"/>
        <w:gridCol w:w="1275"/>
        <w:gridCol w:w="1418"/>
        <w:gridCol w:w="1701"/>
      </w:tblGrid>
      <w:tr>
        <w:trPr>
          <w:trHeight w:val="165"/>
          <w:jc w:val="center"/>
        </w:trPr>
        <w:tc>
          <w:tcPr>
            <w:tcW w:w="1917" w:type="dxa"/>
            <w:vAlign w:val="center"/>
          </w:tcPr>
          <w:p>
            <w:pPr>
              <w:jc w:val="center"/>
              <w:rPr>
                <w:rFonts w:ascii="宋体" w:hAnsi="宋体"/>
              </w:rPr>
            </w:pPr>
            <w:r>
              <w:rPr>
                <w:rFonts w:ascii="宋体" w:hAnsi="宋体" w:hint="eastAsia"/>
              </w:rPr>
              <w:t>化工</w:t>
            </w:r>
            <w:sdt>
              <w:sdtPr>
                <w:rPr>
                  <w:rFonts w:ascii="宋体" w:hAnsi="宋体"/>
                </w:rPr>
                <w:tag w:val="_PLD_11eb33bcb20d4489a1b9fff2216d0a84"/>
                <w:id w:val="-779020577"/>
              </w:sdtPr>
              <w:sdtContent>
                <w:r>
                  <w:rPr>
                    <w:rFonts w:ascii="宋体" w:hAnsi="宋体"/>
                  </w:rPr>
                  <w:t>成本构成项目</w:t>
                </w:r>
              </w:sdtContent>
            </w:sdt>
          </w:p>
        </w:tc>
        <w:sdt>
          <w:sdtPr>
            <w:rPr>
              <w:rFonts w:ascii="宋体" w:hAnsi="宋体"/>
              <w:sz w:val="20"/>
              <w:szCs w:val="20"/>
            </w:rPr>
            <w:tag w:val="_PLD_25c03477e66a432199f6493c38aaca71"/>
            <w:id w:val="-1480758528"/>
          </w:sdtPr>
          <w:sdtContent>
            <w:tc>
              <w:tcPr>
                <w:tcW w:w="1064" w:type="dxa"/>
                <w:vAlign w:val="center"/>
              </w:tcPr>
              <w:p>
                <w:pPr>
                  <w:jc w:val="center"/>
                  <w:rPr>
                    <w:rFonts w:ascii="宋体" w:hAnsi="宋体"/>
                  </w:rPr>
                </w:pPr>
                <w:r>
                  <w:rPr>
                    <w:rFonts w:ascii="宋体" w:hAnsi="宋体"/>
                  </w:rPr>
                  <w:t>本期金额</w:t>
                </w:r>
              </w:p>
            </w:tc>
          </w:sdtContent>
        </w:sdt>
        <w:sdt>
          <w:sdtPr>
            <w:rPr>
              <w:rFonts w:ascii="宋体" w:hAnsi="宋体"/>
              <w:sz w:val="20"/>
              <w:szCs w:val="20"/>
            </w:rPr>
            <w:tag w:val="_PLD_29b86b13ed1449cfb64b8547d9ed08a7"/>
            <w:id w:val="832105628"/>
          </w:sdtPr>
          <w:sdtContent>
            <w:tc>
              <w:tcPr>
                <w:tcW w:w="1407" w:type="dxa"/>
                <w:vAlign w:val="center"/>
              </w:tcPr>
              <w:p>
                <w:pPr>
                  <w:jc w:val="center"/>
                  <w:rPr>
                    <w:rFonts w:ascii="宋体" w:hAnsi="宋体"/>
                  </w:rPr>
                </w:pPr>
                <w:r>
                  <w:rPr>
                    <w:rFonts w:ascii="宋体" w:hAnsi="宋体"/>
                  </w:rPr>
                  <w:t>本期占总成本比例(</w:t>
                </w:r>
                <w:r>
                  <w:rPr>
                    <w:rFonts w:ascii="宋体" w:hAnsi="宋体" w:hint="eastAsia"/>
                  </w:rPr>
                  <w:t>%</w:t>
                </w:r>
                <w:r>
                  <w:rPr>
                    <w:rFonts w:ascii="宋体" w:hAnsi="宋体"/>
                  </w:rPr>
                  <w:t>)</w:t>
                </w:r>
              </w:p>
            </w:tc>
          </w:sdtContent>
        </w:sdt>
        <w:sdt>
          <w:sdtPr>
            <w:rPr>
              <w:rFonts w:ascii="宋体" w:hAnsi="宋体"/>
              <w:sz w:val="20"/>
              <w:szCs w:val="20"/>
            </w:rPr>
            <w:tag w:val="_PLD_5ff02c2ae2d941d5bb2ed5b1e6bfa8e6"/>
            <w:id w:val="-1765147029"/>
          </w:sdtPr>
          <w:sdtContent>
            <w:tc>
              <w:tcPr>
                <w:tcW w:w="1275" w:type="dxa"/>
                <w:vAlign w:val="center"/>
              </w:tcPr>
              <w:p>
                <w:pPr>
                  <w:jc w:val="center"/>
                  <w:rPr>
                    <w:rFonts w:ascii="宋体" w:hAnsi="宋体"/>
                  </w:rPr>
                </w:pPr>
                <w:r>
                  <w:rPr>
                    <w:rFonts w:ascii="宋体" w:hAnsi="宋体"/>
                  </w:rPr>
                  <w:t>上年同期</w:t>
                </w:r>
              </w:p>
              <w:p>
                <w:pPr>
                  <w:jc w:val="center"/>
                  <w:rPr>
                    <w:rFonts w:ascii="宋体" w:hAnsi="宋体"/>
                  </w:rPr>
                </w:pPr>
                <w:r>
                  <w:rPr>
                    <w:rFonts w:ascii="宋体" w:hAnsi="宋体"/>
                  </w:rPr>
                  <w:t>金额</w:t>
                </w:r>
              </w:p>
            </w:tc>
          </w:sdtContent>
        </w:sdt>
        <w:sdt>
          <w:sdtPr>
            <w:rPr>
              <w:rFonts w:ascii="宋体" w:hAnsi="宋体"/>
              <w:sz w:val="20"/>
              <w:szCs w:val="20"/>
            </w:rPr>
            <w:tag w:val="_PLD_517f7979a01748fba12b11d5561fdcdd"/>
            <w:id w:val="-793828938"/>
          </w:sdtPr>
          <w:sdtContent>
            <w:tc>
              <w:tcPr>
                <w:tcW w:w="1418" w:type="dxa"/>
                <w:vAlign w:val="center"/>
              </w:tcPr>
              <w:p>
                <w:pPr>
                  <w:jc w:val="center"/>
                  <w:rPr>
                    <w:rFonts w:ascii="宋体" w:hAnsi="宋体"/>
                  </w:rPr>
                </w:pPr>
                <w:r>
                  <w:rPr>
                    <w:rFonts w:ascii="宋体" w:hAnsi="宋体"/>
                  </w:rPr>
                  <w:t>上年同期占总成本比例(</w:t>
                </w:r>
                <w:r>
                  <w:rPr>
                    <w:rFonts w:ascii="宋体" w:hAnsi="宋体" w:hint="eastAsia"/>
                  </w:rPr>
                  <w:t>%</w:t>
                </w:r>
                <w:r>
                  <w:rPr>
                    <w:rFonts w:ascii="宋体" w:hAnsi="宋体"/>
                  </w:rPr>
                  <w:t>)</w:t>
                </w:r>
              </w:p>
            </w:tc>
          </w:sdtContent>
        </w:sdt>
        <w:sdt>
          <w:sdtPr>
            <w:rPr>
              <w:rFonts w:ascii="宋体" w:hAnsi="宋体"/>
              <w:sz w:val="20"/>
              <w:szCs w:val="20"/>
            </w:rPr>
            <w:tag w:val="_PLD_51133d067ddc4eeda00133d4c26d206f"/>
            <w:id w:val="-1807995367"/>
          </w:sdtPr>
          <w:sdtContent>
            <w:tc>
              <w:tcPr>
                <w:tcW w:w="1701" w:type="dxa"/>
                <w:vAlign w:val="center"/>
              </w:tcPr>
              <w:p>
                <w:pPr>
                  <w:jc w:val="center"/>
                  <w:rPr>
                    <w:rFonts w:ascii="宋体" w:hAnsi="宋体"/>
                  </w:rPr>
                </w:pPr>
                <w:r>
                  <w:rPr>
                    <w:rFonts w:ascii="宋体" w:hAnsi="宋体"/>
                  </w:rPr>
                  <w:t>本期金额较上年同期变动比例(</w:t>
                </w:r>
                <w:r>
                  <w:rPr>
                    <w:rFonts w:ascii="宋体" w:hAnsi="宋体" w:hint="eastAsia"/>
                  </w:rPr>
                  <w:t>%</w:t>
                </w:r>
                <w:r>
                  <w:rPr>
                    <w:rFonts w:ascii="宋体" w:hAnsi="宋体"/>
                  </w:rPr>
                  <w:t>)</w:t>
                </w:r>
              </w:p>
            </w:tc>
          </w:sdtContent>
        </w:sdt>
      </w:tr>
      <w:tr>
        <w:trPr>
          <w:trHeight w:val="165"/>
          <w:jc w:val="center"/>
        </w:trPr>
        <w:tc>
          <w:tcPr>
            <w:tcW w:w="1917" w:type="dxa"/>
          </w:tcPr>
          <w:p>
            <w:pPr>
              <w:pStyle w:val="Style49"/>
              <w:ind w:firstLineChars="200" w:firstLine="420"/>
            </w:pPr>
            <w:r>
              <w:rPr>
                <w:rFonts w:hint="eastAsia"/>
              </w:rPr>
              <w:t>化工品成本</w:t>
            </w:r>
          </w:p>
        </w:tc>
        <w:tc>
          <w:tcPr>
            <w:tcW w:w="1064" w:type="dxa"/>
            <w:vAlign w:val="center"/>
          </w:tcPr>
          <w:p>
            <w:pPr>
              <w:jc w:val="right"/>
              <w:rPr>
                <w:rFonts w:ascii="宋体" w:hAnsi="宋体"/>
              </w:rPr>
            </w:pPr>
            <w:r>
              <w:rPr>
                <w:rFonts w:ascii="宋体" w:hAnsi="宋体"/>
              </w:rPr>
              <w:t>17,907</w:t>
            </w:r>
          </w:p>
        </w:tc>
        <w:tc>
          <w:tcPr>
            <w:tcW w:w="1407" w:type="dxa"/>
            <w:vAlign w:val="center"/>
          </w:tcPr>
          <w:p>
            <w:pPr>
              <w:jc w:val="right"/>
              <w:rPr>
                <w:rFonts w:ascii="宋体" w:hAnsi="宋体"/>
              </w:rPr>
            </w:pPr>
            <w:r>
              <w:rPr>
                <w:rFonts w:ascii="宋体" w:hAnsi="宋体" w:hint="eastAsia"/>
              </w:rPr>
              <w:t>1</w:t>
            </w:r>
            <w:r>
              <w:rPr>
                <w:rFonts w:ascii="宋体" w:hAnsi="宋体"/>
              </w:rPr>
              <w:t>00</w:t>
            </w:r>
          </w:p>
        </w:tc>
        <w:tc>
          <w:tcPr>
            <w:tcW w:w="1275" w:type="dxa"/>
            <w:vAlign w:val="center"/>
          </w:tcPr>
          <w:p>
            <w:pPr>
              <w:jc w:val="right"/>
              <w:rPr>
                <w:rFonts w:ascii="宋体" w:hAnsi="宋体"/>
              </w:rPr>
            </w:pPr>
            <w:r>
              <w:rPr>
                <w:rFonts w:ascii="宋体" w:hAnsi="宋体"/>
              </w:rPr>
              <w:t>20,347</w:t>
            </w:r>
          </w:p>
        </w:tc>
        <w:tc>
          <w:tcPr>
            <w:tcW w:w="1418" w:type="dxa"/>
            <w:vAlign w:val="center"/>
          </w:tcPr>
          <w:p>
            <w:pPr>
              <w:jc w:val="right"/>
              <w:rPr>
                <w:rFonts w:ascii="宋体" w:hAnsi="宋体"/>
              </w:rPr>
            </w:pPr>
            <w:r>
              <w:rPr>
                <w:rFonts w:ascii="宋体" w:hAnsi="宋体"/>
              </w:rPr>
              <w:t>100</w:t>
            </w:r>
          </w:p>
        </w:tc>
        <w:tc>
          <w:tcPr>
            <w:tcW w:w="1701" w:type="dxa"/>
            <w:vAlign w:val="center"/>
          </w:tcPr>
          <w:p>
            <w:pPr>
              <w:jc w:val="right"/>
              <w:rPr>
                <w:rFonts w:ascii="宋体" w:hAnsi="宋体"/>
              </w:rPr>
            </w:pPr>
            <w:r>
              <w:rPr>
                <w:rFonts w:ascii="宋体" w:hAnsi="宋体"/>
              </w:rPr>
              <w:t>-11.99</w:t>
            </w:r>
          </w:p>
        </w:tc>
      </w:tr>
      <w:tr>
        <w:trPr>
          <w:trHeight w:val="165"/>
          <w:jc w:val="center"/>
        </w:trPr>
        <w:tc>
          <w:tcPr>
            <w:tcW w:w="1917" w:type="dxa"/>
          </w:tcPr>
          <w:p>
            <w:pPr>
              <w:ind w:firstLineChars="200" w:firstLine="420"/>
              <w:rPr>
                <w:rFonts w:ascii="宋体" w:hAnsi="宋体"/>
              </w:rPr>
            </w:pPr>
            <w:r>
              <w:rPr>
                <w:rFonts w:ascii="宋体" w:hAnsi="宋体" w:hint="eastAsia"/>
              </w:rPr>
              <w:t>1</w:t>
            </w:r>
            <w:r>
              <w:rPr>
                <w:rFonts w:ascii="宋体" w:hAnsi="宋体"/>
              </w:rPr>
              <w:t>.</w:t>
            </w:r>
            <w:r>
              <w:rPr>
                <w:rFonts w:ascii="宋体" w:hAnsi="宋体" w:hint="eastAsia"/>
              </w:rPr>
              <w:t>材料、燃料</w:t>
            </w:r>
          </w:p>
        </w:tc>
        <w:tc>
          <w:tcPr>
            <w:tcW w:w="1064" w:type="dxa"/>
            <w:vAlign w:val="center"/>
          </w:tcPr>
          <w:p>
            <w:pPr>
              <w:jc w:val="right"/>
              <w:rPr>
                <w:rFonts w:ascii="宋体" w:hAnsi="宋体"/>
              </w:rPr>
            </w:pPr>
            <w:r>
              <w:rPr>
                <w:rFonts w:ascii="宋体" w:hAnsi="宋体"/>
              </w:rPr>
              <w:t>13,668</w:t>
            </w:r>
          </w:p>
        </w:tc>
        <w:tc>
          <w:tcPr>
            <w:tcW w:w="1407" w:type="dxa"/>
            <w:vAlign w:val="center"/>
          </w:tcPr>
          <w:p>
            <w:pPr>
              <w:jc w:val="right"/>
              <w:rPr>
                <w:rFonts w:ascii="宋体" w:hAnsi="宋体"/>
              </w:rPr>
            </w:pPr>
            <w:r>
              <w:rPr>
                <w:rFonts w:ascii="宋体" w:hAnsi="宋体"/>
              </w:rPr>
              <w:t>76.33</w:t>
            </w:r>
          </w:p>
        </w:tc>
        <w:tc>
          <w:tcPr>
            <w:tcW w:w="1275" w:type="dxa"/>
            <w:vAlign w:val="center"/>
          </w:tcPr>
          <w:p>
            <w:pPr>
              <w:jc w:val="right"/>
              <w:rPr>
                <w:rFonts w:ascii="宋体" w:hAnsi="宋体"/>
              </w:rPr>
            </w:pPr>
            <w:r>
              <w:rPr>
                <w:rFonts w:ascii="宋体" w:hAnsi="宋体"/>
              </w:rPr>
              <w:t>15,740</w:t>
            </w:r>
          </w:p>
        </w:tc>
        <w:tc>
          <w:tcPr>
            <w:tcW w:w="1418" w:type="dxa"/>
            <w:vAlign w:val="center"/>
          </w:tcPr>
          <w:p>
            <w:pPr>
              <w:jc w:val="right"/>
              <w:rPr>
                <w:rFonts w:ascii="宋体" w:hAnsi="宋体"/>
              </w:rPr>
            </w:pPr>
            <w:r>
              <w:rPr>
                <w:rFonts w:ascii="宋体" w:hAnsi="宋体"/>
              </w:rPr>
              <w:t>77.36</w:t>
            </w:r>
          </w:p>
        </w:tc>
        <w:tc>
          <w:tcPr>
            <w:tcW w:w="1701" w:type="dxa"/>
            <w:vAlign w:val="center"/>
          </w:tcPr>
          <w:p>
            <w:pPr>
              <w:jc w:val="right"/>
              <w:rPr>
                <w:rFonts w:ascii="宋体" w:hAnsi="宋体"/>
              </w:rPr>
            </w:pPr>
            <w:r>
              <w:rPr>
                <w:rFonts w:ascii="宋体" w:hAnsi="宋体"/>
              </w:rPr>
              <w:t>-13.16</w:t>
            </w:r>
          </w:p>
        </w:tc>
      </w:tr>
      <w:tr>
        <w:trPr>
          <w:trHeight w:val="165"/>
          <w:jc w:val="center"/>
        </w:trPr>
        <w:tc>
          <w:tcPr>
            <w:tcW w:w="1917" w:type="dxa"/>
          </w:tcPr>
          <w:p>
            <w:pPr>
              <w:ind w:firstLineChars="200" w:firstLine="420"/>
              <w:rPr>
                <w:rFonts w:ascii="宋体" w:hAnsi="宋体"/>
              </w:rPr>
            </w:pPr>
            <w:r>
              <w:rPr>
                <w:rFonts w:ascii="宋体" w:hAnsi="宋体" w:hint="eastAsia"/>
              </w:rPr>
              <w:t>2</w:t>
            </w:r>
            <w:r>
              <w:rPr>
                <w:rFonts w:ascii="宋体" w:hAnsi="宋体"/>
              </w:rPr>
              <w:t>.</w:t>
            </w:r>
            <w:r>
              <w:rPr>
                <w:rFonts w:ascii="宋体" w:hAnsi="宋体" w:hint="eastAsia"/>
              </w:rPr>
              <w:t>工资及雇员福利</w:t>
            </w:r>
          </w:p>
        </w:tc>
        <w:tc>
          <w:tcPr>
            <w:tcW w:w="1064" w:type="dxa"/>
            <w:vAlign w:val="center"/>
          </w:tcPr>
          <w:p>
            <w:pPr>
              <w:jc w:val="right"/>
              <w:rPr>
                <w:rFonts w:ascii="宋体" w:hAnsi="宋体"/>
              </w:rPr>
            </w:pPr>
            <w:r>
              <w:rPr>
                <w:rFonts w:ascii="宋体" w:hAnsi="宋体"/>
              </w:rPr>
              <w:t>1,123</w:t>
            </w:r>
          </w:p>
        </w:tc>
        <w:tc>
          <w:tcPr>
            <w:tcW w:w="1407" w:type="dxa"/>
            <w:vAlign w:val="center"/>
          </w:tcPr>
          <w:p>
            <w:pPr>
              <w:jc w:val="right"/>
              <w:rPr>
                <w:rFonts w:ascii="宋体" w:hAnsi="宋体"/>
              </w:rPr>
            </w:pPr>
            <w:r>
              <w:rPr>
                <w:rFonts w:ascii="宋体" w:hAnsi="宋体"/>
              </w:rPr>
              <w:t>6.27</w:t>
            </w:r>
          </w:p>
        </w:tc>
        <w:tc>
          <w:tcPr>
            <w:tcW w:w="1275" w:type="dxa"/>
            <w:vAlign w:val="center"/>
          </w:tcPr>
          <w:p>
            <w:pPr>
              <w:jc w:val="right"/>
              <w:rPr>
                <w:rFonts w:ascii="宋体" w:hAnsi="宋体"/>
              </w:rPr>
            </w:pPr>
            <w:r>
              <w:rPr>
                <w:rFonts w:ascii="宋体" w:hAnsi="宋体"/>
              </w:rPr>
              <w:t>1,200</w:t>
            </w:r>
          </w:p>
        </w:tc>
        <w:tc>
          <w:tcPr>
            <w:tcW w:w="1418" w:type="dxa"/>
            <w:vAlign w:val="center"/>
          </w:tcPr>
          <w:p>
            <w:pPr>
              <w:jc w:val="right"/>
              <w:rPr>
                <w:rFonts w:ascii="宋体" w:hAnsi="宋体"/>
              </w:rPr>
            </w:pPr>
            <w:r>
              <w:rPr>
                <w:rFonts w:ascii="宋体" w:hAnsi="宋体"/>
              </w:rPr>
              <w:t>5.90</w:t>
            </w:r>
          </w:p>
        </w:tc>
        <w:tc>
          <w:tcPr>
            <w:tcW w:w="1701" w:type="dxa"/>
            <w:vAlign w:val="center"/>
          </w:tcPr>
          <w:p>
            <w:pPr>
              <w:jc w:val="right"/>
              <w:rPr>
                <w:rFonts w:ascii="宋体" w:hAnsi="宋体"/>
              </w:rPr>
            </w:pPr>
            <w:r>
              <w:rPr>
                <w:rFonts w:ascii="宋体" w:hAnsi="宋体"/>
              </w:rPr>
              <w:t>-6.42</w:t>
            </w:r>
          </w:p>
        </w:tc>
      </w:tr>
      <w:tr>
        <w:trPr>
          <w:trHeight w:val="165"/>
          <w:jc w:val="center"/>
        </w:trPr>
        <w:tc>
          <w:tcPr>
            <w:tcW w:w="1917" w:type="dxa"/>
          </w:tcPr>
          <w:p>
            <w:pPr>
              <w:ind w:firstLineChars="200" w:firstLine="420"/>
              <w:rPr>
                <w:rFonts w:ascii="宋体" w:hAnsi="宋体"/>
              </w:rPr>
            </w:pPr>
            <w:r>
              <w:rPr>
                <w:rFonts w:ascii="宋体" w:hAnsi="宋体" w:hint="eastAsia"/>
              </w:rPr>
              <w:t>3</w:t>
            </w:r>
            <w:r>
              <w:rPr>
                <w:rFonts w:ascii="宋体" w:hAnsi="宋体"/>
              </w:rPr>
              <w:t>.</w:t>
            </w:r>
            <w:r>
              <w:rPr>
                <w:rFonts w:ascii="宋体" w:hAnsi="宋体" w:hint="eastAsia"/>
              </w:rPr>
              <w:t>折旧</w:t>
            </w:r>
          </w:p>
        </w:tc>
        <w:tc>
          <w:tcPr>
            <w:tcW w:w="1064" w:type="dxa"/>
            <w:vAlign w:val="center"/>
          </w:tcPr>
          <w:p>
            <w:pPr>
              <w:jc w:val="right"/>
              <w:rPr>
                <w:rFonts w:ascii="宋体" w:hAnsi="宋体"/>
              </w:rPr>
            </w:pPr>
            <w:r>
              <w:rPr>
                <w:rFonts w:ascii="宋体" w:hAnsi="宋体"/>
              </w:rPr>
              <w:t>2,223</w:t>
            </w:r>
          </w:p>
        </w:tc>
        <w:tc>
          <w:tcPr>
            <w:tcW w:w="1407" w:type="dxa"/>
            <w:vAlign w:val="center"/>
          </w:tcPr>
          <w:p>
            <w:pPr>
              <w:jc w:val="right"/>
              <w:rPr>
                <w:rFonts w:ascii="宋体" w:hAnsi="宋体"/>
              </w:rPr>
            </w:pPr>
            <w:r>
              <w:rPr>
                <w:rFonts w:ascii="宋体" w:hAnsi="宋体"/>
              </w:rPr>
              <w:t>12.42</w:t>
            </w:r>
          </w:p>
        </w:tc>
        <w:tc>
          <w:tcPr>
            <w:tcW w:w="1275" w:type="dxa"/>
            <w:vAlign w:val="center"/>
          </w:tcPr>
          <w:p>
            <w:pPr>
              <w:jc w:val="right"/>
              <w:rPr>
                <w:rFonts w:ascii="宋体" w:hAnsi="宋体"/>
              </w:rPr>
            </w:pPr>
            <w:r>
              <w:rPr>
                <w:rFonts w:ascii="宋体" w:hAnsi="宋体"/>
              </w:rPr>
              <w:t>2,459</w:t>
            </w:r>
          </w:p>
        </w:tc>
        <w:tc>
          <w:tcPr>
            <w:tcW w:w="1418" w:type="dxa"/>
            <w:vAlign w:val="center"/>
          </w:tcPr>
          <w:p>
            <w:pPr>
              <w:jc w:val="right"/>
              <w:rPr>
                <w:rFonts w:ascii="宋体" w:hAnsi="宋体"/>
              </w:rPr>
            </w:pPr>
            <w:r>
              <w:rPr>
                <w:rFonts w:ascii="宋体" w:hAnsi="宋体"/>
              </w:rPr>
              <w:t>12.08</w:t>
            </w:r>
          </w:p>
        </w:tc>
        <w:tc>
          <w:tcPr>
            <w:tcW w:w="1701" w:type="dxa"/>
            <w:vAlign w:val="center"/>
          </w:tcPr>
          <w:p>
            <w:pPr>
              <w:jc w:val="right"/>
              <w:rPr>
                <w:rFonts w:ascii="宋体" w:hAnsi="宋体"/>
              </w:rPr>
            </w:pPr>
            <w:r>
              <w:rPr>
                <w:rFonts w:ascii="宋体" w:hAnsi="宋体"/>
              </w:rPr>
              <w:t>-9.57</w:t>
            </w:r>
          </w:p>
        </w:tc>
      </w:tr>
      <w:tr>
        <w:trPr>
          <w:trHeight w:val="165"/>
          <w:jc w:val="center"/>
        </w:trPr>
        <w:tc>
          <w:tcPr>
            <w:tcW w:w="1917" w:type="dxa"/>
          </w:tcPr>
          <w:p>
            <w:pPr>
              <w:ind w:firstLineChars="200" w:firstLine="420"/>
              <w:rPr>
                <w:rFonts w:ascii="宋体" w:hAnsi="宋体"/>
              </w:rPr>
            </w:pPr>
            <w:r>
              <w:rPr>
                <w:rFonts w:ascii="宋体" w:hAnsi="宋体" w:hint="eastAsia"/>
              </w:rPr>
              <w:t>4</w:t>
            </w:r>
            <w:r>
              <w:rPr>
                <w:rFonts w:ascii="宋体" w:hAnsi="宋体"/>
              </w:rPr>
              <w:t>.</w:t>
            </w:r>
            <w:r>
              <w:rPr>
                <w:rFonts w:ascii="宋体" w:hAnsi="宋体" w:hint="eastAsia"/>
              </w:rPr>
              <w:t>其他</w:t>
            </w:r>
          </w:p>
        </w:tc>
        <w:tc>
          <w:tcPr>
            <w:tcW w:w="1064" w:type="dxa"/>
            <w:vAlign w:val="center"/>
          </w:tcPr>
          <w:p>
            <w:pPr>
              <w:jc w:val="right"/>
              <w:rPr>
                <w:rFonts w:ascii="宋体" w:hAnsi="宋体"/>
              </w:rPr>
            </w:pPr>
            <w:r>
              <w:rPr>
                <w:rFonts w:ascii="宋体" w:hAnsi="宋体"/>
              </w:rPr>
              <w:t>892</w:t>
            </w:r>
          </w:p>
        </w:tc>
        <w:tc>
          <w:tcPr>
            <w:tcW w:w="1407" w:type="dxa"/>
            <w:vAlign w:val="center"/>
          </w:tcPr>
          <w:p>
            <w:pPr>
              <w:jc w:val="right"/>
              <w:rPr>
                <w:rFonts w:ascii="宋体" w:hAnsi="宋体"/>
              </w:rPr>
            </w:pPr>
            <w:r>
              <w:rPr>
                <w:rFonts w:ascii="宋体" w:hAnsi="宋体"/>
              </w:rPr>
              <w:t>4.98</w:t>
            </w:r>
          </w:p>
        </w:tc>
        <w:tc>
          <w:tcPr>
            <w:tcW w:w="1275" w:type="dxa"/>
            <w:vAlign w:val="center"/>
          </w:tcPr>
          <w:p>
            <w:pPr>
              <w:jc w:val="right"/>
              <w:rPr>
                <w:rFonts w:ascii="宋体" w:hAnsi="宋体"/>
              </w:rPr>
            </w:pPr>
            <w:r>
              <w:rPr>
                <w:rFonts w:ascii="宋体" w:hAnsi="宋体"/>
              </w:rPr>
              <w:t>948</w:t>
            </w:r>
          </w:p>
        </w:tc>
        <w:tc>
          <w:tcPr>
            <w:tcW w:w="1418" w:type="dxa"/>
            <w:vAlign w:val="center"/>
          </w:tcPr>
          <w:p>
            <w:pPr>
              <w:jc w:val="right"/>
              <w:rPr>
                <w:rFonts w:ascii="宋体" w:hAnsi="宋体"/>
              </w:rPr>
            </w:pPr>
            <w:r>
              <w:rPr>
                <w:rFonts w:ascii="宋体" w:hAnsi="宋体"/>
              </w:rPr>
              <w:t>4.66</w:t>
            </w:r>
          </w:p>
        </w:tc>
        <w:tc>
          <w:tcPr>
            <w:tcW w:w="1701" w:type="dxa"/>
            <w:vAlign w:val="center"/>
          </w:tcPr>
          <w:p>
            <w:pPr>
              <w:jc w:val="right"/>
              <w:rPr>
                <w:rFonts w:ascii="宋体" w:hAnsi="宋体"/>
              </w:rPr>
            </w:pPr>
            <w:r>
              <w:rPr>
                <w:rFonts w:ascii="宋体" w:hAnsi="宋体"/>
              </w:rPr>
              <w:t>-5.91</w:t>
            </w:r>
          </w:p>
        </w:tc>
      </w:tr>
    </w:tbl>
    <w:p>
      <w:pPr>
        <w:spacing w:beforeLines="100" w:before="240" w:line="360" w:lineRule="auto"/>
      </w:pPr>
      <w:r>
        <w:rPr>
          <w:rFonts w:hint="eastAsia"/>
        </w:rPr>
        <w:t>成本分析其他情况说明</w:t>
      </w:r>
    </w:p>
    <w:sdt>
      <w:sdtPr>
        <w:rPr>
          <w:rFonts w:ascii="宋体" w:hAnsi="宋体" w:hint="eastAsia"/>
        </w:rPr>
        <w:alias w:val="成本分析其他情况"/>
        <w:tag w:val="_GBC_93fdd34ed0d546d3bf448336c6187b3a"/>
        <w:id w:val="-744954268"/>
        <w:placeholder>
          <w:docPart w:val="GBC22222222222222222222222222222"/>
        </w:placeholder>
      </w:sdtPr>
      <w:sdtContent>
        <w:p>
          <w:pPr>
            <w:pStyle w:val="Style49"/>
            <w:ind w:firstLineChars="200" w:firstLine="420"/>
            <w:jc w:val="both"/>
            <w:rPr>
              <w:rFonts w:ascii="宋体" w:hAnsi="宋体"/>
            </w:rPr>
          </w:pPr>
          <w:r>
            <w:rPr>
              <w:rFonts w:ascii="宋体" w:hAnsi="宋体" w:hint="eastAsia"/>
            </w:rPr>
            <w:t>上表所列煤炭、化工业务销售成本占本集团主营业务成本（其他业务基本为贸易业务）的</w:t>
          </w:r>
          <w:r>
            <w:rPr>
              <w:rFonts w:ascii="宋体" w:hAnsi="宋体"/>
            </w:rPr>
            <w:t>79.7</w:t>
          </w:r>
          <w:r>
            <w:rPr>
              <w:rFonts w:ascii="宋体" w:hAnsi="宋体" w:hint="eastAsia"/>
            </w:rPr>
            <w:t>%。</w:t>
          </w:r>
        </w:p>
      </w:sdtContent>
    </w:sdt>
    <w:p>
      <w:pPr>
        <w:pStyle w:val="Style49"/>
      </w:pPr>
    </w:p>
    <w:p>
      <w:pPr>
        <w:pStyle w:val="5"/>
        <w:numPr>
          <w:ilvl w:val="0"/>
          <w:numId w:val="17"/>
        </w:numPr>
        <w:tabs>
          <w:tab w:val="left" w:pos="567"/>
        </w:tabs>
        <w:ind w:leftChars="0"/>
      </w:pPr>
      <w:bookmarkStart w:id="76" w:name="_Hlk89876513"/>
      <w:r>
        <w:t>报告期主要子公司股权变动导致合并范围变化</w:t>
      </w:r>
    </w:p>
    <w:sdt>
      <w:sdtPr>
        <w:alias w:val="是否适用：报告期主要子公司股权变动导致合并范围变化 [双击切换]"/>
        <w:tag w:val="_GBC_f684be8377fd464e8fc7d9a0e6df7b78"/>
        <w:id w:val="-48701793"/>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主要子公司股权变动导致合并范围变化 "/>
        <w:tag w:val="_GBC_f76ab547bfda48a7bfad4c28f29bb995"/>
        <w:id w:val="-685524008"/>
        <w:placeholder>
          <w:docPart w:val="GBC22222222222222222222222222222"/>
        </w:placeholder>
      </w:sdtPr>
      <w:sdtContent>
        <w:p>
          <w:pPr>
            <w:ind w:firstLineChars="200" w:firstLine="420"/>
          </w:pPr>
          <w:r>
            <w:rPr>
              <w:rFonts w:hint="eastAsia"/>
            </w:rPr>
            <w:t>有关合并范围变化详情请见按中国会计准则编制的财务报表附注“合并范围的变更”相关内容。</w:t>
          </w:r>
        </w:p>
      </w:sdtContent>
    </w:sdt>
    <w:p>
      <w:pPr>
        <w:pStyle w:val="Style49"/>
      </w:pPr>
    </w:p>
    <w:p>
      <w:pPr>
        <w:pStyle w:val="5"/>
        <w:numPr>
          <w:ilvl w:val="0"/>
          <w:numId w:val="17"/>
        </w:numPr>
        <w:tabs>
          <w:tab w:val="left" w:pos="567"/>
        </w:tabs>
        <w:ind w:leftChars="0"/>
      </w:pPr>
      <w:r>
        <w:t>公司报告期内业务、产品或服务发生重大变化或调整有关情况</w:t>
      </w:r>
    </w:p>
    <w:sdt>
      <w:sdtPr>
        <w:alias w:val="是否适用：公司报告期内业务、产品或服务发生重大变化或调整有关情况  [双击切换]"/>
        <w:tag w:val="_GBC_f5a966f2eb244fd68a4bc2176691f92b"/>
        <w:id w:val="-1387095972"/>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5"/>
        <w:numPr>
          <w:ilvl w:val="0"/>
          <w:numId w:val="17"/>
        </w:numPr>
        <w:tabs>
          <w:tab w:val="left" w:pos="567"/>
        </w:tabs>
        <w:ind w:leftChars="0"/>
      </w:pPr>
      <w:bookmarkStart w:id="77" w:name="_Hlk218437482"/>
      <w:bookmarkEnd w:id="76"/>
      <w:r>
        <w:t>主要销售客户及主要供应商情况</w:t>
      </w:r>
    </w:p>
    <w:p>
      <w:pPr>
        <w:pStyle w:val="aff9"/>
        <w:ind w:firstLineChars="0" w:firstLine="0"/>
        <w:rPr>
          <w:rFonts w:ascii="宋体" w:hAnsi="宋体" w:cs="宋体"/>
          <w:szCs w:val="24"/>
        </w:rPr>
      </w:pPr>
      <w:bookmarkStart w:id="78" w:name="_Hlk41745860"/>
      <w:r>
        <w:rPr>
          <w:rFonts w:ascii="宋体" w:hAnsi="宋体" w:cs="宋体" w:hint="eastAsia"/>
          <w:szCs w:val="24"/>
        </w:rPr>
        <w:t>属于同一控制人控制的客户或供应商视为同一客户或供应商合并列示，受同一国有资产管理机构</w:t>
      </w:r>
      <w:r>
        <w:rPr>
          <w:rFonts w:ascii="宋体" w:hAnsi="宋体" w:cs="宋体" w:hint="eastAsia"/>
          <w:szCs w:val="24"/>
        </w:rPr>
        <w:lastRenderedPageBreak/>
        <w:t>实际控制的除外。</w:t>
      </w:r>
    </w:p>
    <w:p>
      <w:pPr>
        <w:pStyle w:val="aff9"/>
        <w:ind w:firstLineChars="0" w:firstLine="0"/>
        <w:rPr>
          <w:rFonts w:ascii="宋体" w:hAnsi="宋体" w:cs="宋体"/>
          <w:szCs w:val="24"/>
        </w:rPr>
      </w:pPr>
      <w:r>
        <w:rPr>
          <w:rFonts w:ascii="宋体" w:hAnsi="宋体" w:cs="宋体" w:hint="eastAsia"/>
          <w:szCs w:val="24"/>
        </w:rPr>
        <w:t>下列客户及供应商信息按照同一控制口径合并计算列示的情况说明</w:t>
      </w:r>
    </w:p>
    <w:bookmarkStart w:id="79" w:name="_Hlk224933404" w:displacedByCustomXml="next"/>
    <w:sdt>
      <w:sdtPr>
        <w:rPr>
          <w:rFonts w:ascii="宋体" w:hAnsi="宋体"/>
        </w:rPr>
        <w:alias w:val="客户及供应商信息按照同一控制口径合并计算列示的情况说明"/>
        <w:tag w:val="_GBC_dd94aac1da8743acb71de21c4b1691df"/>
        <w:id w:val="1531457943"/>
        <w:placeholder>
          <w:docPart w:val="GBC22222222222222222222222222222"/>
        </w:placeholder>
      </w:sdtPr>
      <w:sdtContent>
        <w:p>
          <w:pPr>
            <w:ind w:firstLineChars="200" w:firstLine="420"/>
            <w:rPr>
              <w:rFonts w:ascii="宋体" w:hAnsi="宋体"/>
            </w:rPr>
          </w:pPr>
          <w:r>
            <w:rPr>
              <w:rFonts w:ascii="宋体" w:hAnsi="宋体" w:hint="eastAsia"/>
            </w:rPr>
            <w:t>本集团将属于同一控制人控制的客户或供应商视为同一客户或供应商合并列示。</w:t>
          </w:r>
        </w:p>
      </w:sdtContent>
    </w:sdt>
    <w:bookmarkEnd w:id="79"/>
    <w:p>
      <w:pPr>
        <w:rPr>
          <w:rFonts w:ascii="宋体" w:hAnsi="宋体"/>
        </w:rPr>
      </w:pPr>
    </w:p>
    <w:bookmarkEnd w:id="78"/>
    <w:p>
      <w:pPr>
        <w:autoSpaceDE w:val="0"/>
        <w:autoSpaceDN w:val="0"/>
        <w:adjustRightInd w:val="0"/>
        <w:rPr>
          <w:rFonts w:ascii="宋体" w:hAnsi="宋体"/>
          <w:b/>
          <w:szCs w:val="22"/>
          <w:lang w:val="zh-CN"/>
        </w:rPr>
      </w:pPr>
      <w:r>
        <w:rPr>
          <w:rFonts w:ascii="宋体" w:hAnsi="宋体" w:hint="eastAsia"/>
          <w:b/>
        </w:rPr>
        <w:t>A.</w:t>
      </w:r>
      <w:r>
        <w:rPr>
          <w:rFonts w:ascii="宋体" w:hAnsi="宋体" w:hint="eastAsia"/>
          <w:b/>
          <w:lang w:val="zh-CN"/>
        </w:rPr>
        <w:t>公司主要销售客户及主要供应商情况</w:t>
      </w:r>
    </w:p>
    <w:sdt>
      <w:sdtPr>
        <w:rPr>
          <w:rFonts w:ascii="宋体" w:hAnsi="宋体"/>
        </w:rPr>
        <w:alias w:val="是否适用：主要销售客户情况[双击切换]"/>
        <w:tag w:val="_GBC_a2403594b48a40da9560c8bc71e01f56"/>
        <w:id w:val="-1274005346"/>
        <w:placeholder>
          <w:docPart w:val="GBC22222222222222222222222222222"/>
        </w:placeholder>
      </w:sdt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r>
        <w:rPr>
          <w:rFonts w:ascii="宋体" w:hAnsi="宋体" w:hint="eastAsia"/>
        </w:rPr>
        <w:t>最大客户销售额</w:t>
      </w:r>
      <w:bookmarkStart w:id="80" w:name="_Hlk224933390"/>
      <w:r>
        <w:rPr>
          <w:rFonts w:ascii="宋体" w:hAnsi="宋体"/>
        </w:rPr>
        <w:t>127.41</w:t>
      </w:r>
      <w:r>
        <w:rPr>
          <w:rFonts w:ascii="宋体" w:hAnsi="宋体" w:hint="eastAsia"/>
        </w:rPr>
        <w:t>亿</w:t>
      </w:r>
      <w:bookmarkEnd w:id="80"/>
      <w:r>
        <w:rPr>
          <w:rFonts w:ascii="宋体" w:hAnsi="宋体" w:hint="eastAsia"/>
        </w:rPr>
        <w:t>元，占年度销售总额</w:t>
      </w:r>
      <w:bookmarkStart w:id="81" w:name="_Hlk224933397"/>
      <w:r>
        <w:rPr>
          <w:rFonts w:ascii="宋体" w:hAnsi="宋体"/>
        </w:rPr>
        <w:t>9.6</w:t>
      </w:r>
      <w:bookmarkEnd w:id="81"/>
      <w:r>
        <w:rPr>
          <w:rFonts w:ascii="宋体" w:hAnsi="宋体" w:hint="eastAsia"/>
        </w:rPr>
        <w:t>%；前五名客户销售额</w:t>
      </w:r>
      <w:bookmarkStart w:id="82" w:name="_Hlk224933415"/>
      <w:sdt>
        <w:sdtPr>
          <w:rPr>
            <w:rFonts w:ascii="宋体" w:hAnsi="宋体" w:hint="eastAsia"/>
          </w:rPr>
          <w:alias w:val="前五名客户销售额"/>
          <w:tag w:val="_GBC_e497000fdfbc4e548555b7f8ddf9780c"/>
          <w:id w:val="1253015914"/>
          <w:placeholder>
            <w:docPart w:val="GBC22222222222222222222222222222"/>
          </w:placeholder>
        </w:sdtPr>
        <w:sdtContent>
          <w:r>
            <w:rPr>
              <w:rFonts w:ascii="宋体" w:hAnsi="宋体"/>
            </w:rPr>
            <w:t>208.99</w:t>
          </w:r>
        </w:sdtContent>
      </w:sdt>
      <w:bookmarkEnd w:id="82"/>
      <w:sdt>
        <w:sdtPr>
          <w:rPr>
            <w:rFonts w:ascii="宋体" w:hAnsi="宋体" w:hint="eastAsia"/>
          </w:rPr>
          <w:alias w:val="单位：前五名客户销售额"/>
          <w:tag w:val="_GBC_4bd6620b209a4bae8dc3404e8b89ea35"/>
          <w:id w:val="2338208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亿元</w:t>
          </w:r>
        </w:sdtContent>
      </w:sdt>
      <w:r>
        <w:rPr>
          <w:rFonts w:ascii="宋体" w:hAnsi="宋体"/>
        </w:rPr>
        <w:t>，占年度销售总额</w:t>
      </w:r>
      <w:bookmarkStart w:id="83" w:name="_Hlk224933423"/>
      <w:sdt>
        <w:sdtPr>
          <w:rPr>
            <w:rFonts w:ascii="宋体" w:hAnsi="宋体"/>
          </w:rPr>
          <w:alias w:val="前五名客户销售额占年度销售总额比例"/>
          <w:tag w:val="_GBC_68b3c8b493d04b6c9db16e7e475d7b35"/>
          <w:id w:val="260270394"/>
          <w:placeholder>
            <w:docPart w:val="GBC22222222222222222222222222222"/>
          </w:placeholder>
        </w:sdtPr>
        <w:sdtContent>
          <w:r>
            <w:rPr>
              <w:rFonts w:ascii="宋体" w:hAnsi="宋体"/>
            </w:rPr>
            <w:t>15.7</w:t>
          </w:r>
          <w:bookmarkEnd w:id="83"/>
          <w:r>
            <w:rPr>
              <w:rFonts w:ascii="宋体" w:hAnsi="宋体"/>
            </w:rPr>
            <w:t>%</w:t>
          </w:r>
        </w:sdtContent>
      </w:sdt>
      <w:r>
        <w:rPr>
          <w:rFonts w:ascii="宋体" w:hAnsi="宋体"/>
        </w:rPr>
        <w:t>；其中前五名客户销售额中关联方销售额</w:t>
      </w:r>
      <w:bookmarkStart w:id="84" w:name="_Hlk224933430"/>
      <w:sdt>
        <w:sdtPr>
          <w:rPr>
            <w:rFonts w:ascii="宋体" w:hAnsi="宋体"/>
          </w:rPr>
          <w:alias w:val="前五名客户销售额中关联方销售额"/>
          <w:tag w:val="_GBC_bfa0971257a44f65996f01cfb0497b07"/>
          <w:id w:val="967240453"/>
          <w:placeholder>
            <w:docPart w:val="GBC22222222222222222222222222222"/>
          </w:placeholder>
        </w:sdtPr>
        <w:sdtContent>
          <w:r>
            <w:rPr>
              <w:rFonts w:ascii="宋体" w:hAnsi="宋体"/>
            </w:rPr>
            <w:t>127.41</w:t>
          </w:r>
        </w:sdtContent>
      </w:sdt>
      <w:bookmarkEnd w:id="84"/>
      <w:sdt>
        <w:sdtPr>
          <w:rPr>
            <w:rFonts w:ascii="宋体" w:hAnsi="宋体"/>
          </w:rPr>
          <w:alias w:val="单位：前五名客户销售额中关联方销售额"/>
          <w:tag w:val="_GBC_f3c03afc93a5429f9fa45fc25f9018ab"/>
          <w:id w:val="-17338467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亿元</w:t>
          </w:r>
        </w:sdtContent>
      </w:sdt>
      <w:r>
        <w:rPr>
          <w:rFonts w:ascii="宋体" w:hAnsi="宋体"/>
        </w:rPr>
        <w:t>，占年度销售总额</w:t>
      </w:r>
      <w:sdt>
        <w:sdtPr>
          <w:rPr>
            <w:rFonts w:ascii="宋体" w:hAnsi="宋体"/>
          </w:rPr>
          <w:alias w:val="前五名客户销售额中关联方销售额占年度销售总额比例"/>
          <w:tag w:val="_GBC_a84a9f2fd5cd467fa7226eab846a8fd4"/>
          <w:id w:val="1021505535"/>
          <w:placeholder>
            <w:docPart w:val="GBC22222222222222222222222222222"/>
          </w:placeholder>
        </w:sdtPr>
        <w:sdtContent>
          <w:r>
            <w:rPr>
              <w:rFonts w:ascii="宋体" w:hAnsi="宋体"/>
            </w:rPr>
            <w:t>9.6%</w:t>
          </w:r>
        </w:sdtContent>
      </w:sdt>
      <w:r>
        <w:rPr>
          <w:rFonts w:ascii="宋体" w:hAnsi="宋体"/>
        </w:rPr>
        <w:t xml:space="preserve"> 。</w:t>
      </w:r>
    </w:p>
    <w:p>
      <w:pPr>
        <w:rPr>
          <w:rFonts w:ascii="宋体" w:hAnsi="宋体"/>
        </w:rPr>
      </w:pPr>
    </w:p>
    <w:p>
      <w:pPr>
        <w:rPr>
          <w:rFonts w:ascii="宋体" w:hAnsi="宋体"/>
        </w:rPr>
      </w:pPr>
      <w:r>
        <w:rPr>
          <w:rFonts w:ascii="宋体" w:hAnsi="宋体" w:hint="eastAsia"/>
        </w:rPr>
        <w:t>最大供应商为山东能源，采购额</w:t>
      </w:r>
      <w:bookmarkStart w:id="85" w:name="_Hlk224933450"/>
      <w:r>
        <w:rPr>
          <w:rFonts w:ascii="宋体" w:hAnsi="宋体"/>
        </w:rPr>
        <w:t>77.04</w:t>
      </w:r>
      <w:bookmarkEnd w:id="85"/>
      <w:r>
        <w:rPr>
          <w:rFonts w:ascii="宋体" w:hAnsi="宋体" w:hint="eastAsia"/>
        </w:rPr>
        <w:t>亿元，占年度采购总额</w:t>
      </w:r>
      <w:bookmarkStart w:id="86" w:name="_Hlk224933456"/>
      <w:r>
        <w:rPr>
          <w:rFonts w:ascii="宋体" w:hAnsi="宋体"/>
        </w:rPr>
        <w:t>17.2</w:t>
      </w:r>
      <w:bookmarkEnd w:id="86"/>
      <w:r>
        <w:rPr>
          <w:rFonts w:ascii="宋体" w:hAnsi="宋体" w:hint="eastAsia"/>
        </w:rPr>
        <w:t>%；前五名供应商采购额</w:t>
      </w:r>
      <w:bookmarkStart w:id="87" w:name="_Hlk224933462"/>
      <w:sdt>
        <w:sdtPr>
          <w:rPr>
            <w:rFonts w:ascii="宋体" w:hAnsi="宋体" w:hint="eastAsia"/>
          </w:rPr>
          <w:alias w:val="前五名供应商采购额"/>
          <w:tag w:val="_GBC_4552254972a04ec6983b359a0f18d4bf"/>
          <w:id w:val="1924219537"/>
          <w:placeholder>
            <w:docPart w:val="GBC22222222222222222222222222222"/>
          </w:placeholder>
        </w:sdtPr>
        <w:sdtContent>
          <w:r>
            <w:rPr>
              <w:rFonts w:ascii="宋体" w:hAnsi="宋体"/>
            </w:rPr>
            <w:t>152.08</w:t>
          </w:r>
        </w:sdtContent>
      </w:sdt>
      <w:bookmarkEnd w:id="87"/>
      <w:sdt>
        <w:sdtPr>
          <w:rPr>
            <w:rFonts w:ascii="宋体" w:hAnsi="宋体" w:hint="eastAsia"/>
          </w:rPr>
          <w:alias w:val="单位：前五名供应商采购额"/>
          <w:tag w:val="_GBC_418fcbdb1c1a4643afb7cce014bdeca2"/>
          <w:id w:val="-1457444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亿元</w:t>
          </w:r>
        </w:sdtContent>
      </w:sdt>
      <w:r>
        <w:rPr>
          <w:rFonts w:ascii="宋体" w:hAnsi="宋体"/>
        </w:rPr>
        <w:t>，占年度采购总额</w:t>
      </w:r>
      <w:bookmarkStart w:id="88" w:name="_Hlk224933470"/>
      <w:sdt>
        <w:sdtPr>
          <w:rPr>
            <w:rFonts w:ascii="宋体" w:hAnsi="宋体"/>
          </w:rPr>
          <w:alias w:val="前五名供应商采购额占年度采购总额比例"/>
          <w:tag w:val="_GBC_f32c49f691154cc4b6ba587f4a582958"/>
          <w:id w:val="514193289"/>
          <w:placeholder>
            <w:docPart w:val="GBC22222222222222222222222222222"/>
          </w:placeholder>
        </w:sdtPr>
        <w:sdtContent>
          <w:r>
            <w:rPr>
              <w:rFonts w:ascii="宋体" w:hAnsi="宋体"/>
            </w:rPr>
            <w:t>34.0%</w:t>
          </w:r>
        </w:sdtContent>
      </w:sdt>
      <w:bookmarkEnd w:id="88"/>
      <w:r>
        <w:rPr>
          <w:rFonts w:ascii="宋体" w:hAnsi="宋体"/>
        </w:rPr>
        <w:t>；其中前五名供应商采购额中关联方采购额</w:t>
      </w:r>
      <w:bookmarkStart w:id="89" w:name="_Hlk224933478"/>
      <w:sdt>
        <w:sdtPr>
          <w:rPr>
            <w:rFonts w:ascii="宋体" w:hAnsi="宋体"/>
          </w:rPr>
          <w:alias w:val="前五名供应商采购额中关联方采购额"/>
          <w:tag w:val="_GBC_b4791060802442e186017fdd5f31805a"/>
          <w:id w:val="-1179808579"/>
          <w:placeholder>
            <w:docPart w:val="GBC22222222222222222222222222222"/>
          </w:placeholder>
        </w:sdtPr>
        <w:sdtContent>
          <w:r>
            <w:rPr>
              <w:rFonts w:ascii="宋体" w:hAnsi="宋体"/>
            </w:rPr>
            <w:t>77.04</w:t>
          </w:r>
        </w:sdtContent>
      </w:sdt>
      <w:bookmarkEnd w:id="89"/>
      <w:sdt>
        <w:sdtPr>
          <w:rPr>
            <w:rFonts w:ascii="宋体" w:hAnsi="宋体"/>
          </w:rPr>
          <w:alias w:val="单位：前五名供应商采购额中关联方采购额"/>
          <w:tag w:val="_GBC_bac6c3f63a9a4b0db685f5ee8e883818"/>
          <w:id w:val="20695317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亿元</w:t>
          </w:r>
        </w:sdtContent>
      </w:sdt>
      <w:r>
        <w:rPr>
          <w:rFonts w:ascii="宋体" w:hAnsi="宋体"/>
        </w:rPr>
        <w:t>，占年度采购总额</w:t>
      </w:r>
      <w:bookmarkStart w:id="90" w:name="_Hlk224933486"/>
      <w:sdt>
        <w:sdtPr>
          <w:rPr>
            <w:rFonts w:ascii="宋体" w:hAnsi="宋体"/>
          </w:rPr>
          <w:alias w:val="前五名供应商采购额中关联方采购额占年度采购总额比例"/>
          <w:tag w:val="_GBC_41b2f0a67a5743e1a4ccf8f427eec0a3"/>
          <w:id w:val="-2025014463"/>
          <w:placeholder>
            <w:docPart w:val="GBC22222222222222222222222222222"/>
          </w:placeholder>
        </w:sdtPr>
        <w:sdtContent>
          <w:r>
            <w:rPr>
              <w:rFonts w:ascii="宋体" w:hAnsi="宋体"/>
            </w:rPr>
            <w:t>17.2%</w:t>
          </w:r>
        </w:sdtContent>
      </w:sdt>
      <w:bookmarkEnd w:id="90"/>
      <w:r>
        <w:rPr>
          <w:rFonts w:ascii="宋体" w:hAnsi="宋体" w:hint="eastAsia"/>
        </w:rPr>
        <w:t>。</w:t>
      </w:r>
    </w:p>
    <w:p>
      <w:pPr>
        <w:rPr>
          <w:rFonts w:ascii="宋体" w:hAnsi="宋体"/>
        </w:rPr>
      </w:pPr>
    </w:p>
    <w:p>
      <w:pPr>
        <w:rPr>
          <w:rFonts w:ascii="宋体" w:hAnsi="宋体"/>
        </w:rPr>
      </w:pPr>
      <w:r>
        <w:rPr>
          <w:rFonts w:ascii="宋体" w:hAnsi="宋体" w:hint="eastAsia"/>
        </w:rPr>
        <w:t>除上文披露外，董事、董事的紧密联系人，或就董事所知持有本公司5%以上股份的股东，在本年度内均未在本公司任何前五名客户/供应商中拥有任何权益。</w:t>
      </w:r>
    </w:p>
    <w:p>
      <w:pPr>
        <w:rPr>
          <w:rFonts w:ascii="宋体" w:hAnsi="宋体"/>
        </w:rPr>
      </w:pPr>
    </w:p>
    <w:p>
      <w:pPr>
        <w:ind w:firstLineChars="200" w:firstLine="420"/>
        <w:rPr>
          <w:rFonts w:ascii="宋体" w:hAnsi="宋体"/>
        </w:rPr>
      </w:pPr>
      <w:bookmarkStart w:id="91" w:name="_Hlk225085487"/>
      <w:r>
        <w:rPr>
          <w:rFonts w:ascii="宋体" w:hAnsi="宋体" w:hint="eastAsia"/>
        </w:rPr>
        <w:t>注：西北矿业2</w:t>
      </w:r>
      <w:r>
        <w:rPr>
          <w:rFonts w:ascii="宋体" w:hAnsi="宋体"/>
        </w:rPr>
        <w:t>025</w:t>
      </w:r>
      <w:r>
        <w:rPr>
          <w:rFonts w:ascii="宋体" w:hAnsi="宋体" w:hint="eastAsia"/>
        </w:rPr>
        <w:t>年</w:t>
      </w:r>
      <w:r>
        <w:rPr>
          <w:rFonts w:ascii="宋体" w:hAnsi="宋体"/>
        </w:rPr>
        <w:t>7</w:t>
      </w:r>
      <w:r>
        <w:rPr>
          <w:rFonts w:ascii="宋体" w:hAnsi="宋体" w:hint="eastAsia"/>
        </w:rPr>
        <w:t>月并入本集团前，通过山东能源对外销售和采购商品，影响本集团关联方采购额、销售额提升。</w:t>
      </w:r>
    </w:p>
    <w:p>
      <w:pPr>
        <w:rPr>
          <w:rFonts w:ascii="宋体" w:hAnsi="宋体"/>
          <w:b/>
          <w:bCs/>
        </w:rPr>
      </w:pPr>
      <w:bookmarkStart w:id="92" w:name="_Hlk190092068"/>
      <w:bookmarkEnd w:id="91"/>
      <w:r>
        <w:rPr>
          <w:rFonts w:ascii="宋体" w:hAnsi="宋体" w:hint="eastAsia"/>
          <w:b/>
          <w:bCs/>
        </w:rPr>
        <w:t>B.报告期内向单个客户的销售比例超过总额的</w:t>
      </w:r>
      <w:r>
        <w:rPr>
          <w:rFonts w:ascii="宋体" w:hAnsi="宋体"/>
          <w:b/>
          <w:bCs/>
        </w:rPr>
        <w:t>50%、前</w:t>
      </w:r>
      <w:r>
        <w:rPr>
          <w:rFonts w:ascii="宋体" w:hAnsi="宋体" w:hint="eastAsia"/>
          <w:b/>
          <w:bCs/>
        </w:rPr>
        <w:t>5</w:t>
      </w:r>
      <w:r>
        <w:rPr>
          <w:rFonts w:ascii="宋体" w:hAnsi="宋体"/>
          <w:b/>
          <w:bCs/>
        </w:rPr>
        <w:t>名客户中存在新增客户的或严重依赖于少数客户的情形</w:t>
      </w:r>
    </w:p>
    <w:sdt>
      <w:sdtPr>
        <w:rPr>
          <w:rFonts w:ascii="宋体" w:hAnsi="宋体"/>
        </w:rPr>
        <w:alias w:val="是否适用：前5名销售客户中存在新增客户的或严重依赖于少数客户的情形表[双击切换]"/>
        <w:tag w:val="_GBC_9335bc17e9fb4b00a212f4c3a2cf1884"/>
        <w:id w:val="603693097"/>
        <w:placeholder>
          <w:docPart w:val="GBC22222222222222222222222222222"/>
        </w:placeholder>
      </w:sdt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bookmarkEnd w:id="92"/>
    <w:p>
      <w:pPr>
        <w:rPr>
          <w:rFonts w:ascii="宋体" w:hAnsi="宋体"/>
          <w:b/>
          <w:bCs/>
        </w:rPr>
      </w:pPr>
      <w:r>
        <w:rPr>
          <w:rFonts w:ascii="宋体" w:hAnsi="宋体"/>
          <w:b/>
          <w:bCs/>
        </w:rPr>
        <w:t>报告期内向单个供应商的采购比例超过总额的50%、前5名供应商中存在新增供应商的或严重依赖于少数供应商的情形</w:t>
      </w:r>
    </w:p>
    <w:sdt>
      <w:sdtPr>
        <w:rPr>
          <w:rFonts w:ascii="宋体" w:hAnsi="宋体"/>
        </w:rPr>
        <w:alias w:val="是否适用：前5名供应商中存在新增供应商的或严重依赖于少数供应商的情形表[双击切换]"/>
        <w:tag w:val="_GBC_1e4a3af63f0f41888dc455d8c1a979a8"/>
        <w:id w:val="-1226439798"/>
        <w:placeholder>
          <w:docPart w:val="GBC22222222222222222222222222222"/>
        </w:placeholder>
      </w:sdtPr>
      <w:sdtContent>
        <w:p>
          <w:pPr>
            <w:rPr>
              <w:rFonts w:ascii="宋体" w:hAnsi="宋体"/>
              <w:bCs/>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rPr>
          <w:rFonts w:ascii="宋体" w:hAnsi="宋体"/>
          <w:b/>
          <w:bCs/>
        </w:rPr>
      </w:pPr>
      <w:r>
        <w:rPr>
          <w:rFonts w:ascii="宋体" w:hAnsi="宋体" w:hint="eastAsia"/>
          <w:b/>
          <w:bCs/>
        </w:rPr>
        <w:t>C. 报告期内公司股票被实施退市风险警示或其他风险警示</w:t>
      </w:r>
    </w:p>
    <w:p>
      <w:pPr>
        <w:autoSpaceDE w:val="0"/>
        <w:autoSpaceDN w:val="0"/>
        <w:adjustRightInd w:val="0"/>
        <w:spacing w:line="276" w:lineRule="auto"/>
        <w:rPr>
          <w:rFonts w:ascii="宋体" w:hAnsi="宋体"/>
          <w:b/>
          <w:lang w:val="zh-CN"/>
        </w:rPr>
      </w:pPr>
      <w:bookmarkStart w:id="93" w:name="_Hlk189836187"/>
      <w:r>
        <w:rPr>
          <w:rFonts w:ascii="宋体" w:hAnsi="宋体" w:hint="eastAsia"/>
          <w:bCs/>
          <w:lang w:val="zh-CN"/>
        </w:rPr>
        <w:t>前五名销售客户</w:t>
      </w:r>
    </w:p>
    <w:sdt>
      <w:sdtPr>
        <w:rPr>
          <w:rFonts w:ascii="宋体" w:hAnsi="宋体" w:hint="eastAsia"/>
          <w:bCs/>
          <w:lang w:val="zh-CN"/>
        </w:rPr>
        <w:alias w:val="是否适用：公司前五名主要销售客户情况[双击切换]"/>
        <w:tag w:val="_GBC_f8b3ab4836d84d3db48e52713048016f"/>
        <w:id w:val="128140420"/>
        <w:placeholder>
          <w:docPart w:val="GBC22222222222222222222222222222"/>
        </w:placeholder>
      </w:sdtPr>
      <w:sdtContent>
        <w:p>
          <w:pPr>
            <w:autoSpaceDE w:val="0"/>
            <w:autoSpaceDN w:val="0"/>
            <w:adjustRightInd w:val="0"/>
            <w:spacing w:line="276" w:lineRule="auto"/>
            <w:rPr>
              <w:rFonts w:ascii="宋体" w:hAnsi="宋体"/>
              <w:bCs/>
              <w:lang w:val="zh-CN"/>
            </w:rPr>
          </w:pPr>
          <w:r>
            <w:rPr>
              <w:rFonts w:ascii="宋体" w:hAnsi="宋体"/>
              <w:bCs/>
              <w:lang w:val="zh-CN"/>
            </w:rPr>
            <w:fldChar w:fldCharType="begin"/>
          </w:r>
          <w:r>
            <w:rPr>
              <w:rFonts w:ascii="宋体" w:hAnsi="宋体"/>
              <w:bCs/>
              <w:lang w:val="zh-CN"/>
            </w:rPr>
            <w:instrText xml:space="preserve"> MACROBUTTON  SnrToggleCheckbox □适用 </w:instrText>
          </w:r>
          <w:r>
            <w:rPr>
              <w:rFonts w:ascii="宋体" w:hAnsi="宋体"/>
              <w:bCs/>
              <w:lang w:val="zh-CN"/>
            </w:rPr>
            <w:fldChar w:fldCharType="end"/>
          </w:r>
          <w:r>
            <w:rPr>
              <w:rFonts w:ascii="宋体" w:hAnsi="宋体"/>
              <w:bCs/>
              <w:lang w:val="zh-CN"/>
            </w:rPr>
            <w:fldChar w:fldCharType="begin"/>
          </w:r>
          <w:r>
            <w:rPr>
              <w:rFonts w:ascii="宋体" w:hAnsi="宋体"/>
              <w:bCs/>
              <w:lang w:val="zh-CN"/>
            </w:rPr>
            <w:instrText xml:space="preserve"> MACROBUTTON  SnrToggleCheckbox √不适用 </w:instrText>
          </w:r>
          <w:r>
            <w:rPr>
              <w:rFonts w:ascii="宋体" w:hAnsi="宋体"/>
              <w:bCs/>
              <w:lang w:val="zh-CN"/>
            </w:rPr>
            <w:fldChar w:fldCharType="end"/>
          </w:r>
        </w:p>
      </w:sdtContent>
    </w:sdt>
    <w:p>
      <w:pPr>
        <w:autoSpaceDE w:val="0"/>
        <w:autoSpaceDN w:val="0"/>
        <w:adjustRightInd w:val="0"/>
        <w:spacing w:line="276" w:lineRule="auto"/>
        <w:rPr>
          <w:rFonts w:ascii="宋体" w:hAnsi="宋体"/>
        </w:rPr>
      </w:pPr>
    </w:p>
    <w:p>
      <w:pPr>
        <w:rPr>
          <w:rFonts w:ascii="宋体" w:hAnsi="宋体"/>
        </w:rPr>
      </w:pPr>
      <w:bookmarkStart w:id="94" w:name="_Hlk189836300"/>
      <w:bookmarkStart w:id="95" w:name="_Hlk25832335"/>
      <w:bookmarkEnd w:id="93"/>
      <w:r>
        <w:rPr>
          <w:rFonts w:ascii="宋体" w:hAnsi="宋体" w:hint="eastAsia"/>
        </w:rPr>
        <w:t>前五名供应商</w:t>
      </w:r>
    </w:p>
    <w:sdt>
      <w:sdtPr>
        <w:rPr>
          <w:rFonts w:ascii="宋体" w:hAnsi="宋体" w:hint="eastAsia"/>
        </w:rPr>
        <w:alias w:val="是否适用：公司前五名主要供应商情况[双击切换]"/>
        <w:tag w:val="_GBC_d692c103c2cd4a4abe724b21a91c3790"/>
        <w:id w:val="-1023393943"/>
        <w:placeholder>
          <w:docPart w:val="GBC22222222222222222222222222222"/>
        </w:placeholder>
      </w:sdt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宋体" w:hAnsi="宋体"/>
        </w:rPr>
      </w:pPr>
    </w:p>
    <w:p>
      <w:pPr>
        <w:rPr>
          <w:rFonts w:ascii="宋体" w:hAnsi="宋体"/>
          <w:b/>
          <w:bCs/>
        </w:rPr>
      </w:pPr>
      <w:bookmarkStart w:id="96" w:name="_Hlk217463331"/>
      <w:bookmarkEnd w:id="94"/>
      <w:bookmarkEnd w:id="95"/>
      <w:r>
        <w:rPr>
          <w:rFonts w:ascii="宋体" w:hAnsi="宋体" w:hint="eastAsia"/>
          <w:b/>
          <w:bCs/>
        </w:rPr>
        <w:t>D. 报告期内公司存在贸易业务收入</w:t>
      </w:r>
    </w:p>
    <w:sdt>
      <w:sdtPr>
        <w:rPr>
          <w:rFonts w:ascii="宋体" w:hAnsi="宋体" w:hint="eastAsia"/>
        </w:rPr>
        <w:alias w:val="报告期内公司是否存在贸易业务收入[双击切换]"/>
        <w:tag w:val="_GBC_3ae6eb2d9c104edd9c836e1bf671669f"/>
        <w:id w:val="-153678035"/>
        <w:placeholder>
          <w:docPart w:val="GBC22222222222222222222222222222"/>
        </w:placeholder>
      </w:sdt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wordWrap w:val="0"/>
        <w:ind w:right="210"/>
        <w:jc w:val="right"/>
        <w:rPr>
          <w:rFonts w:ascii="宋体" w:hAnsi="宋体"/>
        </w:rPr>
      </w:pPr>
      <w:r>
        <w:rPr>
          <w:rFonts w:ascii="宋体" w:hAnsi="宋体" w:hint="eastAsia"/>
        </w:rPr>
        <w:t>单位：</w:t>
      </w:r>
      <w:sdt>
        <w:sdtPr>
          <w:rPr>
            <w:rFonts w:ascii="宋体" w:hAnsi="宋体" w:hint="eastAsia"/>
          </w:rPr>
          <w:alias w:val="单位：报告期内公司存在贸易业务收入"/>
          <w:tag w:val="_GBC_8399b16ff3a64a0c851a96c6db3917fc"/>
          <w:id w:val="19949161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亿元</w:t>
          </w:r>
        </w:sdtContent>
      </w:sdt>
      <w:r>
        <w:rPr>
          <w:rFonts w:ascii="宋体" w:hAnsi="宋体" w:hint="eastAsia"/>
        </w:rPr>
        <w:t xml:space="preserve">  币种：</w:t>
      </w:r>
      <w:sdt>
        <w:sdtPr>
          <w:rPr>
            <w:rFonts w:ascii="宋体" w:hAnsi="宋体" w:hint="eastAsia"/>
          </w:rPr>
          <w:alias w:val="币种：报告期内公司存在贸易业务收入"/>
          <w:tag w:val="_GBC_3a2f8df4d41349669c80c60ee63b1fd7"/>
          <w:id w:val="-8332974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r>
        <w:rPr>
          <w:rFonts w:ascii="宋体" w:hAnsi="宋体"/>
        </w:rPr>
        <w:t xml:space="preserve"> </w:t>
      </w:r>
    </w:p>
    <w:tbl>
      <w:tblPr>
        <w:tblStyle w:val="Style6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6"/>
        <w:gridCol w:w="2206"/>
        <w:gridCol w:w="2206"/>
      </w:tblGrid>
      <w:tr>
        <w:trPr>
          <w:trHeight w:val="645"/>
        </w:trPr>
        <w:sdt>
          <w:sdtPr>
            <w:rPr>
              <w:rFonts w:ascii="宋体" w:hAnsi="宋体"/>
            </w:rPr>
            <w:tag w:val="_PLD_2dab337ea0e24924b6a493547fbf30ce"/>
            <w:id w:val="1465691604"/>
          </w:sdtPr>
          <w:sdtContent>
            <w:tc>
              <w:tcPr>
                <w:tcW w:w="1250" w:type="pct"/>
                <w:vAlign w:val="center"/>
              </w:tcPr>
              <w:p>
                <w:pPr>
                  <w:jc w:val="center"/>
                  <w:rPr>
                    <w:rFonts w:ascii="宋体" w:hAnsi="宋体"/>
                  </w:rPr>
                </w:pPr>
                <w:r>
                  <w:rPr>
                    <w:rFonts w:ascii="宋体" w:hAnsi="宋体" w:hint="eastAsia"/>
                  </w:rPr>
                  <w:t>贸易业务开展情况</w:t>
                </w:r>
              </w:p>
            </w:tc>
          </w:sdtContent>
        </w:sdt>
        <w:sdt>
          <w:sdtPr>
            <w:rPr>
              <w:rFonts w:ascii="宋体" w:hAnsi="宋体"/>
            </w:rPr>
            <w:tag w:val="_PLD_d9e442e4b06c40aeb11dfb13b703ef08"/>
            <w:id w:val="20051844"/>
          </w:sdtPr>
          <w:sdtContent>
            <w:tc>
              <w:tcPr>
                <w:tcW w:w="1250" w:type="pct"/>
                <w:vAlign w:val="center"/>
              </w:tcPr>
              <w:p>
                <w:pPr>
                  <w:jc w:val="center"/>
                  <w:rPr>
                    <w:rFonts w:ascii="宋体" w:hAnsi="宋体"/>
                  </w:rPr>
                </w:pPr>
                <w:r>
                  <w:rPr>
                    <w:rFonts w:ascii="宋体" w:hAnsi="宋体" w:hint="eastAsia"/>
                  </w:rPr>
                  <w:t>本期营业收入</w:t>
                </w:r>
              </w:p>
            </w:tc>
          </w:sdtContent>
        </w:sdt>
        <w:sdt>
          <w:sdtPr>
            <w:rPr>
              <w:rFonts w:ascii="宋体" w:hAnsi="宋体"/>
            </w:rPr>
            <w:tag w:val="_PLD_accdefafc03d4db5a863164684606991"/>
            <w:id w:val="-129627511"/>
          </w:sdtPr>
          <w:sdtContent>
            <w:tc>
              <w:tcPr>
                <w:tcW w:w="1250" w:type="pct"/>
                <w:vAlign w:val="center"/>
              </w:tcPr>
              <w:p>
                <w:pPr>
                  <w:jc w:val="center"/>
                  <w:rPr>
                    <w:rFonts w:ascii="宋体" w:hAnsi="宋体"/>
                  </w:rPr>
                </w:pPr>
                <w:r>
                  <w:rPr>
                    <w:rFonts w:ascii="宋体" w:hAnsi="宋体" w:hint="eastAsia"/>
                  </w:rPr>
                  <w:t>上期营业收入</w:t>
                </w:r>
              </w:p>
            </w:tc>
          </w:sdtContent>
        </w:sdt>
        <w:sdt>
          <w:sdtPr>
            <w:rPr>
              <w:rFonts w:ascii="宋体" w:hAnsi="宋体"/>
            </w:rPr>
            <w:tag w:val="_PLD_0dab91b865db4b598830a70dc6b556eb"/>
            <w:id w:val="2073772527"/>
          </w:sdtPr>
          <w:sdtContent>
            <w:tc>
              <w:tcPr>
                <w:tcW w:w="1250" w:type="pct"/>
                <w:vAlign w:val="center"/>
              </w:tcPr>
              <w:p>
                <w:pPr>
                  <w:jc w:val="center"/>
                  <w:rPr>
                    <w:rFonts w:ascii="宋体" w:hAnsi="宋体"/>
                  </w:rPr>
                </w:pPr>
                <w:r>
                  <w:rPr>
                    <w:rFonts w:ascii="宋体" w:hAnsi="宋体" w:hint="eastAsia"/>
                  </w:rPr>
                  <w:t>本期营业收入比上年同期增减（</w:t>
                </w:r>
                <w:r>
                  <w:rPr>
                    <w:rFonts w:ascii="宋体" w:hAnsi="宋体"/>
                  </w:rPr>
                  <w:t>%）</w:t>
                </w:r>
              </w:p>
            </w:tc>
          </w:sdtContent>
        </w:sdt>
      </w:tr>
      <w:tr>
        <w:tc>
          <w:tcPr>
            <w:tcW w:w="1250" w:type="pct"/>
          </w:tcPr>
          <w:p>
            <w:pPr>
              <w:rPr>
                <w:rFonts w:ascii="宋体" w:hAnsi="宋体"/>
              </w:rPr>
            </w:pPr>
            <w:r>
              <w:rPr>
                <w:rFonts w:ascii="宋体" w:hAnsi="宋体" w:hint="eastAsia"/>
              </w:rPr>
              <w:t>煤炭、钢材、铁矿石等大宗商品</w:t>
            </w:r>
          </w:p>
        </w:tc>
        <w:tc>
          <w:tcPr>
            <w:tcW w:w="1250" w:type="pct"/>
            <w:vAlign w:val="center"/>
          </w:tcPr>
          <w:p>
            <w:pPr>
              <w:jc w:val="right"/>
              <w:rPr>
                <w:rFonts w:ascii="宋体" w:hAnsi="宋体"/>
              </w:rPr>
            </w:pPr>
            <w:r>
              <w:rPr>
                <w:rFonts w:ascii="宋体" w:hAnsi="宋体"/>
              </w:rPr>
              <w:t>82.50</w:t>
            </w:r>
          </w:p>
        </w:tc>
        <w:tc>
          <w:tcPr>
            <w:tcW w:w="1250" w:type="pct"/>
            <w:vAlign w:val="center"/>
          </w:tcPr>
          <w:p>
            <w:pPr>
              <w:jc w:val="right"/>
              <w:rPr>
                <w:rFonts w:ascii="宋体" w:hAnsi="宋体"/>
              </w:rPr>
            </w:pPr>
            <w:r>
              <w:rPr>
                <w:rFonts w:ascii="宋体" w:hAnsi="宋体"/>
              </w:rPr>
              <w:t>167.21</w:t>
            </w:r>
          </w:p>
        </w:tc>
        <w:tc>
          <w:tcPr>
            <w:tcW w:w="1250" w:type="pct"/>
            <w:vAlign w:val="center"/>
          </w:tcPr>
          <w:p>
            <w:pPr>
              <w:jc w:val="right"/>
              <w:rPr>
                <w:rFonts w:ascii="宋体" w:hAnsi="宋体"/>
              </w:rPr>
            </w:pPr>
            <w:r>
              <w:rPr>
                <w:rFonts w:ascii="宋体" w:hAnsi="宋体"/>
              </w:rPr>
              <w:t>-50.66</w:t>
            </w:r>
          </w:p>
        </w:tc>
      </w:tr>
    </w:tbl>
    <w:p>
      <w:pPr>
        <w:rPr>
          <w:rFonts w:ascii="宋体" w:hAnsi="宋体"/>
          <w:b/>
          <w:bCs/>
        </w:rPr>
      </w:pPr>
    </w:p>
    <w:p>
      <w:pPr>
        <w:rPr>
          <w:rFonts w:ascii="宋体" w:hAnsi="宋体"/>
        </w:rPr>
      </w:pPr>
      <w:bookmarkStart w:id="97" w:name="_Hlk188285406"/>
      <w:bookmarkEnd w:id="96"/>
      <w:r>
        <w:rPr>
          <w:rFonts w:ascii="宋体" w:hAnsi="宋体" w:hint="eastAsia"/>
        </w:rPr>
        <w:t>贸易业务占营业收入比例超过10%前五名销售客户</w:t>
      </w:r>
    </w:p>
    <w:sdt>
      <w:sdtPr>
        <w:rPr>
          <w:rFonts w:ascii="宋体" w:hAnsi="宋体" w:hint="eastAsia"/>
        </w:rPr>
        <w:alias w:val="是否适用：报告期内公司贸易业务收入占营业收入比例超过10%的贸易业务前5名销售客户[双击切换]"/>
        <w:tag w:val="_GBC_874060c7be284e34b677814c97469999"/>
        <w:id w:val="-1154981789"/>
        <w:placeholder>
          <w:docPart w:val="GBC22222222222222222222222222222"/>
        </w:placeholder>
      </w:sdtPr>
      <w:sdtContent>
        <w:p>
          <w:pPr>
            <w:rPr>
              <w:rFonts w:ascii="宋体" w:hAnsi="宋体"/>
            </w:rPr>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pPr>
        <w:rPr>
          <w:rFonts w:ascii="宋体" w:hAnsi="宋体"/>
        </w:rPr>
      </w:pPr>
    </w:p>
    <w:p>
      <w:pPr>
        <w:rPr>
          <w:rFonts w:ascii="宋体" w:hAnsi="宋体"/>
        </w:rPr>
      </w:pPr>
      <w:bookmarkStart w:id="98" w:name="_Hlk188285949"/>
      <w:bookmarkEnd w:id="97"/>
      <w:r>
        <w:rPr>
          <w:rFonts w:ascii="宋体" w:hAnsi="宋体" w:hint="eastAsia"/>
        </w:rPr>
        <w:t>贸易业务收入占营业收入比例超过10%前五名</w:t>
      </w:r>
      <w:r>
        <w:rPr>
          <w:rFonts w:ascii="宋体" w:hAnsi="宋体"/>
        </w:rPr>
        <w:t>供应商</w:t>
      </w:r>
    </w:p>
    <w:sdt>
      <w:sdtPr>
        <w:rPr>
          <w:rFonts w:ascii="宋体" w:hAnsi="宋体" w:hint="eastAsia"/>
        </w:rPr>
        <w:alias w:val="是否适用：报告期内公司贸易业务收入占营业收入比例超过10%的贸易业务前5名供应商[双击切换]"/>
        <w:tag w:val="_GBC_3d816dcc13274eeeafda04c5590e4ca9"/>
        <w:id w:val="307982465"/>
        <w:placeholder>
          <w:docPart w:val="GBC22222222222222222222222222222"/>
        </w:placeholder>
      </w:sdtPr>
      <w:sdtContent>
        <w:p>
          <w:pPr>
            <w:rPr>
              <w:rFonts w:ascii="宋体" w:hAnsi="宋体"/>
            </w:rPr>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pPr>
        <w:rPr>
          <w:rFonts w:ascii="宋体" w:hAnsi="宋体"/>
        </w:rPr>
      </w:pPr>
      <w:bookmarkStart w:id="99" w:name="_Hlk188286201"/>
    </w:p>
    <w:p>
      <w:pPr>
        <w:rPr>
          <w:rFonts w:ascii="宋体" w:hAnsi="宋体"/>
        </w:rPr>
      </w:pPr>
      <w:bookmarkStart w:id="100" w:name="_Hlk184741846"/>
      <w:bookmarkEnd w:id="98"/>
      <w:bookmarkEnd w:id="99"/>
      <w:r>
        <w:rPr>
          <w:rFonts w:ascii="宋体" w:hAnsi="宋体" w:hint="eastAsia"/>
        </w:rPr>
        <w:t>其他说明：</w:t>
      </w:r>
    </w:p>
    <w:sdt>
      <w:sdtPr>
        <w:rPr>
          <w:rFonts w:ascii="宋体" w:hAnsi="宋体"/>
        </w:rPr>
        <w:alias w:val="主要销售客户及主要供应商情况其他说明"/>
        <w:tag w:val="_GBC_671f841429ed4c5aaa013b86ad58b88f"/>
        <w:id w:val="1580866586"/>
        <w:placeholder>
          <w:docPart w:val="GBC22222222222222222222222222222"/>
        </w:placeholder>
      </w:sdtPr>
      <w:sdtContent>
        <w:p>
          <w:pPr>
            <w:ind w:firstLineChars="200" w:firstLine="420"/>
            <w:rPr>
              <w:rFonts w:ascii="宋体" w:hAnsi="宋体"/>
            </w:rPr>
          </w:pPr>
          <w:r>
            <w:rPr>
              <w:rFonts w:ascii="宋体" w:hAnsi="宋体" w:hint="eastAsia"/>
            </w:rPr>
            <w:t>①最大客户、前五大客户和最大供应商、前五大供应商为本集团主营业务自产商品的相关客户和供应商。</w:t>
          </w:r>
        </w:p>
        <w:p>
          <w:pPr>
            <w:ind w:firstLineChars="200" w:firstLine="420"/>
            <w:rPr>
              <w:rFonts w:ascii="宋体" w:hAnsi="宋体"/>
            </w:rPr>
          </w:pPr>
          <w:r>
            <w:rPr>
              <w:rFonts w:ascii="宋体" w:hAnsi="宋体" w:hint="eastAsia"/>
            </w:rPr>
            <w:lastRenderedPageBreak/>
            <w:t>②上述客户及供应商均为稳定运营的境内外公司。本集团设有专业机构，对客户及供应商进行资质审查、授信管理等动态监测及调整，以防范风险。</w:t>
          </w:r>
        </w:p>
      </w:sdtContent>
    </w:sdt>
    <w:bookmarkEnd w:id="77"/>
    <w:p>
      <w:pPr>
        <w:rPr>
          <w:rFonts w:ascii="宋体" w:hAnsi="宋体"/>
        </w:rPr>
      </w:pPr>
    </w:p>
    <w:bookmarkEnd w:id="100"/>
    <w:p>
      <w:pPr>
        <w:pStyle w:val="4"/>
        <w:numPr>
          <w:ilvl w:val="0"/>
          <w:numId w:val="16"/>
        </w:numPr>
      </w:pPr>
      <w:r>
        <w:rPr>
          <w:rFonts w:hint="eastAsia"/>
        </w:rPr>
        <w:t>费用</w:t>
      </w:r>
    </w:p>
    <w:sdt>
      <w:sdtPr>
        <w:alias w:val="是否适用：费用[双击切换]"/>
        <w:tag w:val="_GBC_fa9cd5e43a8f426c8b793a737190d8db"/>
        <w:id w:val="1840197441"/>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费用情况说明"/>
        <w:tag w:val="_GBC_02a46af1e8d349d8b753768e17da35a1"/>
        <w:id w:val="819088016"/>
        <w:placeholder>
          <w:docPart w:val="GBC22222222222222222222222222222"/>
        </w:placeholder>
      </w:sdtPr>
      <w:sdtContent>
        <w:p>
          <w:pPr>
            <w:ind w:firstLineChars="200" w:firstLine="420"/>
          </w:pPr>
          <w:r>
            <w:rPr>
              <w:rFonts w:hint="eastAsia"/>
            </w:rPr>
            <w:t>费用变动分析详情请见本节“利润表及现金流量表相关科目变动分析表”相关内容。</w:t>
          </w:r>
        </w:p>
        <w:p>
          <w:pPr>
            <w:pStyle w:val="Style49"/>
          </w:pPr>
        </w:p>
      </w:sdtContent>
    </w:sdt>
    <w:p>
      <w:pPr>
        <w:pStyle w:val="4"/>
        <w:numPr>
          <w:ilvl w:val="0"/>
          <w:numId w:val="16"/>
        </w:numPr>
      </w:pPr>
      <w:r>
        <w:rPr>
          <w:rFonts w:hint="eastAsia"/>
        </w:rPr>
        <w:t>研发投入</w:t>
      </w:r>
    </w:p>
    <w:p>
      <w:pPr>
        <w:pStyle w:val="aff9"/>
        <w:numPr>
          <w:ilvl w:val="0"/>
          <w:numId w:val="18"/>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929494253"/>
        <w:placeholder>
          <w:docPart w:val="GBC22222222222222222222222222222"/>
        </w:placeholder>
      </w:sdtPr>
      <w:sdtContent>
        <w:p>
          <w:pPr>
            <w:rPr>
              <w:rStyle w:val="50"/>
              <w:b w:val="0"/>
              <w:szCs w:val="21"/>
            </w:rPr>
          </w:pPr>
          <w:r>
            <w:rPr>
              <w:rStyle w:val="50"/>
              <w:rFonts w:ascii="宋体" w:hAnsi="宋体"/>
              <w:b w:val="0"/>
              <w:szCs w:val="21"/>
            </w:rPr>
            <w:fldChar w:fldCharType="begin"/>
          </w:r>
          <w:r>
            <w:rPr>
              <w:rStyle w:val="50"/>
              <w:rFonts w:ascii="宋体" w:hAnsi="宋体"/>
              <w:b w:val="0"/>
              <w:szCs w:val="21"/>
            </w:rPr>
            <w:instrText xml:space="preserve"> MACROBUTTON  SnrToggleCheckbox √适用  </w:instrText>
          </w:r>
          <w:r>
            <w:rPr>
              <w:rStyle w:val="50"/>
              <w:rFonts w:ascii="宋体" w:hAnsi="宋体"/>
              <w:b w:val="0"/>
              <w:szCs w:val="21"/>
            </w:rPr>
            <w:fldChar w:fldCharType="end"/>
          </w:r>
          <w:r>
            <w:rPr>
              <w:rStyle w:val="50"/>
              <w:rFonts w:ascii="宋体" w:hAnsi="宋体"/>
              <w:b w:val="0"/>
              <w:szCs w:val="21"/>
            </w:rPr>
            <w:fldChar w:fldCharType="begin"/>
          </w:r>
          <w:r>
            <w:rPr>
              <w:rStyle w:val="50"/>
              <w:rFonts w:ascii="宋体" w:hAnsi="宋体"/>
              <w:b w:val="0"/>
              <w:szCs w:val="21"/>
            </w:rPr>
            <w:instrText xml:space="preserve"> MACROBUTTON  SnrToggleCheckbox □不适用 </w:instrText>
          </w:r>
          <w:r>
            <w:rPr>
              <w:rStyle w:val="50"/>
              <w:rFonts w:ascii="宋体" w:hAnsi="宋体"/>
              <w:b w:val="0"/>
              <w:szCs w:val="21"/>
            </w:rPr>
            <w:fldChar w:fldCharType="end"/>
          </w:r>
        </w:p>
      </w:sdtContent>
    </w:sdt>
    <w:p>
      <w:pPr>
        <w:wordWrap w:val="0"/>
        <w:jc w:val="right"/>
        <w:rPr>
          <w:rStyle w:val="50"/>
          <w:b w:val="0"/>
          <w:szCs w:val="21"/>
        </w:rPr>
      </w:pPr>
      <w:r>
        <w:rPr>
          <w:rFonts w:hint="eastAsia"/>
        </w:rPr>
        <w:t>单位：</w:t>
      </w:r>
      <w:sdt>
        <w:sdtPr>
          <w:rPr>
            <w:rFonts w:hint="eastAsia"/>
          </w:rPr>
          <w:alias w:val="单位：研发投入"/>
          <w:tag w:val="_GBC_74cd81424a3c41dd9b3b9f335eae8c21"/>
          <w:id w:val="7610376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百万元</w:t>
          </w:r>
        </w:sdtContent>
      </w:sdt>
      <w:r>
        <w:rPr>
          <w:rFonts w:hint="eastAsia"/>
        </w:rPr>
        <w:t xml:space="preserve">  </w:t>
      </w:r>
      <w:r>
        <w:rPr>
          <w:rFonts w:hint="eastAsia"/>
        </w:rPr>
        <w:t>币种：</w:t>
      </w:r>
      <w:sdt>
        <w:sdtPr>
          <w:rPr>
            <w:rFonts w:hint="eastAsia"/>
          </w:rPr>
          <w:alias w:val="币种：研发投入"/>
          <w:tag w:val="_GBC_14c25dd039ff47d0b183ae532ee32cd2"/>
          <w:id w:val="6625185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4"/>
        <w:tblW w:w="9048" w:type="dxa"/>
        <w:tblLayout w:type="fixed"/>
        <w:tblLook w:val="04A0" w:firstRow="1" w:lastRow="0" w:firstColumn="1" w:lastColumn="0" w:noHBand="0" w:noVBand="1"/>
      </w:tblPr>
      <w:tblGrid>
        <w:gridCol w:w="3795"/>
        <w:gridCol w:w="5253"/>
      </w:tblGrid>
      <w:tr>
        <w:trPr>
          <w:trHeight w:val="135"/>
        </w:trPr>
        <w:sdt>
          <w:sdtPr>
            <w:rPr>
              <w:rFonts w:ascii="宋体" w:hAnsi="宋体"/>
              <w:sz w:val="20"/>
              <w:szCs w:val="20"/>
            </w:rPr>
            <w:tag w:val="_PLD_34e4faf6ae244cfbac1fd41757cfe96b"/>
            <w:id w:val="-935515987"/>
          </w:sdtPr>
          <w:sdtContent>
            <w:tc>
              <w:tcPr>
                <w:tcW w:w="3795" w:type="dxa"/>
                <w:vAlign w:val="center"/>
              </w:tcPr>
              <w:p>
                <w:pPr>
                  <w:rPr>
                    <w:rStyle w:val="50"/>
                    <w:rFonts w:ascii="宋体" w:hAnsi="宋体"/>
                    <w:b w:val="0"/>
                    <w:bCs w:val="0"/>
                    <w:szCs w:val="21"/>
                  </w:rPr>
                </w:pPr>
                <w:r>
                  <w:rPr>
                    <w:rFonts w:ascii="宋体" w:hAnsi="宋体"/>
                  </w:rPr>
                  <w:t>本期费用化研发</w:t>
                </w:r>
                <w:r>
                  <w:rPr>
                    <w:rFonts w:ascii="宋体" w:hAnsi="宋体" w:hint="eastAsia"/>
                  </w:rPr>
                  <w:t>投入</w:t>
                </w:r>
              </w:p>
            </w:tc>
          </w:sdtContent>
        </w:sdt>
        <w:sdt>
          <w:sdtPr>
            <w:rPr>
              <w:rFonts w:ascii="宋体" w:hAnsi="宋体" w:hint="eastAsia"/>
              <w:sz w:val="20"/>
              <w:szCs w:val="20"/>
            </w:rPr>
            <w:alias w:val="费用化研发投入"/>
            <w:tag w:val="_GBC_4fb175bc5990483bb41db359eecfdbdb"/>
            <w:id w:val="-1317797421"/>
          </w:sdtPr>
          <w:sdtContent>
            <w:tc>
              <w:tcPr>
                <w:tcW w:w="5253" w:type="dxa"/>
                <w:vAlign w:val="center"/>
              </w:tcPr>
              <w:p>
                <w:pPr>
                  <w:jc w:val="right"/>
                  <w:rPr>
                    <w:rFonts w:ascii="宋体" w:hAnsi="宋体"/>
                  </w:rPr>
                </w:pPr>
                <w:r>
                  <w:rPr>
                    <w:rFonts w:ascii="宋体" w:hAnsi="宋体"/>
                  </w:rPr>
                  <w:t>3,398</w:t>
                </w:r>
              </w:p>
            </w:tc>
          </w:sdtContent>
        </w:sdt>
      </w:tr>
      <w:tr>
        <w:trPr>
          <w:trHeight w:val="147"/>
        </w:trPr>
        <w:tc>
          <w:tcPr>
            <w:tcW w:w="3795" w:type="dxa"/>
            <w:vAlign w:val="center"/>
          </w:tcPr>
          <w:p>
            <w:pPr>
              <w:rPr>
                <w:rStyle w:val="50"/>
                <w:rFonts w:ascii="宋体" w:hAnsi="宋体"/>
                <w:szCs w:val="21"/>
              </w:rPr>
            </w:pPr>
            <w:r>
              <w:rPr>
                <w:rFonts w:ascii="宋体" w:hAnsi="宋体"/>
              </w:rPr>
              <w:t>本期资本化研发</w:t>
            </w:r>
            <w:r>
              <w:rPr>
                <w:rFonts w:ascii="宋体" w:hAnsi="宋体" w:hint="eastAsia"/>
              </w:rPr>
              <w:t>投入</w:t>
            </w:r>
          </w:p>
        </w:tc>
        <w:tc>
          <w:tcPr>
            <w:tcW w:w="5253" w:type="dxa"/>
            <w:vAlign w:val="center"/>
          </w:tcPr>
          <w:p>
            <w:pPr>
              <w:wordWrap w:val="0"/>
              <w:jc w:val="right"/>
              <w:rPr>
                <w:rFonts w:ascii="宋体" w:hAnsi="宋体"/>
              </w:rPr>
            </w:pPr>
            <w:r>
              <w:rPr>
                <w:rFonts w:ascii="宋体" w:hAnsi="宋体"/>
              </w:rPr>
              <w:t>0</w:t>
            </w:r>
          </w:p>
        </w:tc>
      </w:tr>
      <w:tr>
        <w:trPr>
          <w:trHeight w:val="102"/>
        </w:trPr>
        <w:tc>
          <w:tcPr>
            <w:tcW w:w="3795" w:type="dxa"/>
            <w:vAlign w:val="center"/>
          </w:tcPr>
          <w:p>
            <w:pPr>
              <w:rPr>
                <w:rStyle w:val="50"/>
                <w:rFonts w:ascii="宋体" w:hAnsi="宋体"/>
                <w:szCs w:val="21"/>
              </w:rPr>
            </w:pPr>
            <w:r>
              <w:rPr>
                <w:rFonts w:ascii="宋体" w:hAnsi="宋体"/>
              </w:rPr>
              <w:t>研发</w:t>
            </w:r>
            <w:r>
              <w:rPr>
                <w:rFonts w:ascii="宋体" w:hAnsi="宋体" w:hint="eastAsia"/>
              </w:rPr>
              <w:t>投入</w:t>
            </w:r>
            <w:r>
              <w:rPr>
                <w:rFonts w:ascii="宋体" w:hAnsi="宋体"/>
              </w:rPr>
              <w:t>合计</w:t>
            </w:r>
          </w:p>
        </w:tc>
        <w:tc>
          <w:tcPr>
            <w:tcW w:w="5253" w:type="dxa"/>
            <w:vAlign w:val="center"/>
          </w:tcPr>
          <w:p>
            <w:pPr>
              <w:jc w:val="right"/>
              <w:rPr>
                <w:rFonts w:ascii="宋体" w:hAnsi="宋体"/>
              </w:rPr>
            </w:pPr>
            <w:r>
              <w:rPr>
                <w:rFonts w:ascii="宋体" w:hAnsi="宋体"/>
              </w:rPr>
              <w:t xml:space="preserve">3,398 </w:t>
            </w:r>
          </w:p>
        </w:tc>
      </w:tr>
      <w:tr>
        <w:trPr>
          <w:trHeight w:val="135"/>
        </w:trPr>
        <w:tc>
          <w:tcPr>
            <w:tcW w:w="3795" w:type="dxa"/>
            <w:vAlign w:val="center"/>
          </w:tcPr>
          <w:p>
            <w:pPr>
              <w:rPr>
                <w:rStyle w:val="50"/>
                <w:rFonts w:ascii="宋体" w:hAnsi="宋体"/>
                <w:szCs w:val="21"/>
              </w:rPr>
            </w:pPr>
            <w:r>
              <w:rPr>
                <w:rFonts w:ascii="宋体" w:hAnsi="宋体"/>
              </w:rPr>
              <w:t>研发</w:t>
            </w:r>
            <w:r>
              <w:rPr>
                <w:rFonts w:ascii="宋体" w:hAnsi="宋体" w:hint="eastAsia"/>
              </w:rPr>
              <w:t>投入</w:t>
            </w:r>
            <w:r>
              <w:rPr>
                <w:rFonts w:ascii="宋体" w:hAnsi="宋体"/>
              </w:rPr>
              <w:t>总额占营业收入比例（%）</w:t>
            </w:r>
          </w:p>
        </w:tc>
        <w:tc>
          <w:tcPr>
            <w:tcW w:w="5253" w:type="dxa"/>
            <w:vAlign w:val="center"/>
          </w:tcPr>
          <w:p>
            <w:pPr>
              <w:jc w:val="right"/>
              <w:rPr>
                <w:rFonts w:ascii="宋体" w:hAnsi="宋体"/>
              </w:rPr>
            </w:pPr>
            <w:r>
              <w:rPr>
                <w:rFonts w:ascii="宋体" w:hAnsi="宋体"/>
              </w:rPr>
              <w:t>2.34</w:t>
            </w:r>
          </w:p>
        </w:tc>
      </w:tr>
      <w:tr>
        <w:trPr>
          <w:trHeight w:val="135"/>
        </w:trPr>
        <w:tc>
          <w:tcPr>
            <w:tcW w:w="3795" w:type="dxa"/>
            <w:vAlign w:val="center"/>
          </w:tcPr>
          <w:p>
            <w:pPr>
              <w:rPr>
                <w:rFonts w:ascii="宋体" w:hAnsi="宋体"/>
              </w:rPr>
            </w:pPr>
            <w:r>
              <w:rPr>
                <w:rFonts w:ascii="宋体" w:hAnsi="宋体" w:hint="eastAsia"/>
              </w:rPr>
              <w:t>研发投入资本化的比重</w:t>
            </w:r>
            <w:r>
              <w:rPr>
                <w:rFonts w:ascii="宋体" w:hAnsi="宋体"/>
              </w:rPr>
              <w:t>（%）</w:t>
            </w:r>
          </w:p>
        </w:tc>
        <w:tc>
          <w:tcPr>
            <w:tcW w:w="5253" w:type="dxa"/>
            <w:vAlign w:val="center"/>
          </w:tcPr>
          <w:p>
            <w:pPr>
              <w:jc w:val="right"/>
              <w:rPr>
                <w:rFonts w:ascii="宋体" w:hAnsi="宋体"/>
                <w:bCs/>
              </w:rPr>
            </w:pPr>
            <w:r>
              <w:rPr>
                <w:rFonts w:ascii="宋体" w:hAnsi="宋体" w:hint="eastAsia"/>
                <w:bCs/>
              </w:rPr>
              <w:t>0</w:t>
            </w:r>
          </w:p>
        </w:tc>
      </w:tr>
    </w:tbl>
    <w:p>
      <w:pPr>
        <w:pStyle w:val="Style49"/>
      </w:pPr>
    </w:p>
    <w:p>
      <w:pPr>
        <w:pStyle w:val="aff9"/>
        <w:numPr>
          <w:ilvl w:val="0"/>
          <w:numId w:val="18"/>
        </w:numPr>
        <w:spacing w:before="60" w:after="60"/>
        <w:ind w:firstLineChars="0"/>
        <w:rPr>
          <w:rStyle w:val="50"/>
          <w:szCs w:val="21"/>
        </w:rPr>
      </w:pPr>
      <w:bookmarkStart w:id="101" w:name="_Hlk89876622"/>
      <w:r>
        <w:rPr>
          <w:rStyle w:val="50"/>
          <w:szCs w:val="21"/>
        </w:rPr>
        <w:t>研发人员情况表</w:t>
      </w:r>
    </w:p>
    <w:sdt>
      <w:sdtPr>
        <w:rPr>
          <w:rFonts w:hint="eastAsia"/>
        </w:rPr>
        <w:alias w:val="是否适用：研发人员情况[双击切换]"/>
        <w:tag w:val="_GBC_ef3f376f125b4e219be789ed3078c140"/>
        <w:id w:val="1257941771"/>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tbl>
      <w:tblPr>
        <w:tblStyle w:val="Style63"/>
        <w:tblW w:w="9049" w:type="dxa"/>
        <w:jc w:val="center"/>
        <w:tblInd w:w="0" w:type="dxa"/>
        <w:tblLayout w:type="fixed"/>
        <w:tblLook w:val="04A0" w:firstRow="1" w:lastRow="0" w:firstColumn="1" w:lastColumn="0" w:noHBand="0" w:noVBand="1"/>
      </w:tblPr>
      <w:tblGrid>
        <w:gridCol w:w="5744"/>
        <w:gridCol w:w="3305"/>
      </w:tblGrid>
      <w:tr>
        <w:trPr>
          <w:trHeight w:val="270"/>
          <w:jc w:val="center"/>
        </w:trPr>
        <w:sdt>
          <w:sdtPr>
            <w:rPr>
              <w:rFonts w:ascii="宋体" w:hAnsi="宋体"/>
            </w:rPr>
            <w:tag w:val="_PLD_13cec8f1a3504661b1b570efe7519fa3"/>
            <w:id w:val="695661013"/>
          </w:sdtPr>
          <w:sdtContent>
            <w:tc>
              <w:tcPr>
                <w:tcW w:w="5744"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公司研发人员的数量</w:t>
                </w:r>
              </w:p>
            </w:tc>
          </w:sdtContent>
        </w:sdt>
        <w:sdt>
          <w:sdtPr>
            <w:rPr>
              <w:rFonts w:ascii="宋体" w:hAnsi="宋体" w:hint="eastAsia"/>
            </w:rPr>
            <w:alias w:val="公司研发人员的数量"/>
            <w:tag w:val="_GBC_a84a5cadb95b4b7595981b8f24d727c8"/>
            <w:id w:val="-261382648"/>
          </w:sdtPr>
          <w:sdtContent>
            <w:tc>
              <w:tcPr>
                <w:tcW w:w="3305" w:type="dxa"/>
                <w:tcBorders>
                  <w:top w:val="single" w:sz="4" w:space="0" w:color="auto"/>
                  <w:left w:val="nil"/>
                  <w:bottom w:val="single" w:sz="4" w:space="0" w:color="auto"/>
                  <w:right w:val="single" w:sz="4" w:space="0" w:color="auto"/>
                </w:tcBorders>
                <w:vAlign w:val="center"/>
              </w:tcPr>
              <w:p>
                <w:pPr>
                  <w:jc w:val="right"/>
                  <w:rPr>
                    <w:rFonts w:ascii="宋体" w:hAnsi="宋体"/>
                  </w:rPr>
                </w:pPr>
                <w:r>
                  <w:rPr>
                    <w:rFonts w:ascii="宋体" w:hAnsi="宋体"/>
                  </w:rPr>
                  <w:t>4,747</w:t>
                </w:r>
              </w:p>
            </w:tc>
          </w:sdtContent>
        </w:sdt>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研发人员数量占公司总人数的比例（%）</w:t>
            </w:r>
          </w:p>
        </w:tc>
        <w:tc>
          <w:tcPr>
            <w:tcW w:w="3305" w:type="dxa"/>
            <w:tcBorders>
              <w:top w:val="nil"/>
              <w:left w:val="nil"/>
              <w:bottom w:val="single" w:sz="4" w:space="0" w:color="auto"/>
              <w:right w:val="single" w:sz="4" w:space="0" w:color="auto"/>
            </w:tcBorders>
            <w:vAlign w:val="center"/>
          </w:tcPr>
          <w:p>
            <w:pPr>
              <w:jc w:val="right"/>
              <w:rPr>
                <w:rFonts w:ascii="宋体" w:hAnsi="宋体"/>
              </w:rPr>
            </w:pPr>
            <w:r>
              <w:rPr>
                <w:rFonts w:ascii="宋体" w:hAnsi="宋体"/>
              </w:rPr>
              <w:t>5.22</w:t>
            </w:r>
          </w:p>
        </w:tc>
      </w:tr>
      <w:tr>
        <w:trPr>
          <w:trHeight w:val="270"/>
          <w:jc w:val="center"/>
        </w:trPr>
        <w:sdt>
          <w:sdtPr>
            <w:rPr>
              <w:rFonts w:ascii="宋体" w:hAnsi="宋体"/>
            </w:rPr>
            <w:tag w:val="_PLD_b048dc379aae455a86f744476f1bb4a1"/>
            <w:id w:val="19906770"/>
          </w:sdtPr>
          <w:sdtContent>
            <w:tc>
              <w:tcPr>
                <w:tcW w:w="9049" w:type="dxa"/>
                <w:gridSpan w:val="2"/>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研发人员学历结构</w:t>
                </w:r>
              </w:p>
            </w:tc>
          </w:sdtContent>
        </w:sdt>
      </w:tr>
      <w:tr>
        <w:trPr>
          <w:trHeight w:val="270"/>
          <w:jc w:val="center"/>
        </w:trPr>
        <w:sdt>
          <w:sdtPr>
            <w:rPr>
              <w:rFonts w:ascii="宋体" w:hAnsi="宋体"/>
            </w:rPr>
            <w:tag w:val="_PLD_f770501e43654648a563d2a86970204f"/>
            <w:id w:val="-1633930102"/>
          </w:sdtPr>
          <w:sdtContent>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学历结构类别</w:t>
                </w:r>
              </w:p>
            </w:tc>
          </w:sdtContent>
        </w:sdt>
        <w:tc>
          <w:tcPr>
            <w:tcW w:w="3305" w:type="dxa"/>
            <w:tcBorders>
              <w:top w:val="nil"/>
              <w:left w:val="nil"/>
              <w:bottom w:val="single" w:sz="4" w:space="0" w:color="auto"/>
              <w:right w:val="single" w:sz="4" w:space="0" w:color="auto"/>
            </w:tcBorders>
            <w:noWrap/>
            <w:vAlign w:val="center"/>
          </w:tcPr>
          <w:p>
            <w:pPr>
              <w:jc w:val="center"/>
            </w:pPr>
            <w:r>
              <w:rPr>
                <w:rFonts w:hint="eastAsia"/>
              </w:rPr>
              <w:t>学历结构人数</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博士研究生</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2</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硕士研究生</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262</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本科</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3,509</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本科以下</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974</w:t>
            </w:r>
          </w:p>
        </w:tc>
      </w:tr>
      <w:tr>
        <w:trPr>
          <w:trHeight w:val="270"/>
          <w:jc w:val="center"/>
        </w:trPr>
        <w:sdt>
          <w:sdtPr>
            <w:rPr>
              <w:rFonts w:ascii="宋体" w:hAnsi="宋体"/>
            </w:rPr>
            <w:tag w:val="_PLD_10352dc928264c50aa8776e0ae8ec569"/>
            <w:id w:val="-536508016"/>
          </w:sdtPr>
          <w:sdtContent>
            <w:tc>
              <w:tcPr>
                <w:tcW w:w="9049" w:type="dxa"/>
                <w:gridSpan w:val="2"/>
                <w:tcBorders>
                  <w:top w:val="nil"/>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研发人员年龄结构</w:t>
                </w:r>
              </w:p>
            </w:tc>
          </w:sdtContent>
        </w:sdt>
      </w:tr>
      <w:tr>
        <w:trPr>
          <w:trHeight w:val="270"/>
          <w:jc w:val="center"/>
        </w:trPr>
        <w:sdt>
          <w:sdtPr>
            <w:rPr>
              <w:rFonts w:ascii="宋体" w:hAnsi="宋体"/>
            </w:rPr>
            <w:tag w:val="_PLD_b9dd411387bd4ae4b04fe660cc0aac1b"/>
            <w:id w:val="-1202402553"/>
          </w:sdtPr>
          <w:sdtContent>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年龄结构类别</w:t>
                </w:r>
              </w:p>
            </w:tc>
          </w:sdtContent>
        </w:sdt>
        <w:tc>
          <w:tcPr>
            <w:tcW w:w="3305" w:type="dxa"/>
            <w:tcBorders>
              <w:top w:val="nil"/>
              <w:left w:val="nil"/>
              <w:bottom w:val="single" w:sz="4" w:space="0" w:color="auto"/>
              <w:right w:val="single" w:sz="4" w:space="0" w:color="auto"/>
            </w:tcBorders>
            <w:noWrap/>
            <w:vAlign w:val="center"/>
          </w:tcPr>
          <w:p>
            <w:pPr>
              <w:jc w:val="center"/>
            </w:pPr>
            <w:r>
              <w:rPr>
                <w:rFonts w:hint="eastAsia"/>
              </w:rPr>
              <w:t>年龄结构人数</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30岁以下（不含30岁）</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705</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30-40岁（含30岁，不含40岁）</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1,670</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40-50岁（含40岁，不含50岁）</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1,861</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50-60岁（含50岁，不含60岁）</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510</w:t>
            </w:r>
          </w:p>
        </w:tc>
      </w:tr>
      <w:tr>
        <w:trPr>
          <w:trHeight w:val="270"/>
          <w:jc w:val="center"/>
        </w:trPr>
        <w:tc>
          <w:tcPr>
            <w:tcW w:w="5744" w:type="dxa"/>
            <w:tcBorders>
              <w:top w:val="nil"/>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60岁及以上</w:t>
            </w:r>
          </w:p>
        </w:tc>
        <w:tc>
          <w:tcPr>
            <w:tcW w:w="3305" w:type="dxa"/>
            <w:tcBorders>
              <w:top w:val="nil"/>
              <w:left w:val="nil"/>
              <w:bottom w:val="single" w:sz="4" w:space="0" w:color="auto"/>
              <w:right w:val="single" w:sz="4" w:space="0" w:color="auto"/>
            </w:tcBorders>
            <w:noWrap/>
            <w:vAlign w:val="center"/>
          </w:tcPr>
          <w:p>
            <w:pPr>
              <w:jc w:val="right"/>
              <w:rPr>
                <w:rFonts w:ascii="宋体" w:hAnsi="宋体"/>
              </w:rPr>
            </w:pPr>
            <w:r>
              <w:rPr>
                <w:rFonts w:ascii="宋体" w:hAnsi="宋体"/>
              </w:rPr>
              <w:t>1</w:t>
            </w:r>
          </w:p>
        </w:tc>
      </w:tr>
    </w:tbl>
    <w:p>
      <w:pPr>
        <w:pStyle w:val="Style49"/>
      </w:pPr>
    </w:p>
    <w:bookmarkEnd w:id="101"/>
    <w:p>
      <w:pPr>
        <w:pStyle w:val="aff9"/>
        <w:numPr>
          <w:ilvl w:val="0"/>
          <w:numId w:val="18"/>
        </w:numPr>
        <w:spacing w:before="60" w:after="60"/>
        <w:ind w:firstLineChars="0"/>
        <w:rPr>
          <w:rStyle w:val="50"/>
          <w:szCs w:val="21"/>
        </w:rPr>
      </w:pPr>
      <w:r>
        <w:rPr>
          <w:rStyle w:val="50"/>
          <w:szCs w:val="21"/>
        </w:rPr>
        <w:t>情况说明</w:t>
      </w:r>
    </w:p>
    <w:sdt>
      <w:sdtPr>
        <w:rPr>
          <w:rStyle w:val="50"/>
          <w:b w:val="0"/>
          <w:szCs w:val="21"/>
        </w:rPr>
        <w:alias w:val="是否适用：研发投入情况说明[双击切换]"/>
        <w:tag w:val="_GBC_b983f5c63407411d82434ca6547deae8"/>
        <w:id w:val="943183851"/>
        <w:placeholder>
          <w:docPart w:val="GBC22222222222222222222222222222"/>
        </w:placeholder>
      </w:sdtPr>
      <w:sdtContent>
        <w:p>
          <w:pPr>
            <w:spacing w:before="60" w:after="60"/>
            <w:rPr>
              <w:rStyle w:val="50"/>
              <w:b w:val="0"/>
              <w:szCs w:val="21"/>
            </w:rPr>
          </w:pPr>
          <w:r>
            <w:rPr>
              <w:rStyle w:val="50"/>
              <w:rFonts w:ascii="宋体" w:hAnsi="宋体"/>
              <w:b w:val="0"/>
              <w:szCs w:val="21"/>
            </w:rPr>
            <w:fldChar w:fldCharType="begin"/>
          </w:r>
          <w:r>
            <w:rPr>
              <w:rStyle w:val="50"/>
              <w:rFonts w:ascii="宋体" w:hAnsi="宋体"/>
              <w:b w:val="0"/>
              <w:szCs w:val="21"/>
            </w:rPr>
            <w:instrText xml:space="preserve">MACROBUTTON  SnrToggleCheckbox √适用 </w:instrText>
          </w:r>
          <w:r>
            <w:rPr>
              <w:rStyle w:val="50"/>
              <w:rFonts w:ascii="宋体" w:hAnsi="宋体"/>
              <w:b w:val="0"/>
              <w:szCs w:val="21"/>
            </w:rPr>
            <w:fldChar w:fldCharType="end"/>
          </w:r>
          <w:r>
            <w:rPr>
              <w:rStyle w:val="50"/>
              <w:rFonts w:ascii="宋体" w:hAnsi="宋体"/>
              <w:b w:val="0"/>
              <w:szCs w:val="21"/>
            </w:rPr>
            <w:fldChar w:fldCharType="begin"/>
          </w:r>
          <w:r>
            <w:rPr>
              <w:rStyle w:val="50"/>
              <w:rFonts w:ascii="宋体" w:hAnsi="宋体"/>
              <w:b w:val="0"/>
              <w:szCs w:val="21"/>
            </w:rPr>
            <w:instrText xml:space="preserve"> MACROBUTTON  SnrToggleCheckbox □不适用 </w:instrText>
          </w:r>
          <w:r>
            <w:rPr>
              <w:rStyle w:val="50"/>
              <w:rFonts w:ascii="宋体" w:hAnsi="宋体"/>
              <w:b w:val="0"/>
              <w:szCs w:val="21"/>
            </w:rPr>
            <w:fldChar w:fldCharType="end"/>
          </w:r>
        </w:p>
      </w:sdtContent>
    </w:sdt>
    <w:sdt>
      <w:sdtPr>
        <w:rPr>
          <w:rStyle w:val="50"/>
          <w:rFonts w:hint="eastAsia"/>
          <w:b w:val="0"/>
          <w:szCs w:val="21"/>
        </w:rPr>
        <w:alias w:val="研发投入情况说明"/>
        <w:tag w:val="_GBC_29b7bc5a44244641bea57d5a14dde83b"/>
        <w:id w:val="-1336986835"/>
        <w:placeholder>
          <w:docPart w:val="GBC22222222222222222222222222222"/>
        </w:placeholder>
      </w:sdtPr>
      <w:sdtEndPr>
        <w:rPr>
          <w:rStyle w:val="50"/>
          <w:b/>
        </w:rPr>
      </w:sdtEndPr>
      <w:sdtContent>
        <w:p>
          <w:pPr>
            <w:ind w:firstLineChars="200" w:firstLine="420"/>
            <w:rPr>
              <w:rStyle w:val="50"/>
              <w:rFonts w:ascii="宋体" w:hAnsi="宋体"/>
              <w:b w:val="0"/>
              <w:szCs w:val="21"/>
            </w:rPr>
          </w:pPr>
          <w:r>
            <w:rPr>
              <w:rStyle w:val="50"/>
              <w:rFonts w:ascii="宋体" w:hAnsi="宋体" w:hint="eastAsia"/>
              <w:b w:val="0"/>
              <w:szCs w:val="21"/>
            </w:rPr>
            <w:t>兖矿能源牢固树立“科技是第一生产力”理念，加快推动以“抢占战略先机、带动产业突破、解决生产难题”为中心的重大科技攻关，全面提升自主创新能力，掌握一批关键核心技术，不断增强产业竞争优势，为加快建设国际一流、可持续发展的清洁能源引领示范企业提供坚强支撑。</w:t>
          </w:r>
        </w:p>
        <w:p>
          <w:pPr>
            <w:ind w:firstLineChars="200" w:firstLine="420"/>
            <w:jc w:val="both"/>
            <w:rPr>
              <w:rStyle w:val="50"/>
              <w:rFonts w:ascii="宋体" w:hAnsi="宋体"/>
              <w:b w:val="0"/>
              <w:szCs w:val="21"/>
            </w:rPr>
          </w:pPr>
          <w:r>
            <w:rPr>
              <w:rStyle w:val="50"/>
              <w:rFonts w:ascii="宋体" w:hAnsi="宋体" w:hint="eastAsia"/>
              <w:b w:val="0"/>
              <w:szCs w:val="21"/>
            </w:rPr>
            <w:t>兖矿能源建成有国家企业技术中心、院士工作站、国家CNAS认可实验室、博士后科研工作站、博士后创新基地等高层次研发平台。2</w:t>
          </w:r>
          <w:r>
            <w:rPr>
              <w:rStyle w:val="50"/>
              <w:rFonts w:ascii="宋体" w:hAnsi="宋体"/>
              <w:b w:val="0"/>
              <w:szCs w:val="21"/>
            </w:rPr>
            <w:t>025</w:t>
          </w:r>
          <w:r>
            <w:rPr>
              <w:rStyle w:val="50"/>
              <w:rFonts w:ascii="宋体" w:hAnsi="宋体" w:hint="eastAsia"/>
              <w:b w:val="0"/>
              <w:szCs w:val="21"/>
            </w:rPr>
            <w:t>年本集团取得授权专利等知识产权679件，其中：发明158件，实用新型493件，外观设计4件，软件著作权24件。</w:t>
          </w:r>
          <w:r>
            <w:rPr>
              <w:rFonts w:ascii="宋体" w:hAnsi="宋体" w:hint="eastAsia"/>
              <w:bCs/>
              <w:kern w:val="2"/>
            </w:rPr>
            <w:t>获得省部级以上科技奖励87项。</w:t>
          </w:r>
        </w:p>
      </w:sdtContent>
    </w:sdt>
    <w:p>
      <w:pPr>
        <w:rPr>
          <w:rStyle w:val="50"/>
          <w:b w:val="0"/>
          <w:bCs w:val="0"/>
          <w:szCs w:val="21"/>
        </w:rPr>
      </w:pPr>
    </w:p>
    <w:p>
      <w:pPr>
        <w:pStyle w:val="aff9"/>
        <w:numPr>
          <w:ilvl w:val="0"/>
          <w:numId w:val="18"/>
        </w:numPr>
        <w:spacing w:before="60" w:after="60"/>
        <w:ind w:firstLineChars="0"/>
        <w:rPr>
          <w:rStyle w:val="50"/>
          <w:szCs w:val="21"/>
        </w:rPr>
      </w:pPr>
      <w:bookmarkStart w:id="102" w:name="_Hlk89876701"/>
      <w:r>
        <w:rPr>
          <w:rStyle w:val="50"/>
          <w:szCs w:val="21"/>
        </w:rPr>
        <w:t>研发人员构成发生重大变化的原因及对公司未来发展的影响</w:t>
      </w:r>
    </w:p>
    <w:p>
      <w:pPr>
        <w:spacing w:before="60" w:after="60"/>
      </w:pPr>
      <w:sdt>
        <w:sdtPr>
          <w:alias w:val="是否适用：研发人员构成发生重大变化的原因及对公司未来发展的影响 [双击切换]"/>
          <w:tag w:val="_GBC_03b44883afff4742a08c198d082c26b3"/>
          <w:id w:val="-1529021477"/>
          <w:placeholder>
            <w:docPart w:val="GBC22222222222222222222222222222"/>
          </w:placeholder>
        </w:sdt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pStyle w:val="Style49"/>
      </w:pPr>
    </w:p>
    <w:bookmarkEnd w:id="102"/>
    <w:p>
      <w:pPr>
        <w:pStyle w:val="4"/>
        <w:numPr>
          <w:ilvl w:val="0"/>
          <w:numId w:val="16"/>
        </w:numPr>
      </w:pPr>
      <w:r>
        <w:rPr>
          <w:rFonts w:hint="eastAsia"/>
        </w:rPr>
        <w:t>现金流</w:t>
      </w:r>
    </w:p>
    <w:sdt>
      <w:sdtPr>
        <w:alias w:val="是否适用：现金流[双击切换]"/>
        <w:tag w:val="_GBC_3340f2fc4f854cc1882e18412cf992f6"/>
        <w:id w:val="1945101634"/>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现金流的影响分析"/>
        <w:tag w:val="_GBC_586311c345aa4f48bab3f8f8d5347f93"/>
        <w:id w:val="1879590598"/>
        <w:placeholder>
          <w:docPart w:val="GBC22222222222222222222222222222"/>
        </w:placeholder>
      </w:sdtPr>
      <w:sdtContent>
        <w:p>
          <w:pPr>
            <w:ind w:firstLineChars="200" w:firstLine="420"/>
            <w:rPr>
              <w:rFonts w:ascii="宋体" w:hAnsi="宋体"/>
            </w:rPr>
          </w:pPr>
          <w:r>
            <w:rPr>
              <w:rFonts w:ascii="宋体" w:hAnsi="宋体" w:hint="eastAsia"/>
            </w:rPr>
            <w:t>现金流变动分析详情请见本节“利润表及现金流量表相关科目变动分析表”相关内容。</w:t>
          </w:r>
        </w:p>
        <w:p>
          <w:pPr>
            <w:rPr>
              <w:rFonts w:ascii="宋体" w:hAnsi="宋体"/>
            </w:rPr>
          </w:pPr>
        </w:p>
        <w:p>
          <w:pPr>
            <w:ind w:firstLineChars="200" w:firstLine="420"/>
            <w:rPr>
              <w:rFonts w:ascii="宋体" w:hAnsi="宋体"/>
            </w:rPr>
          </w:pPr>
          <w:r>
            <w:rPr>
              <w:rFonts w:ascii="宋体" w:hAnsi="宋体" w:hint="eastAsia"/>
            </w:rPr>
            <w:t>资金来源和运用</w:t>
          </w:r>
        </w:p>
        <w:p>
          <w:pPr>
            <w:ind w:firstLineChars="200" w:firstLine="420"/>
            <w:rPr>
              <w:rFonts w:ascii="宋体" w:hAnsi="宋体"/>
            </w:rPr>
          </w:pPr>
          <w:r>
            <w:rPr>
              <w:rFonts w:ascii="宋体" w:hAnsi="宋体" w:hint="eastAsia"/>
            </w:rPr>
            <w:t>202</w:t>
          </w:r>
          <w:r>
            <w:rPr>
              <w:rFonts w:ascii="宋体" w:hAnsi="宋体"/>
            </w:rPr>
            <w:t>5</w:t>
          </w:r>
          <w:r>
            <w:rPr>
              <w:rFonts w:ascii="宋体" w:hAnsi="宋体" w:hint="eastAsia"/>
            </w:rPr>
            <w:t>年本集团的资金来源主要是营业现金收入、发行债券及银行贷款。资金主要用于经营业务支出，购置固定资产、在建工程和工程物资，支付股东股息，偿还银行贷款，支付收购资产和股权价款等。</w:t>
          </w:r>
        </w:p>
        <w:p>
          <w:pPr>
            <w:ind w:firstLineChars="200" w:firstLine="420"/>
          </w:pPr>
        </w:p>
      </w:sdtContent>
    </w:sdt>
    <w:p>
      <w:pPr>
        <w:pStyle w:val="Style49"/>
      </w:pPr>
    </w:p>
    <w:p>
      <w:pPr>
        <w:keepNext/>
        <w:keepLines/>
        <w:widowControl w:val="0"/>
        <w:numPr>
          <w:ilvl w:val="0"/>
          <w:numId w:val="15"/>
        </w:numPr>
        <w:spacing w:before="60" w:after="60"/>
        <w:ind w:left="369" w:hangingChars="175" w:hanging="369"/>
        <w:jc w:val="both"/>
        <w:outlineLvl w:val="2"/>
        <w:rPr>
          <w:rFonts w:ascii="宋体" w:hAnsi="宋体"/>
          <w:b/>
          <w:bCs/>
          <w:kern w:val="2"/>
        </w:rPr>
      </w:pPr>
      <w:r>
        <w:rPr>
          <w:rFonts w:ascii="宋体" w:hAnsi="宋体" w:hint="eastAsia"/>
          <w:b/>
          <w:bCs/>
          <w:kern w:val="2"/>
        </w:rPr>
        <w:t>非主营业务导致利润重大变化的说明</w:t>
      </w:r>
    </w:p>
    <w:sdt>
      <w:sdtPr>
        <w:alias w:val="是否适用：非主营业务来源分析[双击切换]"/>
        <w:tag w:val="_GBC_e76b46ce658b44e591e71db49febe73d"/>
        <w:id w:val="1665892681"/>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keepNext/>
        <w:keepLines/>
        <w:widowControl w:val="0"/>
        <w:numPr>
          <w:ilvl w:val="0"/>
          <w:numId w:val="15"/>
        </w:numPr>
        <w:spacing w:before="60" w:after="60"/>
        <w:ind w:left="369" w:hangingChars="175" w:hanging="369"/>
        <w:jc w:val="both"/>
        <w:outlineLvl w:val="2"/>
        <w:rPr>
          <w:rFonts w:ascii="宋体" w:hAnsi="宋体"/>
          <w:b/>
          <w:bCs/>
          <w:kern w:val="2"/>
        </w:rPr>
      </w:pPr>
      <w:r>
        <w:rPr>
          <w:rFonts w:ascii="宋体" w:hAnsi="宋体" w:hint="eastAsia"/>
          <w:b/>
          <w:bCs/>
          <w:kern w:val="2"/>
        </w:rPr>
        <w:t>资产、负债情况分析</w:t>
      </w:r>
    </w:p>
    <w:p>
      <w:pPr>
        <w:pStyle w:val="Style49"/>
      </w:pPr>
      <w:sdt>
        <w:sdtPr>
          <w:rPr>
            <w:rFonts w:hint="eastAsia"/>
          </w:rPr>
          <w:alias w:val="是否适用：资产、负债情况分析[双击切换]"/>
          <w:tag w:val="_GBC_73f72b786f764d01bef1bb70d2d6e5c6"/>
          <w:id w:val="421691089"/>
          <w:placeholder>
            <w:docPart w:val="GBC22222222222222222222222222222"/>
          </w:placeholder>
        </w:sdt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pStyle w:val="4"/>
        <w:numPr>
          <w:ilvl w:val="0"/>
          <w:numId w:val="19"/>
        </w:numPr>
      </w:pPr>
      <w:r>
        <w:t>资产</w:t>
      </w:r>
      <w:r>
        <w:rPr>
          <w:rFonts w:hint="eastAsia"/>
        </w:rPr>
        <w:t>及</w:t>
      </w:r>
      <w:r>
        <w:t>负债</w:t>
      </w:r>
      <w:r>
        <w:rPr>
          <w:rFonts w:hint="eastAsia"/>
          <w:szCs w:val="21"/>
        </w:rPr>
        <w:t>状</w:t>
      </w:r>
      <w:r>
        <w:rPr>
          <w:szCs w:val="21"/>
        </w:rPr>
        <w:t>况</w:t>
      </w:r>
    </w:p>
    <w:p>
      <w:pPr>
        <w:wordWrap w:val="0"/>
        <w:jc w:val="right"/>
      </w:pPr>
      <w:r>
        <w:rPr>
          <w:rFonts w:hint="eastAsia"/>
        </w:rPr>
        <w:t>单位：</w:t>
      </w:r>
      <w:sdt>
        <w:sdtPr>
          <w:rPr>
            <w:rFonts w:hint="eastAsia"/>
          </w:rPr>
          <w:alias w:val="单位：资产负债状况分析"/>
          <w:tag w:val="_GBC_f016c1cffd884dd784e4fb134fd0d4df"/>
          <w:id w:val="17521503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百万元</w:t>
          </w:r>
        </w:sdtContent>
      </w:sdt>
      <w:r>
        <w:rPr>
          <w:rFonts w:hint="eastAsia"/>
        </w:rPr>
        <w:t xml:space="preserve">  </w:t>
      </w:r>
      <w:r>
        <w:rPr>
          <w:rFonts w:hint="eastAsia"/>
        </w:rPr>
        <w:t>币种：</w:t>
      </w:r>
      <w:sdt>
        <w:sdtPr>
          <w:rPr>
            <w:rFonts w:hint="eastAsia"/>
          </w:rPr>
          <w:alias w:val="币种：资产负债状况分析"/>
          <w:tag w:val="_GBC_18960409397a4cf093654b8114508f4b"/>
          <w:id w:val="-2221433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4"/>
        <w:tblW w:w="10485" w:type="dxa"/>
        <w:jc w:val="center"/>
        <w:tblLayout w:type="fixed"/>
        <w:tblLook w:val="04A0" w:firstRow="1" w:lastRow="0" w:firstColumn="1" w:lastColumn="0" w:noHBand="0" w:noVBand="1"/>
      </w:tblPr>
      <w:tblGrid>
        <w:gridCol w:w="1702"/>
        <w:gridCol w:w="992"/>
        <w:gridCol w:w="1417"/>
        <w:gridCol w:w="1276"/>
        <w:gridCol w:w="1276"/>
        <w:gridCol w:w="1276"/>
        <w:gridCol w:w="2546"/>
      </w:tblGrid>
      <w:tr>
        <w:trPr>
          <w:trHeight w:val="180"/>
          <w:jc w:val="center"/>
        </w:trPr>
        <w:sdt>
          <w:sdtPr>
            <w:tag w:val="_PLD_8f1f37d9a09f4bf3a8f4c407297e58ed"/>
            <w:id w:val="-174109711"/>
          </w:sdtPr>
          <w:sdtContent>
            <w:tc>
              <w:tcPr>
                <w:tcW w:w="1702" w:type="dxa"/>
                <w:vAlign w:val="center"/>
              </w:tcPr>
              <w:p>
                <w:pPr>
                  <w:jc w:val="center"/>
                  <w:rPr>
                    <w:rStyle w:val="50"/>
                    <w:szCs w:val="21"/>
                  </w:rPr>
                </w:pPr>
                <w:r>
                  <w:t>项目名称</w:t>
                </w:r>
              </w:p>
            </w:tc>
          </w:sdtContent>
        </w:sdt>
        <w:sdt>
          <w:sdtPr>
            <w:rPr>
              <w:rFonts w:ascii="宋体" w:hAnsi="宋体"/>
              <w:sz w:val="20"/>
              <w:szCs w:val="20"/>
            </w:rPr>
            <w:tag w:val="_PLD_a4c00a3d0d0a42e28bc6a14dd6d26320"/>
            <w:id w:val="-1275170893"/>
          </w:sdtPr>
          <w:sdtContent>
            <w:tc>
              <w:tcPr>
                <w:tcW w:w="992" w:type="dxa"/>
                <w:vAlign w:val="center"/>
              </w:tcPr>
              <w:p>
                <w:pPr>
                  <w:jc w:val="center"/>
                  <w:rPr>
                    <w:rStyle w:val="50"/>
                    <w:rFonts w:ascii="宋体" w:hAnsi="宋体"/>
                    <w:szCs w:val="21"/>
                  </w:rPr>
                </w:pPr>
                <w:r>
                  <w:rPr>
                    <w:rFonts w:ascii="宋体" w:hAnsi="宋体"/>
                  </w:rPr>
                  <w:t>本期期末数</w:t>
                </w:r>
              </w:p>
            </w:tc>
          </w:sdtContent>
        </w:sdt>
        <w:sdt>
          <w:sdtPr>
            <w:rPr>
              <w:rFonts w:ascii="宋体" w:hAnsi="宋体"/>
              <w:sz w:val="20"/>
              <w:szCs w:val="20"/>
            </w:rPr>
            <w:tag w:val="_PLD_17de20223ad64b528b824744807b0036"/>
            <w:id w:val="-1905366459"/>
          </w:sdtPr>
          <w:sdtContent>
            <w:tc>
              <w:tcPr>
                <w:tcW w:w="1417" w:type="dxa"/>
                <w:vAlign w:val="center"/>
              </w:tcPr>
              <w:p>
                <w:pPr>
                  <w:jc w:val="center"/>
                  <w:rPr>
                    <w:rStyle w:val="50"/>
                    <w:rFonts w:ascii="宋体" w:hAnsi="宋体"/>
                    <w:szCs w:val="21"/>
                  </w:rPr>
                </w:pPr>
                <w:r>
                  <w:rPr>
                    <w:rFonts w:ascii="宋体" w:hAnsi="宋体"/>
                  </w:rPr>
                  <w:t>本期期末数占总资产的比例（%）</w:t>
                </w:r>
              </w:p>
            </w:tc>
          </w:sdtContent>
        </w:sdt>
        <w:sdt>
          <w:sdtPr>
            <w:rPr>
              <w:rFonts w:ascii="宋体" w:hAnsi="宋体"/>
              <w:sz w:val="20"/>
              <w:szCs w:val="20"/>
            </w:rPr>
            <w:tag w:val="_PLD_d1b9e9483c3a41358f877758b5adb0fb"/>
            <w:id w:val="605238773"/>
          </w:sdtPr>
          <w:sdtContent>
            <w:tc>
              <w:tcPr>
                <w:tcW w:w="1276" w:type="dxa"/>
                <w:vAlign w:val="center"/>
              </w:tcPr>
              <w:p>
                <w:pPr>
                  <w:jc w:val="center"/>
                  <w:rPr>
                    <w:rStyle w:val="50"/>
                    <w:rFonts w:ascii="宋体" w:hAnsi="宋体"/>
                    <w:szCs w:val="21"/>
                  </w:rPr>
                </w:pPr>
                <w:r>
                  <w:rPr>
                    <w:rFonts w:ascii="宋体" w:hAnsi="宋体"/>
                  </w:rPr>
                  <w:t>上期期末数</w:t>
                </w:r>
              </w:p>
            </w:tc>
          </w:sdtContent>
        </w:sdt>
        <w:sdt>
          <w:sdtPr>
            <w:rPr>
              <w:rFonts w:ascii="宋体" w:hAnsi="宋体"/>
              <w:sz w:val="20"/>
              <w:szCs w:val="20"/>
            </w:rPr>
            <w:tag w:val="_PLD_3a8a8577e1a84f26856a900f7202f9a8"/>
            <w:id w:val="1317997749"/>
          </w:sdtPr>
          <w:sdtContent>
            <w:tc>
              <w:tcPr>
                <w:tcW w:w="1276" w:type="dxa"/>
                <w:vAlign w:val="center"/>
              </w:tcPr>
              <w:p>
                <w:pPr>
                  <w:jc w:val="center"/>
                  <w:rPr>
                    <w:rStyle w:val="50"/>
                    <w:rFonts w:ascii="宋体" w:hAnsi="宋体"/>
                    <w:szCs w:val="21"/>
                  </w:rPr>
                </w:pPr>
                <w:r>
                  <w:rPr>
                    <w:rFonts w:ascii="宋体" w:hAnsi="宋体"/>
                  </w:rPr>
                  <w:t>上期期末数占总资产的比例（%）</w:t>
                </w:r>
              </w:p>
            </w:tc>
          </w:sdtContent>
        </w:sdt>
        <w:sdt>
          <w:sdtPr>
            <w:rPr>
              <w:rFonts w:ascii="宋体" w:hAnsi="宋体"/>
              <w:sz w:val="20"/>
              <w:szCs w:val="20"/>
            </w:rPr>
            <w:tag w:val="_PLD_8af1894621b84d44aec1deba51e3a7da"/>
            <w:id w:val="-1106883712"/>
          </w:sdtPr>
          <w:sdtContent>
            <w:tc>
              <w:tcPr>
                <w:tcW w:w="1276" w:type="dxa"/>
                <w:vAlign w:val="center"/>
              </w:tcPr>
              <w:p>
                <w:pPr>
                  <w:jc w:val="center"/>
                  <w:rPr>
                    <w:rStyle w:val="50"/>
                    <w:rFonts w:ascii="宋体" w:hAnsi="宋体"/>
                    <w:szCs w:val="21"/>
                  </w:rPr>
                </w:pPr>
                <w:r>
                  <w:rPr>
                    <w:rFonts w:ascii="宋体" w:hAnsi="宋体"/>
                  </w:rPr>
                  <w:t>本期期末金额较上期期末变动比例（%）</w:t>
                </w:r>
              </w:p>
            </w:tc>
          </w:sdtContent>
        </w:sdt>
        <w:sdt>
          <w:sdtPr>
            <w:rPr>
              <w:rFonts w:ascii="宋体" w:hAnsi="宋体"/>
              <w:sz w:val="20"/>
              <w:szCs w:val="20"/>
            </w:rPr>
            <w:tag w:val="_PLD_495436d1d45e4a9391194459a895631e"/>
            <w:id w:val="-973679734"/>
          </w:sdtPr>
          <w:sdtContent>
            <w:tc>
              <w:tcPr>
                <w:tcW w:w="2546" w:type="dxa"/>
                <w:vAlign w:val="center"/>
              </w:tcPr>
              <w:p>
                <w:pPr>
                  <w:jc w:val="center"/>
                  <w:rPr>
                    <w:rStyle w:val="50"/>
                    <w:rFonts w:ascii="宋体" w:hAnsi="宋体"/>
                    <w:szCs w:val="21"/>
                  </w:rPr>
                </w:pPr>
                <w:r>
                  <w:rPr>
                    <w:rFonts w:ascii="宋体" w:hAnsi="宋体"/>
                  </w:rPr>
                  <w:t>情况说明</w:t>
                </w:r>
              </w:p>
            </w:tc>
          </w:sdtContent>
        </w:sdt>
      </w:tr>
      <w:tr>
        <w:trPr>
          <w:trHeight w:val="135"/>
          <w:jc w:val="center"/>
        </w:trPr>
        <w:tc>
          <w:tcPr>
            <w:tcW w:w="1702" w:type="dxa"/>
            <w:vAlign w:val="center"/>
          </w:tcPr>
          <w:p>
            <w:pPr>
              <w:rPr>
                <w:rFonts w:ascii="宋体" w:hAnsi="宋体"/>
              </w:rPr>
            </w:pPr>
            <w:r>
              <w:rPr>
                <w:rFonts w:ascii="宋体" w:hAnsi="宋体" w:hint="eastAsia"/>
              </w:rPr>
              <w:t>预付款项</w:t>
            </w:r>
          </w:p>
        </w:tc>
        <w:tc>
          <w:tcPr>
            <w:tcW w:w="992" w:type="dxa"/>
            <w:vAlign w:val="center"/>
          </w:tcPr>
          <w:p>
            <w:pPr>
              <w:jc w:val="right"/>
              <w:rPr>
                <w:rFonts w:ascii="宋体" w:hAnsi="宋体"/>
              </w:rPr>
            </w:pPr>
            <w:r>
              <w:rPr>
                <w:rFonts w:ascii="宋体" w:hAnsi="宋体"/>
              </w:rPr>
              <w:t xml:space="preserve">7,319 </w:t>
            </w:r>
          </w:p>
        </w:tc>
        <w:tc>
          <w:tcPr>
            <w:tcW w:w="1417" w:type="dxa"/>
            <w:vAlign w:val="center"/>
          </w:tcPr>
          <w:p>
            <w:pPr>
              <w:jc w:val="right"/>
              <w:rPr>
                <w:rFonts w:ascii="宋体" w:hAnsi="宋体"/>
              </w:rPr>
            </w:pPr>
            <w:r>
              <w:rPr>
                <w:rFonts w:ascii="宋体" w:hAnsi="宋体"/>
              </w:rPr>
              <w:t xml:space="preserve">1.62 </w:t>
            </w:r>
          </w:p>
        </w:tc>
        <w:tc>
          <w:tcPr>
            <w:tcW w:w="1276" w:type="dxa"/>
            <w:vAlign w:val="center"/>
          </w:tcPr>
          <w:p>
            <w:pPr>
              <w:jc w:val="right"/>
              <w:rPr>
                <w:rFonts w:ascii="宋体" w:hAnsi="宋体"/>
              </w:rPr>
            </w:pPr>
            <w:r>
              <w:rPr>
                <w:rFonts w:ascii="宋体" w:hAnsi="宋体"/>
              </w:rPr>
              <w:t xml:space="preserve">4,786 </w:t>
            </w:r>
          </w:p>
        </w:tc>
        <w:tc>
          <w:tcPr>
            <w:tcW w:w="1276" w:type="dxa"/>
            <w:vAlign w:val="center"/>
          </w:tcPr>
          <w:p>
            <w:pPr>
              <w:jc w:val="right"/>
              <w:rPr>
                <w:rFonts w:ascii="宋体" w:hAnsi="宋体"/>
              </w:rPr>
            </w:pPr>
            <w:r>
              <w:rPr>
                <w:rFonts w:ascii="宋体" w:hAnsi="宋体"/>
              </w:rPr>
              <w:t xml:space="preserve">1.16 </w:t>
            </w:r>
          </w:p>
        </w:tc>
        <w:tc>
          <w:tcPr>
            <w:tcW w:w="1276" w:type="dxa"/>
            <w:vAlign w:val="center"/>
          </w:tcPr>
          <w:p>
            <w:pPr>
              <w:jc w:val="right"/>
              <w:rPr>
                <w:rFonts w:ascii="宋体" w:hAnsi="宋体"/>
              </w:rPr>
            </w:pPr>
            <w:r>
              <w:rPr>
                <w:rFonts w:ascii="宋体" w:hAnsi="宋体"/>
              </w:rPr>
              <w:t xml:space="preserve">52.93 </w:t>
            </w:r>
          </w:p>
        </w:tc>
        <w:tc>
          <w:tcPr>
            <w:tcW w:w="2546" w:type="dxa"/>
            <w:vAlign w:val="center"/>
          </w:tcPr>
          <w:p>
            <w:pPr>
              <w:pStyle w:val="Style49"/>
            </w:pPr>
            <w:r>
              <w:rPr>
                <w:rFonts w:hint="eastAsia"/>
              </w:rPr>
              <w:t>本集团预付工程项目款比年初增加。</w:t>
            </w:r>
          </w:p>
        </w:tc>
      </w:tr>
      <w:tr>
        <w:trPr>
          <w:trHeight w:val="135"/>
          <w:jc w:val="center"/>
        </w:trPr>
        <w:tc>
          <w:tcPr>
            <w:tcW w:w="1702" w:type="dxa"/>
            <w:vAlign w:val="center"/>
          </w:tcPr>
          <w:p>
            <w:pPr>
              <w:rPr>
                <w:rFonts w:ascii="宋体" w:hAnsi="宋体"/>
              </w:rPr>
            </w:pPr>
            <w:r>
              <w:rPr>
                <w:rFonts w:ascii="宋体" w:hAnsi="宋体" w:hint="eastAsia"/>
              </w:rPr>
              <w:t>其他应收款</w:t>
            </w:r>
          </w:p>
        </w:tc>
        <w:tc>
          <w:tcPr>
            <w:tcW w:w="992" w:type="dxa"/>
            <w:vAlign w:val="center"/>
          </w:tcPr>
          <w:p>
            <w:pPr>
              <w:jc w:val="right"/>
              <w:rPr>
                <w:rFonts w:ascii="宋体" w:hAnsi="宋体"/>
              </w:rPr>
            </w:pPr>
            <w:r>
              <w:rPr>
                <w:rFonts w:ascii="宋体" w:hAnsi="宋体"/>
              </w:rPr>
              <w:t xml:space="preserve">23,016 </w:t>
            </w:r>
          </w:p>
        </w:tc>
        <w:tc>
          <w:tcPr>
            <w:tcW w:w="1417" w:type="dxa"/>
            <w:vAlign w:val="center"/>
          </w:tcPr>
          <w:p>
            <w:pPr>
              <w:jc w:val="right"/>
              <w:rPr>
                <w:rFonts w:ascii="宋体" w:hAnsi="宋体"/>
              </w:rPr>
            </w:pPr>
            <w:r>
              <w:rPr>
                <w:rFonts w:ascii="宋体" w:hAnsi="宋体"/>
              </w:rPr>
              <w:t xml:space="preserve">5.08 </w:t>
            </w:r>
          </w:p>
        </w:tc>
        <w:tc>
          <w:tcPr>
            <w:tcW w:w="1276" w:type="dxa"/>
            <w:vAlign w:val="center"/>
          </w:tcPr>
          <w:p>
            <w:pPr>
              <w:jc w:val="right"/>
              <w:rPr>
                <w:rFonts w:ascii="宋体" w:hAnsi="宋体"/>
              </w:rPr>
            </w:pPr>
            <w:r>
              <w:rPr>
                <w:rFonts w:ascii="宋体" w:hAnsi="宋体"/>
              </w:rPr>
              <w:t xml:space="preserve">3,997 </w:t>
            </w:r>
          </w:p>
        </w:tc>
        <w:tc>
          <w:tcPr>
            <w:tcW w:w="1276" w:type="dxa"/>
            <w:vAlign w:val="center"/>
          </w:tcPr>
          <w:p>
            <w:pPr>
              <w:jc w:val="right"/>
              <w:rPr>
                <w:rFonts w:ascii="宋体" w:hAnsi="宋体"/>
              </w:rPr>
            </w:pPr>
            <w:r>
              <w:rPr>
                <w:rFonts w:ascii="宋体" w:hAnsi="宋体"/>
              </w:rPr>
              <w:t xml:space="preserve">0.97 </w:t>
            </w:r>
          </w:p>
        </w:tc>
        <w:tc>
          <w:tcPr>
            <w:tcW w:w="1276" w:type="dxa"/>
            <w:vAlign w:val="center"/>
          </w:tcPr>
          <w:p>
            <w:pPr>
              <w:jc w:val="right"/>
              <w:rPr>
                <w:rFonts w:ascii="宋体" w:hAnsi="宋体"/>
              </w:rPr>
            </w:pPr>
            <w:r>
              <w:rPr>
                <w:rFonts w:ascii="宋体" w:hAnsi="宋体"/>
              </w:rPr>
              <w:t xml:space="preserve">475.89 </w:t>
            </w:r>
          </w:p>
        </w:tc>
        <w:tc>
          <w:tcPr>
            <w:tcW w:w="2546" w:type="dxa"/>
            <w:vAlign w:val="center"/>
          </w:tcPr>
          <w:p>
            <w:pPr>
              <w:pStyle w:val="Style49"/>
              <w:rPr>
                <w:rFonts w:ascii="宋体" w:hAnsi="宋体"/>
              </w:rPr>
            </w:pPr>
            <w:r>
              <w:rPr>
                <w:rFonts w:ascii="宋体" w:hAnsi="宋体" w:hint="eastAsia"/>
              </w:rPr>
              <w:t>根据鲁西矿业、新疆能化业绩承诺完成情况，确认应收交易返还价款183.61亿元。</w:t>
            </w:r>
          </w:p>
        </w:tc>
      </w:tr>
      <w:tr>
        <w:trPr>
          <w:trHeight w:val="135"/>
          <w:jc w:val="center"/>
        </w:trPr>
        <w:tc>
          <w:tcPr>
            <w:tcW w:w="1702" w:type="dxa"/>
            <w:vAlign w:val="center"/>
          </w:tcPr>
          <w:p>
            <w:pPr>
              <w:rPr>
                <w:rFonts w:ascii="宋体" w:hAnsi="宋体"/>
              </w:rPr>
            </w:pPr>
            <w:r>
              <w:rPr>
                <w:rFonts w:ascii="宋体" w:hAnsi="宋体" w:hint="eastAsia"/>
              </w:rPr>
              <w:t>一年内到期的非流动资产</w:t>
            </w:r>
          </w:p>
        </w:tc>
        <w:tc>
          <w:tcPr>
            <w:tcW w:w="992" w:type="dxa"/>
            <w:vAlign w:val="center"/>
          </w:tcPr>
          <w:p>
            <w:pPr>
              <w:jc w:val="right"/>
              <w:rPr>
                <w:rFonts w:ascii="宋体" w:hAnsi="宋体"/>
              </w:rPr>
            </w:pPr>
            <w:r>
              <w:rPr>
                <w:rFonts w:ascii="宋体" w:hAnsi="宋体"/>
              </w:rPr>
              <w:t xml:space="preserve">2,693 </w:t>
            </w:r>
          </w:p>
        </w:tc>
        <w:tc>
          <w:tcPr>
            <w:tcW w:w="1417" w:type="dxa"/>
            <w:vAlign w:val="center"/>
          </w:tcPr>
          <w:p>
            <w:pPr>
              <w:jc w:val="right"/>
              <w:rPr>
                <w:rFonts w:ascii="宋体" w:hAnsi="宋体"/>
              </w:rPr>
            </w:pPr>
            <w:r>
              <w:rPr>
                <w:rFonts w:ascii="宋体" w:hAnsi="宋体"/>
              </w:rPr>
              <w:t xml:space="preserve">0.59 </w:t>
            </w:r>
          </w:p>
        </w:tc>
        <w:tc>
          <w:tcPr>
            <w:tcW w:w="1276" w:type="dxa"/>
            <w:vAlign w:val="center"/>
          </w:tcPr>
          <w:p>
            <w:pPr>
              <w:jc w:val="right"/>
              <w:rPr>
                <w:rFonts w:ascii="宋体" w:hAnsi="宋体"/>
              </w:rPr>
            </w:pPr>
            <w:r>
              <w:rPr>
                <w:rFonts w:ascii="宋体" w:hAnsi="宋体"/>
              </w:rPr>
              <w:t xml:space="preserve">4,619 </w:t>
            </w:r>
          </w:p>
        </w:tc>
        <w:tc>
          <w:tcPr>
            <w:tcW w:w="1276" w:type="dxa"/>
            <w:vAlign w:val="center"/>
          </w:tcPr>
          <w:p>
            <w:pPr>
              <w:jc w:val="right"/>
              <w:rPr>
                <w:rFonts w:ascii="宋体" w:hAnsi="宋体"/>
              </w:rPr>
            </w:pPr>
            <w:r>
              <w:rPr>
                <w:rFonts w:ascii="宋体" w:hAnsi="宋体"/>
              </w:rPr>
              <w:t xml:space="preserve">1.12 </w:t>
            </w:r>
          </w:p>
        </w:tc>
        <w:tc>
          <w:tcPr>
            <w:tcW w:w="1276" w:type="dxa"/>
            <w:vAlign w:val="center"/>
          </w:tcPr>
          <w:p>
            <w:pPr>
              <w:jc w:val="right"/>
              <w:rPr>
                <w:rFonts w:ascii="宋体" w:hAnsi="宋体"/>
              </w:rPr>
            </w:pPr>
            <w:r>
              <w:rPr>
                <w:rFonts w:ascii="宋体" w:hAnsi="宋体"/>
              </w:rPr>
              <w:t xml:space="preserve">-41.69 </w:t>
            </w:r>
          </w:p>
        </w:tc>
        <w:tc>
          <w:tcPr>
            <w:tcW w:w="2546" w:type="dxa"/>
            <w:vAlign w:val="center"/>
          </w:tcPr>
          <w:p>
            <w:pPr>
              <w:pStyle w:val="Style49"/>
              <w:rPr>
                <w:rFonts w:ascii="宋体" w:hAnsi="宋体"/>
              </w:rPr>
            </w:pPr>
            <w:r>
              <w:rPr>
                <w:rFonts w:ascii="宋体" w:hAnsi="宋体" w:hint="eastAsia"/>
              </w:rPr>
              <w:t>①报告期内山能财司收回一年内到期的对外贷款</w:t>
            </w:r>
            <w:r>
              <w:rPr>
                <w:rFonts w:ascii="宋体" w:hAnsi="宋体"/>
              </w:rPr>
              <w:t>9.75</w:t>
            </w:r>
            <w:r>
              <w:rPr>
                <w:rFonts w:ascii="宋体" w:hAnsi="宋体" w:hint="eastAsia"/>
              </w:rPr>
              <w:t>亿元；②兖矿租赁对外应收融资租赁款比年初减少1</w:t>
            </w:r>
            <w:r>
              <w:rPr>
                <w:rFonts w:ascii="宋体" w:hAnsi="宋体"/>
              </w:rPr>
              <w:t>5.83</w:t>
            </w:r>
            <w:r>
              <w:rPr>
                <w:rFonts w:ascii="宋体" w:hAnsi="宋体" w:hint="eastAsia"/>
              </w:rPr>
              <w:t>亿元。</w:t>
            </w:r>
          </w:p>
        </w:tc>
      </w:tr>
      <w:tr>
        <w:trPr>
          <w:trHeight w:val="135"/>
          <w:jc w:val="center"/>
        </w:trPr>
        <w:tc>
          <w:tcPr>
            <w:tcW w:w="1702" w:type="dxa"/>
            <w:vAlign w:val="center"/>
          </w:tcPr>
          <w:p>
            <w:pPr>
              <w:rPr>
                <w:rFonts w:ascii="宋体" w:hAnsi="宋体"/>
              </w:rPr>
            </w:pPr>
            <w:r>
              <w:rPr>
                <w:rFonts w:ascii="宋体" w:hAnsi="宋体" w:hint="eastAsia"/>
              </w:rPr>
              <w:t>其他流动资产</w:t>
            </w:r>
          </w:p>
        </w:tc>
        <w:tc>
          <w:tcPr>
            <w:tcW w:w="992" w:type="dxa"/>
            <w:vAlign w:val="center"/>
          </w:tcPr>
          <w:p>
            <w:pPr>
              <w:jc w:val="right"/>
              <w:rPr>
                <w:rFonts w:ascii="宋体" w:hAnsi="宋体"/>
              </w:rPr>
            </w:pPr>
            <w:r>
              <w:rPr>
                <w:rFonts w:ascii="宋体" w:hAnsi="宋体"/>
              </w:rPr>
              <w:t xml:space="preserve">34,851 </w:t>
            </w:r>
          </w:p>
        </w:tc>
        <w:tc>
          <w:tcPr>
            <w:tcW w:w="1417" w:type="dxa"/>
            <w:vAlign w:val="center"/>
          </w:tcPr>
          <w:p>
            <w:pPr>
              <w:jc w:val="right"/>
              <w:rPr>
                <w:rFonts w:ascii="宋体" w:hAnsi="宋体"/>
              </w:rPr>
            </w:pPr>
            <w:r>
              <w:rPr>
                <w:rFonts w:ascii="宋体" w:hAnsi="宋体"/>
              </w:rPr>
              <w:t xml:space="preserve">7.69 </w:t>
            </w:r>
          </w:p>
        </w:tc>
        <w:tc>
          <w:tcPr>
            <w:tcW w:w="1276" w:type="dxa"/>
            <w:vAlign w:val="center"/>
          </w:tcPr>
          <w:p>
            <w:pPr>
              <w:jc w:val="right"/>
              <w:rPr>
                <w:rFonts w:ascii="宋体" w:hAnsi="宋体"/>
              </w:rPr>
            </w:pPr>
            <w:r>
              <w:rPr>
                <w:rFonts w:ascii="宋体" w:hAnsi="宋体"/>
              </w:rPr>
              <w:t xml:space="preserve">25,905 </w:t>
            </w:r>
          </w:p>
        </w:tc>
        <w:tc>
          <w:tcPr>
            <w:tcW w:w="1276" w:type="dxa"/>
            <w:vAlign w:val="center"/>
          </w:tcPr>
          <w:p>
            <w:pPr>
              <w:jc w:val="right"/>
              <w:rPr>
                <w:rFonts w:ascii="宋体" w:hAnsi="宋体"/>
              </w:rPr>
            </w:pPr>
            <w:r>
              <w:rPr>
                <w:rFonts w:ascii="宋体" w:hAnsi="宋体"/>
              </w:rPr>
              <w:t xml:space="preserve">6.29 </w:t>
            </w:r>
          </w:p>
        </w:tc>
        <w:tc>
          <w:tcPr>
            <w:tcW w:w="1276" w:type="dxa"/>
            <w:vAlign w:val="center"/>
          </w:tcPr>
          <w:p>
            <w:pPr>
              <w:jc w:val="right"/>
              <w:rPr>
                <w:rFonts w:ascii="宋体" w:hAnsi="宋体"/>
              </w:rPr>
            </w:pPr>
            <w:r>
              <w:rPr>
                <w:rFonts w:ascii="宋体" w:hAnsi="宋体"/>
              </w:rPr>
              <w:t xml:space="preserve">34.53 </w:t>
            </w:r>
          </w:p>
        </w:tc>
        <w:tc>
          <w:tcPr>
            <w:tcW w:w="2546" w:type="dxa"/>
            <w:vAlign w:val="center"/>
          </w:tcPr>
          <w:p>
            <w:pPr>
              <w:pStyle w:val="Style49"/>
              <w:rPr>
                <w:rFonts w:ascii="宋体" w:hAnsi="宋体"/>
              </w:rPr>
            </w:pPr>
            <w:r>
              <w:rPr>
                <w:rFonts w:ascii="宋体" w:hAnsi="宋体" w:hint="eastAsia"/>
              </w:rPr>
              <w:t>①山能财司发放的贷款及垫款比年初增加</w:t>
            </w:r>
            <w:r>
              <w:rPr>
                <w:rFonts w:ascii="宋体" w:hAnsi="宋体"/>
              </w:rPr>
              <w:t>34.98</w:t>
            </w:r>
            <w:r>
              <w:rPr>
                <w:rFonts w:ascii="宋体" w:hAnsi="宋体" w:hint="eastAsia"/>
              </w:rPr>
              <w:t>亿元；②土地塌陷、复原、重整及环保支出比年初增加</w:t>
            </w:r>
            <w:r>
              <w:rPr>
                <w:rFonts w:ascii="宋体" w:hAnsi="宋体"/>
              </w:rPr>
              <w:t>41.01</w:t>
            </w:r>
            <w:r>
              <w:rPr>
                <w:rFonts w:ascii="宋体" w:hAnsi="宋体" w:hint="eastAsia"/>
              </w:rPr>
              <w:t>亿元。</w:t>
            </w:r>
          </w:p>
        </w:tc>
      </w:tr>
      <w:tr>
        <w:trPr>
          <w:trHeight w:val="135"/>
          <w:jc w:val="center"/>
        </w:trPr>
        <w:tc>
          <w:tcPr>
            <w:tcW w:w="1702" w:type="dxa"/>
            <w:vAlign w:val="center"/>
          </w:tcPr>
          <w:p>
            <w:pPr>
              <w:rPr>
                <w:rFonts w:ascii="宋体" w:hAnsi="宋体"/>
              </w:rPr>
            </w:pPr>
            <w:r>
              <w:rPr>
                <w:rFonts w:ascii="宋体" w:hAnsi="宋体" w:hint="eastAsia"/>
              </w:rPr>
              <w:t>其他非流动资产</w:t>
            </w:r>
          </w:p>
        </w:tc>
        <w:tc>
          <w:tcPr>
            <w:tcW w:w="992" w:type="dxa"/>
            <w:vAlign w:val="center"/>
          </w:tcPr>
          <w:p>
            <w:pPr>
              <w:jc w:val="right"/>
              <w:rPr>
                <w:rFonts w:ascii="宋体" w:hAnsi="宋体"/>
              </w:rPr>
            </w:pPr>
            <w:r>
              <w:rPr>
                <w:rFonts w:ascii="宋体" w:hAnsi="宋体"/>
              </w:rPr>
              <w:t xml:space="preserve">16,709 </w:t>
            </w:r>
          </w:p>
        </w:tc>
        <w:tc>
          <w:tcPr>
            <w:tcW w:w="1417" w:type="dxa"/>
            <w:vAlign w:val="center"/>
          </w:tcPr>
          <w:p>
            <w:pPr>
              <w:jc w:val="right"/>
              <w:rPr>
                <w:rFonts w:ascii="宋体" w:hAnsi="宋体"/>
              </w:rPr>
            </w:pPr>
            <w:r>
              <w:rPr>
                <w:rFonts w:ascii="宋体" w:hAnsi="宋体"/>
              </w:rPr>
              <w:t xml:space="preserve">3.85 </w:t>
            </w:r>
          </w:p>
        </w:tc>
        <w:tc>
          <w:tcPr>
            <w:tcW w:w="1276" w:type="dxa"/>
            <w:vAlign w:val="center"/>
          </w:tcPr>
          <w:p>
            <w:pPr>
              <w:jc w:val="right"/>
              <w:rPr>
                <w:rFonts w:ascii="宋体" w:hAnsi="宋体"/>
              </w:rPr>
            </w:pPr>
            <w:r>
              <w:rPr>
                <w:rFonts w:ascii="宋体" w:hAnsi="宋体"/>
              </w:rPr>
              <w:t xml:space="preserve">26,900 </w:t>
            </w:r>
          </w:p>
        </w:tc>
        <w:tc>
          <w:tcPr>
            <w:tcW w:w="1276" w:type="dxa"/>
            <w:vAlign w:val="center"/>
          </w:tcPr>
          <w:p>
            <w:pPr>
              <w:jc w:val="right"/>
              <w:rPr>
                <w:rFonts w:ascii="宋体" w:hAnsi="宋体"/>
              </w:rPr>
            </w:pPr>
            <w:r>
              <w:rPr>
                <w:rFonts w:ascii="宋体" w:hAnsi="宋体"/>
              </w:rPr>
              <w:t xml:space="preserve">6.53 </w:t>
            </w:r>
          </w:p>
        </w:tc>
        <w:tc>
          <w:tcPr>
            <w:tcW w:w="1276" w:type="dxa"/>
            <w:vAlign w:val="center"/>
          </w:tcPr>
          <w:p>
            <w:pPr>
              <w:jc w:val="right"/>
              <w:rPr>
                <w:rFonts w:ascii="宋体" w:hAnsi="宋体"/>
              </w:rPr>
            </w:pPr>
            <w:r>
              <w:rPr>
                <w:rFonts w:ascii="宋体" w:hAnsi="宋体"/>
              </w:rPr>
              <w:t xml:space="preserve">-37.88 </w:t>
            </w:r>
          </w:p>
        </w:tc>
        <w:tc>
          <w:tcPr>
            <w:tcW w:w="2546" w:type="dxa"/>
            <w:vAlign w:val="center"/>
          </w:tcPr>
          <w:p>
            <w:pPr>
              <w:pStyle w:val="Style49"/>
            </w:pPr>
            <w:r>
              <w:rPr>
                <w:rFonts w:hint="eastAsia"/>
              </w:rPr>
              <w:t>报告期内刘三圪旦等矿井成功办理采矿权，相关权益由其他非流动资产转入无形资产</w:t>
            </w:r>
            <w:r>
              <w:t>科目</w:t>
            </w:r>
            <w:r>
              <w:rPr>
                <w:rFonts w:hint="eastAsia"/>
              </w:rPr>
              <w:t>。</w:t>
            </w:r>
          </w:p>
        </w:tc>
      </w:tr>
      <w:tr>
        <w:trPr>
          <w:trHeight w:val="135"/>
          <w:jc w:val="center"/>
        </w:trPr>
        <w:tc>
          <w:tcPr>
            <w:tcW w:w="1702" w:type="dxa"/>
            <w:vAlign w:val="center"/>
          </w:tcPr>
          <w:p>
            <w:pPr>
              <w:rPr>
                <w:rFonts w:ascii="宋体" w:hAnsi="宋体"/>
              </w:rPr>
            </w:pPr>
            <w:r>
              <w:rPr>
                <w:rFonts w:ascii="宋体" w:hAnsi="宋体" w:hint="eastAsia"/>
              </w:rPr>
              <w:t>短期借款</w:t>
            </w:r>
          </w:p>
        </w:tc>
        <w:tc>
          <w:tcPr>
            <w:tcW w:w="992" w:type="dxa"/>
            <w:vAlign w:val="center"/>
          </w:tcPr>
          <w:p>
            <w:pPr>
              <w:jc w:val="right"/>
              <w:rPr>
                <w:rFonts w:ascii="宋体" w:hAnsi="宋体"/>
              </w:rPr>
            </w:pPr>
            <w:r>
              <w:rPr>
                <w:rFonts w:ascii="宋体" w:hAnsi="宋体"/>
              </w:rPr>
              <w:t xml:space="preserve">20,958 </w:t>
            </w:r>
          </w:p>
        </w:tc>
        <w:tc>
          <w:tcPr>
            <w:tcW w:w="1417" w:type="dxa"/>
            <w:vAlign w:val="center"/>
          </w:tcPr>
          <w:p>
            <w:pPr>
              <w:jc w:val="right"/>
              <w:rPr>
                <w:rFonts w:ascii="宋体" w:hAnsi="宋体"/>
              </w:rPr>
            </w:pPr>
            <w:r>
              <w:rPr>
                <w:rFonts w:ascii="宋体" w:hAnsi="宋体"/>
              </w:rPr>
              <w:t xml:space="preserve">4.63 </w:t>
            </w:r>
          </w:p>
        </w:tc>
        <w:tc>
          <w:tcPr>
            <w:tcW w:w="1276" w:type="dxa"/>
            <w:vAlign w:val="center"/>
          </w:tcPr>
          <w:p>
            <w:pPr>
              <w:jc w:val="right"/>
              <w:rPr>
                <w:rFonts w:ascii="宋体" w:hAnsi="宋体"/>
              </w:rPr>
            </w:pPr>
            <w:r>
              <w:rPr>
                <w:rFonts w:ascii="宋体" w:hAnsi="宋体"/>
              </w:rPr>
              <w:t xml:space="preserve">8,893 </w:t>
            </w:r>
          </w:p>
        </w:tc>
        <w:tc>
          <w:tcPr>
            <w:tcW w:w="1276" w:type="dxa"/>
            <w:vAlign w:val="center"/>
          </w:tcPr>
          <w:p>
            <w:pPr>
              <w:jc w:val="right"/>
              <w:rPr>
                <w:rFonts w:ascii="宋体" w:hAnsi="宋体"/>
              </w:rPr>
            </w:pPr>
            <w:r>
              <w:rPr>
                <w:rFonts w:ascii="宋体" w:hAnsi="宋体"/>
              </w:rPr>
              <w:t xml:space="preserve">2.16 </w:t>
            </w:r>
          </w:p>
        </w:tc>
        <w:tc>
          <w:tcPr>
            <w:tcW w:w="1276" w:type="dxa"/>
            <w:vAlign w:val="center"/>
          </w:tcPr>
          <w:p>
            <w:pPr>
              <w:jc w:val="right"/>
              <w:rPr>
                <w:rFonts w:ascii="宋体" w:hAnsi="宋体"/>
              </w:rPr>
            </w:pPr>
            <w:r>
              <w:rPr>
                <w:rFonts w:ascii="宋体" w:hAnsi="宋体"/>
              </w:rPr>
              <w:t xml:space="preserve">135.68 </w:t>
            </w:r>
          </w:p>
        </w:tc>
        <w:tc>
          <w:tcPr>
            <w:tcW w:w="2546" w:type="dxa"/>
            <w:vAlign w:val="center"/>
          </w:tcPr>
          <w:p>
            <w:pPr>
              <w:pStyle w:val="Style49"/>
            </w:pPr>
            <w:r>
              <w:t>报告期内本集团新增短期借款</w:t>
            </w:r>
            <w:r>
              <w:rPr>
                <w:rFonts w:hint="eastAsia"/>
              </w:rPr>
              <w:t>用以优化债务结构，降低利息费用</w:t>
            </w:r>
            <w:r>
              <w:t>。</w:t>
            </w:r>
          </w:p>
        </w:tc>
      </w:tr>
      <w:tr>
        <w:trPr>
          <w:trHeight w:val="135"/>
          <w:jc w:val="center"/>
        </w:trPr>
        <w:tc>
          <w:tcPr>
            <w:tcW w:w="1702" w:type="dxa"/>
            <w:vAlign w:val="center"/>
          </w:tcPr>
          <w:p>
            <w:pPr>
              <w:rPr>
                <w:rFonts w:ascii="宋体" w:hAnsi="宋体"/>
              </w:rPr>
            </w:pPr>
            <w:r>
              <w:rPr>
                <w:rFonts w:ascii="宋体" w:hAnsi="宋体" w:hint="eastAsia"/>
              </w:rPr>
              <w:t>应付债券</w:t>
            </w:r>
          </w:p>
        </w:tc>
        <w:tc>
          <w:tcPr>
            <w:tcW w:w="992" w:type="dxa"/>
            <w:vAlign w:val="center"/>
          </w:tcPr>
          <w:p>
            <w:pPr>
              <w:jc w:val="right"/>
              <w:rPr>
                <w:rFonts w:ascii="宋体" w:hAnsi="宋体"/>
              </w:rPr>
            </w:pPr>
            <w:r>
              <w:rPr>
                <w:rFonts w:ascii="宋体" w:hAnsi="宋体" w:hint="eastAsia"/>
              </w:rPr>
              <w:t>22,964</w:t>
            </w:r>
          </w:p>
        </w:tc>
        <w:tc>
          <w:tcPr>
            <w:tcW w:w="1417" w:type="dxa"/>
            <w:vAlign w:val="center"/>
          </w:tcPr>
          <w:p>
            <w:pPr>
              <w:jc w:val="right"/>
              <w:rPr>
                <w:rFonts w:ascii="宋体" w:hAnsi="宋体"/>
              </w:rPr>
            </w:pPr>
            <w:r>
              <w:rPr>
                <w:rFonts w:ascii="宋体" w:hAnsi="宋体"/>
              </w:rPr>
              <w:t xml:space="preserve">5.07 </w:t>
            </w:r>
          </w:p>
        </w:tc>
        <w:tc>
          <w:tcPr>
            <w:tcW w:w="1276" w:type="dxa"/>
            <w:vAlign w:val="center"/>
          </w:tcPr>
          <w:p>
            <w:pPr>
              <w:jc w:val="right"/>
              <w:rPr>
                <w:rFonts w:ascii="宋体" w:hAnsi="宋体"/>
              </w:rPr>
            </w:pPr>
            <w:r>
              <w:rPr>
                <w:rFonts w:ascii="宋体" w:hAnsi="宋体" w:hint="eastAsia"/>
              </w:rPr>
              <w:t>15,974</w:t>
            </w:r>
          </w:p>
        </w:tc>
        <w:tc>
          <w:tcPr>
            <w:tcW w:w="1276" w:type="dxa"/>
            <w:vAlign w:val="center"/>
          </w:tcPr>
          <w:p>
            <w:pPr>
              <w:jc w:val="right"/>
              <w:rPr>
                <w:rFonts w:ascii="宋体" w:hAnsi="宋体"/>
              </w:rPr>
            </w:pPr>
            <w:r>
              <w:rPr>
                <w:rFonts w:ascii="宋体" w:hAnsi="宋体"/>
              </w:rPr>
              <w:t xml:space="preserve">3.88 </w:t>
            </w:r>
          </w:p>
        </w:tc>
        <w:tc>
          <w:tcPr>
            <w:tcW w:w="1276" w:type="dxa"/>
            <w:vAlign w:val="center"/>
          </w:tcPr>
          <w:p>
            <w:pPr>
              <w:jc w:val="right"/>
              <w:rPr>
                <w:rFonts w:ascii="宋体" w:hAnsi="宋体"/>
              </w:rPr>
            </w:pPr>
            <w:r>
              <w:rPr>
                <w:rFonts w:ascii="宋体" w:hAnsi="宋体" w:hint="eastAsia"/>
              </w:rPr>
              <w:t>43.76</w:t>
            </w:r>
          </w:p>
        </w:tc>
        <w:tc>
          <w:tcPr>
            <w:tcW w:w="2546" w:type="dxa"/>
            <w:vAlign w:val="center"/>
          </w:tcPr>
          <w:p>
            <w:pPr>
              <w:pStyle w:val="Style49"/>
            </w:pPr>
            <w:r>
              <w:t>报告期内本集团</w:t>
            </w:r>
            <w:r>
              <w:rPr>
                <w:rFonts w:hint="eastAsia"/>
              </w:rPr>
              <w:t>发行公司债券</w:t>
            </w:r>
            <w:r>
              <w:t>。</w:t>
            </w:r>
          </w:p>
        </w:tc>
      </w:tr>
      <w:tr>
        <w:trPr>
          <w:trHeight w:val="135"/>
          <w:jc w:val="center"/>
        </w:trPr>
        <w:tc>
          <w:tcPr>
            <w:tcW w:w="1702" w:type="dxa"/>
            <w:vAlign w:val="center"/>
          </w:tcPr>
          <w:p>
            <w:pPr>
              <w:rPr>
                <w:rFonts w:ascii="宋体" w:hAnsi="宋体"/>
              </w:rPr>
            </w:pPr>
            <w:r>
              <w:rPr>
                <w:rFonts w:ascii="宋体" w:hAnsi="宋体" w:hint="eastAsia"/>
              </w:rPr>
              <w:lastRenderedPageBreak/>
              <w:t>长期应付款</w:t>
            </w:r>
          </w:p>
        </w:tc>
        <w:tc>
          <w:tcPr>
            <w:tcW w:w="992" w:type="dxa"/>
            <w:vAlign w:val="center"/>
          </w:tcPr>
          <w:p>
            <w:pPr>
              <w:jc w:val="right"/>
              <w:rPr>
                <w:rFonts w:ascii="宋体" w:hAnsi="宋体"/>
              </w:rPr>
            </w:pPr>
            <w:r>
              <w:rPr>
                <w:rFonts w:ascii="宋体" w:hAnsi="宋体"/>
              </w:rPr>
              <w:t xml:space="preserve">16,287 </w:t>
            </w:r>
          </w:p>
        </w:tc>
        <w:tc>
          <w:tcPr>
            <w:tcW w:w="1417" w:type="dxa"/>
            <w:vAlign w:val="center"/>
          </w:tcPr>
          <w:p>
            <w:pPr>
              <w:jc w:val="right"/>
              <w:rPr>
                <w:rFonts w:ascii="宋体" w:hAnsi="宋体"/>
              </w:rPr>
            </w:pPr>
            <w:r>
              <w:rPr>
                <w:rFonts w:ascii="宋体" w:hAnsi="宋体"/>
              </w:rPr>
              <w:t xml:space="preserve">3.60 </w:t>
            </w:r>
          </w:p>
        </w:tc>
        <w:tc>
          <w:tcPr>
            <w:tcW w:w="1276" w:type="dxa"/>
            <w:vAlign w:val="center"/>
          </w:tcPr>
          <w:p>
            <w:pPr>
              <w:jc w:val="right"/>
              <w:rPr>
                <w:rFonts w:ascii="宋体" w:hAnsi="宋体"/>
              </w:rPr>
            </w:pPr>
            <w:r>
              <w:rPr>
                <w:rFonts w:ascii="宋体" w:hAnsi="宋体"/>
              </w:rPr>
              <w:t xml:space="preserve">10,834 </w:t>
            </w:r>
          </w:p>
        </w:tc>
        <w:tc>
          <w:tcPr>
            <w:tcW w:w="1276" w:type="dxa"/>
            <w:vAlign w:val="center"/>
          </w:tcPr>
          <w:p>
            <w:pPr>
              <w:jc w:val="right"/>
              <w:rPr>
                <w:rFonts w:ascii="宋体" w:hAnsi="宋体"/>
              </w:rPr>
            </w:pPr>
            <w:r>
              <w:rPr>
                <w:rFonts w:ascii="宋体" w:hAnsi="宋体"/>
              </w:rPr>
              <w:t xml:space="preserve">2.63 </w:t>
            </w:r>
          </w:p>
        </w:tc>
        <w:tc>
          <w:tcPr>
            <w:tcW w:w="1276" w:type="dxa"/>
            <w:vAlign w:val="center"/>
          </w:tcPr>
          <w:p>
            <w:pPr>
              <w:jc w:val="right"/>
              <w:rPr>
                <w:rFonts w:ascii="宋体" w:hAnsi="宋体"/>
              </w:rPr>
            </w:pPr>
            <w:r>
              <w:rPr>
                <w:rFonts w:ascii="宋体" w:hAnsi="宋体"/>
              </w:rPr>
              <w:t xml:space="preserve">50.34 </w:t>
            </w:r>
          </w:p>
        </w:tc>
        <w:tc>
          <w:tcPr>
            <w:tcW w:w="2546" w:type="dxa"/>
            <w:vAlign w:val="center"/>
          </w:tcPr>
          <w:p>
            <w:pPr>
              <w:pStyle w:val="Style49"/>
            </w:pPr>
            <w:r>
              <w:rPr>
                <w:rFonts w:hint="eastAsia"/>
              </w:rPr>
              <w:t>应付采矿权价款比年初增加。</w:t>
            </w:r>
          </w:p>
        </w:tc>
      </w:tr>
      <w:tr>
        <w:trPr>
          <w:trHeight w:val="135"/>
          <w:jc w:val="center"/>
        </w:trPr>
        <w:tc>
          <w:tcPr>
            <w:tcW w:w="1702" w:type="dxa"/>
            <w:vAlign w:val="center"/>
          </w:tcPr>
          <w:p>
            <w:pPr>
              <w:rPr>
                <w:rFonts w:ascii="宋体" w:hAnsi="宋体"/>
              </w:rPr>
            </w:pPr>
            <w:r>
              <w:rPr>
                <w:rFonts w:ascii="宋体" w:hAnsi="宋体" w:hint="eastAsia"/>
              </w:rPr>
              <w:t>资本公积</w:t>
            </w:r>
          </w:p>
        </w:tc>
        <w:tc>
          <w:tcPr>
            <w:tcW w:w="992" w:type="dxa"/>
            <w:vAlign w:val="center"/>
          </w:tcPr>
          <w:p>
            <w:pPr>
              <w:jc w:val="right"/>
              <w:rPr>
                <w:rFonts w:ascii="宋体" w:hAnsi="宋体"/>
              </w:rPr>
            </w:pPr>
            <w:r>
              <w:rPr>
                <w:rFonts w:ascii="宋体" w:hAnsi="宋体"/>
              </w:rPr>
              <w:t xml:space="preserve">16,360 </w:t>
            </w:r>
          </w:p>
        </w:tc>
        <w:tc>
          <w:tcPr>
            <w:tcW w:w="1417" w:type="dxa"/>
            <w:vAlign w:val="center"/>
          </w:tcPr>
          <w:p>
            <w:pPr>
              <w:jc w:val="right"/>
              <w:rPr>
                <w:rFonts w:ascii="宋体" w:hAnsi="宋体"/>
              </w:rPr>
            </w:pPr>
            <w:r>
              <w:rPr>
                <w:rFonts w:ascii="宋体" w:hAnsi="宋体"/>
              </w:rPr>
              <w:t xml:space="preserve">3.61 </w:t>
            </w:r>
          </w:p>
        </w:tc>
        <w:tc>
          <w:tcPr>
            <w:tcW w:w="1276" w:type="dxa"/>
            <w:vAlign w:val="center"/>
          </w:tcPr>
          <w:p>
            <w:pPr>
              <w:jc w:val="right"/>
              <w:rPr>
                <w:rFonts w:ascii="宋体" w:hAnsi="宋体"/>
              </w:rPr>
            </w:pPr>
            <w:r>
              <w:rPr>
                <w:rFonts w:ascii="宋体" w:hAnsi="宋体"/>
              </w:rPr>
              <w:t xml:space="preserve">7,739 </w:t>
            </w:r>
          </w:p>
        </w:tc>
        <w:tc>
          <w:tcPr>
            <w:tcW w:w="1276" w:type="dxa"/>
            <w:vAlign w:val="center"/>
          </w:tcPr>
          <w:p>
            <w:pPr>
              <w:jc w:val="right"/>
              <w:rPr>
                <w:rFonts w:ascii="宋体" w:hAnsi="宋体"/>
              </w:rPr>
            </w:pPr>
            <w:r>
              <w:rPr>
                <w:rFonts w:ascii="宋体" w:hAnsi="宋体"/>
              </w:rPr>
              <w:t xml:space="preserve">1.88 </w:t>
            </w:r>
          </w:p>
        </w:tc>
        <w:tc>
          <w:tcPr>
            <w:tcW w:w="1276" w:type="dxa"/>
            <w:vAlign w:val="center"/>
          </w:tcPr>
          <w:p>
            <w:pPr>
              <w:jc w:val="right"/>
              <w:rPr>
                <w:rFonts w:ascii="宋体" w:hAnsi="宋体"/>
              </w:rPr>
            </w:pPr>
            <w:r>
              <w:rPr>
                <w:rFonts w:ascii="宋体" w:hAnsi="宋体"/>
              </w:rPr>
              <w:t xml:space="preserve">111.39 </w:t>
            </w:r>
          </w:p>
        </w:tc>
        <w:tc>
          <w:tcPr>
            <w:tcW w:w="2546" w:type="dxa"/>
            <w:vAlign w:val="center"/>
          </w:tcPr>
          <w:p>
            <w:pPr>
              <w:pStyle w:val="Style49"/>
            </w:pPr>
            <w:r>
              <w:rPr>
                <w:rFonts w:ascii="宋体" w:hAnsi="宋体" w:hint="eastAsia"/>
              </w:rPr>
              <w:t>①报告期内本集团取得西北矿业的净资产账面价值与支付的公允价值存在差额，冲减资本公积</w:t>
            </w:r>
            <w:r>
              <w:rPr>
                <w:rFonts w:ascii="宋体" w:hAnsi="宋体"/>
              </w:rPr>
              <w:t>90.09</w:t>
            </w:r>
            <w:r>
              <w:rPr>
                <w:rFonts w:ascii="宋体" w:hAnsi="宋体" w:hint="eastAsia"/>
              </w:rPr>
              <w:t>亿元；②根据鲁西矿业、新疆能化业绩承诺完成情况，确认应返还交易价款</w:t>
            </w:r>
            <w:r>
              <w:rPr>
                <w:rFonts w:ascii="宋体" w:hAnsi="宋体"/>
              </w:rPr>
              <w:t>183.61</w:t>
            </w:r>
            <w:r>
              <w:rPr>
                <w:rFonts w:ascii="宋体" w:hAnsi="宋体" w:hint="eastAsia"/>
              </w:rPr>
              <w:t>亿元。</w:t>
            </w:r>
          </w:p>
        </w:tc>
      </w:tr>
    </w:tbl>
    <w:p>
      <w:pPr>
        <w:pStyle w:val="Style49"/>
      </w:pPr>
    </w:p>
    <w:p>
      <w:pPr>
        <w:pStyle w:val="Style49"/>
      </w:pPr>
      <w:r>
        <w:rPr>
          <w:rFonts w:hint="eastAsia"/>
        </w:rPr>
        <w:t>其他说明：</w:t>
      </w:r>
    </w:p>
    <w:sdt>
      <w:sdtPr>
        <w:rPr>
          <w:rFonts w:hint="eastAsia"/>
        </w:rPr>
        <w:alias w:val="资产及负债状况的其他说明"/>
        <w:tag w:val="_GBC_3aee54264edd4bb08807d2335eb33f43"/>
        <w:id w:val="-1473596786"/>
        <w:placeholder>
          <w:docPart w:val="GBC22222222222222222222222222222"/>
        </w:placeholder>
      </w:sdtPr>
      <w:sdtContent>
        <w:sdt>
          <w:sdtPr>
            <w:rPr>
              <w:rFonts w:ascii="宋体" w:hAnsi="宋体" w:hint="eastAsia"/>
              <w:kern w:val="2"/>
            </w:rPr>
            <w:alias w:val="资产及负债状况的其他说明"/>
            <w:tag w:val="_GBC_3aee54264edd4bb08807d2335eb33f43"/>
            <w:id w:val="-830827036"/>
            <w:placeholder>
              <w:docPart w:val="0A937F56087947939133828169A7C119"/>
            </w:placeholder>
          </w:sdtPr>
          <w:sdtContent>
            <w:p>
              <w:pPr>
                <w:ind w:firstLineChars="200" w:firstLine="420"/>
                <w:rPr>
                  <w:rFonts w:ascii="宋体" w:hAnsi="宋体"/>
                  <w:kern w:val="2"/>
                </w:rPr>
              </w:pPr>
              <w:r>
                <w:rPr>
                  <w:rFonts w:ascii="宋体" w:hAnsi="宋体" w:hint="eastAsia"/>
                  <w:kern w:val="2"/>
                </w:rPr>
                <w:t>（</w:t>
              </w:r>
              <w:r>
                <w:rPr>
                  <w:rFonts w:ascii="宋体" w:hAnsi="宋体"/>
                  <w:kern w:val="2"/>
                </w:rPr>
                <w:t>1）资本负债比率</w:t>
              </w:r>
            </w:p>
            <w:p>
              <w:pPr>
                <w:widowControl w:val="0"/>
                <w:ind w:firstLineChars="200" w:firstLine="420"/>
                <w:jc w:val="both"/>
                <w:rPr>
                  <w:rFonts w:ascii="宋体" w:hAnsi="宋体"/>
                  <w:kern w:val="2"/>
                </w:rPr>
              </w:pPr>
              <w:bookmarkStart w:id="103" w:name="_Hlk192239882"/>
              <w:r>
                <w:rPr>
                  <w:rFonts w:ascii="宋体" w:hAnsi="宋体" w:hint="eastAsia"/>
                  <w:kern w:val="2"/>
                </w:rPr>
                <w:t>截至</w:t>
              </w:r>
              <w:r>
                <w:rPr>
                  <w:rFonts w:ascii="宋体" w:hAnsi="宋体"/>
                  <w:kern w:val="2"/>
                </w:rPr>
                <w:t>2025年12月31日，归属于母公司股东权益为1,004.80亿元，有息负债为1,477.76亿元，</w:t>
              </w:r>
              <w:r>
                <w:rPr>
                  <w:rFonts w:ascii="宋体" w:hAnsi="宋体" w:hint="eastAsia"/>
                  <w:kern w:val="2"/>
                </w:rPr>
                <w:t>资本负债比率（等于有息负债除以</w:t>
              </w:r>
              <w:r>
                <w:rPr>
                  <w:rFonts w:ascii="宋体" w:hAnsi="宋体"/>
                  <w:kern w:val="2"/>
                </w:rPr>
                <w:t>归属于母公司股东权益</w:t>
              </w:r>
              <w:r>
                <w:rPr>
                  <w:rFonts w:ascii="宋体" w:hAnsi="宋体" w:hint="eastAsia"/>
                  <w:kern w:val="2"/>
                </w:rPr>
                <w:t>）为</w:t>
              </w:r>
              <w:r>
                <w:rPr>
                  <w:rFonts w:ascii="宋体" w:hAnsi="宋体"/>
                  <w:kern w:val="2"/>
                </w:rPr>
                <w:t>147.1%。</w:t>
              </w:r>
            </w:p>
            <w:bookmarkEnd w:id="103"/>
            <w:p>
              <w:pPr>
                <w:widowControl w:val="0"/>
                <w:ind w:firstLineChars="200" w:firstLine="420"/>
                <w:jc w:val="both"/>
                <w:rPr>
                  <w:rFonts w:ascii="宋体" w:hAnsi="宋体"/>
                  <w:kern w:val="2"/>
                </w:rPr>
              </w:pPr>
              <w:r>
                <w:rPr>
                  <w:rFonts w:ascii="宋体" w:hAnsi="宋体" w:hint="eastAsia"/>
                  <w:kern w:val="2"/>
                </w:rPr>
                <w:t>有关有息负债详情请见按中国会计准则编制的财务报告附注“与金融工具相关风险—各类风险管理目标和政策”。</w:t>
              </w:r>
            </w:p>
            <w:p>
              <w:pPr>
                <w:widowControl w:val="0"/>
                <w:ind w:firstLineChars="200" w:firstLine="420"/>
                <w:jc w:val="both"/>
                <w:rPr>
                  <w:rFonts w:ascii="宋体" w:hAnsi="宋体"/>
                  <w:kern w:val="2"/>
                </w:rPr>
              </w:pPr>
              <w:r>
                <w:rPr>
                  <w:rFonts w:ascii="宋体" w:hAnsi="宋体" w:hint="eastAsia"/>
                  <w:kern w:val="2"/>
                </w:rPr>
                <w:t>（</w:t>
              </w:r>
              <w:r>
                <w:rPr>
                  <w:rFonts w:ascii="宋体" w:hAnsi="宋体"/>
                  <w:kern w:val="2"/>
                </w:rPr>
                <w:t>2）或有负债</w:t>
              </w:r>
            </w:p>
            <w:p>
              <w:pPr>
                <w:widowControl w:val="0"/>
                <w:ind w:firstLineChars="200" w:firstLine="420"/>
                <w:jc w:val="both"/>
                <w:rPr>
                  <w:rFonts w:ascii="宋体" w:hAnsi="宋体"/>
                  <w:kern w:val="2"/>
                </w:rPr>
              </w:pPr>
              <w:r>
                <w:rPr>
                  <w:rFonts w:ascii="宋体" w:hAnsi="宋体" w:hint="eastAsia"/>
                  <w:kern w:val="2"/>
                </w:rPr>
                <w:t>有关或有负债详情请见按国际财务报告准则编制的财务报表附注“或有负债”。</w:t>
              </w:r>
            </w:p>
            <w:p>
              <w:pPr>
                <w:widowControl w:val="0"/>
                <w:ind w:firstLineChars="200" w:firstLine="420"/>
                <w:jc w:val="both"/>
                <w:rPr>
                  <w:rFonts w:ascii="宋体" w:hAnsi="宋体"/>
                  <w:kern w:val="2"/>
                </w:rPr>
              </w:pPr>
              <w:r>
                <w:rPr>
                  <w:rFonts w:ascii="宋体" w:hAnsi="宋体" w:hint="eastAsia"/>
                  <w:kern w:val="2"/>
                </w:rPr>
                <w:t>（</w:t>
              </w:r>
              <w:r>
                <w:rPr>
                  <w:rFonts w:ascii="宋体" w:hAnsi="宋体"/>
                  <w:kern w:val="2"/>
                </w:rPr>
                <w:t>3）资产抵押</w:t>
              </w:r>
            </w:p>
            <w:p>
              <w:pPr>
                <w:widowControl w:val="0"/>
                <w:ind w:firstLineChars="200" w:firstLine="420"/>
                <w:jc w:val="both"/>
                <w:rPr>
                  <w:rFonts w:ascii="宋体" w:hAnsi="宋体"/>
                  <w:kern w:val="2"/>
                </w:rPr>
              </w:pPr>
              <w:r>
                <w:rPr>
                  <w:rFonts w:ascii="宋体" w:hAnsi="宋体" w:hint="eastAsia"/>
                  <w:kern w:val="2"/>
                </w:rPr>
                <w:t>有关资产抵押详情请见按中国会计准则编制的财务报表附注“合并财务报表项目注释—所有权或使用权受到限制的资产”。</w:t>
              </w:r>
            </w:p>
            <w:p>
              <w:pPr>
                <w:widowControl w:val="0"/>
                <w:ind w:firstLineChars="200" w:firstLine="420"/>
                <w:jc w:val="both"/>
                <w:rPr>
                  <w:rFonts w:ascii="宋体" w:hAnsi="宋体"/>
                  <w:kern w:val="2"/>
                </w:rPr>
              </w:pPr>
            </w:p>
          </w:sdtContent>
        </w:sdt>
      </w:sdtContent>
    </w:sdt>
    <w:p>
      <w:pPr>
        <w:pStyle w:val="4"/>
        <w:numPr>
          <w:ilvl w:val="0"/>
          <w:numId w:val="19"/>
        </w:numPr>
      </w:pPr>
      <w:bookmarkStart w:id="104" w:name="_Hlk89877438"/>
      <w:r>
        <w:rPr>
          <w:rFonts w:ascii="宋体" w:eastAsia="宋体" w:hAnsi="宋体" w:cs="宋体" w:hint="eastAsia"/>
          <w:kern w:val="0"/>
          <w:szCs w:val="21"/>
        </w:rPr>
        <w:t>境外资产情况</w:t>
      </w:r>
    </w:p>
    <w:sdt>
      <w:sdtPr>
        <w:rPr>
          <w:rFonts w:hint="eastAsia"/>
        </w:rPr>
        <w:alias w:val="是否适用：境外资产情况 [双击切换]"/>
        <w:tag w:val="_GBC_7c019689b55740839a263ecc68721e10"/>
        <w:id w:val="1200056843"/>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5"/>
        <w:numPr>
          <w:ilvl w:val="0"/>
          <w:numId w:val="20"/>
        </w:numPr>
        <w:ind w:leftChars="0"/>
        <w:rPr>
          <w:rFonts w:ascii="宋体" w:hAnsi="宋体"/>
          <w:szCs w:val="21"/>
        </w:rPr>
      </w:pPr>
      <w:bookmarkStart w:id="105" w:name="_Hlk74646369"/>
      <w:bookmarkStart w:id="106" w:name="_Hlk89175643"/>
      <w:r>
        <w:rPr>
          <w:rFonts w:ascii="宋体" w:hAnsi="宋体" w:hint="eastAsia"/>
          <w:szCs w:val="21"/>
        </w:rPr>
        <w:t>资产规模</w:t>
      </w:r>
    </w:p>
    <w:p>
      <w:pPr>
        <w:ind w:firstLineChars="200" w:firstLine="420"/>
        <w:rPr>
          <w:rFonts w:ascii="宋体" w:hAnsi="宋体"/>
        </w:rPr>
      </w:pPr>
      <w:r>
        <w:rPr>
          <w:rFonts w:ascii="宋体" w:hAnsi="宋体" w:hint="eastAsia"/>
        </w:rPr>
        <w:t>截至202</w:t>
      </w:r>
      <w:r>
        <w:rPr>
          <w:rFonts w:ascii="宋体" w:hAnsi="宋体"/>
        </w:rPr>
        <w:t>5</w:t>
      </w:r>
      <w:r>
        <w:rPr>
          <w:rFonts w:ascii="宋体" w:hAnsi="宋体" w:hint="eastAsia"/>
        </w:rPr>
        <w:t>年12月31日，本集团境外资产</w:t>
      </w:r>
      <w:sdt>
        <w:sdtPr>
          <w:rPr>
            <w:rFonts w:ascii="宋体" w:hAnsi="宋体" w:hint="eastAsia"/>
          </w:rPr>
          <w:alias w:val="报告期内公司境外资产变化"/>
          <w:tag w:val="_GBC_cbb65327857a4a80a4f343e0bf736822"/>
          <w:id w:val="1947350173"/>
          <w:placeholder>
            <w:docPart w:val="GBC22222222222222222222222222222"/>
          </w:placeholder>
        </w:sdtPr>
        <w:sdtEndPr>
          <w:rPr>
            <w:szCs w:val="20"/>
          </w:rPr>
        </w:sdtEndPr>
        <w:sdtContent>
          <w:r>
            <w:rPr>
              <w:rFonts w:ascii="宋体" w:hAnsi="宋体"/>
            </w:rPr>
            <w:t>784.92</w:t>
          </w:r>
        </w:sdtContent>
      </w:sdt>
      <w:sdt>
        <w:sdtPr>
          <w:rPr>
            <w:rFonts w:ascii="宋体" w:hAnsi="宋体" w:hint="eastAsia"/>
          </w:rPr>
          <w:alias w:val="单位：报告期内公司境外资产变化"/>
          <w:tag w:val="_GBC_269723869c544fd5af5f26c6edeeb598"/>
          <w:id w:val="-8170230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亿元</w:t>
          </w:r>
        </w:sdtContent>
      </w:sdt>
      <w:r>
        <w:rPr>
          <w:rFonts w:ascii="宋体" w:hAnsi="宋体" w:hint="eastAsia"/>
        </w:rPr>
        <w:t>，占总资产的比例为</w:t>
      </w:r>
      <w:sdt>
        <w:sdtPr>
          <w:rPr>
            <w:rFonts w:ascii="宋体" w:hAnsi="宋体" w:hint="eastAsia"/>
          </w:rPr>
          <w:alias w:val="报告期内公司境外资产变化占总资产的比例"/>
          <w:tag w:val="_GBC_5480c4d77db342bdbf4d43b6611f0966"/>
          <w:id w:val="1999756611"/>
          <w:placeholder>
            <w:docPart w:val="GBC22222222222222222222222222222"/>
          </w:placeholder>
        </w:sdtPr>
        <w:sdtEndPr>
          <w:rPr>
            <w:szCs w:val="20"/>
          </w:rPr>
        </w:sdtEndPr>
        <w:sdtContent>
          <w:r>
            <w:rPr>
              <w:rFonts w:ascii="宋体" w:hAnsi="宋体"/>
            </w:rPr>
            <w:t>17.3</w:t>
          </w:r>
        </w:sdtContent>
      </w:sdt>
      <w:r>
        <w:rPr>
          <w:rFonts w:ascii="宋体" w:hAnsi="宋体"/>
        </w:rPr>
        <w:t>%</w:t>
      </w:r>
      <w:r>
        <w:rPr>
          <w:rFonts w:ascii="宋体" w:hAnsi="宋体" w:hint="eastAsia"/>
        </w:rPr>
        <w:t>。</w:t>
      </w:r>
    </w:p>
    <w:p>
      <w:pPr>
        <w:pStyle w:val="Style49"/>
      </w:pPr>
    </w:p>
    <w:p>
      <w:pPr>
        <w:pStyle w:val="5"/>
        <w:numPr>
          <w:ilvl w:val="0"/>
          <w:numId w:val="20"/>
        </w:numPr>
        <w:ind w:leftChars="0"/>
        <w:rPr>
          <w:rFonts w:ascii="宋体" w:hAnsi="宋体"/>
          <w:szCs w:val="21"/>
        </w:rPr>
      </w:pPr>
      <w:bookmarkStart w:id="107" w:name="_Hlk89176028"/>
      <w:bookmarkEnd w:id="105"/>
      <w:bookmarkEnd w:id="106"/>
      <w:r>
        <w:rPr>
          <w:rFonts w:ascii="宋体" w:hAnsi="宋体" w:hint="eastAsia"/>
          <w:szCs w:val="21"/>
        </w:rPr>
        <w:t>境外资产占比较高的相关说明</w:t>
      </w:r>
    </w:p>
    <w:sdt>
      <w:sdtPr>
        <w:rPr>
          <w:rFonts w:hint="eastAsia"/>
        </w:rPr>
        <w:alias w:val="是否适用：境外资产占比较高的相关说明  [双击切换]"/>
        <w:tag w:val="_GBC_2dd8a14582494b7fb2da678323726771"/>
        <w:id w:val="-881783024"/>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r>
        <w:t>：</w:t>
      </w:r>
      <w:sdt>
        <w:sdtPr>
          <w:alias w:val="单位：境外资产占比较高的相关说明  "/>
          <w:tag w:val="_GBC_447d29dc63b64b7d96201657146f7d1e"/>
          <w:id w:val="81583953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百万元</w:t>
          </w:r>
        </w:sdtContent>
      </w:sdt>
      <w:r>
        <w:rPr>
          <w:rFonts w:hint="eastAsia"/>
        </w:rPr>
        <w:t xml:space="preserve">  </w:t>
      </w:r>
      <w:r>
        <w:rPr>
          <w:rFonts w:hint="eastAsia"/>
        </w:rPr>
        <w:t>币种</w:t>
      </w:r>
      <w:r>
        <w:t>：</w:t>
      </w:r>
      <w:sdt>
        <w:sdtPr>
          <w:alias w:val="币种：境外资产占比较高的相关说明  "/>
          <w:tag w:val="_GBC_9e5c0e50e96b4e36bea32b4b38ac56b1"/>
          <w:id w:val="13476835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Style63"/>
        <w:tblW w:w="9047" w:type="dxa"/>
        <w:tblInd w:w="0" w:type="dxa"/>
        <w:tblLayout w:type="fixed"/>
        <w:tblLook w:val="04A0" w:firstRow="1" w:lastRow="0" w:firstColumn="1" w:lastColumn="0" w:noHBand="0" w:noVBand="1"/>
      </w:tblPr>
      <w:tblGrid>
        <w:gridCol w:w="1592"/>
        <w:gridCol w:w="2025"/>
        <w:gridCol w:w="2131"/>
        <w:gridCol w:w="1721"/>
        <w:gridCol w:w="1578"/>
      </w:tblGrid>
      <w:tr>
        <w:trPr>
          <w:trHeight w:val="303"/>
        </w:trPr>
        <w:sdt>
          <w:sdtPr>
            <w:tag w:val="_PLD_d6a563414a4f4480b44cc32922a7159b"/>
            <w:id w:val="-898822797"/>
          </w:sdtPr>
          <w:sdtContent>
            <w:tc>
              <w:tcPr>
                <w:tcW w:w="1592" w:type="dxa"/>
                <w:tcBorders>
                  <w:top w:val="single" w:sz="4" w:space="0" w:color="auto"/>
                  <w:left w:val="single" w:sz="4" w:space="0" w:color="auto"/>
                  <w:bottom w:val="single" w:sz="4" w:space="0" w:color="auto"/>
                  <w:right w:val="single" w:sz="4" w:space="0" w:color="auto"/>
                </w:tcBorders>
                <w:noWrap/>
                <w:vAlign w:val="center"/>
              </w:tcPr>
              <w:p>
                <w:pPr>
                  <w:widowControl w:val="0"/>
                  <w:jc w:val="center"/>
                </w:pPr>
                <w:r>
                  <w:rPr>
                    <w:rFonts w:hint="eastAsia"/>
                  </w:rPr>
                  <w:t>境外资产名称</w:t>
                </w:r>
              </w:p>
            </w:tc>
          </w:sdtContent>
        </w:sdt>
        <w:sdt>
          <w:sdtPr>
            <w:tag w:val="_PLD_d4ef4f1b52e5497eb13a8073698b2c5a"/>
            <w:id w:val="1286384532"/>
          </w:sdtPr>
          <w:sdtContent>
            <w:tc>
              <w:tcPr>
                <w:tcW w:w="2025" w:type="dxa"/>
                <w:tcBorders>
                  <w:top w:val="single" w:sz="4" w:space="0" w:color="auto"/>
                  <w:left w:val="nil"/>
                  <w:bottom w:val="single" w:sz="4" w:space="0" w:color="auto"/>
                  <w:right w:val="single" w:sz="4" w:space="0" w:color="auto"/>
                </w:tcBorders>
                <w:noWrap/>
                <w:vAlign w:val="center"/>
              </w:tcPr>
              <w:p>
                <w:pPr>
                  <w:widowControl w:val="0"/>
                  <w:jc w:val="center"/>
                </w:pPr>
                <w:r>
                  <w:rPr>
                    <w:rFonts w:hint="eastAsia"/>
                  </w:rPr>
                  <w:t>形成原因</w:t>
                </w:r>
              </w:p>
            </w:tc>
          </w:sdtContent>
        </w:sdt>
        <w:sdt>
          <w:sdtPr>
            <w:tag w:val="_PLD_9ba1a7c57df94beba3126647d031eb9c"/>
            <w:id w:val="-1593766783"/>
          </w:sdtPr>
          <w:sdtContent>
            <w:tc>
              <w:tcPr>
                <w:tcW w:w="2131" w:type="dxa"/>
                <w:tcBorders>
                  <w:top w:val="single" w:sz="4" w:space="0" w:color="auto"/>
                  <w:left w:val="nil"/>
                  <w:bottom w:val="single" w:sz="4" w:space="0" w:color="auto"/>
                  <w:right w:val="single" w:sz="4" w:space="0" w:color="auto"/>
                </w:tcBorders>
                <w:noWrap/>
                <w:vAlign w:val="center"/>
              </w:tcPr>
              <w:p>
                <w:pPr>
                  <w:widowControl w:val="0"/>
                  <w:jc w:val="center"/>
                </w:pPr>
                <w:r>
                  <w:rPr>
                    <w:rFonts w:hint="eastAsia"/>
                  </w:rPr>
                  <w:t>运营模式</w:t>
                </w:r>
              </w:p>
            </w:tc>
          </w:sdtContent>
        </w:sdt>
        <w:sdt>
          <w:sdtPr>
            <w:tag w:val="_PLD_37fd5de7b50c491680082fc66ba171cc"/>
            <w:id w:val="-178354753"/>
          </w:sdtPr>
          <w:sdtContent>
            <w:tc>
              <w:tcPr>
                <w:tcW w:w="1721" w:type="dxa"/>
                <w:tcBorders>
                  <w:top w:val="single" w:sz="4" w:space="0" w:color="auto"/>
                  <w:left w:val="nil"/>
                  <w:bottom w:val="single" w:sz="4" w:space="0" w:color="auto"/>
                  <w:right w:val="single" w:sz="4" w:space="0" w:color="auto"/>
                </w:tcBorders>
                <w:noWrap/>
                <w:vAlign w:val="center"/>
              </w:tcPr>
              <w:p>
                <w:pPr>
                  <w:widowControl w:val="0"/>
                  <w:jc w:val="center"/>
                </w:pPr>
                <w:r>
                  <w:rPr>
                    <w:rFonts w:hint="eastAsia"/>
                  </w:rPr>
                  <w:t>本报告期</w:t>
                </w:r>
              </w:p>
              <w:p>
                <w:pPr>
                  <w:widowControl w:val="0"/>
                  <w:jc w:val="center"/>
                </w:pPr>
                <w:r>
                  <w:rPr>
                    <w:rFonts w:hint="eastAsia"/>
                  </w:rPr>
                  <w:t>营业收入</w:t>
                </w:r>
              </w:p>
            </w:tc>
          </w:sdtContent>
        </w:sdt>
        <w:sdt>
          <w:sdtPr>
            <w:tag w:val="_PLD_1a3ec7da73fb408ba288b57da492e648"/>
            <w:id w:val="1250154453"/>
          </w:sdtPr>
          <w:sdtContent>
            <w:tc>
              <w:tcPr>
                <w:tcW w:w="1578" w:type="dxa"/>
                <w:tcBorders>
                  <w:top w:val="single" w:sz="4" w:space="0" w:color="auto"/>
                  <w:left w:val="nil"/>
                  <w:bottom w:val="single" w:sz="4" w:space="0" w:color="auto"/>
                  <w:right w:val="single" w:sz="4" w:space="0" w:color="auto"/>
                </w:tcBorders>
                <w:noWrap/>
                <w:vAlign w:val="center"/>
              </w:tcPr>
              <w:p>
                <w:pPr>
                  <w:widowControl w:val="0"/>
                  <w:jc w:val="center"/>
                </w:pPr>
                <w:r>
                  <w:rPr>
                    <w:rFonts w:hint="eastAsia"/>
                  </w:rPr>
                  <w:t>本报告期</w:t>
                </w:r>
              </w:p>
              <w:p>
                <w:pPr>
                  <w:widowControl w:val="0"/>
                  <w:jc w:val="center"/>
                </w:pPr>
                <w:r>
                  <w:rPr>
                    <w:rFonts w:hint="eastAsia"/>
                  </w:rPr>
                  <w:t>净利润</w:t>
                </w:r>
              </w:p>
            </w:tc>
          </w:sdtContent>
        </w:sdt>
      </w:tr>
      <w:tr>
        <w:trPr>
          <w:trHeight w:val="285"/>
        </w:trPr>
        <w:tc>
          <w:tcPr>
            <w:tcW w:w="1592" w:type="dxa"/>
            <w:tcBorders>
              <w:top w:val="single" w:sz="4" w:space="0" w:color="auto"/>
              <w:left w:val="single" w:sz="4" w:space="0" w:color="auto"/>
              <w:bottom w:val="single" w:sz="4" w:space="0" w:color="auto"/>
              <w:right w:val="single" w:sz="4" w:space="0" w:color="auto"/>
            </w:tcBorders>
            <w:noWrap/>
            <w:vAlign w:val="center"/>
          </w:tcPr>
          <w:p>
            <w:pPr>
              <w:jc w:val="center"/>
              <w:rPr>
                <w:color w:val="000000"/>
              </w:rPr>
            </w:pPr>
            <w:r>
              <w:rPr>
                <w:rFonts w:hint="eastAsia"/>
                <w:color w:val="000000"/>
              </w:rPr>
              <w:t>兖煤澳洲</w:t>
            </w:r>
          </w:p>
        </w:tc>
        <w:tc>
          <w:tcPr>
            <w:tcW w:w="2025" w:type="dxa"/>
            <w:tcBorders>
              <w:top w:val="single" w:sz="4" w:space="0" w:color="auto"/>
              <w:left w:val="nil"/>
              <w:bottom w:val="single" w:sz="4" w:space="0" w:color="auto"/>
              <w:right w:val="single" w:sz="4" w:space="0" w:color="auto"/>
            </w:tcBorders>
            <w:noWrap/>
            <w:vAlign w:val="center"/>
          </w:tcPr>
          <w:p>
            <w:pPr>
              <w:jc w:val="center"/>
              <w:rPr>
                <w:color w:val="000000"/>
              </w:rPr>
            </w:pPr>
            <w:r>
              <w:rPr>
                <w:rFonts w:hint="eastAsia"/>
                <w:color w:val="000000"/>
              </w:rPr>
              <w:t>出资设立</w:t>
            </w:r>
          </w:p>
        </w:tc>
        <w:tc>
          <w:tcPr>
            <w:tcW w:w="2131" w:type="dxa"/>
            <w:tcBorders>
              <w:top w:val="single" w:sz="4" w:space="0" w:color="auto"/>
              <w:left w:val="nil"/>
              <w:bottom w:val="single" w:sz="4" w:space="0" w:color="auto"/>
              <w:right w:val="single" w:sz="4" w:space="0" w:color="auto"/>
            </w:tcBorders>
            <w:noWrap/>
            <w:vAlign w:val="center"/>
          </w:tcPr>
          <w:p>
            <w:pPr>
              <w:jc w:val="center"/>
              <w:rPr>
                <w:color w:val="000000"/>
              </w:rPr>
            </w:pPr>
            <w:r>
              <w:rPr>
                <w:rFonts w:hint="eastAsia"/>
                <w:color w:val="000000"/>
              </w:rPr>
              <w:t>自营</w:t>
            </w:r>
          </w:p>
        </w:tc>
        <w:tc>
          <w:tcPr>
            <w:tcW w:w="1721" w:type="dxa"/>
            <w:tcBorders>
              <w:top w:val="single" w:sz="4" w:space="0" w:color="auto"/>
              <w:left w:val="nil"/>
              <w:bottom w:val="single" w:sz="4" w:space="0" w:color="auto"/>
              <w:right w:val="single" w:sz="4" w:space="0" w:color="auto"/>
            </w:tcBorders>
            <w:noWrap/>
            <w:vAlign w:val="center"/>
          </w:tcPr>
          <w:p>
            <w:pPr>
              <w:jc w:val="right"/>
              <w:rPr>
                <w:rFonts w:ascii="宋体" w:hAnsi="宋体"/>
              </w:rPr>
            </w:pPr>
            <w:r>
              <w:rPr>
                <w:rFonts w:ascii="宋体" w:hAnsi="宋体"/>
              </w:rPr>
              <w:t>27,139</w:t>
            </w:r>
          </w:p>
        </w:tc>
        <w:tc>
          <w:tcPr>
            <w:tcW w:w="1578" w:type="dxa"/>
            <w:tcBorders>
              <w:top w:val="single" w:sz="4" w:space="0" w:color="auto"/>
              <w:left w:val="nil"/>
              <w:bottom w:val="single" w:sz="4" w:space="0" w:color="auto"/>
              <w:right w:val="single" w:sz="4" w:space="0" w:color="auto"/>
            </w:tcBorders>
            <w:noWrap/>
            <w:vAlign w:val="center"/>
          </w:tcPr>
          <w:p>
            <w:pPr>
              <w:jc w:val="right"/>
              <w:rPr>
                <w:rFonts w:ascii="宋体" w:hAnsi="宋体"/>
              </w:rPr>
            </w:pPr>
            <w:r>
              <w:rPr>
                <w:rFonts w:ascii="宋体" w:hAnsi="宋体"/>
              </w:rPr>
              <w:t>2,035</w:t>
            </w:r>
          </w:p>
        </w:tc>
      </w:tr>
      <w:tr>
        <w:trPr>
          <w:trHeight w:val="285"/>
        </w:trPr>
        <w:tc>
          <w:tcPr>
            <w:tcW w:w="1592" w:type="dxa"/>
            <w:tcBorders>
              <w:top w:val="single" w:sz="4" w:space="0" w:color="auto"/>
              <w:left w:val="single" w:sz="4" w:space="0" w:color="auto"/>
              <w:bottom w:val="single" w:sz="4" w:space="0" w:color="auto"/>
              <w:right w:val="single" w:sz="4" w:space="0" w:color="auto"/>
            </w:tcBorders>
            <w:noWrap/>
            <w:vAlign w:val="center"/>
          </w:tcPr>
          <w:p>
            <w:pPr>
              <w:jc w:val="center"/>
              <w:rPr>
                <w:color w:val="000000"/>
              </w:rPr>
            </w:pPr>
            <w:r>
              <w:rPr>
                <w:rFonts w:hint="eastAsia"/>
                <w:color w:val="000000"/>
              </w:rPr>
              <w:t>兖煤国际</w:t>
            </w:r>
          </w:p>
        </w:tc>
        <w:tc>
          <w:tcPr>
            <w:tcW w:w="2025" w:type="dxa"/>
            <w:tcBorders>
              <w:top w:val="single" w:sz="4" w:space="0" w:color="auto"/>
              <w:left w:val="nil"/>
              <w:bottom w:val="single" w:sz="4" w:space="0" w:color="auto"/>
              <w:right w:val="single" w:sz="4" w:space="0" w:color="auto"/>
            </w:tcBorders>
            <w:noWrap/>
            <w:vAlign w:val="center"/>
          </w:tcPr>
          <w:p>
            <w:pPr>
              <w:jc w:val="center"/>
              <w:rPr>
                <w:color w:val="000000"/>
              </w:rPr>
            </w:pPr>
            <w:r>
              <w:rPr>
                <w:rFonts w:hint="eastAsia"/>
                <w:color w:val="000000"/>
              </w:rPr>
              <w:t>出资设立</w:t>
            </w:r>
          </w:p>
        </w:tc>
        <w:tc>
          <w:tcPr>
            <w:tcW w:w="2131" w:type="dxa"/>
            <w:tcBorders>
              <w:top w:val="single" w:sz="4" w:space="0" w:color="auto"/>
              <w:left w:val="nil"/>
              <w:bottom w:val="single" w:sz="4" w:space="0" w:color="auto"/>
              <w:right w:val="single" w:sz="4" w:space="0" w:color="auto"/>
            </w:tcBorders>
            <w:noWrap/>
            <w:vAlign w:val="center"/>
          </w:tcPr>
          <w:p>
            <w:pPr>
              <w:jc w:val="center"/>
              <w:rPr>
                <w:color w:val="000000"/>
              </w:rPr>
            </w:pPr>
            <w:r>
              <w:rPr>
                <w:rFonts w:hint="eastAsia"/>
                <w:color w:val="000000"/>
              </w:rPr>
              <w:t>自营</w:t>
            </w:r>
          </w:p>
        </w:tc>
        <w:tc>
          <w:tcPr>
            <w:tcW w:w="1721" w:type="dxa"/>
            <w:tcBorders>
              <w:top w:val="single" w:sz="4" w:space="0" w:color="auto"/>
              <w:left w:val="nil"/>
              <w:bottom w:val="single" w:sz="4" w:space="0" w:color="auto"/>
              <w:right w:val="single" w:sz="4" w:space="0" w:color="auto"/>
            </w:tcBorders>
            <w:noWrap/>
            <w:vAlign w:val="center"/>
          </w:tcPr>
          <w:p>
            <w:pPr>
              <w:jc w:val="right"/>
              <w:rPr>
                <w:rFonts w:ascii="宋体" w:hAnsi="宋体"/>
              </w:rPr>
            </w:pPr>
            <w:r>
              <w:rPr>
                <w:rFonts w:ascii="宋体" w:hAnsi="宋体"/>
              </w:rPr>
              <w:t>3,623</w:t>
            </w:r>
          </w:p>
        </w:tc>
        <w:tc>
          <w:tcPr>
            <w:tcW w:w="1578" w:type="dxa"/>
            <w:tcBorders>
              <w:top w:val="single" w:sz="4" w:space="0" w:color="auto"/>
              <w:left w:val="nil"/>
              <w:bottom w:val="single" w:sz="4" w:space="0" w:color="auto"/>
              <w:right w:val="single" w:sz="4" w:space="0" w:color="auto"/>
            </w:tcBorders>
            <w:noWrap/>
            <w:vAlign w:val="center"/>
          </w:tcPr>
          <w:p>
            <w:pPr>
              <w:jc w:val="right"/>
              <w:rPr>
                <w:rFonts w:ascii="宋体" w:hAnsi="宋体"/>
              </w:rPr>
            </w:pPr>
            <w:r>
              <w:rPr>
                <w:rFonts w:ascii="宋体" w:hAnsi="宋体"/>
              </w:rPr>
              <w:t>355</w:t>
            </w:r>
          </w:p>
        </w:tc>
      </w:tr>
    </w:tbl>
    <w:p>
      <w:pPr>
        <w:pStyle w:val="Style49"/>
      </w:pPr>
    </w:p>
    <w:bookmarkEnd w:id="104"/>
    <w:bookmarkEnd w:id="107"/>
    <w:p>
      <w:pPr>
        <w:pStyle w:val="4"/>
        <w:numPr>
          <w:ilvl w:val="0"/>
          <w:numId w:val="19"/>
        </w:numPr>
      </w:pPr>
      <w:r>
        <w:t>截至报告期末主要资产受限情</w:t>
      </w:r>
      <w:r>
        <w:rPr>
          <w:rFonts w:hint="eastAsia"/>
        </w:rPr>
        <w:t>况</w:t>
      </w:r>
    </w:p>
    <w:sdt>
      <w:sdtPr>
        <w:rPr>
          <w:rFonts w:hint="eastAsia"/>
        </w:rPr>
        <w:alias w:val="是否适用：主要资产受限情况[双击切换]"/>
        <w:tag w:val="_GBC_01311ee451194f52a953344cf249b1b9"/>
        <w:id w:val="2134978879"/>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rPr>
        <w:alias w:val="主要资产受限情况"/>
        <w:tag w:val="_GBC_cb7fe3db517742e2a0cff2593f270f8e"/>
        <w:id w:val="-2111730328"/>
        <w:placeholder>
          <w:docPart w:val="GBC22222222222222222222222222222"/>
        </w:placeholder>
      </w:sdtPr>
      <w:sdtContent>
        <w:p>
          <w:pPr>
            <w:ind w:firstLineChars="200" w:firstLine="420"/>
            <w:rPr>
              <w:rFonts w:ascii="宋体" w:hAnsi="宋体"/>
            </w:rPr>
          </w:pPr>
          <w:r>
            <w:rPr>
              <w:rFonts w:ascii="宋体" w:hAnsi="宋体" w:hint="eastAsia"/>
            </w:rPr>
            <w:t>截至202</w:t>
          </w:r>
          <w:r>
            <w:rPr>
              <w:rFonts w:ascii="宋体" w:hAnsi="宋体"/>
            </w:rPr>
            <w:t>5</w:t>
          </w:r>
          <w:r>
            <w:rPr>
              <w:rFonts w:ascii="宋体" w:hAnsi="宋体" w:hint="eastAsia"/>
            </w:rPr>
            <w:t>年末，本集团受限资产金额为</w:t>
          </w:r>
          <w:r>
            <w:rPr>
              <w:rFonts w:ascii="宋体" w:hAnsi="宋体"/>
            </w:rPr>
            <w:t>857.01</w:t>
          </w:r>
          <w:r>
            <w:rPr>
              <w:rFonts w:ascii="宋体" w:hAnsi="宋体" w:hint="eastAsia"/>
            </w:rPr>
            <w:t>亿元，主要是货币资金、应收款项融资及取得借款而抵押的相关资产。详情请见按中国会计准则编制的财务报告附注“合并财务报表主要项目注释—所有权或使用权受限资产”。</w:t>
          </w:r>
        </w:p>
      </w:sdtContent>
    </w:sdt>
    <w:p>
      <w:pPr>
        <w:pStyle w:val="Style49"/>
      </w:pPr>
    </w:p>
    <w:p>
      <w:pPr>
        <w:pStyle w:val="4"/>
        <w:numPr>
          <w:ilvl w:val="0"/>
          <w:numId w:val="19"/>
        </w:numPr>
      </w:pPr>
      <w:r>
        <w:t>其他说明</w:t>
      </w:r>
    </w:p>
    <w:sdt>
      <w:sdtPr>
        <w:rPr>
          <w:rFonts w:hint="eastAsia"/>
        </w:rPr>
        <w:alias w:val="是否适用：资产及负债状况的其他说明[双击切换]"/>
        <w:tag w:val="_GBC_364e24c8cf1a4469ba88a4ae16e0417f"/>
        <w:id w:val="676399757"/>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keepNext/>
        <w:keepLines/>
        <w:widowControl w:val="0"/>
        <w:numPr>
          <w:ilvl w:val="0"/>
          <w:numId w:val="15"/>
        </w:numPr>
        <w:spacing w:before="60" w:after="60"/>
        <w:ind w:left="369" w:hangingChars="175" w:hanging="369"/>
        <w:jc w:val="both"/>
        <w:outlineLvl w:val="2"/>
        <w:rPr>
          <w:rFonts w:ascii="宋体" w:hAnsi="宋体"/>
          <w:b/>
          <w:bCs/>
          <w:kern w:val="2"/>
        </w:rPr>
      </w:pPr>
      <w:r>
        <w:rPr>
          <w:rFonts w:ascii="宋体" w:hAnsi="宋体" w:hint="eastAsia"/>
          <w:b/>
          <w:bCs/>
          <w:kern w:val="2"/>
        </w:rPr>
        <w:t>行业经营性信息分析</w:t>
      </w:r>
    </w:p>
    <w:sdt>
      <w:sdtPr>
        <w:rPr>
          <w:rFonts w:hint="eastAsia"/>
        </w:rPr>
        <w:alias w:val="是否适用：行业经营性信息分析[双击切换]"/>
        <w:tag w:val="_GBC_8a02ac4934eb426ab273323b8694d88c"/>
        <w:id w:val="-30579503"/>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行业经营性信息分析"/>
        <w:tag w:val="_GBC_e16bc1aa6d5e4cdd94278d9bb9b9d44b"/>
        <w:id w:val="286781457"/>
        <w:placeholder>
          <w:docPart w:val="GBC22222222222222222222222222222"/>
        </w:placeholder>
      </w:sdtPr>
      <w:sdtContent>
        <w:p>
          <w:pPr>
            <w:ind w:firstLineChars="200" w:firstLine="420"/>
          </w:pPr>
          <w:r>
            <w:rPr>
              <w:rFonts w:ascii="宋体" w:hAnsi="宋体" w:hint="eastAsia"/>
            </w:rPr>
            <w:t>202</w:t>
          </w:r>
          <w:r>
            <w:rPr>
              <w:rFonts w:ascii="宋体" w:hAnsi="宋体"/>
            </w:rPr>
            <w:t>5</w:t>
          </w:r>
          <w:r>
            <w:rPr>
              <w:rFonts w:hint="eastAsia"/>
            </w:rPr>
            <w:t>年度，本集团煤炭业务主要经营情况详情请见本节之“各业务分部经营情况”的相关内容。</w:t>
          </w:r>
        </w:p>
      </w:sdtContent>
    </w:sdt>
    <w:p>
      <w:pPr>
        <w:sectPr>
          <w:pgSz w:w="11906" w:h="16838"/>
          <w:pgMar w:top="1525" w:right="1276" w:bottom="1440" w:left="1797" w:header="855" w:footer="992" w:gutter="0"/>
          <w:cols w:space="425"/>
          <w:docGrid w:linePitch="312"/>
        </w:sectPr>
      </w:pPr>
    </w:p>
    <w:p>
      <w:pPr>
        <w:pStyle w:val="4"/>
        <w:ind w:left="360" w:hanging="360"/>
        <w:rPr>
          <w:szCs w:val="21"/>
        </w:rPr>
      </w:pPr>
      <w:r>
        <w:rPr>
          <w:rFonts w:hint="eastAsia"/>
        </w:rPr>
        <w:lastRenderedPageBreak/>
        <w:t>行业经营性信息分析</w:t>
      </w:r>
    </w:p>
    <w:sdt>
      <w:sdtPr>
        <w:alias w:val="煤炭主要经营情况"/>
        <w:tag w:val="_SEC_3fe2ceb3f87f4c319dc247c4a8d6611b"/>
        <w:id w:val="482903119"/>
        <w:placeholder>
          <w:docPart w:val="1687C2AFC64F4883B9C2ED7C90A11292"/>
        </w:placeholder>
        <w:showingPlcHdr/>
      </w:sdtPr>
      <w:sdtContent>
        <w:p>
          <w:pPr>
            <w:pStyle w:val="Style61"/>
          </w:pPr>
        </w:p>
      </w:sdtContent>
    </w:sdt>
    <w:p>
      <w:pPr>
        <w:pStyle w:val="5"/>
        <w:numPr>
          <w:ilvl w:val="0"/>
          <w:numId w:val="21"/>
        </w:numPr>
        <w:ind w:leftChars="0"/>
      </w:pPr>
      <w:r>
        <w:rPr>
          <w:rFonts w:hint="eastAsia"/>
        </w:rPr>
        <w:t>主要矿区资源储量情况</w:t>
      </w:r>
    </w:p>
    <w:sdt>
      <w:sdtPr>
        <w:rPr>
          <w:rFonts w:hint="eastAsia"/>
        </w:rPr>
        <w:alias w:val="是否适用：煤炭储量情况[双击切换]"/>
        <w:tag w:val="_GBC_5deeb0e0f537429c850217d32425e9a4"/>
        <w:id w:val="851227987"/>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tbl>
      <w:tblPr>
        <w:tblStyle w:val="Style63"/>
        <w:tblW w:w="14454" w:type="dxa"/>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7"/>
        <w:gridCol w:w="2444"/>
        <w:gridCol w:w="1418"/>
        <w:gridCol w:w="1701"/>
        <w:gridCol w:w="1701"/>
        <w:gridCol w:w="1843"/>
        <w:gridCol w:w="1559"/>
        <w:gridCol w:w="1701"/>
      </w:tblGrid>
      <w:tr>
        <w:trPr>
          <w:jc w:val="right"/>
        </w:trPr>
        <w:sdt>
          <w:sdtPr>
            <w:tag w:val="_PLD_f505285b8eb545959ad8958c8806175d"/>
            <w:id w:val="-2088767445"/>
          </w:sdtPr>
          <w:sdtContent>
            <w:tc>
              <w:tcPr>
                <w:tcW w:w="2087" w:type="dxa"/>
                <w:vMerge w:val="restart"/>
                <w:vAlign w:val="center"/>
              </w:tcPr>
              <w:p>
                <w:pPr>
                  <w:jc w:val="center"/>
                </w:pPr>
                <w:r>
                  <w:rPr>
                    <w:rFonts w:hint="eastAsia"/>
                  </w:rPr>
                  <w:t>主要矿区</w:t>
                </w:r>
              </w:p>
            </w:tc>
          </w:sdtContent>
        </w:sdt>
        <w:tc>
          <w:tcPr>
            <w:tcW w:w="2444" w:type="dxa"/>
            <w:vMerge w:val="restart"/>
            <w:vAlign w:val="center"/>
          </w:tcPr>
          <w:p>
            <w:pPr>
              <w:jc w:val="center"/>
            </w:pPr>
            <w:r>
              <w:rPr>
                <w:rFonts w:hint="eastAsia"/>
              </w:rPr>
              <w:t>地理位置</w:t>
            </w:r>
          </w:p>
        </w:tc>
        <w:tc>
          <w:tcPr>
            <w:tcW w:w="1418" w:type="dxa"/>
            <w:vMerge w:val="restart"/>
            <w:vAlign w:val="center"/>
          </w:tcPr>
          <w:sdt>
            <w:sdtPr>
              <w:tag w:val="_PLD_125b05bcbc314927a6db53575841f60f"/>
              <w:id w:val="172461248"/>
            </w:sdtPr>
            <w:sdtContent>
              <w:p>
                <w:pPr>
                  <w:jc w:val="center"/>
                </w:pPr>
                <w:r>
                  <w:rPr>
                    <w:rFonts w:hint="eastAsia"/>
                  </w:rPr>
                  <w:t>主要煤种</w:t>
                </w:r>
              </w:p>
            </w:sdtContent>
          </w:sdt>
        </w:tc>
        <w:tc>
          <w:tcPr>
            <w:tcW w:w="5245" w:type="dxa"/>
            <w:gridSpan w:val="3"/>
            <w:vAlign w:val="center"/>
          </w:tcPr>
          <w:p>
            <w:pPr>
              <w:jc w:val="center"/>
              <w:rPr>
                <w:rFonts w:ascii="宋体" w:hAnsi="宋体"/>
              </w:rPr>
            </w:pPr>
            <w:r>
              <w:rPr>
                <w:rFonts w:ascii="宋体" w:hAnsi="宋体" w:hint="eastAsia"/>
              </w:rPr>
              <w:t>中国国家标准</w:t>
            </w:r>
            <w:r>
              <w:rPr>
                <w:rFonts w:ascii="宋体" w:hAnsi="宋体"/>
                <w:vertAlign w:val="superscript"/>
              </w:rPr>
              <w:t>①</w:t>
            </w:r>
          </w:p>
        </w:tc>
        <w:tc>
          <w:tcPr>
            <w:tcW w:w="3260" w:type="dxa"/>
            <w:gridSpan w:val="2"/>
            <w:vAlign w:val="center"/>
          </w:tcPr>
          <w:p>
            <w:pPr>
              <w:jc w:val="center"/>
              <w:rPr>
                <w:rFonts w:ascii="宋体" w:hAnsi="宋体"/>
              </w:rPr>
            </w:pPr>
            <w:r>
              <w:rPr>
                <w:rFonts w:ascii="宋体" w:hAnsi="宋体" w:hint="eastAsia"/>
              </w:rPr>
              <w:t>JORC规范</w:t>
            </w:r>
            <w:r>
              <w:rPr>
                <w:rFonts w:ascii="宋体" w:hAnsi="宋体" w:hint="eastAsia"/>
                <w:vertAlign w:val="superscript"/>
              </w:rPr>
              <w:t>②</w:t>
            </w:r>
          </w:p>
        </w:tc>
      </w:tr>
      <w:tr>
        <w:trPr>
          <w:jc w:val="right"/>
        </w:trPr>
        <w:tc>
          <w:tcPr>
            <w:tcW w:w="2087" w:type="dxa"/>
            <w:vMerge/>
            <w:vAlign w:val="center"/>
          </w:tcPr>
          <w:p>
            <w:pPr>
              <w:jc w:val="center"/>
            </w:pPr>
          </w:p>
        </w:tc>
        <w:tc>
          <w:tcPr>
            <w:tcW w:w="2444" w:type="dxa"/>
            <w:vMerge/>
            <w:vAlign w:val="center"/>
          </w:tcPr>
          <w:p>
            <w:pPr>
              <w:jc w:val="center"/>
            </w:pPr>
          </w:p>
        </w:tc>
        <w:tc>
          <w:tcPr>
            <w:tcW w:w="1418" w:type="dxa"/>
            <w:vMerge/>
            <w:vAlign w:val="center"/>
          </w:tcPr>
          <w:p>
            <w:pPr>
              <w:jc w:val="center"/>
            </w:pPr>
          </w:p>
        </w:tc>
        <w:sdt>
          <w:sdtPr>
            <w:tag w:val="_PLD_c8b41010051945d2a6dfbd330497901c"/>
            <w:id w:val="218402520"/>
          </w:sdtPr>
          <w:sdtContent>
            <w:tc>
              <w:tcPr>
                <w:tcW w:w="1701" w:type="dxa"/>
                <w:vAlign w:val="center"/>
              </w:tcPr>
              <w:p>
                <w:pPr>
                  <w:jc w:val="center"/>
                </w:pPr>
                <w:r>
                  <w:rPr>
                    <w:rFonts w:hint="eastAsia"/>
                  </w:rPr>
                  <w:t>资源量</w:t>
                </w:r>
              </w:p>
              <w:p>
                <w:pPr>
                  <w:jc w:val="center"/>
                </w:pPr>
                <w:r>
                  <w:rPr>
                    <w:rFonts w:hint="eastAsia"/>
                  </w:rPr>
                  <w:t>（百万吨）</w:t>
                </w:r>
              </w:p>
            </w:tc>
          </w:sdtContent>
        </w:sdt>
        <w:tc>
          <w:tcPr>
            <w:tcW w:w="1701" w:type="dxa"/>
            <w:vAlign w:val="center"/>
          </w:tcPr>
          <w:sdt>
            <w:sdtPr>
              <w:tag w:val="_PLD_63e247b1a8f847008fb9b1bd8617ceba"/>
              <w:id w:val="1612932758"/>
            </w:sdtPr>
            <w:sdtContent>
              <w:p>
                <w:pPr>
                  <w:jc w:val="center"/>
                </w:pPr>
                <w:r>
                  <w:rPr>
                    <w:rFonts w:hint="eastAsia"/>
                  </w:rPr>
                  <w:t>证实储量</w:t>
                </w:r>
              </w:p>
              <w:p>
                <w:pPr>
                  <w:jc w:val="center"/>
                </w:pPr>
                <w:r>
                  <w:rPr>
                    <w:rFonts w:hint="eastAsia"/>
                  </w:rPr>
                  <w:t>（百万吨）</w:t>
                </w:r>
              </w:p>
            </w:sdtContent>
          </w:sdt>
        </w:tc>
        <w:tc>
          <w:tcPr>
            <w:tcW w:w="1843" w:type="dxa"/>
            <w:vAlign w:val="center"/>
          </w:tcPr>
          <w:sdt>
            <w:sdtPr>
              <w:tag w:val="_PLD_c07a6549cecb44b9aacf2a10b223dbd7"/>
              <w:id w:val="298345835"/>
            </w:sdtPr>
            <w:sdtContent>
              <w:p>
                <w:pPr>
                  <w:jc w:val="center"/>
                </w:pPr>
                <w:r>
                  <w:rPr>
                    <w:rFonts w:hint="eastAsia"/>
                  </w:rPr>
                  <w:t>可信储量</w:t>
                </w:r>
              </w:p>
              <w:p>
                <w:pPr>
                  <w:jc w:val="center"/>
                </w:pPr>
                <w:r>
                  <w:rPr>
                    <w:rFonts w:hint="eastAsia"/>
                  </w:rPr>
                  <w:t>（百万吨）</w:t>
                </w:r>
              </w:p>
            </w:sdtContent>
          </w:sdt>
        </w:tc>
        <w:tc>
          <w:tcPr>
            <w:tcW w:w="1559" w:type="dxa"/>
            <w:vAlign w:val="center"/>
          </w:tcPr>
          <w:p>
            <w:pPr>
              <w:jc w:val="center"/>
            </w:pPr>
            <w:r>
              <w:rPr>
                <w:rFonts w:hint="eastAsia"/>
              </w:rPr>
              <w:t>原地资源量</w:t>
            </w:r>
          </w:p>
          <w:p>
            <w:pPr>
              <w:jc w:val="center"/>
            </w:pPr>
            <w:r>
              <w:rPr>
                <w:rFonts w:hint="eastAsia"/>
              </w:rPr>
              <w:t>（百万吨）</w:t>
            </w:r>
          </w:p>
        </w:tc>
        <w:tc>
          <w:tcPr>
            <w:tcW w:w="1701" w:type="dxa"/>
            <w:vAlign w:val="center"/>
          </w:tcPr>
          <w:p>
            <w:pPr>
              <w:jc w:val="center"/>
            </w:pPr>
            <w:r>
              <w:rPr>
                <w:rFonts w:hint="eastAsia"/>
              </w:rPr>
              <w:t>可采储量</w:t>
            </w:r>
          </w:p>
          <w:p>
            <w:pPr>
              <w:jc w:val="center"/>
            </w:pPr>
            <w:r>
              <w:rPr>
                <w:rFonts w:hint="eastAsia"/>
              </w:rPr>
              <w:t>（百万吨）</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公司所属煤矿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山东省济宁市</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rPr>
              <w:t xml:space="preserve">3,061 </w:t>
            </w:r>
          </w:p>
        </w:tc>
        <w:tc>
          <w:tcPr>
            <w:tcW w:w="1701" w:type="dxa"/>
            <w:vAlign w:val="center"/>
          </w:tcPr>
          <w:p>
            <w:pPr>
              <w:jc w:val="right"/>
              <w:rPr>
                <w:rFonts w:ascii="宋体" w:hAnsi="宋体"/>
              </w:rPr>
            </w:pPr>
            <w:r>
              <w:rPr>
                <w:rFonts w:ascii="宋体" w:hAnsi="宋体"/>
              </w:rPr>
              <w:t xml:space="preserve">275 </w:t>
            </w:r>
          </w:p>
        </w:tc>
        <w:tc>
          <w:tcPr>
            <w:tcW w:w="1843" w:type="dxa"/>
            <w:vAlign w:val="center"/>
          </w:tcPr>
          <w:p>
            <w:pPr>
              <w:jc w:val="right"/>
              <w:rPr>
                <w:rFonts w:ascii="宋体" w:hAnsi="宋体"/>
              </w:rPr>
            </w:pPr>
            <w:r>
              <w:rPr>
                <w:rFonts w:ascii="宋体" w:hAnsi="宋体"/>
              </w:rPr>
              <w:t xml:space="preserve">143 </w:t>
            </w:r>
          </w:p>
        </w:tc>
        <w:tc>
          <w:tcPr>
            <w:tcW w:w="1559" w:type="dxa"/>
            <w:vAlign w:val="center"/>
          </w:tcPr>
          <w:p>
            <w:pPr>
              <w:jc w:val="right"/>
              <w:rPr>
                <w:rFonts w:ascii="宋体" w:hAnsi="宋体"/>
              </w:rPr>
            </w:pPr>
            <w:r>
              <w:rPr>
                <w:rFonts w:ascii="宋体" w:hAnsi="宋体"/>
              </w:rPr>
              <w:t xml:space="preserve">747 </w:t>
            </w:r>
          </w:p>
        </w:tc>
        <w:tc>
          <w:tcPr>
            <w:tcW w:w="1701" w:type="dxa"/>
            <w:vAlign w:val="center"/>
          </w:tcPr>
          <w:p>
            <w:pPr>
              <w:jc w:val="right"/>
              <w:rPr>
                <w:rFonts w:ascii="宋体" w:hAnsi="宋体"/>
              </w:rPr>
            </w:pPr>
            <w:r>
              <w:rPr>
                <w:rFonts w:ascii="宋体" w:hAnsi="宋体"/>
              </w:rPr>
              <w:t xml:space="preserve">243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菏泽能化所属煤矿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山东省菏泽市</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1/3焦煤</w:t>
            </w:r>
          </w:p>
        </w:tc>
        <w:tc>
          <w:tcPr>
            <w:tcW w:w="1701" w:type="dxa"/>
            <w:vAlign w:val="center"/>
          </w:tcPr>
          <w:p>
            <w:pPr>
              <w:jc w:val="right"/>
              <w:rPr>
                <w:rFonts w:ascii="宋体" w:hAnsi="宋体"/>
              </w:rPr>
            </w:pPr>
            <w:r>
              <w:rPr>
                <w:rFonts w:ascii="宋体" w:hAnsi="宋体"/>
              </w:rPr>
              <w:t xml:space="preserve">640 </w:t>
            </w:r>
          </w:p>
        </w:tc>
        <w:tc>
          <w:tcPr>
            <w:tcW w:w="1701" w:type="dxa"/>
            <w:vAlign w:val="center"/>
          </w:tcPr>
          <w:p>
            <w:pPr>
              <w:jc w:val="right"/>
              <w:rPr>
                <w:rFonts w:ascii="宋体" w:hAnsi="宋体"/>
              </w:rPr>
            </w:pPr>
            <w:r>
              <w:rPr>
                <w:rFonts w:ascii="宋体" w:hAnsi="宋体"/>
              </w:rPr>
              <w:t xml:space="preserve">160 </w:t>
            </w:r>
          </w:p>
        </w:tc>
        <w:tc>
          <w:tcPr>
            <w:tcW w:w="1843" w:type="dxa"/>
            <w:vAlign w:val="center"/>
          </w:tcPr>
          <w:p>
            <w:pPr>
              <w:jc w:val="right"/>
              <w:rPr>
                <w:rFonts w:ascii="宋体" w:hAnsi="宋体"/>
              </w:rPr>
            </w:pPr>
            <w:r>
              <w:rPr>
                <w:rFonts w:ascii="宋体" w:hAnsi="宋体"/>
              </w:rPr>
              <w:t xml:space="preserve">105 </w:t>
            </w:r>
          </w:p>
        </w:tc>
        <w:tc>
          <w:tcPr>
            <w:tcW w:w="1559" w:type="dxa"/>
            <w:vAlign w:val="center"/>
          </w:tcPr>
          <w:p>
            <w:pPr>
              <w:jc w:val="right"/>
              <w:rPr>
                <w:rFonts w:ascii="宋体" w:hAnsi="宋体"/>
              </w:rPr>
            </w:pPr>
            <w:r>
              <w:rPr>
                <w:rFonts w:ascii="宋体" w:hAnsi="宋体"/>
              </w:rPr>
              <w:t xml:space="preserve">321 </w:t>
            </w:r>
          </w:p>
        </w:tc>
        <w:tc>
          <w:tcPr>
            <w:tcW w:w="1701" w:type="dxa"/>
            <w:vAlign w:val="center"/>
          </w:tcPr>
          <w:p>
            <w:pPr>
              <w:jc w:val="right"/>
              <w:rPr>
                <w:rFonts w:ascii="宋体" w:hAnsi="宋体"/>
              </w:rPr>
            </w:pPr>
            <w:r>
              <w:rPr>
                <w:rFonts w:ascii="宋体" w:hAnsi="宋体"/>
              </w:rPr>
              <w:t xml:space="preserve">97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鲁西矿业所属煤矿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山东省菏泽市</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1/3焦煤</w:t>
            </w:r>
          </w:p>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rPr>
              <w:t xml:space="preserve">3,759 </w:t>
            </w:r>
          </w:p>
        </w:tc>
        <w:tc>
          <w:tcPr>
            <w:tcW w:w="1701" w:type="dxa"/>
            <w:vAlign w:val="center"/>
          </w:tcPr>
          <w:p>
            <w:pPr>
              <w:jc w:val="right"/>
              <w:rPr>
                <w:rFonts w:ascii="宋体" w:hAnsi="宋体"/>
              </w:rPr>
            </w:pPr>
            <w:r>
              <w:rPr>
                <w:rFonts w:ascii="宋体" w:hAnsi="宋体"/>
              </w:rPr>
              <w:t xml:space="preserve">476 </w:t>
            </w:r>
          </w:p>
        </w:tc>
        <w:tc>
          <w:tcPr>
            <w:tcW w:w="1843" w:type="dxa"/>
            <w:vAlign w:val="center"/>
          </w:tcPr>
          <w:p>
            <w:pPr>
              <w:jc w:val="right"/>
              <w:rPr>
                <w:rFonts w:ascii="宋体" w:hAnsi="宋体"/>
              </w:rPr>
            </w:pPr>
            <w:r>
              <w:rPr>
                <w:rFonts w:ascii="宋体" w:hAnsi="宋体"/>
              </w:rPr>
              <w:t xml:space="preserve">384 </w:t>
            </w:r>
          </w:p>
        </w:tc>
        <w:tc>
          <w:tcPr>
            <w:tcW w:w="1559" w:type="dxa"/>
            <w:vAlign w:val="center"/>
          </w:tcPr>
          <w:p>
            <w:pPr>
              <w:jc w:val="right"/>
              <w:rPr>
                <w:rFonts w:ascii="宋体" w:hAnsi="宋体"/>
              </w:rPr>
            </w:pPr>
            <w:r>
              <w:rPr>
                <w:rFonts w:ascii="宋体" w:hAnsi="宋体"/>
              </w:rPr>
              <w:t xml:space="preserve">1,771 </w:t>
            </w:r>
          </w:p>
        </w:tc>
        <w:tc>
          <w:tcPr>
            <w:tcW w:w="1701" w:type="dxa"/>
            <w:vAlign w:val="center"/>
          </w:tcPr>
          <w:p>
            <w:pPr>
              <w:jc w:val="right"/>
              <w:rPr>
                <w:rFonts w:ascii="宋体" w:hAnsi="宋体"/>
              </w:rPr>
            </w:pPr>
            <w:r>
              <w:rPr>
                <w:rFonts w:ascii="宋体" w:hAnsi="宋体"/>
              </w:rPr>
              <w:t xml:space="preserve">184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天池能源所属煤矿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山西省和顺县</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rPr>
              <w:t xml:space="preserve">106 </w:t>
            </w:r>
          </w:p>
        </w:tc>
        <w:tc>
          <w:tcPr>
            <w:tcW w:w="1701" w:type="dxa"/>
            <w:vAlign w:val="center"/>
          </w:tcPr>
          <w:p>
            <w:pPr>
              <w:jc w:val="right"/>
              <w:rPr>
                <w:rFonts w:ascii="宋体" w:hAnsi="宋体"/>
              </w:rPr>
            </w:pPr>
            <w:r>
              <w:rPr>
                <w:rFonts w:ascii="宋体" w:hAnsi="宋体"/>
              </w:rPr>
              <w:t xml:space="preserve">35 </w:t>
            </w:r>
          </w:p>
        </w:tc>
        <w:tc>
          <w:tcPr>
            <w:tcW w:w="1843" w:type="dxa"/>
            <w:vAlign w:val="center"/>
          </w:tcPr>
          <w:p>
            <w:pPr>
              <w:jc w:val="right"/>
              <w:rPr>
                <w:rFonts w:ascii="宋体" w:hAnsi="宋体"/>
              </w:rPr>
            </w:pPr>
            <w:r>
              <w:rPr>
                <w:rFonts w:ascii="宋体" w:hAnsi="宋体"/>
              </w:rPr>
              <w:t xml:space="preserve">15 </w:t>
            </w:r>
          </w:p>
        </w:tc>
        <w:tc>
          <w:tcPr>
            <w:tcW w:w="1559" w:type="dxa"/>
            <w:vAlign w:val="center"/>
          </w:tcPr>
          <w:p>
            <w:pPr>
              <w:jc w:val="right"/>
              <w:rPr>
                <w:rFonts w:ascii="宋体" w:hAnsi="宋体"/>
              </w:rPr>
            </w:pPr>
            <w:r>
              <w:rPr>
                <w:rFonts w:ascii="宋体" w:hAnsi="宋体"/>
              </w:rPr>
              <w:t xml:space="preserve">43 </w:t>
            </w:r>
          </w:p>
        </w:tc>
        <w:tc>
          <w:tcPr>
            <w:tcW w:w="1701" w:type="dxa"/>
            <w:vAlign w:val="center"/>
          </w:tcPr>
          <w:p>
            <w:pPr>
              <w:jc w:val="right"/>
              <w:rPr>
                <w:rFonts w:ascii="宋体" w:hAnsi="宋体"/>
              </w:rPr>
            </w:pPr>
            <w:r>
              <w:rPr>
                <w:rFonts w:ascii="宋体" w:hAnsi="宋体"/>
              </w:rPr>
              <w:t xml:space="preserve">18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西北矿业所属煤矿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山西省朔州市、忻州市</w:t>
            </w:r>
          </w:p>
          <w:p>
            <w:pPr>
              <w:jc w:val="both"/>
            </w:pPr>
            <w:r>
              <w:rPr>
                <w:rFonts w:hint="eastAsia"/>
              </w:rPr>
              <w:t>陕西省西安市、延安市</w:t>
            </w:r>
          </w:p>
          <w:p>
            <w:pPr>
              <w:jc w:val="both"/>
            </w:pPr>
            <w:r>
              <w:rPr>
                <w:rFonts w:hint="eastAsia"/>
              </w:rPr>
              <w:t>内蒙古鄂尔多斯市</w:t>
            </w:r>
          </w:p>
          <w:p>
            <w:pPr>
              <w:jc w:val="both"/>
            </w:pPr>
            <w:r>
              <w:rPr>
                <w:rFonts w:hint="eastAsia"/>
              </w:rPr>
              <w:t>甘肃省庆阳市、平凉市</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配焦煤</w:t>
            </w:r>
          </w:p>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rPr>
              <w:t xml:space="preserve">7,251 </w:t>
            </w:r>
          </w:p>
        </w:tc>
        <w:tc>
          <w:tcPr>
            <w:tcW w:w="1701" w:type="dxa"/>
            <w:vAlign w:val="center"/>
          </w:tcPr>
          <w:p>
            <w:pPr>
              <w:jc w:val="right"/>
              <w:rPr>
                <w:rFonts w:ascii="宋体" w:hAnsi="宋体"/>
              </w:rPr>
            </w:pPr>
            <w:r>
              <w:rPr>
                <w:rFonts w:ascii="宋体" w:hAnsi="宋体"/>
              </w:rPr>
              <w:t xml:space="preserve">1,209 </w:t>
            </w:r>
          </w:p>
        </w:tc>
        <w:tc>
          <w:tcPr>
            <w:tcW w:w="1843" w:type="dxa"/>
            <w:vAlign w:val="center"/>
          </w:tcPr>
          <w:p>
            <w:pPr>
              <w:jc w:val="right"/>
              <w:rPr>
                <w:rFonts w:ascii="宋体" w:hAnsi="宋体"/>
              </w:rPr>
            </w:pPr>
            <w:r>
              <w:rPr>
                <w:rFonts w:ascii="宋体" w:hAnsi="宋体"/>
              </w:rPr>
              <w:t xml:space="preserve">2,384 </w:t>
            </w:r>
          </w:p>
        </w:tc>
        <w:tc>
          <w:tcPr>
            <w:tcW w:w="1559" w:type="dxa"/>
            <w:vAlign w:val="center"/>
          </w:tcPr>
          <w:p>
            <w:pPr>
              <w:jc w:val="right"/>
              <w:rPr>
                <w:rFonts w:ascii="宋体" w:hAnsi="宋体"/>
              </w:rPr>
            </w:pPr>
            <w:r>
              <w:rPr>
                <w:rFonts w:ascii="宋体" w:hAnsi="宋体"/>
              </w:rPr>
              <w:t xml:space="preserve">4,499 </w:t>
            </w:r>
          </w:p>
        </w:tc>
        <w:tc>
          <w:tcPr>
            <w:tcW w:w="1701" w:type="dxa"/>
            <w:vAlign w:val="center"/>
          </w:tcPr>
          <w:p>
            <w:pPr>
              <w:jc w:val="right"/>
              <w:rPr>
                <w:rFonts w:ascii="宋体" w:hAnsi="宋体"/>
              </w:rPr>
            </w:pPr>
            <w:r>
              <w:rPr>
                <w:rFonts w:ascii="宋体" w:hAnsi="宋体"/>
              </w:rPr>
              <w:t xml:space="preserve">1,339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未来能源所属煤矿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陕西省榆林市</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rPr>
              <w:t xml:space="preserve">1,569 </w:t>
            </w:r>
          </w:p>
        </w:tc>
        <w:tc>
          <w:tcPr>
            <w:tcW w:w="1701" w:type="dxa"/>
            <w:vAlign w:val="center"/>
          </w:tcPr>
          <w:p>
            <w:pPr>
              <w:jc w:val="right"/>
              <w:rPr>
                <w:rFonts w:ascii="宋体" w:hAnsi="宋体"/>
              </w:rPr>
            </w:pPr>
            <w:r>
              <w:rPr>
                <w:rFonts w:ascii="宋体" w:hAnsi="宋体"/>
              </w:rPr>
              <w:t xml:space="preserve">671 </w:t>
            </w:r>
          </w:p>
        </w:tc>
        <w:tc>
          <w:tcPr>
            <w:tcW w:w="1843" w:type="dxa"/>
            <w:vAlign w:val="center"/>
          </w:tcPr>
          <w:p>
            <w:pPr>
              <w:jc w:val="right"/>
              <w:rPr>
                <w:rFonts w:ascii="宋体" w:hAnsi="宋体"/>
              </w:rPr>
            </w:pPr>
            <w:r>
              <w:rPr>
                <w:rFonts w:ascii="宋体" w:hAnsi="宋体"/>
              </w:rPr>
              <w:t xml:space="preserve">226 </w:t>
            </w:r>
          </w:p>
        </w:tc>
        <w:tc>
          <w:tcPr>
            <w:tcW w:w="1559" w:type="dxa"/>
            <w:vAlign w:val="center"/>
          </w:tcPr>
          <w:p>
            <w:pPr>
              <w:jc w:val="right"/>
              <w:rPr>
                <w:rFonts w:ascii="宋体" w:hAnsi="宋体"/>
              </w:rPr>
            </w:pPr>
            <w:r>
              <w:rPr>
                <w:rFonts w:ascii="宋体" w:hAnsi="宋体"/>
              </w:rPr>
              <w:t xml:space="preserve">904 </w:t>
            </w:r>
          </w:p>
        </w:tc>
        <w:tc>
          <w:tcPr>
            <w:tcW w:w="1701" w:type="dxa"/>
            <w:vAlign w:val="center"/>
          </w:tcPr>
          <w:p>
            <w:pPr>
              <w:jc w:val="right"/>
              <w:rPr>
                <w:rFonts w:ascii="宋体" w:hAnsi="宋体"/>
              </w:rPr>
            </w:pPr>
            <w:r>
              <w:rPr>
                <w:rFonts w:ascii="宋体" w:hAnsi="宋体"/>
              </w:rPr>
              <w:t xml:space="preserve">441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鄂尔多斯公司所属煤矿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内蒙古鄂尔多斯市</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rPr>
              <w:t xml:space="preserve">525 </w:t>
            </w:r>
          </w:p>
        </w:tc>
        <w:tc>
          <w:tcPr>
            <w:tcW w:w="1701" w:type="dxa"/>
            <w:vAlign w:val="center"/>
          </w:tcPr>
          <w:p>
            <w:pPr>
              <w:jc w:val="right"/>
              <w:rPr>
                <w:rFonts w:ascii="宋体" w:hAnsi="宋体"/>
              </w:rPr>
            </w:pPr>
            <w:r>
              <w:rPr>
                <w:rFonts w:ascii="宋体" w:hAnsi="宋体"/>
              </w:rPr>
              <w:t xml:space="preserve">205 </w:t>
            </w:r>
          </w:p>
        </w:tc>
        <w:tc>
          <w:tcPr>
            <w:tcW w:w="1843" w:type="dxa"/>
            <w:vAlign w:val="center"/>
          </w:tcPr>
          <w:p>
            <w:pPr>
              <w:jc w:val="right"/>
              <w:rPr>
                <w:rFonts w:ascii="宋体" w:hAnsi="宋体"/>
              </w:rPr>
            </w:pPr>
            <w:r>
              <w:rPr>
                <w:rFonts w:ascii="宋体" w:hAnsi="宋体"/>
              </w:rPr>
              <w:t xml:space="preserve">44 </w:t>
            </w:r>
          </w:p>
        </w:tc>
        <w:tc>
          <w:tcPr>
            <w:tcW w:w="1559" w:type="dxa"/>
            <w:vAlign w:val="center"/>
          </w:tcPr>
          <w:p>
            <w:pPr>
              <w:jc w:val="right"/>
              <w:rPr>
                <w:rFonts w:ascii="宋体" w:hAnsi="宋体"/>
              </w:rPr>
            </w:pPr>
            <w:r>
              <w:rPr>
                <w:rFonts w:ascii="宋体" w:hAnsi="宋体"/>
              </w:rPr>
              <w:t xml:space="preserve">282 </w:t>
            </w:r>
          </w:p>
        </w:tc>
        <w:tc>
          <w:tcPr>
            <w:tcW w:w="1701" w:type="dxa"/>
            <w:vAlign w:val="center"/>
          </w:tcPr>
          <w:p>
            <w:pPr>
              <w:jc w:val="right"/>
              <w:rPr>
                <w:rFonts w:ascii="宋体" w:hAnsi="宋体"/>
              </w:rPr>
            </w:pPr>
            <w:r>
              <w:rPr>
                <w:rFonts w:ascii="宋体" w:hAnsi="宋体"/>
              </w:rPr>
              <w:t xml:space="preserve">186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昊盛煤业所属煤矿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内蒙古鄂尔多斯市</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rPr>
              <w:t xml:space="preserve">2,294 </w:t>
            </w:r>
          </w:p>
        </w:tc>
        <w:tc>
          <w:tcPr>
            <w:tcW w:w="1701" w:type="dxa"/>
            <w:vAlign w:val="center"/>
          </w:tcPr>
          <w:p>
            <w:pPr>
              <w:jc w:val="right"/>
              <w:rPr>
                <w:rFonts w:ascii="宋体" w:hAnsi="宋体"/>
              </w:rPr>
            </w:pPr>
            <w:r>
              <w:rPr>
                <w:rFonts w:ascii="宋体" w:hAnsi="宋体"/>
              </w:rPr>
              <w:t xml:space="preserve">665 </w:t>
            </w:r>
          </w:p>
        </w:tc>
        <w:tc>
          <w:tcPr>
            <w:tcW w:w="1843" w:type="dxa"/>
            <w:vAlign w:val="center"/>
          </w:tcPr>
          <w:p>
            <w:pPr>
              <w:jc w:val="right"/>
              <w:rPr>
                <w:rFonts w:ascii="宋体" w:hAnsi="宋体"/>
              </w:rPr>
            </w:pPr>
            <w:r>
              <w:rPr>
                <w:rFonts w:ascii="宋体" w:hAnsi="宋体"/>
              </w:rPr>
              <w:t xml:space="preserve">386 </w:t>
            </w:r>
          </w:p>
        </w:tc>
        <w:tc>
          <w:tcPr>
            <w:tcW w:w="1559" w:type="dxa"/>
            <w:vAlign w:val="center"/>
          </w:tcPr>
          <w:p>
            <w:pPr>
              <w:jc w:val="right"/>
              <w:rPr>
                <w:rFonts w:ascii="宋体" w:hAnsi="宋体"/>
              </w:rPr>
            </w:pPr>
            <w:r>
              <w:rPr>
                <w:rFonts w:ascii="宋体" w:hAnsi="宋体"/>
              </w:rPr>
              <w:t xml:space="preserve">719 </w:t>
            </w:r>
          </w:p>
        </w:tc>
        <w:tc>
          <w:tcPr>
            <w:tcW w:w="1701" w:type="dxa"/>
            <w:vAlign w:val="center"/>
          </w:tcPr>
          <w:p>
            <w:pPr>
              <w:jc w:val="right"/>
              <w:rPr>
                <w:rFonts w:ascii="宋体" w:hAnsi="宋体"/>
              </w:rPr>
            </w:pPr>
            <w:r>
              <w:rPr>
                <w:rFonts w:ascii="宋体" w:hAnsi="宋体"/>
              </w:rPr>
              <w:t xml:space="preserve">557 </w:t>
            </w:r>
          </w:p>
        </w:tc>
      </w:tr>
      <w:tr>
        <w:trPr>
          <w:jc w:val="right"/>
        </w:trPr>
        <w:tc>
          <w:tcPr>
            <w:tcW w:w="2087" w:type="dxa"/>
            <w:vAlign w:val="center"/>
          </w:tcPr>
          <w:p>
            <w:pPr>
              <w:pStyle w:val="Style49"/>
            </w:pPr>
            <w:r>
              <w:rPr>
                <w:rFonts w:hint="eastAsia"/>
              </w:rPr>
              <w:t>兖矿能源（霍林郭勒）有限公司所属煤矿</w:t>
            </w:r>
          </w:p>
        </w:tc>
        <w:tc>
          <w:tcPr>
            <w:tcW w:w="2444" w:type="dxa"/>
            <w:vAlign w:val="center"/>
          </w:tcPr>
          <w:p>
            <w:pPr>
              <w:jc w:val="both"/>
            </w:pPr>
            <w:r>
              <w:rPr>
                <w:rFonts w:hint="eastAsia"/>
              </w:rPr>
              <w:t>内蒙古通辽市</w:t>
            </w:r>
          </w:p>
        </w:tc>
        <w:tc>
          <w:tcPr>
            <w:tcW w:w="1418" w:type="dxa"/>
            <w:vAlign w:val="center"/>
          </w:tcPr>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rPr>
              <w:t xml:space="preserve">1,041 </w:t>
            </w:r>
          </w:p>
        </w:tc>
        <w:tc>
          <w:tcPr>
            <w:tcW w:w="1701" w:type="dxa"/>
            <w:vAlign w:val="center"/>
          </w:tcPr>
          <w:p>
            <w:pPr>
              <w:jc w:val="right"/>
              <w:rPr>
                <w:rFonts w:ascii="宋体" w:hAnsi="宋体"/>
              </w:rPr>
            </w:pPr>
            <w:r>
              <w:rPr>
                <w:rFonts w:ascii="宋体" w:hAnsi="宋体"/>
              </w:rPr>
              <w:t>-</w:t>
            </w:r>
          </w:p>
        </w:tc>
        <w:tc>
          <w:tcPr>
            <w:tcW w:w="1843" w:type="dxa"/>
            <w:vAlign w:val="center"/>
          </w:tcPr>
          <w:p>
            <w:pPr>
              <w:jc w:val="right"/>
              <w:rPr>
                <w:rFonts w:ascii="宋体" w:hAnsi="宋体"/>
              </w:rPr>
            </w:pPr>
            <w:r>
              <w:rPr>
                <w:rFonts w:ascii="宋体" w:hAnsi="宋体"/>
              </w:rPr>
              <w:t xml:space="preserve">- </w:t>
            </w:r>
          </w:p>
        </w:tc>
        <w:tc>
          <w:tcPr>
            <w:tcW w:w="1559" w:type="dxa"/>
            <w:vAlign w:val="center"/>
          </w:tcPr>
          <w:p>
            <w:pPr>
              <w:jc w:val="right"/>
              <w:rPr>
                <w:rFonts w:ascii="宋体" w:hAnsi="宋体"/>
              </w:rPr>
            </w:pPr>
            <w:r>
              <w:rPr>
                <w:rFonts w:ascii="宋体" w:hAnsi="宋体"/>
              </w:rPr>
              <w:t xml:space="preserve">1,028 </w:t>
            </w:r>
          </w:p>
        </w:tc>
        <w:tc>
          <w:tcPr>
            <w:tcW w:w="1701" w:type="dxa"/>
            <w:vAlign w:val="center"/>
          </w:tcPr>
          <w:p>
            <w:pPr>
              <w:jc w:val="right"/>
              <w:rPr>
                <w:rFonts w:ascii="宋体" w:hAnsi="宋体"/>
              </w:rPr>
            </w:pPr>
            <w:r>
              <w:rPr>
                <w:rFonts w:ascii="宋体" w:hAnsi="宋体"/>
              </w:rPr>
              <w:t xml:space="preserve">- </w:t>
            </w:r>
          </w:p>
        </w:tc>
      </w:tr>
      <w:tr>
        <w:trPr>
          <w:jc w:val="right"/>
        </w:trPr>
        <w:tc>
          <w:tcPr>
            <w:tcW w:w="2087" w:type="dxa"/>
            <w:vAlign w:val="center"/>
          </w:tcPr>
          <w:p>
            <w:pPr>
              <w:jc w:val="both"/>
            </w:pPr>
            <w:r>
              <w:rPr>
                <w:rFonts w:hint="eastAsia"/>
              </w:rPr>
              <w:t>内蒙古矿业所属</w:t>
            </w:r>
          </w:p>
          <w:p>
            <w:pPr>
              <w:jc w:val="both"/>
            </w:pPr>
            <w:r>
              <w:rPr>
                <w:rFonts w:hint="eastAsia"/>
              </w:rPr>
              <w:t>煤矿</w:t>
            </w:r>
          </w:p>
        </w:tc>
        <w:tc>
          <w:tcPr>
            <w:tcW w:w="2444" w:type="dxa"/>
            <w:vAlign w:val="center"/>
          </w:tcPr>
          <w:p>
            <w:pPr>
              <w:jc w:val="both"/>
            </w:pPr>
            <w:r>
              <w:rPr>
                <w:rFonts w:hint="eastAsia"/>
              </w:rPr>
              <w:t>内蒙古鄂尔多斯市</w:t>
            </w:r>
          </w:p>
        </w:tc>
        <w:tc>
          <w:tcPr>
            <w:tcW w:w="1418" w:type="dxa"/>
            <w:vAlign w:val="center"/>
          </w:tcPr>
          <w:p>
            <w:pPr>
              <w:jc w:val="both"/>
            </w:pPr>
            <w:r>
              <w:rPr>
                <w:rFonts w:hint="eastAsia"/>
              </w:rPr>
              <w:t>动力煤</w:t>
            </w:r>
          </w:p>
        </w:tc>
        <w:tc>
          <w:tcPr>
            <w:tcW w:w="1701" w:type="dxa"/>
            <w:vAlign w:val="center"/>
          </w:tcPr>
          <w:p>
            <w:pPr>
              <w:jc w:val="right"/>
              <w:rPr>
                <w:rFonts w:ascii="宋体" w:hAnsi="宋体"/>
              </w:rPr>
            </w:pPr>
            <w:r>
              <w:rPr>
                <w:rFonts w:ascii="宋体" w:hAnsi="宋体"/>
              </w:rPr>
              <w:t xml:space="preserve">6,418 </w:t>
            </w:r>
          </w:p>
        </w:tc>
        <w:tc>
          <w:tcPr>
            <w:tcW w:w="1701" w:type="dxa"/>
            <w:vAlign w:val="center"/>
          </w:tcPr>
          <w:p>
            <w:pPr>
              <w:jc w:val="right"/>
              <w:rPr>
                <w:rFonts w:ascii="宋体" w:hAnsi="宋体"/>
              </w:rPr>
            </w:pPr>
            <w:r>
              <w:rPr>
                <w:rFonts w:ascii="宋体" w:hAnsi="宋体"/>
              </w:rPr>
              <w:t xml:space="preserve">781 </w:t>
            </w:r>
          </w:p>
        </w:tc>
        <w:tc>
          <w:tcPr>
            <w:tcW w:w="1843" w:type="dxa"/>
            <w:vAlign w:val="center"/>
          </w:tcPr>
          <w:p>
            <w:pPr>
              <w:jc w:val="right"/>
              <w:rPr>
                <w:rFonts w:ascii="宋体" w:hAnsi="宋体"/>
              </w:rPr>
            </w:pPr>
            <w:r>
              <w:rPr>
                <w:rFonts w:ascii="宋体" w:hAnsi="宋体"/>
              </w:rPr>
              <w:t xml:space="preserve">351 </w:t>
            </w:r>
          </w:p>
        </w:tc>
        <w:tc>
          <w:tcPr>
            <w:tcW w:w="1559" w:type="dxa"/>
            <w:vAlign w:val="center"/>
          </w:tcPr>
          <w:p>
            <w:pPr>
              <w:jc w:val="right"/>
              <w:rPr>
                <w:rFonts w:ascii="宋体" w:hAnsi="宋体"/>
              </w:rPr>
            </w:pPr>
            <w:r>
              <w:rPr>
                <w:rFonts w:ascii="宋体" w:hAnsi="宋体"/>
              </w:rPr>
              <w:t xml:space="preserve">6,093 </w:t>
            </w:r>
          </w:p>
        </w:tc>
        <w:tc>
          <w:tcPr>
            <w:tcW w:w="1701" w:type="dxa"/>
            <w:vAlign w:val="center"/>
          </w:tcPr>
          <w:p>
            <w:pPr>
              <w:jc w:val="right"/>
              <w:rPr>
                <w:rFonts w:ascii="宋体" w:hAnsi="宋体"/>
              </w:rPr>
            </w:pPr>
            <w:r>
              <w:rPr>
                <w:rFonts w:ascii="宋体" w:hAnsi="宋体"/>
              </w:rPr>
              <w:t xml:space="preserve">1,399 </w:t>
            </w:r>
          </w:p>
        </w:tc>
      </w:tr>
      <w:tr>
        <w:trPr>
          <w:jc w:val="right"/>
        </w:trPr>
        <w:tc>
          <w:tcPr>
            <w:tcW w:w="2087" w:type="dxa"/>
            <w:vAlign w:val="center"/>
          </w:tcPr>
          <w:p>
            <w:pPr>
              <w:jc w:val="both"/>
            </w:pPr>
            <w:r>
              <w:rPr>
                <w:rFonts w:hint="eastAsia"/>
              </w:rPr>
              <w:t>新疆能化所属煤矿</w:t>
            </w:r>
          </w:p>
        </w:tc>
        <w:tc>
          <w:tcPr>
            <w:tcW w:w="2444" w:type="dxa"/>
            <w:vAlign w:val="center"/>
          </w:tcPr>
          <w:p>
            <w:pPr>
              <w:jc w:val="both"/>
            </w:pPr>
            <w:r>
              <w:rPr>
                <w:rFonts w:hint="eastAsia"/>
              </w:rPr>
              <w:t>新疆伊犁州、昌吉州</w:t>
            </w:r>
          </w:p>
        </w:tc>
        <w:tc>
          <w:tcPr>
            <w:tcW w:w="1418" w:type="dxa"/>
            <w:vAlign w:val="center"/>
          </w:tcPr>
          <w:p>
            <w:pPr>
              <w:jc w:val="both"/>
            </w:pPr>
            <w:r>
              <w:rPr>
                <w:rFonts w:hint="eastAsia"/>
              </w:rPr>
              <w:t>动力煤</w:t>
            </w:r>
          </w:p>
        </w:tc>
        <w:tc>
          <w:tcPr>
            <w:tcW w:w="1701" w:type="dxa"/>
            <w:vAlign w:val="center"/>
          </w:tcPr>
          <w:p>
            <w:pPr>
              <w:jc w:val="right"/>
              <w:rPr>
                <w:rFonts w:ascii="宋体" w:hAnsi="宋体"/>
              </w:rPr>
            </w:pPr>
            <w:r>
              <w:rPr>
                <w:rFonts w:ascii="宋体" w:hAnsi="宋体"/>
              </w:rPr>
              <w:t xml:space="preserve">26,230 </w:t>
            </w:r>
          </w:p>
        </w:tc>
        <w:tc>
          <w:tcPr>
            <w:tcW w:w="1701" w:type="dxa"/>
            <w:vAlign w:val="center"/>
          </w:tcPr>
          <w:p>
            <w:pPr>
              <w:jc w:val="right"/>
              <w:rPr>
                <w:rFonts w:ascii="宋体" w:hAnsi="宋体"/>
              </w:rPr>
            </w:pPr>
            <w:r>
              <w:rPr>
                <w:rFonts w:ascii="宋体" w:hAnsi="宋体"/>
              </w:rPr>
              <w:t xml:space="preserve">1,791 </w:t>
            </w:r>
          </w:p>
        </w:tc>
        <w:tc>
          <w:tcPr>
            <w:tcW w:w="1843" w:type="dxa"/>
            <w:vAlign w:val="center"/>
          </w:tcPr>
          <w:p>
            <w:pPr>
              <w:jc w:val="right"/>
              <w:rPr>
                <w:rFonts w:ascii="宋体" w:hAnsi="宋体"/>
              </w:rPr>
            </w:pPr>
            <w:r>
              <w:rPr>
                <w:rFonts w:ascii="宋体" w:hAnsi="宋体"/>
              </w:rPr>
              <w:t xml:space="preserve">2,149 </w:t>
            </w:r>
          </w:p>
        </w:tc>
        <w:tc>
          <w:tcPr>
            <w:tcW w:w="1559" w:type="dxa"/>
            <w:vAlign w:val="center"/>
          </w:tcPr>
          <w:p>
            <w:pPr>
              <w:jc w:val="right"/>
              <w:rPr>
                <w:rFonts w:ascii="宋体" w:hAnsi="宋体"/>
              </w:rPr>
            </w:pPr>
            <w:r>
              <w:rPr>
                <w:rFonts w:ascii="宋体" w:hAnsi="宋体"/>
              </w:rPr>
              <w:t xml:space="preserve">25,899 </w:t>
            </w:r>
          </w:p>
        </w:tc>
        <w:tc>
          <w:tcPr>
            <w:tcW w:w="1701" w:type="dxa"/>
            <w:vAlign w:val="center"/>
          </w:tcPr>
          <w:p>
            <w:pPr>
              <w:jc w:val="right"/>
              <w:rPr>
                <w:rFonts w:ascii="宋体" w:hAnsi="宋体"/>
              </w:rPr>
            </w:pPr>
            <w:r>
              <w:rPr>
                <w:rFonts w:ascii="宋体" w:hAnsi="宋体"/>
              </w:rPr>
              <w:t xml:space="preserve">3,674 </w:t>
            </w:r>
          </w:p>
        </w:tc>
      </w:tr>
      <w:tr>
        <w:trPr>
          <w:jc w:val="right"/>
        </w:trPr>
        <w:tc>
          <w:tcPr>
            <w:tcW w:w="2087" w:type="dxa"/>
            <w:vAlign w:val="center"/>
          </w:tcPr>
          <w:p>
            <w:pPr>
              <w:jc w:val="center"/>
              <w:rPr>
                <w:b/>
                <w:bCs/>
              </w:rPr>
            </w:pPr>
            <w:r>
              <w:rPr>
                <w:rFonts w:hint="eastAsia"/>
                <w:b/>
                <w:bCs/>
              </w:rPr>
              <w:t>境内矿井煤炭储量小计</w:t>
            </w:r>
          </w:p>
        </w:tc>
        <w:tc>
          <w:tcPr>
            <w:tcW w:w="2444" w:type="dxa"/>
            <w:vAlign w:val="center"/>
          </w:tcPr>
          <w:p>
            <w:pPr>
              <w:jc w:val="both"/>
              <w:rPr>
                <w:rFonts w:ascii="宋体" w:hAnsi="宋体"/>
              </w:rPr>
            </w:pPr>
            <w:r>
              <w:rPr>
                <w:rFonts w:ascii="宋体" w:hAnsi="宋体" w:hint="eastAsia"/>
              </w:rPr>
              <w:t>-</w:t>
            </w:r>
          </w:p>
        </w:tc>
        <w:tc>
          <w:tcPr>
            <w:tcW w:w="1418" w:type="dxa"/>
            <w:vAlign w:val="center"/>
          </w:tcPr>
          <w:p>
            <w:pPr>
              <w:jc w:val="both"/>
              <w:rPr>
                <w:rFonts w:ascii="宋体" w:hAnsi="宋体"/>
              </w:rPr>
            </w:pPr>
            <w:r>
              <w:rPr>
                <w:rFonts w:ascii="宋体" w:hAnsi="宋体" w:hint="eastAsia"/>
              </w:rPr>
              <w:t>-</w:t>
            </w:r>
          </w:p>
        </w:tc>
        <w:tc>
          <w:tcPr>
            <w:tcW w:w="1701" w:type="dxa"/>
            <w:vAlign w:val="center"/>
          </w:tcPr>
          <w:p>
            <w:pPr>
              <w:jc w:val="right"/>
              <w:rPr>
                <w:rFonts w:ascii="宋体" w:hAnsi="宋体"/>
              </w:rPr>
            </w:pPr>
            <w:r>
              <w:rPr>
                <w:rFonts w:ascii="宋体" w:hAnsi="宋体"/>
              </w:rPr>
              <w:t xml:space="preserve">52,894 </w:t>
            </w:r>
          </w:p>
        </w:tc>
        <w:tc>
          <w:tcPr>
            <w:tcW w:w="1701" w:type="dxa"/>
            <w:vAlign w:val="center"/>
          </w:tcPr>
          <w:p>
            <w:pPr>
              <w:jc w:val="right"/>
              <w:rPr>
                <w:rFonts w:ascii="宋体" w:hAnsi="宋体"/>
              </w:rPr>
            </w:pPr>
            <w:r>
              <w:rPr>
                <w:rFonts w:ascii="宋体" w:hAnsi="宋体"/>
              </w:rPr>
              <w:t xml:space="preserve">6,269 </w:t>
            </w:r>
          </w:p>
        </w:tc>
        <w:tc>
          <w:tcPr>
            <w:tcW w:w="1843" w:type="dxa"/>
            <w:vAlign w:val="center"/>
          </w:tcPr>
          <w:p>
            <w:pPr>
              <w:jc w:val="right"/>
              <w:rPr>
                <w:rFonts w:ascii="宋体" w:hAnsi="宋体"/>
              </w:rPr>
            </w:pPr>
            <w:r>
              <w:rPr>
                <w:rFonts w:ascii="宋体" w:hAnsi="宋体"/>
              </w:rPr>
              <w:t xml:space="preserve">6,187 </w:t>
            </w:r>
          </w:p>
        </w:tc>
        <w:tc>
          <w:tcPr>
            <w:tcW w:w="1559" w:type="dxa"/>
            <w:vAlign w:val="center"/>
          </w:tcPr>
          <w:p>
            <w:pPr>
              <w:jc w:val="right"/>
              <w:rPr>
                <w:rFonts w:ascii="宋体" w:hAnsi="宋体"/>
              </w:rPr>
            </w:pPr>
            <w:r>
              <w:rPr>
                <w:rFonts w:ascii="宋体" w:hAnsi="宋体"/>
              </w:rPr>
              <w:t xml:space="preserve">42,309 </w:t>
            </w:r>
          </w:p>
        </w:tc>
        <w:tc>
          <w:tcPr>
            <w:tcW w:w="1701" w:type="dxa"/>
            <w:vAlign w:val="center"/>
          </w:tcPr>
          <w:p>
            <w:pPr>
              <w:jc w:val="right"/>
              <w:rPr>
                <w:rFonts w:ascii="宋体" w:hAnsi="宋体"/>
              </w:rPr>
            </w:pPr>
            <w:r>
              <w:rPr>
                <w:rFonts w:ascii="宋体" w:hAnsi="宋体"/>
              </w:rPr>
              <w:t xml:space="preserve">8,136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lastRenderedPageBreak/>
              <w:t>兖煤澳洲所属煤矿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昆士兰州及新南威尔士州</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喷吹煤、</w:t>
            </w:r>
          </w:p>
          <w:p>
            <w:pPr>
              <w:jc w:val="both"/>
              <w:rPr>
                <w:rFonts w:ascii="宋体" w:hAnsi="宋体"/>
              </w:rPr>
            </w:pPr>
            <w:r>
              <w:rPr>
                <w:rFonts w:ascii="宋体" w:hAnsi="宋体" w:hint="eastAsia"/>
              </w:rPr>
              <w:t>动力煤、</w:t>
            </w:r>
          </w:p>
          <w:p>
            <w:pPr>
              <w:jc w:val="both"/>
              <w:rPr>
                <w:rFonts w:ascii="宋体" w:hAnsi="宋体"/>
              </w:rPr>
            </w:pPr>
            <w:r>
              <w:rPr>
                <w:rFonts w:ascii="宋体" w:hAnsi="宋体" w:hint="eastAsia"/>
              </w:rPr>
              <w:t>半软焦煤</w:t>
            </w:r>
          </w:p>
        </w:tc>
        <w:tc>
          <w:tcPr>
            <w:tcW w:w="1701" w:type="dxa"/>
            <w:vAlign w:val="center"/>
          </w:tcPr>
          <w:p>
            <w:pPr>
              <w:jc w:val="right"/>
              <w:rPr>
                <w:rFonts w:ascii="宋体" w:hAnsi="宋体"/>
              </w:rPr>
            </w:pPr>
            <w:r>
              <w:rPr>
                <w:rFonts w:ascii="宋体" w:hAnsi="宋体" w:hint="eastAsia"/>
              </w:rPr>
              <w:t>-</w:t>
            </w:r>
          </w:p>
        </w:tc>
        <w:tc>
          <w:tcPr>
            <w:tcW w:w="1701" w:type="dxa"/>
            <w:vAlign w:val="center"/>
          </w:tcPr>
          <w:p>
            <w:pPr>
              <w:jc w:val="right"/>
              <w:rPr>
                <w:rFonts w:ascii="宋体" w:hAnsi="宋体"/>
              </w:rPr>
            </w:pPr>
            <w:r>
              <w:rPr>
                <w:rFonts w:ascii="宋体" w:hAnsi="宋体" w:hint="eastAsia"/>
              </w:rPr>
              <w:t>-</w:t>
            </w:r>
          </w:p>
        </w:tc>
        <w:tc>
          <w:tcPr>
            <w:tcW w:w="1843" w:type="dxa"/>
            <w:vAlign w:val="center"/>
          </w:tcPr>
          <w:p>
            <w:pPr>
              <w:jc w:val="right"/>
              <w:rPr>
                <w:rFonts w:ascii="宋体" w:hAnsi="宋体"/>
              </w:rPr>
            </w:pPr>
            <w:r>
              <w:rPr>
                <w:rFonts w:ascii="宋体" w:hAnsi="宋体" w:hint="eastAsia"/>
              </w:rPr>
              <w:t>-</w:t>
            </w:r>
          </w:p>
        </w:tc>
        <w:tc>
          <w:tcPr>
            <w:tcW w:w="1559" w:type="dxa"/>
            <w:vAlign w:val="center"/>
          </w:tcPr>
          <w:p>
            <w:pPr>
              <w:jc w:val="right"/>
              <w:rPr>
                <w:rFonts w:ascii="宋体" w:hAnsi="宋体"/>
              </w:rPr>
            </w:pPr>
            <w:r>
              <w:rPr>
                <w:rFonts w:ascii="宋体" w:hAnsi="宋体"/>
              </w:rPr>
              <w:t xml:space="preserve">6,490 </w:t>
            </w:r>
          </w:p>
        </w:tc>
        <w:tc>
          <w:tcPr>
            <w:tcW w:w="1701" w:type="dxa"/>
            <w:vAlign w:val="center"/>
          </w:tcPr>
          <w:p>
            <w:pPr>
              <w:jc w:val="right"/>
              <w:rPr>
                <w:rFonts w:ascii="宋体" w:hAnsi="宋体"/>
              </w:rPr>
            </w:pPr>
            <w:r>
              <w:rPr>
                <w:rFonts w:ascii="宋体" w:hAnsi="宋体"/>
              </w:rPr>
              <w:t xml:space="preserve">1,290 </w:t>
            </w:r>
          </w:p>
        </w:tc>
      </w:tr>
      <w:tr>
        <w:trPr>
          <w:jc w:val="right"/>
        </w:trPr>
        <w:tc>
          <w:tcPr>
            <w:tcW w:w="208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兖煤国际所属煤矿</w:t>
            </w:r>
          </w:p>
        </w:tc>
        <w:tc>
          <w:tcPr>
            <w:tcW w:w="244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昆士兰州及西澳大利亚州</w:t>
            </w:r>
          </w:p>
        </w:tc>
        <w:tc>
          <w:tcPr>
            <w:tcW w:w="141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喷吹煤、</w:t>
            </w:r>
          </w:p>
          <w:p>
            <w:pPr>
              <w:jc w:val="both"/>
              <w:rPr>
                <w:rFonts w:ascii="宋体" w:hAnsi="宋体"/>
              </w:rPr>
            </w:pPr>
            <w:r>
              <w:rPr>
                <w:rFonts w:ascii="宋体" w:hAnsi="宋体" w:hint="eastAsia"/>
              </w:rPr>
              <w:t>动力煤</w:t>
            </w:r>
          </w:p>
        </w:tc>
        <w:tc>
          <w:tcPr>
            <w:tcW w:w="1701" w:type="dxa"/>
            <w:vAlign w:val="center"/>
          </w:tcPr>
          <w:p>
            <w:pPr>
              <w:jc w:val="right"/>
              <w:rPr>
                <w:rFonts w:ascii="宋体" w:hAnsi="宋体"/>
              </w:rPr>
            </w:pPr>
            <w:r>
              <w:rPr>
                <w:rFonts w:ascii="宋体" w:hAnsi="宋体" w:hint="eastAsia"/>
              </w:rPr>
              <w:t>-</w:t>
            </w:r>
          </w:p>
        </w:tc>
        <w:tc>
          <w:tcPr>
            <w:tcW w:w="1701" w:type="dxa"/>
            <w:vAlign w:val="center"/>
          </w:tcPr>
          <w:p>
            <w:pPr>
              <w:jc w:val="right"/>
              <w:rPr>
                <w:rFonts w:ascii="宋体" w:hAnsi="宋体"/>
              </w:rPr>
            </w:pPr>
            <w:r>
              <w:rPr>
                <w:rFonts w:ascii="宋体" w:hAnsi="宋体" w:hint="eastAsia"/>
              </w:rPr>
              <w:t>-</w:t>
            </w:r>
          </w:p>
        </w:tc>
        <w:tc>
          <w:tcPr>
            <w:tcW w:w="1843" w:type="dxa"/>
            <w:vAlign w:val="center"/>
          </w:tcPr>
          <w:p>
            <w:pPr>
              <w:jc w:val="right"/>
              <w:rPr>
                <w:rFonts w:ascii="宋体" w:hAnsi="宋体"/>
              </w:rPr>
            </w:pPr>
            <w:r>
              <w:rPr>
                <w:rFonts w:ascii="宋体" w:hAnsi="宋体" w:hint="eastAsia"/>
              </w:rPr>
              <w:t>-</w:t>
            </w:r>
          </w:p>
        </w:tc>
        <w:tc>
          <w:tcPr>
            <w:tcW w:w="1559" w:type="dxa"/>
            <w:vAlign w:val="center"/>
          </w:tcPr>
          <w:p>
            <w:pPr>
              <w:jc w:val="right"/>
              <w:rPr>
                <w:rFonts w:ascii="宋体" w:hAnsi="宋体"/>
              </w:rPr>
            </w:pPr>
            <w:r>
              <w:rPr>
                <w:rFonts w:ascii="宋体" w:hAnsi="宋体"/>
              </w:rPr>
              <w:t xml:space="preserve">1,590 </w:t>
            </w:r>
          </w:p>
        </w:tc>
        <w:tc>
          <w:tcPr>
            <w:tcW w:w="1701" w:type="dxa"/>
            <w:vAlign w:val="center"/>
          </w:tcPr>
          <w:p>
            <w:pPr>
              <w:jc w:val="right"/>
              <w:rPr>
                <w:rFonts w:ascii="宋体" w:hAnsi="宋体"/>
              </w:rPr>
            </w:pPr>
            <w:r>
              <w:rPr>
                <w:rFonts w:ascii="宋体" w:hAnsi="宋体"/>
              </w:rPr>
              <w:t xml:space="preserve">90 </w:t>
            </w:r>
          </w:p>
        </w:tc>
      </w:tr>
      <w:tr>
        <w:trPr>
          <w:jc w:val="right"/>
        </w:trPr>
        <w:tc>
          <w:tcPr>
            <w:tcW w:w="2087" w:type="dxa"/>
          </w:tcPr>
          <w:p>
            <w:pPr>
              <w:jc w:val="center"/>
            </w:pPr>
            <w:r>
              <w:rPr>
                <w:rFonts w:hint="eastAsia"/>
                <w:b/>
                <w:bCs/>
              </w:rPr>
              <w:t>境外矿井煤炭储量小计</w:t>
            </w:r>
          </w:p>
        </w:tc>
        <w:tc>
          <w:tcPr>
            <w:tcW w:w="2444" w:type="dxa"/>
            <w:vAlign w:val="center"/>
          </w:tcPr>
          <w:p>
            <w:pPr>
              <w:jc w:val="both"/>
              <w:rPr>
                <w:rFonts w:ascii="宋体" w:hAnsi="宋体"/>
              </w:rPr>
            </w:pPr>
            <w:r>
              <w:rPr>
                <w:rFonts w:ascii="宋体" w:hAnsi="宋体" w:hint="eastAsia"/>
              </w:rPr>
              <w:t>-</w:t>
            </w:r>
          </w:p>
        </w:tc>
        <w:tc>
          <w:tcPr>
            <w:tcW w:w="1418" w:type="dxa"/>
            <w:vAlign w:val="center"/>
          </w:tcPr>
          <w:p>
            <w:pPr>
              <w:jc w:val="both"/>
              <w:rPr>
                <w:rFonts w:ascii="宋体" w:hAnsi="宋体"/>
              </w:rPr>
            </w:pPr>
            <w:r>
              <w:rPr>
                <w:rFonts w:ascii="宋体" w:hAnsi="宋体" w:hint="eastAsia"/>
              </w:rPr>
              <w:t>-</w:t>
            </w:r>
          </w:p>
        </w:tc>
        <w:tc>
          <w:tcPr>
            <w:tcW w:w="1701" w:type="dxa"/>
            <w:vAlign w:val="center"/>
          </w:tcPr>
          <w:p>
            <w:pPr>
              <w:jc w:val="right"/>
              <w:rPr>
                <w:rFonts w:ascii="宋体" w:hAnsi="宋体"/>
              </w:rPr>
            </w:pPr>
            <w:r>
              <w:rPr>
                <w:rFonts w:ascii="宋体" w:hAnsi="宋体" w:hint="eastAsia"/>
              </w:rPr>
              <w:t>-</w:t>
            </w:r>
          </w:p>
        </w:tc>
        <w:tc>
          <w:tcPr>
            <w:tcW w:w="1701" w:type="dxa"/>
            <w:vAlign w:val="center"/>
          </w:tcPr>
          <w:p>
            <w:pPr>
              <w:jc w:val="right"/>
              <w:rPr>
                <w:rFonts w:ascii="宋体" w:hAnsi="宋体"/>
              </w:rPr>
            </w:pPr>
            <w:r>
              <w:rPr>
                <w:rFonts w:ascii="宋体" w:hAnsi="宋体" w:hint="eastAsia"/>
              </w:rPr>
              <w:t>-</w:t>
            </w:r>
          </w:p>
        </w:tc>
        <w:tc>
          <w:tcPr>
            <w:tcW w:w="1843" w:type="dxa"/>
            <w:vAlign w:val="center"/>
          </w:tcPr>
          <w:p>
            <w:pPr>
              <w:jc w:val="right"/>
              <w:rPr>
                <w:rFonts w:ascii="宋体" w:hAnsi="宋体"/>
              </w:rPr>
            </w:pPr>
            <w:r>
              <w:rPr>
                <w:rFonts w:ascii="宋体" w:hAnsi="宋体" w:hint="eastAsia"/>
              </w:rPr>
              <w:t>-</w:t>
            </w:r>
          </w:p>
        </w:tc>
        <w:tc>
          <w:tcPr>
            <w:tcW w:w="1559" w:type="dxa"/>
            <w:vAlign w:val="center"/>
          </w:tcPr>
          <w:p>
            <w:pPr>
              <w:jc w:val="right"/>
              <w:rPr>
                <w:rFonts w:ascii="宋体" w:hAnsi="宋体"/>
              </w:rPr>
            </w:pPr>
            <w:r>
              <w:rPr>
                <w:rFonts w:ascii="宋体" w:hAnsi="宋体"/>
              </w:rPr>
              <w:t xml:space="preserve">8,080 </w:t>
            </w:r>
          </w:p>
        </w:tc>
        <w:tc>
          <w:tcPr>
            <w:tcW w:w="1701" w:type="dxa"/>
            <w:vAlign w:val="center"/>
          </w:tcPr>
          <w:p>
            <w:pPr>
              <w:jc w:val="right"/>
              <w:rPr>
                <w:rFonts w:ascii="宋体" w:hAnsi="宋体"/>
              </w:rPr>
            </w:pPr>
            <w:r>
              <w:rPr>
                <w:rFonts w:ascii="宋体" w:hAnsi="宋体"/>
              </w:rPr>
              <w:t xml:space="preserve">1,380 </w:t>
            </w:r>
          </w:p>
        </w:tc>
      </w:tr>
      <w:tr>
        <w:trPr>
          <w:jc w:val="right"/>
        </w:trPr>
        <w:tc>
          <w:tcPr>
            <w:tcW w:w="2087" w:type="dxa"/>
            <w:vAlign w:val="center"/>
          </w:tcPr>
          <w:p>
            <w:pPr>
              <w:jc w:val="center"/>
            </w:pPr>
            <w:r>
              <w:rPr>
                <w:rFonts w:hint="eastAsia"/>
              </w:rPr>
              <w:t>合计</w:t>
            </w:r>
          </w:p>
        </w:tc>
        <w:tc>
          <w:tcPr>
            <w:tcW w:w="2444" w:type="dxa"/>
          </w:tcPr>
          <w:p>
            <w:pPr>
              <w:jc w:val="both"/>
              <w:rPr>
                <w:rFonts w:ascii="宋体" w:hAnsi="宋体"/>
              </w:rPr>
            </w:pPr>
            <w:r>
              <w:rPr>
                <w:rFonts w:ascii="宋体" w:hAnsi="宋体" w:hint="eastAsia"/>
              </w:rPr>
              <w:t>-</w:t>
            </w:r>
          </w:p>
        </w:tc>
        <w:tc>
          <w:tcPr>
            <w:tcW w:w="1418" w:type="dxa"/>
            <w:vAlign w:val="center"/>
          </w:tcPr>
          <w:p>
            <w:pPr>
              <w:jc w:val="both"/>
              <w:rPr>
                <w:rFonts w:ascii="宋体" w:hAnsi="宋体"/>
              </w:rPr>
            </w:pPr>
            <w:r>
              <w:rPr>
                <w:rFonts w:ascii="宋体" w:hAnsi="宋体" w:hint="eastAsia"/>
              </w:rPr>
              <w:t>-</w:t>
            </w:r>
          </w:p>
        </w:tc>
        <w:tc>
          <w:tcPr>
            <w:tcW w:w="1701" w:type="dxa"/>
            <w:vAlign w:val="center"/>
          </w:tcPr>
          <w:p>
            <w:pPr>
              <w:jc w:val="right"/>
              <w:rPr>
                <w:rFonts w:ascii="宋体" w:hAnsi="宋体"/>
              </w:rPr>
            </w:pPr>
            <w:r>
              <w:rPr>
                <w:rFonts w:ascii="宋体" w:hAnsi="宋体"/>
              </w:rPr>
              <w:t xml:space="preserve">52,894 </w:t>
            </w:r>
          </w:p>
        </w:tc>
        <w:tc>
          <w:tcPr>
            <w:tcW w:w="1701" w:type="dxa"/>
            <w:vAlign w:val="center"/>
          </w:tcPr>
          <w:p>
            <w:pPr>
              <w:jc w:val="right"/>
              <w:rPr>
                <w:rFonts w:ascii="宋体" w:hAnsi="宋体"/>
              </w:rPr>
            </w:pPr>
            <w:r>
              <w:rPr>
                <w:rFonts w:ascii="宋体" w:hAnsi="宋体"/>
              </w:rPr>
              <w:t xml:space="preserve">6,269 </w:t>
            </w:r>
          </w:p>
        </w:tc>
        <w:tc>
          <w:tcPr>
            <w:tcW w:w="1843" w:type="dxa"/>
            <w:vAlign w:val="center"/>
          </w:tcPr>
          <w:p>
            <w:pPr>
              <w:jc w:val="right"/>
              <w:rPr>
                <w:rFonts w:ascii="宋体" w:hAnsi="宋体"/>
              </w:rPr>
            </w:pPr>
            <w:r>
              <w:rPr>
                <w:rFonts w:ascii="宋体" w:hAnsi="宋体"/>
              </w:rPr>
              <w:t xml:space="preserve">6,187 </w:t>
            </w:r>
          </w:p>
        </w:tc>
        <w:tc>
          <w:tcPr>
            <w:tcW w:w="1559" w:type="dxa"/>
            <w:vAlign w:val="center"/>
          </w:tcPr>
          <w:p>
            <w:pPr>
              <w:jc w:val="right"/>
              <w:rPr>
                <w:rFonts w:ascii="宋体" w:hAnsi="宋体"/>
              </w:rPr>
            </w:pPr>
            <w:r>
              <w:rPr>
                <w:rFonts w:ascii="宋体" w:hAnsi="宋体"/>
              </w:rPr>
              <w:t xml:space="preserve">50,389 </w:t>
            </w:r>
          </w:p>
        </w:tc>
        <w:tc>
          <w:tcPr>
            <w:tcW w:w="1701" w:type="dxa"/>
            <w:vAlign w:val="center"/>
          </w:tcPr>
          <w:p>
            <w:pPr>
              <w:jc w:val="right"/>
              <w:rPr>
                <w:rFonts w:ascii="宋体" w:hAnsi="宋体"/>
              </w:rPr>
            </w:pPr>
            <w:r>
              <w:rPr>
                <w:rFonts w:ascii="宋体" w:hAnsi="宋体"/>
              </w:rPr>
              <w:t xml:space="preserve">9,516 </w:t>
            </w:r>
          </w:p>
        </w:tc>
      </w:tr>
    </w:tbl>
    <w:p>
      <w:pPr>
        <w:ind w:firstLineChars="200" w:firstLine="420"/>
        <w:jc w:val="both"/>
        <w:rPr>
          <w:rFonts w:ascii="宋体" w:hAnsi="宋体" w:cs="宋体"/>
          <w:szCs w:val="24"/>
        </w:rPr>
      </w:pPr>
      <w:r>
        <w:rPr>
          <w:rFonts w:ascii="宋体" w:hAnsi="宋体" w:cs="宋体" w:hint="eastAsia"/>
          <w:szCs w:val="24"/>
        </w:rPr>
        <w:t>注：</w:t>
      </w:r>
    </w:p>
    <w:p>
      <w:pPr>
        <w:ind w:firstLineChars="200" w:firstLine="420"/>
        <w:jc w:val="both"/>
        <w:rPr>
          <w:rFonts w:ascii="宋体" w:hAnsi="宋体" w:cs="宋体"/>
          <w:szCs w:val="24"/>
        </w:rPr>
      </w:pPr>
      <w:r>
        <w:rPr>
          <w:rFonts w:ascii="宋体" w:hAnsi="宋体" w:cs="宋体" w:hint="eastAsia"/>
          <w:szCs w:val="24"/>
        </w:rPr>
        <w:t>①按照《固体矿产资源储量分类》（中华人民共和国国家标准</w:t>
      </w:r>
      <w:r>
        <w:rPr>
          <w:rFonts w:ascii="宋体" w:hAnsi="宋体" w:cs="宋体"/>
          <w:szCs w:val="24"/>
        </w:rPr>
        <w:t>GB/T17766-2020），资源量：经矿产资源勘查查明并经概略研究，预期可经济开采的固体矿产资源，其数量、品位或质量是依据地质信息、地质认识及相关技术要求而估算的。证实储量：经过预可行性研究、可行性研究或与之相当的技术经济评价，基于探明资源量而估算的储量。可信储量：经过预可行性研究、可行性研究或与之相当的技术经济评价，基于控制的资源量而估算的储量；或某些转换因素尚存在不确定性时，基于探明资源量而估算的储量。</w:t>
      </w:r>
    </w:p>
    <w:p>
      <w:pPr>
        <w:ind w:firstLineChars="200" w:firstLine="420"/>
        <w:jc w:val="both"/>
        <w:rPr>
          <w:rFonts w:ascii="宋体" w:hAnsi="宋体" w:cs="宋体"/>
          <w:szCs w:val="24"/>
        </w:rPr>
      </w:pPr>
      <w:r>
        <w:rPr>
          <w:rFonts w:ascii="宋体" w:hAnsi="宋体" w:cs="宋体" w:hint="eastAsia"/>
          <w:szCs w:val="24"/>
        </w:rPr>
        <w:t>②按照香港联交所要求，本集团统一对中国境内所属煤矿依据</w:t>
      </w:r>
      <w:r>
        <w:rPr>
          <w:rFonts w:ascii="宋体" w:hAnsi="宋体" w:cs="宋体"/>
          <w:szCs w:val="24"/>
        </w:rPr>
        <w:t>JORC规范进行了资源储量评估。</w:t>
      </w:r>
    </w:p>
    <w:p>
      <w:pPr>
        <w:ind w:firstLineChars="200" w:firstLine="420"/>
        <w:jc w:val="both"/>
        <w:rPr>
          <w:rFonts w:ascii="宋体" w:hAnsi="宋体" w:cs="宋体"/>
          <w:szCs w:val="24"/>
          <w:u w:val="single"/>
        </w:rPr>
      </w:pPr>
      <w:r>
        <w:rPr>
          <w:rFonts w:ascii="宋体" w:hAnsi="宋体" w:cs="宋体" w:hint="eastAsia"/>
          <w:szCs w:val="24"/>
        </w:rPr>
        <w:t>原地资源量、可采储量均为截至</w:t>
      </w:r>
      <w:r>
        <w:rPr>
          <w:rFonts w:ascii="宋体" w:hAnsi="宋体" w:cs="宋体"/>
          <w:szCs w:val="24"/>
        </w:rPr>
        <w:t>2025年12月31日各煤矿按100%权益和JORC规范估算。其中：中国境内煤矿原地资源量、可采储量引用自约翰T·博德公司于2026年3月出具的合资格人士报告；境外煤矿原地资源量、可采储量引用自境外附属公司委任的合资格人士出具的报告。</w:t>
      </w:r>
    </w:p>
    <w:p>
      <w:pPr>
        <w:ind w:firstLineChars="200" w:firstLine="420"/>
        <w:jc w:val="both"/>
        <w:rPr>
          <w:rFonts w:ascii="宋体" w:hAnsi="宋体" w:cs="宋体"/>
          <w:szCs w:val="24"/>
        </w:rPr>
      </w:pPr>
      <w:r>
        <w:rPr>
          <w:rFonts w:ascii="宋体" w:hAnsi="宋体" w:cs="宋体" w:hint="eastAsia"/>
          <w:szCs w:val="24"/>
        </w:rPr>
        <w:t>③兖煤澳洲及兖煤国际所属煤矿未进行中国国家标准资源储量评估。</w:t>
      </w:r>
    </w:p>
    <w:p>
      <w:pPr>
        <w:pStyle w:val="Style61"/>
      </w:pPr>
      <w:r>
        <w:br w:type="page"/>
      </w:r>
    </w:p>
    <w:p>
      <w:pPr>
        <w:pStyle w:val="Style49"/>
      </w:pPr>
    </w:p>
    <w:p>
      <w:pPr>
        <w:pStyle w:val="5"/>
        <w:numPr>
          <w:ilvl w:val="0"/>
          <w:numId w:val="21"/>
        </w:numPr>
        <w:ind w:leftChars="0"/>
      </w:pPr>
      <w:r>
        <w:rPr>
          <w:rFonts w:hint="eastAsia"/>
        </w:rPr>
        <w:t>其他说明</w:t>
      </w:r>
    </w:p>
    <w:sdt>
      <w:sdtPr>
        <w:rPr>
          <w:rFonts w:hint="eastAsia"/>
        </w:rPr>
        <w:alias w:val="是否适用：煤炭行业经营性信息分析其他情况说明[双击切换]"/>
        <w:tag w:val="_GBC_2ce1067042c14ad384774217c1531dc0"/>
        <w:id w:val="517513262"/>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煤炭行业经营性信息分析其他情况说明"/>
        <w:tag w:val="_GBC_22477097e055473db880c840f62a0a9d"/>
        <w:id w:val="1523824474"/>
        <w:placeholder>
          <w:docPart w:val="GBC22222222222222222222222222222"/>
        </w:placeholder>
      </w:sdtPr>
      <w:sdtContent>
        <w:sdt>
          <w:sdtPr>
            <w:rPr>
              <w:rFonts w:ascii="宋体" w:hAnsi="宋体" w:cs="宋体"/>
            </w:rPr>
            <w:alias w:val="煤炭行业经营性信息分析其他情况说明"/>
            <w:tag w:val="_GBC_22477097e055473db880c840f62a0a9d"/>
            <w:id w:val="1511722543"/>
            <w:placeholder>
              <w:docPart w:val="EE8A6F7B0C054596AF3A58C646212838"/>
            </w:placeholder>
          </w:sdtPr>
          <w:sdtContent>
            <w:p>
              <w:pPr>
                <w:rPr>
                  <w:rFonts w:ascii="宋体" w:hAnsi="宋体" w:cs="宋体"/>
                </w:rPr>
              </w:pPr>
            </w:p>
            <w:p>
              <w:pPr>
                <w:ind w:firstLineChars="200" w:firstLine="420"/>
                <w:rPr>
                  <w:rFonts w:ascii="宋体" w:hAnsi="宋体" w:cs="宋体"/>
                </w:rPr>
              </w:pPr>
              <w:r>
                <w:rPr>
                  <w:rFonts w:ascii="宋体" w:hAnsi="宋体" w:cs="宋体" w:hint="eastAsia"/>
                </w:rPr>
                <w:t>（1）报告期内煤炭勘探、开发及开采情况</w:t>
              </w:r>
            </w:p>
            <w:p>
              <w:pPr>
                <w:ind w:firstLineChars="200" w:firstLine="420"/>
                <w:rPr>
                  <w:rFonts w:ascii="宋体" w:hAnsi="宋体" w:cs="宋体"/>
                </w:rPr>
              </w:pPr>
              <w:r>
                <w:rPr>
                  <w:rFonts w:ascii="宋体" w:hAnsi="宋体" w:cs="宋体" w:hint="eastAsia"/>
                </w:rPr>
                <w:t>2025年，本集团煤炭勘探支出765.12万元，主要是：兖煤澳洲莫拉本煤矿勘探项目支出，兖煤国际勘探项目支出；煤炭开发及开采相关的资本性支出约</w:t>
              </w:r>
              <w:bookmarkStart w:id="108" w:name="_Hlk225436747"/>
              <w:r>
                <w:rPr>
                  <w:rFonts w:ascii="宋体" w:hAnsi="宋体" w:cs="宋体"/>
                </w:rPr>
                <w:t>157.24</w:t>
              </w:r>
              <w:bookmarkEnd w:id="108"/>
              <w:r>
                <w:rPr>
                  <w:rFonts w:ascii="宋体" w:hAnsi="宋体" w:cs="宋体" w:hint="eastAsia"/>
                </w:rPr>
                <w:t>亿元，主要是现有矿井的固定资产开支投入及五彩湾四号露天矿、油房壕煤矿、杨家坪煤矿以及兖煤澳洲、兖煤国际所属煤矿的开发及开采费用。</w:t>
              </w:r>
            </w:p>
            <w:p>
              <w:pPr>
                <w:ind w:firstLineChars="200" w:firstLine="420"/>
                <w:rPr>
                  <w:rFonts w:ascii="宋体" w:hAnsi="宋体" w:cs="宋体"/>
                </w:rPr>
              </w:pPr>
              <w:r>
                <w:rPr>
                  <w:rFonts w:ascii="宋体" w:hAnsi="宋体" w:cs="宋体" w:hint="eastAsia"/>
                </w:rPr>
                <w:t>（2）重大煤矿建设项目</w:t>
              </w:r>
            </w:p>
            <w:p>
              <w:pPr>
                <w:ind w:firstLineChars="200" w:firstLine="420"/>
                <w:rPr>
                  <w:rFonts w:ascii="宋体" w:hAnsi="宋体" w:cs="宋体"/>
                </w:rPr>
              </w:pPr>
              <w:r>
                <w:rPr>
                  <w:rFonts w:ascii="宋体" w:hAnsi="宋体" w:cs="宋体" w:hint="eastAsia"/>
                </w:rPr>
                <w:t>截至本报告期末，本集团重大煤矿建设项目的进展情况如下：</w:t>
              </w:r>
            </w:p>
            <w:p>
              <w:pPr>
                <w:rPr>
                  <w:rFonts w:ascii="宋体" w:hAnsi="宋体" w:cs="宋体"/>
                </w:rPr>
              </w:pPr>
            </w:p>
            <w:tbl>
              <w:tblPr>
                <w:tblStyle w:val="aff4"/>
                <w:tblW w:w="0" w:type="auto"/>
                <w:jc w:val="center"/>
                <w:tblLook w:val="04A0" w:firstRow="1" w:lastRow="0" w:firstColumn="1" w:lastColumn="0" w:noHBand="0" w:noVBand="1"/>
              </w:tblPr>
              <w:tblGrid>
                <w:gridCol w:w="1081"/>
                <w:gridCol w:w="3309"/>
                <w:gridCol w:w="2236"/>
                <w:gridCol w:w="2773"/>
                <w:gridCol w:w="2773"/>
              </w:tblGrid>
              <w:tr>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kinsoku w:val="0"/>
                      <w:overflowPunct w:val="0"/>
                      <w:autoSpaceDE w:val="0"/>
                      <w:autoSpaceDN w:val="0"/>
                      <w:adjustRightInd w:val="0"/>
                      <w:spacing w:line="400" w:lineRule="exact"/>
                      <w:jc w:val="center"/>
                      <w:rPr>
                        <w:rFonts w:ascii="宋体" w:hAnsi="宋体" w:cs="Arial"/>
                        <w:sz w:val="24"/>
                        <w:szCs w:val="28"/>
                      </w:rPr>
                    </w:pPr>
                    <w:bookmarkStart w:id="109" w:name="_Hlk218438507"/>
                    <w:r>
                      <w:rPr>
                        <w:rFonts w:ascii="宋体" w:hAnsi="宋体" w:cs="Calibri" w:hint="eastAsia"/>
                        <w:b/>
                        <w:bCs/>
                      </w:rPr>
                      <w:t>序号</w:t>
                    </w:r>
                  </w:p>
                </w:tc>
                <w:tc>
                  <w:tcPr>
                    <w:tcW w:w="3309" w:type="dxa"/>
                    <w:tcBorders>
                      <w:top w:val="single" w:sz="4" w:space="0" w:color="000000"/>
                      <w:left w:val="single" w:sz="4" w:space="0" w:color="000000"/>
                      <w:bottom w:val="single" w:sz="4" w:space="0" w:color="000000"/>
                      <w:right w:val="single" w:sz="4" w:space="0" w:color="000000"/>
                    </w:tcBorders>
                    <w:vAlign w:val="center"/>
                  </w:tcPr>
                  <w:p>
                    <w:pPr>
                      <w:kinsoku w:val="0"/>
                      <w:overflowPunct w:val="0"/>
                      <w:autoSpaceDE w:val="0"/>
                      <w:autoSpaceDN w:val="0"/>
                      <w:adjustRightInd w:val="0"/>
                      <w:spacing w:line="400" w:lineRule="exact"/>
                      <w:jc w:val="center"/>
                      <w:rPr>
                        <w:rFonts w:ascii="宋体" w:hAnsi="宋体" w:cs="Arial"/>
                        <w:sz w:val="24"/>
                        <w:szCs w:val="28"/>
                      </w:rPr>
                    </w:pPr>
                    <w:r>
                      <w:rPr>
                        <w:rFonts w:ascii="宋体" w:hAnsi="宋体" w:cs="Calibri" w:hint="eastAsia"/>
                        <w:b/>
                        <w:bCs/>
                      </w:rPr>
                      <w:t>项目名称</w:t>
                    </w:r>
                  </w:p>
                </w:tc>
                <w:tc>
                  <w:tcPr>
                    <w:tcW w:w="2236" w:type="dxa"/>
                    <w:tcBorders>
                      <w:top w:val="single" w:sz="4" w:space="0" w:color="000000"/>
                      <w:left w:val="single" w:sz="4" w:space="0" w:color="000000"/>
                      <w:bottom w:val="single" w:sz="4" w:space="0" w:color="000000"/>
                      <w:right w:val="single" w:sz="4" w:space="0" w:color="000000"/>
                    </w:tcBorders>
                    <w:vAlign w:val="center"/>
                  </w:tcPr>
                  <w:p>
                    <w:pPr>
                      <w:kinsoku w:val="0"/>
                      <w:overflowPunct w:val="0"/>
                      <w:autoSpaceDE w:val="0"/>
                      <w:autoSpaceDN w:val="0"/>
                      <w:adjustRightInd w:val="0"/>
                      <w:spacing w:line="400" w:lineRule="exact"/>
                      <w:jc w:val="center"/>
                      <w:rPr>
                        <w:rFonts w:ascii="宋体" w:hAnsi="宋体"/>
                        <w:b/>
                        <w:bCs/>
                        <w:w w:val="99"/>
                      </w:rPr>
                    </w:pPr>
                    <w:r>
                      <w:rPr>
                        <w:rFonts w:ascii="宋体" w:hAnsi="宋体" w:cs="Calibri" w:hint="eastAsia"/>
                        <w:b/>
                        <w:bCs/>
                      </w:rPr>
                      <w:t>设计产能</w:t>
                    </w:r>
                  </w:p>
                  <w:p>
                    <w:pPr>
                      <w:kinsoku w:val="0"/>
                      <w:overflowPunct w:val="0"/>
                      <w:autoSpaceDE w:val="0"/>
                      <w:autoSpaceDN w:val="0"/>
                      <w:adjustRightInd w:val="0"/>
                      <w:spacing w:line="400" w:lineRule="exact"/>
                      <w:jc w:val="center"/>
                      <w:rPr>
                        <w:rFonts w:ascii="宋体" w:hAnsi="宋体" w:cs="Arial"/>
                        <w:sz w:val="24"/>
                        <w:szCs w:val="28"/>
                      </w:rPr>
                    </w:pPr>
                    <w:r>
                      <w:rPr>
                        <w:rFonts w:ascii="宋体" w:hAnsi="宋体" w:cs="Calibri" w:hint="eastAsia"/>
                        <w:b/>
                        <w:bCs/>
                      </w:rPr>
                      <w:t>（万吨/年）</w:t>
                    </w:r>
                  </w:p>
                </w:tc>
                <w:tc>
                  <w:tcPr>
                    <w:tcW w:w="2773" w:type="dxa"/>
                    <w:tcBorders>
                      <w:top w:val="single" w:sz="4" w:space="0" w:color="000000"/>
                      <w:left w:val="single" w:sz="4" w:space="0" w:color="000000"/>
                      <w:bottom w:val="single" w:sz="4" w:space="0" w:color="000000"/>
                      <w:right w:val="single" w:sz="4" w:space="0" w:color="000000"/>
                    </w:tcBorders>
                    <w:vAlign w:val="center"/>
                  </w:tcPr>
                  <w:p>
                    <w:pPr>
                      <w:kinsoku w:val="0"/>
                      <w:overflowPunct w:val="0"/>
                      <w:autoSpaceDE w:val="0"/>
                      <w:autoSpaceDN w:val="0"/>
                      <w:adjustRightInd w:val="0"/>
                      <w:spacing w:line="400" w:lineRule="exact"/>
                      <w:jc w:val="center"/>
                      <w:rPr>
                        <w:rFonts w:ascii="宋体" w:hAnsi="宋体"/>
                        <w:b/>
                        <w:bCs/>
                      </w:rPr>
                    </w:pPr>
                    <w:r>
                      <w:rPr>
                        <w:rFonts w:ascii="宋体" w:hAnsi="宋体" w:cs="Calibri" w:hint="eastAsia"/>
                        <w:b/>
                        <w:bCs/>
                      </w:rPr>
                      <w:t>截至报告期末</w:t>
                    </w:r>
                  </w:p>
                  <w:p>
                    <w:pPr>
                      <w:kinsoku w:val="0"/>
                      <w:overflowPunct w:val="0"/>
                      <w:autoSpaceDE w:val="0"/>
                      <w:autoSpaceDN w:val="0"/>
                      <w:adjustRightInd w:val="0"/>
                      <w:spacing w:line="400" w:lineRule="exact"/>
                      <w:jc w:val="center"/>
                      <w:rPr>
                        <w:rFonts w:ascii="宋体" w:hAnsi="宋体" w:cs="Arial"/>
                        <w:sz w:val="24"/>
                        <w:szCs w:val="28"/>
                      </w:rPr>
                    </w:pPr>
                    <w:r>
                      <w:rPr>
                        <w:rFonts w:ascii="宋体" w:hAnsi="宋体" w:cs="Calibri" w:hint="eastAsia"/>
                        <w:b/>
                        <w:bCs/>
                      </w:rPr>
                      <w:t>投资额（亿元）</w:t>
                    </w:r>
                  </w:p>
                </w:tc>
                <w:tc>
                  <w:tcPr>
                    <w:tcW w:w="2773" w:type="dxa"/>
                    <w:tcBorders>
                      <w:top w:val="single" w:sz="4" w:space="0" w:color="000000"/>
                      <w:left w:val="single" w:sz="4" w:space="0" w:color="000000"/>
                      <w:bottom w:val="single" w:sz="4" w:space="0" w:color="000000"/>
                      <w:right w:val="single" w:sz="2" w:space="0" w:color="000000"/>
                    </w:tcBorders>
                    <w:vAlign w:val="center"/>
                  </w:tcPr>
                  <w:p>
                    <w:pPr>
                      <w:kinsoku w:val="0"/>
                      <w:overflowPunct w:val="0"/>
                      <w:autoSpaceDE w:val="0"/>
                      <w:autoSpaceDN w:val="0"/>
                      <w:adjustRightInd w:val="0"/>
                      <w:spacing w:line="400" w:lineRule="exact"/>
                      <w:jc w:val="center"/>
                      <w:rPr>
                        <w:rFonts w:ascii="宋体" w:hAnsi="宋体" w:cs="Arial"/>
                        <w:sz w:val="24"/>
                        <w:szCs w:val="28"/>
                      </w:rPr>
                    </w:pPr>
                    <w:r>
                      <w:rPr>
                        <w:rFonts w:ascii="宋体" w:hAnsi="宋体" w:cs="Calibri" w:hint="eastAsia"/>
                        <w:b/>
                        <w:bCs/>
                      </w:rPr>
                      <w:t>建设进度</w:t>
                    </w:r>
                  </w:p>
                </w:tc>
              </w:tr>
              <w:tr>
                <w:trPr>
                  <w:trHeight w:val="541"/>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spacing w:line="300" w:lineRule="exact"/>
                      <w:jc w:val="center"/>
                      <w:rPr>
                        <w:rFonts w:ascii="宋体" w:hAnsi="宋体"/>
                      </w:rPr>
                    </w:pPr>
                    <w:r>
                      <w:rPr>
                        <w:rFonts w:ascii="宋体" w:hAnsi="宋体" w:hint="eastAsia"/>
                      </w:rPr>
                      <w:t>1</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300" w:lineRule="exact"/>
                      <w:jc w:val="center"/>
                      <w:rPr>
                        <w:rFonts w:ascii="宋体" w:hAnsi="宋体"/>
                      </w:rPr>
                    </w:pPr>
                    <w:r>
                      <w:rPr>
                        <w:rFonts w:ascii="宋体" w:hAnsi="宋体" w:hint="eastAsia"/>
                      </w:rPr>
                      <w:t>万福煤矿</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300" w:lineRule="exact"/>
                      <w:jc w:val="right"/>
                      <w:rPr>
                        <w:rFonts w:ascii="宋体" w:hAnsi="宋体"/>
                      </w:rPr>
                    </w:pPr>
                    <w:r>
                      <w:rPr>
                        <w:rFonts w:ascii="宋体" w:hAnsi="宋体" w:hint="eastAsia"/>
                      </w:rPr>
                      <w:t>180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300" w:lineRule="exact"/>
                      <w:jc w:val="right"/>
                      <w:rPr>
                        <w:rFonts w:ascii="宋体" w:hAnsi="宋体"/>
                      </w:rPr>
                    </w:pPr>
                    <w:r>
                      <w:rPr>
                        <w:rFonts w:ascii="宋体" w:hAnsi="宋体"/>
                      </w:rPr>
                      <w:t xml:space="preserve">72.58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300" w:lineRule="exact"/>
                      <w:rPr>
                        <w:rFonts w:ascii="宋体" w:hAnsi="宋体"/>
                      </w:rPr>
                    </w:pPr>
                    <w:r>
                      <w:rPr>
                        <w:rFonts w:ascii="宋体" w:hAnsi="宋体" w:hint="eastAsia"/>
                      </w:rPr>
                      <w:t>已竣工验收，取得安全生产许可证</w:t>
                    </w:r>
                  </w:p>
                </w:tc>
              </w:tr>
              <w:tr>
                <w:trPr>
                  <w:jc w:val="center"/>
                </w:trPr>
                <w:tc>
                  <w:tcPr>
                    <w:tcW w:w="1081" w:type="dxa"/>
                    <w:tcBorders>
                      <w:top w:val="single" w:sz="4" w:space="0" w:color="000000"/>
                      <w:left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2</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五彩湾四号煤矿一期项目</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hint="eastAsia"/>
                      </w:rPr>
                      <w:t>1,000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39.42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hint="eastAsia"/>
                      </w:rPr>
                      <w:t>已开始联合试运转</w:t>
                    </w:r>
                  </w:p>
                </w:tc>
              </w:tr>
              <w:tr>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3</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刘三圪旦煤矿</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1,000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25.40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hint="eastAsia"/>
                      </w:rPr>
                      <w:t>已取得采矿许可证</w:t>
                    </w:r>
                  </w:p>
                </w:tc>
              </w:tr>
              <w:tr>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4</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400" w:lineRule="exact"/>
                      <w:ind w:left="108" w:right="56"/>
                      <w:jc w:val="center"/>
                      <w:rPr>
                        <w:rFonts w:ascii="宋体" w:hAnsi="宋体"/>
                      </w:rPr>
                    </w:pPr>
                    <w:r>
                      <w:rPr>
                        <w:rFonts w:ascii="宋体" w:hAnsi="宋体" w:hint="eastAsia"/>
                      </w:rPr>
                      <w:t>霍林河一号煤矿</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hint="eastAsia"/>
                      </w:rPr>
                      <w:t>7</w:t>
                    </w:r>
                    <w:r>
                      <w:rPr>
                        <w:rFonts w:ascii="宋体" w:hAnsi="宋体"/>
                      </w:rPr>
                      <w:t>00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37.52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hint="eastAsia"/>
                      </w:rPr>
                      <w:t>已取得采矿许可证</w:t>
                    </w:r>
                  </w:p>
                </w:tc>
              </w:tr>
              <w:tr>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5</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400" w:lineRule="exact"/>
                      <w:ind w:left="108" w:right="56"/>
                      <w:jc w:val="center"/>
                      <w:rPr>
                        <w:rFonts w:ascii="宋体" w:hAnsi="宋体"/>
                      </w:rPr>
                    </w:pPr>
                    <w:r>
                      <w:rPr>
                        <w:rFonts w:ascii="宋体" w:hAnsi="宋体" w:hint="eastAsia"/>
                      </w:rPr>
                      <w:t>嘎鲁图煤矿</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hint="eastAsia"/>
                      </w:rPr>
                      <w:t>8</w:t>
                    </w:r>
                    <w:r>
                      <w:rPr>
                        <w:rFonts w:ascii="宋体" w:hAnsi="宋体"/>
                      </w:rPr>
                      <w:t>00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9.86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hint="eastAsia"/>
                      </w:rPr>
                      <w:t>已获取地质报告批复</w:t>
                    </w:r>
                  </w:p>
                </w:tc>
              </w:tr>
              <w:tr>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6</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400" w:lineRule="exact"/>
                      <w:ind w:left="108" w:right="56"/>
                      <w:jc w:val="center"/>
                      <w:rPr>
                        <w:rFonts w:ascii="宋体" w:hAnsi="宋体"/>
                      </w:rPr>
                    </w:pPr>
                    <w:r>
                      <w:rPr>
                        <w:rFonts w:ascii="宋体" w:hAnsi="宋体" w:hint="eastAsia"/>
                      </w:rPr>
                      <w:t>油房壕煤矿</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hint="eastAsia"/>
                      </w:rPr>
                      <w:t>5</w:t>
                    </w:r>
                    <w:r>
                      <w:rPr>
                        <w:rFonts w:ascii="宋体" w:hAnsi="宋体"/>
                      </w:rPr>
                      <w:t>00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26.19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hint="eastAsia"/>
                      </w:rPr>
                      <w:t>已开工建设</w:t>
                    </w:r>
                  </w:p>
                </w:tc>
              </w:tr>
              <w:tr>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7</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400" w:lineRule="exact"/>
                      <w:ind w:left="108" w:right="56"/>
                      <w:jc w:val="center"/>
                      <w:rPr>
                        <w:rFonts w:ascii="宋体" w:hAnsi="宋体"/>
                      </w:rPr>
                    </w:pPr>
                    <w:r>
                      <w:rPr>
                        <w:rFonts w:ascii="宋体" w:hAnsi="宋体" w:hint="eastAsia"/>
                      </w:rPr>
                      <w:t>杨家坪煤矿</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hint="eastAsia"/>
                      </w:rPr>
                      <w:t>5</w:t>
                    </w:r>
                    <w:r>
                      <w:rPr>
                        <w:rFonts w:ascii="宋体" w:hAnsi="宋体"/>
                      </w:rPr>
                      <w:t>00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25.87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rPr>
                      <w:t>已开工建设</w:t>
                    </w:r>
                  </w:p>
                </w:tc>
              </w:tr>
              <w:tr>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8</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400" w:lineRule="exact"/>
                      <w:ind w:left="108" w:right="56"/>
                      <w:jc w:val="center"/>
                      <w:rPr>
                        <w:rFonts w:ascii="宋体" w:hAnsi="宋体"/>
                      </w:rPr>
                    </w:pPr>
                    <w:r>
                      <w:rPr>
                        <w:rFonts w:ascii="宋体" w:hAnsi="宋体" w:hint="eastAsia"/>
                      </w:rPr>
                      <w:t>毛家川煤矿</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hint="eastAsia"/>
                      </w:rPr>
                      <w:t>7</w:t>
                    </w:r>
                    <w:r>
                      <w:rPr>
                        <w:rFonts w:ascii="宋体" w:hAnsi="宋体"/>
                      </w:rPr>
                      <w:t>00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2.11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hint="eastAsia"/>
                      </w:rPr>
                      <w:t>已取得采矿许可证</w:t>
                    </w:r>
                  </w:p>
                </w:tc>
              </w:tr>
              <w:tr>
                <w:trPr>
                  <w:jc w:val="center"/>
                </w:trPr>
                <w:tc>
                  <w:tcPr>
                    <w:tcW w:w="1081"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9</w:t>
                    </w:r>
                  </w:p>
                </w:tc>
                <w:tc>
                  <w:tcPr>
                    <w:tcW w:w="3309" w:type="dxa"/>
                    <w:tcBorders>
                      <w:top w:val="single" w:sz="4" w:space="0" w:color="000000"/>
                      <w:left w:val="single" w:sz="4" w:space="0" w:color="000000"/>
                      <w:bottom w:val="single" w:sz="4" w:space="0" w:color="000000"/>
                      <w:right w:val="single" w:sz="4" w:space="0" w:color="000000"/>
                    </w:tcBorders>
                    <w:vAlign w:val="center"/>
                  </w:tcPr>
                  <w:p>
                    <w:pPr>
                      <w:spacing w:line="400" w:lineRule="exact"/>
                      <w:ind w:left="108" w:right="56"/>
                      <w:jc w:val="center"/>
                      <w:rPr>
                        <w:rFonts w:ascii="宋体" w:hAnsi="宋体"/>
                      </w:rPr>
                    </w:pPr>
                    <w:r>
                      <w:rPr>
                        <w:rFonts w:ascii="宋体" w:hAnsi="宋体" w:hint="eastAsia"/>
                      </w:rPr>
                      <w:t>马福川煤矿</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hint="eastAsia"/>
                      </w:rPr>
                      <w:t>8</w:t>
                    </w:r>
                    <w:r>
                      <w:rPr>
                        <w:rFonts w:ascii="宋体" w:hAnsi="宋体"/>
                      </w:rPr>
                      <w:t>00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11.18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hint="eastAsia"/>
                      </w:rPr>
                      <w:t>已取得采矿许可证</w:t>
                    </w:r>
                  </w:p>
                </w:tc>
              </w:tr>
              <w:tr>
                <w:trPr>
                  <w:jc w:val="center"/>
                </w:trPr>
                <w:tc>
                  <w:tcPr>
                    <w:tcW w:w="4390" w:type="dxa"/>
                    <w:gridSpan w:val="2"/>
                    <w:tcBorders>
                      <w:top w:val="single" w:sz="4" w:space="0" w:color="000000"/>
                      <w:left w:val="single" w:sz="4" w:space="0" w:color="000000"/>
                      <w:bottom w:val="single" w:sz="4" w:space="0" w:color="000000"/>
                      <w:right w:val="single" w:sz="4" w:space="0" w:color="000000"/>
                    </w:tcBorders>
                    <w:vAlign w:val="center"/>
                  </w:tcPr>
                  <w:p>
                    <w:pPr>
                      <w:spacing w:line="400" w:lineRule="exact"/>
                      <w:jc w:val="center"/>
                      <w:rPr>
                        <w:rFonts w:ascii="宋体" w:hAnsi="宋体"/>
                      </w:rPr>
                    </w:pPr>
                    <w:r>
                      <w:rPr>
                        <w:rFonts w:ascii="宋体" w:hAnsi="宋体" w:hint="eastAsia"/>
                      </w:rPr>
                      <w:t>合计</w:t>
                    </w:r>
                  </w:p>
                </w:tc>
                <w:tc>
                  <w:tcPr>
                    <w:tcW w:w="2236"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6,180</w:t>
                    </w:r>
                  </w:p>
                </w:tc>
                <w:tc>
                  <w:tcPr>
                    <w:tcW w:w="2773" w:type="dxa"/>
                    <w:tcBorders>
                      <w:top w:val="single" w:sz="4" w:space="0" w:color="000000"/>
                      <w:left w:val="single" w:sz="4" w:space="0" w:color="000000"/>
                      <w:bottom w:val="single" w:sz="4" w:space="0" w:color="000000"/>
                      <w:right w:val="single" w:sz="4" w:space="0" w:color="000000"/>
                    </w:tcBorders>
                    <w:vAlign w:val="center"/>
                  </w:tcPr>
                  <w:p>
                    <w:pPr>
                      <w:spacing w:line="400" w:lineRule="exact"/>
                      <w:jc w:val="right"/>
                      <w:rPr>
                        <w:rFonts w:ascii="宋体" w:hAnsi="宋体"/>
                      </w:rPr>
                    </w:pPr>
                    <w:r>
                      <w:rPr>
                        <w:rFonts w:ascii="宋体" w:hAnsi="宋体"/>
                      </w:rPr>
                      <w:t xml:space="preserve">250.13 </w:t>
                    </w:r>
                  </w:p>
                </w:tc>
                <w:tc>
                  <w:tcPr>
                    <w:tcW w:w="2773" w:type="dxa"/>
                    <w:tcBorders>
                      <w:top w:val="single" w:sz="4" w:space="0" w:color="000000"/>
                      <w:left w:val="single" w:sz="4" w:space="0" w:color="000000"/>
                      <w:bottom w:val="single" w:sz="4" w:space="0" w:color="000000"/>
                      <w:right w:val="single" w:sz="2" w:space="0" w:color="000000"/>
                    </w:tcBorders>
                    <w:vAlign w:val="center"/>
                  </w:tcPr>
                  <w:p>
                    <w:pPr>
                      <w:spacing w:line="400" w:lineRule="exact"/>
                      <w:rPr>
                        <w:rFonts w:ascii="宋体" w:hAnsi="宋体"/>
                      </w:rPr>
                    </w:pPr>
                    <w:r>
                      <w:rPr>
                        <w:rFonts w:ascii="宋体" w:hAnsi="宋体" w:hint="eastAsia"/>
                      </w:rPr>
                      <w:t>-</w:t>
                    </w:r>
                  </w:p>
                </w:tc>
              </w:tr>
              <w:bookmarkEnd w:id="109"/>
            </w:tbl>
            <w:p>
              <w:pPr>
                <w:rPr>
                  <w:rFonts w:ascii="宋体" w:hAnsi="宋体" w:cs="宋体"/>
                </w:rPr>
              </w:pPr>
            </w:p>
            <w:p>
              <w:pPr>
                <w:rPr>
                  <w:rFonts w:ascii="宋体" w:hAnsi="宋体" w:cs="宋体"/>
                </w:rPr>
                <w:sectPr>
                  <w:pgSz w:w="16838" w:h="11906" w:orient="landscape"/>
                  <w:pgMar w:top="1797" w:right="1525" w:bottom="1276" w:left="1440" w:header="855" w:footer="992" w:gutter="0"/>
                  <w:cols w:space="425"/>
                  <w:docGrid w:linePitch="312"/>
                </w:sectPr>
              </w:pPr>
            </w:p>
          </w:sdtContent>
        </w:sdt>
      </w:sdtContent>
    </w:sdt>
    <w:p>
      <w:pPr>
        <w:keepNext/>
        <w:keepLines/>
        <w:widowControl w:val="0"/>
        <w:numPr>
          <w:ilvl w:val="0"/>
          <w:numId w:val="15"/>
        </w:numPr>
        <w:spacing w:before="60" w:after="60"/>
        <w:ind w:left="369" w:hangingChars="175" w:hanging="369"/>
        <w:jc w:val="both"/>
        <w:outlineLvl w:val="2"/>
        <w:rPr>
          <w:rFonts w:ascii="宋体" w:hAnsi="宋体"/>
          <w:b/>
          <w:bCs/>
          <w:kern w:val="2"/>
        </w:rPr>
      </w:pPr>
      <w:bookmarkStart w:id="110" w:name="_Hlk41835872"/>
      <w:bookmarkStart w:id="111" w:name="_Hlk41836274"/>
      <w:bookmarkStart w:id="112" w:name="_Hlk41835841"/>
      <w:bookmarkStart w:id="113" w:name="_Hlk533434947"/>
      <w:bookmarkStart w:id="114" w:name="_Hlk533435130"/>
      <w:bookmarkStart w:id="115" w:name="_Hlk533435360"/>
      <w:bookmarkStart w:id="116" w:name="_Hlk533435176"/>
      <w:bookmarkStart w:id="117" w:name="_Hlk533667031"/>
      <w:bookmarkStart w:id="118" w:name="_Hlk533436182"/>
      <w:bookmarkStart w:id="119" w:name="_Hlk533435074"/>
      <w:bookmarkStart w:id="120" w:name="_Hlk533666837"/>
      <w:bookmarkStart w:id="121" w:name="_Hlk533435467"/>
      <w:bookmarkStart w:id="122" w:name="_Hlk533666971"/>
      <w:bookmarkStart w:id="123" w:name="_Hlk533435027"/>
      <w:bookmarkStart w:id="124" w:name="_Hlk533433706"/>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Fonts w:ascii="宋体" w:hAnsi="宋体" w:hint="eastAsia"/>
          <w:b/>
          <w:bCs/>
          <w:kern w:val="2"/>
        </w:rPr>
        <w:lastRenderedPageBreak/>
        <w:t>投资状况分析</w:t>
      </w:r>
    </w:p>
    <w:p>
      <w:pPr>
        <w:rPr>
          <w:b/>
          <w:bCs/>
        </w:rPr>
      </w:pPr>
      <w:r>
        <w:rPr>
          <w:b/>
          <w:bCs/>
        </w:rPr>
        <w:t>对外股权投资总体分析</w:t>
      </w:r>
    </w:p>
    <w:sdt>
      <w:sdtPr>
        <w:alias w:val="是否适用：对外股权投资总体分析[双击切换]"/>
        <w:tag w:val="_GBC_cfb706fadf2c47bbbaf1bf90c054ccaf"/>
        <w:id w:val="1707611010"/>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asciiTheme="minorEastAsia" w:eastAsiaTheme="minorEastAsia" w:hAnsiTheme="minorEastAsia"/>
        </w:rPr>
      </w:pPr>
    </w:p>
    <w:p>
      <w:pPr>
        <w:pStyle w:val="4"/>
        <w:numPr>
          <w:ilvl w:val="0"/>
          <w:numId w:val="22"/>
        </w:numPr>
      </w:pPr>
      <w:r>
        <w:rPr>
          <w:rFonts w:hint="eastAsia"/>
        </w:rPr>
        <w:t>重大的股权投资</w:t>
      </w:r>
    </w:p>
    <w:sdt>
      <w:sdtPr>
        <w:rPr>
          <w:rFonts w:hint="eastAsia"/>
        </w:rPr>
        <w:alias w:val="是否适用：重大的股权投资[双击切换]"/>
        <w:tag w:val="_GBC_b20506918d854c13b13a3b89dd84c7d3"/>
        <w:id w:val="-113918695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重大的股权投资"/>
          <w:tag w:val="_GBC_96e7f45f18474abea1a9b2ab31b6520a"/>
          <w:id w:val="-18564082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亿元</w:t>
          </w:r>
        </w:sdtContent>
      </w:sdt>
      <w:r>
        <w:rPr>
          <w:rFonts w:hint="eastAsia"/>
        </w:rPr>
        <w:t xml:space="preserve">  </w:t>
      </w:r>
      <w:r>
        <w:rPr>
          <w:rFonts w:hint="eastAsia"/>
        </w:rPr>
        <w:t>币种：</w:t>
      </w:r>
      <w:sdt>
        <w:sdtPr>
          <w:rPr>
            <w:rFonts w:hint="eastAsia"/>
          </w:rPr>
          <w:alias w:val="币种：重大的股权投资"/>
          <w:tag w:val="_GBC_efad39b1478445f8b40617b65fb1fcbb"/>
          <w:id w:val="12983384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63"/>
        <w:tblW w:w="1587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83"/>
        <w:gridCol w:w="653"/>
        <w:gridCol w:w="1081"/>
        <w:gridCol w:w="862"/>
        <w:gridCol w:w="863"/>
        <w:gridCol w:w="636"/>
        <w:gridCol w:w="894"/>
        <w:gridCol w:w="891"/>
        <w:gridCol w:w="750"/>
        <w:gridCol w:w="1006"/>
        <w:gridCol w:w="874"/>
        <w:gridCol w:w="878"/>
        <w:gridCol w:w="874"/>
        <w:gridCol w:w="636"/>
        <w:gridCol w:w="825"/>
        <w:gridCol w:w="2136"/>
      </w:tblGrid>
      <w:tr>
        <w:trPr>
          <w:jc w:val="center"/>
        </w:trPr>
        <w:sdt>
          <w:sdtPr>
            <w:rPr>
              <w:rFonts w:ascii="宋体" w:hAnsi="宋体"/>
            </w:rPr>
            <w:tag w:val="_PLD_a054c5f1bc29497c87630c6d6acb2840"/>
            <w:id w:val="-455864758"/>
          </w:sdtPr>
          <w:sdtContent>
            <w:tc>
              <w:tcPr>
                <w:tcW w:w="1129" w:type="dxa"/>
                <w:vAlign w:val="center"/>
              </w:tcPr>
              <w:p>
                <w:pPr>
                  <w:widowControl w:val="0"/>
                  <w:jc w:val="both"/>
                  <w:rPr>
                    <w:rFonts w:ascii="宋体" w:hAnsi="宋体"/>
                    <w:color w:val="000000"/>
                  </w:rPr>
                </w:pPr>
                <w:r>
                  <w:rPr>
                    <w:rFonts w:ascii="宋体" w:hAnsi="宋体" w:hint="eastAsia"/>
                    <w:color w:val="000000"/>
                  </w:rPr>
                  <w:t>被投资公司名称</w:t>
                </w:r>
              </w:p>
            </w:tc>
          </w:sdtContent>
        </w:sdt>
        <w:sdt>
          <w:sdtPr>
            <w:rPr>
              <w:rFonts w:ascii="宋体" w:hAnsi="宋体"/>
            </w:rPr>
            <w:tag w:val="_PLD_a1e004bb2c8a4b9da518f48f348e9afa"/>
            <w:id w:val="1987427191"/>
          </w:sdtPr>
          <w:sdtContent>
            <w:tc>
              <w:tcPr>
                <w:tcW w:w="883" w:type="dxa"/>
                <w:vAlign w:val="center"/>
              </w:tcPr>
              <w:p>
                <w:pPr>
                  <w:widowControl w:val="0"/>
                  <w:jc w:val="both"/>
                  <w:rPr>
                    <w:rFonts w:ascii="宋体" w:hAnsi="宋体"/>
                    <w:color w:val="000000"/>
                  </w:rPr>
                </w:pPr>
                <w:r>
                  <w:rPr>
                    <w:rFonts w:ascii="宋体" w:hAnsi="宋体" w:hint="eastAsia"/>
                    <w:color w:val="000000"/>
                  </w:rPr>
                  <w:t>主要业务</w:t>
                </w:r>
              </w:p>
            </w:tc>
          </w:sdtContent>
        </w:sdt>
        <w:sdt>
          <w:sdtPr>
            <w:rPr>
              <w:rFonts w:ascii="宋体" w:hAnsi="宋体"/>
            </w:rPr>
            <w:tag w:val="_PLD_e2649e50d0794f7d8b120fed5ec2ae5d"/>
            <w:id w:val="388004883"/>
          </w:sdtPr>
          <w:sdtContent>
            <w:tc>
              <w:tcPr>
                <w:tcW w:w="653" w:type="dxa"/>
                <w:vAlign w:val="center"/>
              </w:tcPr>
              <w:p>
                <w:pPr>
                  <w:widowControl w:val="0"/>
                  <w:jc w:val="both"/>
                  <w:rPr>
                    <w:rFonts w:ascii="宋体" w:hAnsi="宋体"/>
                    <w:color w:val="000000"/>
                  </w:rPr>
                </w:pPr>
                <w:r>
                  <w:rPr>
                    <w:rFonts w:ascii="宋体" w:hAnsi="宋体" w:hint="eastAsia"/>
                    <w:color w:val="000000"/>
                  </w:rPr>
                  <w:t>标的是否主营投资业务</w:t>
                </w:r>
              </w:p>
            </w:tc>
          </w:sdtContent>
        </w:sdt>
        <w:sdt>
          <w:sdtPr>
            <w:rPr>
              <w:rFonts w:ascii="宋体" w:hAnsi="宋体"/>
            </w:rPr>
            <w:tag w:val="_PLD_b162f442b33748cfa8a4d0fa9f92d359"/>
            <w:id w:val="1099069877"/>
          </w:sdtPr>
          <w:sdtContent>
            <w:tc>
              <w:tcPr>
                <w:tcW w:w="1081" w:type="dxa"/>
                <w:vAlign w:val="center"/>
              </w:tcPr>
              <w:p>
                <w:pPr>
                  <w:widowControl w:val="0"/>
                  <w:jc w:val="both"/>
                  <w:rPr>
                    <w:rFonts w:ascii="宋体" w:hAnsi="宋体"/>
                    <w:color w:val="000000"/>
                  </w:rPr>
                </w:pPr>
                <w:r>
                  <w:rPr>
                    <w:rFonts w:ascii="宋体" w:hAnsi="宋体" w:hint="eastAsia"/>
                    <w:color w:val="000000"/>
                  </w:rPr>
                  <w:t>投资方式</w:t>
                </w:r>
              </w:p>
            </w:tc>
          </w:sdtContent>
        </w:sdt>
        <w:sdt>
          <w:sdtPr>
            <w:rPr>
              <w:rFonts w:ascii="宋体" w:hAnsi="宋体"/>
            </w:rPr>
            <w:tag w:val="_PLD_aea0412aac6d49dfaf7f78ef2ede7e2f"/>
            <w:id w:val="1988356311"/>
          </w:sdtPr>
          <w:sdtContent>
            <w:tc>
              <w:tcPr>
                <w:tcW w:w="862" w:type="dxa"/>
                <w:vAlign w:val="center"/>
              </w:tcPr>
              <w:p>
                <w:pPr>
                  <w:widowControl w:val="0"/>
                  <w:jc w:val="both"/>
                  <w:rPr>
                    <w:rFonts w:ascii="宋体" w:hAnsi="宋体"/>
                    <w:color w:val="000000"/>
                  </w:rPr>
                </w:pPr>
                <w:r>
                  <w:rPr>
                    <w:rFonts w:ascii="宋体" w:hAnsi="宋体" w:hint="eastAsia"/>
                    <w:color w:val="000000"/>
                  </w:rPr>
                  <w:t>投资金额</w:t>
                </w:r>
              </w:p>
            </w:tc>
          </w:sdtContent>
        </w:sdt>
        <w:sdt>
          <w:sdtPr>
            <w:rPr>
              <w:rFonts w:ascii="宋体" w:hAnsi="宋体"/>
            </w:rPr>
            <w:tag w:val="_PLD_3c6bb9a0405b4c6eae97b9ffd3020891"/>
            <w:id w:val="-143579284"/>
          </w:sdtPr>
          <w:sdtContent>
            <w:tc>
              <w:tcPr>
                <w:tcW w:w="863" w:type="dxa"/>
                <w:vAlign w:val="center"/>
              </w:tcPr>
              <w:p>
                <w:pPr>
                  <w:widowControl w:val="0"/>
                  <w:jc w:val="both"/>
                  <w:rPr>
                    <w:rFonts w:ascii="宋体" w:hAnsi="宋体"/>
                    <w:color w:val="000000"/>
                  </w:rPr>
                </w:pPr>
                <w:r>
                  <w:rPr>
                    <w:rFonts w:ascii="宋体" w:hAnsi="宋体" w:hint="eastAsia"/>
                    <w:color w:val="000000"/>
                  </w:rPr>
                  <w:t>持股比例</w:t>
                </w:r>
              </w:p>
            </w:tc>
          </w:sdtContent>
        </w:sdt>
        <w:sdt>
          <w:sdtPr>
            <w:rPr>
              <w:rFonts w:ascii="宋体" w:hAnsi="宋体"/>
            </w:rPr>
            <w:tag w:val="_PLD_f99930313def4e9eb5d7063d288dd0c2"/>
            <w:id w:val="-1295451400"/>
          </w:sdtPr>
          <w:sdtContent>
            <w:tc>
              <w:tcPr>
                <w:tcW w:w="636" w:type="dxa"/>
                <w:vAlign w:val="center"/>
              </w:tcPr>
              <w:p>
                <w:pPr>
                  <w:widowControl w:val="0"/>
                  <w:jc w:val="both"/>
                  <w:rPr>
                    <w:rFonts w:ascii="宋体" w:hAnsi="宋体"/>
                    <w:color w:val="000000"/>
                  </w:rPr>
                </w:pPr>
                <w:r>
                  <w:rPr>
                    <w:rFonts w:ascii="宋体" w:hAnsi="宋体" w:hint="eastAsia"/>
                    <w:color w:val="000000"/>
                  </w:rPr>
                  <w:t>是否并表</w:t>
                </w:r>
              </w:p>
            </w:tc>
          </w:sdtContent>
        </w:sdt>
        <w:sdt>
          <w:sdtPr>
            <w:rPr>
              <w:rFonts w:ascii="宋体" w:hAnsi="宋体"/>
            </w:rPr>
            <w:tag w:val="_PLD_26581a77f14f4792b755d4f0e5ab3464"/>
            <w:id w:val="2039001814"/>
          </w:sdtPr>
          <w:sdtContent>
            <w:tc>
              <w:tcPr>
                <w:tcW w:w="894" w:type="dxa"/>
                <w:vAlign w:val="center"/>
              </w:tcPr>
              <w:p>
                <w:pPr>
                  <w:widowControl w:val="0"/>
                  <w:jc w:val="both"/>
                  <w:rPr>
                    <w:rFonts w:ascii="宋体" w:hAnsi="宋体"/>
                    <w:color w:val="000000"/>
                  </w:rPr>
                </w:pPr>
                <w:r>
                  <w:rPr>
                    <w:rFonts w:ascii="宋体" w:hAnsi="宋体" w:hint="eastAsia"/>
                    <w:color w:val="000000"/>
                  </w:rPr>
                  <w:t>报表科目（如适用）</w:t>
                </w:r>
              </w:p>
            </w:tc>
          </w:sdtContent>
        </w:sdt>
        <w:sdt>
          <w:sdtPr>
            <w:rPr>
              <w:rFonts w:ascii="宋体" w:hAnsi="宋体"/>
            </w:rPr>
            <w:tag w:val="_PLD_8ff767e612e04cdeb3c396fea6238aa2"/>
            <w:id w:val="325871888"/>
          </w:sdtPr>
          <w:sdtContent>
            <w:tc>
              <w:tcPr>
                <w:tcW w:w="891" w:type="dxa"/>
                <w:vAlign w:val="center"/>
              </w:tcPr>
              <w:p>
                <w:pPr>
                  <w:widowControl w:val="0"/>
                  <w:jc w:val="both"/>
                  <w:rPr>
                    <w:rFonts w:ascii="宋体" w:hAnsi="宋体"/>
                    <w:color w:val="000000"/>
                  </w:rPr>
                </w:pPr>
                <w:r>
                  <w:rPr>
                    <w:rFonts w:ascii="宋体" w:hAnsi="宋体" w:hint="eastAsia"/>
                    <w:color w:val="000000"/>
                  </w:rPr>
                  <w:t>资金来源</w:t>
                </w:r>
              </w:p>
            </w:tc>
          </w:sdtContent>
        </w:sdt>
        <w:sdt>
          <w:sdtPr>
            <w:rPr>
              <w:rFonts w:ascii="宋体" w:hAnsi="宋体"/>
            </w:rPr>
            <w:tag w:val="_PLD_54cf4717f9854bf29615fba206f2098a"/>
            <w:id w:val="-397203676"/>
          </w:sdtPr>
          <w:sdtContent>
            <w:tc>
              <w:tcPr>
                <w:tcW w:w="750" w:type="dxa"/>
                <w:vAlign w:val="center"/>
              </w:tcPr>
              <w:p>
                <w:pPr>
                  <w:widowControl w:val="0"/>
                  <w:jc w:val="both"/>
                  <w:rPr>
                    <w:rFonts w:ascii="宋体" w:hAnsi="宋体"/>
                    <w:color w:val="000000"/>
                  </w:rPr>
                </w:pPr>
                <w:r>
                  <w:rPr>
                    <w:rFonts w:ascii="宋体" w:hAnsi="宋体" w:hint="eastAsia"/>
                    <w:color w:val="000000"/>
                  </w:rPr>
                  <w:t>合作方（如适用）</w:t>
                </w:r>
              </w:p>
            </w:tc>
          </w:sdtContent>
        </w:sdt>
        <w:sdt>
          <w:sdtPr>
            <w:rPr>
              <w:rFonts w:ascii="宋体" w:hAnsi="宋体"/>
            </w:rPr>
            <w:tag w:val="_PLD_acd01c8a891045168e34dd91f863cdbd"/>
            <w:id w:val="-745107625"/>
          </w:sdtPr>
          <w:sdtContent>
            <w:tc>
              <w:tcPr>
                <w:tcW w:w="1006" w:type="dxa"/>
                <w:vAlign w:val="center"/>
              </w:tcPr>
              <w:p>
                <w:pPr>
                  <w:widowControl w:val="0"/>
                  <w:jc w:val="both"/>
                  <w:rPr>
                    <w:rFonts w:ascii="宋体" w:hAnsi="宋体"/>
                    <w:color w:val="000000"/>
                  </w:rPr>
                </w:pPr>
                <w:r>
                  <w:rPr>
                    <w:rFonts w:ascii="宋体" w:hAnsi="宋体" w:hint="eastAsia"/>
                    <w:color w:val="000000"/>
                  </w:rPr>
                  <w:t>投资期限（如有）</w:t>
                </w:r>
              </w:p>
            </w:tc>
          </w:sdtContent>
        </w:sdt>
        <w:sdt>
          <w:sdtPr>
            <w:rPr>
              <w:rFonts w:ascii="宋体" w:hAnsi="宋体"/>
            </w:rPr>
            <w:tag w:val="_PLD_6fd3a48800ca4880b60875025be161bb"/>
            <w:id w:val="1237912162"/>
          </w:sdtPr>
          <w:sdtContent>
            <w:tc>
              <w:tcPr>
                <w:tcW w:w="874" w:type="dxa"/>
                <w:vAlign w:val="center"/>
              </w:tcPr>
              <w:p>
                <w:pPr>
                  <w:widowControl w:val="0"/>
                  <w:jc w:val="both"/>
                  <w:rPr>
                    <w:rFonts w:ascii="宋体" w:hAnsi="宋体"/>
                    <w:color w:val="000000"/>
                  </w:rPr>
                </w:pPr>
                <w:r>
                  <w:rPr>
                    <w:rFonts w:ascii="宋体" w:hAnsi="宋体" w:hint="eastAsia"/>
                    <w:color w:val="000000"/>
                  </w:rPr>
                  <w:t>截至资产负债表日的进展情况</w:t>
                </w:r>
              </w:p>
            </w:tc>
          </w:sdtContent>
        </w:sdt>
        <w:sdt>
          <w:sdtPr>
            <w:rPr>
              <w:rFonts w:ascii="宋体" w:hAnsi="宋体"/>
            </w:rPr>
            <w:tag w:val="_PLD_42ad11dcb59c486b9c5849db8447600e"/>
            <w:id w:val="-1455784485"/>
          </w:sdtPr>
          <w:sdtContent>
            <w:tc>
              <w:tcPr>
                <w:tcW w:w="878" w:type="dxa"/>
                <w:vAlign w:val="center"/>
              </w:tcPr>
              <w:p>
                <w:pPr>
                  <w:widowControl w:val="0"/>
                  <w:jc w:val="both"/>
                  <w:rPr>
                    <w:rFonts w:ascii="宋体" w:hAnsi="宋体"/>
                    <w:color w:val="000000"/>
                  </w:rPr>
                </w:pPr>
                <w:r>
                  <w:rPr>
                    <w:rFonts w:ascii="宋体" w:hAnsi="宋体" w:hint="eastAsia"/>
                    <w:color w:val="000000"/>
                  </w:rPr>
                  <w:t>预计收益（如有）</w:t>
                </w:r>
              </w:p>
            </w:tc>
          </w:sdtContent>
        </w:sdt>
        <w:sdt>
          <w:sdtPr>
            <w:rPr>
              <w:rFonts w:ascii="宋体" w:hAnsi="宋体"/>
            </w:rPr>
            <w:tag w:val="_PLD_53e14d85db8e4927a8f87eba54a5ae80"/>
            <w:id w:val="-1762212858"/>
          </w:sdtPr>
          <w:sdtContent>
            <w:tc>
              <w:tcPr>
                <w:tcW w:w="874" w:type="dxa"/>
                <w:vAlign w:val="center"/>
              </w:tcPr>
              <w:p>
                <w:pPr>
                  <w:widowControl w:val="0"/>
                  <w:jc w:val="both"/>
                  <w:rPr>
                    <w:rFonts w:ascii="宋体" w:hAnsi="宋体"/>
                    <w:color w:val="000000"/>
                  </w:rPr>
                </w:pPr>
                <w:r>
                  <w:rPr>
                    <w:rFonts w:ascii="宋体" w:hAnsi="宋体" w:hint="eastAsia"/>
                    <w:color w:val="000000"/>
                  </w:rPr>
                  <w:t>本期损益影响</w:t>
                </w:r>
              </w:p>
            </w:tc>
          </w:sdtContent>
        </w:sdt>
        <w:sdt>
          <w:sdtPr>
            <w:rPr>
              <w:rFonts w:ascii="宋体" w:hAnsi="宋体"/>
            </w:rPr>
            <w:tag w:val="_PLD_3b4edae7be1a41e7947bb6e43869b553"/>
            <w:id w:val="-1939590532"/>
          </w:sdtPr>
          <w:sdtContent>
            <w:tc>
              <w:tcPr>
                <w:tcW w:w="636" w:type="dxa"/>
                <w:vAlign w:val="center"/>
              </w:tcPr>
              <w:p>
                <w:pPr>
                  <w:widowControl w:val="0"/>
                  <w:jc w:val="both"/>
                  <w:rPr>
                    <w:rFonts w:ascii="宋体" w:hAnsi="宋体"/>
                    <w:color w:val="000000"/>
                  </w:rPr>
                </w:pPr>
                <w:r>
                  <w:rPr>
                    <w:rFonts w:ascii="宋体" w:hAnsi="宋体" w:hint="eastAsia"/>
                    <w:color w:val="000000"/>
                  </w:rPr>
                  <w:t>是否涉诉</w:t>
                </w:r>
              </w:p>
            </w:tc>
          </w:sdtContent>
        </w:sdt>
        <w:sdt>
          <w:sdtPr>
            <w:rPr>
              <w:rFonts w:ascii="宋体" w:hAnsi="宋体"/>
            </w:rPr>
            <w:tag w:val="_PLD_957ccfee53564ed4a34b76afb3f1bc95"/>
            <w:id w:val="131832378"/>
          </w:sdtPr>
          <w:sdtContent>
            <w:tc>
              <w:tcPr>
                <w:tcW w:w="825" w:type="dxa"/>
                <w:vAlign w:val="center"/>
              </w:tcPr>
              <w:p>
                <w:pPr>
                  <w:widowControl w:val="0"/>
                  <w:jc w:val="both"/>
                  <w:rPr>
                    <w:rFonts w:ascii="宋体" w:hAnsi="宋体"/>
                    <w:color w:val="000000"/>
                  </w:rPr>
                </w:pPr>
                <w:r>
                  <w:rPr>
                    <w:rFonts w:ascii="宋体" w:hAnsi="宋体" w:hint="eastAsia"/>
                    <w:color w:val="000000"/>
                  </w:rPr>
                  <w:t>披露日期（如有）</w:t>
                </w:r>
              </w:p>
            </w:tc>
          </w:sdtContent>
        </w:sdt>
        <w:sdt>
          <w:sdtPr>
            <w:rPr>
              <w:rFonts w:ascii="宋体" w:hAnsi="宋体"/>
            </w:rPr>
            <w:tag w:val="_PLD_f77e215aed16430c8c1dfff4dcd8f405"/>
            <w:id w:val="52438422"/>
          </w:sdtPr>
          <w:sdtContent>
            <w:tc>
              <w:tcPr>
                <w:tcW w:w="2136" w:type="dxa"/>
                <w:vAlign w:val="center"/>
              </w:tcPr>
              <w:p>
                <w:pPr>
                  <w:widowControl w:val="0"/>
                  <w:jc w:val="both"/>
                  <w:rPr>
                    <w:rFonts w:ascii="宋体" w:hAnsi="宋体"/>
                    <w:color w:val="000000"/>
                  </w:rPr>
                </w:pPr>
                <w:r>
                  <w:rPr>
                    <w:rFonts w:ascii="宋体" w:hAnsi="宋体" w:hint="eastAsia"/>
                    <w:color w:val="000000"/>
                  </w:rPr>
                  <w:t>披露索引（如有）</w:t>
                </w:r>
              </w:p>
            </w:tc>
          </w:sdtContent>
        </w:sdt>
      </w:tr>
      <w:tr>
        <w:trPr>
          <w:jc w:val="center"/>
        </w:trPr>
        <w:tc>
          <w:tcPr>
            <w:tcW w:w="1129" w:type="dxa"/>
            <w:vAlign w:val="center"/>
          </w:tcPr>
          <w:p>
            <w:pPr>
              <w:widowControl w:val="0"/>
              <w:jc w:val="center"/>
              <w:rPr>
                <w:rFonts w:ascii="宋体" w:hAnsi="宋体"/>
              </w:rPr>
            </w:pPr>
            <w:r>
              <w:rPr>
                <w:rFonts w:ascii="宋体" w:hAnsi="宋体" w:hint="eastAsia"/>
              </w:rPr>
              <w:t>西北矿业</w:t>
            </w:r>
          </w:p>
        </w:tc>
        <w:tc>
          <w:tcPr>
            <w:tcW w:w="883" w:type="dxa"/>
            <w:vAlign w:val="center"/>
          </w:tcPr>
          <w:p>
            <w:pPr>
              <w:widowControl w:val="0"/>
              <w:jc w:val="center"/>
              <w:rPr>
                <w:rFonts w:ascii="宋体" w:hAnsi="宋体"/>
              </w:rPr>
            </w:pPr>
            <w:r>
              <w:rPr>
                <w:rFonts w:ascii="宋体" w:hAnsi="宋体" w:hint="eastAsia"/>
              </w:rPr>
              <w:t>煤炭开采、洗选、加工和销售等业务</w:t>
            </w:r>
          </w:p>
        </w:tc>
        <w:sdt>
          <w:sdtPr>
            <w:rPr>
              <w:rFonts w:ascii="宋体" w:hAnsi="宋体" w:hint="eastAsia"/>
            </w:rPr>
            <w:alias w:val="重大的股权投资_投资标的是否系投资性主体 "/>
            <w:tag w:val="_GBC_b31a8853385b4ac4b259ddbbb372cc87"/>
            <w:id w:val="1179843376"/>
            <w:comboBox>
              <w:listItem w:displayText="是" w:value="是"/>
              <w:listItem w:displayText="否" w:value="否"/>
            </w:comboBox>
          </w:sdtPr>
          <w:sdtContent>
            <w:tc>
              <w:tcPr>
                <w:tcW w:w="653" w:type="dxa"/>
                <w:vAlign w:val="center"/>
              </w:tcPr>
              <w:p>
                <w:pPr>
                  <w:widowControl w:val="0"/>
                  <w:jc w:val="center"/>
                  <w:rPr>
                    <w:rFonts w:ascii="宋体" w:hAnsi="宋体"/>
                  </w:rPr>
                </w:pPr>
                <w:r>
                  <w:rPr>
                    <w:rFonts w:ascii="宋体" w:hAnsi="宋体" w:hint="eastAsia"/>
                  </w:rPr>
                  <w:t>否</w:t>
                </w:r>
              </w:p>
            </w:tc>
          </w:sdtContent>
        </w:sdt>
        <w:sdt>
          <w:sdtPr>
            <w:rPr>
              <w:rFonts w:ascii="宋体" w:hAnsi="宋体" w:hint="eastAsia"/>
            </w:rPr>
            <w:alias w:val="重大的股权投资_投资方式"/>
            <w:tag w:val="_GBC_6e890ed9d85a47e7ab0d8e18ac0c305e"/>
            <w:id w:val="-540664000"/>
            <w:comboBox>
              <w:listItem w:displayText="新设" w:value="新设"/>
              <w:listItem w:displayText="增资" w:value="增资"/>
              <w:listItem w:displayText="收购" w:value="收购"/>
              <w:listItem w:displayText="其他" w:value="其他"/>
            </w:comboBox>
          </w:sdtPr>
          <w:sdtContent>
            <w:tc>
              <w:tcPr>
                <w:tcW w:w="1081" w:type="dxa"/>
                <w:vAlign w:val="center"/>
              </w:tcPr>
              <w:p>
                <w:pPr>
                  <w:widowControl w:val="0"/>
                  <w:jc w:val="center"/>
                  <w:rPr>
                    <w:rFonts w:ascii="宋体" w:hAnsi="宋体"/>
                  </w:rPr>
                </w:pPr>
                <w:r>
                  <w:rPr>
                    <w:rFonts w:ascii="宋体" w:hAnsi="宋体" w:hint="eastAsia"/>
                  </w:rPr>
                  <w:t>收购</w:t>
                </w:r>
              </w:p>
            </w:tc>
          </w:sdtContent>
        </w:sdt>
        <w:tc>
          <w:tcPr>
            <w:tcW w:w="862" w:type="dxa"/>
            <w:vAlign w:val="center"/>
          </w:tcPr>
          <w:p>
            <w:pPr>
              <w:widowControl w:val="0"/>
              <w:jc w:val="center"/>
              <w:rPr>
                <w:rFonts w:ascii="宋体" w:hAnsi="宋体"/>
              </w:rPr>
            </w:pPr>
            <w:r>
              <w:rPr>
                <w:rFonts w:ascii="宋体" w:hAnsi="宋体"/>
              </w:rPr>
              <w:t>140.66</w:t>
            </w:r>
          </w:p>
        </w:tc>
        <w:tc>
          <w:tcPr>
            <w:tcW w:w="863" w:type="dxa"/>
            <w:vAlign w:val="center"/>
          </w:tcPr>
          <w:p>
            <w:pPr>
              <w:widowControl w:val="0"/>
              <w:jc w:val="center"/>
              <w:rPr>
                <w:rFonts w:ascii="宋体" w:hAnsi="宋体"/>
              </w:rPr>
            </w:pPr>
            <w:r>
              <w:rPr>
                <w:rFonts w:ascii="宋体" w:hAnsi="宋体" w:hint="eastAsia"/>
              </w:rPr>
              <w:t>5</w:t>
            </w:r>
            <w:r>
              <w:rPr>
                <w:rFonts w:ascii="宋体" w:hAnsi="宋体"/>
              </w:rPr>
              <w:t>1%</w:t>
            </w:r>
          </w:p>
        </w:tc>
        <w:sdt>
          <w:sdtPr>
            <w:rPr>
              <w:rFonts w:ascii="宋体" w:hAnsi="宋体" w:hint="eastAsia"/>
            </w:rPr>
            <w:alias w:val="重大的股权投资_是否并表"/>
            <w:tag w:val="_GBC_ddf46321f17e46a58ce091bf18f78d93"/>
            <w:id w:val="449446279"/>
            <w:comboBox>
              <w:listItem w:displayText="是" w:value="是"/>
              <w:listItem w:displayText="否" w:value="否"/>
            </w:comboBox>
          </w:sdtPr>
          <w:sdtContent>
            <w:tc>
              <w:tcPr>
                <w:tcW w:w="636" w:type="dxa"/>
                <w:vAlign w:val="center"/>
              </w:tcPr>
              <w:p>
                <w:pPr>
                  <w:widowControl w:val="0"/>
                  <w:jc w:val="center"/>
                  <w:rPr>
                    <w:rFonts w:ascii="宋体" w:hAnsi="宋体"/>
                  </w:rPr>
                </w:pPr>
                <w:r>
                  <w:rPr>
                    <w:rFonts w:ascii="宋体" w:hAnsi="宋体" w:hint="eastAsia"/>
                  </w:rPr>
                  <w:t>是</w:t>
                </w:r>
              </w:p>
            </w:tc>
          </w:sdtContent>
        </w:sdt>
        <w:tc>
          <w:tcPr>
            <w:tcW w:w="894" w:type="dxa"/>
            <w:vAlign w:val="center"/>
          </w:tcPr>
          <w:p>
            <w:pPr>
              <w:widowControl w:val="0"/>
              <w:jc w:val="center"/>
              <w:rPr>
                <w:rFonts w:ascii="宋体" w:hAnsi="宋体"/>
              </w:rPr>
            </w:pPr>
            <w:r>
              <w:rPr>
                <w:rFonts w:ascii="宋体" w:hAnsi="宋体" w:hint="eastAsia"/>
              </w:rPr>
              <w:t>长期</w:t>
            </w:r>
          </w:p>
          <w:p>
            <w:pPr>
              <w:widowControl w:val="0"/>
              <w:jc w:val="center"/>
              <w:rPr>
                <w:rFonts w:ascii="宋体" w:hAnsi="宋体"/>
              </w:rPr>
            </w:pPr>
            <w:r>
              <w:rPr>
                <w:rFonts w:ascii="宋体" w:hAnsi="宋体" w:hint="eastAsia"/>
              </w:rPr>
              <w:t>股权</w:t>
            </w:r>
          </w:p>
          <w:p>
            <w:pPr>
              <w:widowControl w:val="0"/>
              <w:jc w:val="center"/>
              <w:rPr>
                <w:rFonts w:ascii="宋体" w:hAnsi="宋体"/>
              </w:rPr>
            </w:pPr>
            <w:r>
              <w:rPr>
                <w:rFonts w:ascii="宋体" w:hAnsi="宋体" w:hint="eastAsia"/>
              </w:rPr>
              <w:t>投资</w:t>
            </w:r>
          </w:p>
        </w:tc>
        <w:tc>
          <w:tcPr>
            <w:tcW w:w="891" w:type="dxa"/>
            <w:vAlign w:val="center"/>
          </w:tcPr>
          <w:p>
            <w:pPr>
              <w:widowControl w:val="0"/>
              <w:jc w:val="both"/>
              <w:rPr>
                <w:rFonts w:ascii="宋体" w:hAnsi="宋体"/>
              </w:rPr>
            </w:pPr>
            <w:r>
              <w:rPr>
                <w:rFonts w:ascii="宋体" w:hAnsi="宋体" w:hint="eastAsia"/>
              </w:rPr>
              <w:t>自有</w:t>
            </w:r>
          </w:p>
          <w:p>
            <w:pPr>
              <w:widowControl w:val="0"/>
              <w:jc w:val="both"/>
              <w:rPr>
                <w:rFonts w:ascii="宋体" w:hAnsi="宋体"/>
              </w:rPr>
            </w:pPr>
            <w:r>
              <w:rPr>
                <w:rFonts w:ascii="宋体" w:hAnsi="宋体" w:hint="eastAsia"/>
              </w:rPr>
              <w:t>资金、银行借款</w:t>
            </w:r>
          </w:p>
        </w:tc>
        <w:tc>
          <w:tcPr>
            <w:tcW w:w="750" w:type="dxa"/>
            <w:vAlign w:val="center"/>
          </w:tcPr>
          <w:p>
            <w:pPr>
              <w:widowControl w:val="0"/>
              <w:jc w:val="center"/>
              <w:rPr>
                <w:rFonts w:ascii="宋体" w:hAnsi="宋体"/>
              </w:rPr>
            </w:pPr>
            <w:r>
              <w:rPr>
                <w:rFonts w:ascii="宋体" w:hAnsi="宋体" w:hint="eastAsia"/>
              </w:rPr>
              <w:t>-</w:t>
            </w:r>
          </w:p>
        </w:tc>
        <w:tc>
          <w:tcPr>
            <w:tcW w:w="1006" w:type="dxa"/>
            <w:vAlign w:val="center"/>
          </w:tcPr>
          <w:p>
            <w:pPr>
              <w:widowControl w:val="0"/>
              <w:jc w:val="center"/>
              <w:rPr>
                <w:rFonts w:ascii="宋体" w:hAnsi="宋体"/>
              </w:rPr>
            </w:pPr>
            <w:r>
              <w:rPr>
                <w:rFonts w:ascii="宋体" w:hAnsi="宋体" w:hint="eastAsia"/>
              </w:rPr>
              <w:t>-</w:t>
            </w:r>
          </w:p>
        </w:tc>
        <w:tc>
          <w:tcPr>
            <w:tcW w:w="874" w:type="dxa"/>
            <w:vAlign w:val="center"/>
          </w:tcPr>
          <w:p>
            <w:pPr>
              <w:widowControl w:val="0"/>
              <w:jc w:val="center"/>
              <w:rPr>
                <w:rFonts w:ascii="宋体" w:hAnsi="宋体"/>
              </w:rPr>
            </w:pPr>
            <w:r>
              <w:rPr>
                <w:rFonts w:ascii="宋体" w:hAnsi="宋体" w:hint="eastAsia"/>
              </w:rPr>
              <w:t>已完成股权交割及工商变更</w:t>
            </w:r>
          </w:p>
          <w:p>
            <w:pPr>
              <w:widowControl w:val="0"/>
              <w:jc w:val="center"/>
              <w:rPr>
                <w:rFonts w:ascii="宋体" w:hAnsi="宋体"/>
              </w:rPr>
            </w:pPr>
            <w:r>
              <w:rPr>
                <w:rFonts w:ascii="宋体" w:hAnsi="宋体" w:hint="eastAsia"/>
              </w:rPr>
              <w:t>程序</w:t>
            </w:r>
          </w:p>
        </w:tc>
        <w:tc>
          <w:tcPr>
            <w:tcW w:w="878" w:type="dxa"/>
            <w:vAlign w:val="center"/>
          </w:tcPr>
          <w:p>
            <w:pPr>
              <w:widowControl w:val="0"/>
              <w:jc w:val="center"/>
              <w:rPr>
                <w:rFonts w:ascii="宋体" w:hAnsi="宋体"/>
              </w:rPr>
            </w:pPr>
            <w:r>
              <w:rPr>
                <w:rFonts w:ascii="宋体" w:hAnsi="宋体"/>
              </w:rPr>
              <w:t>-</w:t>
            </w:r>
          </w:p>
        </w:tc>
        <w:tc>
          <w:tcPr>
            <w:tcW w:w="874" w:type="dxa"/>
            <w:vAlign w:val="center"/>
          </w:tcPr>
          <w:p>
            <w:pPr>
              <w:widowControl w:val="0"/>
              <w:jc w:val="center"/>
              <w:rPr>
                <w:rFonts w:ascii="宋体" w:hAnsi="宋体"/>
              </w:rPr>
            </w:pPr>
            <w:r>
              <w:rPr>
                <w:rFonts w:ascii="宋体" w:hAnsi="宋体"/>
              </w:rPr>
              <w:t>8.15</w:t>
            </w:r>
          </w:p>
        </w:tc>
        <w:sdt>
          <w:sdtPr>
            <w:rPr>
              <w:rFonts w:ascii="宋体" w:hAnsi="宋体" w:hint="eastAsia"/>
            </w:rPr>
            <w:alias w:val="重大的股权投资_是否涉诉"/>
            <w:tag w:val="_GBC_b329c9ac52b044ada54d48ae43ddaa25"/>
            <w:id w:val="-537580241"/>
            <w:comboBox>
              <w:listItem w:displayText="是" w:value="是"/>
              <w:listItem w:displayText="否" w:value="否"/>
            </w:comboBox>
          </w:sdtPr>
          <w:sdtContent>
            <w:tc>
              <w:tcPr>
                <w:tcW w:w="636" w:type="dxa"/>
                <w:vAlign w:val="center"/>
              </w:tcPr>
              <w:p>
                <w:pPr>
                  <w:widowControl w:val="0"/>
                  <w:jc w:val="center"/>
                  <w:rPr>
                    <w:rFonts w:ascii="宋体" w:hAnsi="宋体"/>
                  </w:rPr>
                </w:pPr>
                <w:r>
                  <w:rPr>
                    <w:rFonts w:ascii="宋体" w:hAnsi="宋体" w:hint="eastAsia"/>
                  </w:rPr>
                  <w:t>否</w:t>
                </w:r>
              </w:p>
            </w:tc>
          </w:sdtContent>
        </w:sdt>
        <w:tc>
          <w:tcPr>
            <w:tcW w:w="825" w:type="dxa"/>
            <w:vAlign w:val="center"/>
          </w:tcPr>
          <w:p>
            <w:pPr>
              <w:widowControl w:val="0"/>
              <w:jc w:val="center"/>
              <w:rPr>
                <w:rFonts w:ascii="宋体" w:hAnsi="宋体"/>
              </w:rPr>
            </w:pPr>
            <w:r>
              <w:rPr>
                <w:rFonts w:ascii="宋体" w:hAnsi="宋体" w:hint="eastAsia"/>
              </w:rPr>
              <w:t>2</w:t>
            </w:r>
            <w:r>
              <w:rPr>
                <w:rFonts w:ascii="宋体" w:hAnsi="宋体"/>
              </w:rPr>
              <w:t>025.4.8</w:t>
            </w:r>
          </w:p>
        </w:tc>
        <w:tc>
          <w:tcPr>
            <w:tcW w:w="2136" w:type="dxa"/>
            <w:vAlign w:val="center"/>
          </w:tcPr>
          <w:p>
            <w:pPr>
              <w:widowControl w:val="0"/>
              <w:jc w:val="both"/>
              <w:rPr>
                <w:rFonts w:ascii="宋体" w:hAnsi="宋体"/>
              </w:rPr>
            </w:pPr>
            <w:r>
              <w:rPr>
                <w:rFonts w:ascii="宋体" w:hAnsi="宋体" w:hint="eastAsia"/>
              </w:rPr>
              <w:t>有关详情请见本报告</w:t>
            </w:r>
          </w:p>
          <w:p>
            <w:pPr>
              <w:widowControl w:val="0"/>
              <w:jc w:val="both"/>
              <w:rPr>
                <w:rFonts w:ascii="宋体" w:hAnsi="宋体"/>
              </w:rPr>
            </w:pPr>
            <w:r>
              <w:rPr>
                <w:rFonts w:ascii="宋体" w:hAnsi="宋体" w:hint="eastAsia"/>
              </w:rPr>
              <w:t>“第六节 重要事项”之重大关联/关连交易相关内容。</w:t>
            </w:r>
          </w:p>
        </w:tc>
      </w:tr>
      <w:tr>
        <w:trPr>
          <w:jc w:val="center"/>
        </w:trPr>
        <w:tc>
          <w:tcPr>
            <w:tcW w:w="1129" w:type="dxa"/>
            <w:vAlign w:val="center"/>
          </w:tcPr>
          <w:p>
            <w:pPr>
              <w:widowControl w:val="0"/>
              <w:jc w:val="center"/>
              <w:rPr>
                <w:rFonts w:ascii="宋体" w:hAnsi="宋体"/>
              </w:rPr>
            </w:pPr>
            <w:r>
              <w:rPr>
                <w:rFonts w:ascii="宋体" w:hAnsi="宋体" w:hint="eastAsia"/>
              </w:rPr>
              <w:t>合计</w:t>
            </w:r>
          </w:p>
        </w:tc>
        <w:tc>
          <w:tcPr>
            <w:tcW w:w="883" w:type="dxa"/>
            <w:vAlign w:val="center"/>
          </w:tcPr>
          <w:p>
            <w:pPr>
              <w:widowControl w:val="0"/>
              <w:jc w:val="center"/>
              <w:rPr>
                <w:rFonts w:ascii="宋体" w:hAnsi="宋体"/>
              </w:rPr>
            </w:pPr>
            <w:r>
              <w:rPr>
                <w:rFonts w:ascii="宋体" w:hAnsi="宋体" w:hint="eastAsia"/>
              </w:rPr>
              <w:t>/</w:t>
            </w:r>
          </w:p>
        </w:tc>
        <w:tc>
          <w:tcPr>
            <w:tcW w:w="653" w:type="dxa"/>
            <w:vAlign w:val="center"/>
          </w:tcPr>
          <w:p>
            <w:pPr>
              <w:widowControl w:val="0"/>
              <w:jc w:val="center"/>
              <w:rPr>
                <w:rFonts w:ascii="宋体" w:hAnsi="宋体"/>
              </w:rPr>
            </w:pPr>
            <w:r>
              <w:rPr>
                <w:rFonts w:ascii="宋体" w:hAnsi="宋体" w:hint="eastAsia"/>
              </w:rPr>
              <w:t>/</w:t>
            </w:r>
          </w:p>
        </w:tc>
        <w:tc>
          <w:tcPr>
            <w:tcW w:w="1081" w:type="dxa"/>
            <w:vAlign w:val="center"/>
          </w:tcPr>
          <w:p>
            <w:pPr>
              <w:widowControl w:val="0"/>
              <w:jc w:val="center"/>
              <w:rPr>
                <w:rFonts w:ascii="宋体" w:hAnsi="宋体"/>
              </w:rPr>
            </w:pPr>
            <w:r>
              <w:rPr>
                <w:rFonts w:ascii="宋体" w:hAnsi="宋体" w:hint="eastAsia"/>
              </w:rPr>
              <w:t>/</w:t>
            </w:r>
          </w:p>
        </w:tc>
        <w:tc>
          <w:tcPr>
            <w:tcW w:w="862" w:type="dxa"/>
            <w:vAlign w:val="center"/>
          </w:tcPr>
          <w:p>
            <w:pPr>
              <w:widowControl w:val="0"/>
              <w:jc w:val="right"/>
              <w:rPr>
                <w:rFonts w:ascii="宋体" w:hAnsi="宋体"/>
              </w:rPr>
            </w:pPr>
            <w:r>
              <w:rPr>
                <w:rFonts w:ascii="宋体" w:hAnsi="宋体"/>
              </w:rPr>
              <w:t>140.66</w:t>
            </w:r>
          </w:p>
        </w:tc>
        <w:tc>
          <w:tcPr>
            <w:tcW w:w="863" w:type="dxa"/>
            <w:vAlign w:val="center"/>
          </w:tcPr>
          <w:p>
            <w:pPr>
              <w:widowControl w:val="0"/>
              <w:jc w:val="center"/>
              <w:rPr>
                <w:rFonts w:ascii="宋体" w:hAnsi="宋体"/>
              </w:rPr>
            </w:pPr>
            <w:r>
              <w:rPr>
                <w:rFonts w:ascii="宋体" w:hAnsi="宋体" w:hint="eastAsia"/>
              </w:rPr>
              <w:t>/</w:t>
            </w:r>
          </w:p>
        </w:tc>
        <w:tc>
          <w:tcPr>
            <w:tcW w:w="636" w:type="dxa"/>
            <w:vAlign w:val="center"/>
          </w:tcPr>
          <w:p>
            <w:pPr>
              <w:widowControl w:val="0"/>
              <w:jc w:val="center"/>
              <w:rPr>
                <w:rFonts w:ascii="宋体" w:hAnsi="宋体"/>
              </w:rPr>
            </w:pPr>
            <w:r>
              <w:rPr>
                <w:rFonts w:ascii="宋体" w:hAnsi="宋体" w:hint="eastAsia"/>
              </w:rPr>
              <w:t>/</w:t>
            </w:r>
          </w:p>
        </w:tc>
        <w:tc>
          <w:tcPr>
            <w:tcW w:w="894" w:type="dxa"/>
            <w:vAlign w:val="center"/>
          </w:tcPr>
          <w:p>
            <w:pPr>
              <w:widowControl w:val="0"/>
              <w:jc w:val="center"/>
              <w:rPr>
                <w:rFonts w:ascii="宋体" w:hAnsi="宋体"/>
              </w:rPr>
            </w:pPr>
            <w:r>
              <w:rPr>
                <w:rFonts w:ascii="宋体" w:hAnsi="宋体" w:hint="eastAsia"/>
              </w:rPr>
              <w:t>/</w:t>
            </w:r>
          </w:p>
        </w:tc>
        <w:tc>
          <w:tcPr>
            <w:tcW w:w="891" w:type="dxa"/>
            <w:vAlign w:val="center"/>
          </w:tcPr>
          <w:p>
            <w:pPr>
              <w:widowControl w:val="0"/>
              <w:jc w:val="center"/>
              <w:rPr>
                <w:rFonts w:ascii="宋体" w:hAnsi="宋体"/>
              </w:rPr>
            </w:pPr>
            <w:r>
              <w:rPr>
                <w:rFonts w:ascii="宋体" w:hAnsi="宋体" w:hint="eastAsia"/>
              </w:rPr>
              <w:t>/</w:t>
            </w:r>
          </w:p>
        </w:tc>
        <w:tc>
          <w:tcPr>
            <w:tcW w:w="750" w:type="dxa"/>
            <w:vAlign w:val="center"/>
          </w:tcPr>
          <w:p>
            <w:pPr>
              <w:widowControl w:val="0"/>
              <w:jc w:val="center"/>
              <w:rPr>
                <w:rFonts w:ascii="宋体" w:hAnsi="宋体"/>
              </w:rPr>
            </w:pPr>
            <w:r>
              <w:rPr>
                <w:rFonts w:ascii="宋体" w:hAnsi="宋体" w:hint="eastAsia"/>
              </w:rPr>
              <w:t>/</w:t>
            </w:r>
          </w:p>
        </w:tc>
        <w:tc>
          <w:tcPr>
            <w:tcW w:w="1006" w:type="dxa"/>
            <w:vAlign w:val="center"/>
          </w:tcPr>
          <w:p>
            <w:pPr>
              <w:widowControl w:val="0"/>
              <w:jc w:val="center"/>
              <w:rPr>
                <w:rFonts w:ascii="宋体" w:hAnsi="宋体"/>
              </w:rPr>
            </w:pPr>
            <w:r>
              <w:rPr>
                <w:rFonts w:ascii="宋体" w:hAnsi="宋体" w:hint="eastAsia"/>
              </w:rPr>
              <w:t>/</w:t>
            </w:r>
          </w:p>
        </w:tc>
        <w:tc>
          <w:tcPr>
            <w:tcW w:w="874" w:type="dxa"/>
            <w:vAlign w:val="center"/>
          </w:tcPr>
          <w:p>
            <w:pPr>
              <w:widowControl w:val="0"/>
              <w:jc w:val="center"/>
              <w:rPr>
                <w:rFonts w:ascii="宋体" w:hAnsi="宋体"/>
              </w:rPr>
            </w:pPr>
            <w:r>
              <w:rPr>
                <w:rFonts w:ascii="宋体" w:hAnsi="宋体" w:hint="eastAsia"/>
              </w:rPr>
              <w:t>/</w:t>
            </w:r>
          </w:p>
        </w:tc>
        <w:tc>
          <w:tcPr>
            <w:tcW w:w="878" w:type="dxa"/>
            <w:vAlign w:val="center"/>
          </w:tcPr>
          <w:p>
            <w:pPr>
              <w:widowControl w:val="0"/>
              <w:jc w:val="right"/>
              <w:rPr>
                <w:rFonts w:ascii="宋体" w:hAnsi="宋体"/>
              </w:rPr>
            </w:pPr>
            <w:r>
              <w:rPr>
                <w:rFonts w:ascii="宋体" w:hAnsi="宋体" w:hint="eastAsia"/>
              </w:rPr>
              <w:t>-</w:t>
            </w:r>
          </w:p>
        </w:tc>
        <w:tc>
          <w:tcPr>
            <w:tcW w:w="874" w:type="dxa"/>
            <w:vAlign w:val="center"/>
          </w:tcPr>
          <w:p>
            <w:pPr>
              <w:widowControl w:val="0"/>
              <w:jc w:val="center"/>
              <w:rPr>
                <w:rFonts w:ascii="宋体" w:hAnsi="宋体"/>
              </w:rPr>
            </w:pPr>
            <w:r>
              <w:rPr>
                <w:rFonts w:ascii="宋体" w:hAnsi="宋体"/>
              </w:rPr>
              <w:t>8.15</w:t>
            </w:r>
          </w:p>
        </w:tc>
        <w:tc>
          <w:tcPr>
            <w:tcW w:w="636" w:type="dxa"/>
            <w:vAlign w:val="center"/>
          </w:tcPr>
          <w:p>
            <w:pPr>
              <w:widowControl w:val="0"/>
              <w:jc w:val="center"/>
              <w:rPr>
                <w:rFonts w:ascii="宋体" w:hAnsi="宋体"/>
              </w:rPr>
            </w:pPr>
            <w:r>
              <w:rPr>
                <w:rFonts w:ascii="宋体" w:hAnsi="宋体" w:hint="eastAsia"/>
              </w:rPr>
              <w:t>/</w:t>
            </w:r>
          </w:p>
        </w:tc>
        <w:tc>
          <w:tcPr>
            <w:tcW w:w="825" w:type="dxa"/>
            <w:vAlign w:val="center"/>
          </w:tcPr>
          <w:p>
            <w:pPr>
              <w:widowControl w:val="0"/>
              <w:jc w:val="center"/>
              <w:rPr>
                <w:rFonts w:ascii="宋体" w:hAnsi="宋体"/>
              </w:rPr>
            </w:pPr>
            <w:r>
              <w:rPr>
                <w:rFonts w:ascii="宋体" w:hAnsi="宋体" w:hint="eastAsia"/>
              </w:rPr>
              <w:t>/</w:t>
            </w:r>
          </w:p>
        </w:tc>
        <w:tc>
          <w:tcPr>
            <w:tcW w:w="2136" w:type="dxa"/>
            <w:vAlign w:val="center"/>
          </w:tcPr>
          <w:p>
            <w:pPr>
              <w:widowControl w:val="0"/>
              <w:jc w:val="center"/>
              <w:rPr>
                <w:rFonts w:ascii="宋体" w:hAnsi="宋体"/>
              </w:rPr>
            </w:pPr>
            <w:r>
              <w:rPr>
                <w:rFonts w:ascii="宋体" w:hAnsi="宋体" w:hint="eastAsia"/>
              </w:rPr>
              <w:t>/</w:t>
            </w:r>
          </w:p>
        </w:tc>
      </w:tr>
    </w:tbl>
    <w:p>
      <w:pPr>
        <w:pStyle w:val="Style49"/>
      </w:pPr>
      <w:r>
        <w:rPr>
          <w:rFonts w:ascii="宋体" w:hAnsi="宋体" w:hint="eastAsia"/>
        </w:rPr>
        <w:t>注：上表“本期损益影响”为被投资单位100%权益的合并报表净利润数据。</w:t>
      </w:r>
      <w:r>
        <w:rPr>
          <w:rFonts w:ascii="宋体" w:hAnsi="宋体"/>
        </w:rPr>
        <w:cr/>
      </w:r>
    </w:p>
    <w:p>
      <w:pPr>
        <w:pStyle w:val="4"/>
        <w:numPr>
          <w:ilvl w:val="0"/>
          <w:numId w:val="22"/>
        </w:numPr>
      </w:pPr>
      <w:r>
        <w:rPr>
          <w:rFonts w:hint="eastAsia"/>
        </w:rPr>
        <w:t>重大的非股权投资</w:t>
      </w:r>
    </w:p>
    <w:sdt>
      <w:sdtPr>
        <w:rPr>
          <w:rFonts w:hint="eastAsia"/>
        </w:rPr>
        <w:alias w:val="是否适用：重大的非股权投资[双击切换]"/>
        <w:tag w:val="_GBC_fbd46075a5b9414d9e28cd2404e5d47c"/>
        <w:id w:val="-1425789525"/>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Style49"/>
      </w:pPr>
    </w:p>
    <w:p>
      <w:pPr>
        <w:pStyle w:val="Style49"/>
      </w:pPr>
    </w:p>
    <w:p>
      <w:pPr>
        <w:pStyle w:val="Style49"/>
      </w:pPr>
    </w:p>
    <w:p>
      <w:pPr>
        <w:pStyle w:val="4"/>
        <w:numPr>
          <w:ilvl w:val="0"/>
          <w:numId w:val="22"/>
        </w:numPr>
      </w:pPr>
      <w:bookmarkStart w:id="125" w:name="_Hlk40532846"/>
      <w:r>
        <w:rPr>
          <w:rFonts w:hint="eastAsia"/>
        </w:rPr>
        <w:t>以公允价值计量的金融资产</w:t>
      </w:r>
    </w:p>
    <w:sdt>
      <w:sdtPr>
        <w:rPr>
          <w:rFonts w:hint="eastAsia"/>
        </w:rPr>
        <w:alias w:val="是否适用：以公允价值计量的金融资产[双击切换]"/>
        <w:tag w:val="_GBC_27fa42d1c8fd489d9e8648bed00ddd53"/>
        <w:id w:val="1513263575"/>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12"/>
        <w:wordWrap w:val="0"/>
        <w:ind w:left="360" w:firstLineChars="0" w:firstLine="0"/>
        <w:jc w:val="right"/>
      </w:pPr>
      <w:r>
        <w:rPr>
          <w:rFonts w:hint="eastAsia"/>
        </w:rPr>
        <w:lastRenderedPageBreak/>
        <w:t>单位：</w:t>
      </w:r>
      <w:sdt>
        <w:sdtPr>
          <w:rPr>
            <w:rFonts w:hint="eastAsia"/>
          </w:rPr>
          <w:alias w:val="单位：以公允价值计量的金融资产"/>
          <w:tag w:val="_GBC_b2e3ce23c85c488ab3fa1ba1294ef546"/>
          <w:id w:val="83666055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sdt>
        <w:sdtPr>
          <w:rPr>
            <w:rFonts w:hint="eastAsia"/>
          </w:rPr>
          <w:alias w:val="币种：以公允价值计量的金融资产"/>
          <w:tag w:val="_GBC_77ed3303d22c48dc98ae781142db662c"/>
          <w:id w:val="-13772437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63"/>
        <w:tblW w:w="140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6"/>
        <w:gridCol w:w="1555"/>
        <w:gridCol w:w="1556"/>
        <w:gridCol w:w="1555"/>
        <w:gridCol w:w="1556"/>
        <w:gridCol w:w="1555"/>
        <w:gridCol w:w="1556"/>
        <w:gridCol w:w="1556"/>
      </w:tblGrid>
      <w:tr>
        <w:sdt>
          <w:sdtPr>
            <w:tag w:val="_PLD_0c54b9fd583d4e649fc12d33a6f94086"/>
            <w:id w:val="-1066339268"/>
          </w:sdtPr>
          <w:sdtContent>
            <w:tc>
              <w:tcPr>
                <w:tcW w:w="1555" w:type="dxa"/>
                <w:vAlign w:val="center"/>
              </w:tcPr>
              <w:p>
                <w:pPr>
                  <w:widowControl w:val="0"/>
                  <w:jc w:val="center"/>
                </w:pPr>
                <w:r>
                  <w:rPr>
                    <w:rFonts w:hint="eastAsia"/>
                    <w:kern w:val="2"/>
                    <w:szCs w:val="22"/>
                  </w:rPr>
                  <w:t>资产类别</w:t>
                </w:r>
              </w:p>
            </w:tc>
          </w:sdtContent>
        </w:sdt>
        <w:sdt>
          <w:sdtPr>
            <w:tag w:val="_PLD_4b84ad0ddc154021b1b8d9a6bffa6c39"/>
            <w:id w:val="116034027"/>
          </w:sdtPr>
          <w:sdtContent>
            <w:tc>
              <w:tcPr>
                <w:tcW w:w="1556" w:type="dxa"/>
                <w:vAlign w:val="center"/>
              </w:tcPr>
              <w:p>
                <w:pPr>
                  <w:widowControl w:val="0"/>
                  <w:jc w:val="center"/>
                </w:pPr>
                <w:r>
                  <w:rPr>
                    <w:rFonts w:hint="eastAsia"/>
                  </w:rPr>
                  <w:t>期初数</w:t>
                </w:r>
              </w:p>
            </w:tc>
          </w:sdtContent>
        </w:sdt>
        <w:sdt>
          <w:sdtPr>
            <w:tag w:val="_PLD_fa8919b699f843d2b03f2004a27810b6"/>
            <w:id w:val="1464473015"/>
          </w:sdtPr>
          <w:sdtContent>
            <w:tc>
              <w:tcPr>
                <w:tcW w:w="1555" w:type="dxa"/>
                <w:vAlign w:val="center"/>
              </w:tcPr>
              <w:p>
                <w:pPr>
                  <w:widowControl w:val="0"/>
                  <w:jc w:val="center"/>
                  <w:rPr>
                    <w:b/>
                  </w:rPr>
                </w:pPr>
                <w:r>
                  <w:rPr>
                    <w:rFonts w:hint="eastAsia"/>
                  </w:rPr>
                  <w:t>本期公允价值变动损益</w:t>
                </w:r>
              </w:p>
            </w:tc>
          </w:sdtContent>
        </w:sdt>
        <w:sdt>
          <w:sdtPr>
            <w:tag w:val="_PLD_81fc9fd2b35c49e2bfd3b55b8724ae1d"/>
            <w:id w:val="1721013583"/>
          </w:sdtPr>
          <w:sdtContent>
            <w:tc>
              <w:tcPr>
                <w:tcW w:w="1556" w:type="dxa"/>
                <w:vAlign w:val="center"/>
              </w:tcPr>
              <w:p>
                <w:pPr>
                  <w:widowControl w:val="0"/>
                  <w:jc w:val="center"/>
                </w:pPr>
                <w:r>
                  <w:rPr>
                    <w:rFonts w:hint="eastAsia"/>
                  </w:rPr>
                  <w:t>计入权益的累计公允价值变动</w:t>
                </w:r>
              </w:p>
            </w:tc>
          </w:sdtContent>
        </w:sdt>
        <w:sdt>
          <w:sdtPr>
            <w:tag w:val="_PLD_d6f12030ef654b5cad4265cc31977836"/>
            <w:id w:val="1533620217"/>
          </w:sdtPr>
          <w:sdtContent>
            <w:tc>
              <w:tcPr>
                <w:tcW w:w="1555" w:type="dxa"/>
                <w:vAlign w:val="center"/>
              </w:tcPr>
              <w:p>
                <w:pPr>
                  <w:widowControl w:val="0"/>
                  <w:jc w:val="center"/>
                </w:pPr>
                <w:r>
                  <w:rPr>
                    <w:rFonts w:hint="eastAsia"/>
                  </w:rPr>
                  <w:t>本期计提的减值</w:t>
                </w:r>
              </w:p>
            </w:tc>
          </w:sdtContent>
        </w:sdt>
        <w:sdt>
          <w:sdtPr>
            <w:tag w:val="_PLD_8693ec76f7f14d898c4b16665659ded9"/>
            <w:id w:val="-1298992929"/>
          </w:sdtPr>
          <w:sdtContent>
            <w:tc>
              <w:tcPr>
                <w:tcW w:w="1556" w:type="dxa"/>
                <w:vAlign w:val="center"/>
              </w:tcPr>
              <w:p>
                <w:pPr>
                  <w:widowControl w:val="0"/>
                  <w:jc w:val="center"/>
                </w:pPr>
                <w:r>
                  <w:rPr>
                    <w:rFonts w:hint="eastAsia"/>
                  </w:rPr>
                  <w:t>本期购买金额</w:t>
                </w:r>
              </w:p>
            </w:tc>
          </w:sdtContent>
        </w:sdt>
        <w:sdt>
          <w:sdtPr>
            <w:tag w:val="_PLD_ba0671fda1cb4d8c8d3c1e5b16cc6e5a"/>
            <w:id w:val="37322203"/>
          </w:sdtPr>
          <w:sdtContent>
            <w:tc>
              <w:tcPr>
                <w:tcW w:w="1555" w:type="dxa"/>
                <w:vAlign w:val="center"/>
              </w:tcPr>
              <w:p>
                <w:pPr>
                  <w:widowControl w:val="0"/>
                  <w:jc w:val="center"/>
                </w:pPr>
                <w:r>
                  <w:rPr>
                    <w:rFonts w:hint="eastAsia"/>
                  </w:rPr>
                  <w:t>本期出售</w:t>
                </w:r>
                <w:r>
                  <w:rPr>
                    <w:rFonts w:hint="eastAsia"/>
                  </w:rPr>
                  <w:t>/</w:t>
                </w:r>
                <w:r>
                  <w:rPr>
                    <w:rFonts w:hint="eastAsia"/>
                  </w:rPr>
                  <w:t>赎回金额</w:t>
                </w:r>
              </w:p>
            </w:tc>
          </w:sdtContent>
        </w:sdt>
        <w:sdt>
          <w:sdtPr>
            <w:tag w:val="_PLD_50b7e7d4561f48f190f80d486d12a170"/>
            <w:id w:val="-1679803129"/>
          </w:sdtPr>
          <w:sdtContent>
            <w:tc>
              <w:tcPr>
                <w:tcW w:w="1556" w:type="dxa"/>
                <w:vAlign w:val="center"/>
              </w:tcPr>
              <w:p>
                <w:pPr>
                  <w:widowControl w:val="0"/>
                  <w:jc w:val="center"/>
                </w:pPr>
                <w:r>
                  <w:rPr>
                    <w:rFonts w:hint="eastAsia"/>
                  </w:rPr>
                  <w:t>其他变动</w:t>
                </w:r>
              </w:p>
            </w:tc>
          </w:sdtContent>
        </w:sdt>
        <w:sdt>
          <w:sdtPr>
            <w:tag w:val="_PLD_816d427a273240d9af67db4a5feee586"/>
            <w:id w:val="-1752347813"/>
          </w:sdtPr>
          <w:sdtContent>
            <w:tc>
              <w:tcPr>
                <w:tcW w:w="1556" w:type="dxa"/>
                <w:vAlign w:val="center"/>
              </w:tcPr>
              <w:p>
                <w:pPr>
                  <w:widowControl w:val="0"/>
                  <w:jc w:val="center"/>
                </w:pPr>
                <w:r>
                  <w:rPr>
                    <w:rFonts w:hint="eastAsia"/>
                  </w:rPr>
                  <w:t>期末数</w:t>
                </w:r>
              </w:p>
            </w:tc>
          </w:sdtContent>
        </w:sdt>
      </w:tr>
      <w:tr>
        <w:sdt>
          <w:sdtPr>
            <w:alias w:val="以公允价值计量的金融资产情况明细_资产类别"/>
            <w:tag w:val="_GBC_cc72d7a8c8f74a64a251dbd2114ca4fe"/>
            <w:id w:val="670610654"/>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555" w:type="dxa"/>
                <w:vAlign w:val="center"/>
              </w:tcPr>
              <w:p>
                <w:pPr>
                  <w:widowControl w:val="0"/>
                  <w:jc w:val="both"/>
                </w:pPr>
                <w:r>
                  <w:t>股票</w:t>
                </w:r>
              </w:p>
            </w:tc>
          </w:sdtContent>
        </w:sdt>
        <w:tc>
          <w:tcPr>
            <w:tcW w:w="1556" w:type="dxa"/>
            <w:vAlign w:val="center"/>
          </w:tcPr>
          <w:p>
            <w:pPr>
              <w:jc w:val="right"/>
              <w:rPr>
                <w:rFonts w:ascii="宋体" w:hAnsi="宋体"/>
              </w:rPr>
            </w:pPr>
            <w:r>
              <w:rPr>
                <w:rFonts w:ascii="宋体" w:hAnsi="宋体"/>
              </w:rPr>
              <w:t xml:space="preserve"> 826 </w:t>
            </w:r>
          </w:p>
        </w:tc>
        <w:tc>
          <w:tcPr>
            <w:tcW w:w="1555" w:type="dxa"/>
            <w:vAlign w:val="center"/>
          </w:tcPr>
          <w:p>
            <w:pPr>
              <w:jc w:val="right"/>
              <w:rPr>
                <w:rFonts w:ascii="宋体" w:hAnsi="宋体"/>
              </w:rPr>
            </w:pPr>
            <w:r>
              <w:rPr>
                <w:rFonts w:ascii="宋体" w:hAnsi="宋体"/>
              </w:rPr>
              <w:t xml:space="preserve"> 188 </w:t>
            </w:r>
          </w:p>
        </w:tc>
        <w:tc>
          <w:tcPr>
            <w:tcW w:w="1556" w:type="dxa"/>
            <w:vAlign w:val="center"/>
          </w:tcPr>
          <w:p>
            <w:pPr>
              <w:jc w:val="right"/>
              <w:rPr>
                <w:rFonts w:ascii="宋体" w:hAnsi="宋体"/>
              </w:rPr>
            </w:pPr>
            <w:r>
              <w:rPr>
                <w:rFonts w:ascii="宋体" w:hAnsi="宋体"/>
              </w:rPr>
              <w:t xml:space="preserve"> 134 </w:t>
            </w:r>
          </w:p>
        </w:tc>
        <w:tc>
          <w:tcPr>
            <w:tcW w:w="1555" w:type="dxa"/>
            <w:vAlign w:val="center"/>
          </w:tcPr>
          <w:p>
            <w:pPr>
              <w:jc w:val="right"/>
              <w:rPr>
                <w:rFonts w:ascii="宋体" w:hAnsi="宋体"/>
              </w:rPr>
            </w:pPr>
            <w:r>
              <w:rPr>
                <w:rFonts w:ascii="宋体" w:hAnsi="宋体" w:hint="eastAsia"/>
              </w:rPr>
              <w:t>0</w:t>
            </w:r>
          </w:p>
        </w:tc>
        <w:tc>
          <w:tcPr>
            <w:tcW w:w="1556" w:type="dxa"/>
            <w:vAlign w:val="center"/>
          </w:tcPr>
          <w:p>
            <w:pPr>
              <w:jc w:val="right"/>
            </w:pPr>
            <w:r>
              <w:rPr>
                <w:rFonts w:ascii="宋体" w:hAnsi="宋体" w:hint="eastAsia"/>
              </w:rPr>
              <w:t>0</w:t>
            </w:r>
          </w:p>
        </w:tc>
        <w:tc>
          <w:tcPr>
            <w:tcW w:w="1555" w:type="dxa"/>
            <w:vAlign w:val="center"/>
          </w:tcPr>
          <w:p>
            <w:pPr>
              <w:jc w:val="right"/>
            </w:pPr>
            <w:r>
              <w:rPr>
                <w:rFonts w:ascii="宋体" w:hAnsi="宋体" w:hint="eastAsia"/>
              </w:rPr>
              <w:t>0</w:t>
            </w:r>
          </w:p>
        </w:tc>
        <w:tc>
          <w:tcPr>
            <w:tcW w:w="1556" w:type="dxa"/>
            <w:vAlign w:val="center"/>
          </w:tcPr>
          <w:p>
            <w:pPr>
              <w:jc w:val="right"/>
            </w:pPr>
            <w:r>
              <w:rPr>
                <w:rFonts w:ascii="宋体" w:hAnsi="宋体" w:hint="eastAsia"/>
              </w:rPr>
              <w:t>0</w:t>
            </w:r>
          </w:p>
        </w:tc>
        <w:tc>
          <w:tcPr>
            <w:tcW w:w="1556" w:type="dxa"/>
            <w:vAlign w:val="center"/>
          </w:tcPr>
          <w:p>
            <w:pPr>
              <w:jc w:val="right"/>
              <w:rPr>
                <w:rFonts w:ascii="宋体" w:hAnsi="宋体"/>
              </w:rPr>
            </w:pPr>
            <w:r>
              <w:rPr>
                <w:rFonts w:ascii="宋体" w:hAnsi="宋体"/>
              </w:rPr>
              <w:t xml:space="preserve"> 1,148 </w:t>
            </w:r>
          </w:p>
        </w:tc>
      </w:tr>
      <w:tr>
        <w:sdt>
          <w:sdtPr>
            <w:alias w:val="以公允价值计量的金融资产情况明细_资产类别"/>
            <w:tag w:val="_GBC_cc72d7a8c8f74a64a251dbd2114ca4fe"/>
            <w:id w:val="245228196"/>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555" w:type="dxa"/>
                <w:vAlign w:val="center"/>
              </w:tcPr>
              <w:p>
                <w:pPr>
                  <w:widowControl w:val="0"/>
                  <w:jc w:val="both"/>
                </w:pPr>
                <w:r>
                  <w:t>信托产品</w:t>
                </w:r>
              </w:p>
            </w:tc>
          </w:sdtContent>
        </w:sdt>
        <w:tc>
          <w:tcPr>
            <w:tcW w:w="1556" w:type="dxa"/>
            <w:vAlign w:val="center"/>
          </w:tcPr>
          <w:p>
            <w:pPr>
              <w:jc w:val="right"/>
              <w:rPr>
                <w:rFonts w:ascii="宋体" w:hAnsi="宋体"/>
              </w:rPr>
            </w:pPr>
            <w:r>
              <w:rPr>
                <w:rFonts w:ascii="宋体" w:hAnsi="宋体"/>
              </w:rPr>
              <w:t xml:space="preserve"> 70,521 </w:t>
            </w:r>
          </w:p>
        </w:tc>
        <w:tc>
          <w:tcPr>
            <w:tcW w:w="1555" w:type="dxa"/>
            <w:vAlign w:val="center"/>
          </w:tcPr>
          <w:p>
            <w:pPr>
              <w:jc w:val="right"/>
              <w:rPr>
                <w:rFonts w:ascii="宋体" w:hAnsi="宋体"/>
              </w:rPr>
            </w:pPr>
            <w:r>
              <w:rPr>
                <w:rFonts w:ascii="宋体" w:hAnsi="宋体"/>
              </w:rPr>
              <w:t xml:space="preserve"> -2 </w:t>
            </w:r>
          </w:p>
        </w:tc>
        <w:tc>
          <w:tcPr>
            <w:tcW w:w="1556" w:type="dxa"/>
            <w:vAlign w:val="center"/>
          </w:tcPr>
          <w:p>
            <w:pPr>
              <w:jc w:val="right"/>
              <w:rPr>
                <w:rFonts w:ascii="宋体" w:hAnsi="宋体"/>
              </w:rPr>
            </w:pPr>
            <w:r>
              <w:rPr>
                <w:rFonts w:ascii="宋体" w:hAnsi="宋体" w:hint="eastAsia"/>
              </w:rPr>
              <w:t>0</w:t>
            </w:r>
          </w:p>
        </w:tc>
        <w:tc>
          <w:tcPr>
            <w:tcW w:w="1555" w:type="dxa"/>
            <w:vAlign w:val="center"/>
          </w:tcPr>
          <w:p>
            <w:pPr>
              <w:jc w:val="right"/>
              <w:rPr>
                <w:rFonts w:ascii="宋体" w:hAnsi="宋体"/>
              </w:rPr>
            </w:pPr>
            <w:r>
              <w:rPr>
                <w:rFonts w:ascii="宋体" w:hAnsi="宋体" w:hint="eastAsia"/>
              </w:rPr>
              <w:t>0</w:t>
            </w:r>
          </w:p>
        </w:tc>
        <w:tc>
          <w:tcPr>
            <w:tcW w:w="1556" w:type="dxa"/>
            <w:vAlign w:val="center"/>
          </w:tcPr>
          <w:p>
            <w:pPr>
              <w:jc w:val="right"/>
            </w:pPr>
            <w:r>
              <w:rPr>
                <w:rFonts w:ascii="宋体" w:hAnsi="宋体" w:hint="eastAsia"/>
              </w:rPr>
              <w:t>0</w:t>
            </w:r>
          </w:p>
        </w:tc>
        <w:tc>
          <w:tcPr>
            <w:tcW w:w="1555" w:type="dxa"/>
            <w:vAlign w:val="center"/>
          </w:tcPr>
          <w:p>
            <w:pPr>
              <w:jc w:val="right"/>
            </w:pPr>
            <w:r>
              <w:rPr>
                <w:rFonts w:ascii="宋体" w:hAnsi="宋体" w:hint="eastAsia"/>
              </w:rPr>
              <w:t>0</w:t>
            </w:r>
          </w:p>
        </w:tc>
        <w:tc>
          <w:tcPr>
            <w:tcW w:w="1556" w:type="dxa"/>
            <w:vAlign w:val="center"/>
          </w:tcPr>
          <w:p>
            <w:pPr>
              <w:jc w:val="right"/>
            </w:pPr>
            <w:r>
              <w:rPr>
                <w:rFonts w:ascii="宋体" w:hAnsi="宋体" w:hint="eastAsia"/>
              </w:rPr>
              <w:t>0</w:t>
            </w:r>
          </w:p>
        </w:tc>
        <w:tc>
          <w:tcPr>
            <w:tcW w:w="1556" w:type="dxa"/>
            <w:vAlign w:val="center"/>
          </w:tcPr>
          <w:p>
            <w:pPr>
              <w:jc w:val="right"/>
              <w:rPr>
                <w:rFonts w:ascii="宋体" w:hAnsi="宋体"/>
              </w:rPr>
            </w:pPr>
            <w:r>
              <w:rPr>
                <w:rFonts w:ascii="宋体" w:hAnsi="宋体"/>
              </w:rPr>
              <w:t xml:space="preserve"> 70,519 </w:t>
            </w:r>
          </w:p>
        </w:tc>
      </w:tr>
      <w:tr>
        <w:tc>
          <w:tcPr>
            <w:tcW w:w="1555" w:type="dxa"/>
            <w:vAlign w:val="center"/>
          </w:tcPr>
          <w:p>
            <w:pPr>
              <w:widowControl w:val="0"/>
              <w:jc w:val="both"/>
            </w:pPr>
            <w:r>
              <w:rPr>
                <w:rFonts w:hint="eastAsia"/>
              </w:rPr>
              <w:t>其他</w:t>
            </w:r>
          </w:p>
        </w:tc>
        <w:tc>
          <w:tcPr>
            <w:tcW w:w="1556" w:type="dxa"/>
            <w:vAlign w:val="center"/>
          </w:tcPr>
          <w:p>
            <w:pPr>
              <w:jc w:val="right"/>
              <w:rPr>
                <w:rFonts w:ascii="宋体" w:hAnsi="宋体"/>
              </w:rPr>
            </w:pPr>
            <w:r>
              <w:rPr>
                <w:rFonts w:ascii="宋体" w:hAnsi="宋体"/>
              </w:rPr>
              <w:t xml:space="preserve"> 2,071,848 </w:t>
            </w:r>
          </w:p>
        </w:tc>
        <w:tc>
          <w:tcPr>
            <w:tcW w:w="1555" w:type="dxa"/>
            <w:vAlign w:val="center"/>
          </w:tcPr>
          <w:p>
            <w:pPr>
              <w:jc w:val="right"/>
              <w:rPr>
                <w:rFonts w:ascii="宋体" w:hAnsi="宋体"/>
              </w:rPr>
            </w:pPr>
            <w:r>
              <w:rPr>
                <w:rFonts w:ascii="宋体" w:hAnsi="宋体"/>
              </w:rPr>
              <w:t xml:space="preserve"> -173,705 </w:t>
            </w:r>
          </w:p>
        </w:tc>
        <w:tc>
          <w:tcPr>
            <w:tcW w:w="1556" w:type="dxa"/>
            <w:vAlign w:val="center"/>
          </w:tcPr>
          <w:p>
            <w:pPr>
              <w:jc w:val="right"/>
            </w:pPr>
            <w:r>
              <w:rPr>
                <w:rFonts w:ascii="宋体" w:hAnsi="宋体" w:hint="eastAsia"/>
              </w:rPr>
              <w:t>0</w:t>
            </w:r>
          </w:p>
        </w:tc>
        <w:tc>
          <w:tcPr>
            <w:tcW w:w="1555" w:type="dxa"/>
            <w:vAlign w:val="center"/>
          </w:tcPr>
          <w:p>
            <w:pPr>
              <w:jc w:val="right"/>
            </w:pPr>
            <w:r>
              <w:rPr>
                <w:rFonts w:ascii="宋体" w:hAnsi="宋体" w:hint="eastAsia"/>
              </w:rPr>
              <w:t>0</w:t>
            </w:r>
          </w:p>
        </w:tc>
        <w:tc>
          <w:tcPr>
            <w:tcW w:w="1556" w:type="dxa"/>
            <w:vAlign w:val="center"/>
          </w:tcPr>
          <w:p>
            <w:pPr>
              <w:jc w:val="right"/>
              <w:rPr>
                <w:rFonts w:ascii="宋体" w:hAnsi="宋体"/>
              </w:rPr>
            </w:pPr>
            <w:r>
              <w:rPr>
                <w:rFonts w:ascii="宋体" w:hAnsi="宋体"/>
              </w:rPr>
              <w:t xml:space="preserve"> 165,423 </w:t>
            </w:r>
          </w:p>
        </w:tc>
        <w:tc>
          <w:tcPr>
            <w:tcW w:w="1555" w:type="dxa"/>
            <w:vAlign w:val="center"/>
          </w:tcPr>
          <w:p>
            <w:pPr>
              <w:jc w:val="right"/>
            </w:pPr>
            <w:r>
              <w:rPr>
                <w:rFonts w:ascii="宋体" w:hAnsi="宋体" w:hint="eastAsia"/>
              </w:rPr>
              <w:t>0</w:t>
            </w:r>
          </w:p>
        </w:tc>
        <w:tc>
          <w:tcPr>
            <w:tcW w:w="1556" w:type="dxa"/>
            <w:vAlign w:val="center"/>
          </w:tcPr>
          <w:p>
            <w:pPr>
              <w:jc w:val="right"/>
              <w:rPr>
                <w:rFonts w:ascii="宋体" w:hAnsi="宋体"/>
              </w:rPr>
            </w:pPr>
            <w:r>
              <w:rPr>
                <w:rFonts w:ascii="宋体" w:hAnsi="宋体"/>
              </w:rPr>
              <w:t xml:space="preserve"> 37,234 </w:t>
            </w:r>
          </w:p>
        </w:tc>
        <w:tc>
          <w:tcPr>
            <w:tcW w:w="1556" w:type="dxa"/>
            <w:vAlign w:val="center"/>
          </w:tcPr>
          <w:p>
            <w:pPr>
              <w:jc w:val="right"/>
              <w:rPr>
                <w:rFonts w:ascii="宋体" w:hAnsi="宋体"/>
              </w:rPr>
            </w:pPr>
            <w:r>
              <w:rPr>
                <w:rFonts w:ascii="宋体" w:hAnsi="宋体"/>
              </w:rPr>
              <w:t xml:space="preserve"> 2,100,800 </w:t>
            </w:r>
          </w:p>
        </w:tc>
      </w:tr>
      <w:tr>
        <w:tc>
          <w:tcPr>
            <w:tcW w:w="1555" w:type="dxa"/>
            <w:vAlign w:val="center"/>
          </w:tcPr>
          <w:p>
            <w:pPr>
              <w:widowControl w:val="0"/>
              <w:jc w:val="center"/>
            </w:pPr>
            <w:r>
              <w:t>合计</w:t>
            </w:r>
          </w:p>
        </w:tc>
        <w:tc>
          <w:tcPr>
            <w:tcW w:w="1556" w:type="dxa"/>
            <w:vAlign w:val="center"/>
          </w:tcPr>
          <w:p>
            <w:pPr>
              <w:jc w:val="right"/>
              <w:rPr>
                <w:rFonts w:ascii="宋体" w:hAnsi="宋体"/>
              </w:rPr>
            </w:pPr>
            <w:r>
              <w:rPr>
                <w:rFonts w:ascii="宋体" w:hAnsi="宋体"/>
              </w:rPr>
              <w:t xml:space="preserve"> 2,143,195 </w:t>
            </w:r>
          </w:p>
        </w:tc>
        <w:tc>
          <w:tcPr>
            <w:tcW w:w="1555" w:type="dxa"/>
            <w:vAlign w:val="center"/>
          </w:tcPr>
          <w:p>
            <w:pPr>
              <w:jc w:val="right"/>
              <w:rPr>
                <w:rFonts w:ascii="宋体" w:hAnsi="宋体"/>
              </w:rPr>
            </w:pPr>
            <w:r>
              <w:rPr>
                <w:rFonts w:ascii="宋体" w:hAnsi="宋体"/>
              </w:rPr>
              <w:t xml:space="preserve"> -173,519 </w:t>
            </w:r>
          </w:p>
        </w:tc>
        <w:tc>
          <w:tcPr>
            <w:tcW w:w="1556" w:type="dxa"/>
            <w:vAlign w:val="center"/>
          </w:tcPr>
          <w:p>
            <w:pPr>
              <w:jc w:val="right"/>
              <w:rPr>
                <w:rFonts w:ascii="宋体" w:hAnsi="宋体"/>
              </w:rPr>
            </w:pPr>
            <w:r>
              <w:rPr>
                <w:rFonts w:ascii="宋体" w:hAnsi="宋体"/>
              </w:rPr>
              <w:t xml:space="preserve"> 134 </w:t>
            </w:r>
          </w:p>
        </w:tc>
        <w:tc>
          <w:tcPr>
            <w:tcW w:w="1555" w:type="dxa"/>
            <w:vAlign w:val="center"/>
          </w:tcPr>
          <w:p>
            <w:pPr>
              <w:jc w:val="right"/>
              <w:rPr>
                <w:rFonts w:ascii="宋体" w:hAnsi="宋体"/>
              </w:rPr>
            </w:pPr>
            <w:r>
              <w:rPr>
                <w:rFonts w:ascii="宋体" w:hAnsi="宋体" w:hint="eastAsia"/>
              </w:rPr>
              <w:t>0</w:t>
            </w:r>
          </w:p>
        </w:tc>
        <w:tc>
          <w:tcPr>
            <w:tcW w:w="1556" w:type="dxa"/>
            <w:vAlign w:val="center"/>
          </w:tcPr>
          <w:p>
            <w:pPr>
              <w:jc w:val="right"/>
              <w:rPr>
                <w:rFonts w:ascii="宋体" w:hAnsi="宋体"/>
              </w:rPr>
            </w:pPr>
            <w:r>
              <w:rPr>
                <w:rFonts w:ascii="宋体" w:hAnsi="宋体"/>
              </w:rPr>
              <w:t xml:space="preserve"> 165,423 </w:t>
            </w:r>
          </w:p>
        </w:tc>
        <w:tc>
          <w:tcPr>
            <w:tcW w:w="1555" w:type="dxa"/>
            <w:vAlign w:val="center"/>
          </w:tcPr>
          <w:p>
            <w:pPr>
              <w:jc w:val="right"/>
            </w:pPr>
            <w:r>
              <w:rPr>
                <w:rFonts w:ascii="宋体" w:hAnsi="宋体" w:hint="eastAsia"/>
              </w:rPr>
              <w:t>0</w:t>
            </w:r>
          </w:p>
        </w:tc>
        <w:tc>
          <w:tcPr>
            <w:tcW w:w="1556" w:type="dxa"/>
            <w:vAlign w:val="center"/>
          </w:tcPr>
          <w:p>
            <w:pPr>
              <w:jc w:val="right"/>
              <w:rPr>
                <w:rFonts w:ascii="宋体" w:hAnsi="宋体"/>
              </w:rPr>
            </w:pPr>
            <w:r>
              <w:rPr>
                <w:rFonts w:ascii="宋体" w:hAnsi="宋体"/>
              </w:rPr>
              <w:t xml:space="preserve"> 37,234 </w:t>
            </w:r>
          </w:p>
        </w:tc>
        <w:tc>
          <w:tcPr>
            <w:tcW w:w="1556" w:type="dxa"/>
            <w:vAlign w:val="center"/>
          </w:tcPr>
          <w:p>
            <w:pPr>
              <w:jc w:val="right"/>
              <w:rPr>
                <w:rFonts w:ascii="宋体" w:hAnsi="宋体"/>
              </w:rPr>
            </w:pPr>
            <w:r>
              <w:rPr>
                <w:rFonts w:ascii="宋体" w:hAnsi="宋体"/>
              </w:rPr>
              <w:t xml:space="preserve"> 2,172,467 </w:t>
            </w:r>
          </w:p>
        </w:tc>
      </w:tr>
    </w:tbl>
    <w:p>
      <w:pPr>
        <w:pStyle w:val="Style49"/>
      </w:pPr>
    </w:p>
    <w:bookmarkEnd w:id="125"/>
    <w:p>
      <w:pPr>
        <w:pStyle w:val="Style49"/>
      </w:pPr>
      <w:r>
        <w:rPr>
          <w:rFonts w:hint="eastAsia"/>
        </w:rPr>
        <w:t>证券投资情况</w:t>
      </w:r>
    </w:p>
    <w:sdt>
      <w:sdtPr>
        <w:alias w:val="是否适用：证券投资情况[双击切换]"/>
        <w:tag w:val="_GBC_7d04680e71454924aa49897089c6ec88"/>
        <w:id w:val="430642257"/>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12"/>
        <w:wordWrap w:val="0"/>
        <w:ind w:left="360" w:firstLineChars="0" w:firstLine="0"/>
        <w:jc w:val="right"/>
      </w:pPr>
      <w:r>
        <w:rPr>
          <w:rFonts w:hint="eastAsia"/>
        </w:rPr>
        <w:t>单位：</w:t>
      </w:r>
      <w:sdt>
        <w:sdtPr>
          <w:rPr>
            <w:rFonts w:hint="eastAsia"/>
          </w:rPr>
          <w:alias w:val="单位：证券投资情况"/>
          <w:tag w:val="_GBC_9030571ec97a42438b5264832c2a5326"/>
          <w:id w:val="-139712399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sdt>
        <w:sdtPr>
          <w:rPr>
            <w:rFonts w:hint="eastAsia"/>
          </w:rPr>
          <w:alias w:val="币种：证券投资情况"/>
          <w:tag w:val="_GBC_21a6e145782e410295a95d0cfa95a807"/>
          <w:id w:val="20953584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63"/>
        <w:tblW w:w="140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084"/>
        <w:gridCol w:w="1084"/>
        <w:gridCol w:w="1084"/>
        <w:gridCol w:w="1084"/>
        <w:gridCol w:w="1084"/>
        <w:gridCol w:w="1082"/>
        <w:gridCol w:w="1084"/>
        <w:gridCol w:w="1084"/>
        <w:gridCol w:w="1084"/>
        <w:gridCol w:w="1084"/>
        <w:gridCol w:w="1084"/>
        <w:gridCol w:w="1076"/>
      </w:tblGrid>
      <w:tr>
        <w:bookmarkStart w:id="126" w:name="_Hlk40533881" w:displacedByCustomXml="next"/>
        <w:sdt>
          <w:sdtPr>
            <w:tag w:val="_PLD_a2aca594a908499a93ab70468f6a23b7"/>
            <w:id w:val="-130633811"/>
          </w:sdtPr>
          <w:sdtContent>
            <w:tc>
              <w:tcPr>
                <w:tcW w:w="1082" w:type="dxa"/>
                <w:vAlign w:val="center"/>
              </w:tcPr>
              <w:p>
                <w:pPr>
                  <w:widowControl w:val="0"/>
                  <w:jc w:val="center"/>
                </w:pPr>
                <w:r>
                  <w:rPr>
                    <w:rFonts w:hint="eastAsia"/>
                  </w:rPr>
                  <w:t>证券品种</w:t>
                </w:r>
              </w:p>
            </w:tc>
          </w:sdtContent>
        </w:sdt>
        <w:sdt>
          <w:sdtPr>
            <w:tag w:val="_PLD_2a8a447db28f48a89b3e24843ac8c0b0"/>
            <w:id w:val="-382800896"/>
          </w:sdtPr>
          <w:sdtContent>
            <w:tc>
              <w:tcPr>
                <w:tcW w:w="1084" w:type="dxa"/>
                <w:vAlign w:val="center"/>
              </w:tcPr>
              <w:p>
                <w:pPr>
                  <w:widowControl w:val="0"/>
                  <w:jc w:val="center"/>
                </w:pPr>
                <w:r>
                  <w:rPr>
                    <w:rFonts w:hint="eastAsia"/>
                  </w:rPr>
                  <w:t>证券代码</w:t>
                </w:r>
              </w:p>
            </w:tc>
          </w:sdtContent>
        </w:sdt>
        <w:sdt>
          <w:sdtPr>
            <w:tag w:val="_PLD_b4b2dd48041247c08674576b86c9470b"/>
            <w:id w:val="609318759"/>
          </w:sdtPr>
          <w:sdtContent>
            <w:tc>
              <w:tcPr>
                <w:tcW w:w="1084" w:type="dxa"/>
                <w:vAlign w:val="center"/>
              </w:tcPr>
              <w:p>
                <w:pPr>
                  <w:widowControl w:val="0"/>
                  <w:tabs>
                    <w:tab w:val="left" w:pos="60"/>
                  </w:tabs>
                  <w:jc w:val="center"/>
                </w:pPr>
                <w:r>
                  <w:rPr>
                    <w:rFonts w:hint="eastAsia"/>
                  </w:rPr>
                  <w:t>证券简称</w:t>
                </w:r>
              </w:p>
            </w:tc>
          </w:sdtContent>
        </w:sdt>
        <w:sdt>
          <w:sdtPr>
            <w:tag w:val="_PLD_3c80e02ab5694d799cfd3d5d2ac9c797"/>
            <w:id w:val="187580363"/>
          </w:sdtPr>
          <w:sdtContent>
            <w:tc>
              <w:tcPr>
                <w:tcW w:w="1084" w:type="dxa"/>
                <w:vAlign w:val="center"/>
              </w:tcPr>
              <w:p>
                <w:pPr>
                  <w:widowControl w:val="0"/>
                  <w:jc w:val="center"/>
                </w:pPr>
                <w:r>
                  <w:rPr>
                    <w:rFonts w:hint="eastAsia"/>
                  </w:rPr>
                  <w:t>最初投资成本</w:t>
                </w:r>
              </w:p>
            </w:tc>
          </w:sdtContent>
        </w:sdt>
        <w:sdt>
          <w:sdtPr>
            <w:tag w:val="_PLD_873ecdbb8a3343d6b6fcaa48e4cf64dc"/>
            <w:id w:val="-1311866224"/>
          </w:sdtPr>
          <w:sdtContent>
            <w:tc>
              <w:tcPr>
                <w:tcW w:w="1084" w:type="dxa"/>
                <w:vAlign w:val="center"/>
              </w:tcPr>
              <w:p>
                <w:pPr>
                  <w:widowControl w:val="0"/>
                  <w:jc w:val="center"/>
                </w:pPr>
                <w:r>
                  <w:rPr>
                    <w:rFonts w:hint="eastAsia"/>
                  </w:rPr>
                  <w:t>资金来源</w:t>
                </w:r>
              </w:p>
            </w:tc>
          </w:sdtContent>
        </w:sdt>
        <w:sdt>
          <w:sdtPr>
            <w:tag w:val="_PLD_b0de4dcfc59f4ead974d9d61a70ccc80"/>
            <w:id w:val="735447775"/>
          </w:sdtPr>
          <w:sdtContent>
            <w:tc>
              <w:tcPr>
                <w:tcW w:w="1084" w:type="dxa"/>
                <w:vAlign w:val="center"/>
              </w:tcPr>
              <w:p>
                <w:pPr>
                  <w:widowControl w:val="0"/>
                  <w:jc w:val="center"/>
                </w:pPr>
                <w:r>
                  <w:rPr>
                    <w:rFonts w:hint="eastAsia"/>
                  </w:rPr>
                  <w:t>期初账面价值</w:t>
                </w:r>
              </w:p>
            </w:tc>
          </w:sdtContent>
        </w:sdt>
        <w:sdt>
          <w:sdtPr>
            <w:tag w:val="_PLD_ca5b1b460dec4af98a137b84d77794ce"/>
            <w:id w:val="1196883574"/>
          </w:sdtPr>
          <w:sdtContent>
            <w:tc>
              <w:tcPr>
                <w:tcW w:w="1082" w:type="dxa"/>
                <w:vAlign w:val="center"/>
              </w:tcPr>
              <w:p>
                <w:pPr>
                  <w:widowControl w:val="0"/>
                  <w:jc w:val="center"/>
                </w:pPr>
                <w:r>
                  <w:rPr>
                    <w:rFonts w:hint="eastAsia"/>
                  </w:rPr>
                  <w:t>本期公允价值变动损益</w:t>
                </w:r>
              </w:p>
            </w:tc>
          </w:sdtContent>
        </w:sdt>
        <w:sdt>
          <w:sdtPr>
            <w:tag w:val="_PLD_cf51b58b5b4641d797351424d3c1ceeb"/>
            <w:id w:val="1364318602"/>
          </w:sdtPr>
          <w:sdtContent>
            <w:tc>
              <w:tcPr>
                <w:tcW w:w="1084" w:type="dxa"/>
                <w:vAlign w:val="center"/>
              </w:tcPr>
              <w:p>
                <w:pPr>
                  <w:widowControl w:val="0"/>
                  <w:jc w:val="center"/>
                </w:pPr>
                <w:r>
                  <w:rPr>
                    <w:rFonts w:hint="eastAsia"/>
                  </w:rPr>
                  <w:t>计入权益的累计公允价值变动</w:t>
                </w:r>
              </w:p>
            </w:tc>
          </w:sdtContent>
        </w:sdt>
        <w:sdt>
          <w:sdtPr>
            <w:tag w:val="_PLD_fa8acb6152da45658a6e5987a179057d"/>
            <w:id w:val="-205567611"/>
          </w:sdtPr>
          <w:sdtContent>
            <w:tc>
              <w:tcPr>
                <w:tcW w:w="1084" w:type="dxa"/>
                <w:vAlign w:val="center"/>
              </w:tcPr>
              <w:p>
                <w:pPr>
                  <w:widowControl w:val="0"/>
                  <w:jc w:val="center"/>
                </w:pPr>
                <w:r>
                  <w:rPr>
                    <w:rFonts w:hint="eastAsia"/>
                  </w:rPr>
                  <w:t>本期购买金额</w:t>
                </w:r>
              </w:p>
            </w:tc>
          </w:sdtContent>
        </w:sdt>
        <w:sdt>
          <w:sdtPr>
            <w:tag w:val="_PLD_6e2790d24c5846da999681b434e6731d"/>
            <w:id w:val="-959024047"/>
          </w:sdtPr>
          <w:sdtContent>
            <w:tc>
              <w:tcPr>
                <w:tcW w:w="1084" w:type="dxa"/>
                <w:vAlign w:val="center"/>
              </w:tcPr>
              <w:p>
                <w:pPr>
                  <w:widowControl w:val="0"/>
                  <w:jc w:val="center"/>
                </w:pPr>
                <w:r>
                  <w:rPr>
                    <w:rFonts w:hint="eastAsia"/>
                  </w:rPr>
                  <w:t>本期出售金额</w:t>
                </w:r>
              </w:p>
            </w:tc>
          </w:sdtContent>
        </w:sdt>
        <w:sdt>
          <w:sdtPr>
            <w:tag w:val="_PLD_b053cb2d8ab44a05be4e28df1b11bd04"/>
            <w:id w:val="-1581287177"/>
          </w:sdtPr>
          <w:sdtContent>
            <w:tc>
              <w:tcPr>
                <w:tcW w:w="1084" w:type="dxa"/>
                <w:vAlign w:val="center"/>
              </w:tcPr>
              <w:p>
                <w:pPr>
                  <w:widowControl w:val="0"/>
                  <w:jc w:val="center"/>
                </w:pPr>
                <w:r>
                  <w:rPr>
                    <w:rFonts w:hint="eastAsia"/>
                  </w:rPr>
                  <w:t>本期投资损益</w:t>
                </w:r>
              </w:p>
            </w:tc>
          </w:sdtContent>
        </w:sdt>
        <w:sdt>
          <w:sdtPr>
            <w:tag w:val="_PLD_dc3183c5ec5e48d491b77e65bd093780"/>
            <w:id w:val="-410314279"/>
          </w:sdtPr>
          <w:sdtContent>
            <w:tc>
              <w:tcPr>
                <w:tcW w:w="1084" w:type="dxa"/>
                <w:vAlign w:val="center"/>
              </w:tcPr>
              <w:p>
                <w:pPr>
                  <w:widowControl w:val="0"/>
                  <w:jc w:val="center"/>
                </w:pPr>
                <w:r>
                  <w:rPr>
                    <w:rFonts w:hint="eastAsia"/>
                  </w:rPr>
                  <w:t>期末账面价值</w:t>
                </w:r>
              </w:p>
            </w:tc>
          </w:sdtContent>
        </w:sdt>
        <w:sdt>
          <w:sdtPr>
            <w:tag w:val="_PLD_953da3c8a977443ba41ba5b33c46abac"/>
            <w:id w:val="-476383991"/>
          </w:sdtPr>
          <w:sdtContent>
            <w:tc>
              <w:tcPr>
                <w:tcW w:w="1076" w:type="dxa"/>
                <w:vAlign w:val="center"/>
              </w:tcPr>
              <w:p>
                <w:pPr>
                  <w:widowControl w:val="0"/>
                  <w:jc w:val="center"/>
                </w:pPr>
                <w:r>
                  <w:rPr>
                    <w:rFonts w:hint="eastAsia"/>
                  </w:rPr>
                  <w:t>会计核算科目</w:t>
                </w:r>
              </w:p>
            </w:tc>
          </w:sdtContent>
        </w:sdt>
      </w:tr>
      <w:tr>
        <w:sdt>
          <w:sdtPr>
            <w:alias w:val="上市公司证券投资情况明细－证券品种"/>
            <w:tag w:val="_GBC_5869f90e2f4241cba6edaadfa74944d0"/>
            <w:id w:val="-907376101"/>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1082" w:type="dxa"/>
                <w:vAlign w:val="center"/>
              </w:tcPr>
              <w:p>
                <w:pPr>
                  <w:widowControl w:val="0"/>
                </w:pPr>
                <w:r>
                  <w:t>股票</w:t>
                </w:r>
              </w:p>
            </w:tc>
          </w:sdtContent>
        </w:sdt>
        <w:tc>
          <w:tcPr>
            <w:tcW w:w="1084" w:type="dxa"/>
            <w:vAlign w:val="center"/>
          </w:tcPr>
          <w:p>
            <w:pPr>
              <w:jc w:val="right"/>
              <w:rPr>
                <w:rFonts w:ascii="宋体" w:hAnsi="宋体"/>
              </w:rPr>
            </w:pPr>
            <w:r>
              <w:rPr>
                <w:rFonts w:ascii="宋体" w:hAnsi="宋体" w:hint="eastAsia"/>
              </w:rPr>
              <w:t>601008</w:t>
            </w:r>
          </w:p>
        </w:tc>
        <w:tc>
          <w:tcPr>
            <w:tcW w:w="1084" w:type="dxa"/>
            <w:vAlign w:val="center"/>
          </w:tcPr>
          <w:p>
            <w:pPr>
              <w:jc w:val="both"/>
              <w:rPr>
                <w:rFonts w:ascii="宋体" w:hAnsi="宋体"/>
              </w:rPr>
            </w:pPr>
            <w:r>
              <w:rPr>
                <w:rFonts w:ascii="宋体" w:hAnsi="宋体" w:hint="eastAsia"/>
              </w:rPr>
              <w:t>连云港</w:t>
            </w:r>
          </w:p>
        </w:tc>
        <w:tc>
          <w:tcPr>
            <w:tcW w:w="1084" w:type="dxa"/>
            <w:vAlign w:val="center"/>
          </w:tcPr>
          <w:p>
            <w:pPr>
              <w:jc w:val="right"/>
              <w:rPr>
                <w:rFonts w:ascii="宋体" w:hAnsi="宋体"/>
              </w:rPr>
            </w:pPr>
            <w:r>
              <w:rPr>
                <w:rFonts w:ascii="宋体" w:hAnsi="宋体"/>
              </w:rPr>
              <w:t xml:space="preserve"> 89 </w:t>
            </w:r>
          </w:p>
        </w:tc>
        <w:tc>
          <w:tcPr>
            <w:tcW w:w="1084" w:type="dxa"/>
            <w:vAlign w:val="center"/>
          </w:tcPr>
          <w:p>
            <w:pPr>
              <w:jc w:val="right"/>
              <w:rPr>
                <w:rFonts w:ascii="宋体" w:hAnsi="宋体"/>
              </w:rPr>
            </w:pPr>
            <w:r>
              <w:rPr>
                <w:rFonts w:ascii="宋体" w:hAnsi="宋体" w:hint="eastAsia"/>
              </w:rPr>
              <w:t xml:space="preserve">货币资金 </w:t>
            </w:r>
          </w:p>
        </w:tc>
        <w:tc>
          <w:tcPr>
            <w:tcW w:w="1084" w:type="dxa"/>
            <w:vAlign w:val="center"/>
          </w:tcPr>
          <w:p>
            <w:pPr>
              <w:jc w:val="right"/>
              <w:rPr>
                <w:rFonts w:ascii="宋体" w:hAnsi="宋体"/>
              </w:rPr>
            </w:pPr>
            <w:r>
              <w:rPr>
                <w:rFonts w:ascii="宋体" w:hAnsi="宋体"/>
              </w:rPr>
              <w:t xml:space="preserve"> 346 </w:t>
            </w:r>
          </w:p>
        </w:tc>
        <w:tc>
          <w:tcPr>
            <w:tcW w:w="1082" w:type="dxa"/>
            <w:vAlign w:val="center"/>
          </w:tcPr>
          <w:p>
            <w:pPr>
              <w:jc w:val="right"/>
              <w:rPr>
                <w:rFonts w:ascii="宋体" w:hAnsi="宋体"/>
              </w:rPr>
            </w:pPr>
            <w:r>
              <w:rPr>
                <w:rFonts w:ascii="宋体" w:hAnsi="宋体" w:hint="eastAsia"/>
              </w:rPr>
              <w:t>0</w:t>
            </w:r>
          </w:p>
        </w:tc>
        <w:tc>
          <w:tcPr>
            <w:tcW w:w="1084" w:type="dxa"/>
            <w:vAlign w:val="center"/>
          </w:tcPr>
          <w:p>
            <w:pPr>
              <w:jc w:val="right"/>
              <w:rPr>
                <w:rFonts w:ascii="宋体" w:hAnsi="宋体"/>
              </w:rPr>
            </w:pPr>
            <w:r>
              <w:rPr>
                <w:rFonts w:ascii="宋体" w:hAnsi="宋体"/>
              </w:rPr>
              <w:t xml:space="preserve"> 134 </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rPr>
                <w:rFonts w:ascii="宋体" w:hAnsi="宋体"/>
              </w:rPr>
            </w:pPr>
            <w:r>
              <w:rPr>
                <w:rFonts w:ascii="宋体" w:hAnsi="宋体"/>
              </w:rPr>
              <w:t xml:space="preserve"> 480 </w:t>
            </w:r>
          </w:p>
        </w:tc>
        <w:sdt>
          <w:sdtPr>
            <w:rPr>
              <w:rFonts w:ascii="宋体" w:hAnsi="宋体"/>
            </w:rPr>
            <w:alias w:val="上市公司证券投资情况明细－会计核算科目"/>
            <w:tag w:val="_GBC_76b2a58bd6904ac98cdb4e48af86b25a"/>
            <w:id w:val="-2103872595"/>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076" w:type="dxa"/>
                <w:vAlign w:val="center"/>
              </w:tcPr>
              <w:p>
                <w:pPr>
                  <w:jc w:val="both"/>
                  <w:rPr>
                    <w:rFonts w:ascii="宋体" w:hAnsi="宋体"/>
                  </w:rPr>
                </w:pPr>
                <w:r>
                  <w:rPr>
                    <w:rFonts w:ascii="宋体" w:hAnsi="宋体"/>
                  </w:rPr>
                  <w:t>其他权益工具投资</w:t>
                </w:r>
              </w:p>
            </w:tc>
          </w:sdtContent>
        </w:sdt>
      </w:tr>
      <w:tr>
        <w:sdt>
          <w:sdtPr>
            <w:alias w:val="上市公司证券投资情况明细－证券品种"/>
            <w:tag w:val="_GBC_5869f90e2f4241cba6edaadfa74944d0"/>
            <w:id w:val="31677137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1082" w:type="dxa"/>
                <w:vAlign w:val="center"/>
              </w:tcPr>
              <w:p>
                <w:pPr>
                  <w:widowControl w:val="0"/>
                </w:pPr>
                <w:r>
                  <w:t>股票</w:t>
                </w:r>
              </w:p>
            </w:tc>
          </w:sdtContent>
        </w:sdt>
        <w:tc>
          <w:tcPr>
            <w:tcW w:w="1084" w:type="dxa"/>
            <w:vAlign w:val="center"/>
          </w:tcPr>
          <w:p>
            <w:pPr>
              <w:jc w:val="right"/>
              <w:rPr>
                <w:rFonts w:ascii="宋体" w:hAnsi="宋体"/>
              </w:rPr>
            </w:pPr>
            <w:r>
              <w:rPr>
                <w:rFonts w:ascii="宋体" w:hAnsi="宋体" w:hint="eastAsia"/>
              </w:rPr>
              <w:t>601777</w:t>
            </w:r>
          </w:p>
        </w:tc>
        <w:tc>
          <w:tcPr>
            <w:tcW w:w="1084" w:type="dxa"/>
            <w:vAlign w:val="center"/>
          </w:tcPr>
          <w:p>
            <w:pPr>
              <w:jc w:val="both"/>
              <w:rPr>
                <w:rFonts w:ascii="宋体" w:hAnsi="宋体"/>
              </w:rPr>
            </w:pPr>
            <w:r>
              <w:rPr>
                <w:rFonts w:ascii="宋体" w:hAnsi="宋体" w:hint="eastAsia"/>
              </w:rPr>
              <w:t>千里科技</w:t>
            </w:r>
          </w:p>
        </w:tc>
        <w:tc>
          <w:tcPr>
            <w:tcW w:w="1084" w:type="dxa"/>
            <w:vAlign w:val="center"/>
          </w:tcPr>
          <w:p>
            <w:pPr>
              <w:jc w:val="right"/>
              <w:rPr>
                <w:rFonts w:ascii="宋体" w:hAnsi="宋体"/>
              </w:rPr>
            </w:pPr>
            <w:r>
              <w:rPr>
                <w:rFonts w:ascii="宋体" w:hAnsi="宋体"/>
              </w:rPr>
              <w:t xml:space="preserve"> 425 </w:t>
            </w:r>
          </w:p>
        </w:tc>
        <w:tc>
          <w:tcPr>
            <w:tcW w:w="1084" w:type="dxa"/>
            <w:vAlign w:val="center"/>
          </w:tcPr>
          <w:p>
            <w:pPr>
              <w:jc w:val="right"/>
              <w:rPr>
                <w:rFonts w:ascii="宋体" w:hAnsi="宋体"/>
              </w:rPr>
            </w:pPr>
            <w:r>
              <w:rPr>
                <w:rFonts w:ascii="宋体" w:hAnsi="宋体" w:hint="eastAsia"/>
              </w:rPr>
              <w:t xml:space="preserve">债务重组 </w:t>
            </w:r>
          </w:p>
        </w:tc>
        <w:tc>
          <w:tcPr>
            <w:tcW w:w="1084" w:type="dxa"/>
            <w:vAlign w:val="center"/>
          </w:tcPr>
          <w:p>
            <w:pPr>
              <w:jc w:val="right"/>
              <w:rPr>
                <w:rFonts w:ascii="宋体" w:hAnsi="宋体"/>
              </w:rPr>
            </w:pPr>
            <w:r>
              <w:rPr>
                <w:rFonts w:ascii="宋体" w:hAnsi="宋体"/>
              </w:rPr>
              <w:t xml:space="preserve"> 480 </w:t>
            </w:r>
          </w:p>
        </w:tc>
        <w:tc>
          <w:tcPr>
            <w:tcW w:w="1082" w:type="dxa"/>
            <w:vAlign w:val="center"/>
          </w:tcPr>
          <w:p>
            <w:pPr>
              <w:jc w:val="right"/>
              <w:rPr>
                <w:rFonts w:ascii="宋体" w:hAnsi="宋体"/>
              </w:rPr>
            </w:pPr>
            <w:r>
              <w:rPr>
                <w:rFonts w:ascii="宋体" w:hAnsi="宋体"/>
              </w:rPr>
              <w:t xml:space="preserve">188 </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rPr>
                <w:rFonts w:ascii="宋体" w:hAnsi="宋体"/>
              </w:rPr>
            </w:pPr>
            <w:r>
              <w:rPr>
                <w:rFonts w:ascii="宋体" w:hAnsi="宋体"/>
              </w:rPr>
              <w:t xml:space="preserve"> 668 </w:t>
            </w:r>
          </w:p>
        </w:tc>
        <w:sdt>
          <w:sdtPr>
            <w:rPr>
              <w:rFonts w:ascii="宋体" w:hAnsi="宋体"/>
            </w:rPr>
            <w:alias w:val="上市公司证券投资情况明细－会计核算科目"/>
            <w:tag w:val="_GBC_76b2a58bd6904ac98cdb4e48af86b25a"/>
            <w:id w:val="-1822425839"/>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076" w:type="dxa"/>
                <w:vAlign w:val="center"/>
              </w:tcPr>
              <w:p>
                <w:pPr>
                  <w:jc w:val="both"/>
                  <w:rPr>
                    <w:rFonts w:ascii="宋体" w:hAnsi="宋体"/>
                  </w:rPr>
                </w:pPr>
                <w:r>
                  <w:rPr>
                    <w:rFonts w:ascii="宋体" w:hAnsi="宋体"/>
                  </w:rPr>
                  <w:t>交易性金融资产</w:t>
                </w:r>
              </w:p>
            </w:tc>
          </w:sdtContent>
        </w:sdt>
      </w:tr>
      <w:tr>
        <w:tc>
          <w:tcPr>
            <w:tcW w:w="1082" w:type="dxa"/>
            <w:vAlign w:val="center"/>
          </w:tcPr>
          <w:p>
            <w:pPr>
              <w:widowControl w:val="0"/>
              <w:jc w:val="both"/>
            </w:pPr>
            <w:r>
              <w:rPr>
                <w:rFonts w:hint="eastAsia"/>
              </w:rPr>
              <w:t>信托产品</w:t>
            </w:r>
            <w:r>
              <w:rPr>
                <w:rFonts w:hint="eastAsia"/>
              </w:rPr>
              <w:t xml:space="preserve"> </w:t>
            </w:r>
          </w:p>
        </w:tc>
        <w:tc>
          <w:tcPr>
            <w:tcW w:w="1084" w:type="dxa"/>
            <w:vAlign w:val="center"/>
          </w:tcPr>
          <w:p>
            <w:pPr>
              <w:jc w:val="right"/>
              <w:rPr>
                <w:rFonts w:ascii="宋体" w:hAnsi="宋体"/>
              </w:rPr>
            </w:pPr>
            <w:r>
              <w:rPr>
                <w:rFonts w:ascii="宋体" w:hAnsi="宋体" w:hint="eastAsia"/>
              </w:rPr>
              <w:t>-</w:t>
            </w:r>
          </w:p>
        </w:tc>
        <w:tc>
          <w:tcPr>
            <w:tcW w:w="1084" w:type="dxa"/>
            <w:vAlign w:val="center"/>
          </w:tcPr>
          <w:p>
            <w:pPr>
              <w:jc w:val="both"/>
              <w:rPr>
                <w:rFonts w:ascii="宋体" w:hAnsi="宋体"/>
              </w:rPr>
            </w:pPr>
            <w:r>
              <w:rPr>
                <w:rFonts w:ascii="宋体" w:hAnsi="宋体" w:hint="eastAsia"/>
              </w:rPr>
              <w:t>建信信托-彩蝶6号财产权</w:t>
            </w:r>
          </w:p>
        </w:tc>
        <w:tc>
          <w:tcPr>
            <w:tcW w:w="1084" w:type="dxa"/>
            <w:vAlign w:val="center"/>
          </w:tcPr>
          <w:p>
            <w:pPr>
              <w:jc w:val="right"/>
              <w:rPr>
                <w:rFonts w:ascii="宋体" w:hAnsi="宋体"/>
              </w:rPr>
            </w:pPr>
            <w:r>
              <w:rPr>
                <w:rFonts w:ascii="宋体" w:hAnsi="宋体"/>
              </w:rPr>
              <w:t xml:space="preserve">43,731 </w:t>
            </w:r>
          </w:p>
        </w:tc>
        <w:tc>
          <w:tcPr>
            <w:tcW w:w="1084" w:type="dxa"/>
            <w:vAlign w:val="center"/>
          </w:tcPr>
          <w:p>
            <w:pPr>
              <w:jc w:val="right"/>
              <w:rPr>
                <w:rFonts w:ascii="宋体" w:hAnsi="宋体"/>
              </w:rPr>
            </w:pPr>
            <w:r>
              <w:rPr>
                <w:rFonts w:ascii="宋体" w:hAnsi="宋体" w:hint="eastAsia"/>
              </w:rPr>
              <w:t xml:space="preserve">债务重组 </w:t>
            </w:r>
          </w:p>
        </w:tc>
        <w:tc>
          <w:tcPr>
            <w:tcW w:w="1084" w:type="dxa"/>
            <w:vAlign w:val="center"/>
          </w:tcPr>
          <w:p>
            <w:pPr>
              <w:jc w:val="right"/>
              <w:rPr>
                <w:rFonts w:ascii="宋体" w:hAnsi="宋体"/>
              </w:rPr>
            </w:pPr>
            <w:r>
              <w:rPr>
                <w:rFonts w:ascii="宋体" w:hAnsi="宋体"/>
              </w:rPr>
              <w:t xml:space="preserve">70,521 </w:t>
            </w:r>
          </w:p>
        </w:tc>
        <w:tc>
          <w:tcPr>
            <w:tcW w:w="1082" w:type="dxa"/>
            <w:vAlign w:val="center"/>
          </w:tcPr>
          <w:p>
            <w:pPr>
              <w:jc w:val="right"/>
              <w:rPr>
                <w:rFonts w:ascii="宋体" w:hAnsi="宋体"/>
              </w:rPr>
            </w:pPr>
            <w:r>
              <w:rPr>
                <w:rFonts w:ascii="宋体" w:hAnsi="宋体"/>
              </w:rPr>
              <w:t xml:space="preserve">-2 </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rPr>
                <w:rFonts w:ascii="宋体" w:hAnsi="宋体"/>
              </w:rPr>
            </w:pPr>
            <w:r>
              <w:rPr>
                <w:rFonts w:ascii="宋体" w:hAnsi="宋体"/>
              </w:rPr>
              <w:t xml:space="preserve"> 70,519 </w:t>
            </w:r>
          </w:p>
        </w:tc>
        <w:sdt>
          <w:sdtPr>
            <w:rPr>
              <w:rFonts w:ascii="宋体" w:hAnsi="宋体"/>
            </w:rPr>
            <w:alias w:val="上市公司证券投资情况明细－会计核算科目"/>
            <w:tag w:val="_GBC_76b2a58bd6904ac98cdb4e48af86b25a"/>
            <w:id w:val="-318193491"/>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076" w:type="dxa"/>
                <w:vAlign w:val="center"/>
              </w:tcPr>
              <w:p>
                <w:pPr>
                  <w:jc w:val="both"/>
                  <w:rPr>
                    <w:rFonts w:ascii="宋体" w:hAnsi="宋体"/>
                  </w:rPr>
                </w:pPr>
                <w:r>
                  <w:rPr>
                    <w:rFonts w:ascii="宋体" w:hAnsi="宋体"/>
                  </w:rPr>
                  <w:t>其他权益工具投资</w:t>
                </w:r>
              </w:p>
            </w:tc>
          </w:sdtContent>
        </w:sdt>
      </w:tr>
      <w:tr>
        <w:tc>
          <w:tcPr>
            <w:tcW w:w="1082" w:type="dxa"/>
            <w:vAlign w:val="center"/>
          </w:tcPr>
          <w:p>
            <w:pPr>
              <w:widowControl w:val="0"/>
              <w:jc w:val="both"/>
            </w:pPr>
            <w:r>
              <w:t>合计</w:t>
            </w:r>
          </w:p>
        </w:tc>
        <w:tc>
          <w:tcPr>
            <w:tcW w:w="1084" w:type="dxa"/>
            <w:vAlign w:val="center"/>
          </w:tcPr>
          <w:p>
            <w:pPr>
              <w:widowControl w:val="0"/>
              <w:jc w:val="center"/>
            </w:pPr>
            <w:r>
              <w:rPr>
                <w:rFonts w:hint="eastAsia"/>
              </w:rPr>
              <w:t>/</w:t>
            </w:r>
          </w:p>
        </w:tc>
        <w:tc>
          <w:tcPr>
            <w:tcW w:w="1084" w:type="dxa"/>
            <w:vAlign w:val="center"/>
          </w:tcPr>
          <w:p>
            <w:pPr>
              <w:widowControl w:val="0"/>
              <w:jc w:val="center"/>
            </w:pPr>
            <w:r>
              <w:rPr>
                <w:rFonts w:hint="eastAsia"/>
              </w:rPr>
              <w:t>/</w:t>
            </w:r>
          </w:p>
        </w:tc>
        <w:tc>
          <w:tcPr>
            <w:tcW w:w="1084" w:type="dxa"/>
            <w:vAlign w:val="center"/>
          </w:tcPr>
          <w:p>
            <w:pPr>
              <w:jc w:val="right"/>
              <w:rPr>
                <w:rFonts w:ascii="宋体" w:hAnsi="宋体"/>
              </w:rPr>
            </w:pPr>
            <w:r>
              <w:rPr>
                <w:rFonts w:ascii="宋体" w:hAnsi="宋体"/>
              </w:rPr>
              <w:t xml:space="preserve">44,245 </w:t>
            </w:r>
          </w:p>
        </w:tc>
        <w:tc>
          <w:tcPr>
            <w:tcW w:w="1084" w:type="dxa"/>
            <w:vAlign w:val="center"/>
          </w:tcPr>
          <w:p>
            <w:pPr>
              <w:widowControl w:val="0"/>
              <w:jc w:val="right"/>
            </w:pPr>
            <w:r>
              <w:rPr>
                <w:rFonts w:hint="eastAsia"/>
              </w:rPr>
              <w:t>/</w:t>
            </w:r>
          </w:p>
        </w:tc>
        <w:tc>
          <w:tcPr>
            <w:tcW w:w="1084" w:type="dxa"/>
            <w:vAlign w:val="center"/>
          </w:tcPr>
          <w:p>
            <w:pPr>
              <w:jc w:val="right"/>
              <w:rPr>
                <w:rFonts w:ascii="宋体" w:hAnsi="宋体"/>
              </w:rPr>
            </w:pPr>
            <w:r>
              <w:rPr>
                <w:rFonts w:ascii="宋体" w:hAnsi="宋体"/>
              </w:rPr>
              <w:t xml:space="preserve">71,347 </w:t>
            </w:r>
          </w:p>
        </w:tc>
        <w:tc>
          <w:tcPr>
            <w:tcW w:w="1082" w:type="dxa"/>
            <w:vAlign w:val="center"/>
          </w:tcPr>
          <w:p>
            <w:pPr>
              <w:jc w:val="right"/>
              <w:rPr>
                <w:rFonts w:ascii="宋体" w:hAnsi="宋体"/>
              </w:rPr>
            </w:pPr>
            <w:r>
              <w:rPr>
                <w:rFonts w:ascii="宋体" w:hAnsi="宋体"/>
              </w:rPr>
              <w:t xml:space="preserve"> 186 </w:t>
            </w:r>
          </w:p>
        </w:tc>
        <w:tc>
          <w:tcPr>
            <w:tcW w:w="1084" w:type="dxa"/>
            <w:vAlign w:val="center"/>
          </w:tcPr>
          <w:p>
            <w:pPr>
              <w:jc w:val="right"/>
              <w:rPr>
                <w:rFonts w:ascii="宋体" w:hAnsi="宋体"/>
              </w:rPr>
            </w:pPr>
            <w:r>
              <w:rPr>
                <w:rFonts w:ascii="宋体" w:hAnsi="宋体"/>
              </w:rPr>
              <w:t xml:space="preserve"> 134 </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pPr>
            <w:r>
              <w:rPr>
                <w:rFonts w:ascii="宋体" w:hAnsi="宋体" w:hint="eastAsia"/>
              </w:rPr>
              <w:t>0</w:t>
            </w:r>
          </w:p>
        </w:tc>
        <w:tc>
          <w:tcPr>
            <w:tcW w:w="1084" w:type="dxa"/>
            <w:vAlign w:val="center"/>
          </w:tcPr>
          <w:p>
            <w:pPr>
              <w:jc w:val="right"/>
              <w:rPr>
                <w:rFonts w:ascii="宋体" w:hAnsi="宋体"/>
              </w:rPr>
            </w:pPr>
            <w:r>
              <w:rPr>
                <w:rFonts w:ascii="宋体" w:hAnsi="宋体"/>
              </w:rPr>
              <w:t xml:space="preserve"> 71,667 </w:t>
            </w:r>
          </w:p>
        </w:tc>
        <w:tc>
          <w:tcPr>
            <w:tcW w:w="1076" w:type="dxa"/>
            <w:vAlign w:val="center"/>
          </w:tcPr>
          <w:p>
            <w:pPr>
              <w:widowControl w:val="0"/>
              <w:jc w:val="right"/>
            </w:pPr>
            <w:r>
              <w:rPr>
                <w:rFonts w:hint="eastAsia"/>
              </w:rPr>
              <w:t>/</w:t>
            </w:r>
          </w:p>
        </w:tc>
      </w:tr>
    </w:tbl>
    <w:p>
      <w:pPr>
        <w:pStyle w:val="Style49"/>
      </w:pPr>
    </w:p>
    <w:p>
      <w:pPr>
        <w:pStyle w:val="Style49"/>
      </w:pPr>
      <w:bookmarkStart w:id="127" w:name="_Hlk151135120"/>
      <w:bookmarkEnd w:id="126"/>
      <w:r>
        <w:rPr>
          <w:rFonts w:hint="eastAsia"/>
        </w:rPr>
        <w:t>证券投资情况的说明</w:t>
      </w:r>
    </w:p>
    <w:sdt>
      <w:sdtPr>
        <w:alias w:val="是否适用：证券投资情况的说明[双击切换]"/>
        <w:tag w:val="_GBC_846a2917c37545bbb004e11b14dfefbc"/>
        <w:id w:val="463164393"/>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Style49"/>
      </w:pPr>
      <w:bookmarkStart w:id="128" w:name="_Hlk40534809"/>
      <w:bookmarkEnd w:id="127"/>
      <w:r>
        <w:rPr>
          <w:rFonts w:hint="eastAsia"/>
        </w:rPr>
        <w:t>私募基金投资情况</w:t>
      </w:r>
    </w:p>
    <w:sdt>
      <w:sdtPr>
        <w:alias w:val="是否适用：私募基金投资情况[双击切换]"/>
        <w:tag w:val="_GBC_6e916a873a4e4af3a90d6fc81d187ac8"/>
        <w:id w:val="1504471643"/>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bookmarkEnd w:id="128"/>
    <w:p>
      <w:pPr>
        <w:pStyle w:val="Style49"/>
      </w:pPr>
      <w:r>
        <w:rPr>
          <w:rFonts w:hint="eastAsia"/>
        </w:rPr>
        <w:lastRenderedPageBreak/>
        <w:t>衍生品投资情况</w:t>
      </w:r>
    </w:p>
    <w:sdt>
      <w:sdtPr>
        <w:rPr>
          <w:rFonts w:hint="eastAsia"/>
        </w:rPr>
        <w:alias w:val="是否适用：衍生品投资情况  [双击切换]"/>
        <w:tag w:val="_GBC_0155f13d04cb48bc8f6a2a16edfe26b3"/>
        <w:id w:val="-210988687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bookmarkStart w:id="129" w:name="_Hlk155617745"/>
      <w:bookmarkStart w:id="130" w:name="_Hlk94111679"/>
    </w:p>
    <w:p>
      <w:pPr>
        <w:pStyle w:val="Style49"/>
      </w:pPr>
    </w:p>
    <w:bookmarkEnd w:id="129"/>
    <w:p>
      <w:pPr>
        <w:pStyle w:val="4"/>
        <w:numPr>
          <w:ilvl w:val="0"/>
          <w:numId w:val="22"/>
        </w:numPr>
      </w:pPr>
      <w:r>
        <w:rPr>
          <w:rFonts w:hint="eastAsia"/>
        </w:rPr>
        <w:t>报告期内重大资产重组整合的具体进展情况</w:t>
      </w:r>
    </w:p>
    <w:sdt>
      <w:sdtPr>
        <w:alias w:val="是否适用：报告期内重大资产重组整合的具体进展情况[双击切换]"/>
        <w:tag w:val="_GBC_c52695d1957b4fa89b0b7326da1f5a10"/>
        <w:id w:val="-1775233821"/>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Style49"/>
      </w:pPr>
    </w:p>
    <w:bookmarkEnd w:id="130"/>
    <w:p>
      <w:pPr>
        <w:keepNext/>
        <w:keepLines/>
        <w:widowControl w:val="0"/>
        <w:numPr>
          <w:ilvl w:val="0"/>
          <w:numId w:val="15"/>
        </w:numPr>
        <w:spacing w:before="60" w:after="60"/>
        <w:ind w:left="369" w:hangingChars="175" w:hanging="369"/>
        <w:jc w:val="both"/>
        <w:outlineLvl w:val="2"/>
        <w:rPr>
          <w:rFonts w:ascii="宋体" w:hAnsi="宋体"/>
          <w:b/>
          <w:bCs/>
          <w:kern w:val="2"/>
        </w:rPr>
      </w:pPr>
      <w:r>
        <w:rPr>
          <w:rFonts w:ascii="宋体" w:hAnsi="宋体" w:hint="eastAsia"/>
          <w:b/>
          <w:bCs/>
          <w:kern w:val="2"/>
        </w:rPr>
        <w:t>重大资产和股权出售</w:t>
      </w:r>
    </w:p>
    <w:sdt>
      <w:sdtPr>
        <w:rPr>
          <w:rFonts w:hint="eastAsia"/>
        </w:rPr>
        <w:alias w:val="是否适用：重大资产和股权出售[双击切换]"/>
        <w:tag w:val="_GBC_949dc5a581604be69ba935fceadc4b1d"/>
        <w:id w:val="-1987234079"/>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keepNext/>
        <w:keepLines/>
        <w:widowControl w:val="0"/>
        <w:numPr>
          <w:ilvl w:val="0"/>
          <w:numId w:val="15"/>
        </w:numPr>
        <w:spacing w:before="60" w:after="60"/>
        <w:ind w:left="369" w:hangingChars="175" w:hanging="369"/>
        <w:jc w:val="both"/>
        <w:outlineLvl w:val="2"/>
        <w:rPr>
          <w:rFonts w:ascii="宋体" w:hAnsi="宋体"/>
          <w:b/>
          <w:bCs/>
          <w:kern w:val="2"/>
        </w:rPr>
      </w:pPr>
      <w:bookmarkStart w:id="131" w:name="_Hlk200011206"/>
      <w:bookmarkStart w:id="132" w:name="_Hlk213662043"/>
      <w:r>
        <w:rPr>
          <w:rFonts w:ascii="宋体" w:hAnsi="宋体" w:hint="eastAsia"/>
          <w:b/>
          <w:bCs/>
          <w:kern w:val="2"/>
        </w:rPr>
        <w:t>主要控股参股公司分析</w:t>
      </w:r>
    </w:p>
    <w:sdt>
      <w:sdtPr>
        <w:rPr>
          <w:color w:val="000000" w:themeColor="text1"/>
        </w:rPr>
        <w:alias w:val="是否适用：主要控股参股公司分析[双击切换]"/>
        <w:tag w:val="_GBC_c05ac32e7acf4aa08c3b1b389547fce0"/>
        <w:id w:val="-1606411017"/>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rPr>
          <w:rFonts w:ascii="宋体" w:hAnsi="宋体"/>
        </w:rPr>
      </w:pPr>
      <w:r>
        <w:rPr>
          <w:rFonts w:hint="eastAsia"/>
        </w:rPr>
        <w:t>主要子公司及对公司净</w:t>
      </w:r>
      <w:r>
        <w:rPr>
          <w:rFonts w:ascii="宋体" w:hAnsi="宋体" w:hint="eastAsia"/>
        </w:rPr>
        <w:t>利润影响达10%以上的参股公司情况</w:t>
      </w:r>
    </w:p>
    <w:sdt>
      <w:sdtPr>
        <w:rPr>
          <w:rFonts w:hint="eastAsia"/>
          <w:color w:val="000000"/>
        </w:rPr>
        <w:alias w:val="是否适用：主要子公司及对公司净利润影响达10%以上的参股公司情况[双击切换]"/>
        <w:tag w:val="_GBC_9d434b01b56f4e79bcdfcac696798730"/>
        <w:id w:val="1874500956"/>
        <w:placeholder>
          <w:docPart w:val="GBC22222222222222222222222222222"/>
        </w:placeholder>
      </w:sdtPr>
      <w:sdtContent>
        <w:p>
          <w:pPr>
            <w:rPr>
              <w:color w:val="000000"/>
            </w:rPr>
          </w:pPr>
          <w:r>
            <w:rPr>
              <w:rFonts w:ascii="宋体" w:hAnsi="宋体" w:hint="eastAsia"/>
              <w:color w:val="000000"/>
            </w:rPr>
            <w:fldChar w:fldCharType="begin"/>
          </w:r>
          <w:r>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□不适用 </w:instrText>
          </w:r>
          <w:r>
            <w:rPr>
              <w:rFonts w:ascii="宋体" w:hAnsi="宋体" w:hint="eastAsia"/>
              <w:color w:val="000000"/>
            </w:rPr>
            <w:fldChar w:fldCharType="end"/>
          </w:r>
        </w:p>
      </w:sdtContent>
    </w:sdt>
    <w:p>
      <w:pPr>
        <w:jc w:val="right"/>
        <w:rPr>
          <w:color w:val="000000"/>
        </w:rPr>
      </w:pPr>
      <w:r>
        <w:rPr>
          <w:rFonts w:hint="eastAsia"/>
          <w:color w:val="000000"/>
        </w:rPr>
        <w:t>单位：</w:t>
      </w:r>
      <w:sdt>
        <w:sdtPr>
          <w:rPr>
            <w:rFonts w:hint="eastAsia"/>
            <w:color w:val="000000"/>
          </w:rPr>
          <w:alias w:val="单位：主要控股参股公司分析"/>
          <w:tag w:val="_GBC_8d5082a3ef1247029bfec10b09878a74"/>
          <w:id w:val="7280440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rPr>
            <w:t>百万元</w:t>
          </w:r>
        </w:sdtContent>
      </w:sdt>
      <w:r>
        <w:rPr>
          <w:rFonts w:hint="eastAsia"/>
          <w:color w:val="000000"/>
        </w:rPr>
        <w:t xml:space="preserve">  </w:t>
      </w:r>
      <w:r>
        <w:rPr>
          <w:rFonts w:hint="eastAsia"/>
          <w:color w:val="000000"/>
        </w:rPr>
        <w:t>币种：</w:t>
      </w:r>
      <w:sdt>
        <w:sdtPr>
          <w:rPr>
            <w:rFonts w:hint="eastAsia"/>
            <w:color w:val="000000"/>
          </w:rPr>
          <w:alias w:val="币种：主要控股参股公司分析"/>
          <w:tag w:val="_GBC_27853eae803847d39b60d39456b72571"/>
          <w:id w:val="1730889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rPr>
            <w:t>人民币</w:t>
          </w:r>
        </w:sdtContent>
      </w:sdt>
      <w:r>
        <w:rPr>
          <w:rFonts w:hint="eastAsia"/>
          <w:color w:val="000000"/>
        </w:rPr>
        <w:t xml:space="preserve"> </w:t>
      </w:r>
    </w:p>
    <w:tbl>
      <w:tblPr>
        <w:tblStyle w:val="Style63"/>
        <w:tblW w:w="139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540"/>
        <w:gridCol w:w="1627"/>
        <w:gridCol w:w="2357"/>
        <w:gridCol w:w="1701"/>
        <w:gridCol w:w="1134"/>
        <w:gridCol w:w="1417"/>
        <w:gridCol w:w="1418"/>
        <w:gridCol w:w="1114"/>
        <w:gridCol w:w="1624"/>
      </w:tblGrid>
      <w:tr>
        <w:sdt>
          <w:sdtPr>
            <w:tag w:val="_PLD_77d1b0f0ca10428db347fba0d0883430"/>
            <w:id w:val="1133603954"/>
          </w:sdtPr>
          <w:sdtContent>
            <w:tc>
              <w:tcPr>
                <w:tcW w:w="1540" w:type="dxa"/>
                <w:vAlign w:val="center"/>
              </w:tcPr>
              <w:p>
                <w:pPr>
                  <w:kinsoku w:val="0"/>
                  <w:overflowPunct w:val="0"/>
                  <w:autoSpaceDE w:val="0"/>
                  <w:autoSpaceDN w:val="0"/>
                  <w:adjustRightInd w:val="0"/>
                  <w:snapToGrid w:val="0"/>
                  <w:jc w:val="center"/>
                </w:pPr>
                <w:r>
                  <w:t>公司名称</w:t>
                </w:r>
              </w:p>
            </w:tc>
          </w:sdtContent>
        </w:sdt>
        <w:sdt>
          <w:sdtPr>
            <w:tag w:val="_PLD_39a34b0234774dd4a02351974d6690de"/>
            <w:id w:val="-1297297052"/>
          </w:sdtPr>
          <w:sdtContent>
            <w:tc>
              <w:tcPr>
                <w:tcW w:w="1627" w:type="dxa"/>
                <w:vAlign w:val="center"/>
              </w:tcPr>
              <w:p>
                <w:pPr>
                  <w:kinsoku w:val="0"/>
                  <w:overflowPunct w:val="0"/>
                  <w:autoSpaceDE w:val="0"/>
                  <w:autoSpaceDN w:val="0"/>
                  <w:adjustRightInd w:val="0"/>
                  <w:snapToGrid w:val="0"/>
                  <w:jc w:val="center"/>
                </w:pPr>
                <w:r>
                  <w:t>公司类型</w:t>
                </w:r>
              </w:p>
            </w:tc>
          </w:sdtContent>
        </w:sdt>
        <w:sdt>
          <w:sdtPr>
            <w:tag w:val="_PLD_f896bd671d5344dc9566b8fb48245b72"/>
            <w:id w:val="1494984494"/>
          </w:sdtPr>
          <w:sdtContent>
            <w:tc>
              <w:tcPr>
                <w:tcW w:w="2357" w:type="dxa"/>
                <w:vAlign w:val="center"/>
              </w:tcPr>
              <w:p>
                <w:pPr>
                  <w:kinsoku w:val="0"/>
                  <w:overflowPunct w:val="0"/>
                  <w:autoSpaceDE w:val="0"/>
                  <w:autoSpaceDN w:val="0"/>
                  <w:adjustRightInd w:val="0"/>
                  <w:snapToGrid w:val="0"/>
                  <w:jc w:val="center"/>
                </w:pPr>
                <w:r>
                  <w:t>主要业务</w:t>
                </w:r>
              </w:p>
            </w:tc>
          </w:sdtContent>
        </w:sdt>
        <w:sdt>
          <w:sdtPr>
            <w:tag w:val="_PLD_28c765f0770d4489b0ac7af726b78d3c"/>
            <w:id w:val="-543214359"/>
          </w:sdtPr>
          <w:sdtContent>
            <w:tc>
              <w:tcPr>
                <w:tcW w:w="1701" w:type="dxa"/>
                <w:vAlign w:val="center"/>
              </w:tcPr>
              <w:p>
                <w:pPr>
                  <w:kinsoku w:val="0"/>
                  <w:overflowPunct w:val="0"/>
                  <w:autoSpaceDE w:val="0"/>
                  <w:autoSpaceDN w:val="0"/>
                  <w:adjustRightInd w:val="0"/>
                  <w:snapToGrid w:val="0"/>
                  <w:jc w:val="center"/>
                </w:pPr>
                <w:r>
                  <w:t>注册资本</w:t>
                </w:r>
              </w:p>
            </w:tc>
          </w:sdtContent>
        </w:sdt>
        <w:sdt>
          <w:sdtPr>
            <w:tag w:val="_PLD_8dfb8195bf8042eab9afd470bd721131"/>
            <w:id w:val="577092597"/>
          </w:sdtPr>
          <w:sdtContent>
            <w:tc>
              <w:tcPr>
                <w:tcW w:w="1134" w:type="dxa"/>
                <w:vAlign w:val="center"/>
              </w:tcPr>
              <w:p>
                <w:pPr>
                  <w:kinsoku w:val="0"/>
                  <w:overflowPunct w:val="0"/>
                  <w:autoSpaceDE w:val="0"/>
                  <w:autoSpaceDN w:val="0"/>
                  <w:adjustRightInd w:val="0"/>
                  <w:snapToGrid w:val="0"/>
                  <w:jc w:val="center"/>
                </w:pPr>
                <w:r>
                  <w:t>总资产</w:t>
                </w:r>
              </w:p>
            </w:tc>
          </w:sdtContent>
        </w:sdt>
        <w:sdt>
          <w:sdtPr>
            <w:tag w:val="_PLD_568be9ac045440aeaf1bfa59ac4c13ce"/>
            <w:id w:val="368882940"/>
          </w:sdtPr>
          <w:sdtContent>
            <w:tc>
              <w:tcPr>
                <w:tcW w:w="1417" w:type="dxa"/>
                <w:vAlign w:val="center"/>
              </w:tcPr>
              <w:p>
                <w:pPr>
                  <w:kinsoku w:val="0"/>
                  <w:overflowPunct w:val="0"/>
                  <w:autoSpaceDE w:val="0"/>
                  <w:autoSpaceDN w:val="0"/>
                  <w:adjustRightInd w:val="0"/>
                  <w:snapToGrid w:val="0"/>
                  <w:jc w:val="center"/>
                </w:pPr>
                <w:r>
                  <w:t>净资产</w:t>
                </w:r>
              </w:p>
            </w:tc>
          </w:sdtContent>
        </w:sdt>
        <w:sdt>
          <w:sdtPr>
            <w:tag w:val="_PLD_5b0234e93edf4d4eba9ba1632349de01"/>
            <w:id w:val="-1778943793"/>
          </w:sdtPr>
          <w:sdtContent>
            <w:tc>
              <w:tcPr>
                <w:tcW w:w="1418" w:type="dxa"/>
                <w:vAlign w:val="center"/>
              </w:tcPr>
              <w:p>
                <w:pPr>
                  <w:kinsoku w:val="0"/>
                  <w:overflowPunct w:val="0"/>
                  <w:autoSpaceDE w:val="0"/>
                  <w:autoSpaceDN w:val="0"/>
                  <w:adjustRightInd w:val="0"/>
                  <w:snapToGrid w:val="0"/>
                  <w:jc w:val="center"/>
                </w:pPr>
                <w:r>
                  <w:t>营业收入</w:t>
                </w:r>
              </w:p>
            </w:tc>
          </w:sdtContent>
        </w:sdt>
        <w:sdt>
          <w:sdtPr>
            <w:tag w:val="_PLD_ba045ffba7c14248ae76aaccea04d750"/>
            <w:id w:val="23991135"/>
          </w:sdtPr>
          <w:sdtContent>
            <w:tc>
              <w:tcPr>
                <w:tcW w:w="1114" w:type="dxa"/>
                <w:vAlign w:val="center"/>
              </w:tcPr>
              <w:p>
                <w:pPr>
                  <w:kinsoku w:val="0"/>
                  <w:overflowPunct w:val="0"/>
                  <w:autoSpaceDE w:val="0"/>
                  <w:autoSpaceDN w:val="0"/>
                  <w:adjustRightInd w:val="0"/>
                  <w:snapToGrid w:val="0"/>
                  <w:jc w:val="center"/>
                </w:pPr>
                <w:r>
                  <w:t>营业利润</w:t>
                </w:r>
              </w:p>
            </w:tc>
          </w:sdtContent>
        </w:sdt>
        <w:sdt>
          <w:sdtPr>
            <w:tag w:val="_PLD_e15dc49d121b480aa6e96a30e17a5359"/>
            <w:id w:val="1666431650"/>
          </w:sdtPr>
          <w:sdtContent>
            <w:tc>
              <w:tcPr>
                <w:tcW w:w="1624" w:type="dxa"/>
                <w:vAlign w:val="center"/>
              </w:tcPr>
              <w:p>
                <w:pPr>
                  <w:kinsoku w:val="0"/>
                  <w:overflowPunct w:val="0"/>
                  <w:autoSpaceDE w:val="0"/>
                  <w:autoSpaceDN w:val="0"/>
                  <w:adjustRightInd w:val="0"/>
                  <w:snapToGrid w:val="0"/>
                  <w:jc w:val="center"/>
                </w:pPr>
                <w:r>
                  <w:t>净利润</w:t>
                </w:r>
              </w:p>
            </w:tc>
          </w:sdtContent>
        </w:sdt>
      </w:tr>
      <w:tr>
        <w:tc>
          <w:tcPr>
            <w:tcW w:w="1540" w:type="dxa"/>
            <w:vAlign w:val="center"/>
          </w:tcPr>
          <w:p>
            <w:pPr>
              <w:kinsoku w:val="0"/>
              <w:overflowPunct w:val="0"/>
              <w:autoSpaceDE w:val="0"/>
              <w:autoSpaceDN w:val="0"/>
              <w:adjustRightInd w:val="0"/>
              <w:snapToGrid w:val="0"/>
            </w:pPr>
            <w:r>
              <w:rPr>
                <w:rFonts w:hint="eastAsia"/>
              </w:rPr>
              <w:t>鲁西矿业</w:t>
            </w:r>
          </w:p>
        </w:tc>
        <w:sdt>
          <w:sdtPr>
            <w:rPr>
              <w:rFonts w:hint="eastAsia"/>
            </w:rPr>
            <w:alias w:val="主要控股参股公司分析明细_公司类型"/>
            <w:tag w:val="_GBC_9e936313969142599bc0a5fab0441112"/>
            <w:id w:val="1003473853"/>
            <w:comboBox>
              <w:listItem w:displayText="子公司" w:value="子公司"/>
              <w:listItem w:displayText="参股公司" w:value="参股公司"/>
            </w:comboBox>
          </w:sdtPr>
          <w:sdtContent>
            <w:tc>
              <w:tcPr>
                <w:tcW w:w="1627" w:type="dxa"/>
                <w:vAlign w:val="center"/>
              </w:tcPr>
              <w:p>
                <w:pPr>
                  <w:kinsoku w:val="0"/>
                  <w:overflowPunct w:val="0"/>
                  <w:autoSpaceDE w:val="0"/>
                  <w:autoSpaceDN w:val="0"/>
                  <w:adjustRightInd w:val="0"/>
                  <w:snapToGrid w:val="0"/>
                </w:pPr>
                <w:r>
                  <w:rPr>
                    <w:rFonts w:hint="eastAsia"/>
                  </w:rPr>
                  <w:t>子公司</w:t>
                </w:r>
              </w:p>
            </w:tc>
          </w:sdtContent>
        </w:sdt>
        <w:tc>
          <w:tcPr>
            <w:tcW w:w="2357" w:type="dxa"/>
            <w:vAlign w:val="center"/>
          </w:tcPr>
          <w:p>
            <w:pPr>
              <w:kinsoku w:val="0"/>
              <w:overflowPunct w:val="0"/>
              <w:autoSpaceDE w:val="0"/>
              <w:autoSpaceDN w:val="0"/>
              <w:adjustRightInd w:val="0"/>
              <w:snapToGrid w:val="0"/>
            </w:pPr>
            <w:r>
              <w:rPr>
                <w:rFonts w:hint="eastAsia"/>
              </w:rPr>
              <w:t>煤炭开采、煤炭洗选、煤炭及制品销售</w:t>
            </w:r>
          </w:p>
        </w:tc>
        <w:tc>
          <w:tcPr>
            <w:tcW w:w="170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5,000</w:t>
            </w:r>
          </w:p>
        </w:tc>
        <w:tc>
          <w:tcPr>
            <w:tcW w:w="1134" w:type="dxa"/>
            <w:vAlign w:val="center"/>
          </w:tcPr>
          <w:p>
            <w:pPr>
              <w:kinsoku w:val="0"/>
              <w:overflowPunct w:val="0"/>
              <w:autoSpaceDE w:val="0"/>
              <w:autoSpaceDN w:val="0"/>
              <w:adjustRightInd w:val="0"/>
              <w:snapToGrid w:val="0"/>
              <w:jc w:val="right"/>
              <w:rPr>
                <w:rFonts w:ascii="宋体" w:hAnsi="宋体"/>
              </w:rPr>
            </w:pPr>
            <w:r>
              <w:rPr>
                <w:rFonts w:ascii="宋体" w:hAnsi="宋体"/>
              </w:rPr>
              <w:t>42,586</w:t>
            </w:r>
          </w:p>
        </w:tc>
        <w:tc>
          <w:tcPr>
            <w:tcW w:w="1417" w:type="dxa"/>
            <w:vAlign w:val="center"/>
          </w:tcPr>
          <w:p>
            <w:pPr>
              <w:kinsoku w:val="0"/>
              <w:overflowPunct w:val="0"/>
              <w:autoSpaceDE w:val="0"/>
              <w:autoSpaceDN w:val="0"/>
              <w:adjustRightInd w:val="0"/>
              <w:snapToGrid w:val="0"/>
              <w:jc w:val="right"/>
              <w:rPr>
                <w:rFonts w:ascii="宋体" w:hAnsi="宋体"/>
              </w:rPr>
            </w:pPr>
            <w:r>
              <w:rPr>
                <w:rFonts w:ascii="宋体" w:hAnsi="宋体"/>
              </w:rPr>
              <w:t>13,462</w:t>
            </w:r>
          </w:p>
        </w:tc>
        <w:tc>
          <w:tcPr>
            <w:tcW w:w="1418" w:type="dxa"/>
            <w:vAlign w:val="center"/>
          </w:tcPr>
          <w:p>
            <w:pPr>
              <w:kinsoku w:val="0"/>
              <w:overflowPunct w:val="0"/>
              <w:autoSpaceDE w:val="0"/>
              <w:autoSpaceDN w:val="0"/>
              <w:adjustRightInd w:val="0"/>
              <w:snapToGrid w:val="0"/>
              <w:jc w:val="right"/>
              <w:rPr>
                <w:rFonts w:ascii="宋体" w:hAnsi="宋体"/>
              </w:rPr>
            </w:pPr>
            <w:r>
              <w:rPr>
                <w:rFonts w:ascii="宋体" w:hAnsi="宋体"/>
              </w:rPr>
              <w:t>11,791</w:t>
            </w:r>
          </w:p>
        </w:tc>
        <w:tc>
          <w:tcPr>
            <w:tcW w:w="1114" w:type="dxa"/>
            <w:vAlign w:val="center"/>
          </w:tcPr>
          <w:p>
            <w:pPr>
              <w:kinsoku w:val="0"/>
              <w:overflowPunct w:val="0"/>
              <w:autoSpaceDE w:val="0"/>
              <w:autoSpaceDN w:val="0"/>
              <w:adjustRightInd w:val="0"/>
              <w:snapToGrid w:val="0"/>
              <w:jc w:val="right"/>
              <w:rPr>
                <w:rFonts w:ascii="宋体" w:hAnsi="宋体"/>
              </w:rPr>
            </w:pPr>
            <w:r>
              <w:rPr>
                <w:rFonts w:ascii="宋体" w:hAnsi="宋体"/>
              </w:rPr>
              <w:t>3,926</w:t>
            </w:r>
          </w:p>
        </w:tc>
        <w:tc>
          <w:tcPr>
            <w:tcW w:w="1624" w:type="dxa"/>
            <w:vAlign w:val="center"/>
          </w:tcPr>
          <w:p>
            <w:pPr>
              <w:kinsoku w:val="0"/>
              <w:overflowPunct w:val="0"/>
              <w:autoSpaceDE w:val="0"/>
              <w:autoSpaceDN w:val="0"/>
              <w:adjustRightInd w:val="0"/>
              <w:snapToGrid w:val="0"/>
              <w:jc w:val="right"/>
              <w:rPr>
                <w:rFonts w:ascii="宋体" w:hAnsi="宋体"/>
              </w:rPr>
            </w:pPr>
            <w:r>
              <w:rPr>
                <w:rFonts w:ascii="宋体" w:hAnsi="宋体"/>
              </w:rPr>
              <w:t xml:space="preserve">2,611 </w:t>
            </w:r>
          </w:p>
        </w:tc>
      </w:tr>
      <w:tr>
        <w:tc>
          <w:tcPr>
            <w:tcW w:w="1540" w:type="dxa"/>
            <w:vAlign w:val="center"/>
          </w:tcPr>
          <w:p>
            <w:pPr>
              <w:kinsoku w:val="0"/>
              <w:overflowPunct w:val="0"/>
              <w:autoSpaceDE w:val="0"/>
              <w:autoSpaceDN w:val="0"/>
              <w:adjustRightInd w:val="0"/>
              <w:snapToGrid w:val="0"/>
            </w:pPr>
            <w:r>
              <w:rPr>
                <w:rFonts w:hint="eastAsia"/>
              </w:rPr>
              <w:t>未来能源</w:t>
            </w:r>
          </w:p>
        </w:tc>
        <w:tc>
          <w:tcPr>
            <w:tcW w:w="1627" w:type="dxa"/>
            <w:vAlign w:val="center"/>
          </w:tcPr>
          <w:p>
            <w:pPr>
              <w:kinsoku w:val="0"/>
              <w:overflowPunct w:val="0"/>
              <w:autoSpaceDE w:val="0"/>
              <w:autoSpaceDN w:val="0"/>
              <w:adjustRightInd w:val="0"/>
              <w:snapToGrid w:val="0"/>
            </w:pPr>
            <w:r>
              <w:rPr>
                <w:rFonts w:hint="eastAsia"/>
              </w:rPr>
              <w:t>子公司</w:t>
            </w:r>
          </w:p>
        </w:tc>
        <w:tc>
          <w:tcPr>
            <w:tcW w:w="2357" w:type="dxa"/>
            <w:vAlign w:val="center"/>
          </w:tcPr>
          <w:p>
            <w:pPr>
              <w:kinsoku w:val="0"/>
              <w:overflowPunct w:val="0"/>
              <w:autoSpaceDE w:val="0"/>
              <w:autoSpaceDN w:val="0"/>
              <w:adjustRightInd w:val="0"/>
              <w:snapToGrid w:val="0"/>
            </w:pPr>
            <w:r>
              <w:rPr>
                <w:rFonts w:hint="eastAsia"/>
              </w:rPr>
              <w:t>煤炭开采、销售；化工产品研发、生产和销售</w:t>
            </w:r>
          </w:p>
        </w:tc>
        <w:tc>
          <w:tcPr>
            <w:tcW w:w="170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5,400</w:t>
            </w:r>
          </w:p>
        </w:tc>
        <w:tc>
          <w:tcPr>
            <w:tcW w:w="1134" w:type="dxa"/>
            <w:vAlign w:val="center"/>
          </w:tcPr>
          <w:p>
            <w:pPr>
              <w:autoSpaceDE w:val="0"/>
              <w:autoSpaceDN w:val="0"/>
              <w:adjustRightInd w:val="0"/>
              <w:jc w:val="right"/>
              <w:rPr>
                <w:rFonts w:ascii="宋体" w:hAnsi="宋体"/>
              </w:rPr>
            </w:pPr>
            <w:r>
              <w:rPr>
                <w:rFonts w:ascii="宋体" w:hAnsi="宋体"/>
              </w:rPr>
              <w:t>36,388</w:t>
            </w:r>
          </w:p>
        </w:tc>
        <w:tc>
          <w:tcPr>
            <w:tcW w:w="1417" w:type="dxa"/>
            <w:vAlign w:val="center"/>
          </w:tcPr>
          <w:p>
            <w:pPr>
              <w:autoSpaceDE w:val="0"/>
              <w:autoSpaceDN w:val="0"/>
              <w:adjustRightInd w:val="0"/>
              <w:jc w:val="right"/>
              <w:rPr>
                <w:rFonts w:ascii="宋体" w:hAnsi="宋体"/>
              </w:rPr>
            </w:pPr>
            <w:r>
              <w:rPr>
                <w:rFonts w:ascii="宋体" w:hAnsi="宋体"/>
              </w:rPr>
              <w:t>31,693</w:t>
            </w:r>
          </w:p>
        </w:tc>
        <w:tc>
          <w:tcPr>
            <w:tcW w:w="1418" w:type="dxa"/>
            <w:vAlign w:val="center"/>
          </w:tcPr>
          <w:p>
            <w:pPr>
              <w:autoSpaceDE w:val="0"/>
              <w:autoSpaceDN w:val="0"/>
              <w:adjustRightInd w:val="0"/>
              <w:jc w:val="right"/>
              <w:rPr>
                <w:rFonts w:ascii="宋体" w:hAnsi="宋体"/>
              </w:rPr>
            </w:pPr>
            <w:r>
              <w:rPr>
                <w:rFonts w:ascii="宋体" w:hAnsi="宋体"/>
              </w:rPr>
              <w:t>12,698</w:t>
            </w:r>
          </w:p>
        </w:tc>
        <w:tc>
          <w:tcPr>
            <w:tcW w:w="1114" w:type="dxa"/>
            <w:vAlign w:val="center"/>
          </w:tcPr>
          <w:p>
            <w:pPr>
              <w:autoSpaceDE w:val="0"/>
              <w:autoSpaceDN w:val="0"/>
              <w:adjustRightInd w:val="0"/>
              <w:jc w:val="right"/>
              <w:rPr>
                <w:rFonts w:ascii="宋体" w:hAnsi="宋体"/>
              </w:rPr>
            </w:pPr>
            <w:r>
              <w:rPr>
                <w:rFonts w:ascii="宋体" w:hAnsi="宋体"/>
              </w:rPr>
              <w:t>5,322</w:t>
            </w:r>
          </w:p>
        </w:tc>
        <w:tc>
          <w:tcPr>
            <w:tcW w:w="1624" w:type="dxa"/>
            <w:vAlign w:val="center"/>
          </w:tcPr>
          <w:p>
            <w:pPr>
              <w:autoSpaceDE w:val="0"/>
              <w:autoSpaceDN w:val="0"/>
              <w:adjustRightInd w:val="0"/>
              <w:jc w:val="right"/>
              <w:rPr>
                <w:rFonts w:ascii="宋体" w:hAnsi="宋体"/>
              </w:rPr>
            </w:pPr>
            <w:r>
              <w:rPr>
                <w:rFonts w:ascii="宋体" w:hAnsi="宋体"/>
              </w:rPr>
              <w:t xml:space="preserve">4,441 </w:t>
            </w:r>
          </w:p>
        </w:tc>
      </w:tr>
      <w:tr>
        <w:tc>
          <w:tcPr>
            <w:tcW w:w="1540" w:type="dxa"/>
            <w:vAlign w:val="center"/>
          </w:tcPr>
          <w:p>
            <w:pPr>
              <w:kinsoku w:val="0"/>
              <w:overflowPunct w:val="0"/>
              <w:autoSpaceDE w:val="0"/>
              <w:autoSpaceDN w:val="0"/>
              <w:adjustRightInd w:val="0"/>
              <w:snapToGrid w:val="0"/>
            </w:pPr>
            <w:r>
              <w:rPr>
                <w:rFonts w:hint="eastAsia"/>
              </w:rPr>
              <w:t>鄂尔多斯公司</w:t>
            </w:r>
          </w:p>
        </w:tc>
        <w:sdt>
          <w:sdtPr>
            <w:rPr>
              <w:rFonts w:hint="eastAsia"/>
            </w:rPr>
            <w:alias w:val="主要控股参股公司分析明细_公司类型"/>
            <w:tag w:val="_GBC_9e936313969142599bc0a5fab0441112"/>
            <w:id w:val="-1969732680"/>
            <w:comboBox>
              <w:listItem w:displayText="子公司" w:value="子公司"/>
              <w:listItem w:displayText="参股公司" w:value="参股公司"/>
            </w:comboBox>
          </w:sdtPr>
          <w:sdtContent>
            <w:tc>
              <w:tcPr>
                <w:tcW w:w="1627" w:type="dxa"/>
                <w:vAlign w:val="center"/>
              </w:tcPr>
              <w:p>
                <w:pPr>
                  <w:kinsoku w:val="0"/>
                  <w:overflowPunct w:val="0"/>
                  <w:autoSpaceDE w:val="0"/>
                  <w:autoSpaceDN w:val="0"/>
                  <w:adjustRightInd w:val="0"/>
                  <w:snapToGrid w:val="0"/>
                </w:pPr>
                <w:r>
                  <w:rPr>
                    <w:rFonts w:hint="eastAsia"/>
                  </w:rPr>
                  <w:t>子公司</w:t>
                </w:r>
              </w:p>
            </w:tc>
          </w:sdtContent>
        </w:sdt>
        <w:tc>
          <w:tcPr>
            <w:tcW w:w="2357" w:type="dxa"/>
            <w:vAlign w:val="center"/>
          </w:tcPr>
          <w:p>
            <w:pPr>
              <w:kinsoku w:val="0"/>
              <w:overflowPunct w:val="0"/>
              <w:autoSpaceDE w:val="0"/>
              <w:autoSpaceDN w:val="0"/>
              <w:adjustRightInd w:val="0"/>
              <w:snapToGrid w:val="0"/>
            </w:pPr>
            <w:r>
              <w:rPr>
                <w:rFonts w:hint="eastAsia"/>
              </w:rPr>
              <w:t>煤炭资源和化工项目的开发运营</w:t>
            </w:r>
          </w:p>
        </w:tc>
        <w:tc>
          <w:tcPr>
            <w:tcW w:w="170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10,800</w:t>
            </w:r>
          </w:p>
        </w:tc>
        <w:tc>
          <w:tcPr>
            <w:tcW w:w="1134" w:type="dxa"/>
            <w:vAlign w:val="center"/>
          </w:tcPr>
          <w:p>
            <w:pPr>
              <w:autoSpaceDE w:val="0"/>
              <w:autoSpaceDN w:val="0"/>
              <w:adjustRightInd w:val="0"/>
              <w:jc w:val="right"/>
              <w:rPr>
                <w:rFonts w:ascii="宋体" w:hAnsi="宋体"/>
              </w:rPr>
            </w:pPr>
            <w:r>
              <w:rPr>
                <w:rFonts w:ascii="宋体" w:hAnsi="宋体"/>
              </w:rPr>
              <w:t>27,031</w:t>
            </w:r>
          </w:p>
        </w:tc>
        <w:tc>
          <w:tcPr>
            <w:tcW w:w="1417" w:type="dxa"/>
            <w:vAlign w:val="center"/>
          </w:tcPr>
          <w:p>
            <w:pPr>
              <w:autoSpaceDE w:val="0"/>
              <w:autoSpaceDN w:val="0"/>
              <w:adjustRightInd w:val="0"/>
              <w:jc w:val="right"/>
              <w:rPr>
                <w:rFonts w:ascii="宋体" w:hAnsi="宋体"/>
              </w:rPr>
            </w:pPr>
            <w:r>
              <w:rPr>
                <w:rFonts w:ascii="宋体" w:hAnsi="宋体"/>
              </w:rPr>
              <w:t>13,133</w:t>
            </w:r>
          </w:p>
        </w:tc>
        <w:tc>
          <w:tcPr>
            <w:tcW w:w="1418" w:type="dxa"/>
            <w:vAlign w:val="center"/>
          </w:tcPr>
          <w:p>
            <w:pPr>
              <w:autoSpaceDE w:val="0"/>
              <w:autoSpaceDN w:val="0"/>
              <w:adjustRightInd w:val="0"/>
              <w:jc w:val="right"/>
              <w:rPr>
                <w:rFonts w:ascii="宋体" w:hAnsi="宋体"/>
              </w:rPr>
            </w:pPr>
            <w:r>
              <w:rPr>
                <w:rFonts w:ascii="宋体" w:hAnsi="宋体"/>
              </w:rPr>
              <w:t>15,118</w:t>
            </w:r>
          </w:p>
        </w:tc>
        <w:tc>
          <w:tcPr>
            <w:tcW w:w="1114" w:type="dxa"/>
            <w:vAlign w:val="center"/>
          </w:tcPr>
          <w:p>
            <w:pPr>
              <w:autoSpaceDE w:val="0"/>
              <w:autoSpaceDN w:val="0"/>
              <w:adjustRightInd w:val="0"/>
              <w:jc w:val="right"/>
              <w:rPr>
                <w:rFonts w:ascii="宋体" w:hAnsi="宋体"/>
              </w:rPr>
            </w:pPr>
            <w:r>
              <w:rPr>
                <w:rFonts w:ascii="宋体" w:hAnsi="宋体"/>
              </w:rPr>
              <w:t>2,660</w:t>
            </w:r>
          </w:p>
        </w:tc>
        <w:tc>
          <w:tcPr>
            <w:tcW w:w="1624" w:type="dxa"/>
            <w:vAlign w:val="center"/>
          </w:tcPr>
          <w:p>
            <w:pPr>
              <w:autoSpaceDE w:val="0"/>
              <w:autoSpaceDN w:val="0"/>
              <w:adjustRightInd w:val="0"/>
              <w:jc w:val="right"/>
              <w:rPr>
                <w:rFonts w:ascii="宋体" w:hAnsi="宋体"/>
              </w:rPr>
            </w:pPr>
            <w:r>
              <w:rPr>
                <w:rFonts w:ascii="宋体" w:hAnsi="宋体"/>
              </w:rPr>
              <w:t>2</w:t>
            </w:r>
            <w:r>
              <w:rPr>
                <w:rFonts w:ascii="宋体" w:hAnsi="宋体" w:hint="eastAsia"/>
              </w:rPr>
              <w:t>,</w:t>
            </w:r>
            <w:r>
              <w:rPr>
                <w:rFonts w:ascii="宋体" w:hAnsi="宋体"/>
              </w:rPr>
              <w:t xml:space="preserve">408 </w:t>
            </w:r>
          </w:p>
        </w:tc>
      </w:tr>
      <w:tr>
        <w:tc>
          <w:tcPr>
            <w:tcW w:w="1540" w:type="dxa"/>
            <w:vAlign w:val="center"/>
          </w:tcPr>
          <w:p>
            <w:pPr>
              <w:kinsoku w:val="0"/>
              <w:overflowPunct w:val="0"/>
              <w:autoSpaceDE w:val="0"/>
              <w:autoSpaceDN w:val="0"/>
              <w:adjustRightInd w:val="0"/>
              <w:snapToGrid w:val="0"/>
            </w:pPr>
            <w:r>
              <w:rPr>
                <w:rFonts w:hint="eastAsia"/>
              </w:rPr>
              <w:t>兖煤澳洲</w:t>
            </w:r>
          </w:p>
        </w:tc>
        <w:tc>
          <w:tcPr>
            <w:tcW w:w="1627" w:type="dxa"/>
            <w:vAlign w:val="center"/>
          </w:tcPr>
          <w:p>
            <w:pPr>
              <w:kinsoku w:val="0"/>
              <w:overflowPunct w:val="0"/>
              <w:autoSpaceDE w:val="0"/>
              <w:autoSpaceDN w:val="0"/>
              <w:adjustRightInd w:val="0"/>
              <w:snapToGrid w:val="0"/>
            </w:pPr>
            <w:r>
              <w:rPr>
                <w:rFonts w:hint="eastAsia"/>
              </w:rPr>
              <w:t>子公司</w:t>
            </w:r>
          </w:p>
        </w:tc>
        <w:tc>
          <w:tcPr>
            <w:tcW w:w="2357" w:type="dxa"/>
            <w:vAlign w:val="center"/>
          </w:tcPr>
          <w:p>
            <w:pPr>
              <w:kinsoku w:val="0"/>
              <w:overflowPunct w:val="0"/>
              <w:autoSpaceDE w:val="0"/>
              <w:autoSpaceDN w:val="0"/>
              <w:adjustRightInd w:val="0"/>
              <w:snapToGrid w:val="0"/>
            </w:pPr>
            <w:r>
              <w:rPr>
                <w:rFonts w:hint="eastAsia"/>
              </w:rPr>
              <w:t>煤炭开采和煤矿经营</w:t>
            </w:r>
          </w:p>
        </w:tc>
        <w:tc>
          <w:tcPr>
            <w:tcW w:w="170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6,219百万澳元</w:t>
            </w:r>
          </w:p>
        </w:tc>
        <w:tc>
          <w:tcPr>
            <w:tcW w:w="1134" w:type="dxa"/>
            <w:vAlign w:val="center"/>
          </w:tcPr>
          <w:p>
            <w:pPr>
              <w:autoSpaceDE w:val="0"/>
              <w:autoSpaceDN w:val="0"/>
              <w:adjustRightInd w:val="0"/>
              <w:jc w:val="right"/>
              <w:rPr>
                <w:rFonts w:ascii="宋体" w:hAnsi="宋体"/>
              </w:rPr>
            </w:pPr>
            <w:r>
              <w:rPr>
                <w:rFonts w:ascii="宋体" w:hAnsi="宋体"/>
              </w:rPr>
              <w:t>57,087</w:t>
            </w:r>
          </w:p>
        </w:tc>
        <w:tc>
          <w:tcPr>
            <w:tcW w:w="1417" w:type="dxa"/>
            <w:vAlign w:val="center"/>
          </w:tcPr>
          <w:p>
            <w:pPr>
              <w:autoSpaceDE w:val="0"/>
              <w:autoSpaceDN w:val="0"/>
              <w:adjustRightInd w:val="0"/>
              <w:jc w:val="right"/>
              <w:rPr>
                <w:rFonts w:ascii="宋体" w:hAnsi="宋体"/>
              </w:rPr>
            </w:pPr>
            <w:r>
              <w:rPr>
                <w:rFonts w:ascii="宋体" w:hAnsi="宋体"/>
              </w:rPr>
              <w:t>42,370</w:t>
            </w:r>
          </w:p>
        </w:tc>
        <w:tc>
          <w:tcPr>
            <w:tcW w:w="1418" w:type="dxa"/>
            <w:vAlign w:val="center"/>
          </w:tcPr>
          <w:p>
            <w:pPr>
              <w:autoSpaceDE w:val="0"/>
              <w:autoSpaceDN w:val="0"/>
              <w:adjustRightInd w:val="0"/>
              <w:jc w:val="right"/>
              <w:rPr>
                <w:rFonts w:ascii="宋体" w:hAnsi="宋体"/>
              </w:rPr>
            </w:pPr>
            <w:r>
              <w:rPr>
                <w:rFonts w:ascii="宋体" w:hAnsi="宋体"/>
              </w:rPr>
              <w:t>27,139</w:t>
            </w:r>
          </w:p>
        </w:tc>
        <w:tc>
          <w:tcPr>
            <w:tcW w:w="1114" w:type="dxa"/>
            <w:vAlign w:val="center"/>
          </w:tcPr>
          <w:p>
            <w:pPr>
              <w:autoSpaceDE w:val="0"/>
              <w:autoSpaceDN w:val="0"/>
              <w:adjustRightInd w:val="0"/>
              <w:jc w:val="right"/>
              <w:rPr>
                <w:rFonts w:ascii="宋体" w:hAnsi="宋体"/>
              </w:rPr>
            </w:pPr>
            <w:r>
              <w:rPr>
                <w:rFonts w:ascii="宋体" w:hAnsi="宋体"/>
              </w:rPr>
              <w:t>2,768</w:t>
            </w:r>
          </w:p>
        </w:tc>
        <w:tc>
          <w:tcPr>
            <w:tcW w:w="1624" w:type="dxa"/>
            <w:vAlign w:val="center"/>
          </w:tcPr>
          <w:p>
            <w:pPr>
              <w:autoSpaceDE w:val="0"/>
              <w:autoSpaceDN w:val="0"/>
              <w:adjustRightInd w:val="0"/>
              <w:jc w:val="right"/>
              <w:rPr>
                <w:rFonts w:ascii="宋体" w:hAnsi="宋体"/>
              </w:rPr>
            </w:pPr>
            <w:r>
              <w:rPr>
                <w:rFonts w:ascii="宋体" w:hAnsi="宋体"/>
              </w:rPr>
              <w:t xml:space="preserve">2,035 </w:t>
            </w:r>
          </w:p>
        </w:tc>
      </w:tr>
    </w:tbl>
    <w:p>
      <w:pPr>
        <w:pStyle w:val="Style49"/>
      </w:pPr>
    </w:p>
    <w:p>
      <w:pPr>
        <w:ind w:firstLineChars="200" w:firstLine="420"/>
        <w:rPr>
          <w:rFonts w:ascii="宋体" w:hAnsi="宋体"/>
        </w:rPr>
      </w:pPr>
      <w:r>
        <w:rPr>
          <w:rFonts w:ascii="宋体" w:hAnsi="宋体" w:hint="eastAsia"/>
        </w:rPr>
        <w:t>2</w:t>
      </w:r>
      <w:r>
        <w:rPr>
          <w:rFonts w:ascii="宋体" w:hAnsi="宋体"/>
        </w:rPr>
        <w:t>025</w:t>
      </w:r>
      <w:r>
        <w:rPr>
          <w:rFonts w:ascii="宋体" w:hAnsi="宋体" w:hint="eastAsia"/>
        </w:rPr>
        <w:t>年度经营业绩同比出现大幅波动的主要控股公司如下：</w:t>
      </w:r>
    </w:p>
    <w:p>
      <w:pPr>
        <w:pStyle w:val="Style49"/>
        <w:ind w:firstLineChars="200" w:firstLine="422"/>
        <w:rPr>
          <w:rFonts w:ascii="宋体" w:hAnsi="宋体"/>
          <w:b/>
          <w:bCs/>
        </w:rPr>
      </w:pPr>
      <w:r>
        <w:rPr>
          <w:rFonts w:ascii="宋体" w:hAnsi="宋体" w:hint="eastAsia"/>
          <w:b/>
          <w:bCs/>
        </w:rPr>
        <w:t>兖煤澳洲</w:t>
      </w:r>
    </w:p>
    <w:p>
      <w:pPr>
        <w:pStyle w:val="Style49"/>
        <w:ind w:firstLineChars="200" w:firstLine="420"/>
        <w:rPr>
          <w:rFonts w:ascii="宋体" w:hAnsi="宋体"/>
        </w:rPr>
      </w:pPr>
      <w:r>
        <w:rPr>
          <w:rFonts w:ascii="宋体" w:hAnsi="宋体" w:hint="eastAsia"/>
        </w:rPr>
        <w:t>2025年兖煤澳洲实现净利润</w:t>
      </w:r>
      <w:r>
        <w:rPr>
          <w:rFonts w:ascii="宋体" w:hAnsi="宋体"/>
        </w:rPr>
        <w:t>20.35</w:t>
      </w:r>
      <w:r>
        <w:rPr>
          <w:rFonts w:ascii="宋体" w:hAnsi="宋体" w:hint="eastAsia"/>
        </w:rPr>
        <w:t>亿元,同比减少</w:t>
      </w:r>
      <w:r>
        <w:rPr>
          <w:rFonts w:ascii="宋体" w:hAnsi="宋体"/>
        </w:rPr>
        <w:t>36.56</w:t>
      </w:r>
      <w:r>
        <w:rPr>
          <w:rFonts w:ascii="宋体" w:hAnsi="宋体" w:hint="eastAsia"/>
        </w:rPr>
        <w:t>亿元或</w:t>
      </w:r>
      <w:r>
        <w:rPr>
          <w:rFonts w:ascii="宋体" w:hAnsi="宋体"/>
        </w:rPr>
        <w:t>64.2</w:t>
      </w:r>
      <w:r>
        <w:rPr>
          <w:rFonts w:ascii="宋体" w:hAnsi="宋体" w:hint="eastAsia"/>
        </w:rPr>
        <w:t>%，主要是由于：煤炭产品销售价格同比下降。</w:t>
      </w:r>
    </w:p>
    <w:p>
      <w:pPr>
        <w:pStyle w:val="Style49"/>
      </w:pPr>
    </w:p>
    <w:p>
      <w:pPr>
        <w:ind w:firstLineChars="200" w:firstLine="420"/>
      </w:pPr>
      <w:r>
        <w:rPr>
          <w:rFonts w:hint="eastAsia"/>
        </w:rPr>
        <w:t>本集团主要参股公司的主要业务、主要财务指标等相关资料请见按中国会计准则编制的财务报表附注“在其他主体中的权益—在合营企业或联营企</w:t>
      </w:r>
    </w:p>
    <w:p>
      <w:pPr>
        <w:pStyle w:val="Style49"/>
      </w:pPr>
      <w:r>
        <w:rPr>
          <w:rFonts w:hint="eastAsia"/>
        </w:rPr>
        <w:lastRenderedPageBreak/>
        <w:t>业中的权益”。</w:t>
      </w:r>
    </w:p>
    <w:p>
      <w:pPr>
        <w:pStyle w:val="Style49"/>
      </w:pPr>
    </w:p>
    <w:p>
      <w:pPr>
        <w:pStyle w:val="Style49"/>
      </w:pPr>
      <w:r>
        <w:rPr>
          <w:rFonts w:hint="eastAsia"/>
        </w:rPr>
        <w:t>报告期内取得和处置子公司的情况</w:t>
      </w:r>
    </w:p>
    <w:sdt>
      <w:sdtPr>
        <w:rPr>
          <w:rFonts w:hint="eastAsia"/>
          <w:color w:val="000000"/>
        </w:rPr>
        <w:alias w:val="是否适用：报告期内取得和处置子公司的情况[双击切换]"/>
        <w:tag w:val="_GBC_8383e40750d74718b38f01647f22c9e6"/>
        <w:id w:val="1201585294"/>
        <w:placeholder>
          <w:docPart w:val="GBC22222222222222222222222222222"/>
        </w:placeholder>
      </w:sdtPr>
      <w:sdtContent>
        <w:p>
          <w:pPr>
            <w:rPr>
              <w:color w:val="000000"/>
            </w:rPr>
          </w:pPr>
          <w:r>
            <w:rPr>
              <w:rFonts w:ascii="宋体" w:hAnsi="宋体" w:hint="eastAsia"/>
              <w:color w:val="000000"/>
            </w:rPr>
            <w:fldChar w:fldCharType="begin"/>
          </w:r>
          <w:r>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□不适用 </w:instrText>
          </w:r>
          <w:r>
            <w:rPr>
              <w:rFonts w:ascii="宋体" w:hAnsi="宋体" w:hint="eastAsia"/>
              <w:color w:val="000000"/>
            </w:rPr>
            <w:fldChar w:fldCharType="end"/>
          </w:r>
        </w:p>
      </w:sdtContent>
    </w:sdt>
    <w:tbl>
      <w:tblPr>
        <w:tblStyle w:val="Style6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578"/>
        <w:gridCol w:w="4826"/>
        <w:gridCol w:w="4528"/>
      </w:tblGrid>
      <w:tr>
        <w:sdt>
          <w:sdtPr>
            <w:tag w:val="_PLD_2d034ed94ce04d9eb110d2aff1c94fd4"/>
            <w:id w:val="-20011542"/>
          </w:sdtPr>
          <w:sdtContent>
            <w:tc>
              <w:tcPr>
                <w:tcW w:w="4578" w:type="dxa"/>
                <w:vAlign w:val="center"/>
              </w:tcPr>
              <w:p>
                <w:pPr>
                  <w:kinsoku w:val="0"/>
                  <w:overflowPunct w:val="0"/>
                  <w:autoSpaceDE w:val="0"/>
                  <w:autoSpaceDN w:val="0"/>
                  <w:adjustRightInd w:val="0"/>
                  <w:snapToGrid w:val="0"/>
                  <w:jc w:val="center"/>
                </w:pPr>
                <w:r>
                  <w:t>公司名称</w:t>
                </w:r>
              </w:p>
            </w:tc>
          </w:sdtContent>
        </w:sdt>
        <w:sdt>
          <w:sdtPr>
            <w:tag w:val="_PLD_849498aa2cf54d3a9966096634347592"/>
            <w:id w:val="1757473659"/>
          </w:sdtPr>
          <w:sdtContent>
            <w:tc>
              <w:tcPr>
                <w:tcW w:w="4826" w:type="dxa"/>
                <w:vAlign w:val="center"/>
              </w:tcPr>
              <w:p>
                <w:pPr>
                  <w:kinsoku w:val="0"/>
                  <w:overflowPunct w:val="0"/>
                  <w:autoSpaceDE w:val="0"/>
                  <w:autoSpaceDN w:val="0"/>
                  <w:adjustRightInd w:val="0"/>
                  <w:snapToGrid w:val="0"/>
                  <w:jc w:val="center"/>
                </w:pPr>
                <w:r>
                  <w:t>报告期内取得和处置子公司方式</w:t>
                </w:r>
              </w:p>
            </w:tc>
          </w:sdtContent>
        </w:sdt>
        <w:sdt>
          <w:sdtPr>
            <w:tag w:val="_PLD_a616762339ba4d9794a4fc9a395e6c92"/>
            <w:id w:val="931706366"/>
          </w:sdtPr>
          <w:sdtContent>
            <w:tc>
              <w:tcPr>
                <w:tcW w:w="4528" w:type="dxa"/>
                <w:vAlign w:val="center"/>
              </w:tcPr>
              <w:p>
                <w:pPr>
                  <w:kinsoku w:val="0"/>
                  <w:overflowPunct w:val="0"/>
                  <w:autoSpaceDE w:val="0"/>
                  <w:autoSpaceDN w:val="0"/>
                  <w:adjustRightInd w:val="0"/>
                  <w:snapToGrid w:val="0"/>
                  <w:jc w:val="center"/>
                  <w:rPr>
                    <w:highlight w:val="cyan"/>
                  </w:rPr>
                </w:pPr>
                <w:r>
                  <w:t>对整体生产经营和业绩的影响</w:t>
                </w:r>
              </w:p>
            </w:tc>
          </w:sdtContent>
        </w:sdt>
      </w:tr>
      <w:tr>
        <w:tc>
          <w:tcPr>
            <w:tcW w:w="4578" w:type="dxa"/>
            <w:vAlign w:val="center"/>
          </w:tcPr>
          <w:p>
            <w:pPr>
              <w:kinsoku w:val="0"/>
              <w:overflowPunct w:val="0"/>
              <w:autoSpaceDE w:val="0"/>
              <w:autoSpaceDN w:val="0"/>
              <w:adjustRightInd w:val="0"/>
              <w:snapToGrid w:val="0"/>
            </w:pPr>
            <w:r>
              <w:rPr>
                <w:rFonts w:hint="eastAsia"/>
              </w:rPr>
              <w:t>西北矿业</w:t>
            </w:r>
          </w:p>
        </w:tc>
        <w:tc>
          <w:tcPr>
            <w:tcW w:w="4826" w:type="dxa"/>
            <w:vAlign w:val="center"/>
          </w:tcPr>
          <w:p>
            <w:pPr>
              <w:kinsoku w:val="0"/>
              <w:overflowPunct w:val="0"/>
              <w:autoSpaceDE w:val="0"/>
              <w:autoSpaceDN w:val="0"/>
              <w:adjustRightInd w:val="0"/>
              <w:snapToGrid w:val="0"/>
            </w:pPr>
            <w:r>
              <w:rPr>
                <w:rFonts w:hint="eastAsia"/>
              </w:rPr>
              <w:t>股权收购</w:t>
            </w:r>
          </w:p>
        </w:tc>
        <w:tc>
          <w:tcPr>
            <w:tcW w:w="4528" w:type="dxa"/>
            <w:vAlign w:val="center"/>
          </w:tcPr>
          <w:p>
            <w:pPr>
              <w:kinsoku w:val="0"/>
              <w:overflowPunct w:val="0"/>
              <w:autoSpaceDE w:val="0"/>
              <w:autoSpaceDN w:val="0"/>
              <w:adjustRightInd w:val="0"/>
              <w:snapToGrid w:val="0"/>
            </w:pPr>
            <w:r>
              <w:rPr>
                <w:rFonts w:hint="eastAsia"/>
              </w:rPr>
              <w:t>本集团煤炭资源量、煤炭储量和商品煤产量均得到提升，盈利能力进一步增强</w:t>
            </w:r>
          </w:p>
        </w:tc>
      </w:tr>
      <w:tr>
        <w:tc>
          <w:tcPr>
            <w:tcW w:w="4578" w:type="dxa"/>
            <w:vAlign w:val="center"/>
          </w:tcPr>
          <w:p>
            <w:pPr>
              <w:kinsoku w:val="0"/>
              <w:overflowPunct w:val="0"/>
              <w:autoSpaceDE w:val="0"/>
              <w:autoSpaceDN w:val="0"/>
              <w:adjustRightInd w:val="0"/>
              <w:snapToGrid w:val="0"/>
            </w:pPr>
            <w:r>
              <w:rPr>
                <w:rFonts w:hint="eastAsia"/>
              </w:rPr>
              <w:t>兖矿能源（霍林郭勒）有限公司</w:t>
            </w:r>
            <w:r>
              <w:rPr>
                <w:rFonts w:hint="eastAsia"/>
              </w:rPr>
              <w:t xml:space="preserve"> </w:t>
            </w:r>
          </w:p>
        </w:tc>
        <w:tc>
          <w:tcPr>
            <w:tcW w:w="4826" w:type="dxa"/>
            <w:vAlign w:val="center"/>
          </w:tcPr>
          <w:p>
            <w:pPr>
              <w:kinsoku w:val="0"/>
              <w:overflowPunct w:val="0"/>
              <w:autoSpaceDE w:val="0"/>
              <w:autoSpaceDN w:val="0"/>
              <w:adjustRightInd w:val="0"/>
              <w:snapToGrid w:val="0"/>
            </w:pPr>
            <w:r>
              <w:rPr>
                <w:rFonts w:hint="eastAsia"/>
              </w:rPr>
              <w:t>股权收购</w:t>
            </w:r>
          </w:p>
        </w:tc>
        <w:tc>
          <w:tcPr>
            <w:tcW w:w="4528" w:type="dxa"/>
            <w:vAlign w:val="center"/>
          </w:tcPr>
          <w:p>
            <w:pPr>
              <w:kinsoku w:val="0"/>
              <w:overflowPunct w:val="0"/>
              <w:autoSpaceDE w:val="0"/>
              <w:autoSpaceDN w:val="0"/>
              <w:adjustRightInd w:val="0"/>
              <w:snapToGrid w:val="0"/>
            </w:pPr>
            <w:r>
              <w:rPr>
                <w:rFonts w:hint="eastAsia"/>
              </w:rPr>
              <w:t>未开展实质生产经营，对本集团整体生产经营和</w:t>
            </w:r>
          </w:p>
          <w:p>
            <w:pPr>
              <w:kinsoku w:val="0"/>
              <w:overflowPunct w:val="0"/>
              <w:autoSpaceDE w:val="0"/>
              <w:autoSpaceDN w:val="0"/>
              <w:adjustRightInd w:val="0"/>
              <w:snapToGrid w:val="0"/>
            </w:pPr>
            <w:r>
              <w:rPr>
                <w:rFonts w:hint="eastAsia"/>
              </w:rPr>
              <w:t>业绩未产生重大影响</w:t>
            </w:r>
          </w:p>
        </w:tc>
      </w:tr>
      <w:tr>
        <w:tc>
          <w:tcPr>
            <w:tcW w:w="4578" w:type="dxa"/>
            <w:vAlign w:val="center"/>
          </w:tcPr>
          <w:p>
            <w:pPr>
              <w:kinsoku w:val="0"/>
              <w:overflowPunct w:val="0"/>
              <w:autoSpaceDE w:val="0"/>
              <w:autoSpaceDN w:val="0"/>
              <w:adjustRightInd w:val="0"/>
              <w:snapToGrid w:val="0"/>
            </w:pPr>
            <w:r>
              <w:rPr>
                <w:rFonts w:hint="eastAsia"/>
              </w:rPr>
              <w:t>山东中鼎云联科技有限公司</w:t>
            </w:r>
          </w:p>
        </w:tc>
        <w:tc>
          <w:tcPr>
            <w:tcW w:w="4826" w:type="dxa"/>
            <w:vAlign w:val="center"/>
          </w:tcPr>
          <w:p>
            <w:pPr>
              <w:kinsoku w:val="0"/>
              <w:overflowPunct w:val="0"/>
              <w:autoSpaceDE w:val="0"/>
              <w:autoSpaceDN w:val="0"/>
              <w:adjustRightInd w:val="0"/>
              <w:snapToGrid w:val="0"/>
            </w:pPr>
            <w:r>
              <w:rPr>
                <w:rFonts w:hint="eastAsia"/>
              </w:rPr>
              <w:t>注销</w:t>
            </w:r>
          </w:p>
        </w:tc>
        <w:tc>
          <w:tcPr>
            <w:tcW w:w="4528" w:type="dxa"/>
            <w:vAlign w:val="center"/>
          </w:tcPr>
          <w:p>
            <w:pPr>
              <w:kinsoku w:val="0"/>
              <w:overflowPunct w:val="0"/>
              <w:autoSpaceDE w:val="0"/>
              <w:autoSpaceDN w:val="0"/>
              <w:adjustRightInd w:val="0"/>
              <w:snapToGrid w:val="0"/>
            </w:pPr>
            <w:r>
              <w:rPr>
                <w:rFonts w:hint="eastAsia"/>
              </w:rPr>
              <w:t>资产、业务规模较小，对本集团整体生产经营和</w:t>
            </w:r>
          </w:p>
          <w:p>
            <w:pPr>
              <w:kinsoku w:val="0"/>
              <w:overflowPunct w:val="0"/>
              <w:autoSpaceDE w:val="0"/>
              <w:autoSpaceDN w:val="0"/>
              <w:adjustRightInd w:val="0"/>
              <w:snapToGrid w:val="0"/>
            </w:pPr>
            <w:r>
              <w:rPr>
                <w:rFonts w:hint="eastAsia"/>
              </w:rPr>
              <w:t>业绩未产生重大影响</w:t>
            </w:r>
          </w:p>
        </w:tc>
      </w:tr>
      <w:tr>
        <w:tc>
          <w:tcPr>
            <w:tcW w:w="4578" w:type="dxa"/>
            <w:vAlign w:val="center"/>
          </w:tcPr>
          <w:p>
            <w:pPr>
              <w:kinsoku w:val="0"/>
              <w:overflowPunct w:val="0"/>
              <w:autoSpaceDE w:val="0"/>
              <w:autoSpaceDN w:val="0"/>
              <w:adjustRightInd w:val="0"/>
              <w:snapToGrid w:val="0"/>
            </w:pPr>
            <w:r>
              <w:rPr>
                <w:rFonts w:hint="eastAsia"/>
              </w:rPr>
              <w:t>山东兖煤日照港储配煤有限公司</w:t>
            </w:r>
          </w:p>
        </w:tc>
        <w:tc>
          <w:tcPr>
            <w:tcW w:w="4826" w:type="dxa"/>
            <w:vAlign w:val="center"/>
          </w:tcPr>
          <w:p>
            <w:pPr>
              <w:kinsoku w:val="0"/>
              <w:overflowPunct w:val="0"/>
              <w:autoSpaceDE w:val="0"/>
              <w:autoSpaceDN w:val="0"/>
              <w:adjustRightInd w:val="0"/>
              <w:snapToGrid w:val="0"/>
            </w:pPr>
            <w:r>
              <w:rPr>
                <w:rFonts w:hint="eastAsia"/>
              </w:rPr>
              <w:t>破产清算</w:t>
            </w:r>
          </w:p>
        </w:tc>
        <w:tc>
          <w:tcPr>
            <w:tcW w:w="4528" w:type="dxa"/>
            <w:vAlign w:val="center"/>
          </w:tcPr>
          <w:p>
            <w:pPr>
              <w:kinsoku w:val="0"/>
              <w:overflowPunct w:val="0"/>
              <w:autoSpaceDE w:val="0"/>
              <w:autoSpaceDN w:val="0"/>
              <w:adjustRightInd w:val="0"/>
              <w:snapToGrid w:val="0"/>
            </w:pPr>
            <w:r>
              <w:rPr>
                <w:rFonts w:hint="eastAsia"/>
              </w:rPr>
              <w:t>资产、业务规模较小，对本集团整体生产经营和</w:t>
            </w:r>
          </w:p>
          <w:p>
            <w:pPr>
              <w:kinsoku w:val="0"/>
              <w:overflowPunct w:val="0"/>
              <w:autoSpaceDE w:val="0"/>
              <w:autoSpaceDN w:val="0"/>
              <w:adjustRightInd w:val="0"/>
              <w:snapToGrid w:val="0"/>
            </w:pPr>
            <w:r>
              <w:rPr>
                <w:rFonts w:hint="eastAsia"/>
              </w:rPr>
              <w:t>业绩未产生重大影响</w:t>
            </w:r>
          </w:p>
        </w:tc>
      </w:tr>
    </w:tbl>
    <w:p>
      <w:pPr>
        <w:pStyle w:val="Style49"/>
      </w:pPr>
    </w:p>
    <w:p>
      <w:pPr>
        <w:pStyle w:val="Style49"/>
      </w:pPr>
      <w:r>
        <w:rPr>
          <w:rFonts w:hint="eastAsia"/>
        </w:rPr>
        <w:t>其他说明</w:t>
      </w:r>
    </w:p>
    <w:sdt>
      <w:sdtPr>
        <w:rPr>
          <w:rFonts w:hint="eastAsia"/>
          <w:color w:val="000000"/>
        </w:rPr>
        <w:alias w:val="是否适用：主要控股参股公司分析其他说明[双击切换]"/>
        <w:tag w:val="_GBC_c4a3529b582540698fd8e7e129c87fbc"/>
        <w:id w:val="683557371"/>
        <w:placeholder>
          <w:docPart w:val="GBC22222222222222222222222222222"/>
        </w:placeholder>
      </w:sdtPr>
      <w:sdtContent>
        <w:p>
          <w:pPr>
            <w:rPr>
              <w:color w:val="000000" w:themeColor="text1"/>
            </w:rPr>
          </w:pPr>
          <w:r>
            <w:rPr>
              <w:rFonts w:ascii="宋体" w:hAnsi="宋体" w:hint="eastAsia"/>
              <w:color w:val="000000"/>
            </w:rPr>
            <w:fldChar w:fldCharType="begin"/>
          </w:r>
          <w:r>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√不适用 </w:instrText>
          </w:r>
          <w:r>
            <w:rPr>
              <w:rFonts w:ascii="宋体" w:hAnsi="宋体" w:hint="eastAsia"/>
              <w:color w:val="000000"/>
            </w:rPr>
            <w:fldChar w:fldCharType="end"/>
          </w:r>
        </w:p>
      </w:sdtContent>
    </w:sdt>
    <w:p>
      <w:pPr>
        <w:rPr>
          <w:color w:val="000000" w:themeColor="text1"/>
        </w:rPr>
      </w:pPr>
    </w:p>
    <w:bookmarkEnd w:id="131"/>
    <w:bookmarkEnd w:id="132"/>
    <w:p>
      <w:pPr>
        <w:keepNext/>
        <w:keepLines/>
        <w:widowControl w:val="0"/>
        <w:numPr>
          <w:ilvl w:val="0"/>
          <w:numId w:val="15"/>
        </w:numPr>
        <w:spacing w:before="60" w:after="60"/>
        <w:ind w:left="369" w:hangingChars="175" w:hanging="369"/>
        <w:jc w:val="both"/>
        <w:outlineLvl w:val="2"/>
        <w:rPr>
          <w:rFonts w:ascii="宋体" w:hAnsi="宋体"/>
          <w:b/>
          <w:bCs/>
          <w:kern w:val="2"/>
        </w:rPr>
      </w:pPr>
      <w:r>
        <w:rPr>
          <w:rFonts w:ascii="宋体" w:hAnsi="宋体" w:hint="eastAsia"/>
          <w:b/>
          <w:bCs/>
          <w:kern w:val="2"/>
        </w:rPr>
        <w:t>公司控制的结构化主体情况</w:t>
      </w:r>
    </w:p>
    <w:sdt>
      <w:sdtPr>
        <w:rPr>
          <w:rFonts w:hint="eastAsia"/>
        </w:rPr>
        <w:alias w:val="是否适用：公司控制的结构化主体情况[双击切换]"/>
        <w:tag w:val="_GBC_844e5a5ece8c488e933f7fbfd0650339"/>
        <w:id w:val="-174486881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sectPr>
          <w:pgSz w:w="16838" w:h="11906" w:orient="landscape"/>
          <w:pgMar w:top="1797" w:right="1525" w:bottom="1276" w:left="1440" w:header="855" w:footer="992" w:gutter="0"/>
          <w:cols w:space="425"/>
          <w:docGrid w:linePitch="312"/>
        </w:sectPr>
      </w:pPr>
    </w:p>
    <w:p>
      <w:pPr>
        <w:pStyle w:val="2"/>
        <w:numPr>
          <w:ilvl w:val="0"/>
          <w:numId w:val="14"/>
        </w:numPr>
        <w:ind w:left="369" w:hangingChars="175" w:hanging="369"/>
      </w:pPr>
      <w:r>
        <w:rPr>
          <w:rFonts w:hint="eastAsia"/>
        </w:rPr>
        <w:lastRenderedPageBreak/>
        <w:t>公司</w:t>
      </w:r>
      <w:r>
        <w:t>关于公司未来发展的讨论与分析</w:t>
      </w:r>
    </w:p>
    <w:p>
      <w:pPr>
        <w:pStyle w:val="3"/>
        <w:numPr>
          <w:ilvl w:val="3"/>
          <w:numId w:val="23"/>
        </w:numPr>
        <w:rPr>
          <w:szCs w:val="21"/>
        </w:rPr>
      </w:pPr>
      <w:r>
        <w:rPr>
          <w:szCs w:val="21"/>
        </w:rPr>
        <w:t>行业格局和趋势</w:t>
      </w:r>
    </w:p>
    <w:sdt>
      <w:sdtPr>
        <w:rPr>
          <w:rFonts w:hint="eastAsia"/>
        </w:rPr>
        <w:alias w:val="是否适用：行业格局和趋势[双击切换]"/>
        <w:tag w:val="_GBC_da53e2a4423f4116b5d03ba76b630af9"/>
        <w:id w:val="-82460722"/>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行业竞争格局和发展趋势"/>
        <w:tag w:val="_GBC_c38788dc300c4c4592543c5db64e9308"/>
        <w:id w:val="-1547287204"/>
        <w:placeholder>
          <w:docPart w:val="GBC22222222222222222222222222222"/>
        </w:placeholder>
      </w:sdtPr>
      <w:sdtContent>
        <w:p>
          <w:pPr>
            <w:ind w:firstLineChars="200" w:firstLine="420"/>
          </w:pPr>
          <w:r>
            <w:rPr>
              <w:rFonts w:hint="eastAsia"/>
            </w:rPr>
            <w:t>有关行业竞争格局和趋势详情请见本年报“第三节</w:t>
          </w:r>
          <w:r>
            <w:rPr>
              <w:rFonts w:hint="eastAsia"/>
            </w:rPr>
            <w:t xml:space="preserve"> </w:t>
          </w:r>
          <w:r>
            <w:rPr>
              <w:rFonts w:hint="eastAsia"/>
            </w:rPr>
            <w:t>董事长报告书”的相关内容。</w:t>
          </w:r>
        </w:p>
      </w:sdtContent>
    </w:sdt>
    <w:p>
      <w:pPr>
        <w:pStyle w:val="Style49"/>
      </w:pPr>
    </w:p>
    <w:p>
      <w:pPr>
        <w:pStyle w:val="3"/>
        <w:numPr>
          <w:ilvl w:val="3"/>
          <w:numId w:val="23"/>
        </w:numPr>
        <w:rPr>
          <w:szCs w:val="21"/>
        </w:rPr>
      </w:pPr>
      <w:r>
        <w:rPr>
          <w:szCs w:val="21"/>
        </w:rPr>
        <w:t>公司发展战略</w:t>
      </w:r>
    </w:p>
    <w:sdt>
      <w:sdtPr>
        <w:rPr>
          <w:rFonts w:hint="eastAsia"/>
        </w:rPr>
        <w:alias w:val="是否适用：公司发展战略[双击切换]"/>
        <w:tag w:val="_GBC_5cdf4718a6044c1fbf76e22df729f9b7"/>
        <w:id w:val="992764413"/>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Start w:id="133" w:name="_Hlk192772892" w:displacedByCustomXml="next"/>
    <w:sdt>
      <w:sdtPr>
        <w:rPr>
          <w:rFonts w:hint="eastAsia"/>
        </w:rPr>
        <w:alias w:val="公司发展战略"/>
        <w:tag w:val="_GBC_afe9ed534944441fae5223f90c2521f1"/>
        <w:id w:val="-479771905"/>
        <w:placeholder>
          <w:docPart w:val="GBC22222222222222222222222222222"/>
        </w:placeholder>
      </w:sdtPr>
      <w:sdtContent>
        <w:sdt>
          <w:sdtPr>
            <w:rPr>
              <w:rFonts w:ascii="宋体" w:hAnsi="宋体" w:cs="宋体" w:hint="eastAsia"/>
            </w:rPr>
            <w:alias w:val="公司发展战略"/>
            <w:tag w:val="_GBC_afe9ed534944441fae5223f90c2521f1"/>
            <w:id w:val="1977872499"/>
            <w:placeholder>
              <w:docPart w:val="E6212C5874884B73A7241A2D2B3B6BF4"/>
            </w:placeholder>
          </w:sdtPr>
          <w:sdtContent>
            <w:p>
              <w:pPr>
                <w:pStyle w:val="Style49"/>
                <w:ind w:firstLineChars="200" w:firstLine="420"/>
                <w:rPr>
                  <w:rFonts w:ascii="宋体" w:hAnsi="宋体" w:cs="宋体"/>
                </w:rPr>
              </w:pPr>
              <w:r>
                <w:rPr>
                  <w:rFonts w:ascii="宋体" w:hAnsi="宋体" w:cs="宋体" w:hint="eastAsia"/>
                </w:rPr>
                <w:t>全球能源格局发生深刻变化，公司顺应能源发展趋势，全面审视未来发展，于</w:t>
              </w:r>
              <w:r>
                <w:rPr>
                  <w:rFonts w:ascii="宋体" w:hAnsi="宋体" w:cs="宋体"/>
                </w:rPr>
                <w:t>2021年12月1日第八届董事会第十八次会议审议通过《发展战略纲要》，对“双碳”目标下的低碳转型路径，</w:t>
              </w:r>
              <w:r>
                <w:rPr>
                  <w:rFonts w:ascii="宋体" w:hAnsi="宋体" w:cs="宋体" w:hint="eastAsia"/>
                </w:rPr>
                <w:t>以及未来</w:t>
              </w:r>
              <w:r>
                <w:rPr>
                  <w:rFonts w:ascii="宋体" w:hAnsi="宋体" w:cs="宋体"/>
                </w:rPr>
                <w:t>5-10年产业布局做出纲领性规划，明确建设国际一流、可持续发展的清洁能源引领示范</w:t>
              </w:r>
              <w:r>
                <w:rPr>
                  <w:rFonts w:ascii="宋体" w:hAnsi="宋体" w:cs="宋体" w:hint="eastAsia"/>
                </w:rPr>
                <w:t>企业的企业愿景，规划发展矿业、高端化工新材料、新能源、高端装备制造、智慧物流“五大主导产业”，全力打造新技术、新产业、新业态、新模式，加快向高质高效、绿色低碳的新型能源集团转变。公司主要产业发展定位及目标为：</w:t>
              </w:r>
            </w:p>
            <w:p>
              <w:pPr>
                <w:ind w:firstLineChars="200" w:firstLine="420"/>
                <w:jc w:val="both"/>
                <w:rPr>
                  <w:rFonts w:ascii="宋体" w:hAnsi="宋体" w:cs="宋体"/>
                </w:rPr>
              </w:pPr>
              <w:r>
                <w:rPr>
                  <w:rFonts w:ascii="宋体" w:hAnsi="宋体" w:cs="宋体"/>
                </w:rPr>
                <w:t>1.矿业：智能高效，做优做强。</w:t>
              </w:r>
              <w:r>
                <w:rPr>
                  <w:rFonts w:ascii="宋体" w:hAnsi="宋体" w:cs="宋体" w:hint="eastAsia"/>
                </w:rPr>
                <w:t>煤炭原煤产能</w:t>
              </w:r>
              <w:r>
                <w:rPr>
                  <w:rFonts w:ascii="宋体" w:hAnsi="宋体" w:cs="宋体"/>
                </w:rPr>
                <w:t>规模达到3亿吨/年，建成8座以上千万吨级绿色智</w:t>
              </w:r>
              <w:r>
                <w:rPr>
                  <w:rFonts w:ascii="宋体" w:hAnsi="宋体" w:cs="宋体" w:hint="eastAsia"/>
                </w:rPr>
                <w:t>能矿山。在现有多种非煤矿产资产的基础上，拓展钼、金、铜、铁、钾等矿产领域，实现由单一煤炭开采向多矿种开发转型。</w:t>
              </w:r>
            </w:p>
            <w:p>
              <w:pPr>
                <w:ind w:firstLineChars="200" w:firstLine="420"/>
                <w:jc w:val="both"/>
                <w:rPr>
                  <w:rFonts w:ascii="宋体" w:hAnsi="宋体" w:cs="宋体"/>
                </w:rPr>
              </w:pPr>
              <w:r>
                <w:rPr>
                  <w:rFonts w:ascii="宋体" w:hAnsi="宋体" w:cs="宋体"/>
                </w:rPr>
                <w:t>2.高端化工新材料产业：延链强链，价值提升。按照高端绿色低碳发展方向，延伸现有化工</w:t>
              </w:r>
              <w:r>
                <w:rPr>
                  <w:rFonts w:ascii="宋体" w:hAnsi="宋体" w:cs="宋体" w:hint="eastAsia"/>
                </w:rPr>
                <w:t>产业链，建设化工新材料研发生产基地。</w:t>
              </w:r>
              <w:r>
                <w:rPr>
                  <w:rFonts w:ascii="宋体" w:hAnsi="宋体" w:cs="宋体"/>
                </w:rPr>
                <w:t>化工新材料和高端</w:t>
              </w:r>
              <w:r>
                <w:rPr>
                  <w:rFonts w:ascii="宋体" w:hAnsi="宋体" w:cs="宋体" w:hint="eastAsia"/>
                </w:rPr>
                <w:t>化工品占比超过</w:t>
              </w:r>
              <w:r>
                <w:rPr>
                  <w:rFonts w:ascii="宋体" w:hAnsi="宋体" w:cs="宋体"/>
                </w:rPr>
                <w:t>70%。</w:t>
              </w:r>
            </w:p>
            <w:p>
              <w:pPr>
                <w:ind w:firstLineChars="200" w:firstLine="420"/>
                <w:jc w:val="both"/>
                <w:rPr>
                  <w:rFonts w:ascii="宋体" w:hAnsi="宋体" w:cs="宋体"/>
                </w:rPr>
              </w:pPr>
              <w:r>
                <w:rPr>
                  <w:rFonts w:ascii="宋体" w:hAnsi="宋体" w:cs="宋体"/>
                </w:rPr>
                <w:t>3.新能源产业：战略优先，加快发展。推进风电、光伏及配套储能等新能源产业项目开发建</w:t>
              </w:r>
              <w:r>
                <w:rPr>
                  <w:rFonts w:ascii="宋体" w:hAnsi="宋体" w:cs="宋体" w:hint="eastAsia"/>
                </w:rPr>
                <w:t>设，新能源发电装机规模达到</w:t>
              </w:r>
              <w:r>
                <w:rPr>
                  <w:rFonts w:ascii="宋体" w:hAnsi="宋体" w:cs="宋体"/>
                </w:rPr>
                <w:t>1,000万千瓦以上。</w:t>
              </w:r>
            </w:p>
            <w:p>
              <w:pPr>
                <w:ind w:firstLineChars="200" w:firstLine="420"/>
                <w:jc w:val="both"/>
                <w:rPr>
                  <w:rFonts w:ascii="宋体" w:hAnsi="宋体" w:cs="宋体"/>
                </w:rPr>
              </w:pPr>
              <w:r>
                <w:rPr>
                  <w:rFonts w:ascii="宋体" w:hAnsi="宋体" w:cs="宋体"/>
                </w:rPr>
                <w:t>4.高端装备制造产业：重点突破，专精特新。在现有装备制造产业基础上，专注发展高端煤</w:t>
              </w:r>
              <w:r>
                <w:rPr>
                  <w:rFonts w:ascii="宋体" w:hAnsi="宋体" w:cs="宋体" w:hint="eastAsia"/>
                </w:rPr>
                <w:t>机制造等传统优势产品，拓展风机等新能源装备制造，培育中高端系列产品。</w:t>
              </w:r>
            </w:p>
            <w:p>
              <w:pPr>
                <w:ind w:firstLineChars="200" w:firstLine="420"/>
                <w:jc w:val="both"/>
                <w:rPr>
                  <w:rFonts w:ascii="宋体" w:hAnsi="宋体" w:cs="宋体"/>
                </w:rPr>
              </w:pPr>
              <w:r>
                <w:rPr>
                  <w:rFonts w:ascii="宋体" w:hAnsi="宋体" w:cs="宋体"/>
                </w:rPr>
                <w:t>5.智慧物流产业：数字驱动，协同增效。统筹产品、用户、第三方服务商，构建智慧化物流</w:t>
              </w:r>
              <w:r>
                <w:rPr>
                  <w:rFonts w:ascii="宋体" w:hAnsi="宋体" w:cs="宋体" w:hint="eastAsia"/>
                </w:rPr>
                <w:t>体系。</w:t>
              </w:r>
            </w:p>
            <w:p>
              <w:pPr>
                <w:ind w:firstLineChars="200" w:firstLine="420"/>
                <w:jc w:val="both"/>
                <w:rPr>
                  <w:rFonts w:ascii="宋体" w:hAnsi="宋体" w:cs="宋体"/>
                </w:rPr>
              </w:pPr>
              <w:r>
                <w:rPr>
                  <w:rFonts w:ascii="宋体" w:hAnsi="宋体" w:cs="宋体" w:hint="eastAsia"/>
                </w:rPr>
                <w:t>有关本集团发展战略详情请见日期为</w:t>
              </w:r>
              <w:r>
                <w:rPr>
                  <w:rFonts w:ascii="宋体" w:hAnsi="宋体" w:cs="宋体"/>
                </w:rPr>
                <w:t>2021年12月15日的公司董事会决议公告，该等资料</w:t>
              </w:r>
              <w:r>
                <w:rPr>
                  <w:rFonts w:ascii="宋体" w:hAnsi="宋体" w:cs="宋体" w:hint="eastAsia"/>
                </w:rPr>
                <w:t>载于上交所网站、香港联交所网站、公司网站及</w:t>
              </w:r>
              <w:r>
                <w:rPr>
                  <w:rFonts w:ascii="宋体" w:hAnsi="宋体" w:cs="宋体"/>
                </w:rPr>
                <w:t>/或《中国证券报》《上海证券报》《证</w:t>
              </w:r>
              <w:r>
                <w:rPr>
                  <w:rFonts w:ascii="宋体" w:hAnsi="宋体" w:cs="宋体" w:hint="eastAsia"/>
                </w:rPr>
                <w:t>券时报》《证券日报》。</w:t>
              </w:r>
              <w:r>
                <w:rPr>
                  <w:rFonts w:ascii="宋体" w:hAnsi="宋体" w:cs="宋体"/>
                </w:rPr>
                <w:t>2025年发展战略规划进展情况详情请见本年报“第三节 董事长报告书”</w:t>
              </w:r>
              <w:r>
                <w:rPr>
                  <w:rFonts w:ascii="宋体" w:hAnsi="宋体" w:cs="宋体" w:hint="eastAsia"/>
                </w:rPr>
                <w:t>相关内容。</w:t>
              </w:r>
            </w:p>
          </w:sdtContent>
        </w:sdt>
      </w:sdtContent>
    </w:sdt>
    <w:bookmarkEnd w:id="133"/>
    <w:p>
      <w:pPr>
        <w:pStyle w:val="3"/>
        <w:numPr>
          <w:ilvl w:val="3"/>
          <w:numId w:val="23"/>
        </w:numPr>
        <w:rPr>
          <w:szCs w:val="21"/>
        </w:rPr>
      </w:pPr>
      <w:r>
        <w:rPr>
          <w:szCs w:val="21"/>
        </w:rPr>
        <w:t>经营计划</w:t>
      </w:r>
    </w:p>
    <w:sdt>
      <w:sdtPr>
        <w:rPr>
          <w:rFonts w:hint="eastAsia"/>
        </w:rPr>
        <w:alias w:val="是否适用：经营计划[双击切换]"/>
        <w:tag w:val="_GBC_871dbf3fc5a0422cadcc3452003278de"/>
        <w:id w:val="-1831365989"/>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经营计划"/>
        <w:tag w:val="_GBC_3f9bf7d7a36444cab37005d22ebc798c"/>
        <w:id w:val="-1564949268"/>
        <w:placeholder>
          <w:docPart w:val="GBC22222222222222222222222222222"/>
        </w:placeholder>
      </w:sdtPr>
      <w:sdtContent>
        <w:p>
          <w:pPr>
            <w:ind w:firstLineChars="200" w:firstLine="420"/>
          </w:pPr>
          <w:r>
            <w:rPr>
              <w:rFonts w:hint="eastAsia"/>
            </w:rPr>
            <w:t>有关本集团经营计划详情请见本年报“第三节</w:t>
          </w:r>
          <w:r>
            <w:rPr>
              <w:rFonts w:hint="eastAsia"/>
            </w:rPr>
            <w:t xml:space="preserve"> </w:t>
          </w:r>
          <w:r>
            <w:rPr>
              <w:rFonts w:hint="eastAsia"/>
            </w:rPr>
            <w:t>董事长报告书”相关内容。</w:t>
          </w:r>
        </w:p>
        <w:p>
          <w:pPr>
            <w:ind w:firstLineChars="200" w:firstLine="420"/>
          </w:pPr>
          <w:r>
            <w:rPr>
              <w:rFonts w:hint="eastAsia"/>
            </w:rPr>
            <w:t>相关经营计划不构成公司对投资者的业绩承诺，请投资者保持足够的风险意识，并且理解经营计划和业绩承诺之间的差异。</w:t>
          </w:r>
        </w:p>
      </w:sdtContent>
    </w:sdt>
    <w:p>
      <w:pPr>
        <w:pStyle w:val="Style49"/>
      </w:pPr>
    </w:p>
    <w:p>
      <w:pPr>
        <w:pStyle w:val="3"/>
        <w:numPr>
          <w:ilvl w:val="3"/>
          <w:numId w:val="23"/>
        </w:numPr>
        <w:rPr>
          <w:szCs w:val="21"/>
        </w:rPr>
      </w:pPr>
      <w:r>
        <w:rPr>
          <w:szCs w:val="21"/>
        </w:rPr>
        <w:t>资本开支计划</w:t>
      </w:r>
    </w:p>
    <w:p>
      <w:pPr>
        <w:widowControl w:val="0"/>
        <w:autoSpaceDE w:val="0"/>
        <w:autoSpaceDN w:val="0"/>
        <w:adjustRightInd w:val="0"/>
        <w:ind w:firstLineChars="200" w:firstLine="420"/>
        <w:jc w:val="both"/>
        <w:rPr>
          <w:rFonts w:ascii="宋体" w:hAnsi="宋体"/>
          <w:kern w:val="2"/>
          <w:szCs w:val="28"/>
        </w:rPr>
      </w:pPr>
      <w:bookmarkStart w:id="134" w:name="_Hlk225265109"/>
      <w:r>
        <w:rPr>
          <w:rFonts w:ascii="宋体" w:hAnsi="宋体" w:hint="eastAsia"/>
          <w:kern w:val="2"/>
          <w:szCs w:val="28"/>
        </w:rPr>
        <w:t>2025年本集团用于固定资产、在建工程和工程物资的资本性支出为</w:t>
      </w:r>
      <w:r>
        <w:rPr>
          <w:rFonts w:ascii="宋体" w:hAnsi="宋体"/>
          <w:kern w:val="2"/>
          <w:szCs w:val="28"/>
        </w:rPr>
        <w:t>220.52</w:t>
      </w:r>
      <w:r>
        <w:rPr>
          <w:rFonts w:ascii="宋体" w:hAnsi="宋体" w:hint="eastAsia"/>
          <w:kern w:val="2"/>
          <w:szCs w:val="28"/>
        </w:rPr>
        <w:t>亿元，剔除西北矿业影响后资本开支支出为186.84亿元，较年初计划节约8.6亿元。</w:t>
      </w:r>
    </w:p>
    <w:bookmarkEnd w:id="134"/>
    <w:p>
      <w:pPr>
        <w:widowControl w:val="0"/>
        <w:autoSpaceDE w:val="0"/>
        <w:autoSpaceDN w:val="0"/>
        <w:adjustRightInd w:val="0"/>
        <w:ind w:firstLineChars="200" w:firstLine="420"/>
        <w:jc w:val="both"/>
        <w:rPr>
          <w:rFonts w:ascii="宋体" w:hAnsi="宋体"/>
          <w:kern w:val="2"/>
          <w:szCs w:val="28"/>
          <w:u w:val="single"/>
        </w:rPr>
      </w:pPr>
      <w:r>
        <w:rPr>
          <w:rFonts w:ascii="宋体" w:hAnsi="宋体" w:hint="eastAsia"/>
          <w:kern w:val="2"/>
          <w:szCs w:val="28"/>
        </w:rPr>
        <w:t>预计202</w:t>
      </w:r>
      <w:r>
        <w:rPr>
          <w:rFonts w:ascii="宋体" w:hAnsi="宋体"/>
          <w:kern w:val="2"/>
          <w:szCs w:val="28"/>
        </w:rPr>
        <w:t>6</w:t>
      </w:r>
      <w:r>
        <w:rPr>
          <w:rFonts w:ascii="宋体" w:hAnsi="宋体" w:hint="eastAsia"/>
          <w:kern w:val="2"/>
          <w:szCs w:val="28"/>
        </w:rPr>
        <w:t>年本集团资本性支出为</w:t>
      </w:r>
      <w:r>
        <w:rPr>
          <w:rFonts w:ascii="宋体" w:hAnsi="宋体"/>
          <w:kern w:val="2"/>
          <w:szCs w:val="28"/>
        </w:rPr>
        <w:t>198.31</w:t>
      </w:r>
      <w:r>
        <w:rPr>
          <w:rFonts w:ascii="宋体" w:hAnsi="宋体" w:hint="eastAsia"/>
          <w:kern w:val="2"/>
          <w:szCs w:val="28"/>
        </w:rPr>
        <w:t>亿元，资金来源主要是本集团自有资金、银行贷款和发行债券等。</w:t>
      </w:r>
    </w:p>
    <w:p>
      <w:pPr>
        <w:widowControl w:val="0"/>
        <w:autoSpaceDE w:val="0"/>
        <w:autoSpaceDN w:val="0"/>
        <w:adjustRightInd w:val="0"/>
        <w:ind w:firstLineChars="200" w:firstLine="420"/>
        <w:jc w:val="both"/>
        <w:rPr>
          <w:rFonts w:ascii="宋体" w:hAnsi="宋体"/>
          <w:kern w:val="2"/>
          <w:szCs w:val="28"/>
        </w:rPr>
      </w:pPr>
      <w:r>
        <w:rPr>
          <w:rFonts w:ascii="宋体" w:hAnsi="宋体" w:hint="eastAsia"/>
          <w:kern w:val="2"/>
          <w:szCs w:val="28"/>
        </w:rPr>
        <w:t>本集团202</w:t>
      </w:r>
      <w:r>
        <w:rPr>
          <w:rFonts w:ascii="宋体" w:hAnsi="宋体"/>
          <w:kern w:val="2"/>
          <w:szCs w:val="28"/>
        </w:rPr>
        <w:t>5</w:t>
      </w:r>
      <w:r>
        <w:rPr>
          <w:rFonts w:ascii="宋体" w:hAnsi="宋体" w:hint="eastAsia"/>
          <w:kern w:val="2"/>
          <w:szCs w:val="28"/>
        </w:rPr>
        <w:t>年及预计202</w:t>
      </w:r>
      <w:r>
        <w:rPr>
          <w:rFonts w:ascii="宋体" w:hAnsi="宋体"/>
          <w:kern w:val="2"/>
          <w:szCs w:val="28"/>
        </w:rPr>
        <w:t>6</w:t>
      </w:r>
      <w:r>
        <w:rPr>
          <w:rFonts w:ascii="宋体" w:hAnsi="宋体" w:hint="eastAsia"/>
          <w:kern w:val="2"/>
          <w:szCs w:val="28"/>
        </w:rPr>
        <w:t>年资本性支出情况(依照经营主体划分)如下表：</w:t>
      </w:r>
    </w:p>
    <w:p>
      <w:pPr>
        <w:widowControl w:val="0"/>
        <w:autoSpaceDE w:val="0"/>
        <w:autoSpaceDN w:val="0"/>
        <w:adjustRightInd w:val="0"/>
        <w:ind w:rightChars="300" w:right="630"/>
        <w:jc w:val="right"/>
        <w:rPr>
          <w:rFonts w:ascii="宋体" w:hAnsi="宋体"/>
          <w:kern w:val="2"/>
          <w:szCs w:val="28"/>
        </w:rPr>
      </w:pPr>
      <w:r>
        <w:rPr>
          <w:rFonts w:ascii="宋体" w:hAnsi="宋体" w:hint="eastAsia"/>
          <w:kern w:val="2"/>
          <w:szCs w:val="28"/>
        </w:rPr>
        <w:t>单位：亿元</w:t>
      </w:r>
    </w:p>
    <w:tbl>
      <w:tblPr>
        <w:tblStyle w:val="g102"/>
        <w:tblW w:w="920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1470"/>
        <w:gridCol w:w="1556"/>
        <w:gridCol w:w="4294"/>
      </w:tblGrid>
      <w:tr>
        <w:trPr>
          <w:trHeight w:val="26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bookmarkStart w:id="135" w:name="_Hlk157065060"/>
          </w:p>
        </w:tc>
        <w:tc>
          <w:tcPr>
            <w:tcW w:w="147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ind w:firstLine="124"/>
              <w:rPr>
                <w:b/>
                <w:bCs/>
                <w:szCs w:val="28"/>
              </w:rPr>
            </w:pPr>
            <w:r>
              <w:rPr>
                <w:rFonts w:hint="eastAsia"/>
                <w:b/>
                <w:bCs/>
                <w:szCs w:val="28"/>
              </w:rPr>
              <w:t>202</w:t>
            </w:r>
            <w:r>
              <w:rPr>
                <w:b/>
                <w:bCs/>
                <w:szCs w:val="28"/>
              </w:rPr>
              <w:t>6</w:t>
            </w:r>
            <w:r>
              <w:rPr>
                <w:rFonts w:hint="eastAsia"/>
                <w:b/>
                <w:bCs/>
                <w:szCs w:val="28"/>
              </w:rPr>
              <w:t>年计划</w:t>
            </w:r>
          </w:p>
        </w:tc>
        <w:tc>
          <w:tcPr>
            <w:tcW w:w="155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b/>
                <w:bCs/>
                <w:szCs w:val="28"/>
              </w:rPr>
            </w:pPr>
            <w:r>
              <w:rPr>
                <w:rFonts w:hint="eastAsia"/>
                <w:b/>
                <w:bCs/>
                <w:szCs w:val="28"/>
              </w:rPr>
              <w:t>202</w:t>
            </w:r>
            <w:r>
              <w:rPr>
                <w:b/>
                <w:bCs/>
                <w:szCs w:val="28"/>
              </w:rPr>
              <w:t>5</w:t>
            </w:r>
            <w:r>
              <w:rPr>
                <w:rFonts w:hint="eastAsia"/>
                <w:b/>
                <w:bCs/>
                <w:szCs w:val="28"/>
              </w:rPr>
              <w:t>年完成</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b/>
                <w:bCs/>
                <w:szCs w:val="28"/>
              </w:rPr>
            </w:pPr>
            <w:r>
              <w:rPr>
                <w:rFonts w:hint="eastAsia"/>
                <w:b/>
                <w:bCs/>
                <w:szCs w:val="28"/>
              </w:rPr>
              <w:t>主要项目</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公司</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24.24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36.56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矿井装备升级、数据中心建设，以及维简、安全等投入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兖矿物流科技有限公司</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3.13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3.34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铁路专用线投入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菏泽能化</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5.73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8.11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矿井技术改造、维简、安全等投入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lastRenderedPageBreak/>
              <w:t>鲁西矿业</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7.92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12.62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矿井装备升级、维简、安全等投入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鲁南化工</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15.35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8.60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聚甲醛项目、老旧装置更新改造等投入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西北矿业</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21.89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33.68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油房壕、杨家坪矿井及选煤厂建设，现有矿井技术改造、维简、安全等投入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未来能源</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6.36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3.95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煤矿配套设施改建以及煤制油项目等投入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鄂尔多斯公司</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29.48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25.35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甲醇制烯烃项目、矿井改造升级等投入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昊盛煤业</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3.67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1.43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矿井技术改造、维简、安全等投入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内蒙古矿业</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5.34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1.44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矿井技术改造、维简、安全等投入</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新疆能化</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31.03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44.40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甲醇制烯烃项目、五彩湾露天矿及配套设施建设、铁路专用线等投入</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兖煤澳洲</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34.18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31.60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维简、安全环保、勘探等投入</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兖煤国际</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2.79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4.34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泰安港公铁水联运物流园项目，维简、安全环保等投入</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其他子公司</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7.20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5.11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8"/>
                <w:u w:val="single"/>
              </w:rPr>
            </w:pPr>
            <w:r>
              <w:rPr>
                <w:rFonts w:hint="eastAsia"/>
                <w:szCs w:val="28"/>
              </w:rPr>
              <w:t>合计</w:t>
            </w:r>
          </w:p>
        </w:tc>
        <w:tc>
          <w:tcPr>
            <w:tcW w:w="1470"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198.31</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rPr>
                <w:szCs w:val="28"/>
              </w:rPr>
            </w:pPr>
            <w:r>
              <w:rPr>
                <w:szCs w:val="28"/>
              </w:rPr>
              <w:t xml:space="preserve">220.52 </w:t>
            </w:r>
          </w:p>
        </w:tc>
        <w:tc>
          <w:tcPr>
            <w:tcW w:w="4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8"/>
              </w:rPr>
            </w:pPr>
            <w:r>
              <w:rPr>
                <w:rFonts w:hint="eastAsia"/>
                <w:szCs w:val="28"/>
              </w:rPr>
              <w:t>-</w:t>
            </w:r>
          </w:p>
        </w:tc>
      </w:tr>
      <w:bookmarkEnd w:id="135"/>
    </w:tbl>
    <w:p>
      <w:pPr>
        <w:widowControl w:val="0"/>
        <w:autoSpaceDE w:val="0"/>
        <w:autoSpaceDN w:val="0"/>
        <w:adjustRightInd w:val="0"/>
        <w:jc w:val="both"/>
        <w:rPr>
          <w:rFonts w:ascii="宋体" w:hAnsi="宋体"/>
          <w:kern w:val="2"/>
        </w:rPr>
      </w:pPr>
    </w:p>
    <w:p>
      <w:pPr>
        <w:widowControl w:val="0"/>
        <w:autoSpaceDE w:val="0"/>
        <w:autoSpaceDN w:val="0"/>
        <w:adjustRightInd w:val="0"/>
        <w:ind w:firstLineChars="200" w:firstLine="420"/>
        <w:jc w:val="both"/>
        <w:rPr>
          <w:rFonts w:ascii="宋体" w:hAnsi="宋体"/>
          <w:kern w:val="2"/>
          <w:szCs w:val="28"/>
        </w:rPr>
      </w:pPr>
      <w:r>
        <w:rPr>
          <w:rFonts w:ascii="宋体" w:hAnsi="宋体" w:hint="eastAsia"/>
          <w:kern w:val="2"/>
          <w:szCs w:val="28"/>
        </w:rPr>
        <w:t>本集团202</w:t>
      </w:r>
      <w:r>
        <w:rPr>
          <w:rFonts w:ascii="宋体" w:hAnsi="宋体"/>
          <w:kern w:val="2"/>
          <w:szCs w:val="28"/>
        </w:rPr>
        <w:t>5</w:t>
      </w:r>
      <w:r>
        <w:rPr>
          <w:rFonts w:ascii="宋体" w:hAnsi="宋体" w:hint="eastAsia"/>
          <w:kern w:val="2"/>
          <w:szCs w:val="28"/>
        </w:rPr>
        <w:t>年及预计202</w:t>
      </w:r>
      <w:r>
        <w:rPr>
          <w:rFonts w:ascii="宋体" w:hAnsi="宋体"/>
          <w:kern w:val="2"/>
          <w:szCs w:val="28"/>
        </w:rPr>
        <w:t>6</w:t>
      </w:r>
      <w:r>
        <w:rPr>
          <w:rFonts w:ascii="宋体" w:hAnsi="宋体" w:hint="eastAsia"/>
          <w:kern w:val="2"/>
          <w:szCs w:val="28"/>
        </w:rPr>
        <w:t>年资本性支出情况(依照资金用途划分)如下表：</w:t>
      </w:r>
    </w:p>
    <w:p>
      <w:pPr>
        <w:widowControl w:val="0"/>
        <w:ind w:left="1260" w:rightChars="358" w:right="752"/>
        <w:jc w:val="right"/>
        <w:rPr>
          <w:rFonts w:ascii="宋体" w:hAnsi="宋体"/>
          <w:kern w:val="2"/>
          <w:szCs w:val="22"/>
        </w:rPr>
      </w:pPr>
      <w:r>
        <w:rPr>
          <w:rFonts w:ascii="宋体" w:hAnsi="宋体" w:hint="eastAsia"/>
          <w:kern w:val="2"/>
          <w:szCs w:val="22"/>
        </w:rPr>
        <w:t>单位：亿元</w:t>
      </w:r>
    </w:p>
    <w:tbl>
      <w:tblPr>
        <w:tblStyle w:val="21"/>
        <w:tblW w:w="0" w:type="auto"/>
        <w:jc w:val="center"/>
        <w:tblLook w:val="04A0" w:firstRow="1" w:lastRow="0" w:firstColumn="1" w:lastColumn="0" w:noHBand="0" w:noVBand="1"/>
      </w:tblPr>
      <w:tblGrid>
        <w:gridCol w:w="3016"/>
        <w:gridCol w:w="2261"/>
        <w:gridCol w:w="2353"/>
      </w:tblGrid>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宋体" w:hAnsi="宋体"/>
                <w:szCs w:val="28"/>
              </w:rPr>
            </w:pPr>
          </w:p>
        </w:tc>
        <w:tc>
          <w:tcPr>
            <w:tcW w:w="226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center"/>
              <w:rPr>
                <w:rFonts w:ascii="宋体" w:hAnsi="宋体"/>
                <w:b/>
                <w:bCs/>
                <w:szCs w:val="28"/>
              </w:rPr>
            </w:pPr>
            <w:r>
              <w:rPr>
                <w:rFonts w:ascii="宋体" w:hAnsi="宋体" w:hint="eastAsia"/>
                <w:b/>
                <w:bCs/>
                <w:szCs w:val="28"/>
              </w:rPr>
              <w:t>202</w:t>
            </w:r>
            <w:r>
              <w:rPr>
                <w:rFonts w:ascii="宋体" w:hAnsi="宋体"/>
                <w:b/>
                <w:bCs/>
                <w:szCs w:val="28"/>
              </w:rPr>
              <w:t>6</w:t>
            </w:r>
            <w:r>
              <w:rPr>
                <w:rFonts w:ascii="宋体" w:hAnsi="宋体" w:hint="eastAsia"/>
                <w:b/>
                <w:bCs/>
                <w:szCs w:val="28"/>
              </w:rPr>
              <w:t>年计划</w:t>
            </w:r>
          </w:p>
        </w:tc>
        <w:tc>
          <w:tcPr>
            <w:tcW w:w="2353"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center"/>
              <w:rPr>
                <w:rFonts w:ascii="宋体" w:hAnsi="宋体"/>
                <w:b/>
                <w:bCs/>
                <w:szCs w:val="28"/>
              </w:rPr>
            </w:pPr>
            <w:r>
              <w:rPr>
                <w:rFonts w:ascii="宋体" w:hAnsi="宋体" w:hint="eastAsia"/>
                <w:b/>
                <w:bCs/>
                <w:szCs w:val="28"/>
              </w:rPr>
              <w:t>202</w:t>
            </w:r>
            <w:r>
              <w:rPr>
                <w:rFonts w:ascii="宋体" w:hAnsi="宋体"/>
                <w:b/>
                <w:bCs/>
                <w:szCs w:val="28"/>
              </w:rPr>
              <w:t>5</w:t>
            </w:r>
            <w:r>
              <w:rPr>
                <w:rFonts w:ascii="宋体" w:hAnsi="宋体" w:hint="eastAsia"/>
                <w:b/>
                <w:bCs/>
                <w:szCs w:val="28"/>
              </w:rPr>
              <w:t>年完成</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宋体" w:hAnsi="宋体"/>
                <w:szCs w:val="28"/>
              </w:rPr>
            </w:pPr>
            <w:r>
              <w:rPr>
                <w:rFonts w:ascii="宋体" w:hAnsi="宋体" w:hint="eastAsia"/>
                <w:szCs w:val="28"/>
              </w:rPr>
              <w:t>基建项目</w:t>
            </w:r>
          </w:p>
        </w:tc>
        <w:tc>
          <w:tcPr>
            <w:tcW w:w="2261"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93.60 </w:t>
            </w:r>
          </w:p>
        </w:tc>
        <w:tc>
          <w:tcPr>
            <w:tcW w:w="235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8"/>
              </w:rPr>
            </w:pPr>
            <w:r>
              <w:rPr>
                <w:rFonts w:ascii="宋体" w:hAnsi="宋体"/>
                <w:szCs w:val="28"/>
              </w:rPr>
              <w:t xml:space="preserve">99.83 </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150" w:firstLine="315"/>
              <w:rPr>
                <w:rFonts w:ascii="宋体" w:hAnsi="宋体"/>
                <w:szCs w:val="28"/>
              </w:rPr>
            </w:pPr>
            <w:r>
              <w:rPr>
                <w:rFonts w:ascii="宋体" w:hAnsi="宋体" w:hint="eastAsia"/>
                <w:szCs w:val="28"/>
              </w:rPr>
              <w:t>煤炭矿井基建</w:t>
            </w:r>
          </w:p>
        </w:tc>
        <w:tc>
          <w:tcPr>
            <w:tcW w:w="2261" w:type="dxa"/>
            <w:tcBorders>
              <w:top w:val="single" w:sz="4" w:space="0" w:color="auto"/>
              <w:left w:val="single" w:sz="4" w:space="0" w:color="auto"/>
              <w:bottom w:val="single" w:sz="4" w:space="0" w:color="auto"/>
              <w:right w:val="single" w:sz="4" w:space="0" w:color="auto"/>
            </w:tcBorders>
          </w:tcPr>
          <w:p>
            <w:pPr>
              <w:widowControl/>
              <w:autoSpaceDE w:val="0"/>
              <w:autoSpaceDN w:val="0"/>
              <w:adjustRightInd w:val="0"/>
              <w:jc w:val="right"/>
              <w:rPr>
                <w:rFonts w:ascii="宋体" w:hAnsi="宋体"/>
                <w:szCs w:val="28"/>
              </w:rPr>
            </w:pPr>
            <w:r>
              <w:rPr>
                <w:rFonts w:ascii="宋体" w:hAnsi="宋体"/>
                <w:szCs w:val="28"/>
              </w:rPr>
              <w:t xml:space="preserve">32.18 </w:t>
            </w:r>
          </w:p>
        </w:tc>
        <w:tc>
          <w:tcPr>
            <w:tcW w:w="235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8"/>
              </w:rPr>
            </w:pPr>
            <w:r>
              <w:rPr>
                <w:rFonts w:ascii="宋体" w:hAnsi="宋体"/>
                <w:szCs w:val="28"/>
              </w:rPr>
              <w:t xml:space="preserve">58.89 </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150" w:firstLine="315"/>
              <w:rPr>
                <w:rFonts w:ascii="宋体" w:hAnsi="宋体"/>
                <w:szCs w:val="28"/>
              </w:rPr>
            </w:pPr>
            <w:r>
              <w:rPr>
                <w:rFonts w:ascii="宋体" w:hAnsi="宋体" w:hint="eastAsia"/>
                <w:szCs w:val="28"/>
              </w:rPr>
              <w:t>化工项目基建</w:t>
            </w:r>
          </w:p>
        </w:tc>
        <w:tc>
          <w:tcPr>
            <w:tcW w:w="2261" w:type="dxa"/>
            <w:tcBorders>
              <w:top w:val="single" w:sz="4" w:space="0" w:color="auto"/>
              <w:left w:val="single" w:sz="4" w:space="0" w:color="auto"/>
              <w:bottom w:val="single" w:sz="4" w:space="0" w:color="auto"/>
              <w:right w:val="single" w:sz="4" w:space="0" w:color="auto"/>
            </w:tcBorders>
          </w:tcPr>
          <w:p>
            <w:pPr>
              <w:widowControl/>
              <w:autoSpaceDE w:val="0"/>
              <w:autoSpaceDN w:val="0"/>
              <w:adjustRightInd w:val="0"/>
              <w:jc w:val="right"/>
              <w:rPr>
                <w:rFonts w:ascii="宋体" w:hAnsi="宋体"/>
                <w:szCs w:val="28"/>
              </w:rPr>
            </w:pPr>
            <w:r>
              <w:rPr>
                <w:rFonts w:ascii="宋体" w:hAnsi="宋体"/>
                <w:szCs w:val="28"/>
              </w:rPr>
              <w:t xml:space="preserve">53.15 </w:t>
            </w:r>
          </w:p>
        </w:tc>
        <w:tc>
          <w:tcPr>
            <w:tcW w:w="2353"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33.88 </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150" w:firstLine="315"/>
              <w:rPr>
                <w:rFonts w:ascii="宋体" w:hAnsi="宋体"/>
                <w:szCs w:val="28"/>
              </w:rPr>
            </w:pPr>
            <w:r>
              <w:rPr>
                <w:rFonts w:ascii="宋体" w:hAnsi="宋体" w:hint="eastAsia"/>
                <w:szCs w:val="28"/>
              </w:rPr>
              <w:t>物流和储配项目基建</w:t>
            </w:r>
          </w:p>
        </w:tc>
        <w:tc>
          <w:tcPr>
            <w:tcW w:w="2261" w:type="dxa"/>
            <w:tcBorders>
              <w:top w:val="single" w:sz="4" w:space="0" w:color="auto"/>
              <w:left w:val="single" w:sz="4" w:space="0" w:color="auto"/>
              <w:bottom w:val="single" w:sz="4" w:space="0" w:color="auto"/>
              <w:right w:val="single" w:sz="4" w:space="0" w:color="auto"/>
            </w:tcBorders>
          </w:tcPr>
          <w:p>
            <w:pPr>
              <w:widowControl/>
              <w:autoSpaceDE w:val="0"/>
              <w:autoSpaceDN w:val="0"/>
              <w:adjustRightInd w:val="0"/>
              <w:jc w:val="right"/>
              <w:rPr>
                <w:rFonts w:ascii="宋体" w:hAnsi="宋体"/>
                <w:szCs w:val="28"/>
              </w:rPr>
            </w:pPr>
            <w:r>
              <w:rPr>
                <w:rFonts w:ascii="宋体" w:hAnsi="宋体"/>
                <w:szCs w:val="28"/>
              </w:rPr>
              <w:t xml:space="preserve">5.78 </w:t>
            </w:r>
          </w:p>
        </w:tc>
        <w:tc>
          <w:tcPr>
            <w:tcW w:w="2353"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4.07 </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150" w:firstLine="315"/>
              <w:rPr>
                <w:rFonts w:ascii="宋体" w:hAnsi="宋体"/>
                <w:szCs w:val="28"/>
              </w:rPr>
            </w:pPr>
            <w:r>
              <w:rPr>
                <w:rFonts w:ascii="宋体" w:hAnsi="宋体" w:hint="eastAsia"/>
                <w:szCs w:val="28"/>
              </w:rPr>
              <w:t>其他基建</w:t>
            </w:r>
          </w:p>
        </w:tc>
        <w:tc>
          <w:tcPr>
            <w:tcW w:w="2261" w:type="dxa"/>
            <w:tcBorders>
              <w:top w:val="single" w:sz="4" w:space="0" w:color="auto"/>
              <w:left w:val="single" w:sz="4" w:space="0" w:color="auto"/>
              <w:bottom w:val="single" w:sz="4" w:space="0" w:color="auto"/>
              <w:right w:val="single" w:sz="4" w:space="0" w:color="auto"/>
            </w:tcBorders>
          </w:tcPr>
          <w:p>
            <w:pPr>
              <w:widowControl/>
              <w:autoSpaceDE w:val="0"/>
              <w:autoSpaceDN w:val="0"/>
              <w:adjustRightInd w:val="0"/>
              <w:jc w:val="right"/>
              <w:rPr>
                <w:rFonts w:ascii="宋体" w:hAnsi="宋体"/>
                <w:szCs w:val="28"/>
              </w:rPr>
            </w:pPr>
            <w:r>
              <w:rPr>
                <w:rFonts w:ascii="宋体" w:hAnsi="宋体"/>
                <w:szCs w:val="28"/>
              </w:rPr>
              <w:t xml:space="preserve">2.49 </w:t>
            </w:r>
          </w:p>
        </w:tc>
        <w:tc>
          <w:tcPr>
            <w:tcW w:w="2353"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2.99 </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宋体" w:hAnsi="宋体"/>
                <w:szCs w:val="28"/>
              </w:rPr>
            </w:pPr>
            <w:r>
              <w:rPr>
                <w:rFonts w:ascii="宋体" w:hAnsi="宋体" w:hint="eastAsia"/>
                <w:szCs w:val="28"/>
              </w:rPr>
              <w:t>维持简单再生产</w:t>
            </w:r>
          </w:p>
        </w:tc>
        <w:tc>
          <w:tcPr>
            <w:tcW w:w="2261"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83.41 </w:t>
            </w:r>
          </w:p>
        </w:tc>
        <w:tc>
          <w:tcPr>
            <w:tcW w:w="2353"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102.57 </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宋体" w:hAnsi="宋体"/>
                <w:szCs w:val="28"/>
              </w:rPr>
            </w:pPr>
            <w:r>
              <w:rPr>
                <w:rFonts w:ascii="宋体" w:hAnsi="宋体" w:hint="eastAsia"/>
                <w:szCs w:val="28"/>
              </w:rPr>
              <w:t>安全生产计划支出</w:t>
            </w:r>
          </w:p>
        </w:tc>
        <w:tc>
          <w:tcPr>
            <w:tcW w:w="2261"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19.89 </w:t>
            </w:r>
          </w:p>
        </w:tc>
        <w:tc>
          <w:tcPr>
            <w:tcW w:w="2353"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17.85 </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宋体" w:hAnsi="宋体"/>
                <w:szCs w:val="28"/>
              </w:rPr>
            </w:pPr>
            <w:r>
              <w:rPr>
                <w:rFonts w:ascii="宋体" w:hAnsi="宋体" w:hint="eastAsia"/>
                <w:szCs w:val="28"/>
              </w:rPr>
              <w:t>科技开发计划</w:t>
            </w:r>
          </w:p>
        </w:tc>
        <w:tc>
          <w:tcPr>
            <w:tcW w:w="2261"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0.73 </w:t>
            </w:r>
          </w:p>
        </w:tc>
        <w:tc>
          <w:tcPr>
            <w:tcW w:w="2353"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0</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宋体" w:hAnsi="宋体"/>
                <w:szCs w:val="28"/>
              </w:rPr>
            </w:pPr>
            <w:r>
              <w:rPr>
                <w:rFonts w:ascii="宋体" w:hAnsi="宋体" w:hint="eastAsia"/>
                <w:szCs w:val="28"/>
              </w:rPr>
              <w:t>技改计划</w:t>
            </w:r>
          </w:p>
        </w:tc>
        <w:tc>
          <w:tcPr>
            <w:tcW w:w="2261"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0.68 </w:t>
            </w:r>
          </w:p>
        </w:tc>
        <w:tc>
          <w:tcPr>
            <w:tcW w:w="2353"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0.27 </w:t>
            </w:r>
          </w:p>
        </w:tc>
      </w:tr>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center"/>
              <w:rPr>
                <w:rFonts w:ascii="宋体" w:hAnsi="宋体"/>
                <w:szCs w:val="28"/>
              </w:rPr>
            </w:pPr>
            <w:r>
              <w:rPr>
                <w:rFonts w:ascii="宋体" w:hAnsi="宋体" w:hint="eastAsia"/>
                <w:szCs w:val="28"/>
              </w:rPr>
              <w:t>合计</w:t>
            </w:r>
          </w:p>
        </w:tc>
        <w:tc>
          <w:tcPr>
            <w:tcW w:w="2261" w:type="dxa"/>
            <w:tcBorders>
              <w:top w:val="single" w:sz="4" w:space="0" w:color="auto"/>
              <w:left w:val="single" w:sz="4" w:space="0" w:color="auto"/>
              <w:bottom w:val="single" w:sz="4" w:space="0" w:color="auto"/>
              <w:right w:val="single" w:sz="4" w:space="0" w:color="auto"/>
            </w:tcBorders>
            <w:vAlign w:val="center"/>
          </w:tcPr>
          <w:p>
            <w:pPr>
              <w:widowControl/>
              <w:autoSpaceDE w:val="0"/>
              <w:autoSpaceDN w:val="0"/>
              <w:adjustRightInd w:val="0"/>
              <w:jc w:val="right"/>
              <w:rPr>
                <w:rFonts w:ascii="宋体" w:hAnsi="宋体"/>
                <w:szCs w:val="28"/>
              </w:rPr>
            </w:pPr>
            <w:r>
              <w:rPr>
                <w:rFonts w:ascii="宋体" w:hAnsi="宋体"/>
                <w:szCs w:val="28"/>
              </w:rPr>
              <w:t xml:space="preserve">198.31 </w:t>
            </w:r>
          </w:p>
        </w:tc>
        <w:tc>
          <w:tcPr>
            <w:tcW w:w="2353"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autoSpaceDE w:val="0"/>
              <w:autoSpaceDN w:val="0"/>
              <w:adjustRightInd w:val="0"/>
              <w:jc w:val="right"/>
              <w:rPr>
                <w:rFonts w:ascii="宋体" w:hAnsi="宋体"/>
                <w:szCs w:val="28"/>
              </w:rPr>
            </w:pPr>
            <w:r>
              <w:rPr>
                <w:rFonts w:ascii="宋体" w:hAnsi="宋体"/>
                <w:szCs w:val="28"/>
              </w:rPr>
              <w:t xml:space="preserve">220.52 </w:t>
            </w:r>
          </w:p>
        </w:tc>
      </w:tr>
    </w:tbl>
    <w:p>
      <w:pPr>
        <w:ind w:firstLineChars="200" w:firstLine="420"/>
        <w:jc w:val="both"/>
        <w:rPr>
          <w:rFonts w:ascii="宋体" w:hAnsi="宋体" w:cs="宋体"/>
        </w:rPr>
      </w:pPr>
      <w:r>
        <w:rPr>
          <w:rFonts w:ascii="宋体" w:hAnsi="宋体" w:hint="eastAsia"/>
          <w:kern w:val="2"/>
          <w:szCs w:val="28"/>
        </w:rPr>
        <w:t>本集团目前拥有较充裕的现金和畅通融资渠道，预计能够满足营运和发展的需要。</w:t>
      </w:r>
    </w:p>
    <w:p>
      <w:pPr>
        <w:pStyle w:val="Style49"/>
      </w:pPr>
    </w:p>
    <w:p>
      <w:pPr>
        <w:pStyle w:val="3"/>
        <w:numPr>
          <w:ilvl w:val="3"/>
          <w:numId w:val="23"/>
        </w:numPr>
        <w:rPr>
          <w:szCs w:val="21"/>
        </w:rPr>
      </w:pPr>
      <w:r>
        <w:rPr>
          <w:szCs w:val="21"/>
        </w:rPr>
        <w:t>可能面对的风险</w:t>
      </w:r>
    </w:p>
    <w:sdt>
      <w:sdtPr>
        <w:rPr>
          <w:rFonts w:hint="eastAsia"/>
        </w:rPr>
        <w:alias w:val="是否适用：可能面对的风险[双击切换]"/>
        <w:tag w:val="_GBC_1b74f2e1039c4fe9acc819e860071020"/>
        <w:id w:val="-201328621"/>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可能面对的风险"/>
        <w:tag w:val="_GBC_c62723d12603412ba692148cd4961de5"/>
        <w:id w:val="1474334995"/>
        <w:placeholder>
          <w:docPart w:val="GBC22222222222222222222222222222"/>
        </w:placeholder>
      </w:sdtPr>
      <w:sdtContent>
        <w:p>
          <w:pPr>
            <w:pStyle w:val="Style49"/>
          </w:pPr>
        </w:p>
        <w:p>
          <w:pPr>
            <w:ind w:firstLineChars="200" w:firstLine="420"/>
            <w:jc w:val="both"/>
            <w:rPr>
              <w:rFonts w:cs="宋体"/>
              <w:bCs/>
              <w:color w:val="000000" w:themeColor="text1"/>
            </w:rPr>
          </w:pPr>
          <w:r>
            <w:rPr>
              <w:rFonts w:cs="宋体" w:hint="eastAsia"/>
              <w:bCs/>
              <w:color w:val="000000" w:themeColor="text1"/>
            </w:rPr>
            <w:t>安全管理风险</w:t>
          </w:r>
        </w:p>
        <w:p>
          <w:pPr>
            <w:ind w:firstLineChars="200" w:firstLine="420"/>
            <w:jc w:val="both"/>
            <w:rPr>
              <w:rFonts w:cs="宋体"/>
              <w:bCs/>
              <w:color w:val="000000" w:themeColor="text1"/>
            </w:rPr>
          </w:pPr>
          <w:r>
            <w:rPr>
              <w:rFonts w:cs="宋体" w:hint="eastAsia"/>
              <w:bCs/>
              <w:color w:val="000000" w:themeColor="text1"/>
            </w:rPr>
            <w:t>本集团业务板块中“煤炭开采、煤化工”均属于高危行业，安全生产的不确定性因素比较复杂，易产生安全管理风险。</w:t>
          </w:r>
        </w:p>
        <w:p>
          <w:pPr>
            <w:ind w:firstLineChars="200" w:firstLine="420"/>
            <w:jc w:val="both"/>
            <w:rPr>
              <w:rFonts w:cs="宋体"/>
              <w:bCs/>
              <w:color w:val="000000" w:themeColor="text1"/>
            </w:rPr>
          </w:pPr>
          <w:r>
            <w:rPr>
              <w:rFonts w:cs="宋体" w:hint="eastAsia"/>
              <w:bCs/>
              <w:color w:val="000000" w:themeColor="text1"/>
            </w:rPr>
            <w:t>应对措施：常态化、制度化开展矿山隐蔽致灾因素普查治理，做到灾害威胁分析、治理方案措施、关键节点专盯、灾害信息共享、后评估管理五到位。重点提升风险隐患排查的全面性、危险源辨识的精准性、治理措施的有效性、方案落实的及时性，实现风险闭环管理。</w:t>
          </w:r>
        </w:p>
        <w:p>
          <w:pPr>
            <w:ind w:firstLineChars="200" w:firstLine="420"/>
            <w:jc w:val="both"/>
            <w:rPr>
              <w:rFonts w:cs="宋体"/>
              <w:bCs/>
              <w:color w:val="000000" w:themeColor="text1"/>
            </w:rPr>
          </w:pPr>
        </w:p>
        <w:p>
          <w:pPr>
            <w:ind w:firstLineChars="200" w:firstLine="420"/>
            <w:jc w:val="both"/>
            <w:rPr>
              <w:rFonts w:cs="宋体"/>
              <w:bCs/>
              <w:color w:val="000000" w:themeColor="text1"/>
            </w:rPr>
          </w:pPr>
          <w:r>
            <w:rPr>
              <w:rFonts w:cs="宋体" w:hint="eastAsia"/>
              <w:bCs/>
              <w:color w:val="000000" w:themeColor="text1"/>
            </w:rPr>
            <w:t>环境保护风险</w:t>
          </w:r>
        </w:p>
        <w:p>
          <w:pPr>
            <w:ind w:firstLineChars="200" w:firstLine="420"/>
            <w:jc w:val="both"/>
            <w:rPr>
              <w:rFonts w:cs="宋体"/>
              <w:bCs/>
              <w:color w:val="000000" w:themeColor="text1"/>
            </w:rPr>
          </w:pPr>
          <w:r>
            <w:rPr>
              <w:rFonts w:cs="宋体" w:hint="eastAsia"/>
              <w:bCs/>
              <w:color w:val="000000" w:themeColor="text1"/>
            </w:rPr>
            <w:t>国家环保政策趋严，全社会对环保重视程度不断提高，使本集团面临更为严格的环保约束。我国向世界作出实现“碳达峰、碳中和”的庄严承诺，对公司煤炭业务的经营发展带来重大影响。</w:t>
          </w:r>
        </w:p>
        <w:p>
          <w:pPr>
            <w:ind w:firstLineChars="200" w:firstLine="420"/>
            <w:jc w:val="both"/>
            <w:rPr>
              <w:rFonts w:cs="宋体"/>
              <w:bCs/>
              <w:color w:val="000000" w:themeColor="text1"/>
            </w:rPr>
          </w:pPr>
          <w:r>
            <w:rPr>
              <w:rFonts w:cs="宋体" w:hint="eastAsia"/>
              <w:bCs/>
              <w:color w:val="000000" w:themeColor="text1"/>
            </w:rPr>
            <w:t>应对措施：本集团将严格落实环保法规要求，积极推进设施升级改造，提升设施运行管理水平，确保污染物达标排放。实施战略转型，积极推动传统产业转型和新兴产业崛起，走绿色低碳发展的道路。推动煤炭高效清洁利用，继续发挥煤炭在能源结构中的压舱石作用。</w:t>
          </w:r>
        </w:p>
        <w:p>
          <w:pPr>
            <w:ind w:firstLineChars="200" w:firstLine="420"/>
            <w:jc w:val="both"/>
            <w:rPr>
              <w:rFonts w:cs="宋体"/>
              <w:bCs/>
              <w:color w:val="000000" w:themeColor="text1"/>
            </w:rPr>
          </w:pPr>
        </w:p>
        <w:p>
          <w:pPr>
            <w:ind w:firstLineChars="200" w:firstLine="420"/>
            <w:jc w:val="both"/>
            <w:rPr>
              <w:rFonts w:cs="宋体"/>
              <w:bCs/>
              <w:color w:val="000000" w:themeColor="text1"/>
            </w:rPr>
          </w:pPr>
        </w:p>
        <w:p>
          <w:pPr>
            <w:ind w:firstLineChars="200" w:firstLine="420"/>
            <w:jc w:val="both"/>
            <w:rPr>
              <w:rFonts w:cs="宋体"/>
              <w:bCs/>
              <w:color w:val="000000" w:themeColor="text1"/>
            </w:rPr>
          </w:pPr>
        </w:p>
        <w:p>
          <w:pPr>
            <w:ind w:firstLineChars="200" w:firstLine="420"/>
            <w:jc w:val="both"/>
            <w:rPr>
              <w:rFonts w:cs="宋体"/>
              <w:bCs/>
              <w:color w:val="000000" w:themeColor="text1"/>
            </w:rPr>
          </w:pPr>
          <w:r>
            <w:rPr>
              <w:rFonts w:cs="宋体" w:hint="eastAsia"/>
              <w:bCs/>
              <w:color w:val="000000" w:themeColor="text1"/>
            </w:rPr>
            <w:t>汇率风险</w:t>
          </w:r>
        </w:p>
        <w:p>
          <w:pPr>
            <w:ind w:firstLineChars="200" w:firstLine="420"/>
            <w:jc w:val="both"/>
            <w:rPr>
              <w:rFonts w:cs="宋体"/>
              <w:bCs/>
              <w:color w:val="000000" w:themeColor="text1"/>
            </w:rPr>
          </w:pPr>
          <w:r>
            <w:rPr>
              <w:rFonts w:cs="宋体" w:hint="eastAsia"/>
              <w:bCs/>
              <w:color w:val="000000" w:themeColor="text1"/>
            </w:rPr>
            <w:t>作为国际化跨国公司，本集团的境外投资、境外融资、国际贸易等业务均受汇率波动影响，对本集团的经营业绩和发展战略带来诸多不确定性。</w:t>
          </w:r>
        </w:p>
        <w:p>
          <w:pPr>
            <w:ind w:firstLineChars="200" w:firstLine="420"/>
            <w:jc w:val="both"/>
            <w:rPr>
              <w:rFonts w:cs="宋体"/>
              <w:bCs/>
              <w:color w:val="000000" w:themeColor="text1"/>
            </w:rPr>
          </w:pPr>
          <w:r>
            <w:rPr>
              <w:rFonts w:cs="宋体" w:hint="eastAsia"/>
              <w:bCs/>
              <w:color w:val="000000" w:themeColor="text1"/>
            </w:rPr>
            <w:t>应对措施：加强汇率走势研判，综合运用多种金融工具降低汇率波动风险。根据交易货币汇率变动趋势，在交易合同中订立适当的保值条款。灵活运用外汇衍生产品工具，签订远期外汇交易合同，锁定汇率波动。</w:t>
          </w:r>
        </w:p>
        <w:p>
          <w:pPr>
            <w:ind w:firstLineChars="200" w:firstLine="420"/>
            <w:jc w:val="both"/>
            <w:rPr>
              <w:rFonts w:cs="宋体"/>
              <w:bCs/>
              <w:color w:val="000000" w:themeColor="text1"/>
            </w:rPr>
          </w:pPr>
        </w:p>
        <w:p>
          <w:pPr>
            <w:ind w:firstLineChars="200" w:firstLine="420"/>
            <w:jc w:val="both"/>
            <w:rPr>
              <w:rFonts w:cs="宋体"/>
              <w:bCs/>
              <w:color w:val="000000" w:themeColor="text1"/>
            </w:rPr>
          </w:pPr>
          <w:r>
            <w:rPr>
              <w:rFonts w:cs="宋体" w:hint="eastAsia"/>
              <w:bCs/>
              <w:color w:val="000000" w:themeColor="text1"/>
            </w:rPr>
            <w:t>地缘政治风险</w:t>
          </w:r>
        </w:p>
        <w:p>
          <w:pPr>
            <w:ind w:firstLineChars="200" w:firstLine="420"/>
            <w:jc w:val="both"/>
            <w:rPr>
              <w:rFonts w:cs="宋体"/>
              <w:bCs/>
              <w:color w:val="000000" w:themeColor="text1"/>
            </w:rPr>
          </w:pPr>
          <w:r>
            <w:rPr>
              <w:rFonts w:cs="宋体" w:hint="eastAsia"/>
              <w:bCs/>
              <w:color w:val="000000" w:themeColor="text1"/>
            </w:rPr>
            <w:t>本集团业务跨越不同地域与国家，境外业务会受当地政府政策、经济及国际关系变化等因素影响。若这些因素出现任何重大不利变化，则本集团业务、财务状况及经营业绩将可能会受到不利影响。</w:t>
          </w:r>
        </w:p>
        <w:p>
          <w:pPr>
            <w:ind w:firstLineChars="200" w:firstLine="420"/>
            <w:jc w:val="both"/>
            <w:rPr>
              <w:rFonts w:cs="宋体"/>
              <w:bCs/>
              <w:color w:val="000000" w:themeColor="text1"/>
            </w:rPr>
          </w:pPr>
          <w:r>
            <w:rPr>
              <w:rFonts w:cs="宋体" w:hint="eastAsia"/>
              <w:bCs/>
              <w:color w:val="000000" w:themeColor="text1"/>
            </w:rPr>
            <w:t>应对措施：一是密切关注国际动态，加强对业务所在地政治、经济等发展形势的分析，及时识别和预判境外业务可能面临的地缘政治风险，并制定应对策略。二是继续坚持属地化策略，遵守所在地法律法规，积极融入所在地经济社会发展。</w:t>
          </w:r>
        </w:p>
      </w:sdtContent>
    </w:sdt>
    <w:p>
      <w:pPr>
        <w:pStyle w:val="Style49"/>
      </w:pPr>
    </w:p>
    <w:p>
      <w:pPr>
        <w:pStyle w:val="3"/>
        <w:numPr>
          <w:ilvl w:val="3"/>
          <w:numId w:val="23"/>
        </w:numPr>
        <w:rPr>
          <w:szCs w:val="21"/>
        </w:rPr>
      </w:pPr>
      <w:r>
        <w:rPr>
          <w:szCs w:val="21"/>
        </w:rPr>
        <w:t>其他</w:t>
      </w:r>
    </w:p>
    <w:sdt>
      <w:sdtPr>
        <w:rPr>
          <w:rFonts w:hint="eastAsia"/>
        </w:rPr>
        <w:alias w:val="是否适用：公司其他未来发展的讨论和分析[双击切换]"/>
        <w:tag w:val="_GBC_aad5c59ba9344d37bc5cc7a8eba5f048"/>
        <w:id w:val="-589231349"/>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其他未来发展的讨论与分析"/>
        <w:tag w:val="_GBC_672314335c7e49968b7ec5fbd4778256"/>
        <w:id w:val="-50772729"/>
        <w:placeholder>
          <w:docPart w:val="GBC22222222222222222222222222222"/>
        </w:placeholder>
      </w:sdtPr>
      <w:sdtContent>
        <w:p>
          <w:pPr>
            <w:pStyle w:val="Style49"/>
          </w:pPr>
        </w:p>
        <w:p>
          <w:pPr>
            <w:ind w:firstLineChars="200" w:firstLine="422"/>
            <w:jc w:val="both"/>
            <w:rPr>
              <w:rFonts w:ascii="宋体" w:hAnsi="宋体"/>
              <w:b/>
              <w:bCs/>
            </w:rPr>
          </w:pPr>
          <w:r>
            <w:rPr>
              <w:rFonts w:ascii="宋体" w:hAnsi="宋体" w:hint="eastAsia"/>
              <w:b/>
              <w:bCs/>
            </w:rPr>
            <w:t>1.汇率变动影响</w:t>
          </w:r>
        </w:p>
        <w:p>
          <w:pPr>
            <w:ind w:firstLineChars="200" w:firstLine="420"/>
            <w:jc w:val="both"/>
            <w:rPr>
              <w:rFonts w:ascii="宋体" w:hAnsi="宋体"/>
            </w:rPr>
          </w:pPr>
          <w:r>
            <w:rPr>
              <w:rFonts w:ascii="宋体" w:hAnsi="宋体" w:hint="eastAsia"/>
            </w:rPr>
            <w:t>汇率变动对本集团的影响主要体现在：</w:t>
          </w:r>
        </w:p>
        <w:p>
          <w:pPr>
            <w:ind w:firstLineChars="200" w:firstLine="420"/>
            <w:jc w:val="both"/>
            <w:rPr>
              <w:rFonts w:ascii="宋体" w:hAnsi="宋体"/>
            </w:rPr>
          </w:pPr>
          <w:r>
            <w:rPr>
              <w:rFonts w:ascii="宋体" w:hAnsi="宋体" w:hint="eastAsia"/>
            </w:rPr>
            <w:t>(1)本集团煤炭境外销售分别以美元、澳元计价，对境外煤炭销售收入产生影响；</w:t>
          </w:r>
        </w:p>
        <w:p>
          <w:pPr>
            <w:ind w:firstLineChars="200" w:firstLine="420"/>
            <w:jc w:val="both"/>
            <w:rPr>
              <w:rFonts w:ascii="宋体" w:hAnsi="宋体"/>
            </w:rPr>
          </w:pPr>
          <w:r>
            <w:rPr>
              <w:rFonts w:ascii="宋体" w:hAnsi="宋体" w:hint="eastAsia"/>
            </w:rPr>
            <w:t>(2)对外币存、贷款的汇兑损益产生影响；</w:t>
          </w:r>
        </w:p>
        <w:p>
          <w:pPr>
            <w:ind w:firstLineChars="200" w:firstLine="420"/>
            <w:jc w:val="both"/>
            <w:rPr>
              <w:rFonts w:ascii="宋体" w:hAnsi="宋体"/>
            </w:rPr>
          </w:pPr>
          <w:r>
            <w:rPr>
              <w:rFonts w:ascii="宋体" w:hAnsi="宋体" w:hint="eastAsia"/>
            </w:rPr>
            <w:t>(3)对本集团进口设备和配件的成本产生影响。</w:t>
          </w:r>
        </w:p>
        <w:p>
          <w:pPr>
            <w:ind w:firstLineChars="200" w:firstLine="420"/>
            <w:jc w:val="both"/>
            <w:rPr>
              <w:rFonts w:ascii="宋体" w:hAnsi="宋体"/>
            </w:rPr>
          </w:pPr>
          <w:r>
            <w:rPr>
              <w:rFonts w:ascii="宋体" w:hAnsi="宋体" w:hint="eastAsia"/>
            </w:rPr>
            <w:t>受汇率变动影响，报告期内本集团产生账面汇兑损失</w:t>
          </w:r>
          <w:r>
            <w:rPr>
              <w:rFonts w:ascii="宋体" w:hAnsi="宋体"/>
            </w:rPr>
            <w:t>2.27</w:t>
          </w:r>
          <w:r>
            <w:rPr>
              <w:rFonts w:ascii="宋体" w:hAnsi="宋体" w:hint="eastAsia"/>
            </w:rPr>
            <w:t>亿元。</w:t>
          </w:r>
        </w:p>
        <w:p>
          <w:pPr>
            <w:ind w:firstLineChars="200" w:firstLine="420"/>
            <w:jc w:val="both"/>
            <w:rPr>
              <w:rFonts w:ascii="宋体" w:hAnsi="宋体"/>
            </w:rPr>
          </w:pPr>
          <w:r>
            <w:rPr>
              <w:rFonts w:ascii="宋体" w:hAnsi="宋体" w:hint="eastAsia"/>
            </w:rPr>
            <w:t>为管理预期销售收入和港元股息派发带来的外币风险，兖煤澳洲与银行签订了外汇套期保值合约。</w:t>
          </w:r>
        </w:p>
        <w:p>
          <w:pPr>
            <w:ind w:firstLineChars="200" w:firstLine="420"/>
            <w:jc w:val="both"/>
            <w:rPr>
              <w:rFonts w:ascii="宋体" w:hAnsi="宋体"/>
            </w:rPr>
          </w:pPr>
          <w:r>
            <w:rPr>
              <w:rFonts w:ascii="宋体" w:hAnsi="宋体" w:hint="eastAsia"/>
            </w:rPr>
            <w:t>为对冲汇率波动造成的美元债务汇兑损益，兖煤澳洲、兖煤国际对美元债务采用会计方法进行了套期保值，有效规避了汇率波动对当期损益的影响。报告期末，兖煤澳洲美元贷款已全额结清，但根据会计自然套保规则，提前偿贷带来的汇兑损益将在合同约定的贷款到期日进行确认，并对相应会计年度产生非现金影响。</w:t>
          </w:r>
        </w:p>
        <w:p>
          <w:pPr>
            <w:ind w:firstLineChars="200" w:firstLine="420"/>
            <w:jc w:val="both"/>
            <w:rPr>
              <w:rFonts w:ascii="宋体" w:hAnsi="宋体"/>
            </w:rPr>
          </w:pPr>
          <w:r>
            <w:rPr>
              <w:rFonts w:ascii="宋体" w:hAnsi="宋体" w:hint="eastAsia"/>
            </w:rPr>
            <w:t>除上述披露外，本集团在本报告期内并未对其他外汇采取套期保值措施，并未就人民币与外币之间的汇率加以对冲。</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2.职工退休金计划</w:t>
          </w:r>
        </w:p>
        <w:p>
          <w:pPr>
            <w:ind w:firstLineChars="200" w:firstLine="420"/>
            <w:jc w:val="both"/>
            <w:rPr>
              <w:rFonts w:ascii="宋体" w:hAnsi="宋体"/>
            </w:rPr>
          </w:pPr>
          <w:r>
            <w:rPr>
              <w:rFonts w:ascii="宋体" w:hAnsi="宋体" w:hint="eastAsia"/>
            </w:rPr>
            <w:t>有关职工退休金计划的详情请见按国际财务报告准则编制的财务报表附注“退休福利”。</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3.储备</w:t>
          </w:r>
        </w:p>
        <w:p>
          <w:pPr>
            <w:ind w:firstLineChars="200" w:firstLine="420"/>
            <w:jc w:val="both"/>
            <w:rPr>
              <w:rFonts w:ascii="宋体" w:hAnsi="宋体"/>
            </w:rPr>
          </w:pPr>
          <w:r>
            <w:rPr>
              <w:rFonts w:ascii="宋体" w:hAnsi="宋体" w:hint="eastAsia"/>
            </w:rPr>
            <w:t>有关本年度的储备变动情况及于202</w:t>
          </w:r>
          <w:r>
            <w:rPr>
              <w:rFonts w:ascii="宋体" w:hAnsi="宋体"/>
            </w:rPr>
            <w:t>5</w:t>
          </w:r>
          <w:r>
            <w:rPr>
              <w:rFonts w:ascii="宋体" w:hAnsi="宋体" w:hint="eastAsia"/>
            </w:rPr>
            <w:t>年12月31日之可分配储备情况请见按国际财务报告准则编制的财务报表附注“股东权益”。</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4.捐款</w:t>
          </w:r>
        </w:p>
        <w:p>
          <w:pPr>
            <w:ind w:firstLineChars="200" w:firstLine="420"/>
            <w:jc w:val="both"/>
            <w:rPr>
              <w:rFonts w:ascii="宋体" w:hAnsi="宋体"/>
            </w:rPr>
          </w:pPr>
          <w:r>
            <w:rPr>
              <w:rFonts w:ascii="宋体" w:hAnsi="宋体" w:hint="eastAsia"/>
            </w:rPr>
            <w:t>本集团于202</w:t>
          </w:r>
          <w:r>
            <w:rPr>
              <w:rFonts w:ascii="宋体" w:hAnsi="宋体"/>
            </w:rPr>
            <w:t>5</w:t>
          </w:r>
          <w:r>
            <w:rPr>
              <w:rFonts w:ascii="宋体" w:hAnsi="宋体" w:hint="eastAsia"/>
            </w:rPr>
            <w:t>年度作为慈善或其他用途的捐款支出为人民币</w:t>
          </w:r>
          <w:r>
            <w:rPr>
              <w:rFonts w:ascii="宋体" w:hAnsi="宋体"/>
            </w:rPr>
            <w:t>68,334</w:t>
          </w:r>
          <w:r>
            <w:rPr>
              <w:rFonts w:ascii="宋体" w:hAnsi="宋体" w:hint="eastAsia"/>
            </w:rPr>
            <w:t>千元。</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5.遵守法律法规情况</w:t>
          </w:r>
        </w:p>
        <w:p>
          <w:pPr>
            <w:ind w:firstLineChars="200" w:firstLine="420"/>
            <w:jc w:val="both"/>
            <w:rPr>
              <w:rFonts w:ascii="宋体" w:hAnsi="宋体"/>
            </w:rPr>
          </w:pPr>
          <w:r>
            <w:rPr>
              <w:rFonts w:ascii="宋体" w:hAnsi="宋体" w:hint="eastAsia"/>
            </w:rPr>
            <w:t>公司深悉遵守法律、法规及规则要求的重要性，且已建立较为成熟的制度以确保持续遵守适用的法律、法规及规则。于报告期内，尽公司所知，公司所有重大事项均遵守了适用的法律、法规及规则，包括但不限于《中华人民共和国安全生产法》《中华人民共和国职业病防治法》等在公司主营业务中对公司营运有重大意义或影响的法律及法规。作为于上交所及香港联交所上市的公司，于报告期内，公司亦遵守了上市地上市规则。</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6.报告期后的重大事项</w:t>
          </w:r>
        </w:p>
        <w:p>
          <w:pPr>
            <w:ind w:firstLineChars="200" w:firstLine="420"/>
            <w:jc w:val="both"/>
            <w:rPr>
              <w:rFonts w:ascii="宋体" w:hAnsi="宋体"/>
            </w:rPr>
          </w:pPr>
          <w:r>
            <w:rPr>
              <w:rFonts w:ascii="宋体" w:hAnsi="宋体" w:hint="eastAsia"/>
            </w:rPr>
            <w:t>请见本年报“第六节 重要事项”之“其他对投资者作出价值判断和投资决策有重大影响的重大事项的说明”有关内容。</w:t>
          </w:r>
        </w:p>
      </w:sdtContent>
    </w:sdt>
    <w:p>
      <w:pPr>
        <w:pStyle w:val="Style49"/>
      </w:pPr>
    </w:p>
    <w:p>
      <w:pPr>
        <w:pStyle w:val="2"/>
        <w:numPr>
          <w:ilvl w:val="0"/>
          <w:numId w:val="14"/>
        </w:numPr>
        <w:ind w:left="369" w:hangingChars="175" w:hanging="369"/>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212649305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Style49"/>
      </w:pPr>
      <w:r>
        <w:br w:type="page"/>
      </w:r>
    </w:p>
    <w:p>
      <w:pPr>
        <w:numPr>
          <w:ilvl w:val="0"/>
          <w:numId w:val="10"/>
        </w:numPr>
        <w:jc w:val="center"/>
        <w:outlineLvl w:val="0"/>
        <w:rPr>
          <w:rFonts w:ascii="黑体" w:eastAsia="黑体" w:hAnsi="黑体"/>
          <w:b/>
          <w:bCs/>
          <w:sz w:val="28"/>
          <w:szCs w:val="28"/>
        </w:rPr>
      </w:pPr>
      <w:bookmarkStart w:id="136" w:name="_Toc409437610"/>
      <w:bookmarkStart w:id="137" w:name="_Toc437440716"/>
      <w:bookmarkStart w:id="138" w:name="_Toc225175013"/>
      <w:r>
        <w:rPr>
          <w:rFonts w:ascii="黑体" w:eastAsia="黑体" w:hAnsi="黑体" w:hint="eastAsia"/>
          <w:b/>
          <w:bCs/>
          <w:sz w:val="28"/>
          <w:szCs w:val="28"/>
        </w:rPr>
        <w:lastRenderedPageBreak/>
        <w:t>公司治理</w:t>
      </w:r>
      <w:bookmarkEnd w:id="136"/>
      <w:bookmarkEnd w:id="137"/>
      <w:r>
        <w:rPr>
          <w:rFonts w:ascii="黑体" w:eastAsia="黑体" w:hAnsi="黑体" w:hint="eastAsia"/>
          <w:b/>
          <w:bCs/>
          <w:sz w:val="28"/>
          <w:szCs w:val="28"/>
        </w:rPr>
        <w:t>、环境和社会</w:t>
      </w:r>
      <w:bookmarkEnd w:id="138"/>
    </w:p>
    <w:p>
      <w:pPr>
        <w:pStyle w:val="Style51"/>
        <w:numPr>
          <w:ilvl w:val="0"/>
          <w:numId w:val="24"/>
        </w:numPr>
      </w:pPr>
      <w:r>
        <w:t>公司治理相关情况说明</w:t>
      </w:r>
    </w:p>
    <w:sdt>
      <w:sdtPr>
        <w:rPr>
          <w:rFonts w:hint="eastAsia"/>
        </w:rPr>
        <w:alias w:val="是否适用：公司治理相关情况说明[双击切换]"/>
        <w:tag w:val="_GBC_fcded3e74c5842408b5da723b3a757fa"/>
        <w:id w:val="154670981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公司治理相关情况说明"/>
        <w:tag w:val="_GBC_b4d29a30dc2b4ea6b942196a3b52c2d0"/>
        <w:id w:val="-1653214471"/>
        <w:placeholder>
          <w:docPart w:val="GBC22222222222222222222222222222"/>
        </w:placeholder>
      </w:sdtPr>
      <w:sdtContent>
        <w:p>
          <w:pPr>
            <w:ind w:firstLineChars="200" w:firstLine="420"/>
            <w:jc w:val="both"/>
            <w:rPr>
              <w:rFonts w:asciiTheme="minorEastAsia" w:eastAsiaTheme="minorEastAsia" w:hAnsiTheme="minorEastAsia"/>
              <w:color w:val="000000" w:themeColor="text1"/>
            </w:rPr>
          </w:pPr>
          <w:r>
            <w:rPr>
              <w:rFonts w:asciiTheme="minorEastAsia" w:eastAsiaTheme="minorEastAsia" w:hAnsiTheme="minorEastAsia" w:hint="eastAsia"/>
            </w:rPr>
            <w:t>公司密切关注证券市场规范化、法治化进程，根据自身情况主动完善法人治理结构。报告期内，公司进一步强化公司治理，根据最新修订的中国证监会《上市公司治理准则》</w:t>
          </w:r>
          <w:r>
            <w:rPr>
              <w:rFonts w:asciiTheme="minorEastAsia" w:eastAsiaTheme="minorEastAsia" w:hAnsiTheme="minorEastAsia" w:hint="eastAsia"/>
              <w:color w:val="000000" w:themeColor="text1"/>
            </w:rPr>
            <w:t>《上市公司章程指引》《上市公司股东会规则》</w:t>
          </w:r>
          <w:r>
            <w:rPr>
              <w:rFonts w:asciiTheme="minorEastAsia" w:eastAsiaTheme="minorEastAsia" w:hAnsiTheme="minorEastAsia" w:hint="eastAsia"/>
            </w:rPr>
            <w:t>、上交所</w:t>
          </w:r>
          <w:r>
            <w:rPr>
              <w:rFonts w:asciiTheme="minorEastAsia" w:eastAsiaTheme="minorEastAsia" w:hAnsiTheme="minorEastAsia"/>
            </w:rPr>
            <w:t>《</w:t>
          </w:r>
          <w:r>
            <w:rPr>
              <w:rFonts w:asciiTheme="minorEastAsia" w:eastAsiaTheme="minorEastAsia" w:hAnsiTheme="minorEastAsia" w:hint="eastAsia"/>
            </w:rPr>
            <w:t>股票上市规则》</w:t>
          </w:r>
          <w:r>
            <w:rPr>
              <w:rFonts w:ascii="宋体" w:hAnsi="宋体" w:hint="eastAsia"/>
            </w:rPr>
            <w:t>《上市公司自律监管指引第1号——规范运作》</w:t>
          </w:r>
          <w:r>
            <w:rPr>
              <w:rFonts w:asciiTheme="minorEastAsia" w:eastAsiaTheme="minorEastAsia" w:hAnsiTheme="minorEastAsia" w:hint="eastAsia"/>
            </w:rPr>
            <w:t>等监管规则，制定了</w:t>
          </w:r>
          <w:r>
            <w:rPr>
              <w:rFonts w:asciiTheme="minorEastAsia" w:eastAsiaTheme="minorEastAsia" w:hAnsiTheme="minorEastAsia" w:hint="eastAsia"/>
              <w:color w:val="000000" w:themeColor="text1"/>
            </w:rPr>
            <w:t>《市值管理制度》《内部审计管理办法</w:t>
          </w:r>
          <w:r>
            <w:rPr>
              <w:rFonts w:hint="eastAsia"/>
              <w:color w:val="000000" w:themeColor="text1"/>
            </w:rPr>
            <w:t>》</w:t>
          </w:r>
          <w:r>
            <w:rPr>
              <w:rFonts w:asciiTheme="minorEastAsia" w:eastAsiaTheme="minorEastAsia" w:hAnsiTheme="minorEastAsia" w:hint="eastAsia"/>
            </w:rPr>
            <w:t>；修订完善了《公司章程》</w:t>
          </w:r>
          <w:r>
            <w:rPr>
              <w:rFonts w:hint="eastAsia"/>
              <w:color w:val="000000" w:themeColor="text1"/>
            </w:rPr>
            <w:t>《股东会议事规则》</w:t>
          </w:r>
          <w:r>
            <w:rPr>
              <w:rFonts w:asciiTheme="minorEastAsia" w:eastAsiaTheme="minorEastAsia" w:hAnsiTheme="minorEastAsia" w:hint="eastAsia"/>
            </w:rPr>
            <w:t>《董事会议事规则》等多项基本治理制度，</w:t>
          </w:r>
          <w:r>
            <w:rPr>
              <w:rFonts w:asciiTheme="minorEastAsia" w:eastAsiaTheme="minorEastAsia" w:hAnsiTheme="minorEastAsia" w:hint="eastAsia"/>
              <w:bCs/>
            </w:rPr>
            <w:t>健全以《公司章程》为核心的公司治理体系，确保</w:t>
          </w:r>
          <w:r>
            <w:rPr>
              <w:rFonts w:asciiTheme="minorEastAsia" w:eastAsiaTheme="minorEastAsia" w:hAnsiTheme="minorEastAsia" w:hint="eastAsia"/>
            </w:rPr>
            <w:t>公司规范高效运行。</w:t>
          </w:r>
        </w:p>
        <w:p>
          <w:pPr>
            <w:ind w:firstLineChars="200" w:firstLine="420"/>
            <w:jc w:val="both"/>
            <w:rPr>
              <w:rFonts w:asciiTheme="minorEastAsia" w:eastAsiaTheme="minorEastAsia" w:hAnsiTheme="minorEastAsia"/>
              <w:color w:val="000000" w:themeColor="text1"/>
            </w:rPr>
          </w:pPr>
        </w:p>
        <w:p>
          <w:pPr>
            <w:ind w:firstLineChars="200" w:firstLine="42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2024年11月15日，中国证监会发布《上市公司监管指引第10号——市值管理》，要求主要指数成份股公司应当制定市值管理制度并提交董事会审议。兖矿能源根据上述要求并结合实际情况，制定了《市值管理制度》。</w:t>
          </w:r>
        </w:p>
        <w:p>
          <w:pPr>
            <w:ind w:firstLineChars="200" w:firstLine="420"/>
            <w:jc w:val="both"/>
            <w:rPr>
              <w:color w:val="000000" w:themeColor="text1"/>
            </w:rPr>
          </w:pPr>
          <w:r>
            <w:rPr>
              <w:rFonts w:ascii="宋体" w:hAnsi="宋体" w:hint="eastAsia"/>
            </w:rPr>
            <w:t>有关详情请见公司日期为2025年2月24日的第九届董事会第十三次会议决议公告。该等资料刊载于上交所网站、香港联交所网站、公司网站及/或《中国证券报》《上海证券报》《证券时报》《证券日报》。</w:t>
          </w:r>
        </w:p>
        <w:p>
          <w:pPr>
            <w:ind w:firstLineChars="200" w:firstLine="420"/>
            <w:jc w:val="both"/>
            <w:rPr>
              <w:rFonts w:asciiTheme="minorEastAsia" w:eastAsiaTheme="minorEastAsia" w:hAnsiTheme="minorEastAsia"/>
              <w:color w:val="000000" w:themeColor="text1"/>
            </w:rPr>
          </w:pPr>
        </w:p>
        <w:p>
          <w:pPr>
            <w:ind w:firstLineChars="200" w:firstLine="42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2025年3月28日，中国证监会修订了《上市公司章程指引》《上市公司股东会规则》等监管规则，要求公司修改《公司章程》及相关议事规则并取消监事会，进一步完善公司治理结构、加强股东权利保护和强化对控股股东及实际控制人的规范。公司根据上述要求并结合实际情况，</w:t>
          </w:r>
          <w:r>
            <w:rPr>
              <w:rFonts w:hint="eastAsia"/>
              <w:color w:val="000000" w:themeColor="text1"/>
            </w:rPr>
            <w:t>修改了《公司章程》《股东会议事规则》《董事会议事规则》，取消监事会并废止了《监事会议事规则》，同时，相应修改</w:t>
          </w:r>
          <w:r>
            <w:rPr>
              <w:rFonts w:asciiTheme="minorEastAsia" w:eastAsiaTheme="minorEastAsia" w:hAnsiTheme="minorEastAsia" w:hint="eastAsia"/>
              <w:color w:val="000000" w:themeColor="text1"/>
            </w:rPr>
            <w:t>16项</w:t>
          </w:r>
          <w:r>
            <w:rPr>
              <w:rFonts w:hint="eastAsia"/>
              <w:color w:val="000000" w:themeColor="text1"/>
            </w:rPr>
            <w:t>公司内部管理制度。</w:t>
          </w:r>
        </w:p>
        <w:p>
          <w:pPr>
            <w:ind w:firstLineChars="200" w:firstLine="420"/>
            <w:jc w:val="both"/>
            <w:rPr>
              <w:color w:val="000000" w:themeColor="text1"/>
            </w:rPr>
          </w:pPr>
          <w:r>
            <w:rPr>
              <w:rFonts w:ascii="宋体" w:hAnsi="宋体" w:hint="eastAsia"/>
            </w:rPr>
            <w:t>有关详情请见公司日期为2025年4月25日的第九届董事会第十六次会议决议公告、关于修改《公司章程》及相关议事规则的公告，日期为2025年5月30日的2024年度股东周年大会决议公告。该等资料刊载于上交所网站、香港联交所网站、公司网站及/或《中国证券报》《上海证券报》《证券时报》《证券日报》。</w:t>
          </w:r>
        </w:p>
        <w:p>
          <w:pPr>
            <w:ind w:firstLineChars="200" w:firstLine="420"/>
            <w:jc w:val="both"/>
            <w:rPr>
              <w:rFonts w:asciiTheme="minorEastAsia" w:eastAsiaTheme="minorEastAsia" w:hAnsiTheme="minorEastAsia"/>
              <w:color w:val="000000" w:themeColor="text1"/>
            </w:rPr>
          </w:pPr>
        </w:p>
        <w:p>
          <w:pPr>
            <w:ind w:firstLineChars="200" w:firstLine="420"/>
            <w:jc w:val="both"/>
            <w:rPr>
              <w:color w:val="000000" w:themeColor="text1"/>
            </w:rPr>
          </w:pPr>
          <w:r>
            <w:rPr>
              <w:rFonts w:asciiTheme="minorEastAsia" w:eastAsiaTheme="minorEastAsia" w:hAnsiTheme="minorEastAsia" w:hint="eastAsia"/>
              <w:color w:val="000000" w:themeColor="text1"/>
            </w:rPr>
            <w:t>2025年4月7日，中国证监会发布《上市公司信息披露暂缓与豁免管理规定》，要求公司制定专项制度，明确信息披露暂缓、豁免的内部审核程序。公司根据上述要求并结合实际情况，制定了《信息披露暂缓</w:t>
          </w:r>
          <w:r>
            <w:rPr>
              <w:rFonts w:hint="eastAsia"/>
              <w:color w:val="000000" w:themeColor="text1"/>
            </w:rPr>
            <w:t>与豁免管理制度》。</w:t>
          </w:r>
        </w:p>
        <w:p>
          <w:pPr>
            <w:ind w:firstLineChars="200" w:firstLine="420"/>
            <w:jc w:val="both"/>
            <w:rPr>
              <w:rFonts w:ascii="宋体" w:hAnsi="宋体"/>
            </w:rPr>
          </w:pPr>
          <w:r>
            <w:rPr>
              <w:rFonts w:ascii="宋体" w:hAnsi="宋体" w:hint="eastAsia"/>
            </w:rPr>
            <w:t>有关详情请见公司日期为2025年5月30日的第九届董事会第十七次会议决议公告。该等资料刊载于上交所网站、香港联交所网站、公司网站及/或《中国证券报》《上海证券报》《证券时报》《证券日报》。</w:t>
          </w:r>
        </w:p>
        <w:p>
          <w:pPr>
            <w:ind w:firstLineChars="200" w:firstLine="420"/>
            <w:jc w:val="both"/>
            <w:rPr>
              <w:rFonts w:ascii="宋体" w:hAnsi="宋体"/>
            </w:rPr>
          </w:pPr>
        </w:p>
        <w:p>
          <w:pPr>
            <w:ind w:firstLineChars="200" w:firstLine="420"/>
            <w:jc w:val="both"/>
            <w:rPr>
              <w:color w:val="000000" w:themeColor="text1"/>
            </w:rPr>
          </w:pPr>
          <w:r>
            <w:rPr>
              <w:rFonts w:ascii="宋体" w:hAnsi="宋体" w:hint="eastAsia"/>
            </w:rPr>
            <w:t>2025年5月15日，上交所修订了《上市公司自律监管指引第1号——规范运作》，要求公司制定内部审计制度，明确内部审计工作的领导体制、职责权限、人员配备、经费保障、审计结果运用和责任追究等。</w:t>
          </w:r>
          <w:r>
            <w:rPr>
              <w:rFonts w:asciiTheme="minorEastAsia" w:eastAsiaTheme="minorEastAsia" w:hAnsiTheme="minorEastAsia" w:hint="eastAsia"/>
              <w:color w:val="000000" w:themeColor="text1"/>
            </w:rPr>
            <w:t>公司根据上述要求并结合实际情况，制定了《内部审计管理办法</w:t>
          </w:r>
          <w:r>
            <w:rPr>
              <w:rFonts w:hint="eastAsia"/>
              <w:color w:val="000000" w:themeColor="text1"/>
            </w:rPr>
            <w:t>》。</w:t>
          </w:r>
        </w:p>
        <w:p>
          <w:pPr>
            <w:ind w:firstLineChars="200" w:firstLine="420"/>
            <w:jc w:val="both"/>
            <w:rPr>
              <w:rFonts w:ascii="宋体" w:hAnsi="宋体"/>
            </w:rPr>
          </w:pPr>
          <w:r>
            <w:rPr>
              <w:rFonts w:ascii="宋体" w:hAnsi="宋体" w:hint="eastAsia"/>
            </w:rPr>
            <w:t>有关详情请见公司日期为2025年8月29日的第九届董事会第十八次会议决议公告。该等资料刊载于上交所网站、香港联交所网站、公司网站及/或《中国证券报》《上海证券报》《证券时报》《证券日报》。</w:t>
          </w:r>
        </w:p>
        <w:p>
          <w:pPr>
            <w:ind w:firstLineChars="200" w:firstLine="420"/>
            <w:jc w:val="both"/>
            <w:rPr>
              <w:color w:val="000000" w:themeColor="text1"/>
            </w:rPr>
          </w:pPr>
        </w:p>
        <w:p>
          <w:pPr>
            <w:ind w:firstLineChars="200" w:firstLine="42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经2025年8月29日召开的公司第九届董事会第十八次会议审议批准，为确保符合监管规定、服务生产运营实际，公司修订《资金管理办法》，并制定《股权投资管理办法》《境外投资管理办法》。</w:t>
          </w:r>
        </w:p>
        <w:p>
          <w:pPr>
            <w:ind w:firstLineChars="200" w:firstLine="420"/>
            <w:jc w:val="both"/>
          </w:pPr>
          <w:r>
            <w:rPr>
              <w:rFonts w:asciiTheme="minorEastAsia" w:eastAsiaTheme="minorEastAsia" w:hAnsiTheme="minorEastAsia" w:hint="eastAsia"/>
            </w:rPr>
            <w:t>有关详情请见公</w:t>
          </w:r>
          <w:r>
            <w:rPr>
              <w:rFonts w:ascii="宋体" w:hAnsi="宋体" w:hint="eastAsia"/>
            </w:rPr>
            <w:t>司日期为2025年8月29日的第九届董事会第十八次会议决议公告。该等资料刊载于上交所网站、香港联交所网站、公司网站及/或《中国证券报》《上海证券报》《证券时报》《证券日报》。</w:t>
          </w:r>
        </w:p>
      </w:sdtContent>
    </w:sdt>
    <w:p>
      <w:pPr>
        <w:jc w:val="both"/>
      </w:pPr>
    </w:p>
    <w:p>
      <w:pPr>
        <w:ind w:firstLineChars="200" w:firstLine="420"/>
        <w:jc w:val="both"/>
      </w:pPr>
      <w:r>
        <w:t>公司治理</w:t>
      </w:r>
      <w:r>
        <w:rPr>
          <w:rFonts w:hint="eastAsia"/>
        </w:rPr>
        <w:t>与法律、行政法规和中国证监会关于上市公司治理的规定</w:t>
      </w:r>
      <w:r>
        <w:t>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1287575116"/>
        <w:placeholder>
          <w:docPart w:val="GBC22222222222222222222222222222"/>
        </w:placeholder>
      </w:sdtPr>
      <w:sdtContent>
        <w:p>
          <w:pPr>
            <w:jc w:val="both"/>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firstLineChars="200" w:firstLine="420"/>
      </w:pPr>
      <w:bookmarkStart w:id="139" w:name="_Hlk219714454"/>
      <w:r>
        <w:rPr>
          <w:rFonts w:hint="eastAsia"/>
        </w:rPr>
        <w:t>公司自上市以来，按照《公司法》《证券法》及上市地有关监管规定，遵循透明、问责、维护全体股东权益的原则，建立了规范、稳健的企业法人治理结构，与中国证监会有关文件的要求不存在重大差异。</w:t>
      </w:r>
    </w:p>
    <w:bookmarkEnd w:id="139"/>
    <w:p>
      <w:pPr>
        <w:pStyle w:val="Style49"/>
      </w:pPr>
    </w:p>
    <w:p>
      <w:pPr>
        <w:pStyle w:val="Style51"/>
        <w:numPr>
          <w:ilvl w:val="0"/>
          <w:numId w:val="24"/>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80636769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公司就其与控股股东在业务、人员、资产、机构、财务等方面存在的不能保证独立性、不能保持自主经营能力的情况说明"/>
        <w:tag w:val="_GBC_70c36110d2e1487fb53e14e63f815473"/>
        <w:id w:val="-1343469993"/>
        <w:placeholder>
          <w:docPart w:val="GBC22222222222222222222222222222"/>
        </w:placeholder>
      </w:sdtPr>
      <w:sdtContent>
        <w:p>
          <w:pPr>
            <w:ind w:firstLineChars="200" w:firstLine="420"/>
          </w:pPr>
        </w:p>
        <w:p>
          <w:pPr>
            <w:ind w:firstLineChars="200" w:firstLine="420"/>
            <w:rPr>
              <w:rFonts w:asciiTheme="minorEastAsia" w:eastAsiaTheme="minorEastAsia" w:hAnsiTheme="minorEastAsia"/>
            </w:rPr>
          </w:pPr>
          <w:r>
            <w:rPr>
              <w:rFonts w:asciiTheme="minorEastAsia" w:eastAsiaTheme="minorEastAsia" w:hAnsiTheme="minorEastAsia" w:hint="eastAsia"/>
            </w:rPr>
            <w:t>山东能源作出承诺：确保兖矿能源的独立性并充分尊重兖矿能源的经营自主权。</w:t>
          </w:r>
        </w:p>
        <w:p>
          <w:pPr>
            <w:pStyle w:val="Style49"/>
          </w:pPr>
        </w:p>
      </w:sdtContent>
    </w:sdt>
    <w:p>
      <w:pPr>
        <w:pStyle w:val="Style49"/>
      </w:pPr>
    </w:p>
    <w:p>
      <w:pPr>
        <w:pStyle w:val="Style49"/>
        <w:ind w:firstLineChars="200" w:firstLine="420"/>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rPr>
        <w:alias w:val="是否适用：存在同业竞争的，公司相应的解决措施、工作进度及后续工作计划[双击切换]"/>
        <w:tag w:val="_GBC_1883b6583caa4429822c73ae5e75f9f4"/>
        <w:id w:val="-60689355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因部分改制、行业特性、国家政策或收购兼并等原因导致的同业竞争和关联交易情况"/>
        <w:tag w:val="_GBC_fef9712559874aababcda00a55efbb32"/>
        <w:id w:val="-1333054510"/>
        <w:placeholder>
          <w:docPart w:val="GBC22222222222222222222222222222"/>
        </w:placeholder>
      </w:sdtPr>
      <w:sdtContent>
        <w:p>
          <w:pPr>
            <w:ind w:firstLineChars="200" w:firstLine="420"/>
          </w:pPr>
        </w:p>
        <w:p>
          <w:pPr>
            <w:ind w:firstLineChars="200" w:firstLine="420"/>
          </w:pPr>
          <w:r>
            <w:rPr>
              <w:rFonts w:asciiTheme="minorEastAsia" w:eastAsiaTheme="minorEastAsia" w:hAnsiTheme="minorEastAsia" w:hint="eastAsia"/>
            </w:rPr>
            <w:t>山东能源将继续履行解决同业竞争的承诺，采取各种有效措施避免与本集团产生同业竞争。</w:t>
          </w:r>
        </w:p>
      </w:sdtContent>
    </w:sdt>
    <w:p>
      <w:pPr>
        <w:pStyle w:val="Style51"/>
        <w:numPr>
          <w:ilvl w:val="0"/>
          <w:numId w:val="24"/>
        </w:numPr>
      </w:pPr>
      <w:r>
        <w:rPr>
          <w:rFonts w:hint="eastAsia"/>
        </w:rPr>
        <w:t>股东会情况简介</w:t>
      </w:r>
    </w:p>
    <w:tbl>
      <w:tblPr>
        <w:tblStyle w:val="Style63"/>
        <w:tblW w:w="5000" w:type="pct"/>
        <w:tblInd w:w="0" w:type="dxa"/>
        <w:tblLook w:val="04A0" w:firstRow="1" w:lastRow="0" w:firstColumn="1" w:lastColumn="0" w:noHBand="0" w:noVBand="1"/>
      </w:tblPr>
      <w:tblGrid>
        <w:gridCol w:w="1423"/>
        <w:gridCol w:w="1310"/>
        <w:gridCol w:w="3471"/>
        <w:gridCol w:w="1310"/>
        <w:gridCol w:w="1309"/>
      </w:tblGrid>
      <w:tr>
        <w:trPr>
          <w:trHeight w:val="165"/>
        </w:trPr>
        <w:tc>
          <w:tcPr>
            <w:tcW w:w="1030" w:type="pct"/>
            <w:tcBorders>
              <w:top w:val="single" w:sz="4" w:space="0" w:color="auto"/>
              <w:left w:val="single" w:sz="4" w:space="0" w:color="auto"/>
              <w:bottom w:val="single" w:sz="4" w:space="0" w:color="auto"/>
              <w:right w:val="single" w:sz="4" w:space="0" w:color="auto"/>
            </w:tcBorders>
            <w:vAlign w:val="center"/>
          </w:tcPr>
          <w:p>
            <w:pPr>
              <w:pStyle w:val="Style49"/>
              <w:jc w:val="center"/>
            </w:pPr>
            <w:r>
              <w:t>会议届次</w:t>
            </w:r>
          </w:p>
        </w:tc>
        <w:tc>
          <w:tcPr>
            <w:tcW w:w="966" w:type="pct"/>
            <w:tcBorders>
              <w:top w:val="single" w:sz="4" w:space="0" w:color="auto"/>
              <w:left w:val="single" w:sz="4" w:space="0" w:color="auto"/>
              <w:bottom w:val="single" w:sz="4" w:space="0" w:color="auto"/>
              <w:right w:val="single" w:sz="4" w:space="0" w:color="auto"/>
            </w:tcBorders>
            <w:vAlign w:val="center"/>
          </w:tcPr>
          <w:p>
            <w:pPr>
              <w:pStyle w:val="Style49"/>
              <w:jc w:val="center"/>
            </w:pPr>
            <w:r>
              <w:t>召开日期</w:t>
            </w:r>
          </w:p>
        </w:tc>
        <w:tc>
          <w:tcPr>
            <w:tcW w:w="1073" w:type="pct"/>
            <w:tcBorders>
              <w:top w:val="single" w:sz="4" w:space="0" w:color="auto"/>
              <w:left w:val="single" w:sz="4" w:space="0" w:color="auto"/>
              <w:bottom w:val="single" w:sz="4" w:space="0" w:color="auto"/>
              <w:right w:val="single" w:sz="4" w:space="0" w:color="auto"/>
            </w:tcBorders>
            <w:vAlign w:val="center"/>
          </w:tcPr>
          <w:p>
            <w:pPr>
              <w:pStyle w:val="Style49"/>
              <w:jc w:val="center"/>
            </w:pPr>
            <w:r>
              <w:t>决议刊登的指定网站的查询索引</w:t>
            </w:r>
          </w:p>
        </w:tc>
        <w:tc>
          <w:tcPr>
            <w:tcW w:w="966" w:type="pct"/>
            <w:tcBorders>
              <w:top w:val="single" w:sz="4" w:space="0" w:color="auto"/>
              <w:left w:val="single" w:sz="4" w:space="0" w:color="auto"/>
              <w:bottom w:val="single" w:sz="4" w:space="0" w:color="auto"/>
              <w:right w:val="single" w:sz="4" w:space="0" w:color="auto"/>
            </w:tcBorders>
            <w:vAlign w:val="center"/>
          </w:tcPr>
          <w:p>
            <w:pPr>
              <w:pStyle w:val="Style49"/>
              <w:jc w:val="center"/>
            </w:pPr>
            <w:r>
              <w:t>决议刊登的披露日期</w:t>
            </w:r>
          </w:p>
        </w:tc>
        <w:tc>
          <w:tcPr>
            <w:tcW w:w="965" w:type="pct"/>
            <w:tcBorders>
              <w:top w:val="single" w:sz="4" w:space="0" w:color="auto"/>
              <w:left w:val="single" w:sz="4" w:space="0" w:color="auto"/>
              <w:bottom w:val="single" w:sz="4" w:space="0" w:color="auto"/>
              <w:right w:val="single" w:sz="4" w:space="0" w:color="auto"/>
            </w:tcBorders>
            <w:vAlign w:val="center"/>
          </w:tcPr>
          <w:p>
            <w:pPr>
              <w:pStyle w:val="Style49"/>
              <w:jc w:val="center"/>
            </w:pPr>
            <w:r>
              <w:rPr>
                <w:rFonts w:hint="eastAsia"/>
              </w:rPr>
              <w:t>会议决议</w:t>
            </w:r>
          </w:p>
        </w:tc>
      </w:tr>
      <w:tr>
        <w:trPr>
          <w:trHeight w:val="195"/>
        </w:trPr>
        <w:tc>
          <w:tcPr>
            <w:tcW w:w="1030" w:type="pct"/>
            <w:tcBorders>
              <w:top w:val="single" w:sz="4" w:space="0" w:color="auto"/>
              <w:left w:val="single" w:sz="4" w:space="0" w:color="auto"/>
              <w:bottom w:val="single" w:sz="4" w:space="0" w:color="auto"/>
              <w:right w:val="single" w:sz="4" w:space="0" w:color="auto"/>
            </w:tcBorders>
            <w:vAlign w:val="center"/>
          </w:tcPr>
          <w:p>
            <w:pPr>
              <w:pStyle w:val="Style49"/>
              <w:jc w:val="center"/>
              <w:rPr>
                <w:rFonts w:asciiTheme="minorEastAsia" w:eastAsiaTheme="minorEastAsia" w:hAnsiTheme="minorEastAsia"/>
              </w:rPr>
            </w:pPr>
            <w:r>
              <w:rPr>
                <w:rFonts w:asciiTheme="minorEastAsia" w:eastAsiaTheme="minorEastAsia" w:hAnsiTheme="minorEastAsia" w:hint="eastAsia"/>
              </w:rPr>
              <w:t>2024年度股东周年大会</w:t>
            </w:r>
          </w:p>
        </w:tc>
        <w:tc>
          <w:tcPr>
            <w:tcW w:w="966" w:type="pct"/>
            <w:tcBorders>
              <w:top w:val="single" w:sz="4" w:space="0" w:color="auto"/>
              <w:left w:val="single" w:sz="4" w:space="0" w:color="auto"/>
              <w:bottom w:val="single" w:sz="4" w:space="0" w:color="auto"/>
              <w:right w:val="single" w:sz="4" w:space="0" w:color="auto"/>
            </w:tcBorders>
            <w:vAlign w:val="center"/>
          </w:tcPr>
          <w:p>
            <w:pPr>
              <w:pStyle w:val="Style49"/>
              <w:jc w:val="center"/>
              <w:rPr>
                <w:rFonts w:asciiTheme="minorEastAsia" w:eastAsiaTheme="minorEastAsia" w:hAnsiTheme="minorEastAsia"/>
              </w:rPr>
            </w:pPr>
            <w:r>
              <w:rPr>
                <w:rFonts w:asciiTheme="minorEastAsia" w:eastAsiaTheme="minorEastAsia" w:hAnsiTheme="minorEastAsia" w:hint="eastAsia"/>
              </w:rPr>
              <w:t>2025年5月30日</w:t>
            </w:r>
          </w:p>
        </w:tc>
        <w:tc>
          <w:tcPr>
            <w:tcW w:w="1073" w:type="pct"/>
            <w:tcBorders>
              <w:top w:val="single" w:sz="4" w:space="0" w:color="auto"/>
              <w:left w:val="single" w:sz="4" w:space="0" w:color="auto"/>
              <w:bottom w:val="single" w:sz="4" w:space="0" w:color="auto"/>
              <w:right w:val="single" w:sz="4" w:space="0" w:color="auto"/>
            </w:tcBorders>
            <w:vAlign w:val="center"/>
          </w:tcPr>
          <w:p>
            <w:pPr>
              <w:pStyle w:val="Style49"/>
              <w:jc w:val="center"/>
              <w:rPr>
                <w:rFonts w:asciiTheme="minorEastAsia" w:eastAsiaTheme="minorEastAsia" w:hAnsiTheme="minorEastAsia"/>
              </w:rPr>
            </w:pPr>
            <w:r>
              <w:rPr>
                <w:rFonts w:asciiTheme="minorEastAsia" w:eastAsiaTheme="minorEastAsia" w:hAnsiTheme="minorEastAsia" w:hint="eastAsia"/>
              </w:rPr>
              <w:t>上交所网站</w:t>
            </w:r>
          </w:p>
          <w:p>
            <w:pPr>
              <w:pStyle w:val="Style49"/>
              <w:jc w:val="center"/>
              <w:rPr>
                <w:rFonts w:asciiTheme="minorEastAsia" w:eastAsiaTheme="minorEastAsia" w:hAnsiTheme="minorEastAsia"/>
              </w:rPr>
            </w:pPr>
            <w:r>
              <w:rPr>
                <w:rFonts w:asciiTheme="minorEastAsia" w:eastAsiaTheme="minorEastAsia" w:hAnsiTheme="minorEastAsia" w:hint="eastAsia"/>
              </w:rPr>
              <w:t>（http://www.sse.com.cn）</w:t>
            </w:r>
          </w:p>
          <w:p>
            <w:pPr>
              <w:pStyle w:val="Style49"/>
              <w:jc w:val="center"/>
              <w:rPr>
                <w:rFonts w:asciiTheme="minorEastAsia" w:eastAsiaTheme="minorEastAsia" w:hAnsiTheme="minorEastAsia"/>
              </w:rPr>
            </w:pPr>
            <w:r>
              <w:rPr>
                <w:rFonts w:asciiTheme="minorEastAsia" w:eastAsiaTheme="minorEastAsia" w:hAnsiTheme="minorEastAsia" w:hint="eastAsia"/>
              </w:rPr>
              <w:t>香港联交所网站</w:t>
            </w:r>
          </w:p>
          <w:p>
            <w:pPr>
              <w:pStyle w:val="Style49"/>
              <w:jc w:val="center"/>
              <w:rPr>
                <w:rFonts w:asciiTheme="minorEastAsia" w:eastAsiaTheme="minorEastAsia" w:hAnsiTheme="minorEastAsia"/>
              </w:rPr>
            </w:pPr>
            <w:r>
              <w:rPr>
                <w:rFonts w:asciiTheme="minorEastAsia" w:eastAsiaTheme="minorEastAsia" w:hAnsiTheme="minorEastAsia" w:hint="eastAsia"/>
              </w:rPr>
              <w:t>（http://www.hkexnews.hk）</w:t>
            </w:r>
          </w:p>
          <w:p>
            <w:pPr>
              <w:pStyle w:val="Style49"/>
              <w:jc w:val="center"/>
              <w:rPr>
                <w:rFonts w:asciiTheme="minorEastAsia" w:eastAsiaTheme="minorEastAsia" w:hAnsiTheme="minorEastAsia"/>
              </w:rPr>
            </w:pPr>
            <w:r>
              <w:rPr>
                <w:rFonts w:asciiTheme="minorEastAsia" w:eastAsiaTheme="minorEastAsia" w:hAnsiTheme="minorEastAsia" w:hint="eastAsia"/>
              </w:rPr>
              <w:t>公司网站</w:t>
            </w:r>
          </w:p>
          <w:p>
            <w:pPr>
              <w:pStyle w:val="Style49"/>
              <w:jc w:val="center"/>
              <w:rPr>
                <w:rFonts w:asciiTheme="minorEastAsia" w:eastAsiaTheme="minorEastAsia" w:hAnsiTheme="minorEastAsia"/>
              </w:rPr>
            </w:pPr>
            <w:r>
              <w:rPr>
                <w:rFonts w:asciiTheme="minorEastAsia" w:eastAsiaTheme="minorEastAsia" w:hAnsiTheme="minorEastAsia" w:hint="eastAsia"/>
              </w:rPr>
              <w:t>（http://www.ykenergy.com</w:t>
            </w:r>
          </w:p>
          <w:p>
            <w:pPr>
              <w:pStyle w:val="Style49"/>
              <w:jc w:val="center"/>
              <w:rPr>
                <w:rFonts w:asciiTheme="minorEastAsia" w:eastAsiaTheme="minorEastAsia" w:hAnsiTheme="minorEastAsia"/>
              </w:rPr>
            </w:pPr>
            <w:bookmarkStart w:id="140" w:name="OLE_LINK19"/>
            <w:r>
              <w:rPr>
                <w:rFonts w:asciiTheme="minorEastAsia" w:eastAsiaTheme="minorEastAsia" w:hAnsiTheme="minorEastAsia" w:hint="eastAsia"/>
              </w:rPr>
              <w:t>http://www.yanzhoucoal.com.cn</w:t>
            </w:r>
            <w:bookmarkEnd w:id="140"/>
            <w:r>
              <w:rPr>
                <w:rFonts w:asciiTheme="minorEastAsia" w:eastAsiaTheme="minorEastAsia" w:hAnsiTheme="minorEastAsia" w:hint="eastAsia"/>
              </w:rPr>
              <w:t>）</w:t>
            </w:r>
          </w:p>
        </w:tc>
        <w:tc>
          <w:tcPr>
            <w:tcW w:w="966" w:type="pct"/>
            <w:tcBorders>
              <w:top w:val="single" w:sz="4" w:space="0" w:color="auto"/>
              <w:left w:val="single" w:sz="4" w:space="0" w:color="auto"/>
              <w:bottom w:val="single" w:sz="4" w:space="0" w:color="auto"/>
              <w:right w:val="single" w:sz="4" w:space="0" w:color="auto"/>
            </w:tcBorders>
            <w:vAlign w:val="center"/>
          </w:tcPr>
          <w:p>
            <w:pPr>
              <w:pStyle w:val="Style49"/>
              <w:jc w:val="center"/>
              <w:rPr>
                <w:rFonts w:asciiTheme="minorEastAsia" w:eastAsiaTheme="minorEastAsia" w:hAnsiTheme="minorEastAsia"/>
              </w:rPr>
            </w:pPr>
            <w:r>
              <w:rPr>
                <w:rFonts w:asciiTheme="minorEastAsia" w:eastAsiaTheme="minorEastAsia" w:hAnsiTheme="minorEastAsia" w:hint="eastAsia"/>
              </w:rPr>
              <w:t>2025年5月30日</w:t>
            </w:r>
          </w:p>
        </w:tc>
        <w:tc>
          <w:tcPr>
            <w:tcW w:w="965" w:type="pct"/>
            <w:tcBorders>
              <w:top w:val="single" w:sz="4" w:space="0" w:color="auto"/>
              <w:left w:val="single" w:sz="4" w:space="0" w:color="auto"/>
              <w:bottom w:val="single" w:sz="4" w:space="0" w:color="auto"/>
              <w:right w:val="single" w:sz="4" w:space="0" w:color="auto"/>
            </w:tcBorders>
            <w:vAlign w:val="center"/>
          </w:tcPr>
          <w:p>
            <w:pPr>
              <w:pStyle w:val="Style49"/>
              <w:jc w:val="center"/>
              <w:rPr>
                <w:rFonts w:asciiTheme="minorEastAsia" w:eastAsiaTheme="minorEastAsia" w:hAnsiTheme="minorEastAsia"/>
              </w:rPr>
            </w:pPr>
            <w:r>
              <w:rPr>
                <w:rFonts w:asciiTheme="minorEastAsia" w:eastAsiaTheme="minorEastAsia" w:hAnsiTheme="minorEastAsia" w:hint="eastAsia"/>
              </w:rPr>
              <w:t>通过所有议案</w:t>
            </w:r>
          </w:p>
        </w:tc>
      </w:tr>
    </w:tbl>
    <w:p>
      <w:pPr>
        <w:pStyle w:val="Style49"/>
        <w:ind w:firstLineChars="200" w:firstLine="420"/>
        <w:rPr>
          <w:rFonts w:asciiTheme="minorEastAsia" w:eastAsiaTheme="minorEastAsia" w:hAnsiTheme="minorEastAsia"/>
        </w:rPr>
      </w:pPr>
      <w:r>
        <w:rPr>
          <w:rFonts w:asciiTheme="minorEastAsia" w:eastAsiaTheme="minorEastAsia" w:hAnsiTheme="minorEastAsia" w:hint="eastAsia"/>
        </w:rPr>
        <w:t>注：上表中“决议刊登的披露日期”为决议公告所载日期。</w:t>
      </w:r>
    </w:p>
    <w:p>
      <w:pPr>
        <w:pStyle w:val="Style49"/>
      </w:pPr>
    </w:p>
    <w:p>
      <w:pPr>
        <w:pStyle w:val="Style49"/>
      </w:pPr>
    </w:p>
    <w:p>
      <w:pPr>
        <w:sectPr>
          <w:pgSz w:w="11906" w:h="16838"/>
          <w:pgMar w:top="1525" w:right="1276" w:bottom="1440" w:left="1797" w:header="855" w:footer="992" w:gutter="0"/>
          <w:cols w:space="425"/>
          <w:docGrid w:linePitch="312"/>
        </w:sectPr>
      </w:pPr>
    </w:p>
    <w:p>
      <w:pPr>
        <w:pStyle w:val="Style51"/>
        <w:numPr>
          <w:ilvl w:val="0"/>
          <w:numId w:val="24"/>
        </w:numPr>
      </w:pPr>
      <w:r>
        <w:lastRenderedPageBreak/>
        <w:t>董事和高级管理人员的情况</w:t>
      </w:r>
    </w:p>
    <w:p>
      <w:pPr>
        <w:pStyle w:val="Style52"/>
        <w:numPr>
          <w:ilvl w:val="0"/>
          <w:numId w:val="25"/>
        </w:numPr>
        <w:ind w:left="0" w:firstLine="0"/>
      </w:pPr>
      <w:r>
        <w:rPr>
          <w:rFonts w:hint="eastAsia"/>
        </w:rPr>
        <w:t xml:space="preserve"> </w:t>
      </w:r>
      <w:r>
        <w:t>现任及报告期内离任董事</w:t>
      </w:r>
      <w:r>
        <w:rPr>
          <w:rFonts w:hint="eastAsia"/>
        </w:rPr>
        <w:t>和</w:t>
      </w:r>
      <w:r>
        <w:t>高级管理人员持股变动及</w:t>
      </w:r>
      <w:r>
        <w:rPr>
          <w:rFonts w:hint="eastAsia"/>
        </w:rPr>
        <w:t>薪</w:t>
      </w:r>
      <w:r>
        <w:t>酬情况</w:t>
      </w:r>
    </w:p>
    <w:bookmarkStart w:id="141" w:name="_Hlk89179934" w:displacedByCustomXml="next"/>
    <w:sdt>
      <w:sdtPr>
        <w:alias w:val="是否适用：董事、监事和高级管理人员持股变动[双击切换]"/>
        <w:tag w:val="_GBC_336639f5f1254c87a3d81a366e432afd"/>
        <w:id w:val="104586887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firstLineChars="200" w:firstLine="420"/>
        <w:jc w:val="both"/>
        <w:rPr>
          <w:rFonts w:asciiTheme="minorEastAsia" w:eastAsiaTheme="minorEastAsia" w:hAnsiTheme="minorEastAsia"/>
        </w:rPr>
      </w:pPr>
      <w:r>
        <w:rPr>
          <w:rFonts w:asciiTheme="minorEastAsia" w:eastAsiaTheme="minorEastAsia" w:hAnsiTheme="minorEastAsia" w:hint="eastAsia"/>
        </w:rPr>
        <w:t>截至本报告期末，除下述披露外，本公司董事及最高行政人员概无在本公司或其任何相联法团（定义见香港《证券及期货条例》第XV部所指的相联法团）的股份、相关股份及债券中拥有权益及淡仓，而该等权益及淡仓（i）根据香港《证券及期货条例》第352条规定，应记录在须予备存的登记册中；或（ii）根据《上市发行人董事进行证券交易的标准守则》（“《标准守则》”）规定，需通知本公司及香港联交所。</w:t>
      </w:r>
    </w:p>
    <w:p>
      <w:pPr>
        <w:jc w:val="right"/>
      </w:pPr>
    </w:p>
    <w:p>
      <w:pPr>
        <w:jc w:val="right"/>
      </w:pPr>
      <w:r>
        <w:rPr>
          <w:rFonts w:hint="eastAsia"/>
        </w:rPr>
        <w:t>单位：</w:t>
      </w:r>
      <w:sdt>
        <w:sdtPr>
          <w:rPr>
            <w:rFonts w:hint="eastAsia"/>
          </w:rPr>
          <w:alias w:val="单位：董事、监事、高级管理人员基本情况"/>
          <w:tag w:val="_GBC_3851936d51d842bf9f2c82131d0787cc"/>
          <w:id w:val="-113941461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g7"/>
        <w:tblW w:w="14082" w:type="dxa"/>
        <w:tblLayout w:type="fixed"/>
        <w:tblLook w:val="04A0" w:firstRow="1" w:lastRow="0" w:firstColumn="1" w:lastColumn="0" w:noHBand="0" w:noVBand="1"/>
      </w:tblPr>
      <w:tblGrid>
        <w:gridCol w:w="888"/>
        <w:gridCol w:w="1478"/>
        <w:gridCol w:w="627"/>
        <w:gridCol w:w="567"/>
        <w:gridCol w:w="1538"/>
        <w:gridCol w:w="1560"/>
        <w:gridCol w:w="1275"/>
        <w:gridCol w:w="1276"/>
        <w:gridCol w:w="709"/>
        <w:gridCol w:w="1134"/>
        <w:gridCol w:w="786"/>
        <w:gridCol w:w="1198"/>
        <w:gridCol w:w="1046"/>
      </w:tblGrid>
      <w:tr>
        <w:trPr>
          <w:trHeight w:val="968"/>
          <w:tblHeader/>
        </w:trPr>
        <w:sdt>
          <w:sdtPr>
            <w:rPr>
              <w:rFonts w:ascii="宋体" w:hAnsi="宋体"/>
              <w:sz w:val="20"/>
              <w:szCs w:val="20"/>
            </w:rPr>
            <w:tag w:val="_PLD_3e935958e5b542f38f53ca8a2618690d"/>
            <w:id w:val="-1232765896"/>
          </w:sdtPr>
          <w:sdtContent>
            <w:tc>
              <w:tcPr>
                <w:tcW w:w="888" w:type="dxa"/>
                <w:vAlign w:val="center"/>
              </w:tcPr>
              <w:p>
                <w:pPr>
                  <w:jc w:val="center"/>
                  <w:rPr>
                    <w:rFonts w:ascii="宋体" w:hAnsi="宋体"/>
                  </w:rPr>
                </w:pPr>
                <w:r>
                  <w:rPr>
                    <w:rFonts w:ascii="宋体" w:hAnsi="宋体"/>
                  </w:rPr>
                  <w:t>姓名</w:t>
                </w:r>
              </w:p>
            </w:tc>
          </w:sdtContent>
        </w:sdt>
        <w:sdt>
          <w:sdtPr>
            <w:rPr>
              <w:rFonts w:ascii="宋体" w:hAnsi="宋体"/>
              <w:sz w:val="20"/>
              <w:szCs w:val="20"/>
            </w:rPr>
            <w:tag w:val="_PLD_5ecaa59058dd4312acb6ebb4d88eb6c8"/>
            <w:id w:val="-848097767"/>
          </w:sdtPr>
          <w:sdtContent>
            <w:tc>
              <w:tcPr>
                <w:tcW w:w="1478" w:type="dxa"/>
                <w:vAlign w:val="center"/>
              </w:tcPr>
              <w:p>
                <w:pPr>
                  <w:jc w:val="center"/>
                  <w:rPr>
                    <w:rFonts w:ascii="宋体" w:hAnsi="宋体"/>
                  </w:rPr>
                </w:pPr>
                <w:r>
                  <w:rPr>
                    <w:rFonts w:ascii="宋体" w:hAnsi="宋体"/>
                  </w:rPr>
                  <w:t>职务</w:t>
                </w:r>
              </w:p>
            </w:tc>
          </w:sdtContent>
        </w:sdt>
        <w:sdt>
          <w:sdtPr>
            <w:rPr>
              <w:rFonts w:ascii="宋体" w:hAnsi="宋体"/>
              <w:sz w:val="20"/>
              <w:szCs w:val="20"/>
            </w:rPr>
            <w:tag w:val="_PLD_f907f9c5cdf94b2ba9e217c0aaaf2c60"/>
            <w:id w:val="720482659"/>
          </w:sdtPr>
          <w:sdtContent>
            <w:tc>
              <w:tcPr>
                <w:tcW w:w="627" w:type="dxa"/>
                <w:vAlign w:val="center"/>
              </w:tcPr>
              <w:p>
                <w:pPr>
                  <w:jc w:val="center"/>
                  <w:rPr>
                    <w:rFonts w:ascii="宋体" w:hAnsi="宋体"/>
                  </w:rPr>
                </w:pPr>
                <w:r>
                  <w:rPr>
                    <w:rFonts w:ascii="宋体" w:hAnsi="宋体"/>
                  </w:rPr>
                  <w:t>性别</w:t>
                </w:r>
              </w:p>
            </w:tc>
          </w:sdtContent>
        </w:sdt>
        <w:sdt>
          <w:sdtPr>
            <w:rPr>
              <w:rFonts w:ascii="宋体" w:hAnsi="宋体"/>
              <w:sz w:val="20"/>
              <w:szCs w:val="20"/>
            </w:rPr>
            <w:tag w:val="_PLD_9b2689bca35f4a3ebc7adf135b295bd6"/>
            <w:id w:val="-1908757049"/>
          </w:sdtPr>
          <w:sdtContent>
            <w:tc>
              <w:tcPr>
                <w:tcW w:w="567" w:type="dxa"/>
                <w:vAlign w:val="center"/>
              </w:tcPr>
              <w:p>
                <w:pPr>
                  <w:jc w:val="center"/>
                  <w:rPr>
                    <w:rFonts w:ascii="宋体" w:hAnsi="宋体"/>
                  </w:rPr>
                </w:pPr>
                <w:r>
                  <w:rPr>
                    <w:rFonts w:ascii="宋体" w:hAnsi="宋体"/>
                  </w:rPr>
                  <w:t>年龄</w:t>
                </w:r>
              </w:p>
            </w:tc>
          </w:sdtContent>
        </w:sdt>
        <w:sdt>
          <w:sdtPr>
            <w:rPr>
              <w:rFonts w:ascii="宋体" w:hAnsi="宋体"/>
              <w:sz w:val="20"/>
              <w:szCs w:val="20"/>
            </w:rPr>
            <w:tag w:val="_PLD_3844eb481c79444fba199a9d3c3b8bf7"/>
            <w:id w:val="270757271"/>
          </w:sdtPr>
          <w:sdtContent>
            <w:tc>
              <w:tcPr>
                <w:tcW w:w="1538" w:type="dxa"/>
                <w:vAlign w:val="center"/>
              </w:tcPr>
              <w:p>
                <w:pPr>
                  <w:jc w:val="center"/>
                  <w:rPr>
                    <w:rFonts w:ascii="宋体" w:hAnsi="宋体"/>
                  </w:rPr>
                </w:pPr>
                <w:r>
                  <w:rPr>
                    <w:rFonts w:ascii="宋体" w:hAnsi="宋体"/>
                  </w:rPr>
                  <w:t>任期起始日期</w:t>
                </w:r>
              </w:p>
            </w:tc>
          </w:sdtContent>
        </w:sdt>
        <w:sdt>
          <w:sdtPr>
            <w:rPr>
              <w:rFonts w:ascii="宋体" w:hAnsi="宋体"/>
              <w:sz w:val="20"/>
              <w:szCs w:val="20"/>
            </w:rPr>
            <w:tag w:val="_PLD_94806df607544b4b97b389da94daaf66"/>
            <w:id w:val="-1849476784"/>
          </w:sdtPr>
          <w:sdtContent>
            <w:tc>
              <w:tcPr>
                <w:tcW w:w="1560" w:type="dxa"/>
                <w:vAlign w:val="center"/>
              </w:tcPr>
              <w:p>
                <w:pPr>
                  <w:jc w:val="center"/>
                  <w:rPr>
                    <w:rFonts w:ascii="宋体" w:hAnsi="宋体"/>
                  </w:rPr>
                </w:pPr>
                <w:r>
                  <w:rPr>
                    <w:rFonts w:ascii="宋体" w:hAnsi="宋体"/>
                  </w:rPr>
                  <w:t>任期终止日期</w:t>
                </w:r>
              </w:p>
            </w:tc>
          </w:sdtContent>
        </w:sdt>
        <w:sdt>
          <w:sdtPr>
            <w:rPr>
              <w:rFonts w:ascii="宋体" w:hAnsi="宋体"/>
              <w:sz w:val="20"/>
              <w:szCs w:val="20"/>
            </w:rPr>
            <w:tag w:val="_PLD_5e35d588fd7f4cb3af49fcbd9e313ac2"/>
            <w:id w:val="-148374823"/>
          </w:sdtPr>
          <w:sdtContent>
            <w:tc>
              <w:tcPr>
                <w:tcW w:w="1275" w:type="dxa"/>
                <w:vAlign w:val="center"/>
              </w:tcPr>
              <w:p>
                <w:pPr>
                  <w:jc w:val="center"/>
                  <w:rPr>
                    <w:rFonts w:ascii="宋体" w:hAnsi="宋体"/>
                  </w:rPr>
                </w:pPr>
                <w:r>
                  <w:rPr>
                    <w:rFonts w:ascii="宋体" w:hAnsi="宋体"/>
                  </w:rPr>
                  <w:t>年初持股数</w:t>
                </w:r>
              </w:p>
            </w:tc>
          </w:sdtContent>
        </w:sdt>
        <w:sdt>
          <w:sdtPr>
            <w:rPr>
              <w:rFonts w:ascii="宋体" w:hAnsi="宋体"/>
              <w:sz w:val="20"/>
              <w:szCs w:val="20"/>
            </w:rPr>
            <w:tag w:val="_PLD_af0cabd7e3f44b95b26464bc652333c2"/>
            <w:id w:val="-1221900075"/>
          </w:sdtPr>
          <w:sdtContent>
            <w:tc>
              <w:tcPr>
                <w:tcW w:w="1276" w:type="dxa"/>
                <w:vAlign w:val="center"/>
              </w:tcPr>
              <w:p>
                <w:pPr>
                  <w:jc w:val="center"/>
                  <w:rPr>
                    <w:rFonts w:ascii="宋体" w:hAnsi="宋体"/>
                  </w:rPr>
                </w:pPr>
                <w:r>
                  <w:rPr>
                    <w:rFonts w:ascii="宋体" w:hAnsi="宋体"/>
                  </w:rPr>
                  <w:t>年末持股数</w:t>
                </w:r>
              </w:p>
            </w:tc>
          </w:sdtContent>
        </w:sdt>
        <w:tc>
          <w:tcPr>
            <w:tcW w:w="709" w:type="dxa"/>
            <w:vAlign w:val="center"/>
          </w:tcPr>
          <w:p>
            <w:pPr>
              <w:jc w:val="center"/>
              <w:rPr>
                <w:rFonts w:ascii="宋体" w:hAnsi="宋体"/>
              </w:rPr>
            </w:pPr>
            <w:r>
              <w:rPr>
                <w:rFonts w:ascii="宋体" w:hAnsi="宋体" w:hint="eastAsia"/>
              </w:rPr>
              <w:t>股份类别</w:t>
            </w:r>
          </w:p>
        </w:tc>
        <w:sdt>
          <w:sdtPr>
            <w:rPr>
              <w:rFonts w:ascii="宋体" w:hAnsi="宋体"/>
              <w:sz w:val="20"/>
              <w:szCs w:val="20"/>
            </w:rPr>
            <w:tag w:val="_PLD_0b9453da77b34ba68718efe69463399a"/>
            <w:id w:val="1908793289"/>
          </w:sdtPr>
          <w:sdtContent>
            <w:tc>
              <w:tcPr>
                <w:tcW w:w="1134" w:type="dxa"/>
                <w:vAlign w:val="center"/>
              </w:tcPr>
              <w:p>
                <w:pPr>
                  <w:jc w:val="center"/>
                  <w:rPr>
                    <w:rFonts w:ascii="宋体" w:hAnsi="宋体"/>
                  </w:rPr>
                </w:pPr>
                <w:r>
                  <w:rPr>
                    <w:rFonts w:ascii="宋体" w:hAnsi="宋体"/>
                  </w:rPr>
                  <w:t>年度内股份增减变动量</w:t>
                </w:r>
              </w:p>
            </w:tc>
          </w:sdtContent>
        </w:sdt>
        <w:sdt>
          <w:sdtPr>
            <w:rPr>
              <w:rFonts w:ascii="宋体" w:hAnsi="宋体"/>
              <w:sz w:val="20"/>
              <w:szCs w:val="20"/>
            </w:rPr>
            <w:tag w:val="_PLD_32c045d1529e42b7999b1f0c6b6e43a6"/>
            <w:id w:val="-1838380866"/>
          </w:sdtPr>
          <w:sdtContent>
            <w:tc>
              <w:tcPr>
                <w:tcW w:w="786" w:type="dxa"/>
                <w:vAlign w:val="center"/>
              </w:tcPr>
              <w:p>
                <w:pPr>
                  <w:jc w:val="center"/>
                  <w:rPr>
                    <w:rFonts w:ascii="宋体" w:hAnsi="宋体"/>
                  </w:rPr>
                </w:pPr>
                <w:r>
                  <w:rPr>
                    <w:rFonts w:ascii="宋体" w:hAnsi="宋体"/>
                  </w:rPr>
                  <w:t>增减变动原因</w:t>
                </w:r>
              </w:p>
            </w:tc>
          </w:sdtContent>
        </w:sdt>
        <w:sdt>
          <w:sdtPr>
            <w:rPr>
              <w:rFonts w:ascii="宋体" w:hAnsi="宋体"/>
              <w:sz w:val="20"/>
              <w:szCs w:val="20"/>
            </w:rPr>
            <w:tag w:val="_PLD_47ee572944fa4c8098ef9eeca67d2eb2"/>
            <w:id w:val="-1782028474"/>
          </w:sdtPr>
          <w:sdtContent>
            <w:tc>
              <w:tcPr>
                <w:tcW w:w="1198" w:type="dxa"/>
                <w:vAlign w:val="center"/>
              </w:tcPr>
              <w:p>
                <w:pPr>
                  <w:jc w:val="center"/>
                  <w:rPr>
                    <w:rFonts w:ascii="宋体" w:hAnsi="宋体"/>
                  </w:rPr>
                </w:pPr>
                <w:r>
                  <w:rPr>
                    <w:rFonts w:ascii="宋体" w:hAnsi="宋体" w:hint="eastAsia"/>
                  </w:rPr>
                  <w:t>报告期内从公司获得的税前薪酬总额（</w:t>
                </w:r>
                <w:sdt>
                  <w:sdtPr>
                    <w:rPr>
                      <w:rFonts w:ascii="宋体" w:hAnsi="宋体" w:hint="eastAsia"/>
                    </w:rPr>
                    <w:alias w:val="单位：报告期内从公司获得的税前报酬总额"/>
                    <w:tag w:val="_GBC_84bf98b6209e4e62813239bd0860e78d"/>
                    <w:id w:val="1258406532"/>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万元</w:t>
                    </w:r>
                  </w:sdtContent>
                </w:sdt>
                <w:r>
                  <w:rPr>
                    <w:rFonts w:ascii="宋体" w:hAnsi="宋体" w:hint="eastAsia"/>
                  </w:rPr>
                  <w:t>）</w:t>
                </w:r>
              </w:p>
            </w:tc>
          </w:sdtContent>
        </w:sdt>
        <w:sdt>
          <w:sdtPr>
            <w:rPr>
              <w:rFonts w:ascii="宋体" w:hAnsi="宋体"/>
              <w:sz w:val="20"/>
              <w:szCs w:val="20"/>
            </w:rPr>
            <w:tag w:val="_PLD_efdfb631398b46bfa3656e39fd8c5fca"/>
            <w:id w:val="1215855152"/>
          </w:sdtPr>
          <w:sdtContent>
            <w:tc>
              <w:tcPr>
                <w:tcW w:w="1046" w:type="dxa"/>
                <w:vAlign w:val="center"/>
              </w:tcPr>
              <w:p>
                <w:pPr>
                  <w:jc w:val="center"/>
                  <w:rPr>
                    <w:rFonts w:ascii="宋体" w:hAnsi="宋体"/>
                  </w:rPr>
                </w:pPr>
                <w:r>
                  <w:rPr>
                    <w:rFonts w:ascii="宋体" w:hAnsi="宋体" w:hint="eastAsia"/>
                  </w:rPr>
                  <w:t>是否在公司关联方获取薪酬</w:t>
                </w:r>
              </w:p>
            </w:tc>
          </w:sdtContent>
        </w:sdt>
      </w:tr>
      <w:tr>
        <w:trPr>
          <w:trHeight w:val="132"/>
        </w:trPr>
        <w:tc>
          <w:tcPr>
            <w:tcW w:w="888" w:type="dxa"/>
            <w:vAlign w:val="center"/>
          </w:tcPr>
          <w:p>
            <w:pPr>
              <w:jc w:val="center"/>
              <w:rPr>
                <w:rFonts w:ascii="宋体" w:hAnsi="宋体"/>
              </w:rPr>
            </w:pPr>
            <w:r>
              <w:rPr>
                <w:rFonts w:ascii="宋体" w:hAnsi="宋体" w:hint="eastAsia"/>
              </w:rPr>
              <w:t>李  伟</w:t>
            </w:r>
          </w:p>
        </w:tc>
        <w:tc>
          <w:tcPr>
            <w:tcW w:w="1478" w:type="dxa"/>
            <w:vAlign w:val="center"/>
          </w:tcPr>
          <w:p>
            <w:pPr>
              <w:jc w:val="center"/>
              <w:rPr>
                <w:rFonts w:ascii="宋体" w:hAnsi="宋体"/>
              </w:rPr>
            </w:pPr>
            <w:r>
              <w:rPr>
                <w:rFonts w:ascii="宋体" w:hAnsi="宋体" w:hint="eastAsia"/>
              </w:rPr>
              <w:t>董事、董事长</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59</w:t>
            </w:r>
          </w:p>
        </w:tc>
        <w:tc>
          <w:tcPr>
            <w:tcW w:w="1538" w:type="dxa"/>
            <w:vAlign w:val="center"/>
          </w:tcPr>
          <w:p>
            <w:pPr>
              <w:jc w:val="center"/>
              <w:rPr>
                <w:rFonts w:ascii="宋体" w:hAnsi="宋体"/>
              </w:rPr>
            </w:pPr>
            <w:r>
              <w:rPr>
                <w:rFonts w:ascii="宋体" w:hAnsi="宋体"/>
              </w:rPr>
              <w:t>2021-08-20</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19,500</w:t>
            </w:r>
          </w:p>
        </w:tc>
        <w:tc>
          <w:tcPr>
            <w:tcW w:w="1276" w:type="dxa"/>
            <w:vAlign w:val="center"/>
          </w:tcPr>
          <w:p>
            <w:pPr>
              <w:jc w:val="right"/>
              <w:rPr>
                <w:rFonts w:ascii="宋体" w:hAnsi="宋体"/>
              </w:rPr>
            </w:pPr>
            <w:r>
              <w:rPr>
                <w:rFonts w:ascii="宋体" w:hAnsi="宋体" w:hint="eastAsia"/>
              </w:rPr>
              <w:t>19,500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cs="宋体" w:hint="eastAsia"/>
              </w:rPr>
              <w:t>-</w:t>
            </w:r>
          </w:p>
        </w:tc>
        <w:sdt>
          <w:sdtPr>
            <w:rPr>
              <w:rFonts w:ascii="宋体" w:hAnsi="宋体"/>
              <w:sz w:val="20"/>
              <w:szCs w:val="20"/>
            </w:rPr>
            <w:alias w:val="董事、监事、高级管理人员是否在公司关联方获取报酬"/>
            <w:tag w:val="_GBC_ca79c4e139754ecd84ca3e60eb23b31d"/>
            <w:id w:val="-713577665"/>
            <w:comboBox>
              <w:listItem w:displayText="是" w:value="是"/>
              <w:listItem w:displayText="否" w:value="否"/>
            </w:comboBox>
          </w:sdtPr>
          <w:sdtContent>
            <w:tc>
              <w:tcPr>
                <w:tcW w:w="1046" w:type="dxa"/>
                <w:vAlign w:val="center"/>
              </w:tcPr>
              <w:p>
                <w:pPr>
                  <w:jc w:val="center"/>
                  <w:rPr>
                    <w:rFonts w:ascii="宋体" w:hAnsi="宋体" w:cstheme="minorBidi"/>
                    <w:kern w:val="2"/>
                    <w14:ligatures w14:val="standardContextual"/>
                  </w:rPr>
                </w:pPr>
                <w:r>
                  <w:rPr>
                    <w:rFonts w:ascii="宋体" w:hAnsi="宋体" w:cstheme="minorBidi" w:hint="eastAsia"/>
                    <w:kern w:val="2"/>
                    <w14:ligatures w14:val="standardContextual"/>
                  </w:rPr>
                  <w:t>是</w:t>
                </w:r>
              </w:p>
            </w:tc>
          </w:sdtContent>
        </w:sdt>
      </w:tr>
      <w:tr>
        <w:trPr>
          <w:trHeight w:val="132"/>
        </w:trPr>
        <w:tc>
          <w:tcPr>
            <w:tcW w:w="888" w:type="dxa"/>
            <w:vMerge w:val="restart"/>
            <w:vAlign w:val="center"/>
          </w:tcPr>
          <w:p>
            <w:pPr>
              <w:jc w:val="center"/>
              <w:rPr>
                <w:rFonts w:ascii="宋体" w:hAnsi="宋体"/>
              </w:rPr>
            </w:pPr>
            <w:r>
              <w:rPr>
                <w:rFonts w:ascii="宋体" w:hAnsi="宋体" w:hint="eastAsia"/>
              </w:rPr>
              <w:t>王九红</w:t>
            </w:r>
          </w:p>
        </w:tc>
        <w:tc>
          <w:tcPr>
            <w:tcW w:w="1478" w:type="dxa"/>
            <w:vAlign w:val="center"/>
          </w:tcPr>
          <w:p>
            <w:pPr>
              <w:jc w:val="center"/>
              <w:rPr>
                <w:rFonts w:ascii="宋体" w:hAnsi="宋体"/>
              </w:rPr>
            </w:pPr>
            <w:r>
              <w:rPr>
                <w:rFonts w:ascii="宋体" w:hAnsi="宋体" w:hint="eastAsia"/>
              </w:rPr>
              <w:t>董事</w:t>
            </w:r>
          </w:p>
        </w:tc>
        <w:tc>
          <w:tcPr>
            <w:tcW w:w="627" w:type="dxa"/>
            <w:vMerge w:val="restart"/>
            <w:vAlign w:val="center"/>
          </w:tcPr>
          <w:p>
            <w:pPr>
              <w:jc w:val="center"/>
              <w:rPr>
                <w:rFonts w:ascii="宋体" w:hAnsi="宋体"/>
              </w:rPr>
            </w:pPr>
            <w:r>
              <w:rPr>
                <w:rFonts w:ascii="宋体" w:hAnsi="宋体" w:hint="eastAsia"/>
              </w:rPr>
              <w:t>男</w:t>
            </w:r>
          </w:p>
        </w:tc>
        <w:tc>
          <w:tcPr>
            <w:tcW w:w="567" w:type="dxa"/>
            <w:vMerge w:val="restart"/>
            <w:vAlign w:val="center"/>
          </w:tcPr>
          <w:p>
            <w:pPr>
              <w:jc w:val="center"/>
              <w:rPr>
                <w:rFonts w:ascii="宋体" w:hAnsi="宋体"/>
              </w:rPr>
            </w:pPr>
            <w:r>
              <w:rPr>
                <w:rFonts w:ascii="宋体" w:hAnsi="宋体" w:hint="eastAsia"/>
              </w:rPr>
              <w:t>49</w:t>
            </w:r>
          </w:p>
        </w:tc>
        <w:tc>
          <w:tcPr>
            <w:tcW w:w="1538" w:type="dxa"/>
            <w:vAlign w:val="center"/>
          </w:tcPr>
          <w:p>
            <w:pPr>
              <w:jc w:val="center"/>
              <w:rPr>
                <w:rFonts w:ascii="宋体" w:hAnsi="宋体"/>
              </w:rPr>
            </w:pPr>
            <w:r>
              <w:rPr>
                <w:rFonts w:ascii="宋体" w:hAnsi="宋体" w:hint="eastAsia"/>
              </w:rPr>
              <w:t>2025-05-30</w:t>
            </w:r>
          </w:p>
        </w:tc>
        <w:tc>
          <w:tcPr>
            <w:tcW w:w="1560" w:type="dxa"/>
            <w:vAlign w:val="center"/>
          </w:tcPr>
          <w:p>
            <w:pPr>
              <w:jc w:val="center"/>
              <w:rPr>
                <w:rFonts w:ascii="宋体" w:hAnsi="宋体"/>
              </w:rPr>
            </w:pPr>
            <w:r>
              <w:rPr>
                <w:rFonts w:ascii="宋体" w:hAnsi="宋体" w:hint="eastAsia"/>
              </w:rPr>
              <w:t>2026-06-30</w:t>
            </w:r>
          </w:p>
        </w:tc>
        <w:tc>
          <w:tcPr>
            <w:tcW w:w="1275" w:type="dxa"/>
            <w:vMerge w:val="restart"/>
            <w:vAlign w:val="center"/>
          </w:tcPr>
          <w:p>
            <w:pPr>
              <w:jc w:val="right"/>
              <w:rPr>
                <w:rFonts w:ascii="宋体" w:hAnsi="宋体"/>
              </w:rPr>
            </w:pPr>
            <w:r>
              <w:rPr>
                <w:rFonts w:ascii="宋体" w:hAnsi="宋体" w:hint="eastAsia"/>
              </w:rPr>
              <w:t>235,560</w:t>
            </w:r>
          </w:p>
        </w:tc>
        <w:tc>
          <w:tcPr>
            <w:tcW w:w="1276" w:type="dxa"/>
            <w:vMerge w:val="restart"/>
            <w:vAlign w:val="center"/>
          </w:tcPr>
          <w:p>
            <w:pPr>
              <w:jc w:val="right"/>
              <w:rPr>
                <w:rFonts w:ascii="宋体" w:hAnsi="宋体"/>
              </w:rPr>
            </w:pPr>
            <w:r>
              <w:rPr>
                <w:rFonts w:ascii="宋体" w:hAnsi="宋体" w:hint="eastAsia"/>
              </w:rPr>
              <w:t>235,560</w:t>
            </w:r>
          </w:p>
        </w:tc>
        <w:tc>
          <w:tcPr>
            <w:tcW w:w="709" w:type="dxa"/>
            <w:vMerge w:val="restart"/>
            <w:vAlign w:val="center"/>
          </w:tcPr>
          <w:p>
            <w:pPr>
              <w:jc w:val="center"/>
              <w:rPr>
                <w:rFonts w:ascii="宋体" w:hAnsi="宋体"/>
              </w:rPr>
            </w:pPr>
            <w:r>
              <w:rPr>
                <w:rFonts w:ascii="宋体" w:hAnsi="宋体" w:hint="eastAsia"/>
              </w:rPr>
              <w:t>A股</w:t>
            </w:r>
          </w:p>
        </w:tc>
        <w:tc>
          <w:tcPr>
            <w:tcW w:w="1134" w:type="dxa"/>
            <w:vMerge w:val="restart"/>
            <w:vAlign w:val="center"/>
          </w:tcPr>
          <w:p>
            <w:pPr>
              <w:jc w:val="right"/>
              <w:rPr>
                <w:rFonts w:ascii="宋体" w:hAnsi="宋体"/>
              </w:rPr>
            </w:pPr>
            <w:r>
              <w:rPr>
                <w:rFonts w:ascii="宋体" w:hAnsi="宋体" w:hint="eastAsia"/>
              </w:rPr>
              <w:t>0</w:t>
            </w:r>
          </w:p>
        </w:tc>
        <w:tc>
          <w:tcPr>
            <w:tcW w:w="786" w:type="dxa"/>
            <w:vMerge w:val="restart"/>
            <w:vAlign w:val="center"/>
          </w:tcPr>
          <w:p>
            <w:pPr>
              <w:jc w:val="center"/>
              <w:rPr>
                <w:rFonts w:ascii="宋体" w:hAnsi="宋体"/>
              </w:rPr>
            </w:pPr>
            <w:r>
              <w:rPr>
                <w:rFonts w:ascii="宋体" w:hAnsi="宋体" w:hint="eastAsia"/>
              </w:rPr>
              <w:t>-</w:t>
            </w:r>
          </w:p>
        </w:tc>
        <w:tc>
          <w:tcPr>
            <w:tcW w:w="1198" w:type="dxa"/>
            <w:vMerge w:val="restart"/>
            <w:vAlign w:val="center"/>
          </w:tcPr>
          <w:p>
            <w:pPr>
              <w:jc w:val="right"/>
              <w:rPr>
                <w:rFonts w:ascii="宋体" w:hAnsi="宋体"/>
              </w:rPr>
            </w:pPr>
            <w:r>
              <w:rPr>
                <w:rFonts w:ascii="宋体" w:hAnsi="宋体" w:hint="eastAsia"/>
              </w:rPr>
              <w:t>128.61</w:t>
            </w:r>
          </w:p>
        </w:tc>
        <w:sdt>
          <w:sdtPr>
            <w:rPr>
              <w:rFonts w:ascii="宋体" w:hAnsi="宋体"/>
              <w:sz w:val="20"/>
              <w:szCs w:val="20"/>
            </w:rPr>
            <w:alias w:val="董事、监事、高级管理人员是否在公司关联方获取报酬"/>
            <w:tag w:val="_GBC_ca79c4e139754ecd84ca3e60eb23b31d"/>
            <w:id w:val="-326820292"/>
            <w:comboBox>
              <w:listItem w:displayText="是" w:value="是"/>
              <w:listItem w:displayText="否" w:value="否"/>
            </w:comboBox>
          </w:sdtPr>
          <w:sdtContent>
            <w:tc>
              <w:tcPr>
                <w:tcW w:w="1046" w:type="dxa"/>
                <w:vMerge w:val="restart"/>
                <w:vAlign w:val="center"/>
              </w:tcPr>
              <w:p>
                <w:pPr>
                  <w:jc w:val="center"/>
                  <w:rPr>
                    <w:rFonts w:ascii="宋体" w:hAnsi="宋体" w:cstheme="minorBidi"/>
                    <w:kern w:val="2"/>
                    <w14:ligatures w14:val="standardContextual"/>
                  </w:rPr>
                </w:pPr>
                <w:r>
                  <w:rPr>
                    <w:rFonts w:ascii="宋体" w:hAnsi="宋体" w:cstheme="minorBidi"/>
                    <w:kern w:val="2"/>
                    <w14:ligatures w14:val="standardContextual"/>
                  </w:rPr>
                  <w:t>否</w:t>
                </w:r>
              </w:p>
            </w:tc>
          </w:sdtContent>
        </w:sdt>
      </w:tr>
      <w:tr>
        <w:trPr>
          <w:trHeight w:val="132"/>
        </w:trPr>
        <w:tc>
          <w:tcPr>
            <w:tcW w:w="888" w:type="dxa"/>
            <w:vMerge/>
            <w:vAlign w:val="center"/>
          </w:tcPr>
          <w:p>
            <w:pPr>
              <w:rPr>
                <w:rFonts w:ascii="宋体" w:hAnsi="宋体"/>
              </w:rPr>
            </w:pPr>
          </w:p>
        </w:tc>
        <w:tc>
          <w:tcPr>
            <w:tcW w:w="1478" w:type="dxa"/>
            <w:vAlign w:val="center"/>
          </w:tcPr>
          <w:p>
            <w:pPr>
              <w:jc w:val="center"/>
              <w:rPr>
                <w:rFonts w:ascii="宋体" w:hAnsi="宋体"/>
              </w:rPr>
            </w:pPr>
            <w:r>
              <w:rPr>
                <w:rFonts w:ascii="宋体" w:hAnsi="宋体" w:hint="eastAsia"/>
              </w:rPr>
              <w:t>总经理</w:t>
            </w:r>
          </w:p>
        </w:tc>
        <w:tc>
          <w:tcPr>
            <w:tcW w:w="627" w:type="dxa"/>
            <w:vMerge/>
            <w:vAlign w:val="center"/>
          </w:tcPr>
          <w:p>
            <w:pPr>
              <w:jc w:val="center"/>
              <w:rPr>
                <w:rFonts w:ascii="宋体" w:hAnsi="宋体"/>
              </w:rPr>
            </w:pPr>
          </w:p>
        </w:tc>
        <w:tc>
          <w:tcPr>
            <w:tcW w:w="567" w:type="dxa"/>
            <w:vMerge/>
            <w:vAlign w:val="center"/>
          </w:tcPr>
          <w:p>
            <w:pPr>
              <w:rPr>
                <w:rFonts w:ascii="宋体" w:hAnsi="宋体"/>
              </w:rPr>
            </w:pPr>
          </w:p>
        </w:tc>
        <w:tc>
          <w:tcPr>
            <w:tcW w:w="1538" w:type="dxa"/>
            <w:vAlign w:val="center"/>
          </w:tcPr>
          <w:p>
            <w:pPr>
              <w:jc w:val="center"/>
              <w:rPr>
                <w:rFonts w:ascii="宋体" w:hAnsi="宋体"/>
              </w:rPr>
            </w:pPr>
            <w:r>
              <w:rPr>
                <w:rFonts w:ascii="宋体" w:hAnsi="宋体" w:hint="eastAsia"/>
              </w:rPr>
              <w:t>2024-11-13</w:t>
            </w:r>
          </w:p>
        </w:tc>
        <w:tc>
          <w:tcPr>
            <w:tcW w:w="1560" w:type="dxa"/>
            <w:vAlign w:val="center"/>
          </w:tcPr>
          <w:p>
            <w:pPr>
              <w:jc w:val="center"/>
              <w:rPr>
                <w:rFonts w:ascii="宋体" w:hAnsi="宋体"/>
              </w:rPr>
            </w:pPr>
            <w:r>
              <w:rPr>
                <w:rFonts w:ascii="宋体" w:hAnsi="宋体" w:hint="eastAsia"/>
              </w:rPr>
              <w:t>2026-06-30</w:t>
            </w:r>
          </w:p>
        </w:tc>
        <w:tc>
          <w:tcPr>
            <w:tcW w:w="1275" w:type="dxa"/>
            <w:vMerge/>
            <w:vAlign w:val="center"/>
          </w:tcPr>
          <w:p>
            <w:pPr>
              <w:jc w:val="right"/>
              <w:rPr>
                <w:rFonts w:ascii="宋体" w:hAnsi="宋体"/>
              </w:rPr>
            </w:pPr>
          </w:p>
        </w:tc>
        <w:tc>
          <w:tcPr>
            <w:tcW w:w="1276" w:type="dxa"/>
            <w:vMerge/>
            <w:vAlign w:val="center"/>
          </w:tcPr>
          <w:p>
            <w:pPr>
              <w:jc w:val="right"/>
              <w:rPr>
                <w:rFonts w:ascii="宋体" w:hAnsi="宋体"/>
              </w:rPr>
            </w:pPr>
          </w:p>
        </w:tc>
        <w:tc>
          <w:tcPr>
            <w:tcW w:w="709" w:type="dxa"/>
            <w:vMerge/>
            <w:vAlign w:val="center"/>
          </w:tcPr>
          <w:p>
            <w:pPr>
              <w:jc w:val="center"/>
              <w:rPr>
                <w:rFonts w:ascii="宋体" w:hAnsi="宋体"/>
              </w:rPr>
            </w:pPr>
          </w:p>
        </w:tc>
        <w:tc>
          <w:tcPr>
            <w:tcW w:w="1134" w:type="dxa"/>
            <w:vMerge/>
            <w:vAlign w:val="center"/>
          </w:tcPr>
          <w:p>
            <w:pPr>
              <w:jc w:val="right"/>
              <w:rPr>
                <w:rFonts w:ascii="宋体" w:hAnsi="宋体"/>
              </w:rPr>
            </w:pPr>
          </w:p>
        </w:tc>
        <w:tc>
          <w:tcPr>
            <w:tcW w:w="786" w:type="dxa"/>
            <w:vMerge/>
            <w:vAlign w:val="center"/>
          </w:tcPr>
          <w:p>
            <w:pPr>
              <w:jc w:val="center"/>
              <w:rPr>
                <w:rFonts w:ascii="宋体" w:hAnsi="宋体"/>
              </w:rPr>
            </w:pPr>
          </w:p>
        </w:tc>
        <w:tc>
          <w:tcPr>
            <w:tcW w:w="1198" w:type="dxa"/>
            <w:vMerge/>
            <w:vAlign w:val="center"/>
          </w:tcPr>
          <w:p>
            <w:pPr>
              <w:jc w:val="right"/>
              <w:rPr>
                <w:rFonts w:ascii="宋体" w:hAnsi="宋体"/>
              </w:rPr>
            </w:pPr>
          </w:p>
        </w:tc>
        <w:tc>
          <w:tcPr>
            <w:tcW w:w="1046" w:type="dxa"/>
            <w:vMerge/>
            <w:vAlign w:val="center"/>
          </w:tcPr>
          <w:p>
            <w:pPr>
              <w:jc w:val="center"/>
              <w:rPr>
                <w:rFonts w:ascii="宋体" w:hAnsi="宋体" w:cstheme="minorBidi"/>
                <w:kern w:val="2"/>
                <w14:ligatures w14:val="standardContextual"/>
              </w:rPr>
            </w:pPr>
          </w:p>
        </w:tc>
      </w:tr>
      <w:tr>
        <w:trPr>
          <w:trHeight w:val="132"/>
        </w:trPr>
        <w:tc>
          <w:tcPr>
            <w:tcW w:w="888" w:type="dxa"/>
            <w:vAlign w:val="center"/>
          </w:tcPr>
          <w:p>
            <w:pPr>
              <w:jc w:val="center"/>
              <w:rPr>
                <w:rFonts w:ascii="宋体" w:hAnsi="宋体"/>
              </w:rPr>
            </w:pPr>
            <w:r>
              <w:rPr>
                <w:rFonts w:ascii="宋体" w:hAnsi="宋体" w:hint="eastAsia"/>
              </w:rPr>
              <w:t>刘  健</w:t>
            </w:r>
          </w:p>
        </w:tc>
        <w:tc>
          <w:tcPr>
            <w:tcW w:w="1478" w:type="dxa"/>
            <w:vAlign w:val="center"/>
          </w:tcPr>
          <w:p>
            <w:pPr>
              <w:jc w:val="center"/>
              <w:rPr>
                <w:rFonts w:ascii="宋体" w:hAnsi="宋体"/>
              </w:rPr>
            </w:pPr>
            <w:r>
              <w:rPr>
                <w:rFonts w:ascii="宋体" w:hAnsi="宋体" w:hint="eastAsia"/>
              </w:rPr>
              <w:t>董事</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57</w:t>
            </w:r>
          </w:p>
        </w:tc>
        <w:tc>
          <w:tcPr>
            <w:tcW w:w="1538" w:type="dxa"/>
            <w:vAlign w:val="center"/>
          </w:tcPr>
          <w:p>
            <w:pPr>
              <w:jc w:val="center"/>
              <w:rPr>
                <w:rFonts w:ascii="宋体" w:hAnsi="宋体"/>
              </w:rPr>
            </w:pPr>
            <w:r>
              <w:rPr>
                <w:rFonts w:ascii="宋体" w:hAnsi="宋体" w:hint="eastAsia"/>
              </w:rPr>
              <w:t>2019-05-24</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167,310</w:t>
            </w:r>
          </w:p>
        </w:tc>
        <w:tc>
          <w:tcPr>
            <w:tcW w:w="1276" w:type="dxa"/>
            <w:vAlign w:val="center"/>
          </w:tcPr>
          <w:p>
            <w:pPr>
              <w:jc w:val="right"/>
              <w:rPr>
                <w:rFonts w:ascii="宋体" w:hAnsi="宋体"/>
              </w:rPr>
            </w:pPr>
            <w:r>
              <w:rPr>
                <w:rFonts w:ascii="宋体" w:hAnsi="宋体" w:hint="eastAsia"/>
              </w:rPr>
              <w:t>167,310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cs="宋体"/>
              </w:rPr>
            </w:pPr>
            <w:r>
              <w:rPr>
                <w:rFonts w:ascii="宋体" w:hAnsi="宋体" w:cs="宋体" w:hint="eastAsia"/>
              </w:rPr>
              <w:t>-</w:t>
            </w:r>
          </w:p>
        </w:tc>
        <w:tc>
          <w:tcPr>
            <w:tcW w:w="1046" w:type="dxa"/>
            <w:vAlign w:val="center"/>
          </w:tcPr>
          <w:p>
            <w:pPr>
              <w:jc w:val="center"/>
              <w:rPr>
                <w:rFonts w:ascii="宋体" w:hAnsi="宋体" w:cstheme="minorBidi"/>
                <w:kern w:val="2"/>
                <w14:ligatures w14:val="standardContextual"/>
              </w:rPr>
            </w:pPr>
            <w:r>
              <w:rPr>
                <w:rFonts w:ascii="宋体" w:hAnsi="宋体" w:cstheme="minorBidi" w:hint="eastAsia"/>
                <w:kern w:val="2"/>
                <w14:ligatures w14:val="standardContextual"/>
              </w:rPr>
              <w:t>是</w:t>
            </w:r>
          </w:p>
        </w:tc>
      </w:tr>
      <w:tr>
        <w:trPr>
          <w:trHeight w:val="132"/>
        </w:trPr>
        <w:tc>
          <w:tcPr>
            <w:tcW w:w="888" w:type="dxa"/>
            <w:vAlign w:val="center"/>
          </w:tcPr>
          <w:p>
            <w:pPr>
              <w:jc w:val="center"/>
              <w:rPr>
                <w:rFonts w:ascii="宋体" w:hAnsi="宋体"/>
              </w:rPr>
            </w:pPr>
            <w:r>
              <w:rPr>
                <w:rFonts w:ascii="宋体" w:hAnsi="宋体" w:hint="eastAsia"/>
              </w:rPr>
              <w:t xml:space="preserve">刘 </w:t>
            </w:r>
            <w:r>
              <w:rPr>
                <w:rFonts w:ascii="宋体" w:hAnsi="宋体"/>
              </w:rPr>
              <w:t xml:space="preserve"> </w:t>
            </w:r>
            <w:r>
              <w:rPr>
                <w:rFonts w:ascii="宋体" w:hAnsi="宋体" w:hint="eastAsia"/>
              </w:rPr>
              <w:t>强</w:t>
            </w:r>
          </w:p>
        </w:tc>
        <w:tc>
          <w:tcPr>
            <w:tcW w:w="1478" w:type="dxa"/>
            <w:vAlign w:val="center"/>
          </w:tcPr>
          <w:p>
            <w:pPr>
              <w:jc w:val="center"/>
              <w:rPr>
                <w:rFonts w:ascii="宋体" w:hAnsi="宋体"/>
              </w:rPr>
            </w:pPr>
            <w:r>
              <w:rPr>
                <w:rFonts w:ascii="宋体" w:hAnsi="宋体" w:hint="eastAsia"/>
              </w:rPr>
              <w:t>董事</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53</w:t>
            </w:r>
          </w:p>
        </w:tc>
        <w:tc>
          <w:tcPr>
            <w:tcW w:w="1538" w:type="dxa"/>
            <w:vAlign w:val="center"/>
          </w:tcPr>
          <w:p>
            <w:pPr>
              <w:jc w:val="center"/>
              <w:rPr>
                <w:rFonts w:ascii="宋体" w:hAnsi="宋体"/>
              </w:rPr>
            </w:pPr>
            <w:r>
              <w:rPr>
                <w:rFonts w:ascii="宋体" w:hAnsi="宋体" w:hint="eastAsia"/>
              </w:rPr>
              <w:t>2</w:t>
            </w:r>
            <w:r>
              <w:rPr>
                <w:rFonts w:ascii="宋体" w:hAnsi="宋体"/>
              </w:rPr>
              <w:t>023-06-30</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hint="eastAsia"/>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cs="宋体"/>
              </w:rPr>
            </w:pPr>
            <w:r>
              <w:rPr>
                <w:rFonts w:ascii="宋体" w:hAnsi="宋体" w:cs="宋体" w:hint="eastAsia"/>
              </w:rPr>
              <w:t>-</w:t>
            </w:r>
          </w:p>
        </w:tc>
        <w:tc>
          <w:tcPr>
            <w:tcW w:w="1046" w:type="dxa"/>
            <w:vAlign w:val="center"/>
          </w:tcPr>
          <w:p>
            <w:pPr>
              <w:jc w:val="center"/>
              <w:rPr>
                <w:rFonts w:ascii="宋体" w:hAnsi="宋体" w:cstheme="minorBidi"/>
                <w:kern w:val="2"/>
                <w14:ligatures w14:val="standardContextual"/>
              </w:rPr>
            </w:pPr>
            <w:r>
              <w:rPr>
                <w:rFonts w:ascii="宋体" w:hAnsi="宋体" w:cstheme="minorBidi" w:hint="eastAsia"/>
                <w:kern w:val="2"/>
                <w14:ligatures w14:val="standardContextual"/>
              </w:rPr>
              <w:t>是</w:t>
            </w:r>
          </w:p>
        </w:tc>
      </w:tr>
      <w:tr>
        <w:trPr>
          <w:trHeight w:val="132"/>
        </w:trPr>
        <w:tc>
          <w:tcPr>
            <w:tcW w:w="888" w:type="dxa"/>
            <w:vAlign w:val="center"/>
          </w:tcPr>
          <w:p>
            <w:pPr>
              <w:jc w:val="center"/>
              <w:rPr>
                <w:rFonts w:ascii="宋体" w:hAnsi="宋体"/>
              </w:rPr>
            </w:pPr>
            <w:r>
              <w:rPr>
                <w:rFonts w:ascii="宋体" w:hAnsi="宋体" w:hint="eastAsia"/>
              </w:rPr>
              <w:t>张海军</w:t>
            </w:r>
          </w:p>
        </w:tc>
        <w:tc>
          <w:tcPr>
            <w:tcW w:w="1478" w:type="dxa"/>
            <w:vAlign w:val="center"/>
          </w:tcPr>
          <w:p>
            <w:pPr>
              <w:jc w:val="center"/>
              <w:rPr>
                <w:rFonts w:ascii="宋体" w:hAnsi="宋体"/>
              </w:rPr>
            </w:pPr>
            <w:r>
              <w:rPr>
                <w:rFonts w:ascii="宋体" w:hAnsi="宋体" w:hint="eastAsia"/>
              </w:rPr>
              <w:t>董事</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52</w:t>
            </w:r>
          </w:p>
        </w:tc>
        <w:tc>
          <w:tcPr>
            <w:tcW w:w="1538" w:type="dxa"/>
            <w:vAlign w:val="center"/>
          </w:tcPr>
          <w:p>
            <w:pPr>
              <w:jc w:val="center"/>
              <w:rPr>
                <w:rFonts w:ascii="宋体" w:hAnsi="宋体"/>
              </w:rPr>
            </w:pPr>
            <w:r>
              <w:rPr>
                <w:rFonts w:ascii="宋体" w:hAnsi="宋体" w:hint="eastAsia"/>
              </w:rPr>
              <w:t>2</w:t>
            </w:r>
            <w:r>
              <w:rPr>
                <w:rFonts w:ascii="宋体" w:hAnsi="宋体"/>
              </w:rPr>
              <w:t>023-06-30</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hint="eastAsia"/>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cs="宋体" w:hint="eastAsia"/>
              </w:rPr>
              <w:t>-</w:t>
            </w:r>
          </w:p>
        </w:tc>
        <w:tc>
          <w:tcPr>
            <w:tcW w:w="1046" w:type="dxa"/>
            <w:vAlign w:val="center"/>
          </w:tcPr>
          <w:p>
            <w:pPr>
              <w:jc w:val="center"/>
              <w:rPr>
                <w:rFonts w:ascii="宋体" w:hAnsi="宋体" w:cstheme="minorBidi"/>
                <w:kern w:val="2"/>
                <w14:ligatures w14:val="standardContextual"/>
              </w:rPr>
            </w:pPr>
            <w:r>
              <w:rPr>
                <w:rFonts w:ascii="宋体" w:hAnsi="宋体" w:cstheme="minorBidi" w:hint="eastAsia"/>
                <w:kern w:val="2"/>
                <w14:ligatures w14:val="standardContextual"/>
              </w:rPr>
              <w:t>是</w:t>
            </w:r>
          </w:p>
        </w:tc>
      </w:tr>
      <w:tr>
        <w:trPr>
          <w:trHeight w:val="132"/>
        </w:trPr>
        <w:tc>
          <w:tcPr>
            <w:tcW w:w="888" w:type="dxa"/>
            <w:vAlign w:val="center"/>
          </w:tcPr>
          <w:p>
            <w:pPr>
              <w:jc w:val="center"/>
              <w:rPr>
                <w:rFonts w:ascii="宋体" w:hAnsi="宋体"/>
              </w:rPr>
            </w:pPr>
            <w:r>
              <w:rPr>
                <w:rFonts w:ascii="宋体" w:hAnsi="宋体" w:hint="eastAsia"/>
              </w:rPr>
              <w:t>苏</w:t>
            </w:r>
            <w:r>
              <w:rPr>
                <w:rFonts w:ascii="宋体" w:hAnsi="宋体"/>
              </w:rPr>
              <w:t xml:space="preserve">  </w:t>
            </w:r>
            <w:r>
              <w:rPr>
                <w:rFonts w:ascii="宋体" w:hAnsi="宋体" w:hint="eastAsia"/>
              </w:rPr>
              <w:t>力</w:t>
            </w:r>
          </w:p>
        </w:tc>
        <w:tc>
          <w:tcPr>
            <w:tcW w:w="1478" w:type="dxa"/>
            <w:vAlign w:val="center"/>
          </w:tcPr>
          <w:p>
            <w:pPr>
              <w:jc w:val="center"/>
              <w:rPr>
                <w:rFonts w:ascii="宋体" w:hAnsi="宋体"/>
              </w:rPr>
            </w:pPr>
            <w:r>
              <w:rPr>
                <w:rFonts w:ascii="宋体" w:hAnsi="宋体" w:hint="eastAsia"/>
              </w:rPr>
              <w:t>职工董事</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53</w:t>
            </w:r>
          </w:p>
        </w:tc>
        <w:tc>
          <w:tcPr>
            <w:tcW w:w="1538" w:type="dxa"/>
            <w:vAlign w:val="center"/>
          </w:tcPr>
          <w:p>
            <w:pPr>
              <w:jc w:val="center"/>
              <w:rPr>
                <w:rFonts w:ascii="宋体" w:hAnsi="宋体"/>
              </w:rPr>
            </w:pPr>
            <w:r>
              <w:rPr>
                <w:rFonts w:ascii="宋体" w:hAnsi="宋体" w:hint="eastAsia"/>
              </w:rPr>
              <w:t>2</w:t>
            </w:r>
            <w:r>
              <w:rPr>
                <w:rFonts w:ascii="宋体" w:hAnsi="宋体"/>
              </w:rPr>
              <w:t>023-04-19</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100,000</w:t>
            </w:r>
          </w:p>
        </w:tc>
        <w:tc>
          <w:tcPr>
            <w:tcW w:w="1276" w:type="dxa"/>
            <w:vAlign w:val="center"/>
          </w:tcPr>
          <w:p>
            <w:pPr>
              <w:jc w:val="right"/>
              <w:rPr>
                <w:rFonts w:ascii="宋体" w:hAnsi="宋体"/>
              </w:rPr>
            </w:pPr>
            <w:r>
              <w:rPr>
                <w:rFonts w:ascii="宋体" w:hAnsi="宋体" w:hint="eastAsia"/>
              </w:rPr>
              <w:t>100,000</w:t>
            </w:r>
          </w:p>
        </w:tc>
        <w:tc>
          <w:tcPr>
            <w:tcW w:w="709" w:type="dxa"/>
            <w:vAlign w:val="center"/>
          </w:tcPr>
          <w:p>
            <w:pPr>
              <w:jc w:val="center"/>
              <w:rPr>
                <w:rFonts w:ascii="宋体" w:hAnsi="宋体"/>
              </w:rPr>
            </w:pPr>
            <w:r>
              <w:rPr>
                <w:rFonts w:ascii="宋体" w:hAnsi="宋体" w:hint="eastAsia"/>
              </w:rPr>
              <w:t>H股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100.08</w:t>
            </w:r>
          </w:p>
        </w:tc>
        <w:tc>
          <w:tcPr>
            <w:tcW w:w="1046" w:type="dxa"/>
            <w:vAlign w:val="bottom"/>
          </w:tcPr>
          <w:sdt>
            <w:sdtPr>
              <w:rPr>
                <w:rFonts w:ascii="宋体" w:hAnsi="宋体"/>
                <w:sz w:val="20"/>
                <w:szCs w:val="20"/>
              </w:rPr>
              <w:alias w:val="董事、监事、高级管理人员是否在公司关联方获取报酬"/>
              <w:tag w:val="_GBC_ca79c4e139754ecd84ca3e60eb23b31d"/>
              <w:id w:val="741303449"/>
              <w:comboBox>
                <w:listItem w:displayText="是" w:value="是"/>
                <w:listItem w:displayText="否" w:value="否"/>
              </w:comboBox>
            </w:sdtPr>
            <w:sdtContent>
              <w:p>
                <w:pPr>
                  <w:jc w:val="center"/>
                  <w:rPr>
                    <w:rFonts w:ascii="宋体" w:hAnsi="宋体"/>
                  </w:rPr>
                </w:pPr>
                <w:r>
                  <w:rPr>
                    <w:rFonts w:ascii="宋体" w:hAnsi="宋体"/>
                  </w:rPr>
                  <w:t>否</w:t>
                </w:r>
              </w:p>
            </w:sdtContent>
          </w:sdt>
        </w:tc>
      </w:tr>
      <w:tr>
        <w:trPr>
          <w:trHeight w:val="130"/>
        </w:trPr>
        <w:tc>
          <w:tcPr>
            <w:tcW w:w="888" w:type="dxa"/>
            <w:vMerge w:val="restart"/>
            <w:vAlign w:val="center"/>
          </w:tcPr>
          <w:p>
            <w:pPr>
              <w:jc w:val="center"/>
              <w:rPr>
                <w:rFonts w:ascii="宋体" w:hAnsi="宋体"/>
              </w:rPr>
            </w:pPr>
            <w:r>
              <w:rPr>
                <w:rFonts w:ascii="宋体" w:hAnsi="宋体" w:hint="eastAsia"/>
              </w:rPr>
              <w:t>黄霄龙</w:t>
            </w:r>
          </w:p>
        </w:tc>
        <w:tc>
          <w:tcPr>
            <w:tcW w:w="1478" w:type="dxa"/>
            <w:vAlign w:val="center"/>
          </w:tcPr>
          <w:p>
            <w:pPr>
              <w:jc w:val="center"/>
              <w:rPr>
                <w:rFonts w:ascii="宋体" w:hAnsi="宋体"/>
              </w:rPr>
            </w:pPr>
            <w:r>
              <w:rPr>
                <w:rFonts w:ascii="宋体" w:hAnsi="宋体" w:hint="eastAsia"/>
              </w:rPr>
              <w:t>董事</w:t>
            </w:r>
          </w:p>
        </w:tc>
        <w:tc>
          <w:tcPr>
            <w:tcW w:w="627" w:type="dxa"/>
            <w:vMerge w:val="restart"/>
            <w:vAlign w:val="center"/>
          </w:tcPr>
          <w:p>
            <w:pPr>
              <w:jc w:val="center"/>
              <w:rPr>
                <w:rFonts w:ascii="宋体" w:hAnsi="宋体"/>
              </w:rPr>
            </w:pPr>
            <w:r>
              <w:rPr>
                <w:rFonts w:ascii="宋体" w:hAnsi="宋体" w:hint="eastAsia"/>
              </w:rPr>
              <w:t>男</w:t>
            </w:r>
          </w:p>
        </w:tc>
        <w:tc>
          <w:tcPr>
            <w:tcW w:w="567" w:type="dxa"/>
            <w:vMerge w:val="restart"/>
            <w:vAlign w:val="center"/>
          </w:tcPr>
          <w:p>
            <w:pPr>
              <w:jc w:val="center"/>
              <w:rPr>
                <w:rFonts w:ascii="宋体" w:hAnsi="宋体"/>
              </w:rPr>
            </w:pPr>
            <w:r>
              <w:rPr>
                <w:rFonts w:ascii="宋体" w:hAnsi="宋体" w:hint="eastAsia"/>
              </w:rPr>
              <w:t>48</w:t>
            </w:r>
          </w:p>
        </w:tc>
        <w:tc>
          <w:tcPr>
            <w:tcW w:w="1538" w:type="dxa"/>
            <w:vAlign w:val="center"/>
          </w:tcPr>
          <w:p>
            <w:pPr>
              <w:jc w:val="center"/>
              <w:rPr>
                <w:rFonts w:ascii="宋体" w:hAnsi="宋体"/>
              </w:rPr>
            </w:pPr>
            <w:r>
              <w:rPr>
                <w:rFonts w:ascii="宋体" w:hAnsi="宋体" w:hint="eastAsia"/>
              </w:rPr>
              <w:t>2021-08-20</w:t>
            </w:r>
          </w:p>
        </w:tc>
        <w:tc>
          <w:tcPr>
            <w:tcW w:w="1560" w:type="dxa"/>
            <w:vAlign w:val="center"/>
          </w:tcPr>
          <w:p>
            <w:pPr>
              <w:jc w:val="center"/>
              <w:rPr>
                <w:rFonts w:ascii="宋体" w:hAnsi="宋体"/>
              </w:rPr>
            </w:pPr>
            <w:r>
              <w:rPr>
                <w:rFonts w:ascii="宋体" w:hAnsi="宋体" w:hint="eastAsia"/>
              </w:rPr>
              <w:t>2026-06-30</w:t>
            </w:r>
          </w:p>
        </w:tc>
        <w:tc>
          <w:tcPr>
            <w:tcW w:w="1275" w:type="dxa"/>
            <w:vAlign w:val="center"/>
          </w:tcPr>
          <w:p>
            <w:pPr>
              <w:jc w:val="right"/>
              <w:rPr>
                <w:rFonts w:ascii="宋体" w:hAnsi="宋体"/>
              </w:rPr>
            </w:pPr>
            <w:r>
              <w:rPr>
                <w:rFonts w:ascii="宋体" w:hAnsi="宋体" w:hint="eastAsia"/>
              </w:rPr>
              <w:t>312,000</w:t>
            </w:r>
          </w:p>
        </w:tc>
        <w:tc>
          <w:tcPr>
            <w:tcW w:w="1276" w:type="dxa"/>
            <w:vAlign w:val="center"/>
          </w:tcPr>
          <w:p>
            <w:pPr>
              <w:jc w:val="right"/>
              <w:rPr>
                <w:rFonts w:ascii="宋体" w:hAnsi="宋体"/>
              </w:rPr>
            </w:pPr>
            <w:r>
              <w:rPr>
                <w:rFonts w:ascii="宋体" w:hAnsi="宋体" w:hint="eastAsia"/>
              </w:rPr>
              <w:t>312,000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Merge w:val="restart"/>
            <w:vAlign w:val="center"/>
          </w:tcPr>
          <w:p>
            <w:pPr>
              <w:jc w:val="right"/>
              <w:rPr>
                <w:rFonts w:ascii="宋体" w:hAnsi="宋体"/>
              </w:rPr>
            </w:pPr>
            <w:r>
              <w:rPr>
                <w:rFonts w:ascii="宋体" w:hAnsi="宋体" w:hint="eastAsia"/>
              </w:rPr>
              <w:t>97.49</w:t>
            </w:r>
          </w:p>
        </w:tc>
        <w:tc>
          <w:tcPr>
            <w:tcW w:w="1046" w:type="dxa"/>
            <w:vMerge w:val="restart"/>
            <w:vAlign w:val="center"/>
          </w:tcPr>
          <w:sdt>
            <w:sdtPr>
              <w:rPr>
                <w:rFonts w:ascii="宋体" w:hAnsi="宋体"/>
                <w:sz w:val="20"/>
                <w:szCs w:val="20"/>
              </w:rPr>
              <w:alias w:val="董事、监事、高级管理人员是否在公司关联方获取报酬"/>
              <w:tag w:val="_GBC_ca79c4e139754ecd84ca3e60eb23b31d"/>
              <w:id w:val="-1921475924"/>
              <w:comboBox>
                <w:listItem w:displayText="是" w:value="是"/>
                <w:listItem w:displayText="否" w:value="否"/>
              </w:comboBox>
            </w:sdtPr>
            <w:sdtContent>
              <w:p>
                <w:pPr>
                  <w:jc w:val="center"/>
                  <w:rPr>
                    <w:rFonts w:ascii="宋体" w:hAnsi="宋体"/>
                  </w:rPr>
                </w:pPr>
                <w:r>
                  <w:rPr>
                    <w:rFonts w:ascii="宋体" w:hAnsi="宋体"/>
                  </w:rPr>
                  <w:t>否</w:t>
                </w:r>
              </w:p>
            </w:sdtContent>
          </w:sdt>
        </w:tc>
      </w:tr>
      <w:tr>
        <w:trPr>
          <w:trHeight w:val="130"/>
        </w:trPr>
        <w:tc>
          <w:tcPr>
            <w:tcW w:w="888" w:type="dxa"/>
            <w:vMerge/>
            <w:vAlign w:val="center"/>
          </w:tcPr>
          <w:p>
            <w:pPr>
              <w:jc w:val="center"/>
              <w:rPr>
                <w:rFonts w:ascii="宋体" w:hAnsi="宋体"/>
              </w:rPr>
            </w:pPr>
          </w:p>
        </w:tc>
        <w:tc>
          <w:tcPr>
            <w:tcW w:w="1478" w:type="dxa"/>
            <w:vAlign w:val="center"/>
          </w:tcPr>
          <w:p>
            <w:pPr>
              <w:jc w:val="center"/>
              <w:rPr>
                <w:rFonts w:ascii="宋体" w:hAnsi="宋体"/>
              </w:rPr>
            </w:pPr>
            <w:r>
              <w:rPr>
                <w:rFonts w:ascii="宋体" w:hAnsi="宋体" w:hint="eastAsia"/>
              </w:rPr>
              <w:t>董事会秘书</w:t>
            </w:r>
          </w:p>
        </w:tc>
        <w:tc>
          <w:tcPr>
            <w:tcW w:w="627" w:type="dxa"/>
            <w:vMerge/>
            <w:vAlign w:val="center"/>
          </w:tcPr>
          <w:p>
            <w:pPr>
              <w:jc w:val="center"/>
              <w:rPr>
                <w:rFonts w:ascii="宋体" w:hAnsi="宋体"/>
              </w:rPr>
            </w:pPr>
          </w:p>
        </w:tc>
        <w:tc>
          <w:tcPr>
            <w:tcW w:w="567" w:type="dxa"/>
            <w:vMerge/>
            <w:vAlign w:val="center"/>
          </w:tcPr>
          <w:p>
            <w:pPr>
              <w:jc w:val="center"/>
              <w:rPr>
                <w:rFonts w:ascii="宋体" w:hAnsi="宋体"/>
              </w:rPr>
            </w:pPr>
          </w:p>
        </w:tc>
        <w:tc>
          <w:tcPr>
            <w:tcW w:w="1538" w:type="dxa"/>
            <w:vAlign w:val="center"/>
          </w:tcPr>
          <w:p>
            <w:pPr>
              <w:jc w:val="center"/>
              <w:rPr>
                <w:rFonts w:ascii="宋体" w:hAnsi="宋体"/>
              </w:rPr>
            </w:pPr>
            <w:r>
              <w:rPr>
                <w:rFonts w:ascii="宋体" w:hAnsi="宋体" w:hint="eastAsia"/>
              </w:rPr>
              <w:t>2021-07-30</w:t>
            </w:r>
          </w:p>
        </w:tc>
        <w:tc>
          <w:tcPr>
            <w:tcW w:w="1560" w:type="dxa"/>
            <w:vAlign w:val="center"/>
          </w:tcPr>
          <w:p>
            <w:pPr>
              <w:jc w:val="center"/>
              <w:rPr>
                <w:rFonts w:ascii="宋体" w:hAnsi="宋体"/>
              </w:rPr>
            </w:pPr>
            <w:r>
              <w:rPr>
                <w:rFonts w:ascii="宋体" w:hAnsi="宋体" w:hint="eastAsia"/>
              </w:rPr>
              <w:t>2026-06-30</w:t>
            </w:r>
          </w:p>
        </w:tc>
        <w:tc>
          <w:tcPr>
            <w:tcW w:w="1275" w:type="dxa"/>
            <w:vAlign w:val="center"/>
          </w:tcPr>
          <w:p>
            <w:pPr>
              <w:jc w:val="right"/>
              <w:rPr>
                <w:rFonts w:ascii="宋体" w:hAnsi="宋体"/>
              </w:rPr>
            </w:pPr>
            <w:r>
              <w:rPr>
                <w:rFonts w:ascii="宋体" w:hAnsi="宋体" w:hint="eastAsia"/>
              </w:rPr>
              <w:t>100</w:t>
            </w:r>
            <w:r>
              <w:rPr>
                <w:rFonts w:ascii="宋体" w:hAnsi="宋体"/>
              </w:rPr>
              <w:t>,000</w:t>
            </w:r>
          </w:p>
        </w:tc>
        <w:tc>
          <w:tcPr>
            <w:tcW w:w="1276" w:type="dxa"/>
            <w:vAlign w:val="center"/>
          </w:tcPr>
          <w:p>
            <w:pPr>
              <w:jc w:val="right"/>
              <w:rPr>
                <w:rFonts w:ascii="宋体" w:hAnsi="宋体"/>
              </w:rPr>
            </w:pPr>
            <w:r>
              <w:rPr>
                <w:rFonts w:ascii="宋体" w:hAnsi="宋体" w:hint="eastAsia"/>
              </w:rPr>
              <w:t>100,000</w:t>
            </w:r>
          </w:p>
        </w:tc>
        <w:tc>
          <w:tcPr>
            <w:tcW w:w="709" w:type="dxa"/>
            <w:vAlign w:val="center"/>
          </w:tcPr>
          <w:p>
            <w:pPr>
              <w:jc w:val="center"/>
              <w:rPr>
                <w:rFonts w:ascii="宋体" w:hAnsi="宋体"/>
              </w:rPr>
            </w:pPr>
            <w:r>
              <w:rPr>
                <w:rFonts w:ascii="宋体" w:hAnsi="宋体" w:hint="eastAsia"/>
              </w:rPr>
              <w:t>H股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Merge/>
            <w:vAlign w:val="center"/>
          </w:tcPr>
          <w:p>
            <w:pPr>
              <w:jc w:val="right"/>
              <w:rPr>
                <w:rFonts w:ascii="宋体" w:hAnsi="宋体"/>
              </w:rPr>
            </w:pPr>
          </w:p>
        </w:tc>
        <w:tc>
          <w:tcPr>
            <w:tcW w:w="1046" w:type="dxa"/>
            <w:vMerge/>
            <w:vAlign w:val="center"/>
          </w:tcPr>
          <w:p>
            <w:pPr>
              <w:jc w:val="center"/>
              <w:rPr>
                <w:rFonts w:ascii="宋体" w:hAnsi="宋体"/>
              </w:rPr>
            </w:pPr>
          </w:p>
        </w:tc>
      </w:tr>
      <w:tr>
        <w:trPr>
          <w:trHeight w:val="130"/>
        </w:trPr>
        <w:tc>
          <w:tcPr>
            <w:tcW w:w="888" w:type="dxa"/>
            <w:vAlign w:val="center"/>
          </w:tcPr>
          <w:p>
            <w:pPr>
              <w:jc w:val="center"/>
              <w:rPr>
                <w:rFonts w:ascii="宋体" w:hAnsi="宋体"/>
              </w:rPr>
            </w:pPr>
            <w:r>
              <w:rPr>
                <w:rFonts w:ascii="宋体" w:hAnsi="宋体" w:hint="eastAsia"/>
              </w:rPr>
              <w:t>朱利民</w:t>
            </w:r>
          </w:p>
        </w:tc>
        <w:tc>
          <w:tcPr>
            <w:tcW w:w="1478" w:type="dxa"/>
            <w:vAlign w:val="center"/>
          </w:tcPr>
          <w:p>
            <w:pPr>
              <w:jc w:val="center"/>
              <w:rPr>
                <w:rFonts w:ascii="宋体" w:hAnsi="宋体"/>
              </w:rPr>
            </w:pPr>
            <w:r>
              <w:rPr>
                <w:rFonts w:ascii="宋体" w:hAnsi="宋体" w:hint="eastAsia"/>
              </w:rPr>
              <w:t>独立董事</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74</w:t>
            </w:r>
          </w:p>
        </w:tc>
        <w:tc>
          <w:tcPr>
            <w:tcW w:w="1538" w:type="dxa"/>
            <w:vAlign w:val="center"/>
          </w:tcPr>
          <w:p>
            <w:pPr>
              <w:jc w:val="center"/>
              <w:rPr>
                <w:rFonts w:ascii="宋体" w:hAnsi="宋体"/>
              </w:rPr>
            </w:pPr>
            <w:r>
              <w:rPr>
                <w:rFonts w:ascii="宋体" w:hAnsi="宋体" w:hint="eastAsia"/>
              </w:rPr>
              <w:t>2020-06-19</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hint="eastAsia"/>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25</w:t>
            </w:r>
          </w:p>
        </w:tc>
        <w:tc>
          <w:tcPr>
            <w:tcW w:w="1046" w:type="dxa"/>
            <w:vAlign w:val="center"/>
          </w:tcPr>
          <w:sdt>
            <w:sdtPr>
              <w:rPr>
                <w:rFonts w:ascii="宋体" w:hAnsi="宋体"/>
                <w:sz w:val="20"/>
                <w:szCs w:val="20"/>
              </w:rPr>
              <w:alias w:val="董事、监事、高级管理人员是否在公司关联方获取报酬"/>
              <w:tag w:val="_GBC_ca79c4e139754ecd84ca3e60eb23b31d"/>
              <w:id w:val="474499289"/>
              <w:comboBox>
                <w:listItem w:displayText="是" w:value="是"/>
                <w:listItem w:displayText="否" w:value="否"/>
              </w:comboBox>
            </w:sdtPr>
            <w:sdtContent>
              <w:p>
                <w:pPr>
                  <w:jc w:val="center"/>
                  <w:rPr>
                    <w:rFonts w:ascii="宋体" w:hAnsi="宋体"/>
                  </w:rPr>
                </w:pPr>
                <w:r>
                  <w:rPr>
                    <w:rFonts w:ascii="宋体" w:hAnsi="宋体"/>
                  </w:rPr>
                  <w:t>否</w:t>
                </w:r>
              </w:p>
            </w:sdtContent>
          </w:sdt>
        </w:tc>
      </w:tr>
      <w:tr>
        <w:trPr>
          <w:trHeight w:val="130"/>
        </w:trPr>
        <w:tc>
          <w:tcPr>
            <w:tcW w:w="888" w:type="dxa"/>
            <w:vAlign w:val="center"/>
          </w:tcPr>
          <w:p>
            <w:pPr>
              <w:jc w:val="center"/>
              <w:rPr>
                <w:rFonts w:ascii="宋体" w:hAnsi="宋体"/>
              </w:rPr>
            </w:pPr>
            <w:r>
              <w:rPr>
                <w:rFonts w:ascii="宋体" w:hAnsi="宋体" w:hint="eastAsia"/>
              </w:rPr>
              <w:t>高井祥</w:t>
            </w:r>
          </w:p>
        </w:tc>
        <w:tc>
          <w:tcPr>
            <w:tcW w:w="1478" w:type="dxa"/>
            <w:vAlign w:val="center"/>
          </w:tcPr>
          <w:p>
            <w:pPr>
              <w:jc w:val="center"/>
              <w:rPr>
                <w:rFonts w:ascii="宋体" w:hAnsi="宋体"/>
              </w:rPr>
            </w:pPr>
            <w:r>
              <w:rPr>
                <w:rFonts w:ascii="宋体" w:hAnsi="宋体" w:hint="eastAsia"/>
              </w:rPr>
              <w:t>独立董事</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65</w:t>
            </w:r>
          </w:p>
        </w:tc>
        <w:tc>
          <w:tcPr>
            <w:tcW w:w="1538" w:type="dxa"/>
            <w:vAlign w:val="center"/>
          </w:tcPr>
          <w:p>
            <w:pPr>
              <w:jc w:val="center"/>
              <w:rPr>
                <w:rFonts w:ascii="宋体" w:hAnsi="宋体"/>
              </w:rPr>
            </w:pPr>
            <w:r>
              <w:rPr>
                <w:rFonts w:ascii="宋体" w:hAnsi="宋体" w:hint="eastAsia"/>
              </w:rPr>
              <w:t>2025-05-30</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hint="eastAsia"/>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14.58</w:t>
            </w:r>
          </w:p>
        </w:tc>
        <w:tc>
          <w:tcPr>
            <w:tcW w:w="1046" w:type="dxa"/>
            <w:vAlign w:val="center"/>
          </w:tcPr>
          <w:p>
            <w:pPr>
              <w:jc w:val="center"/>
              <w:rPr>
                <w:rFonts w:ascii="宋体" w:hAnsi="宋体"/>
              </w:rPr>
            </w:pPr>
            <w:r>
              <w:rPr>
                <w:rFonts w:ascii="宋体" w:hAnsi="宋体" w:hint="eastAsia"/>
              </w:rPr>
              <w:t>否</w:t>
            </w:r>
          </w:p>
        </w:tc>
      </w:tr>
      <w:tr>
        <w:trPr>
          <w:trHeight w:val="130"/>
        </w:trPr>
        <w:tc>
          <w:tcPr>
            <w:tcW w:w="888" w:type="dxa"/>
            <w:vAlign w:val="center"/>
          </w:tcPr>
          <w:p>
            <w:pPr>
              <w:jc w:val="center"/>
              <w:rPr>
                <w:rFonts w:ascii="宋体" w:hAnsi="宋体"/>
              </w:rPr>
            </w:pPr>
            <w:r>
              <w:rPr>
                <w:rFonts w:ascii="宋体" w:hAnsi="宋体" w:hint="eastAsia"/>
              </w:rPr>
              <w:t>胡家栋</w:t>
            </w:r>
          </w:p>
        </w:tc>
        <w:tc>
          <w:tcPr>
            <w:tcW w:w="1478" w:type="dxa"/>
            <w:vAlign w:val="center"/>
          </w:tcPr>
          <w:p>
            <w:pPr>
              <w:jc w:val="center"/>
              <w:rPr>
                <w:rFonts w:ascii="宋体" w:hAnsi="宋体"/>
              </w:rPr>
            </w:pPr>
            <w:r>
              <w:rPr>
                <w:rFonts w:ascii="宋体" w:hAnsi="宋体" w:hint="eastAsia"/>
              </w:rPr>
              <w:t>独立董事</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56</w:t>
            </w:r>
          </w:p>
        </w:tc>
        <w:tc>
          <w:tcPr>
            <w:tcW w:w="1538" w:type="dxa"/>
            <w:vAlign w:val="center"/>
          </w:tcPr>
          <w:p>
            <w:pPr>
              <w:jc w:val="center"/>
              <w:rPr>
                <w:rFonts w:ascii="宋体" w:hAnsi="宋体"/>
              </w:rPr>
            </w:pPr>
            <w:r>
              <w:rPr>
                <w:rFonts w:ascii="宋体" w:hAnsi="宋体" w:hint="eastAsia"/>
              </w:rPr>
              <w:t>2</w:t>
            </w:r>
            <w:r>
              <w:rPr>
                <w:rFonts w:ascii="宋体" w:hAnsi="宋体"/>
              </w:rPr>
              <w:t>023-06-30</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hint="eastAsia"/>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25</w:t>
            </w:r>
          </w:p>
        </w:tc>
        <w:tc>
          <w:tcPr>
            <w:tcW w:w="1046" w:type="dxa"/>
            <w:vAlign w:val="center"/>
          </w:tcPr>
          <w:sdt>
            <w:sdtPr>
              <w:rPr>
                <w:rFonts w:ascii="宋体" w:hAnsi="宋体"/>
                <w:sz w:val="20"/>
                <w:szCs w:val="20"/>
              </w:rPr>
              <w:alias w:val="董事、监事、高级管理人员是否在公司关联方获取报酬"/>
              <w:tag w:val="_GBC_ca79c4e139754ecd84ca3e60eb23b31d"/>
              <w:id w:val="-7451657"/>
              <w:comboBox>
                <w:listItem w:displayText="是" w:value="是"/>
                <w:listItem w:displayText="否" w:value="否"/>
              </w:comboBox>
            </w:sdtPr>
            <w:sdtContent>
              <w:p>
                <w:pPr>
                  <w:jc w:val="center"/>
                  <w:rPr>
                    <w:rFonts w:ascii="宋体" w:hAnsi="宋体"/>
                  </w:rPr>
                </w:pPr>
                <w:r>
                  <w:rPr>
                    <w:rFonts w:ascii="宋体" w:hAnsi="宋体"/>
                  </w:rPr>
                  <w:t>否</w:t>
                </w:r>
              </w:p>
            </w:sdtContent>
          </w:sdt>
        </w:tc>
      </w:tr>
      <w:tr>
        <w:trPr>
          <w:trHeight w:val="130"/>
        </w:trPr>
        <w:tc>
          <w:tcPr>
            <w:tcW w:w="888" w:type="dxa"/>
            <w:vAlign w:val="center"/>
          </w:tcPr>
          <w:p>
            <w:pPr>
              <w:jc w:val="center"/>
              <w:rPr>
                <w:rFonts w:ascii="宋体" w:hAnsi="宋体"/>
              </w:rPr>
            </w:pPr>
            <w:r>
              <w:rPr>
                <w:rFonts w:ascii="宋体" w:hAnsi="宋体" w:hint="eastAsia"/>
              </w:rPr>
              <w:t>朱</w:t>
            </w:r>
            <w:r>
              <w:rPr>
                <w:rFonts w:ascii="宋体" w:hAnsi="宋体"/>
              </w:rPr>
              <w:t xml:space="preserve">  </w:t>
            </w:r>
            <w:r>
              <w:rPr>
                <w:rFonts w:ascii="宋体" w:hAnsi="宋体" w:hint="eastAsia"/>
              </w:rPr>
              <w:t>睿</w:t>
            </w:r>
          </w:p>
        </w:tc>
        <w:tc>
          <w:tcPr>
            <w:tcW w:w="1478" w:type="dxa"/>
            <w:vAlign w:val="center"/>
          </w:tcPr>
          <w:p>
            <w:pPr>
              <w:jc w:val="center"/>
              <w:rPr>
                <w:rFonts w:ascii="宋体" w:hAnsi="宋体"/>
              </w:rPr>
            </w:pPr>
            <w:r>
              <w:rPr>
                <w:rFonts w:ascii="宋体" w:hAnsi="宋体" w:hint="eastAsia"/>
              </w:rPr>
              <w:t>独立董事</w:t>
            </w:r>
          </w:p>
        </w:tc>
        <w:tc>
          <w:tcPr>
            <w:tcW w:w="627" w:type="dxa"/>
            <w:vAlign w:val="center"/>
          </w:tcPr>
          <w:p>
            <w:pPr>
              <w:jc w:val="center"/>
              <w:rPr>
                <w:rFonts w:ascii="宋体" w:hAnsi="宋体"/>
              </w:rPr>
            </w:pPr>
            <w:r>
              <w:rPr>
                <w:rFonts w:ascii="宋体" w:hAnsi="宋体" w:hint="eastAsia"/>
              </w:rPr>
              <w:t>女</w:t>
            </w:r>
          </w:p>
        </w:tc>
        <w:tc>
          <w:tcPr>
            <w:tcW w:w="567" w:type="dxa"/>
            <w:vAlign w:val="center"/>
          </w:tcPr>
          <w:p>
            <w:pPr>
              <w:jc w:val="center"/>
              <w:rPr>
                <w:rFonts w:ascii="宋体" w:hAnsi="宋体"/>
              </w:rPr>
            </w:pPr>
            <w:r>
              <w:rPr>
                <w:rFonts w:ascii="宋体" w:hAnsi="宋体" w:hint="eastAsia"/>
              </w:rPr>
              <w:t>51</w:t>
            </w:r>
          </w:p>
        </w:tc>
        <w:tc>
          <w:tcPr>
            <w:tcW w:w="1538" w:type="dxa"/>
            <w:vAlign w:val="center"/>
          </w:tcPr>
          <w:p>
            <w:pPr>
              <w:jc w:val="center"/>
              <w:rPr>
                <w:rFonts w:ascii="宋体" w:hAnsi="宋体"/>
              </w:rPr>
            </w:pPr>
            <w:r>
              <w:rPr>
                <w:rFonts w:ascii="宋体" w:hAnsi="宋体" w:hint="eastAsia"/>
              </w:rPr>
              <w:t>2</w:t>
            </w:r>
            <w:r>
              <w:rPr>
                <w:rFonts w:ascii="宋体" w:hAnsi="宋体"/>
              </w:rPr>
              <w:t>023-06-30</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hint="eastAsia"/>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25</w:t>
            </w:r>
          </w:p>
        </w:tc>
        <w:tc>
          <w:tcPr>
            <w:tcW w:w="1046" w:type="dxa"/>
            <w:vAlign w:val="center"/>
          </w:tcPr>
          <w:sdt>
            <w:sdtPr>
              <w:rPr>
                <w:rFonts w:ascii="宋体" w:hAnsi="宋体"/>
                <w:sz w:val="20"/>
                <w:szCs w:val="20"/>
              </w:rPr>
              <w:alias w:val="董事、监事、高级管理人员是否在公司关联方获取报酬"/>
              <w:tag w:val="_GBC_ca79c4e139754ecd84ca3e60eb23b31d"/>
              <w:id w:val="-1681569754"/>
              <w:comboBox>
                <w:listItem w:displayText="是" w:value="是"/>
                <w:listItem w:displayText="否" w:value="否"/>
              </w:comboBox>
            </w:sdtPr>
            <w:sdtContent>
              <w:p>
                <w:pPr>
                  <w:jc w:val="center"/>
                  <w:rPr>
                    <w:rFonts w:ascii="宋体" w:hAnsi="宋体"/>
                  </w:rPr>
                </w:pPr>
                <w:r>
                  <w:rPr>
                    <w:rFonts w:ascii="宋体" w:hAnsi="宋体"/>
                  </w:rPr>
                  <w:t>否</w:t>
                </w:r>
              </w:p>
            </w:sdtContent>
          </w:sdt>
        </w:tc>
      </w:tr>
      <w:tr>
        <w:trPr>
          <w:trHeight w:val="257"/>
        </w:trPr>
        <w:tc>
          <w:tcPr>
            <w:tcW w:w="888" w:type="dxa"/>
            <w:vMerge w:val="restart"/>
            <w:vAlign w:val="center"/>
          </w:tcPr>
          <w:p>
            <w:pPr>
              <w:jc w:val="center"/>
              <w:rPr>
                <w:rFonts w:ascii="宋体" w:hAnsi="宋体"/>
              </w:rPr>
            </w:pPr>
            <w:r>
              <w:rPr>
                <w:rFonts w:ascii="宋体" w:hAnsi="宋体" w:hint="eastAsia"/>
              </w:rPr>
              <w:t>康  丹</w:t>
            </w:r>
          </w:p>
        </w:tc>
        <w:tc>
          <w:tcPr>
            <w:tcW w:w="1478" w:type="dxa"/>
            <w:vAlign w:val="center"/>
          </w:tcPr>
          <w:p>
            <w:pPr>
              <w:jc w:val="center"/>
              <w:rPr>
                <w:rFonts w:ascii="宋体" w:hAnsi="宋体"/>
              </w:rPr>
            </w:pPr>
            <w:r>
              <w:rPr>
                <w:rFonts w:ascii="宋体" w:hAnsi="宋体" w:hint="eastAsia"/>
              </w:rPr>
              <w:t>副总经理</w:t>
            </w:r>
          </w:p>
        </w:tc>
        <w:tc>
          <w:tcPr>
            <w:tcW w:w="627" w:type="dxa"/>
            <w:vMerge w:val="restart"/>
            <w:vAlign w:val="center"/>
          </w:tcPr>
          <w:p>
            <w:pPr>
              <w:jc w:val="center"/>
              <w:rPr>
                <w:rFonts w:ascii="宋体" w:hAnsi="宋体"/>
              </w:rPr>
            </w:pPr>
            <w:r>
              <w:rPr>
                <w:rFonts w:ascii="宋体" w:hAnsi="宋体" w:hint="eastAsia"/>
              </w:rPr>
              <w:t>男</w:t>
            </w:r>
          </w:p>
        </w:tc>
        <w:tc>
          <w:tcPr>
            <w:tcW w:w="567" w:type="dxa"/>
            <w:vMerge w:val="restart"/>
            <w:vAlign w:val="center"/>
          </w:tcPr>
          <w:p>
            <w:pPr>
              <w:jc w:val="center"/>
              <w:rPr>
                <w:rFonts w:ascii="宋体" w:hAnsi="宋体"/>
              </w:rPr>
            </w:pPr>
            <w:r>
              <w:rPr>
                <w:rFonts w:ascii="宋体" w:hAnsi="宋体" w:hint="eastAsia"/>
              </w:rPr>
              <w:t>46</w:t>
            </w:r>
          </w:p>
        </w:tc>
        <w:tc>
          <w:tcPr>
            <w:tcW w:w="1538" w:type="dxa"/>
            <w:vAlign w:val="center"/>
          </w:tcPr>
          <w:p>
            <w:pPr>
              <w:jc w:val="center"/>
              <w:rPr>
                <w:rFonts w:ascii="宋体" w:hAnsi="宋体"/>
              </w:rPr>
            </w:pPr>
            <w:r>
              <w:rPr>
                <w:rFonts w:ascii="宋体" w:hAnsi="宋体" w:hint="eastAsia"/>
              </w:rPr>
              <w:t>2025-04-08</w:t>
            </w:r>
          </w:p>
        </w:tc>
        <w:tc>
          <w:tcPr>
            <w:tcW w:w="1560" w:type="dxa"/>
            <w:vAlign w:val="center"/>
          </w:tcPr>
          <w:p>
            <w:pPr>
              <w:jc w:val="center"/>
              <w:rPr>
                <w:rFonts w:ascii="宋体" w:hAnsi="宋体"/>
              </w:rPr>
            </w:pPr>
            <w:r>
              <w:rPr>
                <w:rFonts w:ascii="宋体" w:hAnsi="宋体" w:hint="eastAsia"/>
              </w:rPr>
              <w:t>2026-06-30</w:t>
            </w:r>
          </w:p>
        </w:tc>
        <w:tc>
          <w:tcPr>
            <w:tcW w:w="1275" w:type="dxa"/>
            <w:vAlign w:val="center"/>
          </w:tcPr>
          <w:p>
            <w:pPr>
              <w:jc w:val="right"/>
              <w:rPr>
                <w:rFonts w:ascii="宋体" w:hAnsi="宋体"/>
              </w:rPr>
            </w:pPr>
            <w:r>
              <w:rPr>
                <w:rFonts w:ascii="宋体" w:hAnsi="宋体" w:hint="eastAsia"/>
                <w:color w:val="000000"/>
              </w:rPr>
              <w:t>235,560</w:t>
            </w:r>
          </w:p>
        </w:tc>
        <w:tc>
          <w:tcPr>
            <w:tcW w:w="1276" w:type="dxa"/>
            <w:vAlign w:val="center"/>
          </w:tcPr>
          <w:p>
            <w:pPr>
              <w:jc w:val="right"/>
              <w:rPr>
                <w:rFonts w:ascii="宋体" w:hAnsi="宋体"/>
              </w:rPr>
            </w:pPr>
            <w:r>
              <w:rPr>
                <w:rFonts w:ascii="宋体" w:hAnsi="宋体" w:hint="eastAsia"/>
                <w:color w:val="000000"/>
              </w:rPr>
              <w:t>235,560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Merge w:val="restart"/>
            <w:vAlign w:val="center"/>
          </w:tcPr>
          <w:p>
            <w:pPr>
              <w:jc w:val="right"/>
              <w:rPr>
                <w:rFonts w:ascii="宋体" w:hAnsi="宋体"/>
              </w:rPr>
            </w:pPr>
            <w:r>
              <w:rPr>
                <w:rFonts w:ascii="宋体" w:hAnsi="宋体" w:hint="eastAsia"/>
              </w:rPr>
              <w:t>102.66</w:t>
            </w:r>
          </w:p>
        </w:tc>
        <w:tc>
          <w:tcPr>
            <w:tcW w:w="1046" w:type="dxa"/>
            <w:vMerge w:val="restart"/>
            <w:vAlign w:val="center"/>
          </w:tcPr>
          <w:p>
            <w:pPr>
              <w:jc w:val="center"/>
              <w:rPr>
                <w:rFonts w:ascii="宋体" w:hAnsi="宋体"/>
              </w:rPr>
            </w:pPr>
            <w:r>
              <w:rPr>
                <w:rFonts w:ascii="宋体" w:hAnsi="宋体" w:hint="eastAsia"/>
              </w:rPr>
              <w:t>否</w:t>
            </w:r>
          </w:p>
        </w:tc>
      </w:tr>
      <w:tr>
        <w:trPr>
          <w:trHeight w:val="257"/>
        </w:trPr>
        <w:tc>
          <w:tcPr>
            <w:tcW w:w="888" w:type="dxa"/>
            <w:vMerge/>
            <w:vAlign w:val="center"/>
          </w:tcPr>
          <w:p>
            <w:pPr>
              <w:jc w:val="center"/>
              <w:rPr>
                <w:rFonts w:ascii="宋体" w:hAnsi="宋体"/>
              </w:rPr>
            </w:pPr>
          </w:p>
        </w:tc>
        <w:tc>
          <w:tcPr>
            <w:tcW w:w="1478" w:type="dxa"/>
            <w:vAlign w:val="center"/>
          </w:tcPr>
          <w:p>
            <w:pPr>
              <w:jc w:val="center"/>
              <w:rPr>
                <w:rFonts w:ascii="宋体" w:hAnsi="宋体"/>
              </w:rPr>
            </w:pPr>
            <w:r>
              <w:rPr>
                <w:rFonts w:ascii="宋体" w:hAnsi="宋体" w:hint="eastAsia"/>
              </w:rPr>
              <w:t>安全总监</w:t>
            </w:r>
          </w:p>
        </w:tc>
        <w:tc>
          <w:tcPr>
            <w:tcW w:w="627" w:type="dxa"/>
            <w:vMerge/>
            <w:vAlign w:val="center"/>
          </w:tcPr>
          <w:p>
            <w:pPr>
              <w:jc w:val="center"/>
              <w:rPr>
                <w:rFonts w:ascii="宋体" w:hAnsi="宋体"/>
              </w:rPr>
            </w:pPr>
          </w:p>
        </w:tc>
        <w:tc>
          <w:tcPr>
            <w:tcW w:w="567" w:type="dxa"/>
            <w:vMerge/>
            <w:vAlign w:val="center"/>
          </w:tcPr>
          <w:p>
            <w:pPr>
              <w:jc w:val="center"/>
              <w:rPr>
                <w:rFonts w:ascii="宋体" w:hAnsi="宋体"/>
              </w:rPr>
            </w:pPr>
          </w:p>
        </w:tc>
        <w:tc>
          <w:tcPr>
            <w:tcW w:w="1538" w:type="dxa"/>
            <w:vAlign w:val="center"/>
          </w:tcPr>
          <w:p>
            <w:pPr>
              <w:jc w:val="center"/>
              <w:rPr>
                <w:rFonts w:ascii="宋体" w:hAnsi="宋体"/>
              </w:rPr>
            </w:pPr>
            <w:r>
              <w:rPr>
                <w:rFonts w:ascii="宋体" w:hAnsi="宋体" w:hint="eastAsia"/>
              </w:rPr>
              <w:t>2022-04-29</w:t>
            </w:r>
          </w:p>
        </w:tc>
        <w:tc>
          <w:tcPr>
            <w:tcW w:w="1560" w:type="dxa"/>
            <w:vAlign w:val="center"/>
          </w:tcPr>
          <w:p>
            <w:pPr>
              <w:jc w:val="center"/>
              <w:rPr>
                <w:rFonts w:ascii="宋体" w:hAnsi="宋体"/>
              </w:rPr>
            </w:pPr>
            <w:r>
              <w:rPr>
                <w:rFonts w:ascii="宋体" w:hAnsi="宋体" w:hint="eastAsia"/>
              </w:rPr>
              <w:t>2</w:t>
            </w:r>
            <w:r>
              <w:rPr>
                <w:rFonts w:ascii="宋体" w:hAnsi="宋体"/>
              </w:rPr>
              <w:t>02</w:t>
            </w:r>
            <w:r>
              <w:rPr>
                <w:rFonts w:ascii="宋体" w:hAnsi="宋体" w:hint="eastAsia"/>
              </w:rPr>
              <w:t>5-04-08</w:t>
            </w:r>
          </w:p>
        </w:tc>
        <w:tc>
          <w:tcPr>
            <w:tcW w:w="1275" w:type="dxa"/>
            <w:vAlign w:val="center"/>
          </w:tcPr>
          <w:p>
            <w:pPr>
              <w:jc w:val="right"/>
              <w:rPr>
                <w:rFonts w:ascii="宋体" w:hAnsi="宋体"/>
              </w:rPr>
            </w:pPr>
            <w:r>
              <w:rPr>
                <w:rFonts w:ascii="宋体" w:hAnsi="宋体" w:hint="eastAsia"/>
              </w:rPr>
              <w:t>100</w:t>
            </w:r>
            <w:r>
              <w:rPr>
                <w:rFonts w:ascii="宋体" w:hAnsi="宋体"/>
              </w:rPr>
              <w:t>,000</w:t>
            </w:r>
          </w:p>
        </w:tc>
        <w:tc>
          <w:tcPr>
            <w:tcW w:w="1276" w:type="dxa"/>
            <w:vAlign w:val="center"/>
          </w:tcPr>
          <w:p>
            <w:pPr>
              <w:jc w:val="right"/>
              <w:rPr>
                <w:rFonts w:ascii="宋体" w:hAnsi="宋体"/>
              </w:rPr>
            </w:pPr>
            <w:r>
              <w:rPr>
                <w:rFonts w:ascii="宋体" w:hAnsi="宋体" w:hint="eastAsia"/>
              </w:rPr>
              <w:t>100,000</w:t>
            </w:r>
          </w:p>
        </w:tc>
        <w:tc>
          <w:tcPr>
            <w:tcW w:w="709" w:type="dxa"/>
            <w:vAlign w:val="center"/>
          </w:tcPr>
          <w:p>
            <w:pPr>
              <w:jc w:val="center"/>
              <w:rPr>
                <w:rFonts w:ascii="宋体" w:hAnsi="宋体"/>
              </w:rPr>
            </w:pPr>
            <w:r>
              <w:rPr>
                <w:rFonts w:ascii="宋体" w:hAnsi="宋体" w:hint="eastAsia"/>
              </w:rPr>
              <w:t>H股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Merge/>
            <w:vAlign w:val="center"/>
          </w:tcPr>
          <w:p>
            <w:pPr>
              <w:jc w:val="center"/>
              <w:rPr>
                <w:rFonts w:ascii="宋体" w:hAnsi="宋体"/>
              </w:rPr>
            </w:pPr>
          </w:p>
        </w:tc>
        <w:tc>
          <w:tcPr>
            <w:tcW w:w="1046" w:type="dxa"/>
            <w:vMerge/>
            <w:vAlign w:val="center"/>
          </w:tcPr>
          <w:p>
            <w:pPr>
              <w:jc w:val="center"/>
              <w:rPr>
                <w:rFonts w:ascii="宋体" w:hAnsi="宋体"/>
              </w:rPr>
            </w:pPr>
          </w:p>
        </w:tc>
      </w:tr>
      <w:tr>
        <w:trPr>
          <w:trHeight w:val="454"/>
        </w:trPr>
        <w:tc>
          <w:tcPr>
            <w:tcW w:w="888" w:type="dxa"/>
            <w:vMerge w:val="restart"/>
            <w:vAlign w:val="center"/>
          </w:tcPr>
          <w:p>
            <w:pPr>
              <w:jc w:val="center"/>
              <w:rPr>
                <w:rFonts w:ascii="宋体" w:hAnsi="宋体"/>
              </w:rPr>
            </w:pPr>
            <w:r>
              <w:rPr>
                <w:rFonts w:ascii="宋体" w:hAnsi="宋体" w:hint="eastAsia"/>
              </w:rPr>
              <w:t>张照允</w:t>
            </w:r>
          </w:p>
        </w:tc>
        <w:tc>
          <w:tcPr>
            <w:tcW w:w="1478" w:type="dxa"/>
            <w:vMerge w:val="restart"/>
            <w:vAlign w:val="center"/>
          </w:tcPr>
          <w:p>
            <w:pPr>
              <w:jc w:val="center"/>
              <w:rPr>
                <w:rFonts w:ascii="宋体" w:hAnsi="宋体"/>
              </w:rPr>
            </w:pPr>
            <w:r>
              <w:rPr>
                <w:rFonts w:ascii="宋体" w:hAnsi="宋体" w:hint="eastAsia"/>
              </w:rPr>
              <w:t>总工程师</w:t>
            </w:r>
          </w:p>
        </w:tc>
        <w:tc>
          <w:tcPr>
            <w:tcW w:w="627" w:type="dxa"/>
            <w:vMerge w:val="restart"/>
            <w:vAlign w:val="center"/>
          </w:tcPr>
          <w:p>
            <w:pPr>
              <w:jc w:val="center"/>
              <w:rPr>
                <w:rFonts w:ascii="宋体" w:hAnsi="宋体"/>
              </w:rPr>
            </w:pPr>
            <w:r>
              <w:rPr>
                <w:rFonts w:ascii="宋体" w:hAnsi="宋体" w:hint="eastAsia"/>
              </w:rPr>
              <w:t>男</w:t>
            </w:r>
          </w:p>
        </w:tc>
        <w:tc>
          <w:tcPr>
            <w:tcW w:w="567" w:type="dxa"/>
            <w:vMerge w:val="restart"/>
            <w:vAlign w:val="center"/>
          </w:tcPr>
          <w:p>
            <w:pPr>
              <w:jc w:val="center"/>
              <w:rPr>
                <w:rFonts w:ascii="宋体" w:hAnsi="宋体"/>
              </w:rPr>
            </w:pPr>
            <w:r>
              <w:rPr>
                <w:rFonts w:ascii="宋体" w:hAnsi="宋体" w:hint="eastAsia"/>
              </w:rPr>
              <w:t>45</w:t>
            </w:r>
          </w:p>
        </w:tc>
        <w:tc>
          <w:tcPr>
            <w:tcW w:w="1538" w:type="dxa"/>
            <w:vMerge w:val="restart"/>
            <w:vAlign w:val="center"/>
          </w:tcPr>
          <w:p>
            <w:pPr>
              <w:jc w:val="center"/>
              <w:rPr>
                <w:rFonts w:ascii="宋体" w:hAnsi="宋体"/>
              </w:rPr>
            </w:pPr>
            <w:r>
              <w:rPr>
                <w:rFonts w:ascii="宋体" w:hAnsi="宋体" w:hint="eastAsia"/>
              </w:rPr>
              <w:t>2024-06-21</w:t>
            </w:r>
          </w:p>
        </w:tc>
        <w:tc>
          <w:tcPr>
            <w:tcW w:w="1560" w:type="dxa"/>
            <w:vMerge w:val="restart"/>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color w:val="000000"/>
              </w:rPr>
              <w:t>196,560</w:t>
            </w:r>
          </w:p>
        </w:tc>
        <w:tc>
          <w:tcPr>
            <w:tcW w:w="1276" w:type="dxa"/>
            <w:vAlign w:val="center"/>
          </w:tcPr>
          <w:p>
            <w:pPr>
              <w:jc w:val="right"/>
              <w:rPr>
                <w:rFonts w:ascii="宋体" w:hAnsi="宋体"/>
              </w:rPr>
            </w:pPr>
            <w:r>
              <w:rPr>
                <w:rFonts w:ascii="宋体" w:hAnsi="宋体" w:hint="eastAsia"/>
                <w:color w:val="000000"/>
              </w:rPr>
              <w:t>196,560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Merge w:val="restart"/>
            <w:vAlign w:val="center"/>
          </w:tcPr>
          <w:p>
            <w:pPr>
              <w:jc w:val="right"/>
              <w:rPr>
                <w:rFonts w:ascii="宋体" w:hAnsi="宋体"/>
              </w:rPr>
            </w:pPr>
            <w:r>
              <w:rPr>
                <w:rFonts w:ascii="宋体" w:hAnsi="宋体" w:hint="eastAsia"/>
              </w:rPr>
              <w:t>115.85</w:t>
            </w:r>
          </w:p>
        </w:tc>
        <w:tc>
          <w:tcPr>
            <w:tcW w:w="1046" w:type="dxa"/>
            <w:vMerge w:val="restart"/>
            <w:vAlign w:val="center"/>
          </w:tcPr>
          <w:p>
            <w:pPr>
              <w:jc w:val="center"/>
              <w:rPr>
                <w:rFonts w:ascii="宋体" w:hAnsi="宋体"/>
              </w:rPr>
            </w:pPr>
            <w:r>
              <w:rPr>
                <w:rFonts w:ascii="宋体" w:hAnsi="宋体" w:hint="eastAsia"/>
              </w:rPr>
              <w:t>否</w:t>
            </w:r>
          </w:p>
        </w:tc>
      </w:tr>
      <w:tr>
        <w:trPr>
          <w:trHeight w:val="314"/>
        </w:trPr>
        <w:tc>
          <w:tcPr>
            <w:tcW w:w="888" w:type="dxa"/>
            <w:vMerge/>
            <w:vAlign w:val="center"/>
          </w:tcPr>
          <w:p>
            <w:pPr>
              <w:jc w:val="center"/>
              <w:rPr>
                <w:rFonts w:ascii="宋体" w:hAnsi="宋体"/>
              </w:rPr>
            </w:pPr>
          </w:p>
        </w:tc>
        <w:tc>
          <w:tcPr>
            <w:tcW w:w="1478" w:type="dxa"/>
            <w:vMerge/>
            <w:vAlign w:val="center"/>
          </w:tcPr>
          <w:p>
            <w:pPr>
              <w:jc w:val="center"/>
              <w:rPr>
                <w:rFonts w:ascii="宋体" w:hAnsi="宋体"/>
              </w:rPr>
            </w:pPr>
          </w:p>
        </w:tc>
        <w:tc>
          <w:tcPr>
            <w:tcW w:w="627" w:type="dxa"/>
            <w:vMerge/>
            <w:vAlign w:val="center"/>
          </w:tcPr>
          <w:p>
            <w:pPr>
              <w:jc w:val="center"/>
              <w:rPr>
                <w:rFonts w:ascii="宋体" w:hAnsi="宋体"/>
              </w:rPr>
            </w:pPr>
          </w:p>
        </w:tc>
        <w:tc>
          <w:tcPr>
            <w:tcW w:w="567" w:type="dxa"/>
            <w:vMerge/>
            <w:vAlign w:val="center"/>
          </w:tcPr>
          <w:p>
            <w:pPr>
              <w:jc w:val="center"/>
              <w:rPr>
                <w:rFonts w:ascii="宋体" w:hAnsi="宋体"/>
              </w:rPr>
            </w:pPr>
          </w:p>
        </w:tc>
        <w:tc>
          <w:tcPr>
            <w:tcW w:w="1538" w:type="dxa"/>
            <w:vMerge/>
            <w:vAlign w:val="center"/>
          </w:tcPr>
          <w:p>
            <w:pPr>
              <w:jc w:val="center"/>
              <w:rPr>
                <w:rFonts w:ascii="宋体" w:hAnsi="宋体"/>
              </w:rPr>
            </w:pPr>
          </w:p>
        </w:tc>
        <w:tc>
          <w:tcPr>
            <w:tcW w:w="1560" w:type="dxa"/>
            <w:vMerge/>
            <w:vAlign w:val="center"/>
          </w:tcPr>
          <w:p>
            <w:pPr>
              <w:jc w:val="center"/>
              <w:rPr>
                <w:rFonts w:ascii="宋体" w:hAnsi="宋体"/>
              </w:rPr>
            </w:pPr>
          </w:p>
        </w:tc>
        <w:tc>
          <w:tcPr>
            <w:tcW w:w="1275" w:type="dxa"/>
            <w:vAlign w:val="center"/>
          </w:tcPr>
          <w:p>
            <w:pPr>
              <w:jc w:val="right"/>
              <w:rPr>
                <w:rFonts w:ascii="宋体" w:hAnsi="宋体"/>
                <w:color w:val="000000"/>
              </w:rPr>
            </w:pPr>
            <w:r>
              <w:rPr>
                <w:rFonts w:ascii="宋体" w:hAnsi="宋体" w:hint="eastAsia"/>
              </w:rPr>
              <w:t>100</w:t>
            </w:r>
            <w:r>
              <w:rPr>
                <w:rFonts w:ascii="宋体" w:hAnsi="宋体"/>
              </w:rPr>
              <w:t>,000</w:t>
            </w:r>
          </w:p>
        </w:tc>
        <w:tc>
          <w:tcPr>
            <w:tcW w:w="1276" w:type="dxa"/>
            <w:vAlign w:val="center"/>
          </w:tcPr>
          <w:p>
            <w:pPr>
              <w:jc w:val="right"/>
              <w:rPr>
                <w:rFonts w:ascii="宋体" w:hAnsi="宋体"/>
                <w:color w:val="000000"/>
              </w:rPr>
            </w:pPr>
            <w:r>
              <w:rPr>
                <w:rFonts w:ascii="宋体" w:hAnsi="宋体" w:hint="eastAsia"/>
              </w:rPr>
              <w:t>100,000</w:t>
            </w:r>
          </w:p>
        </w:tc>
        <w:tc>
          <w:tcPr>
            <w:tcW w:w="709" w:type="dxa"/>
            <w:vAlign w:val="center"/>
          </w:tcPr>
          <w:p>
            <w:pPr>
              <w:jc w:val="center"/>
              <w:rPr>
                <w:rFonts w:ascii="宋体" w:hAnsi="宋体"/>
                <w:color w:val="000000"/>
              </w:rPr>
            </w:pPr>
            <w:r>
              <w:rPr>
                <w:rFonts w:ascii="宋体" w:hAnsi="宋体" w:hint="eastAsia"/>
              </w:rPr>
              <w:t>H股</w:t>
            </w:r>
          </w:p>
        </w:tc>
        <w:tc>
          <w:tcPr>
            <w:tcW w:w="1134" w:type="dxa"/>
            <w:vAlign w:val="center"/>
          </w:tcPr>
          <w:p>
            <w:pPr>
              <w:jc w:val="right"/>
              <w:rPr>
                <w:rFonts w:ascii="宋体" w:hAnsi="宋体"/>
                <w:color w:val="000000"/>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Merge/>
            <w:vAlign w:val="center"/>
          </w:tcPr>
          <w:p>
            <w:pPr>
              <w:jc w:val="right"/>
              <w:rPr>
                <w:rFonts w:ascii="宋体" w:hAnsi="宋体"/>
              </w:rPr>
            </w:pPr>
          </w:p>
        </w:tc>
        <w:tc>
          <w:tcPr>
            <w:tcW w:w="1046" w:type="dxa"/>
            <w:vMerge/>
            <w:vAlign w:val="center"/>
          </w:tcPr>
          <w:p>
            <w:pPr>
              <w:jc w:val="center"/>
              <w:rPr>
                <w:rFonts w:ascii="宋体" w:hAnsi="宋体"/>
              </w:rPr>
            </w:pPr>
          </w:p>
        </w:tc>
      </w:tr>
      <w:tr>
        <w:trPr>
          <w:trHeight w:val="278"/>
        </w:trPr>
        <w:tc>
          <w:tcPr>
            <w:tcW w:w="888" w:type="dxa"/>
            <w:vMerge w:val="restart"/>
            <w:vAlign w:val="center"/>
          </w:tcPr>
          <w:p>
            <w:pPr>
              <w:jc w:val="center"/>
              <w:rPr>
                <w:rFonts w:ascii="宋体" w:hAnsi="宋体"/>
              </w:rPr>
            </w:pPr>
            <w:r>
              <w:rPr>
                <w:rFonts w:ascii="宋体" w:hAnsi="宋体" w:hint="eastAsia"/>
              </w:rPr>
              <w:t>高春雷</w:t>
            </w:r>
          </w:p>
        </w:tc>
        <w:tc>
          <w:tcPr>
            <w:tcW w:w="1478" w:type="dxa"/>
            <w:vMerge w:val="restart"/>
            <w:vAlign w:val="center"/>
          </w:tcPr>
          <w:p>
            <w:pPr>
              <w:jc w:val="center"/>
              <w:rPr>
                <w:rFonts w:ascii="宋体" w:hAnsi="宋体"/>
              </w:rPr>
            </w:pPr>
            <w:r>
              <w:rPr>
                <w:rFonts w:ascii="宋体" w:hAnsi="宋体" w:hint="eastAsia"/>
              </w:rPr>
              <w:t>总工程师</w:t>
            </w:r>
          </w:p>
          <w:p>
            <w:pPr>
              <w:jc w:val="center"/>
              <w:rPr>
                <w:rFonts w:ascii="宋体" w:hAnsi="宋体"/>
              </w:rPr>
            </w:pPr>
            <w:r>
              <w:rPr>
                <w:rFonts w:ascii="宋体" w:hAnsi="宋体" w:hint="eastAsia"/>
              </w:rPr>
              <w:t>（化工）</w:t>
            </w:r>
          </w:p>
        </w:tc>
        <w:tc>
          <w:tcPr>
            <w:tcW w:w="627" w:type="dxa"/>
            <w:vMerge w:val="restart"/>
            <w:vAlign w:val="center"/>
          </w:tcPr>
          <w:p>
            <w:pPr>
              <w:jc w:val="center"/>
              <w:rPr>
                <w:rFonts w:ascii="宋体" w:hAnsi="宋体"/>
              </w:rPr>
            </w:pPr>
            <w:r>
              <w:rPr>
                <w:rFonts w:ascii="宋体" w:hAnsi="宋体" w:hint="eastAsia"/>
              </w:rPr>
              <w:t>男</w:t>
            </w:r>
          </w:p>
        </w:tc>
        <w:tc>
          <w:tcPr>
            <w:tcW w:w="567" w:type="dxa"/>
            <w:vMerge w:val="restart"/>
            <w:vAlign w:val="center"/>
          </w:tcPr>
          <w:p>
            <w:pPr>
              <w:jc w:val="center"/>
              <w:rPr>
                <w:rFonts w:ascii="宋体" w:hAnsi="宋体"/>
              </w:rPr>
            </w:pPr>
            <w:r>
              <w:rPr>
                <w:rFonts w:ascii="宋体" w:hAnsi="宋体" w:hint="eastAsia"/>
              </w:rPr>
              <w:t>44</w:t>
            </w:r>
          </w:p>
        </w:tc>
        <w:tc>
          <w:tcPr>
            <w:tcW w:w="1538" w:type="dxa"/>
            <w:vMerge w:val="restart"/>
            <w:vAlign w:val="center"/>
          </w:tcPr>
          <w:p>
            <w:pPr>
              <w:jc w:val="center"/>
              <w:rPr>
                <w:rFonts w:ascii="宋体" w:hAnsi="宋体"/>
              </w:rPr>
            </w:pPr>
            <w:r>
              <w:rPr>
                <w:rFonts w:ascii="宋体" w:hAnsi="宋体" w:hint="eastAsia"/>
              </w:rPr>
              <w:t>2</w:t>
            </w:r>
            <w:r>
              <w:rPr>
                <w:rFonts w:ascii="宋体" w:hAnsi="宋体"/>
              </w:rPr>
              <w:t>024-03-28</w:t>
            </w:r>
          </w:p>
        </w:tc>
        <w:tc>
          <w:tcPr>
            <w:tcW w:w="1560" w:type="dxa"/>
            <w:vMerge w:val="restart"/>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156,0</w:t>
            </w:r>
            <w:r>
              <w:rPr>
                <w:rFonts w:ascii="宋体" w:hAnsi="宋体"/>
              </w:rPr>
              <w:t>00</w:t>
            </w:r>
          </w:p>
        </w:tc>
        <w:tc>
          <w:tcPr>
            <w:tcW w:w="1276" w:type="dxa"/>
            <w:vAlign w:val="center"/>
          </w:tcPr>
          <w:p>
            <w:pPr>
              <w:jc w:val="right"/>
              <w:rPr>
                <w:rFonts w:ascii="宋体" w:hAnsi="宋体"/>
              </w:rPr>
            </w:pPr>
            <w:r>
              <w:rPr>
                <w:rFonts w:ascii="宋体" w:hAnsi="宋体" w:hint="eastAsia"/>
              </w:rPr>
              <w:t>156,000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Merge w:val="restart"/>
            <w:vAlign w:val="center"/>
          </w:tcPr>
          <w:p>
            <w:pPr>
              <w:jc w:val="right"/>
              <w:rPr>
                <w:rFonts w:ascii="宋体" w:hAnsi="宋体"/>
              </w:rPr>
            </w:pPr>
            <w:r>
              <w:rPr>
                <w:rFonts w:ascii="宋体" w:hAnsi="宋体" w:hint="eastAsia"/>
              </w:rPr>
              <w:t>94.27</w:t>
            </w:r>
          </w:p>
        </w:tc>
        <w:tc>
          <w:tcPr>
            <w:tcW w:w="1046" w:type="dxa"/>
            <w:vMerge w:val="restart"/>
            <w:vAlign w:val="center"/>
          </w:tcPr>
          <w:p>
            <w:pPr>
              <w:jc w:val="center"/>
              <w:rPr>
                <w:rFonts w:ascii="宋体" w:hAnsi="宋体"/>
              </w:rPr>
            </w:pPr>
            <w:r>
              <w:rPr>
                <w:rFonts w:ascii="宋体" w:hAnsi="宋体" w:hint="eastAsia"/>
              </w:rPr>
              <w:t>否</w:t>
            </w:r>
          </w:p>
        </w:tc>
      </w:tr>
      <w:tr>
        <w:trPr>
          <w:trHeight w:val="281"/>
        </w:trPr>
        <w:tc>
          <w:tcPr>
            <w:tcW w:w="888" w:type="dxa"/>
            <w:vMerge/>
            <w:vAlign w:val="center"/>
          </w:tcPr>
          <w:p>
            <w:pPr>
              <w:jc w:val="center"/>
              <w:rPr>
                <w:rFonts w:ascii="宋体" w:hAnsi="宋体"/>
              </w:rPr>
            </w:pPr>
          </w:p>
        </w:tc>
        <w:tc>
          <w:tcPr>
            <w:tcW w:w="1478" w:type="dxa"/>
            <w:vMerge/>
            <w:vAlign w:val="center"/>
          </w:tcPr>
          <w:p>
            <w:pPr>
              <w:jc w:val="center"/>
              <w:rPr>
                <w:rFonts w:ascii="宋体" w:hAnsi="宋体"/>
              </w:rPr>
            </w:pPr>
          </w:p>
        </w:tc>
        <w:tc>
          <w:tcPr>
            <w:tcW w:w="627" w:type="dxa"/>
            <w:vMerge/>
            <w:vAlign w:val="center"/>
          </w:tcPr>
          <w:p>
            <w:pPr>
              <w:jc w:val="center"/>
              <w:rPr>
                <w:rFonts w:ascii="宋体" w:hAnsi="宋体"/>
              </w:rPr>
            </w:pPr>
          </w:p>
        </w:tc>
        <w:tc>
          <w:tcPr>
            <w:tcW w:w="567" w:type="dxa"/>
            <w:vMerge/>
            <w:vAlign w:val="center"/>
          </w:tcPr>
          <w:p>
            <w:pPr>
              <w:jc w:val="center"/>
              <w:rPr>
                <w:rFonts w:ascii="宋体" w:hAnsi="宋体"/>
              </w:rPr>
            </w:pPr>
          </w:p>
        </w:tc>
        <w:tc>
          <w:tcPr>
            <w:tcW w:w="1538" w:type="dxa"/>
            <w:vMerge/>
            <w:vAlign w:val="center"/>
          </w:tcPr>
          <w:p>
            <w:pPr>
              <w:jc w:val="center"/>
              <w:rPr>
                <w:rFonts w:ascii="宋体" w:hAnsi="宋体"/>
              </w:rPr>
            </w:pPr>
          </w:p>
        </w:tc>
        <w:tc>
          <w:tcPr>
            <w:tcW w:w="1560" w:type="dxa"/>
            <w:vMerge/>
            <w:vAlign w:val="center"/>
          </w:tcPr>
          <w:p>
            <w:pPr>
              <w:jc w:val="center"/>
              <w:rPr>
                <w:rFonts w:ascii="宋体" w:hAnsi="宋体"/>
              </w:rPr>
            </w:pPr>
          </w:p>
        </w:tc>
        <w:tc>
          <w:tcPr>
            <w:tcW w:w="1275" w:type="dxa"/>
            <w:vAlign w:val="center"/>
          </w:tcPr>
          <w:p>
            <w:pPr>
              <w:jc w:val="right"/>
              <w:rPr>
                <w:rFonts w:ascii="宋体" w:hAnsi="宋体"/>
              </w:rPr>
            </w:pPr>
            <w:r>
              <w:rPr>
                <w:rFonts w:ascii="宋体" w:hAnsi="宋体" w:hint="eastAsia"/>
              </w:rPr>
              <w:t>100</w:t>
            </w:r>
            <w:r>
              <w:rPr>
                <w:rFonts w:ascii="宋体" w:hAnsi="宋体"/>
              </w:rPr>
              <w:t>,000</w:t>
            </w:r>
          </w:p>
        </w:tc>
        <w:tc>
          <w:tcPr>
            <w:tcW w:w="1276" w:type="dxa"/>
            <w:vAlign w:val="center"/>
          </w:tcPr>
          <w:p>
            <w:pPr>
              <w:jc w:val="right"/>
              <w:rPr>
                <w:rFonts w:ascii="宋体" w:hAnsi="宋体"/>
              </w:rPr>
            </w:pPr>
            <w:r>
              <w:rPr>
                <w:rFonts w:ascii="宋体" w:hAnsi="宋体" w:hint="eastAsia"/>
              </w:rPr>
              <w:t>100,000</w:t>
            </w:r>
          </w:p>
        </w:tc>
        <w:tc>
          <w:tcPr>
            <w:tcW w:w="709" w:type="dxa"/>
            <w:vAlign w:val="center"/>
          </w:tcPr>
          <w:p>
            <w:pPr>
              <w:jc w:val="center"/>
              <w:rPr>
                <w:rFonts w:ascii="宋体" w:hAnsi="宋体"/>
              </w:rPr>
            </w:pPr>
            <w:r>
              <w:rPr>
                <w:rFonts w:ascii="宋体" w:hAnsi="宋体" w:hint="eastAsia"/>
              </w:rPr>
              <w:t>H股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Merge/>
            <w:vAlign w:val="center"/>
          </w:tcPr>
          <w:p>
            <w:pPr>
              <w:jc w:val="right"/>
              <w:rPr>
                <w:rFonts w:ascii="宋体" w:hAnsi="宋体"/>
              </w:rPr>
            </w:pPr>
          </w:p>
        </w:tc>
        <w:tc>
          <w:tcPr>
            <w:tcW w:w="1046" w:type="dxa"/>
            <w:vMerge/>
            <w:vAlign w:val="center"/>
          </w:tcPr>
          <w:p>
            <w:pPr>
              <w:jc w:val="center"/>
              <w:rPr>
                <w:rFonts w:ascii="宋体" w:hAnsi="宋体"/>
              </w:rPr>
            </w:pPr>
          </w:p>
        </w:tc>
      </w:tr>
      <w:tr>
        <w:trPr>
          <w:trHeight w:val="130"/>
        </w:trPr>
        <w:tc>
          <w:tcPr>
            <w:tcW w:w="888" w:type="dxa"/>
            <w:vAlign w:val="center"/>
          </w:tcPr>
          <w:p>
            <w:pPr>
              <w:jc w:val="center"/>
              <w:rPr>
                <w:rFonts w:ascii="宋体" w:hAnsi="宋体"/>
              </w:rPr>
            </w:pPr>
            <w:r>
              <w:rPr>
                <w:rFonts w:ascii="宋体" w:hAnsi="宋体" w:hint="eastAsia"/>
              </w:rPr>
              <w:t>岳  宁</w:t>
            </w:r>
          </w:p>
        </w:tc>
        <w:tc>
          <w:tcPr>
            <w:tcW w:w="1478" w:type="dxa"/>
            <w:vAlign w:val="center"/>
          </w:tcPr>
          <w:p>
            <w:pPr>
              <w:jc w:val="center"/>
              <w:rPr>
                <w:rFonts w:ascii="宋体" w:hAnsi="宋体"/>
              </w:rPr>
            </w:pPr>
            <w:r>
              <w:rPr>
                <w:rFonts w:ascii="宋体" w:hAnsi="宋体" w:hint="eastAsia"/>
              </w:rPr>
              <w:t>副总经理</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47</w:t>
            </w:r>
          </w:p>
        </w:tc>
        <w:tc>
          <w:tcPr>
            <w:tcW w:w="1538" w:type="dxa"/>
            <w:vAlign w:val="center"/>
          </w:tcPr>
          <w:p>
            <w:pPr>
              <w:jc w:val="center"/>
              <w:rPr>
                <w:rFonts w:ascii="宋体" w:hAnsi="宋体"/>
              </w:rPr>
            </w:pPr>
            <w:r>
              <w:rPr>
                <w:rFonts w:ascii="宋体" w:hAnsi="宋体" w:hint="eastAsia"/>
              </w:rPr>
              <w:t>2</w:t>
            </w:r>
            <w:r>
              <w:rPr>
                <w:rFonts w:ascii="宋体" w:hAnsi="宋体"/>
              </w:rPr>
              <w:t>023-10-27</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hint="eastAsia"/>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407.85</w:t>
            </w:r>
          </w:p>
        </w:tc>
        <w:tc>
          <w:tcPr>
            <w:tcW w:w="1046" w:type="dxa"/>
            <w:vAlign w:val="center"/>
          </w:tcPr>
          <w:p>
            <w:pPr>
              <w:jc w:val="center"/>
              <w:rPr>
                <w:rFonts w:ascii="宋体" w:hAnsi="宋体"/>
              </w:rPr>
            </w:pPr>
            <w:r>
              <w:rPr>
                <w:rFonts w:ascii="宋体" w:hAnsi="宋体" w:hint="eastAsia"/>
              </w:rPr>
              <w:t>否</w:t>
            </w:r>
          </w:p>
        </w:tc>
      </w:tr>
      <w:tr>
        <w:trPr>
          <w:trHeight w:val="130"/>
        </w:trPr>
        <w:tc>
          <w:tcPr>
            <w:tcW w:w="888" w:type="dxa"/>
            <w:vAlign w:val="center"/>
          </w:tcPr>
          <w:p>
            <w:pPr>
              <w:jc w:val="center"/>
              <w:rPr>
                <w:rFonts w:ascii="宋体" w:hAnsi="宋体"/>
              </w:rPr>
            </w:pPr>
            <w:r>
              <w:rPr>
                <w:rFonts w:ascii="宋体" w:hAnsi="宋体" w:hint="eastAsia"/>
              </w:rPr>
              <w:t>赵治国</w:t>
            </w:r>
          </w:p>
        </w:tc>
        <w:tc>
          <w:tcPr>
            <w:tcW w:w="1478" w:type="dxa"/>
            <w:vAlign w:val="center"/>
          </w:tcPr>
          <w:p>
            <w:pPr>
              <w:jc w:val="center"/>
              <w:rPr>
                <w:rFonts w:ascii="宋体" w:hAnsi="宋体"/>
              </w:rPr>
            </w:pPr>
            <w:r>
              <w:rPr>
                <w:rFonts w:ascii="宋体" w:hAnsi="宋体" w:hint="eastAsia"/>
              </w:rPr>
              <w:t>财务总监</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47</w:t>
            </w:r>
          </w:p>
        </w:tc>
        <w:tc>
          <w:tcPr>
            <w:tcW w:w="1538" w:type="dxa"/>
            <w:vAlign w:val="center"/>
          </w:tcPr>
          <w:p>
            <w:pPr>
              <w:jc w:val="center"/>
              <w:rPr>
                <w:rFonts w:ascii="宋体" w:hAnsi="宋体"/>
              </w:rPr>
            </w:pPr>
            <w:r>
              <w:rPr>
                <w:rFonts w:ascii="宋体" w:hAnsi="宋体" w:hint="eastAsia"/>
              </w:rPr>
              <w:t>2</w:t>
            </w:r>
            <w:r>
              <w:rPr>
                <w:rFonts w:ascii="宋体" w:hAnsi="宋体"/>
              </w:rPr>
              <w:t>023-10-27</w:t>
            </w:r>
          </w:p>
        </w:tc>
        <w:tc>
          <w:tcPr>
            <w:tcW w:w="1560" w:type="dxa"/>
            <w:vAlign w:val="center"/>
          </w:tcPr>
          <w:p>
            <w:pPr>
              <w:jc w:val="center"/>
              <w:rPr>
                <w:rFonts w:ascii="宋体" w:hAnsi="宋体"/>
              </w:rPr>
            </w:pPr>
            <w:r>
              <w:rPr>
                <w:rFonts w:ascii="宋体" w:hAnsi="宋体" w:hint="eastAsia"/>
              </w:rPr>
              <w:t>2026-06-30</w:t>
            </w:r>
          </w:p>
        </w:tc>
        <w:tc>
          <w:tcPr>
            <w:tcW w:w="1275" w:type="dxa"/>
            <w:vAlign w:val="center"/>
          </w:tcPr>
          <w:p>
            <w:pPr>
              <w:jc w:val="right"/>
              <w:rPr>
                <w:rFonts w:ascii="宋体" w:hAnsi="宋体"/>
              </w:rPr>
            </w:pPr>
            <w:r>
              <w:rPr>
                <w:rFonts w:ascii="宋体" w:hAnsi="宋体" w:hint="eastAsia"/>
              </w:rPr>
              <w:t>100,000</w:t>
            </w:r>
          </w:p>
        </w:tc>
        <w:tc>
          <w:tcPr>
            <w:tcW w:w="1276" w:type="dxa"/>
            <w:vAlign w:val="center"/>
          </w:tcPr>
          <w:p>
            <w:pPr>
              <w:jc w:val="right"/>
              <w:rPr>
                <w:rFonts w:ascii="宋体" w:hAnsi="宋体"/>
              </w:rPr>
            </w:pPr>
            <w:r>
              <w:rPr>
                <w:rFonts w:ascii="宋体" w:hAnsi="宋体" w:hint="eastAsia"/>
              </w:rPr>
              <w:t>100,000</w:t>
            </w:r>
          </w:p>
        </w:tc>
        <w:tc>
          <w:tcPr>
            <w:tcW w:w="709" w:type="dxa"/>
            <w:vAlign w:val="center"/>
          </w:tcPr>
          <w:p>
            <w:pPr>
              <w:jc w:val="center"/>
              <w:rPr>
                <w:rFonts w:ascii="宋体" w:hAnsi="宋体"/>
              </w:rPr>
            </w:pPr>
            <w:r>
              <w:rPr>
                <w:rFonts w:ascii="宋体" w:hAnsi="宋体" w:hint="eastAsia"/>
              </w:rPr>
              <w:t>H股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87.48</w:t>
            </w:r>
          </w:p>
        </w:tc>
        <w:tc>
          <w:tcPr>
            <w:tcW w:w="1046" w:type="dxa"/>
            <w:vAlign w:val="center"/>
          </w:tcPr>
          <w:p>
            <w:pPr>
              <w:jc w:val="center"/>
              <w:rPr>
                <w:rFonts w:ascii="宋体" w:hAnsi="宋体"/>
              </w:rPr>
            </w:pPr>
            <w:r>
              <w:rPr>
                <w:rFonts w:ascii="宋体" w:hAnsi="宋体" w:hint="eastAsia"/>
              </w:rPr>
              <w:t>否</w:t>
            </w:r>
          </w:p>
        </w:tc>
      </w:tr>
      <w:tr>
        <w:trPr>
          <w:trHeight w:val="130"/>
        </w:trPr>
        <w:tc>
          <w:tcPr>
            <w:tcW w:w="888" w:type="dxa"/>
            <w:vAlign w:val="center"/>
          </w:tcPr>
          <w:p>
            <w:pPr>
              <w:jc w:val="center"/>
              <w:rPr>
                <w:rFonts w:ascii="宋体" w:hAnsi="宋体"/>
              </w:rPr>
            </w:pPr>
            <w:r>
              <w:rPr>
                <w:rFonts w:ascii="宋体" w:hAnsi="宋体" w:hint="eastAsia"/>
              </w:rPr>
              <w:t>徐长厚</w:t>
            </w:r>
          </w:p>
        </w:tc>
        <w:tc>
          <w:tcPr>
            <w:tcW w:w="1478" w:type="dxa"/>
            <w:vAlign w:val="center"/>
          </w:tcPr>
          <w:p>
            <w:pPr>
              <w:jc w:val="center"/>
              <w:rPr>
                <w:rFonts w:ascii="宋体" w:hAnsi="宋体"/>
              </w:rPr>
            </w:pPr>
            <w:r>
              <w:rPr>
                <w:rFonts w:ascii="宋体" w:hAnsi="宋体" w:hint="eastAsia"/>
              </w:rPr>
              <w:t>副总经理</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46</w:t>
            </w:r>
          </w:p>
        </w:tc>
        <w:tc>
          <w:tcPr>
            <w:tcW w:w="1538" w:type="dxa"/>
            <w:vAlign w:val="center"/>
          </w:tcPr>
          <w:p>
            <w:pPr>
              <w:jc w:val="center"/>
              <w:rPr>
                <w:rFonts w:ascii="宋体" w:hAnsi="宋体"/>
              </w:rPr>
            </w:pPr>
            <w:r>
              <w:rPr>
                <w:rFonts w:ascii="宋体" w:hAnsi="宋体" w:hint="eastAsia"/>
              </w:rPr>
              <w:t>2025-04-08</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95,290</w:t>
            </w:r>
          </w:p>
        </w:tc>
        <w:tc>
          <w:tcPr>
            <w:tcW w:w="1276" w:type="dxa"/>
            <w:vAlign w:val="center"/>
          </w:tcPr>
          <w:p>
            <w:pPr>
              <w:jc w:val="right"/>
              <w:rPr>
                <w:rFonts w:ascii="宋体" w:hAnsi="宋体"/>
              </w:rPr>
            </w:pPr>
            <w:r>
              <w:rPr>
                <w:rFonts w:ascii="宋体" w:hAnsi="宋体" w:hint="eastAsia"/>
              </w:rPr>
              <w:t>108,390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13,100</w:t>
            </w:r>
          </w:p>
        </w:tc>
        <w:tc>
          <w:tcPr>
            <w:tcW w:w="786" w:type="dxa"/>
            <w:vAlign w:val="center"/>
          </w:tcPr>
          <w:p>
            <w:pPr>
              <w:jc w:val="center"/>
              <w:rPr>
                <w:rFonts w:ascii="宋体" w:hAnsi="宋体"/>
              </w:rPr>
            </w:pPr>
            <w:r>
              <w:rPr>
                <w:rFonts w:ascii="宋体" w:hAnsi="宋体" w:hint="eastAsia"/>
              </w:rPr>
              <w:t>增持</w:t>
            </w:r>
          </w:p>
        </w:tc>
        <w:tc>
          <w:tcPr>
            <w:tcW w:w="1198" w:type="dxa"/>
            <w:vAlign w:val="center"/>
          </w:tcPr>
          <w:p>
            <w:pPr>
              <w:jc w:val="right"/>
              <w:rPr>
                <w:rFonts w:ascii="宋体" w:hAnsi="宋体"/>
              </w:rPr>
            </w:pPr>
            <w:r>
              <w:rPr>
                <w:rFonts w:ascii="宋体" w:hAnsi="宋体" w:hint="eastAsia"/>
              </w:rPr>
              <w:t>37.93</w:t>
            </w:r>
          </w:p>
        </w:tc>
        <w:tc>
          <w:tcPr>
            <w:tcW w:w="1046" w:type="dxa"/>
            <w:vAlign w:val="center"/>
          </w:tcPr>
          <w:p>
            <w:pPr>
              <w:jc w:val="center"/>
              <w:rPr>
                <w:rFonts w:ascii="宋体" w:hAnsi="宋体"/>
              </w:rPr>
            </w:pPr>
            <w:r>
              <w:rPr>
                <w:rFonts w:ascii="宋体" w:hAnsi="宋体" w:hint="eastAsia"/>
              </w:rPr>
              <w:t>否</w:t>
            </w:r>
          </w:p>
        </w:tc>
      </w:tr>
      <w:tr>
        <w:trPr>
          <w:trHeight w:val="130"/>
        </w:trPr>
        <w:tc>
          <w:tcPr>
            <w:tcW w:w="888" w:type="dxa"/>
            <w:vAlign w:val="center"/>
          </w:tcPr>
          <w:p>
            <w:pPr>
              <w:jc w:val="center"/>
              <w:rPr>
                <w:rFonts w:ascii="宋体" w:hAnsi="宋体"/>
              </w:rPr>
            </w:pPr>
            <w:r>
              <w:rPr>
                <w:rFonts w:ascii="宋体" w:hAnsi="宋体" w:hint="eastAsia"/>
              </w:rPr>
              <w:t>齐俊铭</w:t>
            </w:r>
          </w:p>
        </w:tc>
        <w:tc>
          <w:tcPr>
            <w:tcW w:w="1478" w:type="dxa"/>
            <w:vAlign w:val="center"/>
          </w:tcPr>
          <w:p>
            <w:pPr>
              <w:jc w:val="center"/>
              <w:rPr>
                <w:rFonts w:ascii="宋体" w:hAnsi="宋体"/>
              </w:rPr>
            </w:pPr>
            <w:r>
              <w:rPr>
                <w:rFonts w:ascii="宋体" w:hAnsi="宋体" w:hint="eastAsia"/>
              </w:rPr>
              <w:t>安全总监</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51</w:t>
            </w:r>
          </w:p>
        </w:tc>
        <w:tc>
          <w:tcPr>
            <w:tcW w:w="1538" w:type="dxa"/>
            <w:vAlign w:val="center"/>
          </w:tcPr>
          <w:p>
            <w:pPr>
              <w:jc w:val="center"/>
              <w:rPr>
                <w:rFonts w:ascii="宋体" w:hAnsi="宋体"/>
              </w:rPr>
            </w:pPr>
            <w:r>
              <w:rPr>
                <w:rFonts w:ascii="宋体" w:hAnsi="宋体" w:hint="eastAsia"/>
              </w:rPr>
              <w:t>2025-04-08</w:t>
            </w:r>
          </w:p>
        </w:tc>
        <w:tc>
          <w:tcPr>
            <w:tcW w:w="1560" w:type="dxa"/>
            <w:vAlign w:val="center"/>
          </w:tcPr>
          <w:p>
            <w:pPr>
              <w:jc w:val="center"/>
              <w:rPr>
                <w:rFonts w:ascii="宋体" w:hAnsi="宋体"/>
              </w:rPr>
            </w:pPr>
            <w:r>
              <w:rPr>
                <w:rFonts w:ascii="宋体" w:hAnsi="宋体" w:hint="eastAsia"/>
              </w:rPr>
              <w:t>2026-06-30</w:t>
            </w:r>
          </w:p>
        </w:tc>
        <w:tc>
          <w:tcPr>
            <w:tcW w:w="1275" w:type="dxa"/>
            <w:vAlign w:val="center"/>
          </w:tcPr>
          <w:p>
            <w:pPr>
              <w:jc w:val="right"/>
              <w:rPr>
                <w:rFonts w:ascii="宋体" w:hAnsi="宋体"/>
              </w:rPr>
            </w:pPr>
            <w:r>
              <w:rPr>
                <w:rFonts w:ascii="宋体" w:hAnsi="宋体" w:hint="eastAsia"/>
              </w:rPr>
              <w:t>242,575</w:t>
            </w:r>
          </w:p>
        </w:tc>
        <w:tc>
          <w:tcPr>
            <w:tcW w:w="1276" w:type="dxa"/>
            <w:vAlign w:val="center"/>
          </w:tcPr>
          <w:p>
            <w:pPr>
              <w:jc w:val="right"/>
              <w:rPr>
                <w:rFonts w:ascii="宋体" w:hAnsi="宋体"/>
              </w:rPr>
            </w:pPr>
            <w:r>
              <w:rPr>
                <w:rFonts w:ascii="宋体" w:hAnsi="宋体" w:hint="eastAsia"/>
              </w:rPr>
              <w:t>53,040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-189,535</w:t>
            </w:r>
          </w:p>
        </w:tc>
        <w:tc>
          <w:tcPr>
            <w:tcW w:w="786" w:type="dxa"/>
            <w:vAlign w:val="center"/>
          </w:tcPr>
          <w:p>
            <w:pPr>
              <w:jc w:val="center"/>
              <w:rPr>
                <w:rFonts w:ascii="宋体" w:hAnsi="宋体"/>
              </w:rPr>
            </w:pPr>
            <w:r>
              <w:rPr>
                <w:rFonts w:ascii="宋体" w:hAnsi="宋体" w:hint="eastAsia"/>
              </w:rPr>
              <w:t>减持</w:t>
            </w:r>
          </w:p>
        </w:tc>
        <w:tc>
          <w:tcPr>
            <w:tcW w:w="1198" w:type="dxa"/>
            <w:vAlign w:val="center"/>
          </w:tcPr>
          <w:p>
            <w:pPr>
              <w:jc w:val="right"/>
              <w:rPr>
                <w:rFonts w:ascii="宋体" w:hAnsi="宋体"/>
              </w:rPr>
            </w:pPr>
            <w:r>
              <w:rPr>
                <w:rFonts w:ascii="宋体" w:hAnsi="宋体" w:hint="eastAsia"/>
              </w:rPr>
              <w:t>38.64</w:t>
            </w:r>
          </w:p>
        </w:tc>
        <w:tc>
          <w:tcPr>
            <w:tcW w:w="1046" w:type="dxa"/>
            <w:vAlign w:val="center"/>
          </w:tcPr>
          <w:p>
            <w:pPr>
              <w:jc w:val="center"/>
              <w:rPr>
                <w:rFonts w:ascii="宋体" w:hAnsi="宋体"/>
              </w:rPr>
            </w:pPr>
            <w:r>
              <w:rPr>
                <w:rFonts w:ascii="宋体" w:hAnsi="宋体" w:hint="eastAsia"/>
              </w:rPr>
              <w:t>否</w:t>
            </w:r>
          </w:p>
        </w:tc>
      </w:tr>
      <w:tr>
        <w:trPr>
          <w:trHeight w:val="130"/>
        </w:trPr>
        <w:tc>
          <w:tcPr>
            <w:tcW w:w="888" w:type="dxa"/>
            <w:vAlign w:val="center"/>
          </w:tcPr>
          <w:p>
            <w:pPr>
              <w:jc w:val="center"/>
              <w:rPr>
                <w:rFonts w:ascii="宋体" w:hAnsi="宋体"/>
              </w:rPr>
            </w:pPr>
            <w:r>
              <w:rPr>
                <w:rFonts w:ascii="宋体" w:hAnsi="宋体" w:hint="eastAsia"/>
              </w:rPr>
              <w:t>李建忠</w:t>
            </w:r>
          </w:p>
        </w:tc>
        <w:tc>
          <w:tcPr>
            <w:tcW w:w="1478" w:type="dxa"/>
            <w:vAlign w:val="center"/>
          </w:tcPr>
          <w:p>
            <w:pPr>
              <w:jc w:val="center"/>
              <w:rPr>
                <w:rFonts w:ascii="宋体" w:hAnsi="宋体"/>
              </w:rPr>
            </w:pPr>
            <w:r>
              <w:rPr>
                <w:rFonts w:ascii="宋体" w:hAnsi="宋体" w:hint="eastAsia"/>
              </w:rPr>
              <w:t>副总经理</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44</w:t>
            </w:r>
          </w:p>
        </w:tc>
        <w:tc>
          <w:tcPr>
            <w:tcW w:w="1538" w:type="dxa"/>
            <w:vAlign w:val="center"/>
          </w:tcPr>
          <w:p>
            <w:pPr>
              <w:jc w:val="center"/>
              <w:rPr>
                <w:rFonts w:ascii="宋体" w:hAnsi="宋体"/>
              </w:rPr>
            </w:pPr>
            <w:r>
              <w:rPr>
                <w:rFonts w:ascii="宋体" w:hAnsi="宋体" w:hint="eastAsia"/>
              </w:rPr>
              <w:t>2025-11-27</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6,460</w:t>
            </w:r>
          </w:p>
        </w:tc>
        <w:tc>
          <w:tcPr>
            <w:tcW w:w="1276" w:type="dxa"/>
            <w:vAlign w:val="center"/>
          </w:tcPr>
          <w:p>
            <w:pPr>
              <w:jc w:val="right"/>
              <w:rPr>
                <w:rFonts w:ascii="宋体" w:hAnsi="宋体"/>
              </w:rPr>
            </w:pPr>
            <w:r>
              <w:rPr>
                <w:rFonts w:ascii="宋体" w:hAnsi="宋体"/>
              </w:rPr>
              <w:t>8,960</w:t>
            </w:r>
          </w:p>
        </w:tc>
        <w:tc>
          <w:tcPr>
            <w:tcW w:w="709" w:type="dxa"/>
            <w:vAlign w:val="center"/>
          </w:tcPr>
          <w:p>
            <w:pPr>
              <w:jc w:val="center"/>
              <w:rPr>
                <w:rFonts w:ascii="宋体" w:hAnsi="宋体"/>
              </w:rPr>
            </w:pPr>
            <w:r>
              <w:rPr>
                <w:rFonts w:ascii="宋体" w:hAnsi="宋体" w:hint="eastAsia"/>
              </w:rPr>
              <w:t>A股</w:t>
            </w:r>
          </w:p>
        </w:tc>
        <w:tc>
          <w:tcPr>
            <w:tcW w:w="1134" w:type="dxa"/>
            <w:vAlign w:val="center"/>
          </w:tcPr>
          <w:p>
            <w:pPr>
              <w:jc w:val="right"/>
              <w:rPr>
                <w:rFonts w:ascii="宋体" w:hAnsi="宋体"/>
              </w:rPr>
            </w:pPr>
            <w:r>
              <w:rPr>
                <w:rFonts w:ascii="宋体" w:hAnsi="宋体" w:hint="eastAsia"/>
              </w:rPr>
              <w:t>2,500</w:t>
            </w:r>
          </w:p>
        </w:tc>
        <w:tc>
          <w:tcPr>
            <w:tcW w:w="786" w:type="dxa"/>
            <w:vAlign w:val="center"/>
          </w:tcPr>
          <w:p>
            <w:pPr>
              <w:jc w:val="center"/>
              <w:rPr>
                <w:rFonts w:ascii="宋体" w:hAnsi="宋体"/>
              </w:rPr>
            </w:pPr>
            <w:r>
              <w:rPr>
                <w:rFonts w:ascii="宋体" w:hAnsi="宋体" w:hint="eastAsia"/>
              </w:rPr>
              <w:t>增持</w:t>
            </w:r>
          </w:p>
        </w:tc>
        <w:tc>
          <w:tcPr>
            <w:tcW w:w="1198" w:type="dxa"/>
            <w:vAlign w:val="center"/>
          </w:tcPr>
          <w:p>
            <w:pPr>
              <w:jc w:val="right"/>
              <w:rPr>
                <w:rFonts w:ascii="宋体" w:hAnsi="宋体"/>
              </w:rPr>
            </w:pPr>
            <w:r>
              <w:rPr>
                <w:rFonts w:ascii="宋体" w:hAnsi="宋体" w:hint="eastAsia"/>
              </w:rPr>
              <w:t>7.99</w:t>
            </w:r>
          </w:p>
        </w:tc>
        <w:tc>
          <w:tcPr>
            <w:tcW w:w="1046" w:type="dxa"/>
            <w:vAlign w:val="center"/>
          </w:tcPr>
          <w:p>
            <w:pPr>
              <w:jc w:val="center"/>
              <w:rPr>
                <w:rFonts w:ascii="宋体" w:hAnsi="宋体"/>
              </w:rPr>
            </w:pPr>
            <w:r>
              <w:rPr>
                <w:rFonts w:ascii="宋体" w:hAnsi="宋体" w:hint="eastAsia"/>
              </w:rPr>
              <w:t>否</w:t>
            </w:r>
          </w:p>
        </w:tc>
      </w:tr>
      <w:tr>
        <w:trPr>
          <w:trHeight w:val="130"/>
        </w:trPr>
        <w:tc>
          <w:tcPr>
            <w:tcW w:w="888" w:type="dxa"/>
            <w:vAlign w:val="center"/>
          </w:tcPr>
          <w:p>
            <w:pPr>
              <w:jc w:val="center"/>
              <w:rPr>
                <w:rFonts w:ascii="宋体" w:hAnsi="宋体"/>
              </w:rPr>
            </w:pPr>
            <w:r>
              <w:rPr>
                <w:rFonts w:ascii="宋体" w:hAnsi="宋体" w:hint="eastAsia"/>
              </w:rPr>
              <w:t>张  磊</w:t>
            </w:r>
          </w:p>
        </w:tc>
        <w:tc>
          <w:tcPr>
            <w:tcW w:w="1478" w:type="dxa"/>
            <w:vAlign w:val="center"/>
          </w:tcPr>
          <w:p>
            <w:pPr>
              <w:jc w:val="center"/>
              <w:rPr>
                <w:rFonts w:ascii="宋体" w:hAnsi="宋体"/>
              </w:rPr>
            </w:pPr>
            <w:r>
              <w:rPr>
                <w:rFonts w:ascii="宋体" w:hAnsi="宋体" w:hint="eastAsia"/>
              </w:rPr>
              <w:t>投资总监</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53</w:t>
            </w:r>
          </w:p>
        </w:tc>
        <w:tc>
          <w:tcPr>
            <w:tcW w:w="1538" w:type="dxa"/>
            <w:vAlign w:val="center"/>
          </w:tcPr>
          <w:p>
            <w:pPr>
              <w:jc w:val="center"/>
              <w:rPr>
                <w:rFonts w:ascii="宋体" w:hAnsi="宋体"/>
              </w:rPr>
            </w:pPr>
            <w:r>
              <w:rPr>
                <w:rFonts w:ascii="宋体" w:hAnsi="宋体" w:hint="eastAsia"/>
              </w:rPr>
              <w:t>2020-03-27</w:t>
            </w:r>
          </w:p>
        </w:tc>
        <w:tc>
          <w:tcPr>
            <w:tcW w:w="1560" w:type="dxa"/>
            <w:vAlign w:val="center"/>
          </w:tcPr>
          <w:p>
            <w:pPr>
              <w:jc w:val="center"/>
              <w:rPr>
                <w:rFonts w:ascii="宋体" w:hAnsi="宋体"/>
              </w:rPr>
            </w:pPr>
            <w:r>
              <w:rPr>
                <w:rFonts w:ascii="宋体" w:hAnsi="宋体" w:hint="eastAsia"/>
              </w:rPr>
              <w:t>2</w:t>
            </w:r>
            <w:r>
              <w:rPr>
                <w:rFonts w:ascii="宋体" w:hAnsi="宋体"/>
              </w:rPr>
              <w:t>026-06-30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399.77</w:t>
            </w:r>
          </w:p>
        </w:tc>
        <w:tc>
          <w:tcPr>
            <w:tcW w:w="1046" w:type="dxa"/>
            <w:vAlign w:val="center"/>
          </w:tcPr>
          <w:p>
            <w:pPr>
              <w:jc w:val="center"/>
              <w:rPr>
                <w:rFonts w:ascii="宋体" w:hAnsi="宋体"/>
              </w:rPr>
            </w:pPr>
            <w:r>
              <w:rPr>
                <w:rFonts w:ascii="宋体" w:hAnsi="宋体" w:hint="eastAsia"/>
              </w:rPr>
              <w:t>否</w:t>
            </w:r>
          </w:p>
        </w:tc>
      </w:tr>
      <w:tr>
        <w:trPr>
          <w:trHeight w:val="130"/>
        </w:trPr>
        <w:tc>
          <w:tcPr>
            <w:tcW w:w="888" w:type="dxa"/>
            <w:vAlign w:val="center"/>
          </w:tcPr>
          <w:p>
            <w:pPr>
              <w:jc w:val="center"/>
              <w:rPr>
                <w:rFonts w:ascii="宋体" w:hAnsi="宋体"/>
              </w:rPr>
            </w:pPr>
            <w:r>
              <w:rPr>
                <w:rFonts w:ascii="宋体" w:hAnsi="宋体" w:hint="eastAsia"/>
              </w:rPr>
              <w:t>彭苏萍</w:t>
            </w:r>
          </w:p>
        </w:tc>
        <w:tc>
          <w:tcPr>
            <w:tcW w:w="1478" w:type="dxa"/>
            <w:vAlign w:val="center"/>
          </w:tcPr>
          <w:p>
            <w:pPr>
              <w:jc w:val="center"/>
              <w:rPr>
                <w:rFonts w:ascii="宋体" w:hAnsi="宋体"/>
              </w:rPr>
            </w:pPr>
            <w:r>
              <w:rPr>
                <w:rFonts w:ascii="宋体" w:hAnsi="宋体" w:hint="eastAsia"/>
              </w:rPr>
              <w:t>独立董事</w:t>
            </w:r>
          </w:p>
          <w:p>
            <w:pPr>
              <w:jc w:val="center"/>
              <w:rPr>
                <w:rFonts w:ascii="宋体" w:hAnsi="宋体"/>
              </w:rPr>
            </w:pPr>
            <w:r>
              <w:rPr>
                <w:rFonts w:ascii="宋体" w:hAnsi="宋体" w:hint="eastAsia"/>
              </w:rPr>
              <w:t>（离任）</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66</w:t>
            </w:r>
          </w:p>
        </w:tc>
        <w:tc>
          <w:tcPr>
            <w:tcW w:w="1538" w:type="dxa"/>
            <w:vAlign w:val="center"/>
          </w:tcPr>
          <w:p>
            <w:pPr>
              <w:jc w:val="center"/>
              <w:rPr>
                <w:rFonts w:ascii="宋体" w:hAnsi="宋体"/>
              </w:rPr>
            </w:pPr>
            <w:r>
              <w:rPr>
                <w:rFonts w:ascii="宋体" w:hAnsi="宋体" w:hint="eastAsia"/>
              </w:rPr>
              <w:t>2023-06-30</w:t>
            </w:r>
          </w:p>
        </w:tc>
        <w:tc>
          <w:tcPr>
            <w:tcW w:w="1560" w:type="dxa"/>
            <w:vAlign w:val="center"/>
          </w:tcPr>
          <w:p>
            <w:pPr>
              <w:jc w:val="center"/>
              <w:rPr>
                <w:rFonts w:ascii="宋体" w:hAnsi="宋体"/>
              </w:rPr>
            </w:pPr>
            <w:r>
              <w:rPr>
                <w:rFonts w:ascii="宋体" w:hAnsi="宋体" w:hint="eastAsia"/>
              </w:rPr>
              <w:t>2025-05-30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0</w:t>
            </w:r>
          </w:p>
        </w:tc>
        <w:tc>
          <w:tcPr>
            <w:tcW w:w="1046" w:type="dxa"/>
            <w:vAlign w:val="center"/>
          </w:tcPr>
          <w:p>
            <w:pPr>
              <w:jc w:val="center"/>
              <w:rPr>
                <w:rFonts w:ascii="宋体" w:hAnsi="宋体"/>
              </w:rPr>
            </w:pPr>
            <w:r>
              <w:rPr>
                <w:rFonts w:ascii="宋体" w:hAnsi="宋体" w:hint="eastAsia"/>
              </w:rPr>
              <w:t>否</w:t>
            </w:r>
          </w:p>
        </w:tc>
      </w:tr>
      <w:tr>
        <w:trPr>
          <w:trHeight w:val="130"/>
        </w:trPr>
        <w:tc>
          <w:tcPr>
            <w:tcW w:w="888" w:type="dxa"/>
            <w:vMerge w:val="restart"/>
            <w:vAlign w:val="center"/>
          </w:tcPr>
          <w:p>
            <w:pPr>
              <w:jc w:val="center"/>
              <w:rPr>
                <w:rFonts w:ascii="宋体" w:hAnsi="宋体"/>
              </w:rPr>
            </w:pPr>
            <w:r>
              <w:rPr>
                <w:rFonts w:ascii="宋体" w:hAnsi="宋体" w:hint="eastAsia"/>
              </w:rPr>
              <w:t>李士鹏</w:t>
            </w:r>
          </w:p>
        </w:tc>
        <w:tc>
          <w:tcPr>
            <w:tcW w:w="1478" w:type="dxa"/>
            <w:vAlign w:val="center"/>
          </w:tcPr>
          <w:p>
            <w:pPr>
              <w:jc w:val="center"/>
              <w:rPr>
                <w:rFonts w:ascii="宋体" w:hAnsi="宋体"/>
              </w:rPr>
            </w:pPr>
            <w:r>
              <w:rPr>
                <w:rFonts w:ascii="宋体" w:hAnsi="宋体" w:hint="eastAsia"/>
              </w:rPr>
              <w:t>监事</w:t>
            </w:r>
          </w:p>
          <w:p>
            <w:pPr>
              <w:jc w:val="center"/>
              <w:rPr>
                <w:rFonts w:ascii="宋体" w:hAnsi="宋体"/>
              </w:rPr>
            </w:pPr>
            <w:r>
              <w:rPr>
                <w:rFonts w:ascii="宋体" w:hAnsi="宋体" w:hint="eastAsia"/>
              </w:rPr>
              <w:t>（离任）</w:t>
            </w:r>
          </w:p>
        </w:tc>
        <w:tc>
          <w:tcPr>
            <w:tcW w:w="627" w:type="dxa"/>
            <w:vMerge w:val="restart"/>
            <w:vAlign w:val="center"/>
          </w:tcPr>
          <w:p>
            <w:pPr>
              <w:jc w:val="center"/>
              <w:rPr>
                <w:rFonts w:ascii="宋体" w:hAnsi="宋体"/>
              </w:rPr>
            </w:pPr>
            <w:r>
              <w:rPr>
                <w:rFonts w:ascii="宋体" w:hAnsi="宋体" w:hint="eastAsia"/>
              </w:rPr>
              <w:t>男</w:t>
            </w:r>
          </w:p>
        </w:tc>
        <w:tc>
          <w:tcPr>
            <w:tcW w:w="567" w:type="dxa"/>
            <w:vMerge w:val="restart"/>
            <w:vAlign w:val="center"/>
          </w:tcPr>
          <w:p>
            <w:pPr>
              <w:jc w:val="center"/>
              <w:rPr>
                <w:rFonts w:ascii="宋体" w:hAnsi="宋体"/>
              </w:rPr>
            </w:pPr>
            <w:r>
              <w:rPr>
                <w:rFonts w:ascii="宋体" w:hAnsi="宋体" w:hint="eastAsia"/>
              </w:rPr>
              <w:t>48</w:t>
            </w:r>
          </w:p>
        </w:tc>
        <w:tc>
          <w:tcPr>
            <w:tcW w:w="1538" w:type="dxa"/>
            <w:vAlign w:val="center"/>
          </w:tcPr>
          <w:p>
            <w:pPr>
              <w:jc w:val="center"/>
              <w:rPr>
                <w:rFonts w:ascii="宋体" w:hAnsi="宋体"/>
              </w:rPr>
            </w:pPr>
            <w:r>
              <w:rPr>
                <w:rFonts w:ascii="宋体" w:hAnsi="宋体" w:hint="eastAsia"/>
              </w:rPr>
              <w:t>2020-06-19</w:t>
            </w:r>
          </w:p>
        </w:tc>
        <w:tc>
          <w:tcPr>
            <w:tcW w:w="1560" w:type="dxa"/>
            <w:vAlign w:val="center"/>
          </w:tcPr>
          <w:p>
            <w:pPr>
              <w:jc w:val="center"/>
              <w:rPr>
                <w:rFonts w:ascii="宋体" w:hAnsi="宋体"/>
              </w:rPr>
            </w:pPr>
            <w:r>
              <w:rPr>
                <w:rFonts w:ascii="宋体" w:hAnsi="宋体" w:hint="eastAsia"/>
              </w:rPr>
              <w:t>2</w:t>
            </w:r>
            <w:r>
              <w:rPr>
                <w:rFonts w:ascii="宋体" w:hAnsi="宋体"/>
              </w:rPr>
              <w:t>02</w:t>
            </w:r>
            <w:r>
              <w:rPr>
                <w:rFonts w:ascii="宋体" w:hAnsi="宋体" w:hint="eastAsia"/>
              </w:rPr>
              <w:t>5</w:t>
            </w:r>
            <w:r>
              <w:rPr>
                <w:rFonts w:ascii="宋体" w:hAnsi="宋体"/>
              </w:rPr>
              <w:t>-0</w:t>
            </w:r>
            <w:r>
              <w:rPr>
                <w:rFonts w:ascii="宋体" w:hAnsi="宋体" w:hint="eastAsia"/>
              </w:rPr>
              <w:t>5</w:t>
            </w:r>
            <w:r>
              <w:rPr>
                <w:rFonts w:ascii="宋体" w:hAnsi="宋体"/>
              </w:rPr>
              <w:t>-30</w:t>
            </w:r>
          </w:p>
        </w:tc>
        <w:tc>
          <w:tcPr>
            <w:tcW w:w="1275" w:type="dxa"/>
            <w:vMerge w:val="restart"/>
            <w:vAlign w:val="center"/>
          </w:tcPr>
          <w:p>
            <w:pPr>
              <w:jc w:val="right"/>
              <w:rPr>
                <w:rFonts w:ascii="宋体" w:hAnsi="宋体"/>
              </w:rPr>
            </w:pPr>
            <w:r>
              <w:rPr>
                <w:rFonts w:ascii="宋体" w:hAnsi="宋体" w:hint="eastAsia"/>
              </w:rPr>
              <w:t>0</w:t>
            </w:r>
          </w:p>
        </w:tc>
        <w:tc>
          <w:tcPr>
            <w:tcW w:w="1276" w:type="dxa"/>
            <w:vMerge w:val="restart"/>
            <w:vAlign w:val="center"/>
          </w:tcPr>
          <w:p>
            <w:pPr>
              <w:jc w:val="right"/>
              <w:rPr>
                <w:rFonts w:ascii="宋体" w:hAnsi="宋体"/>
              </w:rPr>
            </w:pPr>
            <w:r>
              <w:rPr>
                <w:rFonts w:ascii="宋体" w:hAnsi="宋体" w:hint="eastAsia"/>
              </w:rPr>
              <w:t>0</w:t>
            </w:r>
          </w:p>
        </w:tc>
        <w:tc>
          <w:tcPr>
            <w:tcW w:w="709" w:type="dxa"/>
            <w:vMerge w:val="restart"/>
            <w:vAlign w:val="center"/>
          </w:tcPr>
          <w:p>
            <w:pPr>
              <w:jc w:val="center"/>
              <w:rPr>
                <w:rFonts w:ascii="宋体" w:hAnsi="宋体"/>
              </w:rPr>
            </w:pPr>
            <w:r>
              <w:rPr>
                <w:rFonts w:ascii="宋体" w:hAnsi="宋体" w:hint="eastAsia"/>
              </w:rPr>
              <w:t>-</w:t>
            </w:r>
          </w:p>
        </w:tc>
        <w:tc>
          <w:tcPr>
            <w:tcW w:w="1134" w:type="dxa"/>
            <w:vMerge w:val="restart"/>
            <w:vAlign w:val="center"/>
          </w:tcPr>
          <w:p>
            <w:pPr>
              <w:jc w:val="right"/>
              <w:rPr>
                <w:rFonts w:ascii="宋体" w:hAnsi="宋体"/>
              </w:rPr>
            </w:pPr>
            <w:r>
              <w:rPr>
                <w:rFonts w:ascii="宋体" w:hAnsi="宋体" w:hint="eastAsia"/>
              </w:rPr>
              <w:t>0</w:t>
            </w:r>
          </w:p>
        </w:tc>
        <w:tc>
          <w:tcPr>
            <w:tcW w:w="786" w:type="dxa"/>
            <w:vMerge w:val="restart"/>
            <w:vAlign w:val="center"/>
          </w:tcPr>
          <w:p>
            <w:pPr>
              <w:jc w:val="center"/>
              <w:rPr>
                <w:rFonts w:ascii="宋体" w:hAnsi="宋体"/>
              </w:rPr>
            </w:pPr>
            <w:r>
              <w:rPr>
                <w:rFonts w:ascii="宋体" w:hAnsi="宋体" w:hint="eastAsia"/>
              </w:rPr>
              <w:t>-</w:t>
            </w:r>
          </w:p>
        </w:tc>
        <w:tc>
          <w:tcPr>
            <w:tcW w:w="1198" w:type="dxa"/>
            <w:vMerge w:val="restart"/>
            <w:vAlign w:val="center"/>
          </w:tcPr>
          <w:p>
            <w:pPr>
              <w:jc w:val="right"/>
              <w:rPr>
                <w:rFonts w:ascii="宋体" w:hAnsi="宋体"/>
              </w:rPr>
            </w:pPr>
            <w:r>
              <w:rPr>
                <w:rFonts w:ascii="宋体" w:hAnsi="宋体" w:hint="eastAsia"/>
              </w:rPr>
              <w:t>-</w:t>
            </w:r>
          </w:p>
        </w:tc>
        <w:tc>
          <w:tcPr>
            <w:tcW w:w="1046" w:type="dxa"/>
            <w:vMerge w:val="restart"/>
            <w:vAlign w:val="center"/>
          </w:tcPr>
          <w:p>
            <w:pPr>
              <w:jc w:val="center"/>
              <w:rPr>
                <w:rFonts w:ascii="宋体" w:hAnsi="宋体"/>
              </w:rPr>
            </w:pPr>
            <w:r>
              <w:rPr>
                <w:rFonts w:ascii="宋体" w:hAnsi="宋体" w:hint="eastAsia"/>
              </w:rPr>
              <w:t>是</w:t>
            </w:r>
          </w:p>
        </w:tc>
      </w:tr>
      <w:tr>
        <w:trPr>
          <w:trHeight w:val="130"/>
        </w:trPr>
        <w:tc>
          <w:tcPr>
            <w:tcW w:w="888" w:type="dxa"/>
            <w:vMerge/>
          </w:tcPr>
          <w:p>
            <w:pPr>
              <w:jc w:val="center"/>
              <w:rPr>
                <w:rFonts w:ascii="宋体" w:hAnsi="宋体"/>
              </w:rPr>
            </w:pPr>
          </w:p>
        </w:tc>
        <w:tc>
          <w:tcPr>
            <w:tcW w:w="1478" w:type="dxa"/>
            <w:vAlign w:val="center"/>
          </w:tcPr>
          <w:p>
            <w:pPr>
              <w:jc w:val="center"/>
              <w:rPr>
                <w:rFonts w:ascii="宋体" w:hAnsi="宋体"/>
              </w:rPr>
            </w:pPr>
            <w:r>
              <w:rPr>
                <w:rFonts w:ascii="宋体" w:hAnsi="宋体" w:hint="eastAsia"/>
              </w:rPr>
              <w:t>监事会主席</w:t>
            </w:r>
          </w:p>
          <w:p>
            <w:pPr>
              <w:jc w:val="center"/>
              <w:rPr>
                <w:rFonts w:ascii="宋体" w:hAnsi="宋体"/>
              </w:rPr>
            </w:pPr>
            <w:r>
              <w:rPr>
                <w:rFonts w:ascii="宋体" w:hAnsi="宋体" w:hint="eastAsia"/>
              </w:rPr>
              <w:t>（离任）</w:t>
            </w:r>
          </w:p>
        </w:tc>
        <w:tc>
          <w:tcPr>
            <w:tcW w:w="627" w:type="dxa"/>
            <w:vMerge/>
            <w:vAlign w:val="center"/>
          </w:tcPr>
          <w:p>
            <w:pPr>
              <w:jc w:val="center"/>
              <w:rPr>
                <w:rFonts w:ascii="宋体" w:hAnsi="宋体"/>
              </w:rPr>
            </w:pPr>
          </w:p>
        </w:tc>
        <w:tc>
          <w:tcPr>
            <w:tcW w:w="567" w:type="dxa"/>
            <w:vMerge/>
            <w:vAlign w:val="center"/>
          </w:tcPr>
          <w:p>
            <w:pPr>
              <w:jc w:val="center"/>
              <w:rPr>
                <w:rFonts w:ascii="宋体" w:hAnsi="宋体"/>
              </w:rPr>
            </w:pPr>
          </w:p>
        </w:tc>
        <w:tc>
          <w:tcPr>
            <w:tcW w:w="1538" w:type="dxa"/>
            <w:vAlign w:val="center"/>
          </w:tcPr>
          <w:p>
            <w:pPr>
              <w:jc w:val="center"/>
              <w:rPr>
                <w:rFonts w:ascii="宋体" w:hAnsi="宋体"/>
              </w:rPr>
            </w:pPr>
            <w:r>
              <w:rPr>
                <w:rFonts w:ascii="宋体" w:hAnsi="宋体" w:hint="eastAsia"/>
              </w:rPr>
              <w:t>2</w:t>
            </w:r>
            <w:r>
              <w:rPr>
                <w:rFonts w:ascii="宋体" w:hAnsi="宋体"/>
              </w:rPr>
              <w:t>023-06-30</w:t>
            </w:r>
          </w:p>
        </w:tc>
        <w:tc>
          <w:tcPr>
            <w:tcW w:w="1560" w:type="dxa"/>
            <w:vAlign w:val="center"/>
          </w:tcPr>
          <w:p>
            <w:pPr>
              <w:jc w:val="center"/>
              <w:rPr>
                <w:rFonts w:ascii="宋体" w:hAnsi="宋体"/>
              </w:rPr>
            </w:pPr>
            <w:r>
              <w:rPr>
                <w:rFonts w:ascii="宋体" w:hAnsi="宋体" w:hint="eastAsia"/>
              </w:rPr>
              <w:t>2</w:t>
            </w:r>
            <w:r>
              <w:rPr>
                <w:rFonts w:ascii="宋体" w:hAnsi="宋体"/>
              </w:rPr>
              <w:t>02</w:t>
            </w:r>
            <w:r>
              <w:rPr>
                <w:rFonts w:ascii="宋体" w:hAnsi="宋体" w:hint="eastAsia"/>
              </w:rPr>
              <w:t>5</w:t>
            </w:r>
            <w:r>
              <w:rPr>
                <w:rFonts w:ascii="宋体" w:hAnsi="宋体"/>
              </w:rPr>
              <w:t>-0</w:t>
            </w:r>
            <w:r>
              <w:rPr>
                <w:rFonts w:ascii="宋体" w:hAnsi="宋体" w:hint="eastAsia"/>
              </w:rPr>
              <w:t>5</w:t>
            </w:r>
            <w:r>
              <w:rPr>
                <w:rFonts w:ascii="宋体" w:hAnsi="宋体"/>
              </w:rPr>
              <w:t>-30</w:t>
            </w:r>
          </w:p>
        </w:tc>
        <w:tc>
          <w:tcPr>
            <w:tcW w:w="1275" w:type="dxa"/>
            <w:vMerge/>
            <w:vAlign w:val="center"/>
          </w:tcPr>
          <w:p>
            <w:pPr>
              <w:jc w:val="right"/>
              <w:rPr>
                <w:rFonts w:ascii="宋体" w:hAnsi="宋体"/>
              </w:rPr>
            </w:pPr>
          </w:p>
        </w:tc>
        <w:tc>
          <w:tcPr>
            <w:tcW w:w="1276" w:type="dxa"/>
            <w:vMerge/>
            <w:vAlign w:val="center"/>
          </w:tcPr>
          <w:p>
            <w:pPr>
              <w:jc w:val="right"/>
              <w:rPr>
                <w:rFonts w:ascii="宋体" w:hAnsi="宋体"/>
              </w:rPr>
            </w:pPr>
          </w:p>
        </w:tc>
        <w:tc>
          <w:tcPr>
            <w:tcW w:w="709" w:type="dxa"/>
            <w:vMerge/>
            <w:vAlign w:val="center"/>
          </w:tcPr>
          <w:p>
            <w:pPr>
              <w:jc w:val="center"/>
              <w:rPr>
                <w:rFonts w:ascii="宋体" w:hAnsi="宋体"/>
              </w:rPr>
            </w:pPr>
          </w:p>
        </w:tc>
        <w:tc>
          <w:tcPr>
            <w:tcW w:w="1134" w:type="dxa"/>
            <w:vMerge/>
            <w:vAlign w:val="center"/>
          </w:tcPr>
          <w:p>
            <w:pPr>
              <w:jc w:val="right"/>
              <w:rPr>
                <w:rFonts w:ascii="宋体" w:hAnsi="宋体"/>
              </w:rPr>
            </w:pPr>
          </w:p>
        </w:tc>
        <w:tc>
          <w:tcPr>
            <w:tcW w:w="786" w:type="dxa"/>
            <w:vMerge/>
            <w:vAlign w:val="center"/>
          </w:tcPr>
          <w:p>
            <w:pPr>
              <w:jc w:val="center"/>
              <w:rPr>
                <w:rFonts w:ascii="宋体" w:hAnsi="宋体"/>
              </w:rPr>
            </w:pPr>
          </w:p>
        </w:tc>
        <w:tc>
          <w:tcPr>
            <w:tcW w:w="1198" w:type="dxa"/>
            <w:vMerge/>
            <w:vAlign w:val="center"/>
          </w:tcPr>
          <w:p>
            <w:pPr>
              <w:jc w:val="right"/>
              <w:rPr>
                <w:rFonts w:ascii="宋体" w:hAnsi="宋体"/>
              </w:rPr>
            </w:pPr>
          </w:p>
        </w:tc>
        <w:tc>
          <w:tcPr>
            <w:tcW w:w="1046" w:type="dxa"/>
            <w:vMerge/>
            <w:vAlign w:val="center"/>
          </w:tcPr>
          <w:p>
            <w:pPr>
              <w:jc w:val="center"/>
              <w:rPr>
                <w:rFonts w:ascii="宋体" w:hAnsi="宋体"/>
              </w:rPr>
            </w:pPr>
          </w:p>
        </w:tc>
      </w:tr>
      <w:tr>
        <w:trPr>
          <w:trHeight w:val="130"/>
        </w:trPr>
        <w:tc>
          <w:tcPr>
            <w:tcW w:w="888" w:type="dxa"/>
            <w:vAlign w:val="center"/>
          </w:tcPr>
          <w:p>
            <w:pPr>
              <w:jc w:val="center"/>
              <w:rPr>
                <w:rFonts w:ascii="宋体" w:hAnsi="宋体"/>
              </w:rPr>
            </w:pPr>
            <w:r>
              <w:rPr>
                <w:rFonts w:ascii="宋体" w:hAnsi="宋体" w:hint="eastAsia"/>
              </w:rPr>
              <w:t>朱  昊</w:t>
            </w:r>
          </w:p>
        </w:tc>
        <w:tc>
          <w:tcPr>
            <w:tcW w:w="1478" w:type="dxa"/>
            <w:vAlign w:val="center"/>
          </w:tcPr>
          <w:p>
            <w:pPr>
              <w:jc w:val="center"/>
              <w:rPr>
                <w:rFonts w:ascii="宋体" w:hAnsi="宋体"/>
              </w:rPr>
            </w:pPr>
            <w:r>
              <w:rPr>
                <w:rFonts w:ascii="宋体" w:hAnsi="宋体" w:hint="eastAsia"/>
              </w:rPr>
              <w:t>监事</w:t>
            </w:r>
          </w:p>
          <w:p>
            <w:pPr>
              <w:jc w:val="center"/>
              <w:rPr>
                <w:rFonts w:ascii="宋体" w:hAnsi="宋体"/>
              </w:rPr>
            </w:pPr>
            <w:r>
              <w:rPr>
                <w:rFonts w:ascii="宋体" w:hAnsi="宋体" w:hint="eastAsia"/>
              </w:rPr>
              <w:t>（离任）</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54</w:t>
            </w:r>
          </w:p>
        </w:tc>
        <w:tc>
          <w:tcPr>
            <w:tcW w:w="1538" w:type="dxa"/>
            <w:vAlign w:val="center"/>
          </w:tcPr>
          <w:p>
            <w:pPr>
              <w:jc w:val="center"/>
              <w:rPr>
                <w:rFonts w:ascii="宋体" w:hAnsi="宋体"/>
              </w:rPr>
            </w:pPr>
            <w:r>
              <w:rPr>
                <w:rFonts w:ascii="宋体" w:hAnsi="宋体" w:hint="eastAsia"/>
              </w:rPr>
              <w:t>2021-08-20</w:t>
            </w:r>
          </w:p>
        </w:tc>
        <w:tc>
          <w:tcPr>
            <w:tcW w:w="1560" w:type="dxa"/>
            <w:vAlign w:val="center"/>
          </w:tcPr>
          <w:p>
            <w:pPr>
              <w:jc w:val="center"/>
              <w:rPr>
                <w:rFonts w:ascii="宋体" w:hAnsi="宋体"/>
              </w:rPr>
            </w:pPr>
            <w:r>
              <w:rPr>
                <w:rFonts w:ascii="宋体" w:hAnsi="宋体" w:hint="eastAsia"/>
              </w:rPr>
              <w:t>2</w:t>
            </w:r>
            <w:r>
              <w:rPr>
                <w:rFonts w:ascii="宋体" w:hAnsi="宋体"/>
              </w:rPr>
              <w:t>02</w:t>
            </w:r>
            <w:r>
              <w:rPr>
                <w:rFonts w:ascii="宋体" w:hAnsi="宋体" w:hint="eastAsia"/>
              </w:rPr>
              <w:t>5</w:t>
            </w:r>
            <w:r>
              <w:rPr>
                <w:rFonts w:ascii="宋体" w:hAnsi="宋体"/>
              </w:rPr>
              <w:t>-0</w:t>
            </w:r>
            <w:r>
              <w:rPr>
                <w:rFonts w:ascii="宋体" w:hAnsi="宋体" w:hint="eastAsia"/>
              </w:rPr>
              <w:t>5</w:t>
            </w:r>
            <w:r>
              <w:rPr>
                <w:rFonts w:ascii="宋体" w:hAnsi="宋体"/>
              </w:rPr>
              <w:t>-30</w:t>
            </w:r>
          </w:p>
        </w:tc>
        <w:tc>
          <w:tcPr>
            <w:tcW w:w="1275" w:type="dxa"/>
            <w:vAlign w:val="center"/>
          </w:tcPr>
          <w:p>
            <w:pPr>
              <w:jc w:val="right"/>
              <w:rPr>
                <w:rFonts w:ascii="宋体" w:hAnsi="宋体"/>
              </w:rPr>
            </w:pPr>
            <w:r>
              <w:rPr>
                <w:rFonts w:ascii="宋体" w:hAnsi="宋体" w:hint="eastAsia"/>
              </w:rPr>
              <w:t>0</w:t>
            </w:r>
          </w:p>
        </w:tc>
        <w:tc>
          <w:tcPr>
            <w:tcW w:w="1276" w:type="dxa"/>
            <w:vAlign w:val="center"/>
          </w:tcPr>
          <w:p>
            <w:pPr>
              <w:jc w:val="right"/>
              <w:rPr>
                <w:rFonts w:ascii="宋体" w:hAnsi="宋体"/>
              </w:rPr>
            </w:pPr>
            <w:r>
              <w:rPr>
                <w:rFonts w:ascii="宋体" w:hAnsi="宋体" w:hint="eastAsia"/>
              </w:rPr>
              <w:t>0</w:t>
            </w:r>
          </w:p>
        </w:tc>
        <w:tc>
          <w:tcPr>
            <w:tcW w:w="709" w:type="dxa"/>
            <w:vAlign w:val="center"/>
          </w:tcPr>
          <w:p>
            <w:pPr>
              <w:jc w:val="center"/>
              <w:rPr>
                <w:rFonts w:ascii="宋体" w:hAnsi="宋体"/>
              </w:rPr>
            </w:pPr>
            <w:r>
              <w:rPr>
                <w:rFonts w:ascii="宋体" w:hAnsi="宋体"/>
              </w:rPr>
              <w:t>-</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w:t>
            </w:r>
          </w:p>
        </w:tc>
        <w:tc>
          <w:tcPr>
            <w:tcW w:w="1046" w:type="dxa"/>
            <w:vAlign w:val="center"/>
          </w:tcPr>
          <w:p>
            <w:pPr>
              <w:jc w:val="center"/>
              <w:rPr>
                <w:rFonts w:ascii="宋体" w:hAnsi="宋体"/>
              </w:rPr>
            </w:pPr>
            <w:r>
              <w:rPr>
                <w:rFonts w:ascii="宋体" w:hAnsi="宋体" w:hint="eastAsia"/>
              </w:rPr>
              <w:t>是</w:t>
            </w:r>
          </w:p>
        </w:tc>
      </w:tr>
      <w:tr>
        <w:trPr>
          <w:trHeight w:val="130"/>
        </w:trPr>
        <w:tc>
          <w:tcPr>
            <w:tcW w:w="888" w:type="dxa"/>
            <w:vAlign w:val="center"/>
          </w:tcPr>
          <w:p>
            <w:pPr>
              <w:jc w:val="center"/>
              <w:rPr>
                <w:rFonts w:ascii="宋体" w:hAnsi="宋体"/>
              </w:rPr>
            </w:pPr>
            <w:r>
              <w:rPr>
                <w:rFonts w:ascii="宋体" w:hAnsi="宋体" w:hint="eastAsia"/>
              </w:rPr>
              <w:t>靳家皓</w:t>
            </w:r>
          </w:p>
        </w:tc>
        <w:tc>
          <w:tcPr>
            <w:tcW w:w="1478" w:type="dxa"/>
            <w:vAlign w:val="center"/>
          </w:tcPr>
          <w:p>
            <w:pPr>
              <w:jc w:val="center"/>
              <w:rPr>
                <w:rFonts w:ascii="宋体" w:hAnsi="宋体"/>
              </w:rPr>
            </w:pPr>
            <w:r>
              <w:rPr>
                <w:rFonts w:ascii="宋体" w:hAnsi="宋体" w:hint="eastAsia"/>
              </w:rPr>
              <w:t>职工监事</w:t>
            </w:r>
          </w:p>
          <w:p>
            <w:pPr>
              <w:jc w:val="center"/>
              <w:rPr>
                <w:rFonts w:ascii="宋体" w:hAnsi="宋体"/>
              </w:rPr>
            </w:pPr>
            <w:r>
              <w:rPr>
                <w:rFonts w:ascii="宋体" w:hAnsi="宋体" w:hint="eastAsia"/>
              </w:rPr>
              <w:t>（离任）</w:t>
            </w:r>
          </w:p>
        </w:tc>
        <w:tc>
          <w:tcPr>
            <w:tcW w:w="627" w:type="dxa"/>
            <w:vAlign w:val="center"/>
          </w:tcPr>
          <w:p>
            <w:pPr>
              <w:jc w:val="center"/>
              <w:rPr>
                <w:rFonts w:ascii="宋体" w:hAnsi="宋体"/>
              </w:rPr>
            </w:pPr>
            <w:r>
              <w:rPr>
                <w:rFonts w:ascii="宋体" w:hAnsi="宋体" w:hint="eastAsia"/>
              </w:rPr>
              <w:t>男</w:t>
            </w:r>
          </w:p>
        </w:tc>
        <w:tc>
          <w:tcPr>
            <w:tcW w:w="567" w:type="dxa"/>
            <w:vAlign w:val="center"/>
          </w:tcPr>
          <w:p>
            <w:pPr>
              <w:jc w:val="center"/>
              <w:rPr>
                <w:rFonts w:ascii="宋体" w:hAnsi="宋体"/>
              </w:rPr>
            </w:pPr>
            <w:r>
              <w:rPr>
                <w:rFonts w:ascii="宋体" w:hAnsi="宋体" w:hint="eastAsia"/>
              </w:rPr>
              <w:t>54</w:t>
            </w:r>
          </w:p>
        </w:tc>
        <w:tc>
          <w:tcPr>
            <w:tcW w:w="1538" w:type="dxa"/>
            <w:vAlign w:val="center"/>
          </w:tcPr>
          <w:p>
            <w:pPr>
              <w:jc w:val="center"/>
              <w:rPr>
                <w:rFonts w:ascii="宋体" w:hAnsi="宋体"/>
              </w:rPr>
            </w:pPr>
            <w:r>
              <w:rPr>
                <w:rFonts w:ascii="宋体" w:hAnsi="宋体" w:hint="eastAsia"/>
              </w:rPr>
              <w:t>2</w:t>
            </w:r>
            <w:r>
              <w:rPr>
                <w:rFonts w:ascii="宋体" w:hAnsi="宋体"/>
              </w:rPr>
              <w:t>023-04-19</w:t>
            </w:r>
          </w:p>
        </w:tc>
        <w:tc>
          <w:tcPr>
            <w:tcW w:w="1560" w:type="dxa"/>
            <w:vAlign w:val="center"/>
          </w:tcPr>
          <w:p>
            <w:pPr>
              <w:jc w:val="center"/>
              <w:rPr>
                <w:rFonts w:ascii="宋体" w:hAnsi="宋体"/>
              </w:rPr>
            </w:pPr>
            <w:r>
              <w:rPr>
                <w:rFonts w:ascii="宋体" w:hAnsi="宋体" w:hint="eastAsia"/>
              </w:rPr>
              <w:t>2</w:t>
            </w:r>
            <w:r>
              <w:rPr>
                <w:rFonts w:ascii="宋体" w:hAnsi="宋体"/>
              </w:rPr>
              <w:t>02</w:t>
            </w:r>
            <w:r>
              <w:rPr>
                <w:rFonts w:ascii="宋体" w:hAnsi="宋体" w:hint="eastAsia"/>
              </w:rPr>
              <w:t>5</w:t>
            </w:r>
            <w:r>
              <w:rPr>
                <w:rFonts w:ascii="宋体" w:hAnsi="宋体"/>
              </w:rPr>
              <w:t>-0</w:t>
            </w:r>
            <w:r>
              <w:rPr>
                <w:rFonts w:ascii="宋体" w:hAnsi="宋体" w:hint="eastAsia"/>
              </w:rPr>
              <w:t>5</w:t>
            </w:r>
            <w:r>
              <w:rPr>
                <w:rFonts w:ascii="宋体" w:hAnsi="宋体"/>
              </w:rPr>
              <w:t>-30</w:t>
            </w:r>
          </w:p>
        </w:tc>
        <w:tc>
          <w:tcPr>
            <w:tcW w:w="1275" w:type="dxa"/>
            <w:vAlign w:val="center"/>
          </w:tcPr>
          <w:p>
            <w:pPr>
              <w:jc w:val="right"/>
              <w:rPr>
                <w:rFonts w:ascii="宋体" w:hAnsi="宋体"/>
              </w:rPr>
            </w:pPr>
            <w:r>
              <w:rPr>
                <w:rFonts w:ascii="宋体" w:hAnsi="宋体" w:hint="eastAsia"/>
              </w:rPr>
              <w:t>100,000</w:t>
            </w:r>
          </w:p>
        </w:tc>
        <w:tc>
          <w:tcPr>
            <w:tcW w:w="1276" w:type="dxa"/>
            <w:vAlign w:val="center"/>
          </w:tcPr>
          <w:p>
            <w:pPr>
              <w:jc w:val="right"/>
              <w:rPr>
                <w:rFonts w:ascii="宋体" w:hAnsi="宋体"/>
              </w:rPr>
            </w:pPr>
            <w:r>
              <w:rPr>
                <w:rFonts w:ascii="宋体" w:hAnsi="宋体"/>
              </w:rPr>
              <w:t>100,000</w:t>
            </w:r>
          </w:p>
        </w:tc>
        <w:tc>
          <w:tcPr>
            <w:tcW w:w="709" w:type="dxa"/>
            <w:vAlign w:val="center"/>
          </w:tcPr>
          <w:p>
            <w:pPr>
              <w:jc w:val="center"/>
              <w:rPr>
                <w:rFonts w:ascii="宋体" w:hAnsi="宋体"/>
              </w:rPr>
            </w:pPr>
            <w:r>
              <w:rPr>
                <w:rFonts w:ascii="宋体" w:hAnsi="宋体" w:hint="eastAsia"/>
              </w:rPr>
              <w:t>H股</w:t>
            </w:r>
          </w:p>
        </w:tc>
        <w:tc>
          <w:tcPr>
            <w:tcW w:w="1134" w:type="dxa"/>
            <w:vAlign w:val="center"/>
          </w:tcPr>
          <w:p>
            <w:pPr>
              <w:jc w:val="right"/>
              <w:rPr>
                <w:rFonts w:ascii="宋体" w:hAnsi="宋体"/>
              </w:rPr>
            </w:pPr>
            <w:r>
              <w:rPr>
                <w:rFonts w:ascii="宋体" w:hAnsi="宋体" w:hint="eastAsia"/>
              </w:rPr>
              <w:t>0</w:t>
            </w:r>
          </w:p>
        </w:tc>
        <w:tc>
          <w:tcPr>
            <w:tcW w:w="786" w:type="dxa"/>
            <w:vAlign w:val="center"/>
          </w:tcPr>
          <w:p>
            <w:pPr>
              <w:jc w:val="center"/>
              <w:rPr>
                <w:rFonts w:ascii="宋体" w:hAnsi="宋体"/>
              </w:rPr>
            </w:pPr>
            <w:r>
              <w:rPr>
                <w:rFonts w:ascii="宋体" w:hAnsi="宋体" w:hint="eastAsia"/>
              </w:rPr>
              <w:t>-</w:t>
            </w:r>
          </w:p>
        </w:tc>
        <w:tc>
          <w:tcPr>
            <w:tcW w:w="1198" w:type="dxa"/>
            <w:vAlign w:val="center"/>
          </w:tcPr>
          <w:p>
            <w:pPr>
              <w:jc w:val="right"/>
              <w:rPr>
                <w:rFonts w:ascii="宋体" w:hAnsi="宋体"/>
              </w:rPr>
            </w:pPr>
            <w:r>
              <w:rPr>
                <w:rFonts w:ascii="宋体" w:hAnsi="宋体" w:hint="eastAsia"/>
              </w:rPr>
              <w:t>95.55</w:t>
            </w:r>
          </w:p>
        </w:tc>
        <w:tc>
          <w:tcPr>
            <w:tcW w:w="1046" w:type="dxa"/>
            <w:vAlign w:val="center"/>
          </w:tcPr>
          <w:p>
            <w:pPr>
              <w:jc w:val="center"/>
              <w:rPr>
                <w:rFonts w:ascii="宋体" w:hAnsi="宋体"/>
              </w:rPr>
            </w:pPr>
            <w:r>
              <w:rPr>
                <w:rFonts w:ascii="宋体" w:hAnsi="宋体" w:hint="eastAsia"/>
              </w:rPr>
              <w:t>否</w:t>
            </w:r>
          </w:p>
        </w:tc>
      </w:tr>
      <w:tr>
        <w:trPr>
          <w:trHeight w:val="165"/>
        </w:trPr>
        <w:tc>
          <w:tcPr>
            <w:tcW w:w="888" w:type="dxa"/>
            <w:tcBorders>
              <w:bottom w:val="single" w:sz="4" w:space="0" w:color="auto"/>
            </w:tcBorders>
            <w:vAlign w:val="center"/>
          </w:tcPr>
          <w:p>
            <w:pPr>
              <w:jc w:val="center"/>
              <w:rPr>
                <w:rFonts w:ascii="宋体" w:hAnsi="宋体"/>
              </w:rPr>
            </w:pPr>
            <w:r>
              <w:rPr>
                <w:rFonts w:ascii="宋体" w:hAnsi="宋体" w:hint="eastAsia"/>
              </w:rPr>
              <w:t>合计</w:t>
            </w:r>
          </w:p>
        </w:tc>
        <w:tc>
          <w:tcPr>
            <w:tcW w:w="1478" w:type="dxa"/>
            <w:tcBorders>
              <w:bottom w:val="single" w:sz="4" w:space="0" w:color="auto"/>
            </w:tcBorders>
            <w:vAlign w:val="center"/>
          </w:tcPr>
          <w:p>
            <w:pPr>
              <w:jc w:val="center"/>
              <w:rPr>
                <w:rFonts w:ascii="宋体" w:hAnsi="宋体"/>
              </w:rPr>
            </w:pPr>
            <w:r>
              <w:rPr>
                <w:rFonts w:ascii="宋体" w:hAnsi="宋体" w:hint="eastAsia"/>
              </w:rPr>
              <w:t>/</w:t>
            </w:r>
          </w:p>
        </w:tc>
        <w:tc>
          <w:tcPr>
            <w:tcW w:w="627" w:type="dxa"/>
            <w:tcBorders>
              <w:bottom w:val="single" w:sz="4" w:space="0" w:color="auto"/>
            </w:tcBorders>
            <w:vAlign w:val="center"/>
          </w:tcPr>
          <w:p>
            <w:pPr>
              <w:jc w:val="center"/>
              <w:rPr>
                <w:rFonts w:ascii="宋体" w:hAnsi="宋体"/>
              </w:rPr>
            </w:pPr>
            <w:r>
              <w:rPr>
                <w:rFonts w:ascii="宋体" w:hAnsi="宋体" w:hint="eastAsia"/>
              </w:rPr>
              <w:t>/</w:t>
            </w:r>
          </w:p>
        </w:tc>
        <w:tc>
          <w:tcPr>
            <w:tcW w:w="567" w:type="dxa"/>
            <w:tcBorders>
              <w:bottom w:val="single" w:sz="4" w:space="0" w:color="auto"/>
            </w:tcBorders>
            <w:vAlign w:val="center"/>
          </w:tcPr>
          <w:p>
            <w:pPr>
              <w:jc w:val="center"/>
              <w:rPr>
                <w:rFonts w:ascii="宋体" w:hAnsi="宋体"/>
              </w:rPr>
            </w:pPr>
            <w:r>
              <w:rPr>
                <w:rFonts w:ascii="宋体" w:hAnsi="宋体" w:hint="eastAsia"/>
              </w:rPr>
              <w:t>/</w:t>
            </w:r>
          </w:p>
        </w:tc>
        <w:tc>
          <w:tcPr>
            <w:tcW w:w="1538" w:type="dxa"/>
            <w:tcBorders>
              <w:bottom w:val="single" w:sz="4" w:space="0" w:color="auto"/>
            </w:tcBorders>
            <w:vAlign w:val="center"/>
          </w:tcPr>
          <w:p>
            <w:pPr>
              <w:jc w:val="center"/>
              <w:rPr>
                <w:rFonts w:ascii="宋体" w:hAnsi="宋体"/>
              </w:rPr>
            </w:pPr>
            <w:r>
              <w:rPr>
                <w:rFonts w:ascii="宋体" w:hAnsi="宋体" w:hint="eastAsia"/>
              </w:rPr>
              <w:t>/</w:t>
            </w:r>
          </w:p>
        </w:tc>
        <w:tc>
          <w:tcPr>
            <w:tcW w:w="1560" w:type="dxa"/>
            <w:tcBorders>
              <w:bottom w:val="single" w:sz="4" w:space="0" w:color="auto"/>
            </w:tcBorders>
            <w:vAlign w:val="center"/>
          </w:tcPr>
          <w:p>
            <w:pPr>
              <w:jc w:val="center"/>
              <w:rPr>
                <w:rFonts w:ascii="宋体" w:hAnsi="宋体"/>
              </w:rPr>
            </w:pPr>
            <w:r>
              <w:rPr>
                <w:rFonts w:ascii="宋体" w:hAnsi="宋体" w:hint="eastAsia"/>
              </w:rPr>
              <w:t>/</w:t>
            </w:r>
          </w:p>
        </w:tc>
        <w:tc>
          <w:tcPr>
            <w:tcW w:w="1275" w:type="dxa"/>
            <w:tcBorders>
              <w:bottom w:val="single" w:sz="4" w:space="0" w:color="auto"/>
            </w:tcBorders>
          </w:tcPr>
          <w:p>
            <w:pPr>
              <w:jc w:val="right"/>
              <w:rPr>
                <w:rFonts w:ascii="宋体" w:hAnsi="宋体"/>
              </w:rPr>
            </w:pPr>
            <w:r>
              <w:rPr>
                <w:rFonts w:ascii="宋体" w:hAnsi="宋体" w:hint="eastAsia"/>
              </w:rPr>
              <w:t>2,366,815</w:t>
            </w:r>
          </w:p>
        </w:tc>
        <w:tc>
          <w:tcPr>
            <w:tcW w:w="1276" w:type="dxa"/>
            <w:tcBorders>
              <w:bottom w:val="single" w:sz="4" w:space="0" w:color="auto"/>
            </w:tcBorders>
          </w:tcPr>
          <w:p>
            <w:pPr>
              <w:jc w:val="right"/>
              <w:rPr>
                <w:rFonts w:ascii="宋体" w:hAnsi="宋体"/>
              </w:rPr>
            </w:pPr>
            <w:r>
              <w:rPr>
                <w:rFonts w:ascii="宋体" w:hAnsi="宋体" w:hint="eastAsia"/>
              </w:rPr>
              <w:t>2,192,880</w:t>
            </w:r>
          </w:p>
        </w:tc>
        <w:tc>
          <w:tcPr>
            <w:tcW w:w="709" w:type="dxa"/>
            <w:tcBorders>
              <w:bottom w:val="single" w:sz="4" w:space="0" w:color="auto"/>
            </w:tcBorders>
            <w:vAlign w:val="center"/>
          </w:tcPr>
          <w:p>
            <w:pPr>
              <w:jc w:val="center"/>
              <w:rPr>
                <w:rFonts w:ascii="宋体" w:hAnsi="宋体"/>
              </w:rPr>
            </w:pPr>
            <w:r>
              <w:rPr>
                <w:rFonts w:ascii="宋体" w:hAnsi="宋体"/>
              </w:rPr>
              <w:t>/</w:t>
            </w:r>
          </w:p>
        </w:tc>
        <w:tc>
          <w:tcPr>
            <w:tcW w:w="1134" w:type="dxa"/>
            <w:tcBorders>
              <w:bottom w:val="single" w:sz="4" w:space="0" w:color="auto"/>
            </w:tcBorders>
          </w:tcPr>
          <w:p>
            <w:pPr>
              <w:jc w:val="right"/>
              <w:rPr>
                <w:rFonts w:ascii="宋体" w:hAnsi="宋体"/>
              </w:rPr>
            </w:pPr>
            <w:r>
              <w:rPr>
                <w:rFonts w:ascii="宋体" w:hAnsi="宋体" w:hint="eastAsia"/>
              </w:rPr>
              <w:t>-173,935</w:t>
            </w:r>
          </w:p>
        </w:tc>
        <w:tc>
          <w:tcPr>
            <w:tcW w:w="786" w:type="dxa"/>
            <w:tcBorders>
              <w:bottom w:val="single" w:sz="4" w:space="0" w:color="auto"/>
            </w:tcBorders>
            <w:vAlign w:val="center"/>
          </w:tcPr>
          <w:p>
            <w:pPr>
              <w:jc w:val="center"/>
              <w:rPr>
                <w:rFonts w:ascii="宋体" w:hAnsi="宋体"/>
              </w:rPr>
            </w:pPr>
            <w:r>
              <w:rPr>
                <w:rFonts w:ascii="宋体" w:hAnsi="宋体" w:hint="eastAsia"/>
              </w:rPr>
              <w:t>/</w:t>
            </w:r>
          </w:p>
        </w:tc>
        <w:tc>
          <w:tcPr>
            <w:tcW w:w="1198" w:type="dxa"/>
            <w:tcBorders>
              <w:bottom w:val="single" w:sz="4" w:space="0" w:color="auto"/>
            </w:tcBorders>
            <w:vAlign w:val="center"/>
          </w:tcPr>
          <w:p>
            <w:pPr>
              <w:jc w:val="right"/>
              <w:rPr>
                <w:rFonts w:ascii="宋体" w:hAnsi="宋体"/>
              </w:rPr>
            </w:pPr>
            <w:r>
              <w:rPr>
                <w:rFonts w:ascii="宋体" w:hAnsi="宋体" w:hint="eastAsia"/>
              </w:rPr>
              <w:t>1,803.75</w:t>
            </w:r>
          </w:p>
        </w:tc>
        <w:tc>
          <w:tcPr>
            <w:tcW w:w="1046" w:type="dxa"/>
            <w:tcBorders>
              <w:bottom w:val="single" w:sz="4" w:space="0" w:color="auto"/>
            </w:tcBorders>
            <w:vAlign w:val="center"/>
          </w:tcPr>
          <w:p>
            <w:pPr>
              <w:jc w:val="center"/>
              <w:rPr>
                <w:rFonts w:ascii="宋体" w:hAnsi="宋体"/>
              </w:rPr>
            </w:pPr>
            <w:r>
              <w:rPr>
                <w:rFonts w:ascii="宋体" w:hAnsi="宋体"/>
              </w:rPr>
              <w:t>/</w:t>
            </w:r>
          </w:p>
        </w:tc>
      </w:tr>
    </w:tbl>
    <w:p>
      <w:pPr>
        <w:ind w:firstLineChars="200" w:firstLine="420"/>
        <w:rPr>
          <w:rFonts w:ascii="宋体" w:hAnsi="宋体"/>
        </w:rPr>
      </w:pPr>
      <w:r>
        <w:rPr>
          <w:rFonts w:ascii="宋体" w:hAnsi="宋体" w:hint="eastAsia"/>
        </w:rPr>
        <w:t>注：</w:t>
      </w:r>
    </w:p>
    <w:bookmarkStart w:id="142" w:name="_Hlk225232319"/>
    <w:p>
      <w:pPr>
        <w:ind w:firstLineChars="200" w:firstLine="420"/>
        <w:jc w:val="both"/>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 1 \* GB3</w:instrText>
      </w:r>
      <w:r>
        <w:rPr>
          <w:rFonts w:ascii="宋体" w:hAnsi="宋体"/>
        </w:rPr>
        <w:instrText xml:space="preserve"> </w:instrText>
      </w:r>
      <w:r>
        <w:rPr>
          <w:rFonts w:ascii="宋体" w:hAnsi="宋体"/>
        </w:rPr>
        <w:fldChar w:fldCharType="separate"/>
      </w:r>
      <w:r>
        <w:rPr>
          <w:rFonts w:ascii="宋体" w:hAnsi="宋体" w:hint="eastAsia"/>
        </w:rPr>
        <w:t>①</w:t>
      </w:r>
      <w:r>
        <w:rPr>
          <w:rFonts w:ascii="宋体" w:hAnsi="宋体"/>
        </w:rPr>
        <w:fldChar w:fldCharType="end"/>
      </w:r>
      <w:bookmarkStart w:id="143" w:name="_Hlk225349920"/>
      <w:r>
        <w:rPr>
          <w:rFonts w:ascii="宋体" w:hAnsi="宋体" w:hint="eastAsia"/>
        </w:rPr>
        <w:t>岳宁先生为兖煤澳洲联席副董事长、执行委员会主席，常驻澳大利亚现场履职，在兖煤澳洲领取薪酬。按照境外投资管理规定，岳先生实际领取税前薪酬人民币407.85万元。根据第三方咨询机构高登联合有限公司出具的评估文件，岳先生实际领取的税前薪酬占澳大利亚可比同行业公司同岗位目标平均总薪酬的24.79%。其中，目标总薪酬是指薪酬考核兑现时实现目标值时，获得的薪酬总额。</w:t>
      </w:r>
      <w:bookmarkEnd w:id="143"/>
    </w:p>
    <w:p>
      <w:pPr>
        <w:ind w:firstLineChars="200" w:firstLine="420"/>
        <w:jc w:val="both"/>
        <w:rPr>
          <w:rFonts w:ascii="宋体" w:hAnsi="宋体"/>
        </w:rPr>
      </w:pPr>
      <w:r>
        <w:rPr>
          <w:rFonts w:ascii="宋体" w:hAnsi="宋体" w:hint="eastAsia"/>
        </w:rPr>
        <w:lastRenderedPageBreak/>
        <w:t>张磊先生为兖煤国际总经理、沙尔夫公司监事、CFH公司监事，常驻澳大利亚、欧洲现场履职，在兖煤国际领取薪酬。按照境外投资管理规定，张先生实际领取税前薪酬399.77万元。张先生薪酬根据履职地经济情况、公司业绩、同等职位等因素综合考量确定。与可比同行公司同岗位平均收入相比，属偏低水平。</w:t>
      </w:r>
    </w:p>
    <w:p>
      <w:pPr>
        <w:ind w:firstLineChars="200" w:firstLine="420"/>
        <w:jc w:val="both"/>
        <w:rPr>
          <w:rFonts w:ascii="宋体" w:hAnsi="宋体"/>
        </w:rPr>
      </w:pPr>
      <w:r>
        <w:rPr>
          <w:rFonts w:ascii="宋体" w:hAnsi="宋体" w:hint="eastAsia"/>
        </w:rPr>
        <w:t>②彭苏萍先生因中国工程院院士兼职规范工作要求，本年度没有在公司领取薪酬。</w:t>
      </w:r>
    </w:p>
    <w:bookmarkEnd w:id="142"/>
    <w:p>
      <w:pPr>
        <w:ind w:firstLineChars="200" w:firstLine="420"/>
        <w:jc w:val="both"/>
        <w:rPr>
          <w:rFonts w:ascii="宋体" w:hAnsi="宋体"/>
        </w:rPr>
      </w:pPr>
      <w:r>
        <w:rPr>
          <w:rFonts w:ascii="宋体" w:hAnsi="宋体" w:hint="eastAsia"/>
        </w:rPr>
        <w:t>③董事、高级管理人员持股情况请见本节之“公司股权激励计划、员工持股计划或其他员工激励措施的情况及其影响”相关内容。</w:t>
      </w:r>
    </w:p>
    <w:p>
      <w:pPr>
        <w:ind w:firstLineChars="200" w:firstLine="420"/>
        <w:jc w:val="both"/>
        <w:rPr>
          <w:rFonts w:ascii="宋体" w:hAnsi="宋体"/>
        </w:rPr>
      </w:pPr>
      <w:r>
        <w:rPr>
          <w:rFonts w:ascii="宋体" w:hAnsi="宋体" w:hint="eastAsia"/>
        </w:rPr>
        <w:t>④于本报告期末，公司现任及报告期内离任董事、监事和高级管理人员共持有</w:t>
      </w:r>
      <w:bookmarkStart w:id="144" w:name="_Hlk223538226"/>
      <w:r>
        <w:rPr>
          <w:rFonts w:ascii="宋体" w:hAnsi="宋体" w:hint="eastAsia"/>
        </w:rPr>
        <w:t>2,192,880</w:t>
      </w:r>
      <w:bookmarkEnd w:id="144"/>
      <w:r>
        <w:rPr>
          <w:rFonts w:ascii="宋体" w:hAnsi="宋体" w:hint="eastAsia"/>
        </w:rPr>
        <w:t>股股票（其中A股股票</w:t>
      </w:r>
      <w:bookmarkStart w:id="145" w:name="_Hlk223538232"/>
      <w:r>
        <w:rPr>
          <w:rFonts w:ascii="宋体" w:hAnsi="宋体" w:hint="eastAsia"/>
        </w:rPr>
        <w:t>1,492,880</w:t>
      </w:r>
      <w:bookmarkEnd w:id="145"/>
      <w:r>
        <w:rPr>
          <w:rFonts w:ascii="宋体" w:hAnsi="宋体" w:hint="eastAsia"/>
        </w:rPr>
        <w:t>股，H股股票</w:t>
      </w:r>
      <w:bookmarkStart w:id="146" w:name="_Hlk223538237"/>
      <w:r>
        <w:rPr>
          <w:rFonts w:ascii="宋体" w:hAnsi="宋体" w:hint="eastAsia"/>
        </w:rPr>
        <w:t>700,000</w:t>
      </w:r>
      <w:bookmarkEnd w:id="146"/>
      <w:r>
        <w:rPr>
          <w:rFonts w:ascii="宋体" w:hAnsi="宋体" w:hint="eastAsia"/>
        </w:rPr>
        <w:t>股），约占公司总股本的</w:t>
      </w:r>
      <w:bookmarkStart w:id="147" w:name="_Hlk223538244"/>
      <w:r>
        <w:rPr>
          <w:rFonts w:ascii="宋体" w:hAnsi="宋体" w:hint="eastAsia"/>
        </w:rPr>
        <w:t>0.022</w:t>
      </w:r>
      <w:bookmarkEnd w:id="147"/>
      <w:r>
        <w:rPr>
          <w:rFonts w:ascii="宋体" w:hAnsi="宋体" w:hint="eastAsia"/>
        </w:rPr>
        <w:t>%。所有上述披露之权益皆代表以实益拥有人身份持有的公司好仓股份。</w:t>
      </w:r>
    </w:p>
    <w:p>
      <w:pPr>
        <w:ind w:firstLineChars="200" w:firstLine="420"/>
        <w:jc w:val="both"/>
        <w:rPr>
          <w:rFonts w:ascii="宋体" w:hAnsi="宋体"/>
        </w:rPr>
      </w:pPr>
      <w:r>
        <w:rPr>
          <w:rFonts w:ascii="宋体" w:hAnsi="宋体" w:hint="eastAsia"/>
        </w:rPr>
        <w:t>⑤徐长厚先生、齐俊铭先生和李建忠先生的股权变动发生于就任本公司高级管理人员之前。</w:t>
      </w:r>
    </w:p>
    <w:p>
      <w:pPr>
        <w:ind w:firstLineChars="200" w:firstLine="420"/>
        <w:jc w:val="both"/>
        <w:rPr>
          <w:rFonts w:ascii="宋体" w:hAnsi="宋体"/>
        </w:rPr>
      </w:pPr>
      <w:r>
        <w:rPr>
          <w:rFonts w:ascii="宋体" w:hAnsi="宋体" w:hint="eastAsia"/>
        </w:rPr>
        <w:t>⑥董事、高管适用年度薪酬考评和激励机制，其年薪包含基本年薪和绩效年薪，绩效年薪根据实际经营成果确定并于次年审计考核后兑现。详情请见本节之“董事、高级管理人员薪酬情况”。</w:t>
      </w:r>
      <w:bookmarkStart w:id="148" w:name="_Hlk155082088"/>
    </w:p>
    <w:tbl>
      <w:tblPr>
        <w:tblStyle w:val="g7"/>
        <w:tblW w:w="14089" w:type="dxa"/>
        <w:tblLayout w:type="fixed"/>
        <w:tblLook w:val="04A0" w:firstRow="1" w:lastRow="0" w:firstColumn="1" w:lastColumn="0" w:noHBand="0" w:noVBand="1"/>
      </w:tblPr>
      <w:tblGrid>
        <w:gridCol w:w="1384"/>
        <w:gridCol w:w="12705"/>
      </w:tblGrid>
      <w:tr>
        <w:trPr>
          <w:tblHeader/>
        </w:trPr>
        <w:sdt>
          <w:sdtPr>
            <w:rPr>
              <w:rFonts w:ascii="宋体" w:hAnsi="宋体"/>
              <w:sz w:val="20"/>
              <w:szCs w:val="20"/>
            </w:rPr>
            <w:tag w:val="_PLD_1525b90cb0c248978acb54a7f361f6a2"/>
            <w:id w:val="1011800639"/>
          </w:sdtPr>
          <w:sdtContent>
            <w:tc>
              <w:tcPr>
                <w:tcW w:w="1384" w:type="dxa"/>
                <w:vAlign w:val="center"/>
              </w:tcPr>
              <w:p>
                <w:pPr>
                  <w:jc w:val="center"/>
                  <w:rPr>
                    <w:rFonts w:ascii="宋体" w:hAnsi="宋体"/>
                  </w:rPr>
                </w:pPr>
                <w:r>
                  <w:rPr>
                    <w:rFonts w:ascii="宋体" w:hAnsi="宋体" w:hint="eastAsia"/>
                  </w:rPr>
                  <w:t>姓名</w:t>
                </w:r>
              </w:p>
            </w:tc>
          </w:sdtContent>
        </w:sdt>
        <w:sdt>
          <w:sdtPr>
            <w:rPr>
              <w:rFonts w:ascii="宋体" w:hAnsi="宋体"/>
              <w:sz w:val="20"/>
              <w:szCs w:val="20"/>
            </w:rPr>
            <w:tag w:val="_PLD_61b466aae87d4dac813a38c2c8e6a492"/>
            <w:id w:val="164058015"/>
          </w:sdtPr>
          <w:sdtContent>
            <w:tc>
              <w:tcPr>
                <w:tcW w:w="12705" w:type="dxa"/>
                <w:vAlign w:val="center"/>
              </w:tcPr>
              <w:p>
                <w:pPr>
                  <w:jc w:val="center"/>
                  <w:rPr>
                    <w:rFonts w:ascii="宋体" w:hAnsi="宋体"/>
                  </w:rPr>
                </w:pPr>
                <w:r>
                  <w:rPr>
                    <w:rFonts w:ascii="宋体" w:hAnsi="宋体"/>
                  </w:rPr>
                  <w:t>主要工作经历</w:t>
                </w:r>
              </w:p>
            </w:tc>
          </w:sdtContent>
        </w:sdt>
      </w:tr>
      <w:tr>
        <w:tc>
          <w:tcPr>
            <w:tcW w:w="1384" w:type="dxa"/>
            <w:vAlign w:val="center"/>
          </w:tcPr>
          <w:p>
            <w:pPr>
              <w:jc w:val="center"/>
              <w:rPr>
                <w:rFonts w:ascii="宋体" w:hAnsi="宋体"/>
              </w:rPr>
            </w:pPr>
            <w:r>
              <w:rPr>
                <w:rFonts w:ascii="宋体" w:hAnsi="宋体" w:hint="eastAsia"/>
              </w:rPr>
              <w:t>李  伟</w:t>
            </w:r>
          </w:p>
        </w:tc>
        <w:tc>
          <w:tcPr>
            <w:tcW w:w="12705" w:type="dxa"/>
          </w:tcPr>
          <w:p>
            <w:pPr>
              <w:rPr>
                <w:rFonts w:ascii="宋体" w:hAnsi="宋体"/>
              </w:rPr>
            </w:pPr>
            <w:r>
              <w:rPr>
                <w:rFonts w:ascii="宋体" w:hAnsi="宋体" w:hint="eastAsia"/>
              </w:rPr>
              <w:t>出生于</w:t>
            </w:r>
            <w:r>
              <w:rPr>
                <w:rFonts w:ascii="宋体" w:hAnsi="宋体"/>
              </w:rPr>
              <w:t>1966年9月，</w:t>
            </w:r>
            <w:bookmarkStart w:id="149" w:name="OLE_LINK11"/>
            <w:r>
              <w:rPr>
                <w:rFonts w:ascii="宋体" w:hAnsi="宋体"/>
              </w:rPr>
              <w:t>工程技术应用研究员</w:t>
            </w:r>
            <w:bookmarkEnd w:id="149"/>
            <w:r>
              <w:rPr>
                <w:rFonts w:ascii="宋体" w:hAnsi="宋体"/>
              </w:rPr>
              <w:t>，工学博士，本公司董事长，山东能源党委书记、董事长。李先生1988年加入前身公司，1996年12月任兖矿集团有限公司鲍店煤矿副矿长，2002年5月任兖矿集团有限公司战略资源开发部重组处处长，2002年9月任兖矿锡林能化有限公司党委书记、董事长、总经理，2004年3月主持本公司鲍店煤矿党政全面工作，2004年9月任本公司鲍店煤矿党委副书记、矿长，2007年8月任本公司南屯煤矿党委副书记、矿长，2009年8月任兖矿集团有限公司副总工程师兼安全监察局副局长，2010年4月</w:t>
            </w:r>
            <w:r>
              <w:rPr>
                <w:rFonts w:ascii="宋体" w:hAnsi="宋体" w:hint="eastAsia"/>
              </w:rPr>
              <w:t>任兖矿集团有限公司副总经理、安全监察局局长，</w:t>
            </w:r>
            <w:r>
              <w:rPr>
                <w:rFonts w:ascii="宋体" w:hAnsi="宋体"/>
              </w:rPr>
              <w:t>2015年5月任兖矿集团有限公司党委副书记、董事、总经理，2016年6月任本公司副董事长，2020年8月任华鲁控股集团有限公司党委副书记、董事、总经理，2021年6月任山东能源党委书记、董事长，2021年8月任本公司董事长。李先生毕业于北京科技大学。</w:t>
            </w:r>
          </w:p>
        </w:tc>
      </w:tr>
      <w:tr>
        <w:tc>
          <w:tcPr>
            <w:tcW w:w="1384" w:type="dxa"/>
            <w:vAlign w:val="center"/>
          </w:tcPr>
          <w:p>
            <w:pPr>
              <w:jc w:val="center"/>
              <w:rPr>
                <w:rFonts w:ascii="宋体" w:hAnsi="宋体"/>
              </w:rPr>
            </w:pPr>
            <w:r>
              <w:rPr>
                <w:rFonts w:ascii="宋体" w:hAnsi="宋体" w:hint="eastAsia"/>
              </w:rPr>
              <w:t>王九红</w:t>
            </w:r>
          </w:p>
        </w:tc>
        <w:tc>
          <w:tcPr>
            <w:tcW w:w="12705" w:type="dxa"/>
          </w:tcPr>
          <w:p>
            <w:pPr>
              <w:rPr>
                <w:rFonts w:ascii="宋体" w:hAnsi="宋体"/>
              </w:rPr>
            </w:pPr>
            <w:r>
              <w:rPr>
                <w:rFonts w:ascii="宋体" w:hAnsi="宋体" w:hint="eastAsia"/>
              </w:rPr>
              <w:t>出生于1976年6月，正高级工程师，大学学历，工学学士，本公司党委书记、董事、总经理。王先生2014年9月任本公司南屯煤矿总工程师，2016年12月任兖州煤业鄂尔多斯能化有限公司安源煤矿党总支书记、矿长，2017年10月任本公司生产技术部副部长、通防部副部长，2018年9月任鄂尔多斯市转龙湾煤炭有限公司党总支书记、执行董事、总经理，2020年12月任兖州煤业鄂尔多斯能化有限公司副总经理、内蒙古昊盛煤业有限公司党总支书记、董事、总经理，2021年11月任兖州煤业鄂尔多斯能化有限公司党委书记、总经理，内蒙古昊盛煤业有限公司董事长，2022年6月任内蒙古昊盛煤业有限公司董事，2022年10月任本公司副总经理，兖矿能源（鄂尔多斯）有限公司党委书记、董事长、总经理，内蒙古矿业（集团）有限责任公司党委书记、董事长，2022年12月任本公司党委委员，2023年5月任兖矿能源（鄂尔多斯）有限公司党委书记、董事长，2024年11月任本公司党委书记、总经理，2025年5月任本公司董事。王先生毕业于河北建筑科技学院。</w:t>
            </w:r>
          </w:p>
        </w:tc>
      </w:tr>
      <w:tr>
        <w:tc>
          <w:tcPr>
            <w:tcW w:w="1384" w:type="dxa"/>
            <w:vAlign w:val="center"/>
          </w:tcPr>
          <w:p>
            <w:pPr>
              <w:jc w:val="center"/>
              <w:rPr>
                <w:rFonts w:ascii="宋体" w:hAnsi="宋体"/>
              </w:rPr>
            </w:pPr>
            <w:r>
              <w:rPr>
                <w:rFonts w:ascii="宋体" w:hAnsi="宋体" w:hint="eastAsia"/>
              </w:rPr>
              <w:t>刘  健</w:t>
            </w:r>
          </w:p>
        </w:tc>
        <w:tc>
          <w:tcPr>
            <w:tcW w:w="12705" w:type="dxa"/>
          </w:tcPr>
          <w:p>
            <w:pPr>
              <w:rPr>
                <w:rFonts w:ascii="宋体" w:hAnsi="宋体"/>
              </w:rPr>
            </w:pPr>
            <w:r>
              <w:rPr>
                <w:rFonts w:ascii="宋体" w:hAnsi="宋体" w:hint="eastAsia"/>
              </w:rPr>
              <w:t>出生于</w:t>
            </w:r>
            <w:r>
              <w:rPr>
                <w:rFonts w:ascii="宋体" w:hAnsi="宋体"/>
              </w:rPr>
              <w:t>1969年2月，工程技术应用研究员，工程硕士，本公司董事，山东能源党委常委、副总经理。刘先生1992年加入前身公司，2009年任本公司东滩煤矿副矿长，2014年3月任本公司济宁三号煤矿党委副书记、矿长，2016年1月任本公司东滩煤矿党委副书记、矿长，2016年12月任本公司副总经理，2020年4月任本公司党委书记、总经理，2021年2月任山东能源党委常委、副总经理，2019年5月任本公司董事。刘先生毕业于山东科技大学。</w:t>
            </w:r>
          </w:p>
        </w:tc>
      </w:tr>
      <w:tr>
        <w:tc>
          <w:tcPr>
            <w:tcW w:w="1384" w:type="dxa"/>
            <w:vAlign w:val="center"/>
          </w:tcPr>
          <w:p>
            <w:pPr>
              <w:jc w:val="center"/>
              <w:rPr>
                <w:rFonts w:ascii="宋体" w:hAnsi="宋体"/>
              </w:rPr>
            </w:pPr>
            <w:r>
              <w:rPr>
                <w:rFonts w:ascii="宋体" w:hAnsi="宋体" w:hint="eastAsia"/>
              </w:rPr>
              <w:t xml:space="preserve">刘 </w:t>
            </w:r>
            <w:r>
              <w:rPr>
                <w:rFonts w:ascii="宋体" w:hAnsi="宋体"/>
              </w:rPr>
              <w:t xml:space="preserve"> </w:t>
            </w:r>
            <w:r>
              <w:rPr>
                <w:rFonts w:ascii="宋体" w:hAnsi="宋体" w:hint="eastAsia"/>
              </w:rPr>
              <w:t>强</w:t>
            </w:r>
          </w:p>
        </w:tc>
        <w:tc>
          <w:tcPr>
            <w:tcW w:w="12705" w:type="dxa"/>
          </w:tcPr>
          <w:p>
            <w:pPr>
              <w:rPr>
                <w:rFonts w:ascii="宋体" w:hAnsi="宋体"/>
              </w:rPr>
            </w:pPr>
            <w:r>
              <w:rPr>
                <w:rFonts w:ascii="宋体" w:hAnsi="宋体" w:hint="eastAsia"/>
              </w:rPr>
              <w:t>出生于</w:t>
            </w:r>
            <w:r>
              <w:rPr>
                <w:rFonts w:ascii="宋体" w:hAnsi="宋体"/>
              </w:rPr>
              <w:t>1972年10月，</w:t>
            </w:r>
            <w:r>
              <w:rPr>
                <w:rFonts w:ascii="宋体" w:hAnsi="宋体" w:hint="eastAsia"/>
              </w:rPr>
              <w:t>工程技术应用研究员</w:t>
            </w:r>
            <w:r>
              <w:rPr>
                <w:rFonts w:ascii="宋体" w:hAnsi="宋体"/>
              </w:rPr>
              <w:t>，工程硕士，本公司董事，山东能源党委常委、副总经理。刘先生2008年10月任兖矿国泰化</w:t>
            </w:r>
            <w:r>
              <w:rPr>
                <w:rFonts w:ascii="宋体" w:hAnsi="宋体"/>
              </w:rPr>
              <w:lastRenderedPageBreak/>
              <w:t>工有限公司副总经理，2012年5月任鲁南化工副总经理，2014年3月任兖矿煤化工程有限公司</w:t>
            </w:r>
            <w:r>
              <w:rPr>
                <w:rFonts w:ascii="宋体" w:hAnsi="宋体" w:hint="eastAsia"/>
              </w:rPr>
              <w:t>党委书记、</w:t>
            </w:r>
            <w:r>
              <w:rPr>
                <w:rFonts w:ascii="宋体" w:hAnsi="宋体"/>
              </w:rPr>
              <w:t>执行董事、总经理，2016年4月任鲁南化工党委副书记、总经理，2017年5月任鲁南化工</w:t>
            </w:r>
            <w:r>
              <w:rPr>
                <w:rFonts w:ascii="宋体" w:hAnsi="宋体" w:hint="eastAsia"/>
              </w:rPr>
              <w:t>党委书记、</w:t>
            </w:r>
            <w:r>
              <w:rPr>
                <w:rFonts w:ascii="宋体" w:hAnsi="宋体"/>
              </w:rPr>
              <w:t>董事长、总经理，2019年9月任兖矿化工有限公司副总经理，鲁南化工党委书记、董事长，2021年9月任本公司副总经理，2022年3月任山</w:t>
            </w:r>
            <w:r>
              <w:rPr>
                <w:rFonts w:ascii="宋体" w:hAnsi="宋体" w:hint="eastAsia"/>
              </w:rPr>
              <w:t>东能源党委常委、副总经理，</w:t>
            </w:r>
            <w:r>
              <w:rPr>
                <w:rFonts w:ascii="宋体" w:hAnsi="宋体"/>
              </w:rPr>
              <w:t>2023年6月任本公司董事。刘先生毕业于华东理工大学、浙江大学。</w:t>
            </w:r>
          </w:p>
        </w:tc>
      </w:tr>
      <w:tr>
        <w:tc>
          <w:tcPr>
            <w:tcW w:w="1384" w:type="dxa"/>
            <w:vAlign w:val="center"/>
          </w:tcPr>
          <w:p>
            <w:pPr>
              <w:jc w:val="center"/>
              <w:rPr>
                <w:rFonts w:ascii="宋体" w:hAnsi="宋体"/>
              </w:rPr>
            </w:pPr>
            <w:r>
              <w:rPr>
                <w:rFonts w:ascii="宋体" w:hAnsi="宋体" w:hint="eastAsia"/>
              </w:rPr>
              <w:lastRenderedPageBreak/>
              <w:t>张海军</w:t>
            </w:r>
          </w:p>
        </w:tc>
        <w:tc>
          <w:tcPr>
            <w:tcW w:w="12705" w:type="dxa"/>
          </w:tcPr>
          <w:p>
            <w:pPr>
              <w:rPr>
                <w:rFonts w:ascii="宋体" w:hAnsi="宋体"/>
              </w:rPr>
            </w:pPr>
            <w:r>
              <w:rPr>
                <w:rFonts w:ascii="宋体" w:hAnsi="宋体" w:hint="eastAsia"/>
              </w:rPr>
              <w:t>出生于</w:t>
            </w:r>
            <w:r>
              <w:rPr>
                <w:rFonts w:ascii="宋体" w:hAnsi="宋体"/>
              </w:rPr>
              <w:t>1973年12月，高级会计师，本公司董事，山东能源</w:t>
            </w:r>
            <w:r>
              <w:rPr>
                <w:rFonts w:ascii="宋体" w:hAnsi="宋体" w:hint="eastAsia"/>
              </w:rPr>
              <w:t>副总经济师兼战略规划部</w:t>
            </w:r>
            <w:r>
              <w:rPr>
                <w:rFonts w:ascii="宋体" w:hAnsi="宋体"/>
              </w:rPr>
              <w:t>部长。张先生1996年加入前身公司，2013年12月任兖矿集团有限公司电铝分公司财务处副处长（主持工作），2014年11月任兖矿集团有限公司电铝分公司财务处处长，2015年11月任兖矿集团有限公司电铝分公司财务总监、总法律顾问，2018年5月任兖矿集团有限公司投资发展部部长、决策咨询中心主任，2020年8月任山东能源投资发展部部长，2022年5月任山东能源规划发展部部长</w:t>
            </w:r>
            <w:r>
              <w:rPr>
                <w:rFonts w:ascii="宋体" w:hAnsi="宋体" w:hint="eastAsia"/>
              </w:rPr>
              <w:t>，2024年8月任山东能源战略规划部部长，2025年1月任山东能源副总经济师，</w:t>
            </w:r>
            <w:r>
              <w:rPr>
                <w:rFonts w:ascii="宋体" w:hAnsi="宋体"/>
              </w:rPr>
              <w:t>2023年6月任本公司董事。张先生毕业于中共山东省委党校。</w:t>
            </w:r>
          </w:p>
        </w:tc>
      </w:tr>
      <w:tr>
        <w:tc>
          <w:tcPr>
            <w:tcW w:w="1384" w:type="dxa"/>
            <w:vAlign w:val="center"/>
          </w:tcPr>
          <w:p>
            <w:pPr>
              <w:jc w:val="center"/>
              <w:rPr>
                <w:rFonts w:ascii="宋体" w:hAnsi="宋体"/>
              </w:rPr>
            </w:pPr>
            <w:r>
              <w:rPr>
                <w:rFonts w:ascii="宋体" w:hAnsi="宋体" w:hint="eastAsia"/>
              </w:rPr>
              <w:t>苏</w:t>
            </w:r>
            <w:r>
              <w:rPr>
                <w:rFonts w:ascii="宋体" w:hAnsi="宋体"/>
              </w:rPr>
              <w:t xml:space="preserve">  </w:t>
            </w:r>
            <w:r>
              <w:rPr>
                <w:rFonts w:ascii="宋体" w:hAnsi="宋体" w:hint="eastAsia"/>
              </w:rPr>
              <w:t>力</w:t>
            </w:r>
          </w:p>
        </w:tc>
        <w:tc>
          <w:tcPr>
            <w:tcW w:w="12705" w:type="dxa"/>
          </w:tcPr>
          <w:p>
            <w:pPr>
              <w:rPr>
                <w:rFonts w:ascii="宋体" w:hAnsi="宋体"/>
              </w:rPr>
            </w:pPr>
            <w:r>
              <w:rPr>
                <w:rFonts w:ascii="宋体" w:hAnsi="宋体" w:hint="eastAsia"/>
              </w:rPr>
              <w:t>出生于</w:t>
            </w:r>
            <w:r>
              <w:rPr>
                <w:rFonts w:ascii="宋体" w:hAnsi="宋体"/>
              </w:rPr>
              <w:t>1972年7月，教授级高级政工师、高级经济师，硕士研究生，本公司党委副书记、职工董事、工会主席。苏先生1996年加入前身公司，2008年10月任兖矿集团有限公司总经理办公室副主任，2012年6月任兖矿东华集团有限公司人力资源处处长，2014年3月任本公司人力资源部部长，2016年1月任本公司总经理助理、人力资源部部长，2016年6月任本公司总经理助理、党委组织部（人力资源部）部长，2020年3月任本公司纪委书记，2020年6月任本公司职工监事，2022年9月任本公司党委副书记、工会负责人，2023年</w:t>
            </w:r>
            <w:r>
              <w:rPr>
                <w:rFonts w:ascii="宋体" w:hAnsi="宋体" w:hint="eastAsia"/>
              </w:rPr>
              <w:t>4月任本公司职工董事，2</w:t>
            </w:r>
            <w:r>
              <w:rPr>
                <w:rFonts w:ascii="宋体" w:hAnsi="宋体"/>
              </w:rPr>
              <w:t>023年</w:t>
            </w:r>
            <w:r>
              <w:rPr>
                <w:rFonts w:ascii="宋体" w:hAnsi="宋体" w:hint="eastAsia"/>
              </w:rPr>
              <w:t>5月任本公司工会主席。苏先生毕业于中国矿业大学。</w:t>
            </w:r>
          </w:p>
        </w:tc>
      </w:tr>
      <w:tr>
        <w:tc>
          <w:tcPr>
            <w:tcW w:w="1384" w:type="dxa"/>
            <w:vAlign w:val="center"/>
          </w:tcPr>
          <w:p>
            <w:pPr>
              <w:jc w:val="center"/>
              <w:rPr>
                <w:rFonts w:ascii="宋体" w:hAnsi="宋体"/>
              </w:rPr>
            </w:pPr>
            <w:r>
              <w:rPr>
                <w:rFonts w:ascii="宋体" w:hAnsi="宋体" w:hint="eastAsia"/>
              </w:rPr>
              <w:t>黄霄龙</w:t>
            </w:r>
          </w:p>
        </w:tc>
        <w:tc>
          <w:tcPr>
            <w:tcW w:w="12705" w:type="dxa"/>
          </w:tcPr>
          <w:p>
            <w:pPr>
              <w:rPr>
                <w:rFonts w:ascii="宋体" w:hAnsi="宋体"/>
              </w:rPr>
            </w:pPr>
            <w:r>
              <w:rPr>
                <w:rFonts w:ascii="宋体" w:hAnsi="宋体" w:hint="eastAsia"/>
              </w:rPr>
              <w:t>出生于</w:t>
            </w:r>
            <w:r>
              <w:rPr>
                <w:rFonts w:ascii="宋体" w:hAnsi="宋体"/>
              </w:rPr>
              <w:t>1977年11月，</w:t>
            </w:r>
            <w:r>
              <w:rPr>
                <w:rFonts w:ascii="宋体" w:hAnsi="宋体" w:hint="eastAsia"/>
              </w:rPr>
              <w:t>正</w:t>
            </w:r>
            <w:r>
              <w:rPr>
                <w:rFonts w:ascii="宋体" w:hAnsi="宋体"/>
              </w:rPr>
              <w:t>高级经济师，法律硕士，本公司董事、董事会秘书。黄先生</w:t>
            </w:r>
            <w:r>
              <w:rPr>
                <w:rFonts w:ascii="宋体" w:hAnsi="宋体" w:hint="eastAsia"/>
              </w:rPr>
              <w:t>1999年加入前身公司，</w:t>
            </w:r>
            <w:r>
              <w:rPr>
                <w:rFonts w:ascii="宋体" w:hAnsi="宋体"/>
              </w:rPr>
              <w:t>2006年任本公司证券事务代表，2008年任本公司董事会秘书处副处级秘书，2012年任本公司董事会秘书处副处长，2013年任原山东能源集团有限公司股权改革改制办公室处长，2020年8月任山东能源董事会秘书处部务委员，2021年7月任本公司董事会秘书，2021年8月任本公司董事。黄先生毕业于对外经济贸易大学。</w:t>
            </w:r>
          </w:p>
        </w:tc>
      </w:tr>
      <w:tr>
        <w:tc>
          <w:tcPr>
            <w:tcW w:w="1384" w:type="dxa"/>
            <w:vAlign w:val="center"/>
          </w:tcPr>
          <w:p>
            <w:pPr>
              <w:jc w:val="center"/>
              <w:rPr>
                <w:rFonts w:ascii="宋体" w:hAnsi="宋体"/>
              </w:rPr>
            </w:pPr>
            <w:r>
              <w:rPr>
                <w:rFonts w:ascii="宋体" w:hAnsi="宋体" w:hint="eastAsia"/>
              </w:rPr>
              <w:t>朱利民</w:t>
            </w:r>
          </w:p>
        </w:tc>
        <w:tc>
          <w:tcPr>
            <w:tcW w:w="12705" w:type="dxa"/>
          </w:tcPr>
          <w:p>
            <w:pPr>
              <w:rPr>
                <w:rFonts w:ascii="宋体" w:hAnsi="宋体"/>
              </w:rPr>
            </w:pPr>
            <w:r>
              <w:rPr>
                <w:rFonts w:ascii="宋体" w:hAnsi="宋体" w:hint="eastAsia"/>
              </w:rPr>
              <w:t>出生于1951年10月，经济学硕士，本公司独立董事。朱先生曾任原国家体改委试点司副处长，原国家体改委综合规划试点司处长，原国家体改委下属中华企业股份制咨询公司副总经理，中国证监会稽查部副主任，中国证监会稽查局副局长，中国证监会派出机构工作协调部主任兼投资者教育办公室主任，中信建投证券有限责任公司合规总监、中信建投证券股份有限公司监事会主席。朱先生目前担任焦点科技股份有限公司董事，2020年6月任本公司独立董事。朱先生毕业于南开大学、中国人民大学。</w:t>
            </w:r>
          </w:p>
        </w:tc>
      </w:tr>
      <w:tr>
        <w:tc>
          <w:tcPr>
            <w:tcW w:w="1384" w:type="dxa"/>
            <w:vAlign w:val="center"/>
          </w:tcPr>
          <w:p>
            <w:pPr>
              <w:jc w:val="center"/>
              <w:rPr>
                <w:rFonts w:ascii="宋体" w:hAnsi="宋体"/>
              </w:rPr>
            </w:pPr>
            <w:r>
              <w:rPr>
                <w:rFonts w:ascii="宋体" w:hAnsi="宋体" w:hint="eastAsia"/>
              </w:rPr>
              <w:t>高井祥</w:t>
            </w:r>
          </w:p>
        </w:tc>
        <w:tc>
          <w:tcPr>
            <w:tcW w:w="12705" w:type="dxa"/>
            <w:vAlign w:val="center"/>
          </w:tcPr>
          <w:p>
            <w:pPr>
              <w:rPr>
                <w:rFonts w:ascii="宋体" w:hAnsi="宋体"/>
              </w:rPr>
            </w:pPr>
            <w:r>
              <w:rPr>
                <w:rFonts w:ascii="宋体" w:hAnsi="宋体"/>
              </w:rPr>
              <w:t>出生于1960年4月，工学博士，博士生导师，享受国务院政府特殊津贴</w:t>
            </w:r>
            <w:r>
              <w:rPr>
                <w:rFonts w:ascii="宋体" w:hAnsi="宋体" w:hint="eastAsia"/>
              </w:rPr>
              <w:t>，本公司独立董事</w:t>
            </w:r>
            <w:r>
              <w:rPr>
                <w:rFonts w:ascii="宋体" w:hAnsi="宋体"/>
              </w:rPr>
              <w:t>。高先生主要研究矿山测量、智能测绘。高先生曾任中国矿业大学采矿系副主任、环测学院党委书记、教务处长、研究生院常务副院长。现任中国矿业大学学术委员会副主任、中国矿 业大学教学指导委员会主任、中国矿业大学本科教学咨询专家、国际矿山测量协会（ISM）第一委员会委员、中国工程师联合体工程能力评价委员会委员（承担工程师国际认证工作）、教育部高等学校测绘类专业教学指导委员会委员、中国工程教育专业认证协会测绘地理信息类专业认证委员会委员、全国高等学校教学研究会常务理事</w:t>
            </w:r>
            <w:r>
              <w:rPr>
                <w:rFonts w:ascii="宋体" w:hAnsi="宋体" w:hint="eastAsia"/>
              </w:rPr>
              <w:t>，2025年5月任本公司独立董事</w:t>
            </w:r>
            <w:r>
              <w:rPr>
                <w:rFonts w:ascii="宋体" w:hAnsi="宋体"/>
              </w:rPr>
              <w:t>。高先生毕业于中国矿业大学。</w:t>
            </w:r>
          </w:p>
        </w:tc>
      </w:tr>
      <w:tr>
        <w:tc>
          <w:tcPr>
            <w:tcW w:w="1384" w:type="dxa"/>
            <w:vAlign w:val="center"/>
          </w:tcPr>
          <w:p>
            <w:pPr>
              <w:jc w:val="center"/>
              <w:rPr>
                <w:rFonts w:ascii="宋体" w:hAnsi="宋体"/>
              </w:rPr>
            </w:pPr>
            <w:r>
              <w:rPr>
                <w:rFonts w:ascii="宋体" w:hAnsi="宋体" w:hint="eastAsia"/>
              </w:rPr>
              <w:t>胡家栋</w:t>
            </w:r>
          </w:p>
        </w:tc>
        <w:tc>
          <w:tcPr>
            <w:tcW w:w="12705" w:type="dxa"/>
          </w:tcPr>
          <w:p>
            <w:pPr>
              <w:rPr>
                <w:rFonts w:ascii="宋体" w:hAnsi="宋体"/>
              </w:rPr>
            </w:pPr>
            <w:r>
              <w:rPr>
                <w:rFonts w:ascii="宋体" w:hAnsi="宋体" w:hint="eastAsia"/>
              </w:rPr>
              <w:t>出生于1969年6月，商业学士学位，香港会计师公会资深会员，澳洲会计师公会会员，本公司独立董事。胡先生曾在香港安达信会计师事务所任职执业会计师，及后在荷兰商业银行(ING)、中信证券及瑞士信贷的投资银行部任职，并曾任华能新能源股份有限公司、铁江现货有限公司以及远大中国控股有限公司独立董事。胡先生目前担任国微技术控股有限公司独立董事，2023年6月任本公司独立董事。胡</w:t>
            </w:r>
            <w:r>
              <w:rPr>
                <w:rFonts w:ascii="宋体" w:hAnsi="宋体" w:hint="eastAsia"/>
              </w:rPr>
              <w:lastRenderedPageBreak/>
              <w:t>先生毕业于澳洲新南威尔士大学。</w:t>
            </w:r>
          </w:p>
        </w:tc>
      </w:tr>
      <w:tr>
        <w:tc>
          <w:tcPr>
            <w:tcW w:w="1384" w:type="dxa"/>
            <w:vAlign w:val="center"/>
          </w:tcPr>
          <w:p>
            <w:pPr>
              <w:jc w:val="center"/>
              <w:rPr>
                <w:rFonts w:ascii="宋体" w:hAnsi="宋体"/>
              </w:rPr>
            </w:pPr>
            <w:r>
              <w:rPr>
                <w:rFonts w:ascii="宋体" w:hAnsi="宋体" w:hint="eastAsia"/>
              </w:rPr>
              <w:lastRenderedPageBreak/>
              <w:t>朱  睿</w:t>
            </w:r>
          </w:p>
        </w:tc>
        <w:tc>
          <w:tcPr>
            <w:tcW w:w="12705" w:type="dxa"/>
          </w:tcPr>
          <w:p>
            <w:pPr>
              <w:rPr>
                <w:rFonts w:ascii="宋体" w:hAnsi="宋体"/>
              </w:rPr>
            </w:pPr>
            <w:r>
              <w:rPr>
                <w:rFonts w:ascii="宋体" w:hAnsi="宋体" w:hint="eastAsia"/>
              </w:rPr>
              <w:t>出生于1975年2月，工商管理博士学位，本公司独立董事。朱女士曾任加拿大英属哥伦比亚大学副教授，美国莱斯大学助理教授。朱女士目前担任长江商学院市场营销学教授、ESG与社会创新研究中心主任，并担任九毛九国际控股有限公司、万物新生公司（纽约证券交易所上市公司ATRenew Inc）独立董事，2023年6月任本公司独立董事。朱女士毕业于对外经济贸易大学、美国明尼苏达大学。</w:t>
            </w:r>
          </w:p>
        </w:tc>
      </w:tr>
      <w:tr>
        <w:tc>
          <w:tcPr>
            <w:tcW w:w="1384" w:type="dxa"/>
            <w:vAlign w:val="center"/>
          </w:tcPr>
          <w:p>
            <w:pPr>
              <w:jc w:val="center"/>
              <w:rPr>
                <w:rFonts w:ascii="宋体" w:hAnsi="宋体"/>
              </w:rPr>
            </w:pPr>
            <w:r>
              <w:rPr>
                <w:rFonts w:ascii="宋体" w:hAnsi="宋体" w:hint="eastAsia"/>
              </w:rPr>
              <w:t>康  丹</w:t>
            </w:r>
          </w:p>
        </w:tc>
        <w:tc>
          <w:tcPr>
            <w:tcW w:w="12705" w:type="dxa"/>
          </w:tcPr>
          <w:p>
            <w:pPr>
              <w:rPr>
                <w:rFonts w:ascii="宋体" w:hAnsi="宋体"/>
              </w:rPr>
            </w:pPr>
            <w:r>
              <w:rPr>
                <w:rFonts w:ascii="宋体" w:hAnsi="宋体" w:hint="eastAsia"/>
              </w:rPr>
              <w:t>出生于1980年3月，正高级工程师，大学学历，工程硕士，本公司党委委员、副总经理。康先生2016年3月任本公司南屯煤矿副矿长，2020年4月任本公司南屯煤矿党委副书记、矿长，2021年5月任本公司兴隆庄煤矿党委副书记、矿长，2022年4月任本公司安全总监，2025年4月任本公司副总经理。康先生毕业于中国矿业大学。</w:t>
            </w:r>
          </w:p>
        </w:tc>
      </w:tr>
      <w:tr>
        <w:tc>
          <w:tcPr>
            <w:tcW w:w="1384" w:type="dxa"/>
            <w:vAlign w:val="center"/>
          </w:tcPr>
          <w:p>
            <w:pPr>
              <w:jc w:val="center"/>
              <w:rPr>
                <w:rFonts w:ascii="宋体" w:hAnsi="宋体"/>
              </w:rPr>
            </w:pPr>
            <w:r>
              <w:rPr>
                <w:rFonts w:ascii="宋体" w:hAnsi="宋体" w:hint="eastAsia"/>
              </w:rPr>
              <w:t>张照允</w:t>
            </w:r>
          </w:p>
        </w:tc>
        <w:tc>
          <w:tcPr>
            <w:tcW w:w="12705" w:type="dxa"/>
          </w:tcPr>
          <w:p>
            <w:pPr>
              <w:rPr>
                <w:rFonts w:ascii="宋体" w:hAnsi="宋体"/>
              </w:rPr>
            </w:pPr>
            <w:r>
              <w:rPr>
                <w:rFonts w:ascii="宋体" w:hAnsi="宋体" w:hint="eastAsia"/>
              </w:rPr>
              <w:t>出生于1980年10月，正高级工程师，工程硕士，本公司党委委员、总工程师。张先生2017年8月任本公司兴隆庄煤矿总工程师，2022年1月任本公司鲍店煤矿总工程师，2022年4月任本公司兴隆庄煤矿党委副书记、矿长，2023年5月任本公司东滩煤矿党委副书记、矿长。2024年6月任本公司总工程师。张先生毕业于山东科技大学。</w:t>
            </w:r>
          </w:p>
        </w:tc>
      </w:tr>
      <w:tr>
        <w:tc>
          <w:tcPr>
            <w:tcW w:w="1384" w:type="dxa"/>
            <w:vAlign w:val="center"/>
          </w:tcPr>
          <w:p>
            <w:pPr>
              <w:jc w:val="center"/>
              <w:rPr>
                <w:rFonts w:ascii="宋体" w:hAnsi="宋体"/>
              </w:rPr>
            </w:pPr>
            <w:r>
              <w:rPr>
                <w:rFonts w:ascii="宋体" w:hAnsi="宋体" w:hint="eastAsia"/>
              </w:rPr>
              <w:t>高春雷</w:t>
            </w:r>
          </w:p>
        </w:tc>
        <w:tc>
          <w:tcPr>
            <w:tcW w:w="12705" w:type="dxa"/>
          </w:tcPr>
          <w:p>
            <w:pPr>
              <w:rPr>
                <w:rFonts w:ascii="宋体" w:hAnsi="宋体"/>
              </w:rPr>
            </w:pPr>
            <w:r>
              <w:rPr>
                <w:rFonts w:ascii="宋体" w:hAnsi="宋体" w:hint="eastAsia"/>
              </w:rPr>
              <w:t>出生于1981年5月，正高级工程师，工程硕士，本公司党委委员、总工程师（化工）。高先生2011年11月任兖州煤业榆林能化有限公司甲醇厂党委委员、副厂长，2018年11月任兖州煤业榆林能化有限公司党委副书记、厂长，2021年10月任兖州煤业榆林能化有限公司党委书记、董事长、总经理，2022年6月任兖矿能源集团股份有限公司山东能源化工分公司党委委员、副总经理，2022年10月任兖矿能源集团股份有限公司山东能源化工分公司党委委员、副总经理、安全总监，2023年10月任兖矿能源现代煤化工事业部总经理，2024年3月任本公司总工程师（化工）。高先生毕业于黑龙江科技学院。</w:t>
            </w:r>
          </w:p>
        </w:tc>
      </w:tr>
      <w:tr>
        <w:tc>
          <w:tcPr>
            <w:tcW w:w="1384" w:type="dxa"/>
            <w:vAlign w:val="center"/>
          </w:tcPr>
          <w:p>
            <w:pPr>
              <w:jc w:val="center"/>
              <w:rPr>
                <w:rFonts w:ascii="宋体" w:hAnsi="宋体"/>
              </w:rPr>
            </w:pPr>
            <w:r>
              <w:rPr>
                <w:rFonts w:ascii="宋体" w:hAnsi="宋体" w:hint="eastAsia"/>
              </w:rPr>
              <w:t>岳  宁</w:t>
            </w:r>
          </w:p>
        </w:tc>
        <w:tc>
          <w:tcPr>
            <w:tcW w:w="12705" w:type="dxa"/>
          </w:tcPr>
          <w:p>
            <w:pPr>
              <w:rPr>
                <w:rFonts w:ascii="宋体" w:hAnsi="宋体"/>
              </w:rPr>
            </w:pPr>
            <w:r>
              <w:rPr>
                <w:rFonts w:ascii="宋体" w:hAnsi="宋体" w:hint="eastAsia"/>
              </w:rPr>
              <w:t>出生于1978年8月，工程技术应用研究员，大学学历，本公司副总经理。岳先生2015年6月任陕西未来能源化工有限公司金鸡滩煤矿总工程师，2018年12月任金鸡滩煤矿副矿长，2020年4月任金鸡滩煤矿矿长，2023年9月任兖煤澳大利亚有限公司执行董事、联席副董事长、执行委员会主席，2023年10月任本公司副总经理。岳先生毕业于中国矿业大学。</w:t>
            </w:r>
          </w:p>
        </w:tc>
      </w:tr>
      <w:tr>
        <w:tc>
          <w:tcPr>
            <w:tcW w:w="1384" w:type="dxa"/>
            <w:vAlign w:val="center"/>
          </w:tcPr>
          <w:p>
            <w:pPr>
              <w:jc w:val="center"/>
              <w:rPr>
                <w:rFonts w:ascii="宋体" w:hAnsi="宋体"/>
              </w:rPr>
            </w:pPr>
            <w:r>
              <w:rPr>
                <w:rFonts w:ascii="宋体" w:hAnsi="宋体" w:hint="eastAsia"/>
              </w:rPr>
              <w:t>赵治国</w:t>
            </w:r>
          </w:p>
        </w:tc>
        <w:tc>
          <w:tcPr>
            <w:tcW w:w="12705" w:type="dxa"/>
          </w:tcPr>
          <w:p>
            <w:pPr>
              <w:rPr>
                <w:rFonts w:ascii="宋体" w:hAnsi="宋体"/>
              </w:rPr>
            </w:pPr>
            <w:r>
              <w:rPr>
                <w:rFonts w:ascii="宋体" w:hAnsi="宋体" w:hint="eastAsia"/>
              </w:rPr>
              <w:t>出生于1978年4月，高级会计师，大学学历，本公司财务总监。赵先生2016年8月任临沂矿业集团菏泽煤电有限公司党委委员、总会计师，2017年9月任临矿集团财务部副部长（主持工作）、资本证券化领导小组办公室副主任，2018年8月任临矿集团财务部部长、大数据分析室主任、资本证券化领导小组办公室副主任。2021年10月任山东能源财务管理部部务委员，2022年2月任本公司财务管理部部长，2023年10月任本公司财务总监。赵先生毕业于陕西科技大学。</w:t>
            </w:r>
          </w:p>
        </w:tc>
      </w:tr>
      <w:tr>
        <w:tc>
          <w:tcPr>
            <w:tcW w:w="1384" w:type="dxa"/>
            <w:vAlign w:val="center"/>
          </w:tcPr>
          <w:p>
            <w:pPr>
              <w:jc w:val="center"/>
              <w:rPr>
                <w:rFonts w:ascii="宋体" w:hAnsi="宋体"/>
              </w:rPr>
            </w:pPr>
            <w:r>
              <w:rPr>
                <w:rFonts w:ascii="宋体" w:hAnsi="宋体" w:hint="eastAsia"/>
              </w:rPr>
              <w:t>徐长厚</w:t>
            </w:r>
          </w:p>
        </w:tc>
        <w:tc>
          <w:tcPr>
            <w:tcW w:w="12705" w:type="dxa"/>
          </w:tcPr>
          <w:p>
            <w:pPr>
              <w:rPr>
                <w:rFonts w:ascii="宋体" w:hAnsi="宋体"/>
              </w:rPr>
            </w:pPr>
            <w:r>
              <w:rPr>
                <w:rFonts w:ascii="宋体" w:hAnsi="宋体"/>
              </w:rPr>
              <w:t>出生于1980年2月，</w:t>
            </w:r>
            <w:r>
              <w:rPr>
                <w:rFonts w:ascii="宋体" w:hAnsi="宋体" w:hint="eastAsia"/>
              </w:rPr>
              <w:t>正</w:t>
            </w:r>
            <w:r>
              <w:rPr>
                <w:rFonts w:ascii="宋体" w:hAnsi="宋体"/>
              </w:rPr>
              <w:t>高级工程师，大学学历，工程硕士</w:t>
            </w:r>
            <w:r>
              <w:rPr>
                <w:rFonts w:ascii="宋体" w:hAnsi="宋体" w:hint="eastAsia"/>
              </w:rPr>
              <w:t>，本公司副总经理</w:t>
            </w:r>
            <w:r>
              <w:rPr>
                <w:rFonts w:ascii="宋体" w:hAnsi="宋体"/>
              </w:rPr>
              <w:t>。徐先生2018年10月任本公司鲍店煤矿安全监察处处长、安全总监，2020年4月任本公司鲍店煤矿副矿长，2022年1月任本公司南屯煤矿党委副书记、矿长，2022年10月任本公司营销中心党委书记、主任，山东中垠国际贸易有限公司董事长，2023年11月任本公司鲍店煤矿党委副书记、矿长</w:t>
            </w:r>
            <w:r>
              <w:rPr>
                <w:rFonts w:ascii="宋体" w:hAnsi="宋体" w:hint="eastAsia"/>
              </w:rPr>
              <w:t>，2025年4月任本公司副总经理</w:t>
            </w:r>
            <w:r>
              <w:rPr>
                <w:rFonts w:ascii="宋体" w:hAnsi="宋体"/>
              </w:rPr>
              <w:t>。徐先生毕业于中国矿业大学。</w:t>
            </w:r>
          </w:p>
        </w:tc>
      </w:tr>
      <w:tr>
        <w:tc>
          <w:tcPr>
            <w:tcW w:w="1384" w:type="dxa"/>
            <w:vAlign w:val="center"/>
          </w:tcPr>
          <w:p>
            <w:pPr>
              <w:jc w:val="center"/>
              <w:rPr>
                <w:rFonts w:ascii="宋体" w:hAnsi="宋体"/>
              </w:rPr>
            </w:pPr>
            <w:r>
              <w:rPr>
                <w:rFonts w:ascii="宋体" w:hAnsi="宋体" w:hint="eastAsia"/>
              </w:rPr>
              <w:t>齐俊铭</w:t>
            </w:r>
          </w:p>
        </w:tc>
        <w:tc>
          <w:tcPr>
            <w:tcW w:w="12705" w:type="dxa"/>
          </w:tcPr>
          <w:p>
            <w:pPr>
              <w:rPr>
                <w:rFonts w:ascii="宋体" w:hAnsi="宋体"/>
              </w:rPr>
            </w:pPr>
            <w:r>
              <w:rPr>
                <w:rFonts w:ascii="宋体" w:hAnsi="宋体"/>
              </w:rPr>
              <w:t>出生于1974年11月，</w:t>
            </w:r>
            <w:r>
              <w:rPr>
                <w:rFonts w:ascii="宋体" w:hAnsi="宋体" w:hint="eastAsia"/>
              </w:rPr>
              <w:t>正</w:t>
            </w:r>
            <w:r>
              <w:rPr>
                <w:rFonts w:ascii="宋体" w:hAnsi="宋体"/>
              </w:rPr>
              <w:t>高级工程师，大学学历，工程硕士</w:t>
            </w:r>
            <w:r>
              <w:rPr>
                <w:rFonts w:ascii="宋体" w:hAnsi="宋体" w:hint="eastAsia"/>
              </w:rPr>
              <w:t>，本公司安全总监</w:t>
            </w:r>
            <w:r>
              <w:rPr>
                <w:rFonts w:ascii="宋体" w:hAnsi="宋体"/>
              </w:rPr>
              <w:t>。齐先生2014年12月任本公司东滩煤矿安全监察处处长，2016年6月任鄂尔多斯市转龙湾煤炭有限公司党总支部书记、总经理，2016年12月任内蒙古昊盛煤业有限公司党总支部书记、董事、总经理，2018年9月任兖州煤业鄂尔多斯能化有限公司总经理助理，2020年12月任鄂尔多斯市转龙湾煤炭有限公司党总支部书记、执行董事，2022年11月任本公司调度指挥中心主任，2023年11月任本公司济宁二号煤矿党委书记、矿长，2024年8月任兖煤菏泽能化有限</w:t>
            </w:r>
            <w:r>
              <w:rPr>
                <w:rFonts w:ascii="宋体" w:hAnsi="宋体"/>
              </w:rPr>
              <w:lastRenderedPageBreak/>
              <w:t>公司党委副书记、董事长、总经理，赵楼煤矿党委副书记、矿长</w:t>
            </w:r>
            <w:r>
              <w:rPr>
                <w:rFonts w:ascii="宋体" w:hAnsi="宋体" w:hint="eastAsia"/>
              </w:rPr>
              <w:t>，2025年4月任本公司安全总监</w:t>
            </w:r>
            <w:r>
              <w:rPr>
                <w:rFonts w:ascii="宋体" w:hAnsi="宋体"/>
              </w:rPr>
              <w:t>。齐先生毕业于山东科技大学。</w:t>
            </w:r>
          </w:p>
        </w:tc>
      </w:tr>
      <w:tr>
        <w:tc>
          <w:tcPr>
            <w:tcW w:w="1384" w:type="dxa"/>
            <w:vAlign w:val="center"/>
          </w:tcPr>
          <w:p>
            <w:pPr>
              <w:jc w:val="center"/>
              <w:rPr>
                <w:rFonts w:ascii="宋体" w:hAnsi="宋体"/>
              </w:rPr>
            </w:pPr>
            <w:r>
              <w:rPr>
                <w:rFonts w:ascii="宋体" w:hAnsi="宋体" w:hint="eastAsia"/>
              </w:rPr>
              <w:lastRenderedPageBreak/>
              <w:t>李建忠</w:t>
            </w:r>
          </w:p>
        </w:tc>
        <w:tc>
          <w:tcPr>
            <w:tcW w:w="12705" w:type="dxa"/>
          </w:tcPr>
          <w:p>
            <w:pPr>
              <w:rPr>
                <w:rFonts w:ascii="宋体" w:hAnsi="宋体"/>
              </w:rPr>
            </w:pPr>
            <w:r>
              <w:rPr>
                <w:rFonts w:ascii="宋体" w:hAnsi="宋体"/>
              </w:rPr>
              <w:t>出生于1982年2月，正高级工程师，大学学历，工程硕士</w:t>
            </w:r>
            <w:r>
              <w:rPr>
                <w:rFonts w:ascii="宋体" w:hAnsi="宋体" w:hint="eastAsia"/>
              </w:rPr>
              <w:t>，本公司副总经理</w:t>
            </w:r>
            <w:r>
              <w:rPr>
                <w:rFonts w:ascii="宋体" w:hAnsi="宋体"/>
              </w:rPr>
              <w:t>。李先生2015年10月任淄博矿业集团有限责任公司（“淄矿集团”）陕西正通煤业有限责任公司（“正通煤业”）副总经理；2016年10月任淄矿集团正通煤业党委委员、副总经理；2022年4月任西北矿业陕西长武亭南煤业有限责任公司党委副书记、总经理；2023年7月任西北矿业山西朔州平鲁区龙矿大恒煤业有限公司（“大恒煤业”</w:t>
            </w:r>
            <w:r>
              <w:rPr>
                <w:rFonts w:ascii="宋体" w:hAnsi="宋体" w:hint="eastAsia"/>
              </w:rPr>
              <w:t>）</w:t>
            </w:r>
            <w:r>
              <w:rPr>
                <w:rFonts w:ascii="宋体" w:hAnsi="宋体"/>
              </w:rPr>
              <w:t>党委书记、董事长、总经理，山西龙矿能源投资开发有限公司（“龙矿投资”</w:t>
            </w:r>
            <w:r>
              <w:rPr>
                <w:rFonts w:ascii="宋体" w:hAnsi="宋体" w:hint="eastAsia"/>
              </w:rPr>
              <w:t>）</w:t>
            </w:r>
            <w:r>
              <w:rPr>
                <w:rFonts w:ascii="宋体" w:hAnsi="宋体"/>
              </w:rPr>
              <w:t>党委书记、执行董事、总经理；2023年10月任西北矿业大恒煤业党委书记、董事长、总经理，龙矿投资党委书记、执行董事、总经理，山西龙矿晋北煤机有限责任公司董事长；2025年1月任西北矿业大恒煤业党委书记、董事长、总经理，龙矿投资党委书记、执行董事、总经理。</w:t>
            </w:r>
            <w:r>
              <w:rPr>
                <w:rFonts w:ascii="宋体" w:hAnsi="宋体" w:hint="eastAsia"/>
              </w:rPr>
              <w:t>2025年11月任本公司副总经理</w:t>
            </w:r>
            <w:r>
              <w:rPr>
                <w:rFonts w:ascii="宋体" w:hAnsi="宋体"/>
              </w:rPr>
              <w:t>。李先生毕业于中国矿业大学</w:t>
            </w:r>
            <w:r>
              <w:rPr>
                <w:rFonts w:ascii="宋体" w:hAnsi="宋体" w:hint="eastAsia"/>
              </w:rPr>
              <w:t>。</w:t>
            </w:r>
          </w:p>
        </w:tc>
      </w:tr>
      <w:tr>
        <w:tc>
          <w:tcPr>
            <w:tcW w:w="1384" w:type="dxa"/>
            <w:vAlign w:val="center"/>
          </w:tcPr>
          <w:p>
            <w:pPr>
              <w:jc w:val="center"/>
              <w:rPr>
                <w:rFonts w:ascii="宋体" w:hAnsi="宋体"/>
              </w:rPr>
            </w:pPr>
            <w:r>
              <w:rPr>
                <w:rFonts w:ascii="宋体" w:hAnsi="宋体" w:hint="eastAsia"/>
              </w:rPr>
              <w:t>张  磊</w:t>
            </w:r>
          </w:p>
        </w:tc>
        <w:tc>
          <w:tcPr>
            <w:tcW w:w="12705" w:type="dxa"/>
          </w:tcPr>
          <w:p>
            <w:pPr>
              <w:rPr>
                <w:rFonts w:ascii="宋体" w:hAnsi="宋体"/>
              </w:rPr>
            </w:pPr>
            <w:r>
              <w:rPr>
                <w:rFonts w:ascii="宋体" w:hAnsi="宋体" w:hint="eastAsia"/>
              </w:rPr>
              <w:t>出生于1972年5月，国际注册高级会计师、澳洲注册会计师，工商管理硕士、经济学博士，本公司投资总监。张先生2008年9月至2010年9月担任西门子（中国）有限公司副总裁兼西门子东北亚房地产集团首席财务官；2010年9月至2012年6月担任中铝矿业国际执行董事兼首席财务官，中铝海外控股有限公司副总裁兼首席财务官；2012年7月至2013年3月担任壳牌远东区商务财务并购总经理；2013年3月至2014年3月担任韩国SK大中华区高级副总裁兼董事总经理。张先生于2014年加入本公司，历任兖煤澳洲首席财务官、澳斯达首席执行官、兖煤国际总经理，2020年3月任本公司投资总监。张先生毕业于北京大学光华管理学院、中国社会科学院研究生院。</w:t>
            </w:r>
          </w:p>
        </w:tc>
      </w:tr>
    </w:tbl>
    <w:p>
      <w:pPr>
        <w:pStyle w:val="Style49"/>
      </w:pPr>
    </w:p>
    <w:bookmarkEnd w:id="148"/>
    <w:p>
      <w:pPr>
        <w:pStyle w:val="Style49"/>
      </w:pPr>
      <w:r>
        <w:t>其它情况说明</w:t>
      </w:r>
    </w:p>
    <w:sdt>
      <w:sdtPr>
        <w:alias w:val="是否适用：董事、监事 和高级管理人员持股变动及报酬情况其他情况说明[双击切换]"/>
        <w:tag w:val="_GBC_9b04f21816b544bc9606e29c2556c9ba"/>
        <w:id w:val="1633668750"/>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141"/>
    <w:p>
      <w:pPr>
        <w:pStyle w:val="Style49"/>
      </w:pPr>
    </w:p>
    <w:p>
      <w:pPr>
        <w:sectPr>
          <w:pgSz w:w="16838" w:h="11906" w:orient="landscape"/>
          <w:pgMar w:top="1797" w:right="1525" w:bottom="1276" w:left="1440" w:header="855" w:footer="992" w:gutter="0"/>
          <w:cols w:space="425"/>
          <w:docGrid w:linePitch="312"/>
        </w:sectPr>
      </w:pPr>
    </w:p>
    <w:p>
      <w:pPr>
        <w:pStyle w:val="Style52"/>
        <w:numPr>
          <w:ilvl w:val="0"/>
          <w:numId w:val="25"/>
        </w:numPr>
        <w:ind w:left="0" w:firstLine="0"/>
      </w:pPr>
      <w:r>
        <w:rPr>
          <w:rFonts w:hint="eastAsia"/>
        </w:rPr>
        <w:lastRenderedPageBreak/>
        <w:t>现任及报告期内离任董事和高级管理人员的任职情况</w:t>
      </w:r>
    </w:p>
    <w:p>
      <w:pPr>
        <w:pStyle w:val="Style53"/>
        <w:numPr>
          <w:ilvl w:val="0"/>
          <w:numId w:val="26"/>
        </w:numPr>
      </w:pPr>
      <w:r>
        <w:t>在股东单位任职情况</w:t>
      </w:r>
    </w:p>
    <w:sdt>
      <w:sdtPr>
        <w:alias w:val="是否适用：在股东单位任职情况[双击切换]"/>
        <w:tag w:val="_GBC_c450b54d9ea443cf85cc614c8528526b"/>
        <w:id w:val="-1813786449"/>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g7"/>
        <w:tblW w:w="9048" w:type="dxa"/>
        <w:tblLayout w:type="fixed"/>
        <w:tblLook w:val="04A0" w:firstRow="1" w:lastRow="0" w:firstColumn="1" w:lastColumn="0" w:noHBand="0" w:noVBand="1"/>
      </w:tblPr>
      <w:tblGrid>
        <w:gridCol w:w="1696"/>
        <w:gridCol w:w="1560"/>
        <w:gridCol w:w="3969"/>
        <w:gridCol w:w="1823"/>
      </w:tblGrid>
      <w:tr>
        <w:trPr>
          <w:trHeight w:val="105"/>
        </w:trPr>
        <w:sdt>
          <w:sdtPr>
            <w:tag w:val="_PLD_11f45a37b8cb4cfd8d25787f0979b6e9"/>
            <w:id w:val="717169725"/>
          </w:sdtPr>
          <w:sdtContent>
            <w:tc>
              <w:tcPr>
                <w:tcW w:w="1696" w:type="dxa"/>
                <w:vAlign w:val="center"/>
              </w:tcPr>
              <w:p>
                <w:pPr>
                  <w:jc w:val="center"/>
                </w:pPr>
                <w:r>
                  <w:t>任职人员姓名</w:t>
                </w:r>
              </w:p>
            </w:tc>
          </w:sdtContent>
        </w:sdt>
        <w:sdt>
          <w:sdtPr>
            <w:tag w:val="_PLD_174ff645994f420ea5626aa7d6f5ddb5"/>
            <w:id w:val="-1751569056"/>
          </w:sdtPr>
          <w:sdtContent>
            <w:tc>
              <w:tcPr>
                <w:tcW w:w="1560" w:type="dxa"/>
                <w:vAlign w:val="center"/>
              </w:tcPr>
              <w:p>
                <w:pPr>
                  <w:jc w:val="center"/>
                </w:pPr>
                <w:r>
                  <w:t>股东单位名称</w:t>
                </w:r>
              </w:p>
            </w:tc>
          </w:sdtContent>
        </w:sdt>
        <w:sdt>
          <w:sdtPr>
            <w:tag w:val="_PLD_c5b9ccac06314dc19400d1f75f51ed76"/>
            <w:id w:val="17369146"/>
          </w:sdtPr>
          <w:sdtContent>
            <w:tc>
              <w:tcPr>
                <w:tcW w:w="3969" w:type="dxa"/>
                <w:vAlign w:val="center"/>
              </w:tcPr>
              <w:p>
                <w:pPr>
                  <w:jc w:val="center"/>
                </w:pPr>
                <w:r>
                  <w:t>在股东单位担任的职务</w:t>
                </w:r>
              </w:p>
            </w:tc>
          </w:sdtContent>
        </w:sdt>
        <w:sdt>
          <w:sdtPr>
            <w:tag w:val="_PLD_6d359bac7e194427adef03e3d072f875"/>
            <w:id w:val="-490710572"/>
          </w:sdtPr>
          <w:sdtContent>
            <w:tc>
              <w:tcPr>
                <w:tcW w:w="1823" w:type="dxa"/>
                <w:vAlign w:val="center"/>
              </w:tcPr>
              <w:p>
                <w:pPr>
                  <w:jc w:val="center"/>
                </w:pPr>
                <w:r>
                  <w:t>任期起始日期</w:t>
                </w:r>
              </w:p>
            </w:tc>
          </w:sdtContent>
        </w:sdt>
      </w:tr>
      <w:tr>
        <w:trPr>
          <w:trHeight w:val="147"/>
        </w:trPr>
        <w:tc>
          <w:tcPr>
            <w:tcW w:w="1696" w:type="dxa"/>
          </w:tcPr>
          <w:p>
            <w:pPr>
              <w:jc w:val="center"/>
              <w:rPr>
                <w:rFonts w:ascii="宋体" w:hAnsi="宋体"/>
              </w:rPr>
            </w:pPr>
            <w:r>
              <w:rPr>
                <w:rFonts w:ascii="宋体" w:hAnsi="宋体" w:hint="eastAsia"/>
              </w:rPr>
              <w:t>李  伟</w:t>
            </w:r>
          </w:p>
        </w:tc>
        <w:tc>
          <w:tcPr>
            <w:tcW w:w="1560" w:type="dxa"/>
            <w:vAlign w:val="center"/>
          </w:tcPr>
          <w:p>
            <w:pPr>
              <w:jc w:val="center"/>
              <w:rPr>
                <w:rFonts w:ascii="宋体" w:hAnsi="宋体"/>
              </w:rPr>
            </w:pPr>
            <w:r>
              <w:rPr>
                <w:rFonts w:ascii="宋体" w:hAnsi="宋体" w:hint="eastAsia"/>
              </w:rPr>
              <w:t>山东能源</w:t>
            </w:r>
          </w:p>
        </w:tc>
        <w:tc>
          <w:tcPr>
            <w:tcW w:w="3969" w:type="dxa"/>
          </w:tcPr>
          <w:p>
            <w:pPr>
              <w:rPr>
                <w:rFonts w:ascii="宋体" w:hAnsi="宋体"/>
              </w:rPr>
            </w:pPr>
            <w:r>
              <w:rPr>
                <w:rFonts w:ascii="宋体" w:hAnsi="宋体" w:hint="eastAsia"/>
              </w:rPr>
              <w:t>党委书记、董事长</w:t>
            </w:r>
          </w:p>
        </w:tc>
        <w:tc>
          <w:tcPr>
            <w:tcW w:w="1823" w:type="dxa"/>
            <w:vAlign w:val="center"/>
          </w:tcPr>
          <w:p>
            <w:pPr>
              <w:jc w:val="center"/>
              <w:rPr>
                <w:rFonts w:ascii="宋体" w:hAnsi="宋体"/>
              </w:rPr>
            </w:pPr>
            <w:r>
              <w:rPr>
                <w:rFonts w:ascii="宋体" w:hAnsi="宋体" w:hint="eastAsia"/>
              </w:rPr>
              <w:t>2021-06-29</w:t>
            </w:r>
          </w:p>
        </w:tc>
      </w:tr>
      <w:tr>
        <w:trPr>
          <w:trHeight w:val="147"/>
        </w:trPr>
        <w:tc>
          <w:tcPr>
            <w:tcW w:w="1696" w:type="dxa"/>
          </w:tcPr>
          <w:p>
            <w:pPr>
              <w:jc w:val="center"/>
              <w:rPr>
                <w:rFonts w:ascii="宋体" w:hAnsi="宋体"/>
              </w:rPr>
            </w:pPr>
            <w:r>
              <w:rPr>
                <w:rFonts w:ascii="宋体" w:hAnsi="宋体" w:hint="eastAsia"/>
              </w:rPr>
              <w:t>刘  健</w:t>
            </w:r>
          </w:p>
        </w:tc>
        <w:tc>
          <w:tcPr>
            <w:tcW w:w="1560" w:type="dxa"/>
            <w:vAlign w:val="center"/>
          </w:tcPr>
          <w:p>
            <w:pPr>
              <w:jc w:val="center"/>
              <w:rPr>
                <w:rFonts w:ascii="宋体" w:hAnsi="宋体"/>
              </w:rPr>
            </w:pPr>
            <w:r>
              <w:rPr>
                <w:rFonts w:ascii="宋体" w:hAnsi="宋体" w:hint="eastAsia"/>
              </w:rPr>
              <w:t>山东能源</w:t>
            </w:r>
          </w:p>
        </w:tc>
        <w:tc>
          <w:tcPr>
            <w:tcW w:w="3969" w:type="dxa"/>
          </w:tcPr>
          <w:p>
            <w:pPr>
              <w:rPr>
                <w:rFonts w:ascii="宋体" w:hAnsi="宋体"/>
              </w:rPr>
            </w:pPr>
            <w:r>
              <w:rPr>
                <w:rFonts w:ascii="宋体" w:hAnsi="宋体" w:hint="eastAsia"/>
              </w:rPr>
              <w:t>党委常委、副总经理</w:t>
            </w:r>
          </w:p>
        </w:tc>
        <w:tc>
          <w:tcPr>
            <w:tcW w:w="1823" w:type="dxa"/>
            <w:vAlign w:val="center"/>
          </w:tcPr>
          <w:p>
            <w:pPr>
              <w:jc w:val="center"/>
              <w:rPr>
                <w:rFonts w:ascii="宋体" w:hAnsi="宋体"/>
              </w:rPr>
            </w:pPr>
            <w:r>
              <w:rPr>
                <w:rFonts w:ascii="宋体" w:hAnsi="宋体" w:hint="eastAsia"/>
              </w:rPr>
              <w:t>2021-02-02</w:t>
            </w:r>
          </w:p>
        </w:tc>
      </w:tr>
      <w:tr>
        <w:trPr>
          <w:trHeight w:val="147"/>
        </w:trPr>
        <w:tc>
          <w:tcPr>
            <w:tcW w:w="1696" w:type="dxa"/>
          </w:tcPr>
          <w:p>
            <w:pPr>
              <w:jc w:val="center"/>
              <w:rPr>
                <w:rFonts w:ascii="宋体" w:hAnsi="宋体"/>
              </w:rPr>
            </w:pPr>
            <w:r>
              <w:rPr>
                <w:rFonts w:ascii="宋体" w:hAnsi="宋体" w:hint="eastAsia"/>
              </w:rPr>
              <w:t>刘  强</w:t>
            </w:r>
          </w:p>
        </w:tc>
        <w:tc>
          <w:tcPr>
            <w:tcW w:w="1560" w:type="dxa"/>
            <w:vAlign w:val="center"/>
          </w:tcPr>
          <w:p>
            <w:pPr>
              <w:jc w:val="center"/>
              <w:rPr>
                <w:rFonts w:ascii="宋体" w:hAnsi="宋体"/>
              </w:rPr>
            </w:pPr>
            <w:r>
              <w:rPr>
                <w:rFonts w:ascii="宋体" w:hAnsi="宋体" w:hint="eastAsia"/>
              </w:rPr>
              <w:t>山东能源</w:t>
            </w:r>
          </w:p>
        </w:tc>
        <w:tc>
          <w:tcPr>
            <w:tcW w:w="3969" w:type="dxa"/>
          </w:tcPr>
          <w:p>
            <w:pPr>
              <w:rPr>
                <w:rFonts w:ascii="宋体" w:hAnsi="宋体"/>
              </w:rPr>
            </w:pPr>
            <w:r>
              <w:rPr>
                <w:rFonts w:ascii="宋体" w:hAnsi="宋体" w:hint="eastAsia"/>
              </w:rPr>
              <w:t>党委常委、副总经理</w:t>
            </w:r>
          </w:p>
        </w:tc>
        <w:tc>
          <w:tcPr>
            <w:tcW w:w="1823" w:type="dxa"/>
            <w:vAlign w:val="center"/>
          </w:tcPr>
          <w:p>
            <w:pPr>
              <w:jc w:val="center"/>
              <w:rPr>
                <w:rFonts w:ascii="宋体" w:hAnsi="宋体"/>
              </w:rPr>
            </w:pPr>
            <w:r>
              <w:rPr>
                <w:rFonts w:ascii="宋体" w:hAnsi="宋体" w:hint="eastAsia"/>
              </w:rPr>
              <w:t>2022-03-14</w:t>
            </w:r>
          </w:p>
        </w:tc>
      </w:tr>
      <w:tr>
        <w:trPr>
          <w:trHeight w:val="147"/>
        </w:trPr>
        <w:tc>
          <w:tcPr>
            <w:tcW w:w="1696" w:type="dxa"/>
            <w:vMerge w:val="restart"/>
            <w:vAlign w:val="center"/>
          </w:tcPr>
          <w:p>
            <w:pPr>
              <w:jc w:val="center"/>
              <w:rPr>
                <w:rFonts w:ascii="宋体" w:hAnsi="宋体"/>
              </w:rPr>
            </w:pPr>
            <w:r>
              <w:rPr>
                <w:rFonts w:ascii="宋体" w:hAnsi="宋体" w:hint="eastAsia"/>
              </w:rPr>
              <w:t>张海军</w:t>
            </w:r>
          </w:p>
        </w:tc>
        <w:tc>
          <w:tcPr>
            <w:tcW w:w="1560" w:type="dxa"/>
            <w:vMerge w:val="restart"/>
            <w:vAlign w:val="center"/>
          </w:tcPr>
          <w:p>
            <w:pPr>
              <w:jc w:val="center"/>
              <w:rPr>
                <w:rFonts w:ascii="宋体" w:hAnsi="宋体"/>
              </w:rPr>
            </w:pPr>
            <w:r>
              <w:rPr>
                <w:rFonts w:ascii="宋体" w:hAnsi="宋体" w:hint="eastAsia"/>
              </w:rPr>
              <w:t>山东能源</w:t>
            </w:r>
          </w:p>
        </w:tc>
        <w:tc>
          <w:tcPr>
            <w:tcW w:w="3969" w:type="dxa"/>
          </w:tcPr>
          <w:p>
            <w:pPr>
              <w:rPr>
                <w:rFonts w:ascii="宋体" w:hAnsi="宋体"/>
              </w:rPr>
            </w:pPr>
            <w:r>
              <w:rPr>
                <w:rFonts w:ascii="宋体" w:hAnsi="宋体" w:hint="eastAsia"/>
              </w:rPr>
              <w:t>战略规划部部长</w:t>
            </w:r>
          </w:p>
        </w:tc>
        <w:tc>
          <w:tcPr>
            <w:tcW w:w="1823" w:type="dxa"/>
            <w:vAlign w:val="center"/>
          </w:tcPr>
          <w:p>
            <w:pPr>
              <w:jc w:val="center"/>
              <w:rPr>
                <w:rFonts w:ascii="宋体" w:hAnsi="宋体"/>
              </w:rPr>
            </w:pPr>
            <w:r>
              <w:rPr>
                <w:rFonts w:ascii="宋体" w:hAnsi="宋体" w:hint="eastAsia"/>
              </w:rPr>
              <w:t>2024-08-05</w:t>
            </w:r>
          </w:p>
        </w:tc>
      </w:tr>
      <w:tr>
        <w:trPr>
          <w:trHeight w:val="147"/>
        </w:trPr>
        <w:tc>
          <w:tcPr>
            <w:tcW w:w="1696" w:type="dxa"/>
            <w:vMerge/>
          </w:tcPr>
          <w:p>
            <w:pPr>
              <w:rPr>
                <w:rFonts w:ascii="宋体" w:hAnsi="宋体"/>
              </w:rPr>
            </w:pPr>
          </w:p>
        </w:tc>
        <w:tc>
          <w:tcPr>
            <w:tcW w:w="1560" w:type="dxa"/>
            <w:vMerge/>
            <w:vAlign w:val="center"/>
          </w:tcPr>
          <w:p>
            <w:pPr>
              <w:jc w:val="center"/>
              <w:rPr>
                <w:rFonts w:ascii="宋体" w:hAnsi="宋体"/>
              </w:rPr>
            </w:pPr>
          </w:p>
        </w:tc>
        <w:tc>
          <w:tcPr>
            <w:tcW w:w="3969" w:type="dxa"/>
          </w:tcPr>
          <w:p>
            <w:pPr>
              <w:rPr>
                <w:rFonts w:ascii="宋体" w:hAnsi="宋体"/>
              </w:rPr>
            </w:pPr>
            <w:r>
              <w:rPr>
                <w:rFonts w:ascii="宋体" w:hAnsi="宋体" w:hint="eastAsia"/>
              </w:rPr>
              <w:t>副总经济师</w:t>
            </w:r>
          </w:p>
        </w:tc>
        <w:tc>
          <w:tcPr>
            <w:tcW w:w="1823" w:type="dxa"/>
            <w:vAlign w:val="center"/>
          </w:tcPr>
          <w:p>
            <w:pPr>
              <w:jc w:val="center"/>
              <w:rPr>
                <w:rFonts w:ascii="宋体" w:hAnsi="宋体"/>
              </w:rPr>
            </w:pPr>
            <w:r>
              <w:rPr>
                <w:rFonts w:ascii="宋体" w:hAnsi="宋体" w:hint="eastAsia"/>
              </w:rPr>
              <w:t>2025-01-13</w:t>
            </w:r>
          </w:p>
        </w:tc>
      </w:tr>
      <w:tr>
        <w:trPr>
          <w:trHeight w:val="150"/>
        </w:trPr>
        <w:tc>
          <w:tcPr>
            <w:tcW w:w="1696" w:type="dxa"/>
            <w:vAlign w:val="center"/>
          </w:tcPr>
          <w:p>
            <w:pPr>
              <w:pStyle w:val="Style49"/>
            </w:pPr>
            <w:r>
              <w:t>在股东单位任职情况的说明</w:t>
            </w:r>
          </w:p>
        </w:tc>
        <w:tc>
          <w:tcPr>
            <w:tcW w:w="7352" w:type="dxa"/>
            <w:gridSpan w:val="3"/>
            <w:vAlign w:val="center"/>
          </w:tcPr>
          <w:p>
            <w:pPr>
              <w:pStyle w:val="Style49"/>
            </w:pPr>
            <w:r>
              <w:rPr>
                <w:rFonts w:hint="eastAsia"/>
              </w:rPr>
              <w:t>无</w:t>
            </w:r>
          </w:p>
        </w:tc>
      </w:tr>
    </w:tbl>
    <w:p>
      <w:pPr>
        <w:pStyle w:val="Style49"/>
      </w:pPr>
    </w:p>
    <w:p>
      <w:pPr>
        <w:pStyle w:val="Style53"/>
        <w:numPr>
          <w:ilvl w:val="0"/>
          <w:numId w:val="26"/>
        </w:numPr>
      </w:pPr>
      <w:r>
        <w:rPr>
          <w:rFonts w:ascii="宋体" w:hAnsi="宋体" w:cs="宋体"/>
          <w:kern w:val="0"/>
          <w:szCs w:val="24"/>
        </w:rPr>
        <w:t>在其他单位任职情况</w:t>
      </w:r>
    </w:p>
    <w:sdt>
      <w:sdtPr>
        <w:alias w:val="是否适用：在其他单位任职情况[双击切换]"/>
        <w:tag w:val="_GBC_31c17de709bb42fdb7ba137e843fe054"/>
        <w:id w:val="-2102242245"/>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g7"/>
        <w:tblW w:w="9048" w:type="dxa"/>
        <w:tblLayout w:type="fixed"/>
        <w:tblLook w:val="04A0" w:firstRow="1" w:lastRow="0" w:firstColumn="1" w:lastColumn="0" w:noHBand="0" w:noVBand="1"/>
      </w:tblPr>
      <w:tblGrid>
        <w:gridCol w:w="1838"/>
        <w:gridCol w:w="3119"/>
        <w:gridCol w:w="2409"/>
        <w:gridCol w:w="1682"/>
      </w:tblGrid>
      <w:tr>
        <w:trPr>
          <w:trHeight w:val="120"/>
          <w:tblHeader/>
        </w:trPr>
        <w:tc>
          <w:tcPr>
            <w:tcW w:w="1838" w:type="dxa"/>
            <w:vAlign w:val="center"/>
          </w:tcPr>
          <w:p>
            <w:pPr>
              <w:jc w:val="center"/>
            </w:pPr>
            <w:bookmarkStart w:id="150" w:name="_Hlk219799902"/>
            <w:r>
              <w:t>任职人员姓名</w:t>
            </w:r>
          </w:p>
        </w:tc>
        <w:tc>
          <w:tcPr>
            <w:tcW w:w="3119" w:type="dxa"/>
            <w:vAlign w:val="center"/>
          </w:tcPr>
          <w:p>
            <w:pPr>
              <w:jc w:val="center"/>
            </w:pPr>
            <w:r>
              <w:t>其他单位名称</w:t>
            </w:r>
          </w:p>
        </w:tc>
        <w:tc>
          <w:tcPr>
            <w:tcW w:w="2409" w:type="dxa"/>
            <w:vAlign w:val="center"/>
          </w:tcPr>
          <w:p>
            <w:pPr>
              <w:jc w:val="center"/>
            </w:pPr>
            <w:r>
              <w:t>在其他单位担任的职务</w:t>
            </w:r>
          </w:p>
        </w:tc>
        <w:tc>
          <w:tcPr>
            <w:tcW w:w="1682" w:type="dxa"/>
            <w:vAlign w:val="center"/>
          </w:tcPr>
          <w:p>
            <w:pPr>
              <w:jc w:val="center"/>
            </w:pPr>
            <w:r>
              <w:t>任期起始日期</w:t>
            </w:r>
          </w:p>
        </w:tc>
      </w:tr>
      <w:tr>
        <w:trPr>
          <w:trHeight w:val="147"/>
        </w:trPr>
        <w:tc>
          <w:tcPr>
            <w:tcW w:w="1838" w:type="dxa"/>
            <w:vAlign w:val="center"/>
          </w:tcPr>
          <w:p>
            <w:pPr>
              <w:jc w:val="center"/>
              <w:rPr>
                <w:rFonts w:ascii="宋体" w:hAnsi="宋体"/>
              </w:rPr>
            </w:pPr>
            <w:r>
              <w:rPr>
                <w:rFonts w:ascii="宋体" w:hAnsi="宋体" w:hint="eastAsia"/>
              </w:rPr>
              <w:t>王九红</w:t>
            </w:r>
          </w:p>
        </w:tc>
        <w:tc>
          <w:tcPr>
            <w:tcW w:w="3119" w:type="dxa"/>
            <w:vAlign w:val="center"/>
          </w:tcPr>
          <w:p>
            <w:pPr>
              <w:rPr>
                <w:rFonts w:ascii="宋体" w:hAnsi="宋体"/>
              </w:rPr>
            </w:pPr>
            <w:r>
              <w:rPr>
                <w:rFonts w:ascii="宋体" w:hAnsi="宋体" w:hint="eastAsia"/>
              </w:rPr>
              <w:t>兖煤澳大利亚有限公司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2025-02-20</w:t>
            </w:r>
          </w:p>
        </w:tc>
      </w:tr>
      <w:tr>
        <w:trPr>
          <w:trHeight w:val="147"/>
        </w:trPr>
        <w:tc>
          <w:tcPr>
            <w:tcW w:w="1838" w:type="dxa"/>
            <w:vMerge w:val="restart"/>
            <w:vAlign w:val="center"/>
          </w:tcPr>
          <w:p>
            <w:pPr>
              <w:jc w:val="center"/>
              <w:rPr>
                <w:rFonts w:ascii="宋体" w:hAnsi="宋体"/>
              </w:rPr>
            </w:pPr>
            <w:r>
              <w:rPr>
                <w:rFonts w:ascii="宋体" w:hAnsi="宋体" w:hint="eastAsia"/>
              </w:rPr>
              <w:t>黄霄龙</w:t>
            </w:r>
          </w:p>
        </w:tc>
        <w:tc>
          <w:tcPr>
            <w:tcW w:w="3119" w:type="dxa"/>
            <w:vAlign w:val="center"/>
          </w:tcPr>
          <w:p>
            <w:pPr>
              <w:rPr>
                <w:rFonts w:ascii="宋体" w:hAnsi="宋体"/>
              </w:rPr>
            </w:pPr>
            <w:r>
              <w:rPr>
                <w:rFonts w:ascii="宋体" w:hAnsi="宋体" w:hint="eastAsia"/>
              </w:rPr>
              <w:t>兖煤国际（控股）有限公司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2022-11-04</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兖煤澳大利亚有限公司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2023-05-31</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兖矿新疆能化有限公司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2023-10-13</w:t>
            </w:r>
          </w:p>
        </w:tc>
      </w:tr>
      <w:tr>
        <w:trPr>
          <w:trHeight w:val="147"/>
        </w:trPr>
        <w:tc>
          <w:tcPr>
            <w:tcW w:w="1838" w:type="dxa"/>
            <w:vAlign w:val="center"/>
          </w:tcPr>
          <w:p>
            <w:pPr>
              <w:jc w:val="center"/>
              <w:rPr>
                <w:rFonts w:ascii="宋体" w:hAnsi="宋体"/>
              </w:rPr>
            </w:pPr>
            <w:r>
              <w:rPr>
                <w:rFonts w:ascii="宋体" w:hAnsi="宋体" w:hint="eastAsia"/>
              </w:rPr>
              <w:t>朱利民</w:t>
            </w:r>
          </w:p>
        </w:tc>
        <w:tc>
          <w:tcPr>
            <w:tcW w:w="3119" w:type="dxa"/>
            <w:vAlign w:val="center"/>
          </w:tcPr>
          <w:p>
            <w:pPr>
              <w:rPr>
                <w:rFonts w:ascii="宋体" w:hAnsi="宋体"/>
              </w:rPr>
            </w:pPr>
            <w:r>
              <w:rPr>
                <w:rFonts w:ascii="宋体" w:hAnsi="宋体" w:hint="eastAsia"/>
              </w:rPr>
              <w:t>焦点科技股份有限公司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2020-03-02</w:t>
            </w:r>
          </w:p>
        </w:tc>
      </w:tr>
      <w:tr>
        <w:trPr>
          <w:trHeight w:val="147"/>
        </w:trPr>
        <w:tc>
          <w:tcPr>
            <w:tcW w:w="1838" w:type="dxa"/>
            <w:vAlign w:val="center"/>
          </w:tcPr>
          <w:p>
            <w:pPr>
              <w:jc w:val="center"/>
              <w:rPr>
                <w:rFonts w:ascii="宋体" w:hAnsi="宋体"/>
              </w:rPr>
            </w:pPr>
            <w:r>
              <w:rPr>
                <w:rFonts w:ascii="宋体" w:hAnsi="宋体" w:hint="eastAsia"/>
              </w:rPr>
              <w:t>胡家栋</w:t>
            </w:r>
          </w:p>
        </w:tc>
        <w:tc>
          <w:tcPr>
            <w:tcW w:w="3119" w:type="dxa"/>
            <w:vAlign w:val="center"/>
          </w:tcPr>
          <w:p>
            <w:pPr>
              <w:rPr>
                <w:rFonts w:ascii="宋体" w:hAnsi="宋体"/>
              </w:rPr>
            </w:pPr>
            <w:r>
              <w:rPr>
                <w:rFonts w:ascii="宋体" w:hAnsi="宋体" w:hint="eastAsia"/>
              </w:rPr>
              <w:t>国微技术控股有限公司</w:t>
            </w:r>
          </w:p>
        </w:tc>
        <w:tc>
          <w:tcPr>
            <w:tcW w:w="2409" w:type="dxa"/>
            <w:vAlign w:val="center"/>
          </w:tcPr>
          <w:p>
            <w:pPr>
              <w:jc w:val="center"/>
              <w:rPr>
                <w:rFonts w:ascii="宋体" w:hAnsi="宋体"/>
              </w:rPr>
            </w:pPr>
            <w:r>
              <w:rPr>
                <w:rFonts w:ascii="宋体" w:hAnsi="宋体" w:hint="eastAsia"/>
              </w:rPr>
              <w:t>独立董事</w:t>
            </w:r>
          </w:p>
        </w:tc>
        <w:tc>
          <w:tcPr>
            <w:tcW w:w="1682" w:type="dxa"/>
            <w:vAlign w:val="center"/>
          </w:tcPr>
          <w:p>
            <w:pPr>
              <w:jc w:val="center"/>
              <w:rPr>
                <w:rFonts w:ascii="宋体" w:hAnsi="宋体"/>
              </w:rPr>
            </w:pPr>
            <w:r>
              <w:rPr>
                <w:rFonts w:ascii="宋体" w:hAnsi="宋体" w:hint="eastAsia"/>
              </w:rPr>
              <w:t>2016-03-06</w:t>
            </w:r>
          </w:p>
        </w:tc>
      </w:tr>
      <w:tr>
        <w:trPr>
          <w:trHeight w:val="147"/>
        </w:trPr>
        <w:tc>
          <w:tcPr>
            <w:tcW w:w="1838" w:type="dxa"/>
            <w:vMerge w:val="restart"/>
            <w:vAlign w:val="center"/>
          </w:tcPr>
          <w:p>
            <w:pPr>
              <w:jc w:val="center"/>
              <w:rPr>
                <w:rFonts w:ascii="宋体" w:hAnsi="宋体"/>
              </w:rPr>
            </w:pPr>
            <w:r>
              <w:rPr>
                <w:rFonts w:ascii="宋体" w:hAnsi="宋体" w:hint="eastAsia"/>
              </w:rPr>
              <w:t>朱  睿</w:t>
            </w:r>
          </w:p>
        </w:tc>
        <w:tc>
          <w:tcPr>
            <w:tcW w:w="3119" w:type="dxa"/>
            <w:vAlign w:val="center"/>
          </w:tcPr>
          <w:p>
            <w:pPr>
              <w:rPr>
                <w:rFonts w:ascii="宋体" w:hAnsi="宋体"/>
              </w:rPr>
            </w:pPr>
            <w:r>
              <w:rPr>
                <w:rFonts w:ascii="宋体" w:hAnsi="宋体" w:hint="eastAsia"/>
              </w:rPr>
              <w:t>九毛九国际控股有限公司</w:t>
            </w:r>
          </w:p>
        </w:tc>
        <w:tc>
          <w:tcPr>
            <w:tcW w:w="2409" w:type="dxa"/>
            <w:vAlign w:val="center"/>
          </w:tcPr>
          <w:p>
            <w:pPr>
              <w:jc w:val="center"/>
              <w:rPr>
                <w:rFonts w:ascii="宋体" w:hAnsi="宋体"/>
              </w:rPr>
            </w:pPr>
            <w:r>
              <w:rPr>
                <w:rFonts w:ascii="宋体" w:hAnsi="宋体" w:hint="eastAsia"/>
              </w:rPr>
              <w:t>独立董事</w:t>
            </w:r>
          </w:p>
        </w:tc>
        <w:tc>
          <w:tcPr>
            <w:tcW w:w="1682" w:type="dxa"/>
            <w:vAlign w:val="center"/>
          </w:tcPr>
          <w:p>
            <w:pPr>
              <w:jc w:val="center"/>
              <w:rPr>
                <w:rFonts w:ascii="宋体" w:hAnsi="宋体"/>
              </w:rPr>
            </w:pPr>
            <w:r>
              <w:rPr>
                <w:rFonts w:ascii="宋体" w:hAnsi="宋体" w:hint="eastAsia"/>
              </w:rPr>
              <w:t>2021-04-16</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万物新生公司</w:t>
            </w:r>
          </w:p>
        </w:tc>
        <w:tc>
          <w:tcPr>
            <w:tcW w:w="2409" w:type="dxa"/>
            <w:vAlign w:val="center"/>
          </w:tcPr>
          <w:p>
            <w:pPr>
              <w:jc w:val="center"/>
              <w:rPr>
                <w:rFonts w:ascii="宋体" w:hAnsi="宋体"/>
              </w:rPr>
            </w:pPr>
            <w:r>
              <w:rPr>
                <w:rFonts w:ascii="宋体" w:hAnsi="宋体" w:hint="eastAsia"/>
              </w:rPr>
              <w:t>独立董事</w:t>
            </w:r>
          </w:p>
        </w:tc>
        <w:tc>
          <w:tcPr>
            <w:tcW w:w="1682" w:type="dxa"/>
            <w:vAlign w:val="center"/>
          </w:tcPr>
          <w:p>
            <w:pPr>
              <w:jc w:val="center"/>
              <w:rPr>
                <w:rFonts w:ascii="宋体" w:hAnsi="宋体"/>
              </w:rPr>
            </w:pPr>
            <w:r>
              <w:rPr>
                <w:rFonts w:ascii="宋体" w:hAnsi="宋体" w:hint="eastAsia"/>
              </w:rPr>
              <w:t>2022-01-01</w:t>
            </w:r>
          </w:p>
        </w:tc>
      </w:tr>
      <w:tr>
        <w:trPr>
          <w:trHeight w:val="147"/>
        </w:trPr>
        <w:tc>
          <w:tcPr>
            <w:tcW w:w="1838" w:type="dxa"/>
            <w:vAlign w:val="center"/>
          </w:tcPr>
          <w:p>
            <w:pPr>
              <w:jc w:val="center"/>
              <w:rPr>
                <w:rFonts w:ascii="宋体" w:hAnsi="宋体"/>
              </w:rPr>
            </w:pPr>
            <w:r>
              <w:rPr>
                <w:rFonts w:ascii="宋体" w:hAnsi="宋体" w:hint="eastAsia"/>
              </w:rPr>
              <w:t>康  丹</w:t>
            </w:r>
          </w:p>
        </w:tc>
        <w:tc>
          <w:tcPr>
            <w:tcW w:w="3119" w:type="dxa"/>
            <w:vAlign w:val="center"/>
          </w:tcPr>
          <w:p>
            <w:pPr>
              <w:rPr>
                <w:rFonts w:ascii="宋体" w:hAnsi="宋体"/>
              </w:rPr>
            </w:pPr>
            <w:r>
              <w:rPr>
                <w:rFonts w:ascii="宋体" w:hAnsi="宋体" w:hint="eastAsia"/>
              </w:rPr>
              <w:t>山东能源集团鲁西矿业有限公司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2025-05-22</w:t>
            </w:r>
          </w:p>
        </w:tc>
      </w:tr>
      <w:tr>
        <w:trPr>
          <w:trHeight w:val="147"/>
        </w:trPr>
        <w:tc>
          <w:tcPr>
            <w:tcW w:w="1838" w:type="dxa"/>
            <w:vAlign w:val="center"/>
          </w:tcPr>
          <w:p>
            <w:pPr>
              <w:jc w:val="center"/>
              <w:rPr>
                <w:rFonts w:ascii="宋体" w:hAnsi="宋体"/>
              </w:rPr>
            </w:pPr>
            <w:r>
              <w:rPr>
                <w:rFonts w:ascii="宋体" w:hAnsi="宋体" w:hint="eastAsia"/>
              </w:rPr>
              <w:t>高春雷</w:t>
            </w:r>
          </w:p>
        </w:tc>
        <w:tc>
          <w:tcPr>
            <w:tcW w:w="3119" w:type="dxa"/>
            <w:vAlign w:val="center"/>
          </w:tcPr>
          <w:p>
            <w:pPr>
              <w:rPr>
                <w:rFonts w:ascii="宋体" w:hAnsi="宋体"/>
              </w:rPr>
            </w:pPr>
            <w:r>
              <w:rPr>
                <w:rFonts w:ascii="宋体" w:hAnsi="宋体" w:hint="eastAsia"/>
              </w:rPr>
              <w:t>陕西未来能源化工有限公司</w:t>
            </w:r>
          </w:p>
        </w:tc>
        <w:tc>
          <w:tcPr>
            <w:tcW w:w="2409" w:type="dxa"/>
            <w:vAlign w:val="center"/>
          </w:tcPr>
          <w:p>
            <w:pPr>
              <w:jc w:val="center"/>
              <w:rPr>
                <w:rFonts w:ascii="宋体" w:hAnsi="宋体"/>
              </w:rPr>
            </w:pPr>
            <w:r>
              <w:rPr>
                <w:rFonts w:ascii="宋体" w:hAnsi="宋体" w:hint="eastAsia"/>
              </w:rPr>
              <w:t>董事长</w:t>
            </w:r>
          </w:p>
        </w:tc>
        <w:tc>
          <w:tcPr>
            <w:tcW w:w="1682" w:type="dxa"/>
            <w:vAlign w:val="center"/>
          </w:tcPr>
          <w:p>
            <w:pPr>
              <w:jc w:val="center"/>
              <w:rPr>
                <w:rFonts w:ascii="宋体" w:hAnsi="宋体"/>
              </w:rPr>
            </w:pPr>
            <w:r>
              <w:rPr>
                <w:rFonts w:ascii="宋体" w:hAnsi="宋体" w:hint="eastAsia"/>
              </w:rPr>
              <w:t>2024-12-31</w:t>
            </w:r>
          </w:p>
        </w:tc>
      </w:tr>
      <w:tr>
        <w:trPr>
          <w:trHeight w:val="147"/>
        </w:trPr>
        <w:tc>
          <w:tcPr>
            <w:tcW w:w="1838" w:type="dxa"/>
            <w:vMerge w:val="restart"/>
            <w:vAlign w:val="center"/>
          </w:tcPr>
          <w:p>
            <w:pPr>
              <w:jc w:val="center"/>
              <w:rPr>
                <w:rFonts w:ascii="宋体" w:hAnsi="宋体"/>
              </w:rPr>
            </w:pPr>
            <w:r>
              <w:rPr>
                <w:rFonts w:ascii="宋体" w:hAnsi="宋体" w:hint="eastAsia"/>
              </w:rPr>
              <w:t>岳  宁</w:t>
            </w:r>
          </w:p>
        </w:tc>
        <w:tc>
          <w:tcPr>
            <w:tcW w:w="3119" w:type="dxa"/>
            <w:vAlign w:val="center"/>
          </w:tcPr>
          <w:p>
            <w:pPr>
              <w:rPr>
                <w:rFonts w:ascii="宋体" w:hAnsi="宋体"/>
              </w:rPr>
            </w:pPr>
            <w:r>
              <w:rPr>
                <w:rFonts w:ascii="宋体" w:hAnsi="宋体"/>
              </w:rPr>
              <w:t>陕西未来能源化工有限公司</w:t>
            </w:r>
          </w:p>
        </w:tc>
        <w:tc>
          <w:tcPr>
            <w:tcW w:w="2409" w:type="dxa"/>
            <w:vAlign w:val="center"/>
          </w:tcPr>
          <w:p>
            <w:pPr>
              <w:jc w:val="center"/>
              <w:rPr>
                <w:rFonts w:ascii="宋体" w:hAnsi="宋体"/>
              </w:rPr>
            </w:pPr>
            <w:r>
              <w:rPr>
                <w:rFonts w:ascii="宋体" w:hAnsi="宋体"/>
              </w:rPr>
              <w:t>董事</w:t>
            </w:r>
          </w:p>
        </w:tc>
        <w:tc>
          <w:tcPr>
            <w:tcW w:w="1682" w:type="dxa"/>
            <w:vAlign w:val="center"/>
          </w:tcPr>
          <w:p>
            <w:pPr>
              <w:jc w:val="center"/>
              <w:rPr>
                <w:rFonts w:ascii="宋体" w:hAnsi="宋体"/>
              </w:rPr>
            </w:pPr>
            <w:r>
              <w:rPr>
                <w:rFonts w:ascii="宋体" w:hAnsi="宋体" w:hint="eastAsia"/>
              </w:rPr>
              <w:t>2021-12-27</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bookmarkStart w:id="151" w:name="OLE_LINK14"/>
            <w:r>
              <w:rPr>
                <w:rFonts w:ascii="宋体" w:hAnsi="宋体" w:hint="eastAsia"/>
              </w:rPr>
              <w:t>兖煤澳大利亚有限公司</w:t>
            </w:r>
            <w:bookmarkEnd w:id="151"/>
          </w:p>
        </w:tc>
        <w:tc>
          <w:tcPr>
            <w:tcW w:w="2409" w:type="dxa"/>
            <w:vAlign w:val="center"/>
          </w:tcPr>
          <w:p>
            <w:pPr>
              <w:jc w:val="center"/>
              <w:rPr>
                <w:rFonts w:ascii="宋体" w:hAnsi="宋体"/>
              </w:rPr>
            </w:pPr>
            <w:r>
              <w:rPr>
                <w:rFonts w:ascii="宋体" w:hAnsi="宋体" w:hint="eastAsia"/>
              </w:rPr>
              <w:t>执行董事、联席副董事长、执行委员会主席</w:t>
            </w:r>
          </w:p>
        </w:tc>
        <w:tc>
          <w:tcPr>
            <w:tcW w:w="1682" w:type="dxa"/>
            <w:vAlign w:val="center"/>
          </w:tcPr>
          <w:p>
            <w:pPr>
              <w:jc w:val="center"/>
              <w:rPr>
                <w:rFonts w:ascii="宋体" w:hAnsi="宋体"/>
              </w:rPr>
            </w:pPr>
            <w:r>
              <w:rPr>
                <w:rFonts w:ascii="宋体" w:hAnsi="宋体" w:hint="eastAsia"/>
              </w:rPr>
              <w:t>2023-09-27</w:t>
            </w:r>
          </w:p>
        </w:tc>
      </w:tr>
      <w:tr>
        <w:trPr>
          <w:trHeight w:val="147"/>
        </w:trPr>
        <w:tc>
          <w:tcPr>
            <w:tcW w:w="1838" w:type="dxa"/>
            <w:vMerge w:val="restart"/>
            <w:vAlign w:val="center"/>
          </w:tcPr>
          <w:p>
            <w:pPr>
              <w:jc w:val="center"/>
              <w:rPr>
                <w:rFonts w:ascii="宋体" w:hAnsi="宋体"/>
              </w:rPr>
            </w:pPr>
            <w:r>
              <w:rPr>
                <w:rFonts w:ascii="宋体" w:hAnsi="宋体" w:hint="eastAsia"/>
              </w:rPr>
              <w:t>赵治国</w:t>
            </w:r>
          </w:p>
        </w:tc>
        <w:tc>
          <w:tcPr>
            <w:tcW w:w="3119" w:type="dxa"/>
            <w:vAlign w:val="center"/>
          </w:tcPr>
          <w:p>
            <w:pPr>
              <w:rPr>
                <w:rFonts w:ascii="宋体" w:hAnsi="宋体"/>
              </w:rPr>
            </w:pPr>
            <w:r>
              <w:rPr>
                <w:rFonts w:ascii="宋体" w:hAnsi="宋体" w:hint="eastAsia"/>
              </w:rPr>
              <w:t>内蒙古矿业（集团）有限责任公司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2021-12-15</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端信投资控股（北京）有限公司</w:t>
            </w:r>
          </w:p>
        </w:tc>
        <w:tc>
          <w:tcPr>
            <w:tcW w:w="2409" w:type="dxa"/>
            <w:vAlign w:val="center"/>
          </w:tcPr>
          <w:p>
            <w:pPr>
              <w:jc w:val="center"/>
              <w:rPr>
                <w:rFonts w:ascii="宋体" w:hAnsi="宋体"/>
              </w:rPr>
            </w:pPr>
            <w:r>
              <w:rPr>
                <w:rFonts w:ascii="宋体" w:hAnsi="宋体" w:hint="eastAsia"/>
              </w:rPr>
              <w:t>董事长</w:t>
            </w:r>
          </w:p>
        </w:tc>
        <w:tc>
          <w:tcPr>
            <w:tcW w:w="1682" w:type="dxa"/>
            <w:vAlign w:val="center"/>
          </w:tcPr>
          <w:p>
            <w:pPr>
              <w:jc w:val="center"/>
              <w:rPr>
                <w:rFonts w:ascii="宋体" w:hAnsi="宋体"/>
              </w:rPr>
            </w:pPr>
            <w:r>
              <w:rPr>
                <w:rFonts w:ascii="宋体" w:hAnsi="宋体" w:hint="eastAsia"/>
              </w:rPr>
              <w:t>2022-02-15</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山东东岳泰恒发展有限公司</w:t>
            </w:r>
          </w:p>
        </w:tc>
        <w:tc>
          <w:tcPr>
            <w:tcW w:w="2409" w:type="dxa"/>
            <w:vAlign w:val="center"/>
          </w:tcPr>
          <w:p>
            <w:pPr>
              <w:jc w:val="center"/>
              <w:rPr>
                <w:rFonts w:ascii="宋体" w:hAnsi="宋体"/>
              </w:rPr>
            </w:pPr>
            <w:r>
              <w:rPr>
                <w:rFonts w:ascii="宋体" w:hAnsi="宋体" w:hint="eastAsia"/>
              </w:rPr>
              <w:t>董事长</w:t>
            </w:r>
          </w:p>
        </w:tc>
        <w:tc>
          <w:tcPr>
            <w:tcW w:w="1682" w:type="dxa"/>
            <w:vAlign w:val="center"/>
          </w:tcPr>
          <w:p>
            <w:pPr>
              <w:jc w:val="center"/>
              <w:rPr>
                <w:rFonts w:ascii="宋体" w:hAnsi="宋体"/>
              </w:rPr>
            </w:pPr>
            <w:r>
              <w:rPr>
                <w:rFonts w:ascii="宋体" w:hAnsi="宋体" w:hint="eastAsia"/>
              </w:rPr>
              <w:t>2022-11-04</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兖矿能源（青岛）有限公司</w:t>
            </w:r>
          </w:p>
        </w:tc>
        <w:tc>
          <w:tcPr>
            <w:tcW w:w="2409" w:type="dxa"/>
            <w:vAlign w:val="center"/>
          </w:tcPr>
          <w:p>
            <w:pPr>
              <w:jc w:val="center"/>
              <w:rPr>
                <w:rFonts w:ascii="宋体" w:hAnsi="宋体"/>
              </w:rPr>
            </w:pPr>
            <w:r>
              <w:rPr>
                <w:rFonts w:ascii="宋体" w:hAnsi="宋体" w:hint="eastAsia"/>
              </w:rPr>
              <w:t>执行董事</w:t>
            </w:r>
          </w:p>
        </w:tc>
        <w:tc>
          <w:tcPr>
            <w:tcW w:w="1682" w:type="dxa"/>
            <w:vAlign w:val="center"/>
          </w:tcPr>
          <w:p>
            <w:pPr>
              <w:jc w:val="center"/>
              <w:rPr>
                <w:rFonts w:ascii="宋体" w:hAnsi="宋体"/>
              </w:rPr>
            </w:pPr>
            <w:r>
              <w:rPr>
                <w:rFonts w:ascii="宋体" w:hAnsi="宋体" w:hint="eastAsia"/>
              </w:rPr>
              <w:t>2022-11-04</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兖矿能源（无锡）有限公司</w:t>
            </w:r>
          </w:p>
        </w:tc>
        <w:tc>
          <w:tcPr>
            <w:tcW w:w="2409" w:type="dxa"/>
            <w:vAlign w:val="center"/>
          </w:tcPr>
          <w:p>
            <w:pPr>
              <w:jc w:val="center"/>
              <w:rPr>
                <w:rFonts w:ascii="宋体" w:hAnsi="宋体"/>
              </w:rPr>
            </w:pPr>
            <w:r>
              <w:rPr>
                <w:rFonts w:ascii="宋体" w:hAnsi="宋体" w:hint="eastAsia"/>
              </w:rPr>
              <w:t>董事长</w:t>
            </w:r>
          </w:p>
        </w:tc>
        <w:tc>
          <w:tcPr>
            <w:tcW w:w="1682" w:type="dxa"/>
            <w:vAlign w:val="center"/>
          </w:tcPr>
          <w:p>
            <w:pPr>
              <w:jc w:val="center"/>
              <w:rPr>
                <w:rFonts w:ascii="宋体" w:hAnsi="宋体"/>
              </w:rPr>
            </w:pPr>
            <w:r>
              <w:rPr>
                <w:rFonts w:ascii="宋体" w:hAnsi="宋体" w:hint="eastAsia"/>
              </w:rPr>
              <w:t>2022-11-04</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端信投资控股（深圳）有限公司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2022-11-04</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上海巨匠资产管理有限公司</w:t>
            </w:r>
          </w:p>
        </w:tc>
        <w:tc>
          <w:tcPr>
            <w:tcW w:w="2409" w:type="dxa"/>
            <w:vAlign w:val="center"/>
          </w:tcPr>
          <w:p>
            <w:pPr>
              <w:jc w:val="center"/>
              <w:rPr>
                <w:rFonts w:ascii="宋体" w:hAnsi="宋体"/>
              </w:rPr>
            </w:pPr>
            <w:r>
              <w:rPr>
                <w:rFonts w:ascii="宋体" w:hAnsi="宋体" w:hint="eastAsia"/>
              </w:rPr>
              <w:t>董事长</w:t>
            </w:r>
          </w:p>
        </w:tc>
        <w:tc>
          <w:tcPr>
            <w:tcW w:w="1682" w:type="dxa"/>
            <w:vAlign w:val="center"/>
          </w:tcPr>
          <w:p>
            <w:pPr>
              <w:jc w:val="center"/>
              <w:rPr>
                <w:rFonts w:ascii="宋体" w:hAnsi="宋体"/>
              </w:rPr>
            </w:pPr>
            <w:r>
              <w:rPr>
                <w:rFonts w:ascii="宋体" w:hAnsi="宋体" w:hint="eastAsia"/>
              </w:rPr>
              <w:t>2022-11-04</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兖矿东华重工有限公司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2022-11-04</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山能融资租赁（深圳）有限公司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2023-03-20</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内蒙古昊盛煤业有限公司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2023-04-10</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陕西未来能源化工有限公司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2023-04-20</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齐鲁银行股份有限公司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2023-09-11</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山东能源集团鲁西矿业有限公司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2023-11-08</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山东能源集团财务有限公司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2023-12-21</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兖煤国际（控股）有限公司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2024-07-29</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临商银行股份有限公司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2024-12-05</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上海中期期货股份有限公司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2024-12-31</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兖煤澳大利亚有限公司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2025-02-20</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兖矿物流科技有限公司</w:t>
            </w:r>
          </w:p>
        </w:tc>
        <w:tc>
          <w:tcPr>
            <w:tcW w:w="2409" w:type="dxa"/>
            <w:vAlign w:val="center"/>
          </w:tcPr>
          <w:p>
            <w:pPr>
              <w:jc w:val="center"/>
              <w:rPr>
                <w:rFonts w:ascii="宋体" w:hAnsi="宋体"/>
              </w:rPr>
            </w:pPr>
            <w:r>
              <w:rPr>
                <w:rFonts w:ascii="宋体" w:hAnsi="宋体" w:hint="eastAsia"/>
              </w:rPr>
              <w:t>董事长</w:t>
            </w:r>
          </w:p>
        </w:tc>
        <w:tc>
          <w:tcPr>
            <w:tcW w:w="1682" w:type="dxa"/>
            <w:vAlign w:val="center"/>
          </w:tcPr>
          <w:p>
            <w:pPr>
              <w:jc w:val="center"/>
              <w:rPr>
                <w:rFonts w:ascii="宋体" w:hAnsi="宋体"/>
              </w:rPr>
            </w:pPr>
            <w:r>
              <w:rPr>
                <w:rFonts w:ascii="宋体" w:hAnsi="宋体" w:hint="eastAsia"/>
              </w:rPr>
              <w:t>2025-06-08</w:t>
            </w:r>
          </w:p>
        </w:tc>
      </w:tr>
      <w:tr>
        <w:trPr>
          <w:trHeight w:val="147"/>
        </w:trPr>
        <w:tc>
          <w:tcPr>
            <w:tcW w:w="1838" w:type="dxa"/>
            <w:vMerge/>
            <w:vAlign w:val="center"/>
          </w:tcPr>
          <w:p>
            <w:pPr>
              <w:jc w:val="center"/>
              <w:rPr>
                <w:rFonts w:ascii="宋体" w:hAnsi="宋体"/>
              </w:rPr>
            </w:pPr>
          </w:p>
        </w:tc>
        <w:tc>
          <w:tcPr>
            <w:tcW w:w="3119" w:type="dxa"/>
            <w:vAlign w:val="center"/>
          </w:tcPr>
          <w:p>
            <w:pPr>
              <w:rPr>
                <w:rFonts w:ascii="宋体" w:hAnsi="宋体"/>
              </w:rPr>
            </w:pPr>
            <w:r>
              <w:rPr>
                <w:rFonts w:ascii="宋体" w:hAnsi="宋体" w:hint="eastAsia"/>
              </w:rPr>
              <w:t>山东能源集团西北矿业有限公司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2025-06-20</w:t>
            </w:r>
          </w:p>
        </w:tc>
      </w:tr>
      <w:tr>
        <w:trPr>
          <w:trHeight w:val="147"/>
        </w:trPr>
        <w:tc>
          <w:tcPr>
            <w:tcW w:w="1838" w:type="dxa"/>
            <w:vAlign w:val="center"/>
          </w:tcPr>
          <w:p>
            <w:pPr>
              <w:jc w:val="center"/>
              <w:rPr>
                <w:rFonts w:ascii="宋体" w:hAnsi="宋体"/>
              </w:rPr>
            </w:pPr>
            <w:r>
              <w:rPr>
                <w:rFonts w:ascii="宋体" w:hAnsi="宋体" w:hint="eastAsia"/>
              </w:rPr>
              <w:t>徐长厚</w:t>
            </w:r>
          </w:p>
        </w:tc>
        <w:tc>
          <w:tcPr>
            <w:tcW w:w="3119" w:type="dxa"/>
            <w:vAlign w:val="center"/>
          </w:tcPr>
          <w:p>
            <w:pPr>
              <w:rPr>
                <w:rFonts w:ascii="宋体" w:hAnsi="宋体"/>
              </w:rPr>
            </w:pPr>
            <w:r>
              <w:rPr>
                <w:rFonts w:ascii="宋体" w:hAnsi="宋体" w:hint="eastAsia"/>
              </w:rPr>
              <w:t>山东能源集团西北矿业有限公司</w:t>
            </w:r>
          </w:p>
        </w:tc>
        <w:tc>
          <w:tcPr>
            <w:tcW w:w="2409" w:type="dxa"/>
            <w:vAlign w:val="center"/>
          </w:tcPr>
          <w:p>
            <w:pPr>
              <w:jc w:val="center"/>
              <w:rPr>
                <w:rFonts w:ascii="宋体" w:hAnsi="宋体"/>
              </w:rPr>
            </w:pPr>
            <w:r>
              <w:rPr>
                <w:rFonts w:ascii="宋体" w:hAnsi="宋体" w:hint="eastAsia"/>
              </w:rPr>
              <w:t>董事</w:t>
            </w:r>
          </w:p>
        </w:tc>
        <w:tc>
          <w:tcPr>
            <w:tcW w:w="1682" w:type="dxa"/>
            <w:vAlign w:val="center"/>
          </w:tcPr>
          <w:p>
            <w:pPr>
              <w:jc w:val="center"/>
              <w:rPr>
                <w:rFonts w:ascii="宋体" w:hAnsi="宋体"/>
              </w:rPr>
            </w:pPr>
            <w:r>
              <w:rPr>
                <w:rFonts w:ascii="宋体" w:hAnsi="宋体" w:hint="eastAsia"/>
              </w:rPr>
              <w:t>2025-05-22</w:t>
            </w:r>
          </w:p>
        </w:tc>
      </w:tr>
      <w:tr>
        <w:trPr>
          <w:trHeight w:val="147"/>
        </w:trPr>
        <w:tc>
          <w:tcPr>
            <w:tcW w:w="1838" w:type="dxa"/>
            <w:vAlign w:val="center"/>
          </w:tcPr>
          <w:p>
            <w:pPr>
              <w:jc w:val="center"/>
              <w:rPr>
                <w:rFonts w:ascii="宋体" w:hAnsi="宋体"/>
              </w:rPr>
            </w:pPr>
            <w:r>
              <w:rPr>
                <w:rFonts w:ascii="宋体" w:hAnsi="宋体" w:hint="eastAsia"/>
              </w:rPr>
              <w:t>齐俊铭</w:t>
            </w:r>
          </w:p>
        </w:tc>
        <w:tc>
          <w:tcPr>
            <w:tcW w:w="3119" w:type="dxa"/>
            <w:vAlign w:val="center"/>
          </w:tcPr>
          <w:p>
            <w:pPr>
              <w:rPr>
                <w:rFonts w:ascii="宋体" w:hAnsi="宋体"/>
              </w:rPr>
            </w:pPr>
            <w:r>
              <w:rPr>
                <w:rFonts w:ascii="宋体" w:hAnsi="宋体" w:hint="eastAsia"/>
              </w:rPr>
              <w:t>兖煤菏泽能化有限公司</w:t>
            </w:r>
          </w:p>
        </w:tc>
        <w:tc>
          <w:tcPr>
            <w:tcW w:w="2409" w:type="dxa"/>
            <w:vAlign w:val="center"/>
          </w:tcPr>
          <w:p>
            <w:pPr>
              <w:jc w:val="center"/>
              <w:rPr>
                <w:rFonts w:ascii="宋体" w:hAnsi="宋体"/>
              </w:rPr>
            </w:pPr>
            <w:r>
              <w:rPr>
                <w:rFonts w:ascii="宋体" w:hAnsi="宋体" w:hint="eastAsia"/>
              </w:rPr>
              <w:t>董事长</w:t>
            </w:r>
          </w:p>
        </w:tc>
        <w:tc>
          <w:tcPr>
            <w:tcW w:w="1682" w:type="dxa"/>
            <w:vAlign w:val="center"/>
          </w:tcPr>
          <w:p>
            <w:pPr>
              <w:jc w:val="center"/>
              <w:rPr>
                <w:rFonts w:ascii="宋体" w:hAnsi="宋体"/>
              </w:rPr>
            </w:pPr>
            <w:r>
              <w:rPr>
                <w:rFonts w:ascii="宋体" w:hAnsi="宋体" w:hint="eastAsia"/>
              </w:rPr>
              <w:t>2024-08-02</w:t>
            </w:r>
          </w:p>
        </w:tc>
      </w:tr>
      <w:tr>
        <w:trPr>
          <w:trHeight w:val="147"/>
        </w:trPr>
        <w:tc>
          <w:tcPr>
            <w:tcW w:w="1838" w:type="dxa"/>
            <w:vAlign w:val="center"/>
          </w:tcPr>
          <w:p>
            <w:pPr>
              <w:jc w:val="center"/>
              <w:rPr>
                <w:rFonts w:ascii="宋体" w:hAnsi="宋体"/>
              </w:rPr>
            </w:pPr>
            <w:r>
              <w:rPr>
                <w:rFonts w:hint="eastAsia"/>
              </w:rPr>
              <w:t>张</w:t>
            </w:r>
            <w:r>
              <w:rPr>
                <w:rFonts w:hint="eastAsia"/>
              </w:rPr>
              <w:t xml:space="preserve">  </w:t>
            </w:r>
            <w:r>
              <w:rPr>
                <w:rFonts w:hint="eastAsia"/>
              </w:rPr>
              <w:t>磊</w:t>
            </w:r>
          </w:p>
        </w:tc>
        <w:tc>
          <w:tcPr>
            <w:tcW w:w="3119" w:type="dxa"/>
            <w:vAlign w:val="center"/>
          </w:tcPr>
          <w:p>
            <w:pPr>
              <w:rPr>
                <w:rFonts w:ascii="宋体" w:hAnsi="宋体"/>
              </w:rPr>
            </w:pPr>
            <w:r>
              <w:rPr>
                <w:rFonts w:hint="eastAsia"/>
              </w:rPr>
              <w:t>兖煤国际（控股）有限公司</w:t>
            </w:r>
          </w:p>
        </w:tc>
        <w:tc>
          <w:tcPr>
            <w:tcW w:w="2409" w:type="dxa"/>
            <w:vAlign w:val="center"/>
          </w:tcPr>
          <w:p>
            <w:pPr>
              <w:jc w:val="center"/>
              <w:rPr>
                <w:rFonts w:ascii="宋体" w:hAnsi="宋体"/>
              </w:rPr>
            </w:pPr>
            <w:r>
              <w:rPr>
                <w:rFonts w:hint="eastAsia"/>
              </w:rPr>
              <w:t>总经理</w:t>
            </w:r>
          </w:p>
        </w:tc>
        <w:tc>
          <w:tcPr>
            <w:tcW w:w="1682" w:type="dxa"/>
            <w:vAlign w:val="center"/>
          </w:tcPr>
          <w:p>
            <w:pPr>
              <w:jc w:val="center"/>
              <w:rPr>
                <w:rFonts w:ascii="宋体" w:hAnsi="宋体"/>
              </w:rPr>
            </w:pPr>
            <w:r>
              <w:rPr>
                <w:rFonts w:ascii="宋体" w:hAnsi="宋体" w:hint="eastAsia"/>
              </w:rPr>
              <w:t>2020-03-27</w:t>
            </w:r>
          </w:p>
        </w:tc>
      </w:tr>
      <w:tr>
        <w:trPr>
          <w:trHeight w:val="150"/>
        </w:trPr>
        <w:tc>
          <w:tcPr>
            <w:tcW w:w="1838" w:type="dxa"/>
            <w:vAlign w:val="center"/>
          </w:tcPr>
          <w:p>
            <w:pPr>
              <w:pStyle w:val="Style49"/>
            </w:pPr>
            <w:r>
              <w:rPr>
                <w:rFonts w:hint="eastAsia"/>
              </w:rPr>
              <w:t>在其他单位任职情况的说明</w:t>
            </w:r>
          </w:p>
        </w:tc>
        <w:tc>
          <w:tcPr>
            <w:tcW w:w="7210" w:type="dxa"/>
            <w:gridSpan w:val="3"/>
            <w:vAlign w:val="center"/>
          </w:tcPr>
          <w:p>
            <w:pPr>
              <w:pStyle w:val="Style49"/>
            </w:pPr>
            <w:r>
              <w:rPr>
                <w:rFonts w:hint="eastAsia"/>
              </w:rPr>
              <w:t>无</w:t>
            </w:r>
          </w:p>
        </w:tc>
      </w:tr>
      <w:bookmarkEnd w:id="150"/>
    </w:tbl>
    <w:p>
      <w:pPr>
        <w:pStyle w:val="Style49"/>
      </w:pPr>
    </w:p>
    <w:p>
      <w:pPr>
        <w:pStyle w:val="Style52"/>
        <w:numPr>
          <w:ilvl w:val="0"/>
          <w:numId w:val="25"/>
        </w:numPr>
        <w:ind w:left="0" w:firstLine="0"/>
      </w:pPr>
      <w:r>
        <w:rPr>
          <w:rFonts w:hint="eastAsia"/>
        </w:rPr>
        <w:t>董事、高级管理人员薪酬情况</w:t>
      </w:r>
    </w:p>
    <w:sdt>
      <w:sdtPr>
        <w:alias w:val="是否适用：董事、监事、高级管理人员报酬情况[双击切换]"/>
        <w:tag w:val="_GBC_670a12b9c1e34498888f2aafd9509848"/>
        <w:id w:val="-118212436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g7"/>
        <w:tblW w:w="9048" w:type="dxa"/>
        <w:tblLayout w:type="fixed"/>
        <w:tblLook w:val="04A0" w:firstRow="1" w:lastRow="0" w:firstColumn="1" w:lastColumn="0" w:noHBand="0" w:noVBand="1"/>
      </w:tblPr>
      <w:tblGrid>
        <w:gridCol w:w="2800"/>
        <w:gridCol w:w="6248"/>
      </w:tblGrid>
      <w:tr>
        <w:trPr>
          <w:trHeight w:val="120"/>
        </w:trPr>
        <w:sdt>
          <w:sdtPr>
            <w:tag w:val="_PLD_9e63d19b4bb64b9f8ebbe91d33a629c4"/>
            <w:id w:val="428077650"/>
          </w:sdtPr>
          <w:sdtContent>
            <w:tc>
              <w:tcPr>
                <w:tcW w:w="2800" w:type="dxa"/>
                <w:vAlign w:val="center"/>
              </w:tcPr>
              <w:p>
                <w:pPr>
                  <w:pStyle w:val="Style49"/>
                </w:pPr>
                <w:r>
                  <w:t>董事、高级管理人员薪酬的决策程序</w:t>
                </w:r>
              </w:p>
            </w:tc>
          </w:sdtContent>
        </w:sdt>
        <w:sdt>
          <w:sdtPr>
            <w:rPr>
              <w:rFonts w:hint="eastAsia"/>
              <w:sz w:val="20"/>
              <w:szCs w:val="20"/>
            </w:rPr>
            <w:alias w:val="董事、监事、高级管理人员报酬的决策程序"/>
            <w:tag w:val="_GBC_bf64cad6b5d7435388a8e69e2c05dea2"/>
            <w:id w:val="-1310161959"/>
          </w:sdtPr>
          <w:sdtContent>
            <w:tc>
              <w:tcPr>
                <w:tcW w:w="6248" w:type="dxa"/>
                <w:vAlign w:val="center"/>
              </w:tcPr>
              <w:p>
                <w:pPr>
                  <w:pStyle w:val="Style49"/>
                </w:pPr>
                <w:r>
                  <w:rPr>
                    <w:rFonts w:hint="eastAsia"/>
                  </w:rPr>
                  <w:t>公司董事和高级管理人员的薪酬，由董事会薪酬委员会向董事会提出建议，董事薪酬经董事会审议通过后提交股东会批准，高级管理人员薪酬由董事会审议批准并向股东会报告。</w:t>
                </w:r>
              </w:p>
            </w:tc>
          </w:sdtContent>
        </w:sdt>
      </w:tr>
      <w:tr>
        <w:trPr>
          <w:trHeight w:val="120"/>
        </w:trPr>
        <w:tc>
          <w:tcPr>
            <w:tcW w:w="2800" w:type="dxa"/>
            <w:vAlign w:val="center"/>
          </w:tcPr>
          <w:p>
            <w:pPr>
              <w:pStyle w:val="Style49"/>
            </w:pPr>
            <w:r>
              <w:rPr>
                <w:rFonts w:hint="eastAsia"/>
              </w:rPr>
              <w:t>董事在董事会讨论本人薪酬事项时是否回避</w:t>
            </w:r>
          </w:p>
        </w:tc>
        <w:tc>
          <w:tcPr>
            <w:tcW w:w="6248" w:type="dxa"/>
            <w:vAlign w:val="center"/>
          </w:tcPr>
          <w:p>
            <w:pPr>
              <w:rPr>
                <w:rFonts w:ascii="宋体" w:hAnsi="宋体"/>
              </w:rPr>
            </w:pPr>
            <w:r>
              <w:rPr>
                <w:rFonts w:ascii="宋体" w:hAnsi="宋体" w:hint="eastAsia"/>
              </w:rPr>
              <w:t>是</w:t>
            </w:r>
          </w:p>
        </w:tc>
      </w:tr>
      <w:tr>
        <w:trPr>
          <w:trHeight w:val="120"/>
        </w:trPr>
        <w:sdt>
          <w:sdtPr>
            <w:tag w:val="_PLD_6b3a77d73be749829b418349bda4ea19"/>
            <w:id w:val="2054414220"/>
          </w:sdtPr>
          <w:sdtContent>
            <w:tc>
              <w:tcPr>
                <w:tcW w:w="2800" w:type="dxa"/>
                <w:vAlign w:val="center"/>
              </w:tcPr>
              <w:p>
                <w:pPr>
                  <w:pStyle w:val="Style49"/>
                </w:pPr>
                <w:r>
                  <w:rPr>
                    <w:rFonts w:hint="eastAsia"/>
                  </w:rPr>
                  <w:t>薪酬与考核委员会或独立董事专门会议关于董事、高级管理人员薪酬事项发表建议的具体情况</w:t>
                </w:r>
              </w:p>
            </w:tc>
          </w:sdtContent>
        </w:sdt>
        <w:tc>
          <w:tcPr>
            <w:tcW w:w="6248" w:type="dxa"/>
            <w:vAlign w:val="center"/>
          </w:tcPr>
          <w:p>
            <w:pPr>
              <w:rPr>
                <w:rFonts w:ascii="宋体" w:hAnsi="宋体"/>
              </w:rPr>
            </w:pPr>
            <w:r>
              <w:rPr>
                <w:rFonts w:ascii="宋体" w:hAnsi="宋体" w:hint="eastAsia"/>
              </w:rPr>
              <w:t>2025年3月18日，董事会薪酬委员会第五次会议对年度报告中披露的公司董事和高级管理人员的薪酬进行了审核，认为董事、高级管理人员的薪酬严格执行了公司薪酬管理的有关规定，发放程序符合有关法律、法规及《公司章程》的规定，并提出如下建议：</w:t>
            </w:r>
          </w:p>
          <w:p>
            <w:pPr>
              <w:rPr>
                <w:rFonts w:ascii="宋体" w:hAnsi="宋体"/>
              </w:rPr>
            </w:pPr>
            <w:r>
              <w:rPr>
                <w:rFonts w:ascii="宋体" w:hAnsi="宋体" w:hint="eastAsia"/>
              </w:rPr>
              <w:t>1.建议公司2025年度完成经营目标后，按照公司薪酬考核政策，确定从公司领取薪酬的非独立董事薪酬水平。</w:t>
            </w:r>
          </w:p>
          <w:p>
            <w:pPr>
              <w:rPr>
                <w:rFonts w:ascii="宋体" w:hAnsi="宋体"/>
              </w:rPr>
            </w:pPr>
            <w:r>
              <w:rPr>
                <w:rFonts w:ascii="宋体" w:hAnsi="宋体" w:hint="eastAsia"/>
              </w:rPr>
              <w:t>2.建议公司独立董事2025完整年度人均酬金为人民币25万元(含税)。</w:t>
            </w:r>
          </w:p>
          <w:p>
            <w:pPr>
              <w:rPr>
                <w:rFonts w:ascii="宋体" w:hAnsi="宋体"/>
              </w:rPr>
            </w:pPr>
            <w:r>
              <w:rPr>
                <w:rFonts w:ascii="宋体" w:hAnsi="宋体" w:hint="eastAsia"/>
              </w:rPr>
              <w:t>3.建议公司2025年度完成经营目标后，按照公司薪酬考核政策，确定非董事高级管理人员薪酬水平。</w:t>
            </w:r>
          </w:p>
        </w:tc>
      </w:tr>
      <w:tr>
        <w:trPr>
          <w:trHeight w:val="165"/>
        </w:trPr>
        <w:sdt>
          <w:sdtPr>
            <w:tag w:val="_PLD_a1d35038246146c0a95c36f146481091"/>
            <w:id w:val="1648853988"/>
          </w:sdtPr>
          <w:sdtContent>
            <w:tc>
              <w:tcPr>
                <w:tcW w:w="2800" w:type="dxa"/>
                <w:vAlign w:val="center"/>
              </w:tcPr>
              <w:p>
                <w:pPr>
                  <w:pStyle w:val="Style49"/>
                </w:pPr>
                <w:r>
                  <w:t>董事、高级管理人员薪酬确定依据</w:t>
                </w:r>
              </w:p>
            </w:tc>
          </w:sdtContent>
        </w:sdt>
        <w:tc>
          <w:tcPr>
            <w:tcW w:w="6248" w:type="dxa"/>
            <w:vAlign w:val="center"/>
          </w:tcPr>
          <w:p>
            <w:pPr>
              <w:rPr>
                <w:rFonts w:ascii="宋体" w:hAnsi="宋体"/>
              </w:rPr>
            </w:pPr>
            <w:r>
              <w:rPr>
                <w:rFonts w:ascii="宋体" w:hAnsi="宋体" w:hint="eastAsia"/>
              </w:rPr>
              <w:t>公司按照“外具竞争性、内具公平性和成长性”的原则，确定董事、高级管理人员整体薪酬定位。薪酬由年度薪酬、安全环保年薪、任期激励等部分构成。年度薪酬包含基本年薪和绩效年薪，年度薪酬根据员工平均工资、企业市场化水平、经营难度、地区差异等因素综合确定；绩效年薪与年度业绩考核结果挂钩，占年度薪酬的75%。安全环保年薪包括安全环保责任季度考核和年度嘉奖，具体标准和奖罚政策按照公司安全环保绩效考核办法执行。任期激励与经理层任期经营业绩考核结果相挂钩，根据任期内主要指标平均完成值和复合增长率完成情况，结合任期内综合考核评价结果及国资监管部门有关考核政策确定。</w:t>
            </w:r>
          </w:p>
          <w:p>
            <w:pPr>
              <w:rPr>
                <w:rFonts w:ascii="宋体" w:hAnsi="宋体"/>
              </w:rPr>
            </w:pPr>
            <w:r>
              <w:rPr>
                <w:rFonts w:ascii="宋体" w:hAnsi="宋体" w:hint="eastAsia"/>
              </w:rPr>
              <w:t>主要履职地不在国内的高级管理人员，其薪酬根据履职地经济情况、公司业绩、同等职位等因素综合考量确定，并按照境外投资管理规定进行调整。</w:t>
            </w:r>
          </w:p>
        </w:tc>
      </w:tr>
      <w:tr>
        <w:trPr>
          <w:trHeight w:val="165"/>
        </w:trPr>
        <w:sdt>
          <w:sdtPr>
            <w:tag w:val="_PLD_3ba8e874dcd84394a94e693e06b2269b"/>
            <w:id w:val="591584656"/>
          </w:sdtPr>
          <w:sdtContent>
            <w:tc>
              <w:tcPr>
                <w:tcW w:w="2800" w:type="dxa"/>
                <w:vAlign w:val="center"/>
              </w:tcPr>
              <w:p>
                <w:pPr>
                  <w:pStyle w:val="Style49"/>
                </w:pPr>
                <w:r>
                  <w:t>董事和高级管理人员薪酬的</w:t>
                </w:r>
                <w:r>
                  <w:rPr>
                    <w:rFonts w:hint="eastAsia"/>
                  </w:rPr>
                  <w:t>实际支付</w:t>
                </w:r>
                <w:r>
                  <w:t>情况</w:t>
                </w:r>
              </w:p>
            </w:tc>
          </w:sdtContent>
        </w:sdt>
        <w:tc>
          <w:tcPr>
            <w:tcW w:w="6248" w:type="dxa"/>
          </w:tcPr>
          <w:p>
            <w:pPr>
              <w:rPr>
                <w:rFonts w:ascii="宋体" w:hAnsi="宋体"/>
              </w:rPr>
            </w:pPr>
            <w:r>
              <w:rPr>
                <w:rFonts w:ascii="宋体" w:hAnsi="宋体" w:hint="eastAsia"/>
              </w:rPr>
              <w:t>报告期内，董事、高级管理人员绩效薪酬在下一年度考核结束后兑现，公司董事、高级管理人员的薪酬经考核后均已按照规定发放。</w:t>
            </w:r>
          </w:p>
          <w:p>
            <w:pPr>
              <w:rPr>
                <w:rFonts w:ascii="宋体" w:hAnsi="宋体"/>
              </w:rPr>
            </w:pPr>
            <w:r>
              <w:rPr>
                <w:rFonts w:ascii="宋体" w:hAnsi="宋体" w:hint="eastAsia"/>
              </w:rPr>
              <w:t>详情请见本节“现任及报告期内离任董事和高级管理人员持股变动及薪酬情况”。</w:t>
            </w:r>
          </w:p>
        </w:tc>
      </w:tr>
      <w:tr>
        <w:trPr>
          <w:trHeight w:val="135"/>
        </w:trPr>
        <w:tc>
          <w:tcPr>
            <w:tcW w:w="2800" w:type="dxa"/>
            <w:vAlign w:val="center"/>
          </w:tcPr>
          <w:sdt>
            <w:sdtPr>
              <w:tag w:val="_PLD_3506ff73678e423b9d58c6066ded1f49"/>
              <w:id w:val="1081252755"/>
            </w:sdtPr>
            <w:sdtContent>
              <w:p>
                <w:pPr>
                  <w:pStyle w:val="Style49"/>
                </w:pPr>
                <w:r>
                  <w:t>报告期末全体董事和高级管理人员实际获得的薪酬合计</w:t>
                </w:r>
              </w:p>
            </w:sdtContent>
          </w:sdt>
        </w:tc>
        <w:tc>
          <w:tcPr>
            <w:tcW w:w="6248" w:type="dxa"/>
            <w:vAlign w:val="center"/>
          </w:tcPr>
          <w:p>
            <w:pPr>
              <w:rPr>
                <w:rFonts w:ascii="宋体" w:hAnsi="宋体"/>
              </w:rPr>
            </w:pPr>
            <w:r>
              <w:rPr>
                <w:rFonts w:ascii="宋体" w:hAnsi="宋体" w:hint="eastAsia"/>
              </w:rPr>
              <w:t>1,803.75万元</w:t>
            </w:r>
          </w:p>
        </w:tc>
      </w:tr>
      <w:tr>
        <w:trPr>
          <w:trHeight w:val="135"/>
        </w:trPr>
        <w:sdt>
          <w:sdtPr>
            <w:tag w:val="_PLD_85864ecdd4a347afb8769104bf1ae7bd"/>
            <w:id w:val="-1307546858"/>
          </w:sdtPr>
          <w:sdtContent>
            <w:tc>
              <w:tcPr>
                <w:tcW w:w="2800" w:type="dxa"/>
                <w:vAlign w:val="center"/>
              </w:tcPr>
              <w:p>
                <w:pPr>
                  <w:pStyle w:val="Style49"/>
                </w:pPr>
                <w:r>
                  <w:rPr>
                    <w:rFonts w:hint="eastAsia"/>
                  </w:rPr>
                  <w:t>报告期末全体董事和高级管理人员实际获得薪酬的考核依据和完成情况</w:t>
                </w:r>
              </w:p>
            </w:tc>
          </w:sdtContent>
        </w:sdt>
        <w:tc>
          <w:tcPr>
            <w:tcW w:w="6248" w:type="dxa"/>
            <w:vAlign w:val="center"/>
          </w:tcPr>
          <w:p>
            <w:pPr>
              <w:rPr>
                <w:rFonts w:ascii="宋体" w:hAnsi="宋体"/>
              </w:rPr>
            </w:pPr>
            <w:r>
              <w:rPr>
                <w:rFonts w:ascii="宋体" w:hAnsi="宋体" w:hint="eastAsia"/>
              </w:rPr>
              <w:t>独立董事领取的独立董事津贴不适用考核情况。</w:t>
            </w:r>
          </w:p>
          <w:p>
            <w:pPr>
              <w:rPr>
                <w:rFonts w:ascii="宋体" w:hAnsi="宋体"/>
              </w:rPr>
            </w:pPr>
            <w:r>
              <w:rPr>
                <w:rFonts w:ascii="宋体" w:hAnsi="宋体" w:hint="eastAsia"/>
              </w:rPr>
              <w:t>在公司担任具体管理职务的董事和高级管理人员，其薪酬考核指标体系由主要指标、分类指标、项目建设指标和重点工作任务四部分构成，考核结果作为薪酬发放依据。公司绩效考核工作依照公司绩效考核相关规定有效执行。</w:t>
            </w:r>
          </w:p>
        </w:tc>
      </w:tr>
      <w:tr>
        <w:trPr>
          <w:trHeight w:val="135"/>
        </w:trPr>
        <w:sdt>
          <w:sdtPr>
            <w:tag w:val="_PLD_ea4b026a8e8c4af8961acc0223312d80"/>
            <w:id w:val="-1791822761"/>
          </w:sdtPr>
          <w:sdtContent>
            <w:tc>
              <w:tcPr>
                <w:tcW w:w="2800" w:type="dxa"/>
                <w:vAlign w:val="center"/>
              </w:tcPr>
              <w:p>
                <w:pPr>
                  <w:pStyle w:val="Style49"/>
                </w:pPr>
                <w:r>
                  <w:rPr>
                    <w:rFonts w:hint="eastAsia"/>
                  </w:rPr>
                  <w:t>报告期末全体董事和高级管理人员实际获得薪酬的递延支付安排</w:t>
                </w:r>
              </w:p>
            </w:tc>
          </w:sdtContent>
        </w:sdt>
        <w:tc>
          <w:tcPr>
            <w:tcW w:w="6248" w:type="dxa"/>
            <w:vAlign w:val="center"/>
          </w:tcPr>
          <w:p>
            <w:pPr>
              <w:pStyle w:val="Style541"/>
              <w:rPr>
                <w:rFonts w:ascii="宋体" w:hAnsi="宋体"/>
              </w:rPr>
            </w:pPr>
            <w:r>
              <w:rPr>
                <w:rFonts w:ascii="宋体" w:hAnsi="宋体" w:hint="eastAsia"/>
              </w:rPr>
              <w:t>独立董事领取的独立董事津贴按月发放，不适用相关规定。</w:t>
            </w:r>
          </w:p>
          <w:p>
            <w:pPr>
              <w:pStyle w:val="Style49"/>
            </w:pPr>
            <w:r>
              <w:rPr>
                <w:rFonts w:ascii="宋体" w:hAnsi="宋体" w:hint="eastAsia"/>
              </w:rPr>
              <w:t>公司已建立递延支付机制。在公司担任具体管理职务的董事和高级管理人员，任期激励收入实行延期支付办法。在任期经营业绩考核后，任期激励收入按5：5的比例在下一任期前2个年度兑现。</w:t>
            </w:r>
          </w:p>
        </w:tc>
      </w:tr>
      <w:tr>
        <w:trPr>
          <w:trHeight w:val="135"/>
        </w:trPr>
        <w:sdt>
          <w:sdtPr>
            <w:tag w:val="_PLD_a6fa328d324e4ee4affdd57274599360"/>
            <w:id w:val="331114244"/>
          </w:sdtPr>
          <w:sdtContent>
            <w:tc>
              <w:tcPr>
                <w:tcW w:w="2800" w:type="dxa"/>
                <w:vAlign w:val="center"/>
              </w:tcPr>
              <w:p>
                <w:pPr>
                  <w:pStyle w:val="Style49"/>
                </w:pPr>
                <w:r>
                  <w:rPr>
                    <w:rFonts w:hint="eastAsia"/>
                  </w:rPr>
                  <w:t>报告期末全体董事和高级管理人员实际获得薪酬的止付追索情况</w:t>
                </w:r>
              </w:p>
            </w:tc>
          </w:sdtContent>
        </w:sdt>
        <w:tc>
          <w:tcPr>
            <w:tcW w:w="6248" w:type="dxa"/>
            <w:vAlign w:val="center"/>
          </w:tcPr>
          <w:p>
            <w:pPr>
              <w:pStyle w:val="Style541"/>
              <w:rPr>
                <w:rFonts w:ascii="宋体" w:hAnsi="宋体"/>
              </w:rPr>
            </w:pPr>
            <w:r>
              <w:rPr>
                <w:rFonts w:ascii="宋体" w:hAnsi="宋体" w:hint="eastAsia"/>
              </w:rPr>
              <w:t>独立董事领取的独立董事津贴按月发放，不适用相关规定。</w:t>
            </w:r>
          </w:p>
          <w:p>
            <w:pPr>
              <w:pStyle w:val="Style541"/>
              <w:rPr>
                <w:rFonts w:ascii="宋体" w:hAnsi="宋体"/>
              </w:rPr>
            </w:pPr>
            <w:r>
              <w:rPr>
                <w:rFonts w:ascii="宋体" w:hAnsi="宋体" w:hint="eastAsia"/>
              </w:rPr>
              <w:t>公司已建立止付追索机制。在公司担任具体管理职务的董事和高级管理人员，按照“先审计，后兑现”的原则，对公司经营指标完成情况、重点项目建设完成情况进行审计考核，以年度经营业绩审计报告和考核结果为依据兑现薪酬。经审计发现经营风险时，暂缓兑现薪酬；当年社保基金缴纳存在欠缴的，暂缓兑现薪酬；经审计确认形成经营损失的，按一定比例扣减薪酬，并按照有关规定实施责任追究。被纪检、监察部门立案调查或被司法机关立案侦查的，其以前年度薪酬尚未兑现的，暂停兑现，待案件查结后，根据案件性质、处分情况由考核部门出具考核意见；以前年度薪酬已兑现的，由公司根据案件性质及处分情况，按责任认定年度追索绩效年薪。对提供虚假会计信息资料或者虚构业绩骗取薪酬的，除按照有关规定处理外，追溯调整业绩考核结果，追回多支付的薪酬，并追究主要负责人和有关人员责任。</w:t>
            </w:r>
          </w:p>
          <w:p>
            <w:pPr>
              <w:pStyle w:val="Style49"/>
            </w:pPr>
            <w:r>
              <w:rPr>
                <w:rFonts w:ascii="宋体" w:hAnsi="宋体" w:hint="eastAsia"/>
              </w:rPr>
              <w:t>报告期内，董事和高级管理人员没有发生止付追索情况。</w:t>
            </w:r>
          </w:p>
        </w:tc>
      </w:tr>
    </w:tbl>
    <w:p>
      <w:pPr>
        <w:pStyle w:val="Style49"/>
      </w:pPr>
    </w:p>
    <w:p>
      <w:pPr>
        <w:pStyle w:val="Style52"/>
        <w:numPr>
          <w:ilvl w:val="0"/>
          <w:numId w:val="25"/>
        </w:numPr>
        <w:ind w:left="0" w:firstLine="0"/>
      </w:pPr>
      <w:r>
        <w:rPr>
          <w:rFonts w:hint="eastAsia"/>
        </w:rPr>
        <w:t>公司董事、高级管理人员变动情况</w:t>
      </w:r>
    </w:p>
    <w:sdt>
      <w:sdtPr>
        <w:alias w:val="是否适用：公司董事、监事、高级管理人员变动情况[双击切换]"/>
        <w:tag w:val="_GBC_a00df019796e4666a1adff20d55baa46"/>
        <w:id w:val="1646474034"/>
        <w:placeholder>
          <w:docPart w:val="61BD4EA41D5F47EC8B6E5C9DAF192470"/>
        </w:placeholder>
      </w:sdtPr>
      <w:sdtContent>
        <w:p>
          <w:pPr>
            <w:pStyle w:val="Style93"/>
          </w:pPr>
          <w:r>
            <w:rPr>
              <w:rFonts w:ascii="宋体" w:hAnsi="宋体"/>
              <w:sz w:val="21"/>
            </w:rPr>
            <w:fldChar w:fldCharType="begin"/>
          </w:r>
          <w:r>
            <w:rPr>
              <w:rFonts w:ascii="宋体" w:hAnsi="宋体"/>
              <w:sz w:val="21"/>
            </w:rPr>
            <w:instrText xml:space="preserve">MACROBUTTON  SnrToggleCheckbox √适用 </w:instrText>
          </w:r>
          <w:r>
            <w:rPr>
              <w:rFonts w:ascii="宋体" w:hAnsi="宋体"/>
              <w:sz w:val="21"/>
            </w:rPr>
            <w:fldChar w:fldCharType="end"/>
          </w:r>
          <w:r>
            <w:rPr>
              <w:rFonts w:ascii="宋体" w:hAnsi="宋体"/>
              <w:sz w:val="21"/>
            </w:rPr>
            <w:fldChar w:fldCharType="begin"/>
          </w:r>
          <w:r>
            <w:rPr>
              <w:rFonts w:ascii="宋体" w:hAnsi="宋体"/>
              <w:sz w:val="21"/>
            </w:rPr>
            <w:instrText xml:space="preserve"> MACROBUTTON  SnrToggleCheckbox □不适用 </w:instrText>
          </w:r>
          <w:r>
            <w:rPr>
              <w:rFonts w:ascii="宋体" w:hAnsi="宋体"/>
              <w:sz w:val="21"/>
            </w:rPr>
            <w:fldChar w:fldCharType="end"/>
          </w:r>
        </w:p>
      </w:sdtContent>
    </w:sdt>
    <w:tbl>
      <w:tblPr>
        <w:tblStyle w:val="aff4"/>
        <w:tblW w:w="9048" w:type="dxa"/>
        <w:tblLayout w:type="fixed"/>
        <w:tblLook w:val="04A0" w:firstRow="1" w:lastRow="0" w:firstColumn="1" w:lastColumn="0" w:noHBand="0" w:noVBand="1"/>
      </w:tblPr>
      <w:tblGrid>
        <w:gridCol w:w="2262"/>
        <w:gridCol w:w="2262"/>
        <w:gridCol w:w="2262"/>
        <w:gridCol w:w="2262"/>
      </w:tblGrid>
      <w:tr>
        <w:trPr>
          <w:trHeight w:val="210"/>
        </w:trPr>
        <w:sdt>
          <w:sdtPr>
            <w:tag w:val="_PLD_10c0965136c84bf6abfceaef8557ae99"/>
            <w:id w:val="1205683298"/>
          </w:sdtPr>
          <w:sdtContent>
            <w:tc>
              <w:tcPr>
                <w:tcW w:w="2262" w:type="dxa"/>
                <w:vAlign w:val="center"/>
              </w:tcPr>
              <w:p>
                <w:pPr>
                  <w:jc w:val="center"/>
                </w:pPr>
                <w:r>
                  <w:t>姓名</w:t>
                </w:r>
              </w:p>
            </w:tc>
          </w:sdtContent>
        </w:sdt>
        <w:sdt>
          <w:sdtPr>
            <w:tag w:val="_PLD_b53cc0c0661e4cffa4f7fa4f6423187d"/>
            <w:id w:val="-1087993399"/>
          </w:sdtPr>
          <w:sdtContent>
            <w:tc>
              <w:tcPr>
                <w:tcW w:w="2262" w:type="dxa"/>
                <w:vAlign w:val="center"/>
              </w:tcPr>
              <w:p>
                <w:pPr>
                  <w:jc w:val="center"/>
                </w:pPr>
                <w:r>
                  <w:t>担任的职务</w:t>
                </w:r>
              </w:p>
            </w:tc>
          </w:sdtContent>
        </w:sdt>
        <w:sdt>
          <w:sdtPr>
            <w:tag w:val="_PLD_012859f523ec430da1dfc6a86c6dde35"/>
            <w:id w:val="1246236867"/>
          </w:sdtPr>
          <w:sdtContent>
            <w:tc>
              <w:tcPr>
                <w:tcW w:w="2262" w:type="dxa"/>
                <w:vAlign w:val="center"/>
              </w:tcPr>
              <w:p>
                <w:pPr>
                  <w:jc w:val="center"/>
                </w:pPr>
                <w:r>
                  <w:t>变动情形</w:t>
                </w:r>
              </w:p>
            </w:tc>
          </w:sdtContent>
        </w:sdt>
        <w:sdt>
          <w:sdtPr>
            <w:tag w:val="_PLD_bf76757c55de435a9638407bd56b5199"/>
            <w:id w:val="1112099546"/>
          </w:sdtPr>
          <w:sdtContent>
            <w:tc>
              <w:tcPr>
                <w:tcW w:w="2262" w:type="dxa"/>
                <w:vAlign w:val="center"/>
              </w:tcPr>
              <w:p>
                <w:pPr>
                  <w:jc w:val="center"/>
                </w:pPr>
                <w:r>
                  <w:t>变动原因</w:t>
                </w:r>
              </w:p>
            </w:tc>
          </w:sdtContent>
        </w:sdt>
      </w:tr>
      <w:sdt>
        <w:sdtPr>
          <w:rPr>
            <w:rFonts w:ascii="宋体" w:hAnsi="宋体" w:hint="eastAsia"/>
          </w:rPr>
          <w:alias w:val="在报告期内公司董事、监事、高级管理人员变动情况"/>
          <w:tag w:val="_TUP_a555fc40054b4d6a94d6a1901fa38c91"/>
          <w:id w:val="-825735145"/>
          <w:placeholder>
            <w:docPart w:val="3316CC853A6C4C71B713E3392B47984D"/>
          </w:placeholder>
        </w:sdtPr>
        <w:sdtEndPr>
          <w:rPr>
            <w:rFonts w:ascii="Times New Roman" w:hAnsi="Times New Roman" w:hint="default"/>
          </w:rPr>
        </w:sdtEndPr>
        <w:sdtContent>
          <w:tr>
            <w:trPr>
              <w:trHeight w:val="105"/>
            </w:trPr>
            <w:tc>
              <w:tcPr>
                <w:tcW w:w="2262" w:type="dxa"/>
                <w:vAlign w:val="center"/>
              </w:tcPr>
              <w:p>
                <w:pPr>
                  <w:jc w:val="center"/>
                </w:pPr>
                <w:r>
                  <w:rPr>
                    <w:rFonts w:ascii="宋体" w:hAnsi="宋体" w:hint="eastAsia"/>
                  </w:rPr>
                  <w:t>王九红</w:t>
                </w:r>
              </w:p>
            </w:tc>
            <w:tc>
              <w:tcPr>
                <w:tcW w:w="2262" w:type="dxa"/>
                <w:vAlign w:val="center"/>
              </w:tcPr>
              <w:p>
                <w:pPr>
                  <w:jc w:val="center"/>
                </w:pPr>
                <w:r>
                  <w:rPr>
                    <w:rFonts w:ascii="宋体" w:hAnsi="宋体" w:hint="eastAsia"/>
                  </w:rPr>
                  <w:t>董事</w:t>
                </w:r>
              </w:p>
            </w:tc>
            <w:sdt>
              <w:sdtPr>
                <w:alias w:val="公司董事、监事、高级管理人员的变动情形"/>
                <w:tag w:val="_GBC_258f9ad482344d5fbc1587e6faf0ed7b"/>
                <w:id w:val="-295297670"/>
                <w:comboBox>
                  <w:listItem w:displayText="选举" w:value="选举"/>
                  <w:listItem w:displayText="离任" w:value="离任"/>
                  <w:listItem w:displayText="聘任" w:value="聘任"/>
                  <w:listItem w:displayText="解聘" w:value="解聘"/>
                </w:comboBox>
              </w:sdtPr>
              <w:sdtContent>
                <w:tc>
                  <w:tcPr>
                    <w:tcW w:w="2262" w:type="dxa"/>
                    <w:vAlign w:val="center"/>
                  </w:tcPr>
                  <w:p>
                    <w:pPr>
                      <w:jc w:val="center"/>
                    </w:pPr>
                    <w:r>
                      <w:t>选举</w:t>
                    </w:r>
                  </w:p>
                </w:tc>
              </w:sdtContent>
            </w:sdt>
            <w:sdt>
              <w:sdtPr>
                <w:alias w:val="在报告期内离任的董事、监事、高级管理人员离任原因"/>
                <w:tag w:val="_GBC_d73defdbf41845d2bd043c385b151039"/>
                <w:id w:val="465238852"/>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pPr>
                      <w:jc w:val="center"/>
                    </w:pPr>
                    <w:r>
                      <w:t>工作调动</w:t>
                    </w:r>
                  </w:p>
                </w:tc>
              </w:sdtContent>
            </w:sdt>
          </w:tr>
        </w:sdtContent>
      </w:sdt>
      <w:sdt>
        <w:sdtPr>
          <w:rPr>
            <w:rFonts w:ascii="宋体" w:hAnsi="宋体" w:hint="eastAsia"/>
          </w:rPr>
          <w:alias w:val="在报告期内公司董事、监事、高级管理人员变动情况"/>
          <w:tag w:val="_TUP_a555fc40054b4d6a94d6a1901fa38c91"/>
          <w:id w:val="370120057"/>
          <w:placeholder>
            <w:docPart w:val="3316CC853A6C4C71B713E3392B47984D"/>
          </w:placeholder>
        </w:sdtPr>
        <w:sdtEndPr>
          <w:rPr>
            <w:rFonts w:ascii="Times New Roman" w:hAnsi="Times New Roman" w:hint="default"/>
          </w:rPr>
        </w:sdtEndPr>
        <w:sdtContent>
          <w:tr>
            <w:trPr>
              <w:trHeight w:val="105"/>
            </w:trPr>
            <w:tc>
              <w:tcPr>
                <w:tcW w:w="2262" w:type="dxa"/>
                <w:vAlign w:val="center"/>
              </w:tcPr>
              <w:p>
                <w:pPr>
                  <w:jc w:val="center"/>
                </w:pPr>
                <w:r>
                  <w:rPr>
                    <w:rFonts w:ascii="宋体" w:hAnsi="宋体" w:hint="eastAsia"/>
                  </w:rPr>
                  <w:t>高井祥</w:t>
                </w:r>
              </w:p>
            </w:tc>
            <w:tc>
              <w:tcPr>
                <w:tcW w:w="2262" w:type="dxa"/>
                <w:vAlign w:val="center"/>
              </w:tcPr>
              <w:p>
                <w:pPr>
                  <w:jc w:val="center"/>
                </w:pPr>
                <w:r>
                  <w:rPr>
                    <w:rFonts w:ascii="宋体" w:hAnsi="宋体" w:hint="eastAsia"/>
                  </w:rPr>
                  <w:t>独立董事</w:t>
                </w:r>
              </w:p>
            </w:tc>
            <w:sdt>
              <w:sdtPr>
                <w:alias w:val="公司董事、监事、高级管理人员的变动情形"/>
                <w:tag w:val="_GBC_258f9ad482344d5fbc1587e6faf0ed7b"/>
                <w:id w:val="-585697227"/>
                <w:comboBox>
                  <w:listItem w:displayText="选举" w:value="选举"/>
                  <w:listItem w:displayText="离任" w:value="离任"/>
                  <w:listItem w:displayText="聘任" w:value="聘任"/>
                  <w:listItem w:displayText="解聘" w:value="解聘"/>
                </w:comboBox>
              </w:sdtPr>
              <w:sdtContent>
                <w:tc>
                  <w:tcPr>
                    <w:tcW w:w="2262" w:type="dxa"/>
                    <w:vAlign w:val="center"/>
                  </w:tcPr>
                  <w:p>
                    <w:pPr>
                      <w:jc w:val="center"/>
                    </w:pPr>
                    <w:r>
                      <w:t>选举</w:t>
                    </w:r>
                  </w:p>
                </w:tc>
              </w:sdtContent>
            </w:sdt>
            <w:sdt>
              <w:sdtPr>
                <w:alias w:val="在报告期内离任的董事、监事、高级管理人员离任原因"/>
                <w:tag w:val="_GBC_d73defdbf41845d2bd043c385b151039"/>
                <w:id w:val="-2071646406"/>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pPr>
                      <w:jc w:val="center"/>
                    </w:pPr>
                    <w:r>
                      <w:t>工作调动</w:t>
                    </w:r>
                  </w:p>
                </w:tc>
              </w:sdtContent>
            </w:sdt>
          </w:tr>
        </w:sdtContent>
      </w:sdt>
      <w:tr>
        <w:trPr>
          <w:trHeight w:val="105"/>
        </w:trPr>
        <w:tc>
          <w:tcPr>
            <w:tcW w:w="2262" w:type="dxa"/>
            <w:vAlign w:val="center"/>
          </w:tcPr>
          <w:p>
            <w:pPr>
              <w:jc w:val="center"/>
            </w:pPr>
            <w:r>
              <w:rPr>
                <w:rFonts w:ascii="宋体" w:hAnsi="宋体" w:hint="eastAsia"/>
              </w:rPr>
              <w:t>康  丹</w:t>
            </w:r>
          </w:p>
        </w:tc>
        <w:tc>
          <w:tcPr>
            <w:tcW w:w="2262" w:type="dxa"/>
            <w:vAlign w:val="center"/>
          </w:tcPr>
          <w:p>
            <w:pPr>
              <w:jc w:val="center"/>
            </w:pPr>
            <w:r>
              <w:rPr>
                <w:rFonts w:ascii="宋体" w:hAnsi="宋体" w:hint="eastAsia"/>
              </w:rPr>
              <w:t>副总经理</w:t>
            </w:r>
          </w:p>
        </w:tc>
        <w:tc>
          <w:tcPr>
            <w:tcW w:w="2262" w:type="dxa"/>
            <w:vAlign w:val="center"/>
          </w:tcPr>
          <w:p>
            <w:pPr>
              <w:jc w:val="center"/>
            </w:pPr>
            <w:r>
              <w:rPr>
                <w:rFonts w:ascii="宋体" w:hAnsi="宋体"/>
                <w:color w:val="000000"/>
              </w:rPr>
              <w:t>聘任</w:t>
            </w:r>
          </w:p>
        </w:tc>
        <w:sdt>
          <w:sdtPr>
            <w:alias w:val="在报告期内离任的董事、监事、高级管理人员离任原因"/>
            <w:tag w:val="_GBC_d73defdbf41845d2bd043c385b151039"/>
            <w:id w:val="-1576041763"/>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tcPr>
              <w:p>
                <w:pPr>
                  <w:jc w:val="center"/>
                </w:pPr>
                <w:r>
                  <w:t>工作调动</w:t>
                </w:r>
              </w:p>
            </w:tc>
          </w:sdtContent>
        </w:sdt>
      </w:tr>
      <w:tr>
        <w:trPr>
          <w:trHeight w:val="105"/>
        </w:trPr>
        <w:tc>
          <w:tcPr>
            <w:tcW w:w="2262" w:type="dxa"/>
            <w:vAlign w:val="center"/>
          </w:tcPr>
          <w:p>
            <w:pPr>
              <w:jc w:val="center"/>
            </w:pPr>
            <w:r>
              <w:rPr>
                <w:rFonts w:ascii="宋体" w:hAnsi="宋体" w:hint="eastAsia"/>
              </w:rPr>
              <w:t>徐长厚</w:t>
            </w:r>
          </w:p>
        </w:tc>
        <w:tc>
          <w:tcPr>
            <w:tcW w:w="2262" w:type="dxa"/>
            <w:vAlign w:val="center"/>
          </w:tcPr>
          <w:p>
            <w:pPr>
              <w:jc w:val="center"/>
            </w:pPr>
            <w:r>
              <w:rPr>
                <w:rFonts w:ascii="宋体" w:hAnsi="宋体" w:hint="eastAsia"/>
              </w:rPr>
              <w:t>副总经理</w:t>
            </w:r>
          </w:p>
        </w:tc>
        <w:tc>
          <w:tcPr>
            <w:tcW w:w="2262" w:type="dxa"/>
            <w:vAlign w:val="center"/>
          </w:tcPr>
          <w:p>
            <w:pPr>
              <w:jc w:val="center"/>
            </w:pPr>
            <w:r>
              <w:rPr>
                <w:rFonts w:ascii="宋体" w:hAnsi="宋体"/>
                <w:color w:val="000000"/>
              </w:rPr>
              <w:t>聘任</w:t>
            </w:r>
          </w:p>
        </w:tc>
        <w:sdt>
          <w:sdtPr>
            <w:alias w:val="在报告期内离任的董事、监事、高级管理人员离任原因"/>
            <w:tag w:val="_GBC_d73defdbf41845d2bd043c385b151039"/>
            <w:id w:val="-1506968767"/>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tcPr>
              <w:p>
                <w:pPr>
                  <w:jc w:val="center"/>
                </w:pPr>
                <w:r>
                  <w:t>工作调动</w:t>
                </w:r>
              </w:p>
            </w:tc>
          </w:sdtContent>
        </w:sdt>
      </w:tr>
      <w:tr>
        <w:trPr>
          <w:trHeight w:val="105"/>
        </w:trPr>
        <w:tc>
          <w:tcPr>
            <w:tcW w:w="2262" w:type="dxa"/>
            <w:vAlign w:val="center"/>
          </w:tcPr>
          <w:p>
            <w:pPr>
              <w:jc w:val="center"/>
            </w:pPr>
            <w:r>
              <w:rPr>
                <w:rFonts w:ascii="宋体" w:hAnsi="宋体" w:hint="eastAsia"/>
              </w:rPr>
              <w:t>齐俊铭</w:t>
            </w:r>
          </w:p>
        </w:tc>
        <w:tc>
          <w:tcPr>
            <w:tcW w:w="2262" w:type="dxa"/>
            <w:vAlign w:val="center"/>
          </w:tcPr>
          <w:p>
            <w:pPr>
              <w:jc w:val="center"/>
            </w:pPr>
            <w:r>
              <w:rPr>
                <w:rFonts w:ascii="宋体" w:hAnsi="宋体" w:hint="eastAsia"/>
              </w:rPr>
              <w:t>安全总监</w:t>
            </w:r>
          </w:p>
        </w:tc>
        <w:tc>
          <w:tcPr>
            <w:tcW w:w="2262" w:type="dxa"/>
            <w:vAlign w:val="center"/>
          </w:tcPr>
          <w:p>
            <w:pPr>
              <w:jc w:val="center"/>
            </w:pPr>
            <w:r>
              <w:rPr>
                <w:rFonts w:ascii="宋体" w:hAnsi="宋体"/>
                <w:color w:val="000000"/>
              </w:rPr>
              <w:t>聘任</w:t>
            </w:r>
          </w:p>
        </w:tc>
        <w:sdt>
          <w:sdtPr>
            <w:alias w:val="在报告期内离任的董事、监事、高级管理人员离任原因"/>
            <w:tag w:val="_GBC_d73defdbf41845d2bd043c385b151039"/>
            <w:id w:val="-1173483213"/>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tcPr>
              <w:p>
                <w:pPr>
                  <w:jc w:val="center"/>
                </w:pPr>
                <w:r>
                  <w:t>工作调动</w:t>
                </w:r>
              </w:p>
            </w:tc>
          </w:sdtContent>
        </w:sdt>
      </w:tr>
      <w:tr>
        <w:trPr>
          <w:trHeight w:val="105"/>
        </w:trPr>
        <w:tc>
          <w:tcPr>
            <w:tcW w:w="2262" w:type="dxa"/>
            <w:vAlign w:val="center"/>
          </w:tcPr>
          <w:p>
            <w:pPr>
              <w:jc w:val="center"/>
            </w:pPr>
            <w:r>
              <w:rPr>
                <w:rFonts w:ascii="宋体" w:hAnsi="宋体" w:hint="eastAsia"/>
              </w:rPr>
              <w:t>李建忠</w:t>
            </w:r>
          </w:p>
        </w:tc>
        <w:tc>
          <w:tcPr>
            <w:tcW w:w="2262" w:type="dxa"/>
            <w:vAlign w:val="center"/>
          </w:tcPr>
          <w:p>
            <w:pPr>
              <w:jc w:val="center"/>
            </w:pPr>
            <w:r>
              <w:rPr>
                <w:rFonts w:ascii="宋体" w:hAnsi="宋体" w:hint="eastAsia"/>
              </w:rPr>
              <w:t>副总经理</w:t>
            </w:r>
          </w:p>
        </w:tc>
        <w:tc>
          <w:tcPr>
            <w:tcW w:w="2262" w:type="dxa"/>
            <w:vAlign w:val="center"/>
          </w:tcPr>
          <w:p>
            <w:pPr>
              <w:jc w:val="center"/>
            </w:pPr>
            <w:r>
              <w:rPr>
                <w:rFonts w:ascii="宋体" w:hAnsi="宋体" w:hint="eastAsia"/>
                <w:color w:val="000000"/>
              </w:rPr>
              <w:t>聘任</w:t>
            </w:r>
          </w:p>
        </w:tc>
        <w:sdt>
          <w:sdtPr>
            <w:alias w:val="在报告期内离任的董事、监事、高级管理人员离任原因"/>
            <w:tag w:val="_GBC_d73defdbf41845d2bd043c385b151039"/>
            <w:id w:val="767431611"/>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tcPr>
              <w:p>
                <w:pPr>
                  <w:jc w:val="center"/>
                </w:pPr>
                <w:r>
                  <w:t>工作调动</w:t>
                </w:r>
              </w:p>
            </w:tc>
          </w:sdtContent>
        </w:sdt>
      </w:tr>
      <w:tr>
        <w:trPr>
          <w:trHeight w:val="105"/>
        </w:trPr>
        <w:tc>
          <w:tcPr>
            <w:tcW w:w="2262" w:type="dxa"/>
            <w:vAlign w:val="center"/>
          </w:tcPr>
          <w:p>
            <w:pPr>
              <w:jc w:val="center"/>
            </w:pPr>
            <w:r>
              <w:rPr>
                <w:rFonts w:ascii="宋体" w:hAnsi="宋体" w:hint="eastAsia"/>
              </w:rPr>
              <w:t>彭苏萍</w:t>
            </w:r>
          </w:p>
        </w:tc>
        <w:tc>
          <w:tcPr>
            <w:tcW w:w="2262" w:type="dxa"/>
            <w:vAlign w:val="center"/>
          </w:tcPr>
          <w:p>
            <w:pPr>
              <w:jc w:val="center"/>
            </w:pPr>
            <w:r>
              <w:rPr>
                <w:rFonts w:ascii="宋体" w:hAnsi="宋体" w:hint="eastAsia"/>
              </w:rPr>
              <w:t>独立董事</w:t>
            </w:r>
          </w:p>
        </w:tc>
        <w:tc>
          <w:tcPr>
            <w:tcW w:w="2262" w:type="dxa"/>
            <w:vAlign w:val="center"/>
          </w:tcPr>
          <w:p>
            <w:pPr>
              <w:jc w:val="center"/>
            </w:pPr>
            <w:r>
              <w:rPr>
                <w:rFonts w:ascii="宋体" w:hAnsi="宋体"/>
                <w:color w:val="000000"/>
              </w:rPr>
              <w:t>离任</w:t>
            </w:r>
          </w:p>
        </w:tc>
        <w:sdt>
          <w:sdtPr>
            <w:alias w:val="在报告期内离任的董事、监事、高级管理人员离任原因"/>
            <w:tag w:val="_GBC_d73defdbf41845d2bd043c385b151039"/>
            <w:id w:val="856319466"/>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tcPr>
              <w:p>
                <w:pPr>
                  <w:jc w:val="center"/>
                </w:pPr>
                <w:r>
                  <w:t>工作调动</w:t>
                </w:r>
              </w:p>
            </w:tc>
          </w:sdtContent>
        </w:sdt>
      </w:tr>
      <w:tr>
        <w:trPr>
          <w:trHeight w:val="105"/>
        </w:trPr>
        <w:tc>
          <w:tcPr>
            <w:tcW w:w="2262" w:type="dxa"/>
            <w:vAlign w:val="center"/>
          </w:tcPr>
          <w:p>
            <w:pPr>
              <w:jc w:val="center"/>
              <w:rPr>
                <w:rFonts w:ascii="宋体" w:hAnsi="宋体"/>
              </w:rPr>
            </w:pPr>
            <w:r>
              <w:rPr>
                <w:rFonts w:ascii="宋体" w:hAnsi="宋体" w:hint="eastAsia"/>
              </w:rPr>
              <w:t>李士鹏</w:t>
            </w:r>
          </w:p>
        </w:tc>
        <w:tc>
          <w:tcPr>
            <w:tcW w:w="2262" w:type="dxa"/>
            <w:vAlign w:val="center"/>
          </w:tcPr>
          <w:p>
            <w:pPr>
              <w:jc w:val="center"/>
              <w:rPr>
                <w:rFonts w:ascii="宋体" w:hAnsi="宋体"/>
              </w:rPr>
            </w:pPr>
            <w:r>
              <w:rPr>
                <w:rFonts w:ascii="宋体" w:hAnsi="宋体" w:hint="eastAsia"/>
              </w:rPr>
              <w:t>监事、监事会主席</w:t>
            </w:r>
          </w:p>
        </w:tc>
        <w:tc>
          <w:tcPr>
            <w:tcW w:w="2262" w:type="dxa"/>
            <w:vAlign w:val="center"/>
          </w:tcPr>
          <w:p>
            <w:pPr>
              <w:jc w:val="center"/>
              <w:rPr>
                <w:rFonts w:ascii="宋体" w:hAnsi="宋体"/>
                <w:color w:val="000000"/>
              </w:rPr>
            </w:pPr>
            <w:r>
              <w:rPr>
                <w:rFonts w:ascii="宋体" w:hAnsi="宋体"/>
                <w:color w:val="000000"/>
              </w:rPr>
              <w:t>离任</w:t>
            </w:r>
          </w:p>
        </w:tc>
        <w:tc>
          <w:tcPr>
            <w:tcW w:w="2262" w:type="dxa"/>
            <w:vAlign w:val="center"/>
          </w:tcPr>
          <w:p>
            <w:pPr>
              <w:jc w:val="center"/>
            </w:pPr>
            <w:r>
              <w:rPr>
                <w:rFonts w:hint="eastAsia"/>
              </w:rPr>
              <w:t>取消监事会</w:t>
            </w:r>
          </w:p>
        </w:tc>
      </w:tr>
      <w:tr>
        <w:trPr>
          <w:trHeight w:val="105"/>
        </w:trPr>
        <w:tc>
          <w:tcPr>
            <w:tcW w:w="2262" w:type="dxa"/>
            <w:vAlign w:val="center"/>
          </w:tcPr>
          <w:p>
            <w:pPr>
              <w:jc w:val="center"/>
              <w:rPr>
                <w:rFonts w:ascii="宋体" w:hAnsi="宋体"/>
              </w:rPr>
            </w:pPr>
            <w:r>
              <w:rPr>
                <w:rFonts w:ascii="宋体" w:hAnsi="宋体" w:hint="eastAsia"/>
              </w:rPr>
              <w:t>朱  昊</w:t>
            </w:r>
          </w:p>
        </w:tc>
        <w:tc>
          <w:tcPr>
            <w:tcW w:w="2262" w:type="dxa"/>
            <w:vAlign w:val="center"/>
          </w:tcPr>
          <w:p>
            <w:pPr>
              <w:jc w:val="center"/>
              <w:rPr>
                <w:rFonts w:ascii="宋体" w:hAnsi="宋体"/>
              </w:rPr>
            </w:pPr>
            <w:r>
              <w:rPr>
                <w:rFonts w:ascii="宋体" w:hAnsi="宋体" w:hint="eastAsia"/>
              </w:rPr>
              <w:t>监事</w:t>
            </w:r>
          </w:p>
        </w:tc>
        <w:tc>
          <w:tcPr>
            <w:tcW w:w="2262" w:type="dxa"/>
            <w:vAlign w:val="center"/>
          </w:tcPr>
          <w:p>
            <w:pPr>
              <w:jc w:val="center"/>
              <w:rPr>
                <w:rFonts w:ascii="宋体" w:hAnsi="宋体"/>
                <w:color w:val="000000"/>
              </w:rPr>
            </w:pPr>
            <w:r>
              <w:rPr>
                <w:rFonts w:ascii="宋体" w:hAnsi="宋体"/>
                <w:color w:val="000000"/>
              </w:rPr>
              <w:t>离任</w:t>
            </w:r>
          </w:p>
        </w:tc>
        <w:tc>
          <w:tcPr>
            <w:tcW w:w="2262" w:type="dxa"/>
            <w:vAlign w:val="center"/>
          </w:tcPr>
          <w:p>
            <w:pPr>
              <w:jc w:val="center"/>
            </w:pPr>
            <w:r>
              <w:rPr>
                <w:rFonts w:hint="eastAsia"/>
              </w:rPr>
              <w:t>取消监事会</w:t>
            </w:r>
          </w:p>
        </w:tc>
      </w:tr>
      <w:tr>
        <w:trPr>
          <w:trHeight w:val="105"/>
        </w:trPr>
        <w:tc>
          <w:tcPr>
            <w:tcW w:w="2262" w:type="dxa"/>
            <w:vAlign w:val="center"/>
          </w:tcPr>
          <w:p>
            <w:pPr>
              <w:jc w:val="center"/>
              <w:rPr>
                <w:rFonts w:ascii="宋体" w:hAnsi="宋体"/>
              </w:rPr>
            </w:pPr>
            <w:r>
              <w:rPr>
                <w:rFonts w:ascii="宋体" w:hAnsi="宋体" w:hint="eastAsia"/>
              </w:rPr>
              <w:t>靳家皓</w:t>
            </w:r>
          </w:p>
        </w:tc>
        <w:tc>
          <w:tcPr>
            <w:tcW w:w="2262" w:type="dxa"/>
            <w:vAlign w:val="center"/>
          </w:tcPr>
          <w:p>
            <w:pPr>
              <w:jc w:val="center"/>
              <w:rPr>
                <w:rFonts w:ascii="宋体" w:hAnsi="宋体"/>
              </w:rPr>
            </w:pPr>
            <w:r>
              <w:rPr>
                <w:rFonts w:ascii="宋体" w:hAnsi="宋体" w:hint="eastAsia"/>
              </w:rPr>
              <w:t>职工监事</w:t>
            </w:r>
          </w:p>
        </w:tc>
        <w:tc>
          <w:tcPr>
            <w:tcW w:w="2262" w:type="dxa"/>
            <w:vAlign w:val="center"/>
          </w:tcPr>
          <w:p>
            <w:pPr>
              <w:jc w:val="center"/>
              <w:rPr>
                <w:rFonts w:ascii="宋体" w:hAnsi="宋体"/>
                <w:color w:val="000000"/>
              </w:rPr>
            </w:pPr>
            <w:r>
              <w:rPr>
                <w:rFonts w:ascii="宋体" w:hAnsi="宋体"/>
                <w:color w:val="000000"/>
              </w:rPr>
              <w:t>离任</w:t>
            </w:r>
          </w:p>
        </w:tc>
        <w:tc>
          <w:tcPr>
            <w:tcW w:w="2262" w:type="dxa"/>
            <w:vAlign w:val="center"/>
          </w:tcPr>
          <w:p>
            <w:pPr>
              <w:jc w:val="center"/>
            </w:pPr>
            <w:r>
              <w:rPr>
                <w:rFonts w:hint="eastAsia"/>
              </w:rPr>
              <w:t>取消监事会</w:t>
            </w:r>
          </w:p>
        </w:tc>
      </w:tr>
      <w:tr>
        <w:trPr>
          <w:trHeight w:val="105"/>
        </w:trPr>
        <w:tc>
          <w:tcPr>
            <w:tcW w:w="2262" w:type="dxa"/>
            <w:vAlign w:val="center"/>
          </w:tcPr>
          <w:p>
            <w:pPr>
              <w:jc w:val="center"/>
              <w:rPr>
                <w:rFonts w:ascii="宋体" w:hAnsi="宋体"/>
              </w:rPr>
            </w:pPr>
            <w:r>
              <w:rPr>
                <w:rFonts w:ascii="宋体" w:hAnsi="宋体" w:hint="eastAsia"/>
                <w:color w:val="000000"/>
              </w:rPr>
              <w:t>康  丹</w:t>
            </w:r>
          </w:p>
        </w:tc>
        <w:tc>
          <w:tcPr>
            <w:tcW w:w="2262" w:type="dxa"/>
            <w:vAlign w:val="center"/>
          </w:tcPr>
          <w:p>
            <w:pPr>
              <w:jc w:val="center"/>
              <w:rPr>
                <w:rFonts w:ascii="宋体" w:hAnsi="宋体"/>
              </w:rPr>
            </w:pPr>
            <w:r>
              <w:rPr>
                <w:rFonts w:ascii="宋体" w:hAnsi="宋体" w:hint="eastAsia"/>
              </w:rPr>
              <w:t>安全总监</w:t>
            </w:r>
          </w:p>
        </w:tc>
        <w:tc>
          <w:tcPr>
            <w:tcW w:w="2262" w:type="dxa"/>
            <w:vAlign w:val="center"/>
          </w:tcPr>
          <w:p>
            <w:pPr>
              <w:jc w:val="center"/>
              <w:rPr>
                <w:rFonts w:ascii="宋体" w:hAnsi="宋体"/>
                <w:color w:val="000000"/>
              </w:rPr>
            </w:pPr>
            <w:r>
              <w:rPr>
                <w:rFonts w:ascii="宋体" w:hAnsi="宋体"/>
                <w:color w:val="000000"/>
              </w:rPr>
              <w:t>离任</w:t>
            </w:r>
          </w:p>
        </w:tc>
        <w:tc>
          <w:tcPr>
            <w:tcW w:w="2262" w:type="dxa"/>
            <w:vAlign w:val="center"/>
          </w:tcPr>
          <w:p>
            <w:pPr>
              <w:jc w:val="center"/>
            </w:pPr>
            <w:r>
              <w:rPr>
                <w:rFonts w:ascii="宋体" w:hAnsi="宋体" w:hint="eastAsia"/>
                <w:color w:val="000000"/>
              </w:rPr>
              <w:t>工作调动</w:t>
            </w:r>
          </w:p>
        </w:tc>
      </w:tr>
    </w:tbl>
    <w:p>
      <w:pPr>
        <w:pStyle w:val="Style93"/>
      </w:pPr>
    </w:p>
    <w:p>
      <w:pPr>
        <w:rPr>
          <w:b/>
        </w:rPr>
      </w:pPr>
    </w:p>
    <w:p>
      <w:pPr>
        <w:ind w:firstLineChars="200" w:firstLine="422"/>
        <w:rPr>
          <w:rFonts w:ascii="宋体" w:hAnsi="宋体"/>
          <w:b/>
        </w:rPr>
      </w:pPr>
      <w:r>
        <w:rPr>
          <w:rFonts w:ascii="宋体" w:hAnsi="宋体" w:hint="eastAsia"/>
          <w:b/>
        </w:rPr>
        <w:t>1.董事变动情况</w:t>
      </w:r>
    </w:p>
    <w:p>
      <w:pPr>
        <w:ind w:firstLineChars="200" w:firstLine="420"/>
        <w:jc w:val="both"/>
        <w:rPr>
          <w:rFonts w:ascii="宋体" w:hAnsi="宋体"/>
        </w:rPr>
      </w:pPr>
      <w:r>
        <w:rPr>
          <w:rFonts w:ascii="宋体" w:hAnsi="宋体" w:hint="eastAsia"/>
        </w:rPr>
        <w:t>经2025年2月24日召开的公司第九届董事会第十三次会议审议批准，提名王九红先生为公司第九届董事会非职工代表董事，并于2025年5月30日召开的2024年度股东周年大会选举通过，任期与公司第九届董事会选举的其他董事一致。</w:t>
      </w:r>
    </w:p>
    <w:p>
      <w:pPr>
        <w:ind w:firstLineChars="200" w:firstLine="420"/>
        <w:jc w:val="both"/>
        <w:rPr>
          <w:rFonts w:ascii="宋体" w:hAnsi="宋体"/>
        </w:rPr>
      </w:pPr>
      <w:r>
        <w:rPr>
          <w:rFonts w:ascii="宋体" w:hAnsi="宋体" w:hint="eastAsia"/>
        </w:rPr>
        <w:t>有关详情请见公司日期为2025年2月24日的第九届董事会第十三次会议决议公告、关于提名非职工代表董事的公告以及建议委任非独立董事的公告，日期为2025年5月30日的2024年度股东周年大会决议公告。该等资料刊载于上交所网站、香港联交所网站、公司网站及/或《中国证券报》《上海证券报》《证券时报》《证券日报》。</w:t>
      </w:r>
    </w:p>
    <w:p>
      <w:pPr>
        <w:ind w:firstLineChars="200" w:firstLine="420"/>
        <w:jc w:val="both"/>
        <w:rPr>
          <w:rFonts w:ascii="宋体" w:hAnsi="宋体"/>
        </w:rPr>
      </w:pPr>
      <w:r>
        <w:rPr>
          <w:rFonts w:ascii="宋体" w:hAnsi="宋体" w:hint="eastAsia"/>
        </w:rPr>
        <w:lastRenderedPageBreak/>
        <w:t>经2025年4月25日召开的公司第九届董事会第十六次会议审议批准，提名高井祥先生为公司第九届董事会独立董事，并于2025年5月30日召开的2024年度股东周年大会选举通过，任期与公司第九届董事会选举的的其他董事一致。</w:t>
      </w:r>
      <w:bookmarkStart w:id="152" w:name="OLE_LINK12"/>
      <w:r>
        <w:rPr>
          <w:rFonts w:ascii="宋体" w:hAnsi="宋体" w:hint="eastAsia"/>
        </w:rPr>
        <w:t>彭苏萍先生因中国工程院院士兼职规范工作要求，不再担任公司独立董事。</w:t>
      </w:r>
    </w:p>
    <w:bookmarkEnd w:id="152"/>
    <w:p>
      <w:pPr>
        <w:ind w:firstLineChars="200" w:firstLine="420"/>
        <w:jc w:val="both"/>
        <w:rPr>
          <w:rFonts w:ascii="宋体" w:hAnsi="宋体"/>
        </w:rPr>
      </w:pPr>
      <w:r>
        <w:rPr>
          <w:rFonts w:ascii="宋体" w:hAnsi="宋体" w:hint="eastAsia"/>
        </w:rPr>
        <w:t>有关详情请见公司日期为2025年4月25日第九届董事会第十六次会议决议公告、关于提名独立董事候选人的公告以及建议委任独立非执行董事的公告，日期为2025年5月30日的2024年度股东周年大会决议公告。该等资料刊载于上交所网站、香港联交所网站、公司网站及/或《中国证券报》《上海证券报》《证券时报》《证券日报》。</w:t>
      </w:r>
    </w:p>
    <w:p>
      <w:pPr>
        <w:ind w:firstLineChars="200" w:firstLine="420"/>
        <w:jc w:val="both"/>
        <w:rPr>
          <w:rFonts w:ascii="宋体" w:hAnsi="宋体"/>
        </w:rPr>
      </w:pPr>
    </w:p>
    <w:p>
      <w:pPr>
        <w:ind w:firstLineChars="200" w:firstLine="422"/>
        <w:jc w:val="both"/>
        <w:rPr>
          <w:rFonts w:ascii="宋体" w:hAnsi="宋体"/>
          <w:b/>
        </w:rPr>
      </w:pPr>
      <w:r>
        <w:rPr>
          <w:rFonts w:ascii="宋体" w:hAnsi="宋体" w:hint="eastAsia"/>
          <w:b/>
        </w:rPr>
        <w:t>2.高级管理人员变动情况</w:t>
      </w:r>
    </w:p>
    <w:p>
      <w:pPr>
        <w:ind w:firstLineChars="200" w:firstLine="420"/>
        <w:jc w:val="both"/>
        <w:rPr>
          <w:rFonts w:ascii="宋体" w:hAnsi="宋体"/>
        </w:rPr>
      </w:pPr>
      <w:r>
        <w:rPr>
          <w:rFonts w:ascii="宋体" w:hAnsi="宋体" w:hint="eastAsia"/>
        </w:rPr>
        <w:t>经2025年4月8日召开的公司第九届董事会第十五次会议审议批准，聘任康丹先生、徐长厚先生为公司副总经理，聘任齐俊铭先生为公司安全总监，任期与公司第九届董事会聘任的其他高级管理人员一致。康丹先生不再担任公司安全总监。</w:t>
      </w:r>
    </w:p>
    <w:p>
      <w:pPr>
        <w:ind w:firstLineChars="200" w:firstLine="420"/>
        <w:jc w:val="both"/>
        <w:rPr>
          <w:rFonts w:ascii="宋体" w:hAnsi="宋体"/>
        </w:rPr>
      </w:pPr>
      <w:bookmarkStart w:id="153" w:name="OLE_LINK1"/>
      <w:r>
        <w:rPr>
          <w:rFonts w:ascii="宋体" w:hAnsi="宋体" w:hint="eastAsia"/>
        </w:rPr>
        <w:t>有关详情请见公司日期为2025年4月8日第九届董事会第十五次会议决议公告。该等资料刊载于上交所网站、香港联交所网站、公司网站及/或《中国证券报》《上海证券报》《证券时报》《证券日报》。</w:t>
      </w:r>
      <w:bookmarkEnd w:id="153"/>
    </w:p>
    <w:p>
      <w:pPr>
        <w:ind w:firstLineChars="200" w:firstLine="420"/>
        <w:jc w:val="both"/>
        <w:rPr>
          <w:rFonts w:ascii="宋体" w:hAnsi="宋体"/>
        </w:rPr>
      </w:pPr>
      <w:r>
        <w:rPr>
          <w:rFonts w:ascii="宋体" w:hAnsi="宋体" w:hint="eastAsia"/>
        </w:rPr>
        <w:t>经2025年11月27日召开的公司第九届董事会第二十次会议审议批准，聘任李建忠先生为公司副总经理，任期与公司第九届董事会聘任的其他高级管理人员一致。</w:t>
      </w:r>
    </w:p>
    <w:p>
      <w:pPr>
        <w:ind w:firstLineChars="200" w:firstLine="420"/>
        <w:jc w:val="both"/>
        <w:rPr>
          <w:rFonts w:ascii="宋体" w:hAnsi="宋体"/>
        </w:rPr>
      </w:pPr>
      <w:r>
        <w:rPr>
          <w:rFonts w:ascii="宋体" w:hAnsi="宋体" w:hint="eastAsia"/>
        </w:rPr>
        <w:t>有关详情请见公司日期为2025年11月27日第九届董事会第二十次会议决议公告。该等资料刊载于上交所网站、香港联交所网站、公司网站及/或《中国证券报》《上海证券报》《证券时报》《证券日报》。</w:t>
      </w:r>
    </w:p>
    <w:p>
      <w:pPr>
        <w:jc w:val="both"/>
      </w:pPr>
    </w:p>
    <w:p>
      <w:pPr>
        <w:ind w:firstLineChars="200" w:firstLine="422"/>
        <w:jc w:val="both"/>
        <w:rPr>
          <w:b/>
          <w:bCs/>
        </w:rPr>
      </w:pPr>
      <w:r>
        <w:rPr>
          <w:rFonts w:hint="eastAsia"/>
          <w:b/>
          <w:bCs/>
        </w:rPr>
        <w:t>3.</w:t>
      </w:r>
      <w:r>
        <w:rPr>
          <w:rFonts w:hint="eastAsia"/>
          <w:b/>
          <w:bCs/>
        </w:rPr>
        <w:t>取消监事会</w:t>
      </w:r>
    </w:p>
    <w:p>
      <w:pPr>
        <w:ind w:firstLineChars="200" w:firstLine="420"/>
        <w:jc w:val="both"/>
        <w:rPr>
          <w:rFonts w:ascii="宋体" w:hAnsi="宋体"/>
        </w:rPr>
      </w:pPr>
      <w:r>
        <w:rPr>
          <w:rFonts w:ascii="宋体" w:hAnsi="宋体" w:hint="eastAsia"/>
        </w:rPr>
        <w:t>经2025年4月25日召开的公司第九届董事会第十六次会议讨论审议，通过《关于修改&lt;公司章程&gt;及相关议事规则暨取消监事会的议案》，并于2025年5月30日召开的2024年度股东周年大会审议批准，公司取消监事会，监事职务自然免除。</w:t>
      </w:r>
    </w:p>
    <w:p>
      <w:pPr>
        <w:ind w:firstLineChars="200" w:firstLine="420"/>
        <w:jc w:val="both"/>
        <w:rPr>
          <w:rFonts w:ascii="宋体" w:hAnsi="宋体"/>
        </w:rPr>
      </w:pPr>
      <w:r>
        <w:rPr>
          <w:rFonts w:ascii="宋体" w:hAnsi="宋体" w:hint="eastAsia"/>
        </w:rPr>
        <w:t>有关详情请见公司日期为2025年4月25日的关于修改《公司章程》及相关议事规则的公告，日期为2025年5月30日的2024年度股东周年大会决议公告。该等资料刊载于上交所网站、香港联交所网站、公司网站及/或《中国证券报》《上海证券报》《证券时报》《证券日报》。</w:t>
      </w:r>
    </w:p>
    <w:p>
      <w:pPr>
        <w:ind w:firstLineChars="200" w:firstLine="420"/>
      </w:pPr>
    </w:p>
    <w:p>
      <w:pPr>
        <w:ind w:firstLineChars="200" w:firstLine="422"/>
        <w:rPr>
          <w:b/>
          <w:bCs/>
        </w:rPr>
      </w:pPr>
      <w:r>
        <w:rPr>
          <w:rFonts w:hint="eastAsia"/>
          <w:b/>
          <w:bCs/>
        </w:rPr>
        <w:t>4.</w:t>
      </w:r>
      <w:r>
        <w:rPr>
          <w:rFonts w:hint="eastAsia"/>
          <w:b/>
          <w:bCs/>
        </w:rPr>
        <w:t>在本公司附属公司任职变动情况（按香港上市监管规定编制）</w:t>
      </w:r>
    </w:p>
    <w:tbl>
      <w:tblPr>
        <w:tblStyle w:val="g7"/>
        <w:tblW w:w="0" w:type="auto"/>
        <w:tblLook w:val="04A0" w:firstRow="1" w:lastRow="0" w:firstColumn="1" w:lastColumn="0" w:noHBand="0" w:noVBand="1"/>
      </w:tblPr>
      <w:tblGrid>
        <w:gridCol w:w="2122"/>
        <w:gridCol w:w="850"/>
        <w:gridCol w:w="2835"/>
        <w:gridCol w:w="1559"/>
        <w:gridCol w:w="1457"/>
      </w:tblGrid>
      <w:tr>
        <w:tc>
          <w:tcPr>
            <w:tcW w:w="2122" w:type="dxa"/>
          </w:tcPr>
          <w:p>
            <w:pPr>
              <w:jc w:val="center"/>
            </w:pPr>
            <w:bookmarkStart w:id="154" w:name="_Hlk224749932"/>
            <w:r>
              <w:rPr>
                <w:rFonts w:hint="eastAsia"/>
              </w:rPr>
              <w:t>本公司任职</w:t>
            </w:r>
          </w:p>
        </w:tc>
        <w:tc>
          <w:tcPr>
            <w:tcW w:w="850" w:type="dxa"/>
          </w:tcPr>
          <w:p>
            <w:pPr>
              <w:jc w:val="center"/>
            </w:pPr>
            <w:r>
              <w:rPr>
                <w:rFonts w:hint="eastAsia"/>
              </w:rPr>
              <w:t>姓名</w:t>
            </w:r>
          </w:p>
        </w:tc>
        <w:tc>
          <w:tcPr>
            <w:tcW w:w="2835" w:type="dxa"/>
          </w:tcPr>
          <w:p>
            <w:pPr>
              <w:jc w:val="center"/>
            </w:pPr>
            <w:r>
              <w:rPr>
                <w:rFonts w:hint="eastAsia"/>
              </w:rPr>
              <w:t>变动前</w:t>
            </w:r>
          </w:p>
        </w:tc>
        <w:tc>
          <w:tcPr>
            <w:tcW w:w="1559" w:type="dxa"/>
          </w:tcPr>
          <w:p>
            <w:pPr>
              <w:jc w:val="center"/>
            </w:pPr>
            <w:r>
              <w:rPr>
                <w:rFonts w:hint="eastAsia"/>
              </w:rPr>
              <w:t>变动后</w:t>
            </w:r>
          </w:p>
        </w:tc>
        <w:tc>
          <w:tcPr>
            <w:tcW w:w="1457" w:type="dxa"/>
          </w:tcPr>
          <w:p>
            <w:pPr>
              <w:jc w:val="center"/>
            </w:pPr>
            <w:r>
              <w:rPr>
                <w:rFonts w:hint="eastAsia"/>
              </w:rPr>
              <w:t>变动时间</w:t>
            </w:r>
          </w:p>
        </w:tc>
      </w:tr>
      <w:tr>
        <w:tc>
          <w:tcPr>
            <w:tcW w:w="2122" w:type="dxa"/>
            <w:vMerge w:val="restart"/>
            <w:vAlign w:val="center"/>
          </w:tcPr>
          <w:p>
            <w:pPr>
              <w:jc w:val="center"/>
              <w:rPr>
                <w:rFonts w:ascii="宋体" w:hAnsi="宋体"/>
              </w:rPr>
            </w:pPr>
            <w:r>
              <w:rPr>
                <w:rFonts w:ascii="宋体" w:hAnsi="宋体" w:hint="eastAsia"/>
              </w:rPr>
              <w:t>党委书记、董事、总经理</w:t>
            </w:r>
          </w:p>
        </w:tc>
        <w:tc>
          <w:tcPr>
            <w:tcW w:w="850" w:type="dxa"/>
            <w:vMerge w:val="restart"/>
            <w:vAlign w:val="center"/>
          </w:tcPr>
          <w:p>
            <w:pPr>
              <w:jc w:val="center"/>
              <w:rPr>
                <w:rFonts w:ascii="宋体" w:hAnsi="宋体"/>
              </w:rPr>
            </w:pPr>
            <w:r>
              <w:rPr>
                <w:rFonts w:ascii="宋体" w:hAnsi="宋体" w:hint="eastAsia"/>
              </w:rPr>
              <w:t>王九红</w:t>
            </w:r>
          </w:p>
        </w:tc>
        <w:tc>
          <w:tcPr>
            <w:tcW w:w="2835" w:type="dxa"/>
            <w:vAlign w:val="center"/>
          </w:tcPr>
          <w:p>
            <w:pPr>
              <w:jc w:val="center"/>
              <w:rPr>
                <w:rFonts w:ascii="宋体" w:hAnsi="宋体"/>
              </w:rPr>
            </w:pPr>
            <w:r>
              <w:rPr>
                <w:rFonts w:ascii="宋体" w:hAnsi="宋体" w:hint="eastAsia"/>
              </w:rPr>
              <w:t>-</w:t>
            </w:r>
          </w:p>
        </w:tc>
        <w:tc>
          <w:tcPr>
            <w:tcW w:w="1559" w:type="dxa"/>
            <w:vAlign w:val="center"/>
          </w:tcPr>
          <w:p>
            <w:pPr>
              <w:rPr>
                <w:rFonts w:ascii="宋体" w:hAnsi="宋体"/>
              </w:rPr>
            </w:pPr>
            <w:r>
              <w:rPr>
                <w:rFonts w:ascii="宋体" w:hAnsi="宋体" w:hint="eastAsia"/>
              </w:rPr>
              <w:t>兖煤澳大利亚有限公司董事</w:t>
            </w:r>
          </w:p>
        </w:tc>
        <w:tc>
          <w:tcPr>
            <w:tcW w:w="1457" w:type="dxa"/>
            <w:vAlign w:val="center"/>
          </w:tcPr>
          <w:p>
            <w:pPr>
              <w:jc w:val="right"/>
              <w:rPr>
                <w:rFonts w:ascii="宋体" w:hAnsi="宋体"/>
              </w:rPr>
            </w:pPr>
            <w:r>
              <w:rPr>
                <w:rFonts w:ascii="宋体" w:hAnsi="宋体" w:hint="eastAsia"/>
              </w:rPr>
              <w:t>2025-02-20</w:t>
            </w:r>
          </w:p>
        </w:tc>
      </w:tr>
      <w:tr>
        <w:tc>
          <w:tcPr>
            <w:tcW w:w="2122" w:type="dxa"/>
            <w:vMerge/>
            <w:vAlign w:val="center"/>
          </w:tcPr>
          <w:p>
            <w:pPr>
              <w:jc w:val="center"/>
              <w:rPr>
                <w:rFonts w:ascii="宋体" w:hAnsi="宋体"/>
              </w:rPr>
            </w:pPr>
          </w:p>
        </w:tc>
        <w:tc>
          <w:tcPr>
            <w:tcW w:w="850" w:type="dxa"/>
            <w:vMerge/>
            <w:vAlign w:val="center"/>
          </w:tcPr>
          <w:p>
            <w:pPr>
              <w:jc w:val="center"/>
              <w:rPr>
                <w:rFonts w:ascii="宋体" w:hAnsi="宋体"/>
              </w:rPr>
            </w:pPr>
          </w:p>
        </w:tc>
        <w:tc>
          <w:tcPr>
            <w:tcW w:w="2835" w:type="dxa"/>
            <w:vAlign w:val="center"/>
          </w:tcPr>
          <w:p>
            <w:pPr>
              <w:rPr>
                <w:rFonts w:ascii="宋体" w:hAnsi="宋体"/>
              </w:rPr>
            </w:pPr>
            <w:r>
              <w:rPr>
                <w:rFonts w:ascii="宋体" w:hAnsi="宋体" w:hint="eastAsia"/>
              </w:rPr>
              <w:t>兖矿能源（鄂尔多斯）有限公司党委书记、董事长</w:t>
            </w:r>
          </w:p>
        </w:tc>
        <w:tc>
          <w:tcPr>
            <w:tcW w:w="1559" w:type="dxa"/>
            <w:vAlign w:val="center"/>
          </w:tcPr>
          <w:p>
            <w:pPr>
              <w:jc w:val="center"/>
              <w:rPr>
                <w:rFonts w:ascii="宋体" w:hAnsi="宋体"/>
              </w:rPr>
            </w:pPr>
            <w:r>
              <w:rPr>
                <w:rFonts w:ascii="宋体" w:hAnsi="宋体" w:hint="eastAsia"/>
              </w:rPr>
              <w:t>-</w:t>
            </w:r>
          </w:p>
        </w:tc>
        <w:tc>
          <w:tcPr>
            <w:tcW w:w="1457" w:type="dxa"/>
            <w:vAlign w:val="center"/>
          </w:tcPr>
          <w:p>
            <w:pPr>
              <w:jc w:val="right"/>
              <w:rPr>
                <w:rFonts w:ascii="宋体" w:hAnsi="宋体"/>
              </w:rPr>
            </w:pPr>
            <w:r>
              <w:rPr>
                <w:rFonts w:ascii="宋体" w:hAnsi="宋体" w:hint="eastAsia"/>
              </w:rPr>
              <w:t>2025-04-07</w:t>
            </w:r>
          </w:p>
        </w:tc>
      </w:tr>
      <w:tr>
        <w:tc>
          <w:tcPr>
            <w:tcW w:w="2122" w:type="dxa"/>
            <w:vMerge/>
            <w:vAlign w:val="center"/>
          </w:tcPr>
          <w:p>
            <w:pPr>
              <w:jc w:val="center"/>
              <w:rPr>
                <w:rFonts w:ascii="宋体" w:hAnsi="宋体"/>
              </w:rPr>
            </w:pPr>
          </w:p>
        </w:tc>
        <w:tc>
          <w:tcPr>
            <w:tcW w:w="850" w:type="dxa"/>
            <w:vMerge/>
            <w:vAlign w:val="center"/>
          </w:tcPr>
          <w:p>
            <w:pPr>
              <w:jc w:val="center"/>
              <w:rPr>
                <w:rFonts w:ascii="宋体" w:hAnsi="宋体"/>
              </w:rPr>
            </w:pPr>
          </w:p>
        </w:tc>
        <w:tc>
          <w:tcPr>
            <w:tcW w:w="2835" w:type="dxa"/>
            <w:vAlign w:val="center"/>
          </w:tcPr>
          <w:p>
            <w:pPr>
              <w:rPr>
                <w:rFonts w:ascii="宋体" w:hAnsi="宋体"/>
              </w:rPr>
            </w:pPr>
            <w:r>
              <w:rPr>
                <w:rFonts w:ascii="宋体" w:hAnsi="宋体" w:hint="eastAsia"/>
              </w:rPr>
              <w:t>内蒙古矿业（集团）有限责任公司党委书记、董事长</w:t>
            </w:r>
          </w:p>
        </w:tc>
        <w:tc>
          <w:tcPr>
            <w:tcW w:w="1559" w:type="dxa"/>
            <w:vAlign w:val="center"/>
          </w:tcPr>
          <w:p>
            <w:pPr>
              <w:jc w:val="center"/>
              <w:rPr>
                <w:rFonts w:ascii="宋体" w:hAnsi="宋体"/>
              </w:rPr>
            </w:pPr>
            <w:r>
              <w:rPr>
                <w:rFonts w:ascii="宋体" w:hAnsi="宋体" w:hint="eastAsia"/>
              </w:rPr>
              <w:t>-</w:t>
            </w:r>
          </w:p>
        </w:tc>
        <w:tc>
          <w:tcPr>
            <w:tcW w:w="1457" w:type="dxa"/>
            <w:vAlign w:val="center"/>
          </w:tcPr>
          <w:p>
            <w:pPr>
              <w:jc w:val="right"/>
              <w:rPr>
                <w:rFonts w:ascii="宋体" w:hAnsi="宋体"/>
              </w:rPr>
            </w:pPr>
            <w:r>
              <w:rPr>
                <w:rFonts w:ascii="宋体" w:hAnsi="宋体" w:hint="eastAsia"/>
              </w:rPr>
              <w:t>2025-04-07</w:t>
            </w:r>
          </w:p>
        </w:tc>
      </w:tr>
      <w:tr>
        <w:tc>
          <w:tcPr>
            <w:tcW w:w="2122" w:type="dxa"/>
            <w:vMerge/>
            <w:vAlign w:val="center"/>
          </w:tcPr>
          <w:p>
            <w:pPr>
              <w:jc w:val="center"/>
              <w:rPr>
                <w:rFonts w:ascii="宋体" w:hAnsi="宋体"/>
              </w:rPr>
            </w:pPr>
          </w:p>
        </w:tc>
        <w:tc>
          <w:tcPr>
            <w:tcW w:w="850" w:type="dxa"/>
            <w:vMerge/>
            <w:vAlign w:val="center"/>
          </w:tcPr>
          <w:p>
            <w:pPr>
              <w:jc w:val="center"/>
              <w:rPr>
                <w:rFonts w:ascii="宋体" w:hAnsi="宋体"/>
              </w:rPr>
            </w:pPr>
          </w:p>
        </w:tc>
        <w:tc>
          <w:tcPr>
            <w:tcW w:w="2835" w:type="dxa"/>
            <w:vAlign w:val="center"/>
          </w:tcPr>
          <w:p>
            <w:pPr>
              <w:rPr>
                <w:rFonts w:ascii="宋体" w:hAnsi="宋体"/>
              </w:rPr>
            </w:pPr>
            <w:r>
              <w:rPr>
                <w:rFonts w:ascii="宋体" w:hAnsi="宋体"/>
              </w:rPr>
              <w:t>内蒙古昊盛煤业有限公司</w:t>
            </w:r>
          </w:p>
          <w:p>
            <w:pPr>
              <w:rPr>
                <w:rFonts w:ascii="宋体" w:hAnsi="宋体"/>
              </w:rPr>
            </w:pPr>
            <w:r>
              <w:rPr>
                <w:rFonts w:ascii="宋体" w:hAnsi="宋体" w:hint="eastAsia"/>
              </w:rPr>
              <w:t>董事</w:t>
            </w:r>
          </w:p>
        </w:tc>
        <w:tc>
          <w:tcPr>
            <w:tcW w:w="1559" w:type="dxa"/>
            <w:vAlign w:val="center"/>
          </w:tcPr>
          <w:p>
            <w:pPr>
              <w:jc w:val="center"/>
              <w:rPr>
                <w:rFonts w:ascii="宋体" w:hAnsi="宋体"/>
              </w:rPr>
            </w:pPr>
            <w:r>
              <w:rPr>
                <w:rFonts w:ascii="宋体" w:hAnsi="宋体" w:hint="eastAsia"/>
              </w:rPr>
              <w:t>-</w:t>
            </w:r>
          </w:p>
        </w:tc>
        <w:tc>
          <w:tcPr>
            <w:tcW w:w="1457" w:type="dxa"/>
            <w:vAlign w:val="center"/>
          </w:tcPr>
          <w:p>
            <w:pPr>
              <w:jc w:val="right"/>
              <w:rPr>
                <w:rFonts w:ascii="宋体" w:hAnsi="宋体"/>
              </w:rPr>
            </w:pPr>
            <w:r>
              <w:rPr>
                <w:rFonts w:ascii="宋体" w:hAnsi="宋体" w:hint="eastAsia"/>
              </w:rPr>
              <w:t>2025-09-21</w:t>
            </w:r>
          </w:p>
        </w:tc>
      </w:tr>
      <w:tr>
        <w:tc>
          <w:tcPr>
            <w:tcW w:w="2122" w:type="dxa"/>
            <w:vAlign w:val="center"/>
          </w:tcPr>
          <w:p>
            <w:pPr>
              <w:jc w:val="center"/>
            </w:pPr>
            <w:r>
              <w:rPr>
                <w:rFonts w:hint="eastAsia"/>
              </w:rPr>
              <w:t>董事、董事会秘书</w:t>
            </w:r>
          </w:p>
        </w:tc>
        <w:tc>
          <w:tcPr>
            <w:tcW w:w="850" w:type="dxa"/>
            <w:vAlign w:val="center"/>
          </w:tcPr>
          <w:p>
            <w:pPr>
              <w:jc w:val="center"/>
            </w:pPr>
            <w:r>
              <w:rPr>
                <w:rFonts w:ascii="宋体" w:hAnsi="宋体" w:hint="eastAsia"/>
              </w:rPr>
              <w:t>黄霄龙</w:t>
            </w:r>
          </w:p>
        </w:tc>
        <w:tc>
          <w:tcPr>
            <w:tcW w:w="2835" w:type="dxa"/>
            <w:vAlign w:val="center"/>
          </w:tcPr>
          <w:p>
            <w:pPr>
              <w:pStyle w:val="Style61"/>
            </w:pPr>
            <w:r>
              <w:rPr>
                <w:rFonts w:ascii="宋体" w:hAnsi="宋体" w:hint="eastAsia"/>
              </w:rPr>
              <w:t>山东华聚能源股份有限公司监事会主席</w:t>
            </w:r>
          </w:p>
        </w:tc>
        <w:tc>
          <w:tcPr>
            <w:tcW w:w="1559" w:type="dxa"/>
            <w:vAlign w:val="center"/>
          </w:tcPr>
          <w:p>
            <w:pPr>
              <w:jc w:val="center"/>
            </w:pPr>
            <w:r>
              <w:rPr>
                <w:rFonts w:ascii="宋体" w:hAnsi="宋体"/>
              </w:rPr>
              <w:t>-</w:t>
            </w:r>
          </w:p>
        </w:tc>
        <w:tc>
          <w:tcPr>
            <w:tcW w:w="1457" w:type="dxa"/>
            <w:vAlign w:val="center"/>
          </w:tcPr>
          <w:p>
            <w:pPr>
              <w:jc w:val="right"/>
            </w:pPr>
            <w:r>
              <w:rPr>
                <w:rFonts w:ascii="宋体" w:hAnsi="宋体" w:hint="eastAsia"/>
              </w:rPr>
              <w:t>2025-06-03</w:t>
            </w:r>
          </w:p>
        </w:tc>
      </w:tr>
      <w:tr>
        <w:tc>
          <w:tcPr>
            <w:tcW w:w="2122" w:type="dxa"/>
            <w:vAlign w:val="center"/>
          </w:tcPr>
          <w:p>
            <w:pPr>
              <w:jc w:val="center"/>
            </w:pPr>
            <w:r>
              <w:rPr>
                <w:rFonts w:hint="eastAsia"/>
              </w:rPr>
              <w:t>党委委员、副总经理</w:t>
            </w:r>
          </w:p>
        </w:tc>
        <w:tc>
          <w:tcPr>
            <w:tcW w:w="850" w:type="dxa"/>
            <w:vAlign w:val="center"/>
          </w:tcPr>
          <w:p>
            <w:pPr>
              <w:jc w:val="center"/>
              <w:rPr>
                <w:rFonts w:ascii="宋体" w:hAnsi="宋体"/>
              </w:rPr>
            </w:pPr>
            <w:r>
              <w:rPr>
                <w:rFonts w:ascii="宋体" w:hAnsi="宋体" w:hint="eastAsia"/>
              </w:rPr>
              <w:t>康  丹</w:t>
            </w:r>
          </w:p>
        </w:tc>
        <w:tc>
          <w:tcPr>
            <w:tcW w:w="2835" w:type="dxa"/>
            <w:vAlign w:val="center"/>
          </w:tcPr>
          <w:p>
            <w:pPr>
              <w:jc w:val="center"/>
              <w:rPr>
                <w:rFonts w:ascii="宋体" w:hAnsi="宋体"/>
              </w:rPr>
            </w:pPr>
            <w:r>
              <w:rPr>
                <w:rFonts w:ascii="宋体" w:hAnsi="宋体"/>
              </w:rPr>
              <w:t>-</w:t>
            </w:r>
          </w:p>
        </w:tc>
        <w:tc>
          <w:tcPr>
            <w:tcW w:w="1559" w:type="dxa"/>
            <w:vAlign w:val="center"/>
          </w:tcPr>
          <w:p>
            <w:pPr>
              <w:rPr>
                <w:rFonts w:ascii="宋体" w:hAnsi="宋体"/>
              </w:rPr>
            </w:pPr>
            <w:r>
              <w:rPr>
                <w:rFonts w:ascii="宋体" w:hAnsi="宋体"/>
              </w:rPr>
              <w:t>山东能源集团鲁西矿业有限公司</w:t>
            </w:r>
            <w:r>
              <w:rPr>
                <w:rFonts w:ascii="宋体" w:hAnsi="宋体" w:hint="eastAsia"/>
              </w:rPr>
              <w:t>董事</w:t>
            </w:r>
          </w:p>
        </w:tc>
        <w:tc>
          <w:tcPr>
            <w:tcW w:w="1457" w:type="dxa"/>
            <w:vAlign w:val="center"/>
          </w:tcPr>
          <w:p>
            <w:pPr>
              <w:jc w:val="right"/>
              <w:rPr>
                <w:rFonts w:ascii="宋体" w:hAnsi="宋体"/>
              </w:rPr>
            </w:pPr>
            <w:r>
              <w:rPr>
                <w:rFonts w:ascii="宋体" w:hAnsi="宋体"/>
              </w:rPr>
              <w:t>2025-05-22</w:t>
            </w:r>
          </w:p>
        </w:tc>
      </w:tr>
      <w:tr>
        <w:tc>
          <w:tcPr>
            <w:tcW w:w="2122" w:type="dxa"/>
            <w:vMerge w:val="restart"/>
            <w:vAlign w:val="center"/>
          </w:tcPr>
          <w:p>
            <w:pPr>
              <w:jc w:val="center"/>
            </w:pPr>
            <w:r>
              <w:rPr>
                <w:rFonts w:hint="eastAsia"/>
              </w:rPr>
              <w:t>副总经理</w:t>
            </w:r>
          </w:p>
        </w:tc>
        <w:tc>
          <w:tcPr>
            <w:tcW w:w="850" w:type="dxa"/>
            <w:vMerge w:val="restart"/>
            <w:vAlign w:val="center"/>
          </w:tcPr>
          <w:p>
            <w:pPr>
              <w:jc w:val="center"/>
              <w:rPr>
                <w:rFonts w:ascii="宋体" w:hAnsi="宋体"/>
              </w:rPr>
            </w:pPr>
            <w:r>
              <w:rPr>
                <w:rFonts w:ascii="宋体" w:hAnsi="宋体" w:hint="eastAsia"/>
              </w:rPr>
              <w:t>岳  宁</w:t>
            </w:r>
          </w:p>
        </w:tc>
        <w:tc>
          <w:tcPr>
            <w:tcW w:w="2835" w:type="dxa"/>
            <w:vAlign w:val="center"/>
          </w:tcPr>
          <w:p>
            <w:pPr>
              <w:jc w:val="center"/>
              <w:rPr>
                <w:rFonts w:ascii="宋体" w:hAnsi="宋体"/>
              </w:rPr>
            </w:pPr>
            <w:r>
              <w:rPr>
                <w:rFonts w:ascii="宋体" w:hAnsi="宋体"/>
              </w:rPr>
              <w:t>-</w:t>
            </w:r>
          </w:p>
        </w:tc>
        <w:tc>
          <w:tcPr>
            <w:tcW w:w="1559" w:type="dxa"/>
            <w:vAlign w:val="center"/>
          </w:tcPr>
          <w:p>
            <w:pPr>
              <w:rPr>
                <w:rFonts w:ascii="宋体" w:hAnsi="宋体"/>
              </w:rPr>
            </w:pPr>
            <w:r>
              <w:rPr>
                <w:rFonts w:ascii="宋体" w:hAnsi="宋体"/>
              </w:rPr>
              <w:t>兖煤澳大利亚有限公司代理首席执行官</w:t>
            </w:r>
          </w:p>
        </w:tc>
        <w:tc>
          <w:tcPr>
            <w:tcW w:w="1457" w:type="dxa"/>
            <w:vAlign w:val="center"/>
          </w:tcPr>
          <w:p>
            <w:pPr>
              <w:jc w:val="right"/>
              <w:rPr>
                <w:rFonts w:ascii="宋体" w:hAnsi="宋体"/>
              </w:rPr>
            </w:pPr>
            <w:r>
              <w:rPr>
                <w:rFonts w:ascii="宋体" w:hAnsi="宋体" w:hint="eastAsia"/>
              </w:rPr>
              <w:t>2025-01-14</w:t>
            </w:r>
          </w:p>
        </w:tc>
      </w:tr>
      <w:tr>
        <w:tc>
          <w:tcPr>
            <w:tcW w:w="2122" w:type="dxa"/>
            <w:vMerge/>
            <w:vAlign w:val="center"/>
          </w:tcPr>
          <w:p>
            <w:pPr>
              <w:jc w:val="center"/>
            </w:pPr>
          </w:p>
        </w:tc>
        <w:tc>
          <w:tcPr>
            <w:tcW w:w="850" w:type="dxa"/>
            <w:vMerge/>
            <w:vAlign w:val="center"/>
          </w:tcPr>
          <w:p>
            <w:pPr>
              <w:jc w:val="center"/>
              <w:rPr>
                <w:rFonts w:ascii="宋体" w:hAnsi="宋体"/>
              </w:rPr>
            </w:pPr>
          </w:p>
        </w:tc>
        <w:tc>
          <w:tcPr>
            <w:tcW w:w="2835" w:type="dxa"/>
            <w:vAlign w:val="center"/>
          </w:tcPr>
          <w:p>
            <w:pPr>
              <w:rPr>
                <w:rFonts w:ascii="宋体" w:hAnsi="宋体"/>
              </w:rPr>
            </w:pPr>
            <w:r>
              <w:rPr>
                <w:rFonts w:ascii="宋体" w:hAnsi="宋体" w:hint="eastAsia"/>
              </w:rPr>
              <w:t>兖煤澳大利亚有限公司代理首席执行官</w:t>
            </w:r>
          </w:p>
        </w:tc>
        <w:tc>
          <w:tcPr>
            <w:tcW w:w="1559" w:type="dxa"/>
            <w:vAlign w:val="center"/>
          </w:tcPr>
          <w:p>
            <w:pPr>
              <w:jc w:val="center"/>
              <w:rPr>
                <w:rFonts w:ascii="宋体" w:hAnsi="宋体"/>
              </w:rPr>
            </w:pPr>
            <w:r>
              <w:rPr>
                <w:rFonts w:ascii="宋体" w:hAnsi="宋体"/>
              </w:rPr>
              <w:t>-</w:t>
            </w:r>
          </w:p>
        </w:tc>
        <w:tc>
          <w:tcPr>
            <w:tcW w:w="1457" w:type="dxa"/>
            <w:vAlign w:val="center"/>
          </w:tcPr>
          <w:p>
            <w:pPr>
              <w:jc w:val="right"/>
              <w:rPr>
                <w:rFonts w:ascii="宋体" w:hAnsi="宋体"/>
              </w:rPr>
            </w:pPr>
            <w:r>
              <w:rPr>
                <w:rFonts w:ascii="宋体" w:hAnsi="宋体"/>
              </w:rPr>
              <w:t>2025-</w:t>
            </w:r>
            <w:r>
              <w:rPr>
                <w:rFonts w:ascii="宋体" w:hAnsi="宋体" w:hint="eastAsia"/>
              </w:rPr>
              <w:t>09</w:t>
            </w:r>
            <w:r>
              <w:rPr>
                <w:rFonts w:ascii="宋体" w:hAnsi="宋体"/>
              </w:rPr>
              <w:t>-</w:t>
            </w:r>
            <w:r>
              <w:rPr>
                <w:rFonts w:ascii="宋体" w:hAnsi="宋体" w:hint="eastAsia"/>
              </w:rPr>
              <w:t>08</w:t>
            </w:r>
          </w:p>
        </w:tc>
      </w:tr>
      <w:tr>
        <w:tc>
          <w:tcPr>
            <w:tcW w:w="2122" w:type="dxa"/>
            <w:vMerge w:val="restart"/>
            <w:vAlign w:val="center"/>
          </w:tcPr>
          <w:p>
            <w:pPr>
              <w:jc w:val="center"/>
            </w:pPr>
            <w:r>
              <w:rPr>
                <w:rFonts w:hint="eastAsia"/>
              </w:rPr>
              <w:lastRenderedPageBreak/>
              <w:t>财务总监</w:t>
            </w:r>
          </w:p>
        </w:tc>
        <w:tc>
          <w:tcPr>
            <w:tcW w:w="850" w:type="dxa"/>
            <w:vMerge w:val="restart"/>
            <w:vAlign w:val="center"/>
          </w:tcPr>
          <w:p>
            <w:pPr>
              <w:jc w:val="center"/>
              <w:rPr>
                <w:rFonts w:ascii="宋体" w:hAnsi="宋体"/>
              </w:rPr>
            </w:pPr>
            <w:r>
              <w:rPr>
                <w:rFonts w:ascii="宋体" w:hAnsi="宋体" w:hint="eastAsia"/>
              </w:rPr>
              <w:t>赵治国</w:t>
            </w:r>
          </w:p>
        </w:tc>
        <w:tc>
          <w:tcPr>
            <w:tcW w:w="2835" w:type="dxa"/>
            <w:vAlign w:val="center"/>
          </w:tcPr>
          <w:p>
            <w:pPr>
              <w:jc w:val="center"/>
              <w:rPr>
                <w:rFonts w:ascii="宋体" w:hAnsi="宋体"/>
              </w:rPr>
            </w:pPr>
            <w:r>
              <w:rPr>
                <w:rFonts w:ascii="宋体" w:hAnsi="宋体"/>
              </w:rPr>
              <w:t>-</w:t>
            </w:r>
          </w:p>
        </w:tc>
        <w:tc>
          <w:tcPr>
            <w:tcW w:w="1559" w:type="dxa"/>
            <w:vAlign w:val="center"/>
          </w:tcPr>
          <w:p>
            <w:pPr>
              <w:rPr>
                <w:rFonts w:ascii="宋体" w:hAnsi="宋体"/>
              </w:rPr>
            </w:pPr>
            <w:r>
              <w:rPr>
                <w:rFonts w:ascii="宋体" w:hAnsi="宋体"/>
              </w:rPr>
              <w:t>兖煤澳大利亚有限公司</w:t>
            </w:r>
            <w:r>
              <w:rPr>
                <w:rFonts w:ascii="宋体" w:hAnsi="宋体" w:hint="eastAsia"/>
              </w:rPr>
              <w:t>董事</w:t>
            </w:r>
          </w:p>
        </w:tc>
        <w:tc>
          <w:tcPr>
            <w:tcW w:w="1457" w:type="dxa"/>
            <w:vAlign w:val="center"/>
          </w:tcPr>
          <w:p>
            <w:pPr>
              <w:jc w:val="right"/>
              <w:rPr>
                <w:rFonts w:ascii="宋体" w:hAnsi="宋体"/>
              </w:rPr>
            </w:pPr>
            <w:r>
              <w:rPr>
                <w:rFonts w:ascii="宋体" w:hAnsi="宋体" w:hint="eastAsia"/>
              </w:rPr>
              <w:t>2025-02-20</w:t>
            </w:r>
          </w:p>
        </w:tc>
      </w:tr>
      <w:tr>
        <w:tc>
          <w:tcPr>
            <w:tcW w:w="2122" w:type="dxa"/>
            <w:vMerge/>
            <w:vAlign w:val="center"/>
          </w:tcPr>
          <w:p>
            <w:pPr>
              <w:jc w:val="center"/>
            </w:pPr>
          </w:p>
        </w:tc>
        <w:tc>
          <w:tcPr>
            <w:tcW w:w="850" w:type="dxa"/>
            <w:vMerge/>
            <w:vAlign w:val="center"/>
          </w:tcPr>
          <w:p>
            <w:pPr>
              <w:jc w:val="center"/>
              <w:rPr>
                <w:rFonts w:ascii="宋体" w:hAnsi="宋体"/>
              </w:rPr>
            </w:pPr>
          </w:p>
        </w:tc>
        <w:tc>
          <w:tcPr>
            <w:tcW w:w="2835" w:type="dxa"/>
            <w:vAlign w:val="center"/>
          </w:tcPr>
          <w:p>
            <w:pPr>
              <w:jc w:val="center"/>
              <w:rPr>
                <w:rFonts w:ascii="宋体" w:hAnsi="宋体"/>
              </w:rPr>
            </w:pPr>
            <w:r>
              <w:rPr>
                <w:rFonts w:ascii="宋体" w:hAnsi="宋体"/>
              </w:rPr>
              <w:t>-</w:t>
            </w:r>
          </w:p>
        </w:tc>
        <w:tc>
          <w:tcPr>
            <w:tcW w:w="1559" w:type="dxa"/>
            <w:vAlign w:val="center"/>
          </w:tcPr>
          <w:p>
            <w:pPr>
              <w:rPr>
                <w:rFonts w:ascii="宋体" w:hAnsi="宋体"/>
              </w:rPr>
            </w:pPr>
            <w:r>
              <w:rPr>
                <w:rFonts w:ascii="宋体" w:hAnsi="宋体" w:hint="eastAsia"/>
              </w:rPr>
              <w:t>兖矿物流科技有限公司董事长</w:t>
            </w:r>
          </w:p>
        </w:tc>
        <w:tc>
          <w:tcPr>
            <w:tcW w:w="1457" w:type="dxa"/>
            <w:vAlign w:val="center"/>
          </w:tcPr>
          <w:p>
            <w:pPr>
              <w:jc w:val="right"/>
              <w:rPr>
                <w:rFonts w:ascii="宋体" w:hAnsi="宋体"/>
              </w:rPr>
            </w:pPr>
            <w:r>
              <w:rPr>
                <w:rFonts w:ascii="宋体" w:hAnsi="宋体" w:hint="eastAsia"/>
              </w:rPr>
              <w:t>2025-06-08</w:t>
            </w:r>
          </w:p>
        </w:tc>
      </w:tr>
      <w:tr>
        <w:tc>
          <w:tcPr>
            <w:tcW w:w="2122" w:type="dxa"/>
            <w:vMerge/>
            <w:vAlign w:val="center"/>
          </w:tcPr>
          <w:p>
            <w:pPr>
              <w:jc w:val="center"/>
            </w:pPr>
          </w:p>
        </w:tc>
        <w:tc>
          <w:tcPr>
            <w:tcW w:w="850" w:type="dxa"/>
            <w:vMerge/>
            <w:vAlign w:val="center"/>
          </w:tcPr>
          <w:p>
            <w:pPr>
              <w:jc w:val="center"/>
              <w:rPr>
                <w:rFonts w:ascii="宋体" w:hAnsi="宋体"/>
              </w:rPr>
            </w:pPr>
          </w:p>
        </w:tc>
        <w:tc>
          <w:tcPr>
            <w:tcW w:w="2835" w:type="dxa"/>
            <w:vAlign w:val="center"/>
          </w:tcPr>
          <w:p>
            <w:pPr>
              <w:jc w:val="center"/>
              <w:rPr>
                <w:rFonts w:ascii="宋体" w:hAnsi="宋体"/>
              </w:rPr>
            </w:pPr>
            <w:r>
              <w:rPr>
                <w:rFonts w:ascii="宋体" w:hAnsi="宋体"/>
              </w:rPr>
              <w:t>-</w:t>
            </w:r>
          </w:p>
        </w:tc>
        <w:tc>
          <w:tcPr>
            <w:tcW w:w="1559" w:type="dxa"/>
            <w:vAlign w:val="center"/>
          </w:tcPr>
          <w:p>
            <w:pPr>
              <w:rPr>
                <w:rFonts w:ascii="宋体" w:hAnsi="宋体"/>
              </w:rPr>
            </w:pPr>
            <w:r>
              <w:rPr>
                <w:rFonts w:ascii="宋体" w:hAnsi="宋体" w:hint="eastAsia"/>
              </w:rPr>
              <w:t>山东能源集团西北矿业有限公司董事</w:t>
            </w:r>
          </w:p>
        </w:tc>
        <w:tc>
          <w:tcPr>
            <w:tcW w:w="1457" w:type="dxa"/>
            <w:vAlign w:val="center"/>
          </w:tcPr>
          <w:p>
            <w:pPr>
              <w:jc w:val="right"/>
              <w:rPr>
                <w:rFonts w:ascii="宋体" w:hAnsi="宋体"/>
              </w:rPr>
            </w:pPr>
            <w:r>
              <w:rPr>
                <w:rFonts w:ascii="宋体" w:hAnsi="宋体" w:hint="eastAsia"/>
              </w:rPr>
              <w:t>2025-06-20</w:t>
            </w:r>
          </w:p>
        </w:tc>
      </w:tr>
      <w:tr>
        <w:tc>
          <w:tcPr>
            <w:tcW w:w="2122" w:type="dxa"/>
            <w:vMerge/>
            <w:vAlign w:val="center"/>
          </w:tcPr>
          <w:p>
            <w:pPr>
              <w:jc w:val="center"/>
            </w:pPr>
          </w:p>
        </w:tc>
        <w:tc>
          <w:tcPr>
            <w:tcW w:w="850" w:type="dxa"/>
            <w:vMerge/>
            <w:vAlign w:val="center"/>
          </w:tcPr>
          <w:p>
            <w:pPr>
              <w:jc w:val="center"/>
              <w:rPr>
                <w:rFonts w:ascii="宋体" w:hAnsi="宋体"/>
              </w:rPr>
            </w:pPr>
          </w:p>
        </w:tc>
        <w:tc>
          <w:tcPr>
            <w:tcW w:w="2835" w:type="dxa"/>
            <w:vAlign w:val="center"/>
          </w:tcPr>
          <w:p>
            <w:pPr>
              <w:rPr>
                <w:rFonts w:ascii="宋体" w:hAnsi="宋体"/>
              </w:rPr>
            </w:pPr>
            <w:r>
              <w:rPr>
                <w:rFonts w:ascii="宋体" w:hAnsi="宋体" w:hint="eastAsia"/>
              </w:rPr>
              <w:t>兖矿中科清洁能源科技有限公司监事长</w:t>
            </w:r>
          </w:p>
        </w:tc>
        <w:tc>
          <w:tcPr>
            <w:tcW w:w="1559" w:type="dxa"/>
            <w:vAlign w:val="center"/>
          </w:tcPr>
          <w:p>
            <w:pPr>
              <w:jc w:val="center"/>
              <w:rPr>
                <w:rFonts w:ascii="宋体" w:hAnsi="宋体"/>
              </w:rPr>
            </w:pPr>
            <w:r>
              <w:rPr>
                <w:rFonts w:ascii="宋体" w:hAnsi="宋体"/>
              </w:rPr>
              <w:t>-</w:t>
            </w:r>
          </w:p>
        </w:tc>
        <w:tc>
          <w:tcPr>
            <w:tcW w:w="1457" w:type="dxa"/>
            <w:vAlign w:val="center"/>
          </w:tcPr>
          <w:p>
            <w:pPr>
              <w:jc w:val="right"/>
              <w:rPr>
                <w:rFonts w:ascii="宋体" w:hAnsi="宋体"/>
              </w:rPr>
            </w:pPr>
            <w:r>
              <w:rPr>
                <w:rFonts w:ascii="宋体" w:hAnsi="宋体" w:hint="eastAsia"/>
              </w:rPr>
              <w:t>2025-12-24</w:t>
            </w:r>
          </w:p>
        </w:tc>
      </w:tr>
      <w:tr>
        <w:tc>
          <w:tcPr>
            <w:tcW w:w="2122" w:type="dxa"/>
            <w:vMerge/>
            <w:vAlign w:val="center"/>
          </w:tcPr>
          <w:p>
            <w:pPr>
              <w:jc w:val="center"/>
            </w:pPr>
          </w:p>
        </w:tc>
        <w:tc>
          <w:tcPr>
            <w:tcW w:w="850" w:type="dxa"/>
            <w:vMerge/>
            <w:vAlign w:val="center"/>
          </w:tcPr>
          <w:p>
            <w:pPr>
              <w:jc w:val="center"/>
              <w:rPr>
                <w:rFonts w:ascii="宋体" w:hAnsi="宋体"/>
              </w:rPr>
            </w:pPr>
          </w:p>
        </w:tc>
        <w:tc>
          <w:tcPr>
            <w:tcW w:w="2835" w:type="dxa"/>
            <w:vAlign w:val="center"/>
          </w:tcPr>
          <w:p>
            <w:pPr>
              <w:rPr>
                <w:rFonts w:ascii="宋体" w:hAnsi="宋体"/>
              </w:rPr>
            </w:pPr>
            <w:r>
              <w:rPr>
                <w:rFonts w:ascii="宋体" w:hAnsi="宋体" w:hint="eastAsia"/>
              </w:rPr>
              <w:t>兖矿瑞丰国际贸易有限公司董事长</w:t>
            </w:r>
          </w:p>
        </w:tc>
        <w:tc>
          <w:tcPr>
            <w:tcW w:w="1559" w:type="dxa"/>
            <w:vAlign w:val="center"/>
          </w:tcPr>
          <w:p>
            <w:pPr>
              <w:jc w:val="center"/>
              <w:rPr>
                <w:rFonts w:ascii="宋体" w:hAnsi="宋体"/>
              </w:rPr>
            </w:pPr>
            <w:r>
              <w:rPr>
                <w:rFonts w:ascii="宋体" w:hAnsi="宋体" w:hint="eastAsia"/>
              </w:rPr>
              <w:t>-</w:t>
            </w:r>
          </w:p>
        </w:tc>
        <w:tc>
          <w:tcPr>
            <w:tcW w:w="1457" w:type="dxa"/>
            <w:vAlign w:val="center"/>
          </w:tcPr>
          <w:p>
            <w:pPr>
              <w:jc w:val="right"/>
              <w:rPr>
                <w:rFonts w:ascii="宋体" w:hAnsi="宋体"/>
              </w:rPr>
            </w:pPr>
            <w:r>
              <w:rPr>
                <w:rFonts w:ascii="宋体" w:hAnsi="宋体" w:hint="eastAsia"/>
              </w:rPr>
              <w:t>2026-02-05</w:t>
            </w:r>
          </w:p>
        </w:tc>
      </w:tr>
      <w:tr>
        <w:tc>
          <w:tcPr>
            <w:tcW w:w="2122" w:type="dxa"/>
            <w:vAlign w:val="center"/>
          </w:tcPr>
          <w:p>
            <w:pPr>
              <w:jc w:val="center"/>
            </w:pPr>
            <w:r>
              <w:rPr>
                <w:rFonts w:hint="eastAsia"/>
              </w:rPr>
              <w:t>副总经理</w:t>
            </w:r>
          </w:p>
        </w:tc>
        <w:tc>
          <w:tcPr>
            <w:tcW w:w="850" w:type="dxa"/>
            <w:vAlign w:val="center"/>
          </w:tcPr>
          <w:p>
            <w:pPr>
              <w:jc w:val="center"/>
              <w:rPr>
                <w:rFonts w:ascii="宋体" w:hAnsi="宋体"/>
              </w:rPr>
            </w:pPr>
            <w:r>
              <w:rPr>
                <w:rFonts w:ascii="宋体" w:hAnsi="宋体" w:hint="eastAsia"/>
              </w:rPr>
              <w:t>徐长厚</w:t>
            </w:r>
          </w:p>
        </w:tc>
        <w:tc>
          <w:tcPr>
            <w:tcW w:w="2835" w:type="dxa"/>
            <w:vAlign w:val="center"/>
          </w:tcPr>
          <w:p>
            <w:pPr>
              <w:jc w:val="center"/>
              <w:rPr>
                <w:rFonts w:ascii="宋体" w:hAnsi="宋体"/>
              </w:rPr>
            </w:pPr>
            <w:r>
              <w:rPr>
                <w:rFonts w:ascii="宋体" w:hAnsi="宋体"/>
              </w:rPr>
              <w:t>-</w:t>
            </w:r>
          </w:p>
        </w:tc>
        <w:tc>
          <w:tcPr>
            <w:tcW w:w="1559" w:type="dxa"/>
            <w:vAlign w:val="center"/>
          </w:tcPr>
          <w:p>
            <w:pPr>
              <w:rPr>
                <w:rFonts w:ascii="宋体" w:hAnsi="宋体"/>
              </w:rPr>
            </w:pPr>
            <w:r>
              <w:rPr>
                <w:rFonts w:ascii="宋体" w:hAnsi="宋体"/>
              </w:rPr>
              <w:t>山东能源集团</w:t>
            </w:r>
            <w:r>
              <w:rPr>
                <w:rFonts w:ascii="宋体" w:hAnsi="宋体" w:hint="eastAsia"/>
              </w:rPr>
              <w:t>西北</w:t>
            </w:r>
            <w:r>
              <w:rPr>
                <w:rFonts w:ascii="宋体" w:hAnsi="宋体"/>
              </w:rPr>
              <w:t>矿业有限公司</w:t>
            </w:r>
            <w:r>
              <w:rPr>
                <w:rFonts w:ascii="宋体" w:hAnsi="宋体" w:hint="eastAsia"/>
              </w:rPr>
              <w:t>董事</w:t>
            </w:r>
          </w:p>
        </w:tc>
        <w:tc>
          <w:tcPr>
            <w:tcW w:w="1457" w:type="dxa"/>
            <w:vAlign w:val="center"/>
          </w:tcPr>
          <w:p>
            <w:pPr>
              <w:jc w:val="right"/>
              <w:rPr>
                <w:rFonts w:ascii="宋体" w:hAnsi="宋体"/>
              </w:rPr>
            </w:pPr>
            <w:r>
              <w:rPr>
                <w:rFonts w:ascii="宋体" w:hAnsi="宋体"/>
              </w:rPr>
              <w:t>2025-05-22</w:t>
            </w:r>
          </w:p>
        </w:tc>
      </w:tr>
      <w:tr>
        <w:tc>
          <w:tcPr>
            <w:tcW w:w="2122" w:type="dxa"/>
            <w:vMerge w:val="restart"/>
            <w:vAlign w:val="center"/>
          </w:tcPr>
          <w:p>
            <w:pPr>
              <w:jc w:val="center"/>
            </w:pPr>
            <w:r>
              <w:rPr>
                <w:rFonts w:hint="eastAsia"/>
              </w:rPr>
              <w:t>副总经理</w:t>
            </w:r>
          </w:p>
        </w:tc>
        <w:tc>
          <w:tcPr>
            <w:tcW w:w="850" w:type="dxa"/>
            <w:vMerge w:val="restart"/>
            <w:vAlign w:val="center"/>
          </w:tcPr>
          <w:p>
            <w:pPr>
              <w:jc w:val="center"/>
              <w:rPr>
                <w:rFonts w:ascii="宋体" w:hAnsi="宋体"/>
              </w:rPr>
            </w:pPr>
            <w:r>
              <w:rPr>
                <w:rFonts w:ascii="宋体" w:hAnsi="宋体" w:hint="eastAsia"/>
              </w:rPr>
              <w:t>李建忠</w:t>
            </w:r>
          </w:p>
        </w:tc>
        <w:tc>
          <w:tcPr>
            <w:tcW w:w="2835" w:type="dxa"/>
            <w:vAlign w:val="center"/>
          </w:tcPr>
          <w:p>
            <w:pPr>
              <w:rPr>
                <w:rFonts w:ascii="宋体" w:hAnsi="宋体"/>
              </w:rPr>
            </w:pPr>
            <w:r>
              <w:rPr>
                <w:rFonts w:ascii="宋体" w:hAnsi="宋体" w:hint="eastAsia"/>
              </w:rPr>
              <w:t>山西朔州平鲁区龙矿大恒煤业有限公司党委书记、董事长、总经理</w:t>
            </w:r>
          </w:p>
        </w:tc>
        <w:tc>
          <w:tcPr>
            <w:tcW w:w="1559" w:type="dxa"/>
            <w:vAlign w:val="center"/>
          </w:tcPr>
          <w:p>
            <w:pPr>
              <w:jc w:val="center"/>
              <w:rPr>
                <w:rFonts w:ascii="宋体" w:hAnsi="宋体"/>
              </w:rPr>
            </w:pPr>
            <w:r>
              <w:rPr>
                <w:rFonts w:ascii="宋体" w:hAnsi="宋体"/>
              </w:rPr>
              <w:t>-</w:t>
            </w:r>
          </w:p>
        </w:tc>
        <w:tc>
          <w:tcPr>
            <w:tcW w:w="1457" w:type="dxa"/>
            <w:vAlign w:val="center"/>
          </w:tcPr>
          <w:p>
            <w:pPr>
              <w:jc w:val="right"/>
              <w:rPr>
                <w:rFonts w:ascii="宋体" w:hAnsi="宋体"/>
              </w:rPr>
            </w:pPr>
            <w:r>
              <w:rPr>
                <w:rFonts w:ascii="宋体" w:hAnsi="宋体" w:hint="eastAsia"/>
              </w:rPr>
              <w:t>2026-01-05</w:t>
            </w:r>
          </w:p>
        </w:tc>
      </w:tr>
      <w:tr>
        <w:tc>
          <w:tcPr>
            <w:tcW w:w="2122" w:type="dxa"/>
            <w:vMerge/>
            <w:vAlign w:val="center"/>
          </w:tcPr>
          <w:p>
            <w:pPr>
              <w:jc w:val="center"/>
            </w:pPr>
          </w:p>
        </w:tc>
        <w:tc>
          <w:tcPr>
            <w:tcW w:w="850" w:type="dxa"/>
            <w:vMerge/>
            <w:vAlign w:val="center"/>
          </w:tcPr>
          <w:p>
            <w:pPr>
              <w:jc w:val="center"/>
              <w:rPr>
                <w:rFonts w:ascii="宋体" w:hAnsi="宋体"/>
              </w:rPr>
            </w:pPr>
          </w:p>
        </w:tc>
        <w:tc>
          <w:tcPr>
            <w:tcW w:w="2835" w:type="dxa"/>
            <w:vAlign w:val="center"/>
          </w:tcPr>
          <w:p>
            <w:pPr>
              <w:rPr>
                <w:rFonts w:ascii="宋体" w:hAnsi="宋体"/>
              </w:rPr>
            </w:pPr>
            <w:r>
              <w:rPr>
                <w:rFonts w:ascii="宋体" w:hAnsi="宋体" w:hint="eastAsia"/>
              </w:rPr>
              <w:t>山西龙矿能源投资开发有限公司党委书记、执行董事、总经理</w:t>
            </w:r>
          </w:p>
        </w:tc>
        <w:tc>
          <w:tcPr>
            <w:tcW w:w="1559" w:type="dxa"/>
            <w:vAlign w:val="center"/>
          </w:tcPr>
          <w:p>
            <w:pPr>
              <w:jc w:val="center"/>
              <w:rPr>
                <w:rFonts w:ascii="宋体" w:hAnsi="宋体"/>
              </w:rPr>
            </w:pPr>
            <w:r>
              <w:rPr>
                <w:rFonts w:ascii="宋体" w:hAnsi="宋体"/>
              </w:rPr>
              <w:t>-</w:t>
            </w:r>
          </w:p>
        </w:tc>
        <w:tc>
          <w:tcPr>
            <w:tcW w:w="1457" w:type="dxa"/>
            <w:vAlign w:val="center"/>
          </w:tcPr>
          <w:p>
            <w:pPr>
              <w:jc w:val="right"/>
              <w:rPr>
                <w:rFonts w:ascii="宋体" w:hAnsi="宋体"/>
              </w:rPr>
            </w:pPr>
            <w:r>
              <w:rPr>
                <w:rFonts w:ascii="宋体" w:hAnsi="宋体" w:hint="eastAsia"/>
              </w:rPr>
              <w:t>2026-02-05</w:t>
            </w:r>
          </w:p>
        </w:tc>
      </w:tr>
      <w:bookmarkEnd w:id="154"/>
    </w:tbl>
    <w:p>
      <w:pPr>
        <w:pStyle w:val="Style49"/>
      </w:pPr>
    </w:p>
    <w:p>
      <w:pPr>
        <w:pStyle w:val="Style49"/>
      </w:pPr>
    </w:p>
    <w:p>
      <w:pPr>
        <w:pStyle w:val="Style52"/>
        <w:numPr>
          <w:ilvl w:val="0"/>
          <w:numId w:val="25"/>
        </w:numPr>
        <w:ind w:left="0" w:firstLine="0"/>
      </w:pPr>
      <w:r>
        <w:rPr>
          <w:rFonts w:hint="eastAsia"/>
        </w:rPr>
        <w:t>近三年受证券监管机构处罚的情况说明</w:t>
      </w:r>
    </w:p>
    <w:sdt>
      <w:sdtPr>
        <w:alias w:val="是否适用：近三年受证券监管机构处罚的情况说明[双击切换]"/>
        <w:tag w:val="_GBC_7955674a80d94ddc9e00915de353286e"/>
        <w:id w:val="33111196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0"/>
          <w:numId w:val="25"/>
        </w:numPr>
        <w:ind w:left="0" w:firstLine="0"/>
      </w:pPr>
      <w:bookmarkStart w:id="155" w:name="_Hlk89182759"/>
      <w:r>
        <w:rPr>
          <w:rFonts w:hint="eastAsia"/>
        </w:rPr>
        <w:t>其他</w:t>
      </w:r>
    </w:p>
    <w:sdt>
      <w:sdtPr>
        <w:rPr>
          <w:rFonts w:hint="eastAsia"/>
          <w:bCs/>
        </w:rPr>
        <w:alias w:val="是否适用：其他董事、监事、高级管理人员情况说明[双击切换]"/>
        <w:tag w:val="_GBC_6698e1cba7354d29b0fcdbb38e7287d6"/>
        <w:id w:val="218870680"/>
        <w:placeholder>
          <w:docPart w:val="7AF455B623D14A47906215DF29E3EC3E"/>
        </w:placeholder>
      </w:sdtPr>
      <w:sdtContent>
        <w:p>
          <w:pPr>
            <w:rPr>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sdt>
      <w:sdtPr>
        <w:rPr>
          <w:bCs/>
        </w:rPr>
        <w:alias w:val="其他董事、监事、高级管理人员和员工情况 "/>
        <w:tag w:val="_GBC_b0be50694429422c9e18f05901db890f"/>
        <w:id w:val="637307866"/>
      </w:sdtPr>
      <w:sdtEndPr>
        <w:rPr>
          <w:rFonts w:ascii="宋体" w:hAnsi="宋体"/>
        </w:rPr>
      </w:sdtEndPr>
      <w:sdtContent>
        <w:p>
          <w:pPr>
            <w:ind w:firstLineChars="200" w:firstLine="420"/>
            <w:jc w:val="both"/>
            <w:rPr>
              <w:rFonts w:ascii="宋体" w:hAnsi="宋体"/>
              <w:bCs/>
            </w:rPr>
          </w:pPr>
          <w:r>
            <w:rPr>
              <w:rFonts w:ascii="宋体" w:hAnsi="宋体" w:hint="eastAsia"/>
              <w:bCs/>
            </w:rPr>
            <w:t>1.董事之服务合同</w:t>
          </w:r>
        </w:p>
        <w:p>
          <w:pPr>
            <w:ind w:firstLineChars="200" w:firstLine="420"/>
            <w:jc w:val="both"/>
            <w:rPr>
              <w:rFonts w:ascii="宋体" w:hAnsi="宋体"/>
              <w:bCs/>
            </w:rPr>
          </w:pPr>
          <w:r>
            <w:rPr>
              <w:rFonts w:ascii="宋体" w:hAnsi="宋体" w:hint="eastAsia"/>
              <w:bCs/>
            </w:rPr>
            <w:t>没有任何董事与公司订立任何公司不能在一年内无赔偿终止的服务合约（除了法定赔偿以外）。</w:t>
          </w:r>
        </w:p>
        <w:p>
          <w:pPr>
            <w:ind w:firstLineChars="200" w:firstLine="420"/>
            <w:jc w:val="both"/>
            <w:rPr>
              <w:rFonts w:ascii="宋体" w:hAnsi="宋体"/>
              <w:bCs/>
            </w:rPr>
          </w:pPr>
          <w:r>
            <w:rPr>
              <w:rFonts w:ascii="宋体" w:hAnsi="宋体" w:hint="eastAsia"/>
              <w:bCs/>
            </w:rPr>
            <w:t>2.董事及高级管理人员之合约权益</w:t>
          </w:r>
        </w:p>
        <w:p>
          <w:pPr>
            <w:ind w:firstLineChars="200" w:firstLine="420"/>
            <w:jc w:val="both"/>
            <w:rPr>
              <w:rFonts w:ascii="宋体" w:hAnsi="宋体"/>
              <w:bCs/>
            </w:rPr>
          </w:pPr>
          <w:r>
            <w:rPr>
              <w:rFonts w:ascii="宋体" w:hAnsi="宋体" w:hint="eastAsia"/>
              <w:bCs/>
            </w:rPr>
            <w:t>各董事及高级管理人员或与其有关联/关连的实体在本公司、其任何子公司、其控股公司或控股股东子公司截至2025年12月31日年度内订立或履行的重要交易、安排或合约中，概无直接或间接拥有任何重大权益。</w:t>
          </w:r>
        </w:p>
        <w:p>
          <w:pPr>
            <w:ind w:firstLineChars="200" w:firstLine="420"/>
            <w:jc w:val="both"/>
            <w:rPr>
              <w:rFonts w:ascii="宋体" w:hAnsi="宋体"/>
              <w:bCs/>
            </w:rPr>
          </w:pPr>
          <w:r>
            <w:rPr>
              <w:rFonts w:ascii="宋体" w:hAnsi="宋体" w:hint="eastAsia"/>
              <w:bCs/>
            </w:rPr>
            <w:t>3.董事及高级管理人员在与本公司构成竞争的业务所占的权益</w:t>
          </w:r>
        </w:p>
        <w:p>
          <w:pPr>
            <w:ind w:firstLineChars="200" w:firstLine="420"/>
          </w:pPr>
          <w:r>
            <w:rPr>
              <w:rFonts w:ascii="宋体" w:hAnsi="宋体" w:hint="eastAsia"/>
              <w:bCs/>
            </w:rPr>
            <w:t>截至2025年12月31日，各董事及高级管理人员没有在与公司直接或者间接构成或可能构成竞争的业务中持有任何权益。本公司董事、高级管理人员之间，除工作关系之外，不存在任何财务、业务、家属方面或其他方面的实质关系。</w:t>
          </w:r>
        </w:p>
      </w:sdtContent>
    </w:sdt>
    <w:p>
      <w:pPr>
        <w:pStyle w:val="Style61"/>
      </w:pPr>
    </w:p>
    <w:p>
      <w:pPr>
        <w:pStyle w:val="Style51"/>
        <w:numPr>
          <w:ilvl w:val="0"/>
          <w:numId w:val="24"/>
        </w:numPr>
      </w:pPr>
      <w:r>
        <w:rPr>
          <w:rFonts w:hint="eastAsia"/>
        </w:rPr>
        <w:t>报告期内召开的董事会有关情况</w:t>
      </w:r>
    </w:p>
    <w:tbl>
      <w:tblPr>
        <w:tblStyle w:val="aff4"/>
        <w:tblW w:w="0" w:type="auto"/>
        <w:tblLook w:val="04A0" w:firstRow="1" w:lastRow="0" w:firstColumn="1" w:lastColumn="0" w:noHBand="0" w:noVBand="1"/>
      </w:tblPr>
      <w:tblGrid>
        <w:gridCol w:w="2941"/>
        <w:gridCol w:w="2941"/>
        <w:gridCol w:w="2941"/>
      </w:tblGrid>
      <w:tr>
        <w:tc>
          <w:tcPr>
            <w:tcW w:w="2941" w:type="dxa"/>
            <w:vAlign w:val="center"/>
          </w:tcPr>
          <w:p>
            <w:pPr>
              <w:jc w:val="center"/>
              <w:rPr>
                <w:rFonts w:ascii="宋体" w:hAnsi="宋体"/>
                <w:bCs/>
              </w:rPr>
            </w:pPr>
            <w:r>
              <w:rPr>
                <w:rFonts w:ascii="宋体" w:hAnsi="宋体"/>
              </w:rPr>
              <w:t>会议届次</w:t>
            </w:r>
          </w:p>
        </w:tc>
        <w:tc>
          <w:tcPr>
            <w:tcW w:w="2941" w:type="dxa"/>
            <w:vAlign w:val="center"/>
          </w:tcPr>
          <w:p>
            <w:pPr>
              <w:jc w:val="center"/>
              <w:rPr>
                <w:rFonts w:ascii="宋体" w:hAnsi="宋体"/>
                <w:bCs/>
              </w:rPr>
            </w:pPr>
            <w:r>
              <w:rPr>
                <w:rFonts w:ascii="宋体" w:hAnsi="宋体"/>
              </w:rPr>
              <w:t>召开日期</w:t>
            </w:r>
          </w:p>
        </w:tc>
        <w:tc>
          <w:tcPr>
            <w:tcW w:w="2941" w:type="dxa"/>
            <w:vAlign w:val="center"/>
          </w:tcPr>
          <w:p>
            <w:pPr>
              <w:jc w:val="center"/>
              <w:rPr>
                <w:rFonts w:ascii="宋体" w:hAnsi="宋体"/>
                <w:bCs/>
              </w:rPr>
            </w:pPr>
            <w:r>
              <w:rPr>
                <w:rFonts w:ascii="宋体" w:hAnsi="宋体" w:hint="eastAsia"/>
              </w:rPr>
              <w:t>会议决议</w:t>
            </w:r>
          </w:p>
        </w:tc>
      </w:tr>
      <w:tr>
        <w:tc>
          <w:tcPr>
            <w:tcW w:w="2941" w:type="dxa"/>
            <w:vAlign w:val="center"/>
          </w:tcPr>
          <w:p>
            <w:pPr>
              <w:jc w:val="center"/>
              <w:rPr>
                <w:rFonts w:ascii="宋体" w:hAnsi="宋体"/>
                <w:bCs/>
              </w:rPr>
            </w:pPr>
            <w:r>
              <w:rPr>
                <w:rFonts w:ascii="宋体" w:hAnsi="宋体" w:hint="eastAsia"/>
                <w:bCs/>
              </w:rPr>
              <w:t>第九届董事会第十三次会议</w:t>
            </w:r>
          </w:p>
        </w:tc>
        <w:tc>
          <w:tcPr>
            <w:tcW w:w="2941" w:type="dxa"/>
            <w:vAlign w:val="center"/>
          </w:tcPr>
          <w:p>
            <w:pPr>
              <w:jc w:val="center"/>
              <w:rPr>
                <w:rFonts w:ascii="宋体" w:hAnsi="宋体"/>
                <w:bCs/>
              </w:rPr>
            </w:pPr>
            <w:r>
              <w:rPr>
                <w:rFonts w:ascii="宋体" w:hAnsi="宋体" w:hint="eastAsia"/>
                <w:bCs/>
              </w:rPr>
              <w:t>2025年2月24日</w:t>
            </w:r>
          </w:p>
        </w:tc>
        <w:tc>
          <w:tcPr>
            <w:tcW w:w="2941" w:type="dxa"/>
            <w:vAlign w:val="center"/>
          </w:tcPr>
          <w:p>
            <w:pPr>
              <w:jc w:val="center"/>
              <w:rPr>
                <w:rFonts w:ascii="宋体" w:hAnsi="宋体"/>
                <w:bCs/>
              </w:rPr>
            </w:pPr>
            <w:r>
              <w:rPr>
                <w:rFonts w:ascii="宋体" w:hAnsi="宋体" w:hint="eastAsia"/>
                <w:bCs/>
              </w:rPr>
              <w:t>通过所有议案</w:t>
            </w:r>
          </w:p>
        </w:tc>
      </w:tr>
      <w:tr>
        <w:tc>
          <w:tcPr>
            <w:tcW w:w="2941" w:type="dxa"/>
            <w:vAlign w:val="center"/>
          </w:tcPr>
          <w:p>
            <w:pPr>
              <w:jc w:val="center"/>
              <w:rPr>
                <w:rFonts w:ascii="宋体" w:hAnsi="宋体"/>
                <w:bCs/>
              </w:rPr>
            </w:pPr>
            <w:r>
              <w:rPr>
                <w:rFonts w:ascii="宋体" w:hAnsi="宋体" w:hint="eastAsia"/>
                <w:bCs/>
              </w:rPr>
              <w:t>第九届董事会第十四次会议</w:t>
            </w:r>
          </w:p>
        </w:tc>
        <w:tc>
          <w:tcPr>
            <w:tcW w:w="2941" w:type="dxa"/>
            <w:vAlign w:val="center"/>
          </w:tcPr>
          <w:p>
            <w:pPr>
              <w:jc w:val="center"/>
              <w:rPr>
                <w:rFonts w:ascii="宋体" w:hAnsi="宋体"/>
                <w:bCs/>
              </w:rPr>
            </w:pPr>
            <w:r>
              <w:rPr>
                <w:rFonts w:ascii="宋体" w:hAnsi="宋体" w:hint="eastAsia"/>
                <w:bCs/>
              </w:rPr>
              <w:t>2025年3月28日</w:t>
            </w:r>
          </w:p>
        </w:tc>
        <w:tc>
          <w:tcPr>
            <w:tcW w:w="2941" w:type="dxa"/>
            <w:vAlign w:val="center"/>
          </w:tcPr>
          <w:p>
            <w:pPr>
              <w:jc w:val="center"/>
              <w:rPr>
                <w:rFonts w:ascii="宋体" w:hAnsi="宋体"/>
                <w:bCs/>
              </w:rPr>
            </w:pPr>
            <w:r>
              <w:rPr>
                <w:rFonts w:ascii="宋体" w:hAnsi="宋体" w:hint="eastAsia"/>
                <w:bCs/>
              </w:rPr>
              <w:t>通过所有议案</w:t>
            </w:r>
          </w:p>
        </w:tc>
      </w:tr>
      <w:tr>
        <w:tc>
          <w:tcPr>
            <w:tcW w:w="2941" w:type="dxa"/>
            <w:vAlign w:val="center"/>
          </w:tcPr>
          <w:p>
            <w:pPr>
              <w:jc w:val="center"/>
              <w:rPr>
                <w:rFonts w:ascii="宋体" w:hAnsi="宋体"/>
                <w:bCs/>
              </w:rPr>
            </w:pPr>
            <w:r>
              <w:rPr>
                <w:rFonts w:ascii="宋体" w:hAnsi="宋体" w:hint="eastAsia"/>
                <w:bCs/>
              </w:rPr>
              <w:t>第九届董事会第十五次会议</w:t>
            </w:r>
          </w:p>
        </w:tc>
        <w:tc>
          <w:tcPr>
            <w:tcW w:w="2941" w:type="dxa"/>
            <w:vAlign w:val="center"/>
          </w:tcPr>
          <w:p>
            <w:pPr>
              <w:jc w:val="center"/>
              <w:rPr>
                <w:rFonts w:ascii="宋体" w:hAnsi="宋体"/>
                <w:bCs/>
              </w:rPr>
            </w:pPr>
            <w:r>
              <w:rPr>
                <w:rFonts w:ascii="宋体" w:hAnsi="宋体" w:hint="eastAsia"/>
                <w:bCs/>
              </w:rPr>
              <w:t>2025年4月8日</w:t>
            </w:r>
          </w:p>
        </w:tc>
        <w:tc>
          <w:tcPr>
            <w:tcW w:w="2941" w:type="dxa"/>
            <w:vAlign w:val="center"/>
          </w:tcPr>
          <w:p>
            <w:pPr>
              <w:jc w:val="center"/>
              <w:rPr>
                <w:rFonts w:ascii="宋体" w:hAnsi="宋体"/>
                <w:bCs/>
              </w:rPr>
            </w:pPr>
            <w:r>
              <w:rPr>
                <w:rFonts w:ascii="宋体" w:hAnsi="宋体" w:hint="eastAsia"/>
                <w:bCs/>
              </w:rPr>
              <w:t>通过所有议案</w:t>
            </w:r>
          </w:p>
        </w:tc>
      </w:tr>
      <w:tr>
        <w:tc>
          <w:tcPr>
            <w:tcW w:w="2941" w:type="dxa"/>
            <w:vAlign w:val="center"/>
          </w:tcPr>
          <w:p>
            <w:pPr>
              <w:jc w:val="center"/>
              <w:rPr>
                <w:rFonts w:ascii="宋体" w:hAnsi="宋体"/>
                <w:bCs/>
              </w:rPr>
            </w:pPr>
            <w:r>
              <w:rPr>
                <w:rFonts w:ascii="宋体" w:hAnsi="宋体" w:hint="eastAsia"/>
                <w:bCs/>
              </w:rPr>
              <w:t>第九届董事会第十六次会议</w:t>
            </w:r>
          </w:p>
        </w:tc>
        <w:tc>
          <w:tcPr>
            <w:tcW w:w="2941" w:type="dxa"/>
            <w:vAlign w:val="center"/>
          </w:tcPr>
          <w:p>
            <w:pPr>
              <w:jc w:val="center"/>
              <w:rPr>
                <w:rFonts w:ascii="宋体" w:hAnsi="宋体"/>
                <w:bCs/>
              </w:rPr>
            </w:pPr>
            <w:r>
              <w:rPr>
                <w:rFonts w:ascii="宋体" w:hAnsi="宋体" w:hint="eastAsia"/>
                <w:bCs/>
              </w:rPr>
              <w:t>2025年4月25日</w:t>
            </w:r>
          </w:p>
        </w:tc>
        <w:tc>
          <w:tcPr>
            <w:tcW w:w="2941" w:type="dxa"/>
            <w:vAlign w:val="center"/>
          </w:tcPr>
          <w:p>
            <w:pPr>
              <w:jc w:val="center"/>
              <w:rPr>
                <w:rFonts w:ascii="宋体" w:hAnsi="宋体"/>
                <w:bCs/>
              </w:rPr>
            </w:pPr>
            <w:r>
              <w:rPr>
                <w:rFonts w:ascii="宋体" w:hAnsi="宋体" w:hint="eastAsia"/>
                <w:bCs/>
              </w:rPr>
              <w:t>通过所有议案</w:t>
            </w:r>
          </w:p>
        </w:tc>
      </w:tr>
      <w:tr>
        <w:tc>
          <w:tcPr>
            <w:tcW w:w="2941" w:type="dxa"/>
            <w:vAlign w:val="center"/>
          </w:tcPr>
          <w:p>
            <w:pPr>
              <w:jc w:val="center"/>
              <w:rPr>
                <w:rFonts w:ascii="宋体" w:hAnsi="宋体"/>
                <w:bCs/>
              </w:rPr>
            </w:pPr>
            <w:r>
              <w:rPr>
                <w:rFonts w:ascii="宋体" w:hAnsi="宋体" w:hint="eastAsia"/>
                <w:bCs/>
              </w:rPr>
              <w:t>第九届董事会第十七次会议</w:t>
            </w:r>
          </w:p>
        </w:tc>
        <w:tc>
          <w:tcPr>
            <w:tcW w:w="2941" w:type="dxa"/>
            <w:vAlign w:val="center"/>
          </w:tcPr>
          <w:p>
            <w:pPr>
              <w:jc w:val="center"/>
              <w:rPr>
                <w:rFonts w:ascii="宋体" w:hAnsi="宋体"/>
                <w:bCs/>
              </w:rPr>
            </w:pPr>
            <w:r>
              <w:rPr>
                <w:rFonts w:ascii="宋体" w:hAnsi="宋体" w:hint="eastAsia"/>
                <w:bCs/>
              </w:rPr>
              <w:t>2025年5月30日</w:t>
            </w:r>
          </w:p>
        </w:tc>
        <w:tc>
          <w:tcPr>
            <w:tcW w:w="2941" w:type="dxa"/>
            <w:vAlign w:val="center"/>
          </w:tcPr>
          <w:p>
            <w:pPr>
              <w:jc w:val="center"/>
              <w:rPr>
                <w:rFonts w:ascii="宋体" w:hAnsi="宋体"/>
                <w:bCs/>
              </w:rPr>
            </w:pPr>
            <w:r>
              <w:rPr>
                <w:rFonts w:ascii="宋体" w:hAnsi="宋体" w:hint="eastAsia"/>
                <w:bCs/>
              </w:rPr>
              <w:t>通过所有议案</w:t>
            </w:r>
          </w:p>
        </w:tc>
      </w:tr>
      <w:tr>
        <w:tc>
          <w:tcPr>
            <w:tcW w:w="2941" w:type="dxa"/>
            <w:vAlign w:val="center"/>
          </w:tcPr>
          <w:p>
            <w:pPr>
              <w:jc w:val="center"/>
              <w:rPr>
                <w:rFonts w:ascii="宋体" w:hAnsi="宋体"/>
                <w:bCs/>
              </w:rPr>
            </w:pPr>
            <w:r>
              <w:rPr>
                <w:rFonts w:ascii="宋体" w:hAnsi="宋体" w:hint="eastAsia"/>
                <w:bCs/>
              </w:rPr>
              <w:t>第九届董事会第十八次会议</w:t>
            </w:r>
          </w:p>
        </w:tc>
        <w:tc>
          <w:tcPr>
            <w:tcW w:w="2941" w:type="dxa"/>
            <w:vAlign w:val="center"/>
          </w:tcPr>
          <w:p>
            <w:pPr>
              <w:jc w:val="center"/>
              <w:rPr>
                <w:rFonts w:ascii="宋体" w:hAnsi="宋体"/>
                <w:bCs/>
              </w:rPr>
            </w:pPr>
            <w:r>
              <w:rPr>
                <w:rFonts w:ascii="宋体" w:hAnsi="宋体" w:hint="eastAsia"/>
                <w:bCs/>
              </w:rPr>
              <w:t>2025年8月29日</w:t>
            </w:r>
          </w:p>
        </w:tc>
        <w:tc>
          <w:tcPr>
            <w:tcW w:w="2941" w:type="dxa"/>
            <w:vAlign w:val="center"/>
          </w:tcPr>
          <w:p>
            <w:pPr>
              <w:jc w:val="center"/>
              <w:rPr>
                <w:rFonts w:ascii="宋体" w:hAnsi="宋体"/>
                <w:bCs/>
              </w:rPr>
            </w:pPr>
            <w:r>
              <w:rPr>
                <w:rFonts w:ascii="宋体" w:hAnsi="宋体" w:hint="eastAsia"/>
                <w:bCs/>
              </w:rPr>
              <w:t>通过所有议案</w:t>
            </w:r>
          </w:p>
        </w:tc>
      </w:tr>
      <w:tr>
        <w:tc>
          <w:tcPr>
            <w:tcW w:w="2941" w:type="dxa"/>
            <w:vAlign w:val="center"/>
          </w:tcPr>
          <w:p>
            <w:pPr>
              <w:jc w:val="center"/>
              <w:rPr>
                <w:rFonts w:ascii="宋体" w:hAnsi="宋体"/>
                <w:bCs/>
              </w:rPr>
            </w:pPr>
            <w:r>
              <w:rPr>
                <w:rFonts w:ascii="宋体" w:hAnsi="宋体" w:hint="eastAsia"/>
                <w:bCs/>
              </w:rPr>
              <w:t>第九届董事会第十九次会议</w:t>
            </w:r>
          </w:p>
        </w:tc>
        <w:tc>
          <w:tcPr>
            <w:tcW w:w="2941" w:type="dxa"/>
            <w:vAlign w:val="center"/>
          </w:tcPr>
          <w:p>
            <w:pPr>
              <w:jc w:val="center"/>
              <w:rPr>
                <w:rFonts w:ascii="宋体" w:hAnsi="宋体"/>
                <w:bCs/>
              </w:rPr>
            </w:pPr>
            <w:r>
              <w:rPr>
                <w:rFonts w:ascii="宋体" w:hAnsi="宋体" w:hint="eastAsia"/>
                <w:bCs/>
              </w:rPr>
              <w:t>2025年10月30日</w:t>
            </w:r>
          </w:p>
        </w:tc>
        <w:tc>
          <w:tcPr>
            <w:tcW w:w="2941" w:type="dxa"/>
            <w:vAlign w:val="center"/>
          </w:tcPr>
          <w:p>
            <w:pPr>
              <w:jc w:val="center"/>
              <w:rPr>
                <w:rFonts w:ascii="宋体" w:hAnsi="宋体"/>
                <w:bCs/>
              </w:rPr>
            </w:pPr>
            <w:r>
              <w:rPr>
                <w:rFonts w:ascii="宋体" w:hAnsi="宋体" w:hint="eastAsia"/>
                <w:bCs/>
              </w:rPr>
              <w:t>通过所有议案</w:t>
            </w:r>
          </w:p>
        </w:tc>
      </w:tr>
      <w:tr>
        <w:trPr>
          <w:trHeight w:val="43"/>
        </w:trPr>
        <w:tc>
          <w:tcPr>
            <w:tcW w:w="2941" w:type="dxa"/>
            <w:vAlign w:val="center"/>
          </w:tcPr>
          <w:p>
            <w:pPr>
              <w:jc w:val="center"/>
              <w:rPr>
                <w:rFonts w:ascii="宋体" w:hAnsi="宋体"/>
                <w:bCs/>
              </w:rPr>
            </w:pPr>
            <w:r>
              <w:rPr>
                <w:rFonts w:ascii="宋体" w:hAnsi="宋体" w:hint="eastAsia"/>
                <w:bCs/>
              </w:rPr>
              <w:lastRenderedPageBreak/>
              <w:t>第九届董事会第二十次会议</w:t>
            </w:r>
          </w:p>
        </w:tc>
        <w:tc>
          <w:tcPr>
            <w:tcW w:w="2941" w:type="dxa"/>
            <w:vAlign w:val="center"/>
          </w:tcPr>
          <w:p>
            <w:pPr>
              <w:jc w:val="center"/>
              <w:rPr>
                <w:rFonts w:ascii="宋体" w:hAnsi="宋体"/>
                <w:bCs/>
              </w:rPr>
            </w:pPr>
            <w:r>
              <w:rPr>
                <w:rFonts w:ascii="宋体" w:hAnsi="宋体" w:hint="eastAsia"/>
                <w:bCs/>
              </w:rPr>
              <w:t>2025年11月27日</w:t>
            </w:r>
          </w:p>
        </w:tc>
        <w:tc>
          <w:tcPr>
            <w:tcW w:w="2941" w:type="dxa"/>
            <w:vAlign w:val="center"/>
          </w:tcPr>
          <w:p>
            <w:pPr>
              <w:jc w:val="center"/>
              <w:rPr>
                <w:rFonts w:ascii="宋体" w:hAnsi="宋体"/>
                <w:bCs/>
              </w:rPr>
            </w:pPr>
            <w:r>
              <w:rPr>
                <w:rFonts w:ascii="宋体" w:hAnsi="宋体" w:hint="eastAsia"/>
                <w:bCs/>
              </w:rPr>
              <w:t>通过所有议案</w:t>
            </w:r>
          </w:p>
        </w:tc>
      </w:tr>
    </w:tbl>
    <w:p>
      <w:pPr>
        <w:jc w:val="both"/>
        <w:rPr>
          <w:rFonts w:ascii="宋体" w:hAnsi="宋体"/>
          <w:bCs/>
        </w:rPr>
      </w:pPr>
    </w:p>
    <w:bookmarkEnd w:id="155"/>
    <w:p>
      <w:pPr>
        <w:pStyle w:val="Style51"/>
        <w:numPr>
          <w:ilvl w:val="0"/>
          <w:numId w:val="24"/>
        </w:numPr>
      </w:pPr>
      <w:r>
        <w:t>董事履行职责情况</w:t>
      </w:r>
    </w:p>
    <w:p>
      <w:pPr>
        <w:pStyle w:val="Style52"/>
        <w:numPr>
          <w:ilvl w:val="0"/>
          <w:numId w:val="27"/>
        </w:numPr>
      </w:pPr>
      <w:r>
        <w:t>董事参加董事会和</w:t>
      </w:r>
      <w:sdt>
        <w:sdtPr>
          <w:tag w:val="_PLD_47828a77321a429297b4f49878c0e2f1"/>
          <w:id w:val="-1807919857"/>
        </w:sdtPr>
        <w:sdtContent>
          <w:r>
            <w:t>股东会</w:t>
          </w:r>
        </w:sdtContent>
      </w:sdt>
      <w:r>
        <w:t>的情况</w:t>
      </w:r>
    </w:p>
    <w:tbl>
      <w:tblPr>
        <w:tblStyle w:val="g7"/>
        <w:tblW w:w="9046" w:type="dxa"/>
        <w:tblLayout w:type="fixed"/>
        <w:tblLook w:val="04A0" w:firstRow="1" w:lastRow="0" w:firstColumn="1" w:lastColumn="0" w:noHBand="0" w:noVBand="1"/>
      </w:tblPr>
      <w:tblGrid>
        <w:gridCol w:w="1129"/>
        <w:gridCol w:w="695"/>
        <w:gridCol w:w="1098"/>
        <w:gridCol w:w="852"/>
        <w:gridCol w:w="968"/>
        <w:gridCol w:w="904"/>
        <w:gridCol w:w="845"/>
        <w:gridCol w:w="1294"/>
        <w:gridCol w:w="1261"/>
      </w:tblGrid>
      <w:tr>
        <w:trPr>
          <w:trHeight w:val="561"/>
          <w:tblHeader/>
        </w:trPr>
        <w:sdt>
          <w:sdtPr>
            <w:rPr>
              <w:rFonts w:ascii="宋体" w:hAnsi="宋体"/>
              <w:sz w:val="20"/>
              <w:szCs w:val="20"/>
            </w:rPr>
            <w:tag w:val="_PLD_fdf987702b2e46a4aaa1e3f20787a76c"/>
            <w:id w:val="2063829744"/>
          </w:sdtPr>
          <w:sdtContent>
            <w:tc>
              <w:tcPr>
                <w:tcW w:w="1129" w:type="dxa"/>
                <w:vMerge w:val="restart"/>
                <w:vAlign w:val="center"/>
              </w:tcPr>
              <w:p>
                <w:pPr>
                  <w:jc w:val="center"/>
                  <w:rPr>
                    <w:rFonts w:ascii="宋体" w:hAnsi="宋体"/>
                  </w:rPr>
                </w:pPr>
                <w:r>
                  <w:rPr>
                    <w:rFonts w:ascii="宋体" w:hAnsi="宋体" w:hint="eastAsia"/>
                  </w:rPr>
                  <w:t>董事</w:t>
                </w:r>
              </w:p>
              <w:p>
                <w:pPr>
                  <w:jc w:val="center"/>
                  <w:rPr>
                    <w:rFonts w:ascii="宋体" w:hAnsi="宋体"/>
                  </w:rPr>
                </w:pPr>
                <w:r>
                  <w:rPr>
                    <w:rFonts w:ascii="宋体" w:hAnsi="宋体" w:hint="eastAsia"/>
                  </w:rPr>
                  <w:t>姓名</w:t>
                </w:r>
              </w:p>
            </w:tc>
          </w:sdtContent>
        </w:sdt>
        <w:sdt>
          <w:sdtPr>
            <w:rPr>
              <w:rFonts w:ascii="宋体" w:hAnsi="宋体"/>
              <w:sz w:val="20"/>
              <w:szCs w:val="20"/>
            </w:rPr>
            <w:tag w:val="_PLD_8c944f740a3a4784938038ab19e3a6ed"/>
            <w:id w:val="1814373570"/>
          </w:sdtPr>
          <w:sdtContent>
            <w:tc>
              <w:tcPr>
                <w:tcW w:w="695" w:type="dxa"/>
                <w:vMerge w:val="restart"/>
                <w:vAlign w:val="center"/>
              </w:tcPr>
              <w:p>
                <w:pPr>
                  <w:jc w:val="center"/>
                  <w:rPr>
                    <w:rFonts w:ascii="宋体" w:hAnsi="宋体"/>
                  </w:rPr>
                </w:pPr>
                <w:r>
                  <w:rPr>
                    <w:rFonts w:ascii="宋体" w:hAnsi="宋体"/>
                  </w:rPr>
                  <w:t>是否独立董事</w:t>
                </w:r>
              </w:p>
            </w:tc>
          </w:sdtContent>
        </w:sdt>
        <w:sdt>
          <w:sdtPr>
            <w:rPr>
              <w:rFonts w:ascii="宋体" w:hAnsi="宋体"/>
              <w:sz w:val="20"/>
              <w:szCs w:val="20"/>
            </w:rPr>
            <w:tag w:val="_PLD_41002b55426142459adadb76d790d586"/>
            <w:id w:val="1736037640"/>
          </w:sdtPr>
          <w:sdtContent>
            <w:tc>
              <w:tcPr>
                <w:tcW w:w="5961" w:type="dxa"/>
                <w:gridSpan w:val="6"/>
                <w:vAlign w:val="center"/>
              </w:tcPr>
              <w:p>
                <w:pPr>
                  <w:jc w:val="center"/>
                  <w:rPr>
                    <w:rFonts w:ascii="宋体" w:hAnsi="宋体"/>
                  </w:rPr>
                </w:pPr>
                <w:r>
                  <w:rPr>
                    <w:rFonts w:ascii="宋体" w:hAnsi="宋体"/>
                  </w:rPr>
                  <w:t>参加董事会情况</w:t>
                </w:r>
              </w:p>
            </w:tc>
          </w:sdtContent>
        </w:sdt>
        <w:sdt>
          <w:sdtPr>
            <w:rPr>
              <w:rFonts w:ascii="宋体" w:hAnsi="宋体"/>
              <w:sz w:val="20"/>
              <w:szCs w:val="20"/>
            </w:rPr>
            <w:tag w:val="_PLD_a86ab0ba65874193bf46821cd6a13f4f"/>
            <w:id w:val="-348418029"/>
          </w:sdtPr>
          <w:sdtContent>
            <w:tc>
              <w:tcPr>
                <w:tcW w:w="1261" w:type="dxa"/>
                <w:vAlign w:val="center"/>
              </w:tcPr>
              <w:p>
                <w:pPr>
                  <w:jc w:val="center"/>
                  <w:rPr>
                    <w:rFonts w:ascii="宋体" w:hAnsi="宋体"/>
                  </w:rPr>
                </w:pPr>
                <w:r>
                  <w:rPr>
                    <w:rFonts w:ascii="宋体" w:hAnsi="宋体"/>
                  </w:rPr>
                  <w:t>参加股东会情况</w:t>
                </w:r>
              </w:p>
            </w:tc>
          </w:sdtContent>
        </w:sdt>
      </w:tr>
      <w:tr>
        <w:trPr>
          <w:trHeight w:val="120"/>
          <w:tblHeader/>
        </w:trPr>
        <w:tc>
          <w:tcPr>
            <w:tcW w:w="1129" w:type="dxa"/>
            <w:vMerge/>
            <w:vAlign w:val="center"/>
          </w:tcPr>
          <w:p>
            <w:pPr>
              <w:jc w:val="center"/>
              <w:rPr>
                <w:rFonts w:ascii="宋体" w:hAnsi="宋体"/>
              </w:rPr>
            </w:pPr>
          </w:p>
        </w:tc>
        <w:tc>
          <w:tcPr>
            <w:tcW w:w="695" w:type="dxa"/>
            <w:vMerge/>
            <w:vAlign w:val="center"/>
          </w:tcPr>
          <w:p>
            <w:pPr>
              <w:jc w:val="center"/>
              <w:rPr>
                <w:rFonts w:ascii="宋体" w:hAnsi="宋体"/>
              </w:rPr>
            </w:pPr>
          </w:p>
        </w:tc>
        <w:sdt>
          <w:sdtPr>
            <w:rPr>
              <w:rFonts w:ascii="宋体" w:hAnsi="宋体"/>
              <w:sz w:val="20"/>
              <w:szCs w:val="20"/>
            </w:rPr>
            <w:tag w:val="_PLD_1be3bc3a3d894e22b017b70a7c691233"/>
            <w:id w:val="2100132539"/>
          </w:sdtPr>
          <w:sdtContent>
            <w:tc>
              <w:tcPr>
                <w:tcW w:w="1098" w:type="dxa"/>
                <w:vAlign w:val="center"/>
              </w:tcPr>
              <w:p>
                <w:pPr>
                  <w:jc w:val="center"/>
                  <w:rPr>
                    <w:rFonts w:ascii="宋体" w:hAnsi="宋体"/>
                  </w:rPr>
                </w:pPr>
                <w:r>
                  <w:rPr>
                    <w:rFonts w:ascii="宋体" w:hAnsi="宋体"/>
                  </w:rPr>
                  <w:t>本年应参加董事会次数</w:t>
                </w:r>
              </w:p>
            </w:tc>
          </w:sdtContent>
        </w:sdt>
        <w:sdt>
          <w:sdtPr>
            <w:rPr>
              <w:rFonts w:ascii="宋体" w:hAnsi="宋体"/>
              <w:sz w:val="20"/>
              <w:szCs w:val="20"/>
            </w:rPr>
            <w:tag w:val="_PLD_3e45fc9802f241cb8e17735983417e9b"/>
            <w:id w:val="-1062249663"/>
          </w:sdtPr>
          <w:sdtContent>
            <w:tc>
              <w:tcPr>
                <w:tcW w:w="852" w:type="dxa"/>
                <w:vAlign w:val="center"/>
              </w:tcPr>
              <w:p>
                <w:pPr>
                  <w:jc w:val="center"/>
                  <w:rPr>
                    <w:rFonts w:ascii="宋体" w:hAnsi="宋体"/>
                  </w:rPr>
                </w:pPr>
                <w:r>
                  <w:rPr>
                    <w:rFonts w:ascii="宋体" w:hAnsi="宋体"/>
                  </w:rPr>
                  <w:t>亲自出席次数</w:t>
                </w:r>
              </w:p>
            </w:tc>
          </w:sdtContent>
        </w:sdt>
        <w:sdt>
          <w:sdtPr>
            <w:rPr>
              <w:rFonts w:ascii="宋体" w:hAnsi="宋体"/>
              <w:sz w:val="20"/>
              <w:szCs w:val="20"/>
            </w:rPr>
            <w:tag w:val="_PLD_5b2f1e699fe34def868fe8b765d768ba"/>
            <w:id w:val="373665123"/>
          </w:sdtPr>
          <w:sdtContent>
            <w:tc>
              <w:tcPr>
                <w:tcW w:w="968" w:type="dxa"/>
                <w:vAlign w:val="center"/>
              </w:tcPr>
              <w:p>
                <w:pPr>
                  <w:jc w:val="center"/>
                  <w:rPr>
                    <w:rFonts w:ascii="宋体" w:hAnsi="宋体"/>
                  </w:rPr>
                </w:pPr>
                <w:r>
                  <w:rPr>
                    <w:rFonts w:ascii="宋体" w:hAnsi="宋体"/>
                  </w:rPr>
                  <w:t>以通讯方式参加次数</w:t>
                </w:r>
              </w:p>
            </w:tc>
          </w:sdtContent>
        </w:sdt>
        <w:sdt>
          <w:sdtPr>
            <w:rPr>
              <w:rFonts w:ascii="宋体" w:hAnsi="宋体"/>
              <w:sz w:val="20"/>
              <w:szCs w:val="20"/>
            </w:rPr>
            <w:tag w:val="_PLD_981a0cb863d94703a5482c1ca67d4cb5"/>
            <w:id w:val="419293222"/>
          </w:sdtPr>
          <w:sdtContent>
            <w:tc>
              <w:tcPr>
                <w:tcW w:w="904" w:type="dxa"/>
                <w:vAlign w:val="center"/>
              </w:tcPr>
              <w:p>
                <w:pPr>
                  <w:jc w:val="center"/>
                  <w:rPr>
                    <w:rFonts w:ascii="宋体" w:hAnsi="宋体"/>
                  </w:rPr>
                </w:pPr>
                <w:r>
                  <w:rPr>
                    <w:rFonts w:ascii="宋体" w:hAnsi="宋体"/>
                  </w:rPr>
                  <w:t>委托出席次数</w:t>
                </w:r>
              </w:p>
            </w:tc>
          </w:sdtContent>
        </w:sdt>
        <w:sdt>
          <w:sdtPr>
            <w:rPr>
              <w:rFonts w:ascii="宋体" w:hAnsi="宋体"/>
              <w:sz w:val="20"/>
              <w:szCs w:val="20"/>
            </w:rPr>
            <w:tag w:val="_PLD_e955143b8973461bb11aa6e64e6bb542"/>
            <w:id w:val="1492294146"/>
          </w:sdtPr>
          <w:sdtContent>
            <w:tc>
              <w:tcPr>
                <w:tcW w:w="845" w:type="dxa"/>
                <w:vAlign w:val="center"/>
              </w:tcPr>
              <w:p>
                <w:pPr>
                  <w:jc w:val="center"/>
                  <w:rPr>
                    <w:rFonts w:ascii="宋体" w:hAnsi="宋体"/>
                  </w:rPr>
                </w:pPr>
                <w:r>
                  <w:rPr>
                    <w:rFonts w:ascii="宋体" w:hAnsi="宋体"/>
                  </w:rPr>
                  <w:t>缺席</w:t>
                </w:r>
              </w:p>
              <w:p>
                <w:pPr>
                  <w:jc w:val="center"/>
                  <w:rPr>
                    <w:rFonts w:ascii="宋体" w:hAnsi="宋体"/>
                  </w:rPr>
                </w:pPr>
                <w:r>
                  <w:rPr>
                    <w:rFonts w:ascii="宋体" w:hAnsi="宋体"/>
                  </w:rPr>
                  <w:t>次数</w:t>
                </w:r>
              </w:p>
            </w:tc>
          </w:sdtContent>
        </w:sdt>
        <w:sdt>
          <w:sdtPr>
            <w:rPr>
              <w:rFonts w:ascii="宋体" w:hAnsi="宋体"/>
              <w:sz w:val="20"/>
              <w:szCs w:val="20"/>
            </w:rPr>
            <w:tag w:val="_PLD_c94de7a455d94af5b8ffe4cc736c4b46"/>
            <w:id w:val="-1614045082"/>
          </w:sdtPr>
          <w:sdtContent>
            <w:tc>
              <w:tcPr>
                <w:tcW w:w="1294" w:type="dxa"/>
                <w:vAlign w:val="center"/>
              </w:tcPr>
              <w:p>
                <w:pPr>
                  <w:jc w:val="center"/>
                  <w:rPr>
                    <w:rFonts w:ascii="宋体" w:hAnsi="宋体"/>
                  </w:rPr>
                </w:pPr>
                <w:r>
                  <w:rPr>
                    <w:rFonts w:ascii="宋体" w:hAnsi="宋体"/>
                  </w:rPr>
                  <w:t>是否连续两次未亲自参加会议</w:t>
                </w:r>
              </w:p>
            </w:tc>
          </w:sdtContent>
        </w:sdt>
        <w:sdt>
          <w:sdtPr>
            <w:rPr>
              <w:rFonts w:ascii="宋体" w:hAnsi="宋体"/>
              <w:sz w:val="20"/>
              <w:szCs w:val="20"/>
            </w:rPr>
            <w:tag w:val="_PLD_7f17c2a5ff9540709fafff9460b0756d"/>
            <w:id w:val="-611897704"/>
          </w:sdtPr>
          <w:sdtContent>
            <w:tc>
              <w:tcPr>
                <w:tcW w:w="1261" w:type="dxa"/>
                <w:vAlign w:val="center"/>
              </w:tcPr>
              <w:p>
                <w:pPr>
                  <w:jc w:val="center"/>
                  <w:rPr>
                    <w:rFonts w:ascii="宋体" w:hAnsi="宋体"/>
                    <w:b/>
                  </w:rPr>
                </w:pPr>
                <w:r>
                  <w:rPr>
                    <w:rFonts w:ascii="宋体" w:hAnsi="宋体"/>
                  </w:rPr>
                  <w:t>出席股东会的次数</w:t>
                </w:r>
              </w:p>
            </w:tc>
          </w:sdtContent>
        </w:sdt>
      </w:tr>
      <w:tr>
        <w:trPr>
          <w:trHeight w:val="77"/>
        </w:trPr>
        <w:tc>
          <w:tcPr>
            <w:tcW w:w="1129" w:type="dxa"/>
            <w:vAlign w:val="center"/>
          </w:tcPr>
          <w:p>
            <w:pPr>
              <w:jc w:val="center"/>
              <w:rPr>
                <w:rFonts w:ascii="宋体" w:hAnsi="宋体"/>
              </w:rPr>
            </w:pPr>
            <w:r>
              <w:rPr>
                <w:rFonts w:ascii="宋体" w:hAnsi="宋体" w:hint="eastAsia"/>
              </w:rPr>
              <w:t>李  伟</w:t>
            </w:r>
          </w:p>
        </w:tc>
        <w:sdt>
          <w:sdtPr>
            <w:rPr>
              <w:rFonts w:ascii="宋体" w:hAnsi="宋体" w:hint="eastAsia"/>
              <w:sz w:val="20"/>
              <w:szCs w:val="20"/>
            </w:rPr>
            <w:alias w:val="董事参加董事会的出席情况明细-是否独立董事"/>
            <w:tag w:val="_GBC_8f65cf2d483747a58ee92c8a36ee6375"/>
            <w:id w:val="-882167537"/>
            <w:comboBox>
              <w:listItem w:displayText="是" w:value="true"/>
              <w:listItem w:displayText="否" w:value="false"/>
            </w:comboBox>
          </w:sdtPr>
          <w:sdtContent>
            <w:tc>
              <w:tcPr>
                <w:tcW w:w="695" w:type="dxa"/>
                <w:vAlign w:val="center"/>
              </w:tcPr>
              <w:p>
                <w:pPr>
                  <w:jc w:val="center"/>
                  <w:rPr>
                    <w:rFonts w:ascii="宋体" w:hAnsi="宋体"/>
                  </w:rPr>
                </w:pPr>
                <w:r>
                  <w:rPr>
                    <w:rFonts w:ascii="宋体" w:hAnsi="宋体" w:hint="eastAsia"/>
                  </w:rPr>
                  <w:t>否</w:t>
                </w:r>
              </w:p>
            </w:tc>
          </w:sdtContent>
        </w:sdt>
        <w:tc>
          <w:tcPr>
            <w:tcW w:w="1098" w:type="dxa"/>
            <w:vAlign w:val="center"/>
          </w:tcPr>
          <w:p>
            <w:pPr>
              <w:jc w:val="center"/>
              <w:rPr>
                <w:rFonts w:ascii="宋体" w:hAnsi="宋体"/>
              </w:rPr>
            </w:pPr>
            <w:r>
              <w:rPr>
                <w:rFonts w:ascii="宋体" w:hAnsi="宋体" w:hint="eastAsia"/>
              </w:rPr>
              <w:t>8</w:t>
            </w:r>
          </w:p>
        </w:tc>
        <w:tc>
          <w:tcPr>
            <w:tcW w:w="852" w:type="dxa"/>
            <w:vAlign w:val="center"/>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7</w:t>
            </w:r>
          </w:p>
        </w:tc>
        <w:tc>
          <w:tcPr>
            <w:tcW w:w="904" w:type="dxa"/>
            <w:vAlign w:val="center"/>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bookmarkStart w:id="156" w:name="OLE_LINK8" w:displacedByCustomXml="next"/>
        <w:sdt>
          <w:sdtPr>
            <w:rPr>
              <w:rFonts w:ascii="宋体" w:hAnsi="宋体" w:hint="eastAsia"/>
              <w:sz w:val="20"/>
              <w:szCs w:val="20"/>
            </w:rPr>
            <w:alias w:val="董事参加董事会的出席情况明细-是否连续两次未亲自参加会议"/>
            <w:tag w:val="_GBC_4748dc7c4f9b495f9d97d5c22a5e08e6"/>
            <w:id w:val="1285309512"/>
            <w:comboBox>
              <w:listItem w:displayText="是" w:value="true"/>
              <w:listItem w:displayText="否" w:value="false"/>
            </w:comboBox>
          </w:sdtPr>
          <w:sdtContent>
            <w:tc>
              <w:tcPr>
                <w:tcW w:w="1294" w:type="dxa"/>
                <w:vAlign w:val="center"/>
              </w:tcPr>
              <w:p>
                <w:pPr>
                  <w:jc w:val="center"/>
                  <w:rPr>
                    <w:rFonts w:ascii="宋体" w:hAnsi="宋体"/>
                  </w:rPr>
                </w:pPr>
                <w:r>
                  <w:rPr>
                    <w:rFonts w:ascii="宋体" w:hAnsi="宋体" w:hint="eastAsia"/>
                  </w:rPr>
                  <w:t>否</w:t>
                </w:r>
              </w:p>
            </w:tc>
          </w:sdtContent>
        </w:sdt>
        <w:bookmarkEnd w:id="156"/>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王九红</w:t>
            </w:r>
          </w:p>
        </w:tc>
        <w:tc>
          <w:tcPr>
            <w:tcW w:w="695" w:type="dxa"/>
            <w:vAlign w:val="center"/>
          </w:tcPr>
          <w:p>
            <w:pPr>
              <w:jc w:val="center"/>
              <w:rPr>
                <w:rFonts w:ascii="宋体" w:hAnsi="宋体"/>
              </w:rPr>
            </w:pPr>
            <w:r>
              <w:rPr>
                <w:rFonts w:ascii="宋体" w:hAnsi="宋体" w:hint="eastAsia"/>
              </w:rPr>
              <w:t>否</w:t>
            </w:r>
          </w:p>
        </w:tc>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7</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948930589"/>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刘  健</w:t>
            </w:r>
          </w:p>
        </w:tc>
        <w:sdt>
          <w:sdtPr>
            <w:rPr>
              <w:rFonts w:ascii="宋体" w:hAnsi="宋体" w:hint="eastAsia"/>
              <w:sz w:val="20"/>
              <w:szCs w:val="20"/>
            </w:rPr>
            <w:alias w:val="董事参加董事会的出席情况明细-是否独立董事"/>
            <w:tag w:val="_GBC_8f65cf2d483747a58ee92c8a36ee6375"/>
            <w:id w:val="-1991246686"/>
            <w:comboBox>
              <w:listItem w:displayText="是" w:value="true"/>
              <w:listItem w:displayText="否" w:value="false"/>
            </w:comboBox>
          </w:sdtPr>
          <w:sdtContent>
            <w:tc>
              <w:tcPr>
                <w:tcW w:w="695" w:type="dxa"/>
                <w:vAlign w:val="center"/>
              </w:tcPr>
              <w:p>
                <w:pPr>
                  <w:jc w:val="center"/>
                  <w:rPr>
                    <w:rFonts w:ascii="宋体" w:hAnsi="宋体"/>
                  </w:rPr>
                </w:pPr>
                <w:r>
                  <w:rPr>
                    <w:rFonts w:ascii="宋体" w:hAnsi="宋体" w:hint="eastAsia"/>
                  </w:rPr>
                  <w:t>否</w:t>
                </w:r>
              </w:p>
            </w:tc>
          </w:sdtContent>
        </w:sdt>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8</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1191650908"/>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0</w:t>
            </w:r>
          </w:p>
        </w:tc>
      </w:tr>
      <w:tr>
        <w:trPr>
          <w:trHeight w:val="77"/>
        </w:trPr>
        <w:tc>
          <w:tcPr>
            <w:tcW w:w="1129" w:type="dxa"/>
            <w:vAlign w:val="center"/>
          </w:tcPr>
          <w:p>
            <w:pPr>
              <w:jc w:val="center"/>
              <w:rPr>
                <w:rFonts w:ascii="宋体" w:hAnsi="宋体"/>
              </w:rPr>
            </w:pPr>
            <w:r>
              <w:rPr>
                <w:rFonts w:ascii="宋体" w:hAnsi="宋体" w:hint="eastAsia"/>
              </w:rPr>
              <w:t xml:space="preserve">刘 </w:t>
            </w:r>
            <w:r>
              <w:rPr>
                <w:rFonts w:ascii="宋体" w:hAnsi="宋体"/>
              </w:rPr>
              <w:t xml:space="preserve"> </w:t>
            </w:r>
            <w:r>
              <w:rPr>
                <w:rFonts w:ascii="宋体" w:hAnsi="宋体" w:hint="eastAsia"/>
              </w:rPr>
              <w:t>强</w:t>
            </w:r>
          </w:p>
        </w:tc>
        <w:tc>
          <w:tcPr>
            <w:tcW w:w="695" w:type="dxa"/>
            <w:vAlign w:val="center"/>
          </w:tcPr>
          <w:p>
            <w:pPr>
              <w:jc w:val="center"/>
              <w:rPr>
                <w:rFonts w:ascii="宋体" w:hAnsi="宋体"/>
              </w:rPr>
            </w:pPr>
            <w:r>
              <w:rPr>
                <w:rFonts w:ascii="宋体" w:hAnsi="宋体" w:hint="eastAsia"/>
              </w:rPr>
              <w:t>否</w:t>
            </w:r>
          </w:p>
        </w:tc>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7</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639116610"/>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张海军</w:t>
            </w:r>
          </w:p>
        </w:tc>
        <w:sdt>
          <w:sdtPr>
            <w:rPr>
              <w:rFonts w:ascii="宋体" w:hAnsi="宋体" w:hint="eastAsia"/>
              <w:sz w:val="20"/>
              <w:szCs w:val="20"/>
            </w:rPr>
            <w:alias w:val="董事参加董事会的出席情况明细-是否独立董事"/>
            <w:tag w:val="_GBC_8f65cf2d483747a58ee92c8a36ee6375"/>
            <w:id w:val="485597158"/>
            <w:comboBox>
              <w:listItem w:displayText="是" w:value="true"/>
              <w:listItem w:displayText="否" w:value="false"/>
            </w:comboBox>
          </w:sdtPr>
          <w:sdtContent>
            <w:tc>
              <w:tcPr>
                <w:tcW w:w="695" w:type="dxa"/>
                <w:vAlign w:val="center"/>
              </w:tcPr>
              <w:p>
                <w:pPr>
                  <w:jc w:val="center"/>
                  <w:rPr>
                    <w:rFonts w:ascii="宋体" w:hAnsi="宋体"/>
                  </w:rPr>
                </w:pPr>
                <w:r>
                  <w:rPr>
                    <w:rFonts w:ascii="宋体" w:hAnsi="宋体" w:hint="eastAsia"/>
                  </w:rPr>
                  <w:t>否</w:t>
                </w:r>
              </w:p>
            </w:tc>
          </w:sdtContent>
        </w:sdt>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7</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1691063395"/>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苏</w:t>
            </w:r>
            <w:r>
              <w:rPr>
                <w:rFonts w:ascii="宋体" w:hAnsi="宋体"/>
              </w:rPr>
              <w:t xml:space="preserve">  </w:t>
            </w:r>
            <w:r>
              <w:rPr>
                <w:rFonts w:ascii="宋体" w:hAnsi="宋体" w:hint="eastAsia"/>
              </w:rPr>
              <w:t>力</w:t>
            </w:r>
          </w:p>
        </w:tc>
        <w:tc>
          <w:tcPr>
            <w:tcW w:w="695" w:type="dxa"/>
            <w:vAlign w:val="center"/>
          </w:tcPr>
          <w:p>
            <w:pPr>
              <w:jc w:val="center"/>
              <w:rPr>
                <w:rFonts w:ascii="宋体" w:hAnsi="宋体"/>
              </w:rPr>
            </w:pPr>
            <w:r>
              <w:rPr>
                <w:rFonts w:ascii="宋体" w:hAnsi="宋体" w:hint="eastAsia"/>
              </w:rPr>
              <w:t>否</w:t>
            </w:r>
          </w:p>
        </w:tc>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7</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908374995"/>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黄霄龙</w:t>
            </w:r>
          </w:p>
        </w:tc>
        <w:sdt>
          <w:sdtPr>
            <w:rPr>
              <w:rFonts w:ascii="宋体" w:hAnsi="宋体" w:hint="eastAsia"/>
              <w:sz w:val="20"/>
              <w:szCs w:val="20"/>
            </w:rPr>
            <w:alias w:val="董事参加董事会的出席情况明细-是否独立董事"/>
            <w:tag w:val="_GBC_8f65cf2d483747a58ee92c8a36ee6375"/>
            <w:id w:val="-1505426475"/>
            <w:comboBox>
              <w:listItem w:displayText="是" w:value="true"/>
              <w:listItem w:displayText="否" w:value="false"/>
            </w:comboBox>
          </w:sdtPr>
          <w:sdtContent>
            <w:tc>
              <w:tcPr>
                <w:tcW w:w="695" w:type="dxa"/>
                <w:vAlign w:val="center"/>
              </w:tcPr>
              <w:p>
                <w:pPr>
                  <w:jc w:val="center"/>
                  <w:rPr>
                    <w:rFonts w:ascii="宋体" w:hAnsi="宋体"/>
                  </w:rPr>
                </w:pPr>
                <w:r>
                  <w:rPr>
                    <w:rFonts w:ascii="宋体" w:hAnsi="宋体" w:hint="eastAsia"/>
                  </w:rPr>
                  <w:t>否</w:t>
                </w:r>
              </w:p>
            </w:tc>
          </w:sdtContent>
        </w:sdt>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7</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1421518554"/>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朱利民</w:t>
            </w:r>
          </w:p>
        </w:tc>
        <w:tc>
          <w:tcPr>
            <w:tcW w:w="695" w:type="dxa"/>
            <w:vAlign w:val="center"/>
          </w:tcPr>
          <w:p>
            <w:pPr>
              <w:jc w:val="center"/>
              <w:rPr>
                <w:rFonts w:ascii="宋体" w:hAnsi="宋体"/>
              </w:rPr>
            </w:pPr>
            <w:r>
              <w:rPr>
                <w:rFonts w:ascii="宋体" w:hAnsi="宋体" w:hint="eastAsia"/>
              </w:rPr>
              <w:t>是</w:t>
            </w:r>
          </w:p>
        </w:tc>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7</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1572550454"/>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高井祥</w:t>
            </w:r>
          </w:p>
        </w:tc>
        <w:tc>
          <w:tcPr>
            <w:tcW w:w="695" w:type="dxa"/>
          </w:tcPr>
          <w:p>
            <w:pPr>
              <w:jc w:val="center"/>
              <w:rPr>
                <w:rFonts w:ascii="宋体" w:hAnsi="宋体"/>
              </w:rPr>
            </w:pPr>
            <w:r>
              <w:rPr>
                <w:rFonts w:ascii="宋体" w:hAnsi="宋体" w:hint="eastAsia"/>
              </w:rPr>
              <w:t>是</w:t>
            </w:r>
          </w:p>
        </w:tc>
        <w:tc>
          <w:tcPr>
            <w:tcW w:w="1098" w:type="dxa"/>
          </w:tcPr>
          <w:p>
            <w:pPr>
              <w:jc w:val="center"/>
              <w:rPr>
                <w:rFonts w:ascii="宋体" w:hAnsi="宋体"/>
              </w:rPr>
            </w:pPr>
            <w:r>
              <w:rPr>
                <w:rFonts w:ascii="宋体" w:hAnsi="宋体" w:hint="eastAsia"/>
              </w:rPr>
              <w:t>4</w:t>
            </w:r>
          </w:p>
        </w:tc>
        <w:tc>
          <w:tcPr>
            <w:tcW w:w="852" w:type="dxa"/>
            <w:vAlign w:val="center"/>
          </w:tcPr>
          <w:p>
            <w:pPr>
              <w:jc w:val="center"/>
              <w:rPr>
                <w:rFonts w:ascii="宋体" w:hAnsi="宋体"/>
              </w:rPr>
            </w:pPr>
            <w:r>
              <w:rPr>
                <w:rFonts w:ascii="宋体" w:hAnsi="宋体" w:hint="eastAsia"/>
              </w:rPr>
              <w:t>4</w:t>
            </w:r>
          </w:p>
        </w:tc>
        <w:tc>
          <w:tcPr>
            <w:tcW w:w="968" w:type="dxa"/>
            <w:vAlign w:val="center"/>
          </w:tcPr>
          <w:p>
            <w:pPr>
              <w:jc w:val="center"/>
              <w:rPr>
                <w:rFonts w:ascii="宋体" w:hAnsi="宋体"/>
              </w:rPr>
            </w:pPr>
            <w:r>
              <w:rPr>
                <w:rFonts w:ascii="宋体" w:hAnsi="宋体" w:hint="eastAsia"/>
              </w:rPr>
              <w:t>3</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1903406639"/>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胡家栋</w:t>
            </w:r>
          </w:p>
        </w:tc>
        <w:tc>
          <w:tcPr>
            <w:tcW w:w="695" w:type="dxa"/>
          </w:tcPr>
          <w:p>
            <w:pPr>
              <w:jc w:val="center"/>
              <w:rPr>
                <w:rFonts w:ascii="宋体" w:hAnsi="宋体"/>
              </w:rPr>
            </w:pPr>
            <w:r>
              <w:rPr>
                <w:rFonts w:ascii="宋体" w:hAnsi="宋体" w:hint="eastAsia"/>
              </w:rPr>
              <w:t>是</w:t>
            </w:r>
          </w:p>
        </w:tc>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7</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1237397036"/>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1</w:t>
            </w:r>
          </w:p>
        </w:tc>
      </w:tr>
      <w:tr>
        <w:trPr>
          <w:trHeight w:val="77"/>
        </w:trPr>
        <w:tc>
          <w:tcPr>
            <w:tcW w:w="1129" w:type="dxa"/>
            <w:vAlign w:val="center"/>
          </w:tcPr>
          <w:p>
            <w:pPr>
              <w:jc w:val="center"/>
              <w:rPr>
                <w:rFonts w:ascii="宋体" w:hAnsi="宋体"/>
              </w:rPr>
            </w:pPr>
            <w:r>
              <w:rPr>
                <w:rFonts w:ascii="宋体" w:hAnsi="宋体" w:hint="eastAsia"/>
              </w:rPr>
              <w:t>朱  睿</w:t>
            </w:r>
          </w:p>
        </w:tc>
        <w:sdt>
          <w:sdtPr>
            <w:rPr>
              <w:rFonts w:ascii="宋体" w:hAnsi="宋体" w:hint="eastAsia"/>
              <w:sz w:val="20"/>
              <w:szCs w:val="20"/>
            </w:rPr>
            <w:alias w:val="董事参加董事会的出席情况明细-是否独立董事"/>
            <w:tag w:val="_GBC_8f65cf2d483747a58ee92c8a36ee6375"/>
            <w:id w:val="711087034"/>
            <w:comboBox>
              <w:listItem w:displayText="是" w:value="true"/>
              <w:listItem w:displayText="否" w:value="false"/>
            </w:comboBox>
          </w:sdtPr>
          <w:sdtContent>
            <w:tc>
              <w:tcPr>
                <w:tcW w:w="695" w:type="dxa"/>
                <w:vAlign w:val="center"/>
              </w:tcPr>
              <w:p>
                <w:pPr>
                  <w:jc w:val="center"/>
                  <w:rPr>
                    <w:rFonts w:ascii="宋体" w:hAnsi="宋体"/>
                  </w:rPr>
                </w:pPr>
                <w:r>
                  <w:rPr>
                    <w:rFonts w:ascii="宋体" w:hAnsi="宋体" w:hint="eastAsia"/>
                  </w:rPr>
                  <w:t>是</w:t>
                </w:r>
              </w:p>
            </w:tc>
          </w:sdtContent>
        </w:sdt>
        <w:tc>
          <w:tcPr>
            <w:tcW w:w="1098" w:type="dxa"/>
          </w:tcPr>
          <w:p>
            <w:pPr>
              <w:jc w:val="center"/>
              <w:rPr>
                <w:rFonts w:ascii="宋体" w:hAnsi="宋体"/>
              </w:rPr>
            </w:pPr>
            <w:r>
              <w:rPr>
                <w:rFonts w:ascii="宋体" w:hAnsi="宋体" w:hint="eastAsia"/>
              </w:rPr>
              <w:t>8</w:t>
            </w:r>
          </w:p>
        </w:tc>
        <w:tc>
          <w:tcPr>
            <w:tcW w:w="852" w:type="dxa"/>
          </w:tcPr>
          <w:p>
            <w:pPr>
              <w:jc w:val="center"/>
              <w:rPr>
                <w:rFonts w:ascii="宋体" w:hAnsi="宋体"/>
              </w:rPr>
            </w:pPr>
            <w:r>
              <w:rPr>
                <w:rFonts w:ascii="宋体" w:hAnsi="宋体" w:hint="eastAsia"/>
              </w:rPr>
              <w:t>8</w:t>
            </w:r>
          </w:p>
        </w:tc>
        <w:tc>
          <w:tcPr>
            <w:tcW w:w="968" w:type="dxa"/>
          </w:tcPr>
          <w:p>
            <w:pPr>
              <w:jc w:val="center"/>
              <w:rPr>
                <w:rFonts w:ascii="宋体" w:hAnsi="宋体"/>
              </w:rPr>
            </w:pPr>
            <w:r>
              <w:rPr>
                <w:rFonts w:ascii="宋体" w:hAnsi="宋体" w:hint="eastAsia"/>
              </w:rPr>
              <w:t>8</w:t>
            </w:r>
          </w:p>
        </w:tc>
        <w:tc>
          <w:tcPr>
            <w:tcW w:w="904" w:type="dxa"/>
          </w:tcPr>
          <w:p>
            <w:pPr>
              <w:jc w:val="center"/>
              <w:rPr>
                <w:rFonts w:ascii="宋体" w:hAnsi="宋体"/>
              </w:rPr>
            </w:pPr>
            <w:r>
              <w:rPr>
                <w:rFonts w:ascii="宋体" w:hAnsi="宋体" w:hint="eastAsia"/>
              </w:rPr>
              <w:t>0</w:t>
            </w:r>
          </w:p>
        </w:tc>
        <w:tc>
          <w:tcPr>
            <w:tcW w:w="845" w:type="dxa"/>
          </w:tcPr>
          <w:p>
            <w:pPr>
              <w:jc w:val="center"/>
              <w:rPr>
                <w:rFonts w:ascii="宋体" w:hAnsi="宋体"/>
              </w:rPr>
            </w:pPr>
            <w:r>
              <w:rPr>
                <w:rFonts w:ascii="宋体" w:hAnsi="宋体" w:hint="eastAsia"/>
              </w:rPr>
              <w:t>0</w:t>
            </w:r>
          </w:p>
        </w:tc>
        <w:sdt>
          <w:sdtPr>
            <w:rPr>
              <w:rFonts w:ascii="宋体" w:hAnsi="宋体" w:hint="eastAsia"/>
              <w:sz w:val="20"/>
              <w:szCs w:val="20"/>
            </w:rPr>
            <w:alias w:val="董事参加董事会的出席情况明细-是否连续两次未亲自参加会议"/>
            <w:tag w:val="_GBC_4748dc7c4f9b495f9d97d5c22a5e08e6"/>
            <w:id w:val="1635993731"/>
            <w:comboBox>
              <w:listItem w:displayText="是" w:value="true"/>
              <w:listItem w:displayText="否" w:value="false"/>
            </w:comboBox>
          </w:sdtPr>
          <w:sdtContent>
            <w:tc>
              <w:tcPr>
                <w:tcW w:w="1294" w:type="dxa"/>
              </w:tcPr>
              <w:p>
                <w:pPr>
                  <w:jc w:val="center"/>
                  <w:rPr>
                    <w:rFonts w:ascii="宋体" w:hAnsi="宋体"/>
                  </w:rPr>
                </w:pPr>
                <w:r>
                  <w:rPr>
                    <w:rFonts w:ascii="宋体" w:hAnsi="宋体" w:hint="eastAsia"/>
                  </w:rPr>
                  <w:t>否</w:t>
                </w:r>
              </w:p>
            </w:tc>
          </w:sdtContent>
        </w:sdt>
        <w:tc>
          <w:tcPr>
            <w:tcW w:w="1261" w:type="dxa"/>
            <w:vAlign w:val="center"/>
          </w:tcPr>
          <w:p>
            <w:pPr>
              <w:jc w:val="center"/>
              <w:rPr>
                <w:rFonts w:ascii="宋体" w:hAnsi="宋体"/>
              </w:rPr>
            </w:pPr>
            <w:r>
              <w:rPr>
                <w:rFonts w:ascii="宋体" w:hAnsi="宋体" w:hint="eastAsia"/>
              </w:rPr>
              <w:t>0</w:t>
            </w:r>
          </w:p>
        </w:tc>
      </w:tr>
      <w:tr>
        <w:trPr>
          <w:trHeight w:val="77"/>
        </w:trPr>
        <w:tc>
          <w:tcPr>
            <w:tcW w:w="1129" w:type="dxa"/>
            <w:vAlign w:val="center"/>
          </w:tcPr>
          <w:p>
            <w:pPr>
              <w:jc w:val="center"/>
              <w:rPr>
                <w:rFonts w:ascii="宋体" w:hAnsi="宋体"/>
              </w:rPr>
            </w:pPr>
            <w:r>
              <w:rPr>
                <w:rFonts w:ascii="宋体" w:hAnsi="宋体" w:hint="eastAsia"/>
              </w:rPr>
              <w:t>彭苏萍</w:t>
            </w:r>
          </w:p>
          <w:p>
            <w:pPr>
              <w:jc w:val="center"/>
              <w:rPr>
                <w:rFonts w:ascii="宋体" w:hAnsi="宋体"/>
              </w:rPr>
            </w:pPr>
            <w:r>
              <w:rPr>
                <w:rFonts w:ascii="宋体" w:hAnsi="宋体" w:hint="eastAsia"/>
              </w:rPr>
              <w:t>（离任）</w:t>
            </w:r>
          </w:p>
        </w:tc>
        <w:tc>
          <w:tcPr>
            <w:tcW w:w="695" w:type="dxa"/>
            <w:vAlign w:val="center"/>
          </w:tcPr>
          <w:p>
            <w:pPr>
              <w:jc w:val="center"/>
              <w:rPr>
                <w:rFonts w:ascii="宋体" w:hAnsi="宋体"/>
              </w:rPr>
            </w:pPr>
            <w:r>
              <w:rPr>
                <w:rFonts w:ascii="宋体" w:hAnsi="宋体" w:hint="eastAsia"/>
              </w:rPr>
              <w:t>是</w:t>
            </w:r>
          </w:p>
        </w:tc>
        <w:tc>
          <w:tcPr>
            <w:tcW w:w="1098" w:type="dxa"/>
            <w:vAlign w:val="center"/>
          </w:tcPr>
          <w:p>
            <w:pPr>
              <w:jc w:val="center"/>
              <w:rPr>
                <w:rFonts w:ascii="宋体" w:hAnsi="宋体"/>
              </w:rPr>
            </w:pPr>
            <w:r>
              <w:rPr>
                <w:rFonts w:ascii="宋体" w:hAnsi="宋体" w:hint="eastAsia"/>
              </w:rPr>
              <w:t>4</w:t>
            </w:r>
          </w:p>
        </w:tc>
        <w:tc>
          <w:tcPr>
            <w:tcW w:w="852" w:type="dxa"/>
            <w:vAlign w:val="center"/>
          </w:tcPr>
          <w:p>
            <w:pPr>
              <w:jc w:val="center"/>
              <w:rPr>
                <w:rFonts w:ascii="宋体" w:hAnsi="宋体"/>
              </w:rPr>
            </w:pPr>
            <w:r>
              <w:rPr>
                <w:rFonts w:ascii="宋体" w:hAnsi="宋体" w:hint="eastAsia"/>
              </w:rPr>
              <w:t>4</w:t>
            </w:r>
          </w:p>
        </w:tc>
        <w:tc>
          <w:tcPr>
            <w:tcW w:w="968" w:type="dxa"/>
            <w:vAlign w:val="center"/>
          </w:tcPr>
          <w:p>
            <w:pPr>
              <w:jc w:val="center"/>
              <w:rPr>
                <w:rFonts w:ascii="宋体" w:hAnsi="宋体"/>
              </w:rPr>
            </w:pPr>
            <w:r>
              <w:rPr>
                <w:rFonts w:ascii="宋体" w:hAnsi="宋体" w:hint="eastAsia"/>
              </w:rPr>
              <w:t>4</w:t>
            </w:r>
          </w:p>
        </w:tc>
        <w:tc>
          <w:tcPr>
            <w:tcW w:w="904" w:type="dxa"/>
            <w:vAlign w:val="center"/>
          </w:tcPr>
          <w:p>
            <w:pPr>
              <w:jc w:val="center"/>
              <w:rPr>
                <w:rFonts w:ascii="宋体" w:hAnsi="宋体"/>
              </w:rPr>
            </w:pPr>
            <w:r>
              <w:rPr>
                <w:rFonts w:ascii="宋体" w:hAnsi="宋体" w:hint="eastAsia"/>
              </w:rPr>
              <w:t>0</w:t>
            </w:r>
          </w:p>
        </w:tc>
        <w:tc>
          <w:tcPr>
            <w:tcW w:w="845" w:type="dxa"/>
            <w:vAlign w:val="center"/>
          </w:tcPr>
          <w:p>
            <w:pPr>
              <w:jc w:val="center"/>
              <w:rPr>
                <w:rFonts w:ascii="宋体" w:hAnsi="宋体"/>
              </w:rPr>
            </w:pPr>
            <w:r>
              <w:rPr>
                <w:rFonts w:ascii="宋体" w:hAnsi="宋体" w:hint="eastAsia"/>
              </w:rPr>
              <w:t>0</w:t>
            </w:r>
          </w:p>
        </w:tc>
        <w:tc>
          <w:tcPr>
            <w:tcW w:w="1294" w:type="dxa"/>
            <w:vAlign w:val="center"/>
          </w:tcPr>
          <w:p>
            <w:pPr>
              <w:jc w:val="center"/>
              <w:rPr>
                <w:rFonts w:ascii="宋体" w:hAnsi="宋体"/>
              </w:rPr>
            </w:pPr>
            <w:r>
              <w:rPr>
                <w:rFonts w:ascii="宋体" w:hAnsi="宋体" w:hint="eastAsia"/>
              </w:rPr>
              <w:t>否</w:t>
            </w:r>
          </w:p>
        </w:tc>
        <w:tc>
          <w:tcPr>
            <w:tcW w:w="1261" w:type="dxa"/>
            <w:vAlign w:val="center"/>
          </w:tcPr>
          <w:p>
            <w:pPr>
              <w:jc w:val="center"/>
              <w:rPr>
                <w:rFonts w:ascii="宋体" w:hAnsi="宋体"/>
              </w:rPr>
            </w:pPr>
            <w:r>
              <w:rPr>
                <w:rFonts w:ascii="宋体" w:hAnsi="宋体" w:hint="eastAsia"/>
              </w:rPr>
              <w:t>0</w:t>
            </w:r>
          </w:p>
        </w:tc>
      </w:tr>
    </w:tbl>
    <w:p>
      <w:pPr>
        <w:pStyle w:val="Style49"/>
      </w:pPr>
    </w:p>
    <w:p>
      <w:pPr>
        <w:rPr>
          <w:rFonts w:ascii="宋体" w:hAnsi="宋体"/>
        </w:rPr>
      </w:pPr>
      <w:r>
        <w:rPr>
          <w:rFonts w:ascii="宋体" w:hAnsi="宋体"/>
        </w:rPr>
        <w:t>连续两次未亲自出席董事会会议的说明</w:t>
      </w:r>
    </w:p>
    <w:sdt>
      <w:sdtPr>
        <w:rPr>
          <w:rFonts w:ascii="宋体" w:hAnsi="宋体"/>
        </w:rPr>
        <w:alias w:val="是否适用：连续两次未亲自出席董事会会议的说明[双击切换]"/>
        <w:tag w:val="_GBC_866534c9760844d1a6f6fa69c39ae52d"/>
        <w:id w:val="659273446"/>
        <w:placeholder>
          <w:docPart w:val="GBC22222222222222222222222222222"/>
        </w:placeholder>
      </w:sdtPr>
      <w:sdtContent>
        <w:p>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ascii="宋体" w:hAnsi="宋体"/>
        </w:rPr>
      </w:pPr>
    </w:p>
    <w:tbl>
      <w:tblPr>
        <w:tblStyle w:val="g7"/>
        <w:tblW w:w="0" w:type="auto"/>
        <w:tblLayout w:type="fixed"/>
        <w:tblLook w:val="04A0" w:firstRow="1" w:lastRow="0" w:firstColumn="1" w:lastColumn="0" w:noHBand="0" w:noVBand="1"/>
      </w:tblPr>
      <w:tblGrid>
        <w:gridCol w:w="4524"/>
        <w:gridCol w:w="4525"/>
      </w:tblGrid>
      <w:tr>
        <w:sdt>
          <w:sdtPr>
            <w:rPr>
              <w:rFonts w:ascii="宋体" w:hAnsi="宋体"/>
              <w:sz w:val="20"/>
              <w:szCs w:val="20"/>
            </w:rPr>
            <w:tag w:val="_PLD_0fc68bf164f04edda97a907df4cc747d"/>
            <w:id w:val="74709655"/>
          </w:sdtPr>
          <w:sdtContent>
            <w:tc>
              <w:tcPr>
                <w:tcW w:w="4524" w:type="dxa"/>
                <w:vAlign w:val="center"/>
              </w:tcPr>
              <w:p>
                <w:pPr>
                  <w:rPr>
                    <w:rFonts w:ascii="宋体" w:hAnsi="宋体"/>
                  </w:rPr>
                </w:pPr>
                <w:r>
                  <w:rPr>
                    <w:rFonts w:ascii="宋体" w:hAnsi="宋体"/>
                  </w:rPr>
                  <w:t>年内召开董事会会议次数</w:t>
                </w:r>
              </w:p>
            </w:tc>
          </w:sdtContent>
        </w:sdt>
        <w:sdt>
          <w:sdtPr>
            <w:rPr>
              <w:rFonts w:ascii="宋体" w:hAnsi="宋体" w:hint="eastAsia"/>
              <w:sz w:val="20"/>
              <w:szCs w:val="20"/>
            </w:rPr>
            <w:alias w:val="报告期内召开董事会会议次数"/>
            <w:tag w:val="_GBC_cabd294ab90e40d0afb59e61df002667"/>
            <w:id w:val="-1260362327"/>
          </w:sdtPr>
          <w:sdtContent>
            <w:tc>
              <w:tcPr>
                <w:tcW w:w="4525" w:type="dxa"/>
                <w:vAlign w:val="center"/>
              </w:tcPr>
              <w:p>
                <w:pPr>
                  <w:jc w:val="right"/>
                  <w:rPr>
                    <w:rFonts w:ascii="宋体" w:hAnsi="宋体"/>
                  </w:rPr>
                </w:pPr>
                <w:r>
                  <w:rPr>
                    <w:rFonts w:ascii="宋体" w:hAnsi="宋体" w:hint="eastAsia"/>
                  </w:rPr>
                  <w:t>8</w:t>
                </w:r>
              </w:p>
            </w:tc>
          </w:sdtContent>
        </w:sdt>
      </w:tr>
      <w:tr>
        <w:tc>
          <w:tcPr>
            <w:tcW w:w="4524" w:type="dxa"/>
            <w:vAlign w:val="center"/>
          </w:tcPr>
          <w:p>
            <w:pPr>
              <w:rPr>
                <w:rFonts w:ascii="宋体" w:hAnsi="宋体"/>
              </w:rPr>
            </w:pPr>
            <w:r>
              <w:rPr>
                <w:rFonts w:ascii="宋体" w:hAnsi="宋体"/>
              </w:rPr>
              <w:t>其中：现场会议次数</w:t>
            </w:r>
          </w:p>
        </w:tc>
        <w:tc>
          <w:tcPr>
            <w:tcW w:w="4525" w:type="dxa"/>
            <w:vAlign w:val="center"/>
          </w:tcPr>
          <w:p>
            <w:pPr>
              <w:jc w:val="right"/>
              <w:rPr>
                <w:rFonts w:ascii="宋体" w:hAnsi="宋体"/>
              </w:rPr>
            </w:pPr>
            <w:r>
              <w:rPr>
                <w:rFonts w:ascii="宋体" w:hAnsi="宋体" w:hint="eastAsia"/>
              </w:rPr>
              <w:t>1</w:t>
            </w:r>
          </w:p>
        </w:tc>
      </w:tr>
      <w:tr>
        <w:tc>
          <w:tcPr>
            <w:tcW w:w="4524" w:type="dxa"/>
            <w:vAlign w:val="center"/>
          </w:tcPr>
          <w:p>
            <w:pPr>
              <w:rPr>
                <w:rFonts w:ascii="宋体" w:hAnsi="宋体"/>
              </w:rPr>
            </w:pPr>
            <w:r>
              <w:rPr>
                <w:rFonts w:ascii="宋体" w:hAnsi="宋体"/>
              </w:rPr>
              <w:t>通讯方式召开会议次数</w:t>
            </w:r>
          </w:p>
        </w:tc>
        <w:tc>
          <w:tcPr>
            <w:tcW w:w="4525" w:type="dxa"/>
            <w:vAlign w:val="center"/>
          </w:tcPr>
          <w:p>
            <w:pPr>
              <w:jc w:val="right"/>
              <w:rPr>
                <w:rFonts w:ascii="宋体" w:hAnsi="宋体"/>
              </w:rPr>
            </w:pPr>
            <w:r>
              <w:rPr>
                <w:rFonts w:ascii="宋体" w:hAnsi="宋体" w:hint="eastAsia"/>
              </w:rPr>
              <w:t>7</w:t>
            </w:r>
          </w:p>
        </w:tc>
      </w:tr>
      <w:tr>
        <w:tc>
          <w:tcPr>
            <w:tcW w:w="4524" w:type="dxa"/>
            <w:vAlign w:val="center"/>
          </w:tcPr>
          <w:p>
            <w:pPr>
              <w:rPr>
                <w:rFonts w:ascii="宋体" w:hAnsi="宋体"/>
              </w:rPr>
            </w:pPr>
            <w:r>
              <w:rPr>
                <w:rFonts w:ascii="宋体" w:hAnsi="宋体"/>
              </w:rPr>
              <w:t>现场结合通讯方式召开会议次数</w:t>
            </w:r>
          </w:p>
        </w:tc>
        <w:tc>
          <w:tcPr>
            <w:tcW w:w="4525" w:type="dxa"/>
            <w:vAlign w:val="center"/>
          </w:tcPr>
          <w:p>
            <w:pPr>
              <w:jc w:val="right"/>
              <w:rPr>
                <w:rFonts w:ascii="宋体" w:hAnsi="宋体"/>
              </w:rPr>
            </w:pPr>
            <w:r>
              <w:rPr>
                <w:rFonts w:ascii="宋体" w:hAnsi="宋体" w:hint="eastAsia"/>
              </w:rPr>
              <w:t>1</w:t>
            </w:r>
          </w:p>
        </w:tc>
      </w:tr>
    </w:tbl>
    <w:p>
      <w:pPr>
        <w:pStyle w:val="Style49"/>
      </w:pPr>
    </w:p>
    <w:p>
      <w:pPr>
        <w:pStyle w:val="Style52"/>
        <w:numPr>
          <w:ilvl w:val="0"/>
          <w:numId w:val="27"/>
        </w:numPr>
      </w:pPr>
      <w:r>
        <w:rPr>
          <w:szCs w:val="21"/>
        </w:rPr>
        <w:t>董事对公司有关事项提出异议的情况</w:t>
      </w:r>
    </w:p>
    <w:sdt>
      <w:sdtPr>
        <w:alias w:val="是否适用：独立董事对公司有关事项提出异议的情况[双击切换]"/>
        <w:tag w:val="_GBC_1369df39a53747ff843be7f892cb0cbd"/>
        <w:id w:val="1421292505"/>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0"/>
          <w:numId w:val="27"/>
        </w:numPr>
      </w:pPr>
      <w:r>
        <w:rPr>
          <w:szCs w:val="21"/>
        </w:rPr>
        <w:t>其他</w:t>
      </w:r>
    </w:p>
    <w:sdt>
      <w:sdtPr>
        <w:rPr>
          <w:rFonts w:hint="eastAsia"/>
        </w:rPr>
        <w:alias w:val="是否适用：其他董事履行职责情况说明[双击切换]"/>
        <w:tag w:val="_GBC_ba1a70dda14046559f72c5b524ca1125"/>
        <w:id w:val="1748681529"/>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1"/>
        <w:numPr>
          <w:ilvl w:val="0"/>
          <w:numId w:val="24"/>
        </w:numPr>
      </w:pPr>
      <w:r>
        <w:rPr>
          <w:rFonts w:hint="eastAsia"/>
        </w:rPr>
        <w:t>董事会下设专门委员会情况</w:t>
      </w:r>
    </w:p>
    <w:sdt>
      <w:sdtPr>
        <w:rPr>
          <w:rFonts w:hint="eastAsia"/>
        </w:rPr>
        <w:alias w:val="是否适用：董事会下设专门委员会情况[双击切换]"/>
        <w:tag w:val="_GBC_88389a2d52e44644a2332ba32500fe69"/>
        <w:id w:val="-1013452799"/>
        <w:placeholder>
          <w:docPart w:val="GBC22222222222222222222222222222"/>
        </w:placeholder>
      </w:sdtPr>
      <w:sdtEndPr>
        <w:rPr>
          <w:rFonts w:asciiTheme="minorEastAsia" w:eastAsiaTheme="minorEastAsia" w:hAnsiTheme="minorEastAsia"/>
        </w:rPr>
      </w:sdtEndPr>
      <w:sdtContent>
        <w:p>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p>
          <w:pPr>
            <w:ind w:firstLineChars="200" w:firstLine="420"/>
            <w:jc w:val="both"/>
            <w:rPr>
              <w:rFonts w:asciiTheme="minorEastAsia" w:eastAsiaTheme="minorEastAsia" w:hAnsiTheme="minorEastAsia"/>
            </w:rPr>
          </w:pPr>
          <w:r>
            <w:rPr>
              <w:rFonts w:ascii="宋体" w:hAnsi="宋体" w:hint="eastAsia"/>
            </w:rPr>
            <w:t>公司未设立专门的企业管治委员会，企业管治职能由董事会负责，主要包括：（1）制定及检讨公司的企业管治政策及常规；（2）检讨及监察董事及高级管理人员的培训及持续专业发展；（3）检讨及监察公司在遵守法律及监管规定方面的政策及常规；（4）制定、检讨及监察雇员及董事的操守准则及合规手册；及（5）检讨公司遵守证券上市地《企业管治守则》的情况及在《企业管治报告》内的披露。</w:t>
          </w:r>
        </w:p>
      </w:sdtContent>
    </w:sdt>
    <w:p>
      <w:pPr>
        <w:pStyle w:val="Style52"/>
        <w:numPr>
          <w:ilvl w:val="0"/>
          <w:numId w:val="28"/>
        </w:numPr>
      </w:pPr>
      <w:r>
        <w:rPr>
          <w:rFonts w:hint="eastAsia"/>
        </w:rPr>
        <w:lastRenderedPageBreak/>
        <w:t>董事会下设专门委员会成员情况</w:t>
      </w:r>
    </w:p>
    <w:tbl>
      <w:tblPr>
        <w:tblStyle w:val="Style63"/>
        <w:tblW w:w="9051" w:type="dxa"/>
        <w:jc w:val="center"/>
        <w:tblInd w:w="0" w:type="dxa"/>
        <w:tblLayout w:type="fixed"/>
        <w:tblLook w:val="04A0" w:firstRow="1" w:lastRow="0" w:firstColumn="1" w:lastColumn="0" w:noHBand="0" w:noVBand="1"/>
      </w:tblPr>
      <w:tblGrid>
        <w:gridCol w:w="2586"/>
        <w:gridCol w:w="6465"/>
      </w:tblGrid>
      <w:tr>
        <w:trPr>
          <w:trHeight w:val="270"/>
          <w:tblHeader/>
          <w:jc w:val="center"/>
        </w:trPr>
        <w:sdt>
          <w:sdtPr>
            <w:tag w:val="_PLD_d469fc77cfdc44b0b043e0b1ab52e604"/>
            <w:id w:val="-941692620"/>
          </w:sdtPr>
          <w:sdtContent>
            <w:tc>
              <w:tcPr>
                <w:tcW w:w="2586"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 w:val="22"/>
                  </w:rPr>
                </w:pPr>
                <w:r>
                  <w:rPr>
                    <w:rFonts w:hint="eastAsia"/>
                    <w:color w:val="000000"/>
                    <w:sz w:val="22"/>
                  </w:rPr>
                  <w:t>专门委员会类别</w:t>
                </w:r>
              </w:p>
            </w:tc>
          </w:sdtContent>
        </w:sdt>
        <w:sdt>
          <w:sdtPr>
            <w:tag w:val="_PLD_32d037161ea94d0eb907c4e766b75044"/>
            <w:id w:val="-757217393"/>
          </w:sdtPr>
          <w:sdtContent>
            <w:tc>
              <w:tcPr>
                <w:tcW w:w="6465" w:type="dxa"/>
                <w:tcBorders>
                  <w:top w:val="single" w:sz="4" w:space="0" w:color="auto"/>
                  <w:left w:val="nil"/>
                  <w:bottom w:val="single" w:sz="4" w:space="0" w:color="auto"/>
                  <w:right w:val="single" w:sz="4" w:space="0" w:color="auto"/>
                </w:tcBorders>
                <w:noWrap/>
                <w:vAlign w:val="center"/>
              </w:tcPr>
              <w:p>
                <w:pPr>
                  <w:jc w:val="center"/>
                  <w:rPr>
                    <w:color w:val="000000"/>
                    <w:sz w:val="22"/>
                  </w:rPr>
                </w:pPr>
                <w:r>
                  <w:rPr>
                    <w:rFonts w:hint="eastAsia"/>
                    <w:color w:val="000000"/>
                    <w:sz w:val="22"/>
                  </w:rPr>
                  <w:t>成员姓名</w:t>
                </w:r>
              </w:p>
            </w:tc>
          </w:sdtContent>
        </w:sdt>
      </w:tr>
      <w:tr>
        <w:trPr>
          <w:trHeight w:val="270"/>
          <w:jc w:val="center"/>
        </w:trPr>
        <w:tc>
          <w:tcPr>
            <w:tcW w:w="2586" w:type="dxa"/>
            <w:tcBorders>
              <w:top w:val="nil"/>
              <w:left w:val="single" w:sz="4" w:space="0" w:color="auto"/>
              <w:bottom w:val="single" w:sz="4" w:space="0" w:color="auto"/>
              <w:right w:val="single" w:sz="4" w:space="0" w:color="auto"/>
            </w:tcBorders>
            <w:noWrap/>
            <w:vAlign w:val="center"/>
          </w:tcPr>
          <w:p>
            <w:pPr>
              <w:jc w:val="cente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noWrap/>
            <w:vAlign w:val="center"/>
          </w:tcPr>
          <w:p>
            <w:pPr>
              <w:jc w:val="both"/>
              <w:rPr>
                <w:sz w:val="22"/>
              </w:rPr>
            </w:pPr>
            <w:r>
              <w:rPr>
                <w:rFonts w:hint="eastAsia"/>
                <w:sz w:val="22"/>
              </w:rPr>
              <w:t>胡家栋、朱利民、朱睿</w:t>
            </w:r>
          </w:p>
        </w:tc>
      </w:tr>
      <w:tr>
        <w:trPr>
          <w:trHeight w:val="270"/>
          <w:jc w:val="center"/>
        </w:trPr>
        <w:tc>
          <w:tcPr>
            <w:tcW w:w="2586" w:type="dxa"/>
            <w:tcBorders>
              <w:top w:val="nil"/>
              <w:left w:val="single" w:sz="4" w:space="0" w:color="auto"/>
              <w:bottom w:val="single" w:sz="4" w:space="0" w:color="auto"/>
              <w:right w:val="single" w:sz="4" w:space="0" w:color="auto"/>
            </w:tcBorders>
            <w:noWrap/>
            <w:vAlign w:val="center"/>
          </w:tcPr>
          <w:p>
            <w:pPr>
              <w:jc w:val="center"/>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noWrap/>
            <w:vAlign w:val="center"/>
          </w:tcPr>
          <w:p>
            <w:pPr>
              <w:jc w:val="both"/>
              <w:rPr>
                <w:sz w:val="22"/>
              </w:rPr>
            </w:pPr>
            <w:r>
              <w:rPr>
                <w:rFonts w:hint="eastAsia"/>
                <w:sz w:val="22"/>
              </w:rPr>
              <w:t>高井祥、李伟、朱睿</w:t>
            </w:r>
          </w:p>
        </w:tc>
      </w:tr>
      <w:tr>
        <w:trPr>
          <w:trHeight w:val="270"/>
          <w:jc w:val="center"/>
        </w:trPr>
        <w:tc>
          <w:tcPr>
            <w:tcW w:w="2586" w:type="dxa"/>
            <w:tcBorders>
              <w:top w:val="nil"/>
              <w:left w:val="single" w:sz="4" w:space="0" w:color="auto"/>
              <w:bottom w:val="single" w:sz="4" w:space="0" w:color="auto"/>
              <w:right w:val="single" w:sz="4" w:space="0" w:color="auto"/>
            </w:tcBorders>
            <w:noWrap/>
            <w:vAlign w:val="center"/>
          </w:tcPr>
          <w:p>
            <w:pPr>
              <w:jc w:val="center"/>
              <w:rPr>
                <w:color w:val="000000"/>
                <w:sz w:val="22"/>
              </w:rPr>
            </w:pPr>
            <w:r>
              <w:rPr>
                <w:rFonts w:hint="eastAsia"/>
                <w:color w:val="000000"/>
                <w:sz w:val="22"/>
              </w:rPr>
              <w:t>薪酬委员会</w:t>
            </w:r>
          </w:p>
        </w:tc>
        <w:tc>
          <w:tcPr>
            <w:tcW w:w="6465" w:type="dxa"/>
            <w:tcBorders>
              <w:top w:val="nil"/>
              <w:left w:val="nil"/>
              <w:bottom w:val="single" w:sz="4" w:space="0" w:color="auto"/>
              <w:right w:val="single" w:sz="4" w:space="0" w:color="auto"/>
            </w:tcBorders>
            <w:noWrap/>
            <w:vAlign w:val="center"/>
          </w:tcPr>
          <w:p>
            <w:pPr>
              <w:jc w:val="both"/>
              <w:rPr>
                <w:sz w:val="22"/>
              </w:rPr>
            </w:pPr>
            <w:r>
              <w:rPr>
                <w:rFonts w:hint="eastAsia"/>
                <w:sz w:val="22"/>
              </w:rPr>
              <w:t>朱利民、高井祥、胡家栋、彭苏萍（离任）</w:t>
            </w:r>
          </w:p>
        </w:tc>
      </w:tr>
      <w:tr>
        <w:trPr>
          <w:trHeight w:val="270"/>
          <w:jc w:val="center"/>
        </w:trPr>
        <w:tc>
          <w:tcPr>
            <w:tcW w:w="2586"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 w:val="22"/>
              </w:rPr>
            </w:pPr>
            <w:r>
              <w:rPr>
                <w:rFonts w:hint="eastAsia"/>
                <w:color w:val="000000"/>
                <w:sz w:val="22"/>
              </w:rPr>
              <w:t>战略与发展委员会</w:t>
            </w:r>
          </w:p>
        </w:tc>
        <w:tc>
          <w:tcPr>
            <w:tcW w:w="6465" w:type="dxa"/>
            <w:tcBorders>
              <w:top w:val="single" w:sz="4" w:space="0" w:color="auto"/>
              <w:left w:val="nil"/>
              <w:bottom w:val="single" w:sz="4" w:space="0" w:color="auto"/>
              <w:right w:val="single" w:sz="4" w:space="0" w:color="auto"/>
            </w:tcBorders>
            <w:noWrap/>
            <w:vAlign w:val="center"/>
          </w:tcPr>
          <w:p>
            <w:pPr>
              <w:jc w:val="both"/>
              <w:rPr>
                <w:sz w:val="22"/>
              </w:rPr>
            </w:pPr>
            <w:r>
              <w:rPr>
                <w:rFonts w:hint="eastAsia"/>
                <w:sz w:val="22"/>
              </w:rPr>
              <w:t>李伟、王九红、刘健、朱利民、高井祥、彭苏萍（离任）</w:t>
            </w:r>
          </w:p>
        </w:tc>
      </w:tr>
      <w:tr>
        <w:trPr>
          <w:trHeight w:val="270"/>
          <w:jc w:val="center"/>
        </w:trPr>
        <w:tc>
          <w:tcPr>
            <w:tcW w:w="2586" w:type="dxa"/>
            <w:tcBorders>
              <w:top w:val="single" w:sz="4" w:space="0" w:color="auto"/>
              <w:left w:val="single" w:sz="4" w:space="0" w:color="auto"/>
              <w:bottom w:val="single" w:sz="4" w:space="0" w:color="auto"/>
              <w:right w:val="single" w:sz="4" w:space="0" w:color="auto"/>
            </w:tcBorders>
            <w:noWrap/>
            <w:vAlign w:val="center"/>
          </w:tcPr>
          <w:p>
            <w:pPr>
              <w:jc w:val="center"/>
              <w:rPr>
                <w:sz w:val="22"/>
              </w:rPr>
            </w:pPr>
            <w:r>
              <w:rPr>
                <w:rFonts w:hint="eastAsia"/>
                <w:sz w:val="22"/>
              </w:rPr>
              <w:t>可持续发展委员会</w:t>
            </w:r>
          </w:p>
        </w:tc>
        <w:tc>
          <w:tcPr>
            <w:tcW w:w="6465" w:type="dxa"/>
            <w:tcBorders>
              <w:top w:val="single" w:sz="4" w:space="0" w:color="auto"/>
              <w:left w:val="nil"/>
              <w:bottom w:val="single" w:sz="4" w:space="0" w:color="auto"/>
              <w:right w:val="single" w:sz="4" w:space="0" w:color="auto"/>
            </w:tcBorders>
            <w:noWrap/>
            <w:vAlign w:val="center"/>
          </w:tcPr>
          <w:p>
            <w:pPr>
              <w:jc w:val="both"/>
              <w:rPr>
                <w:sz w:val="22"/>
              </w:rPr>
            </w:pPr>
            <w:r>
              <w:rPr>
                <w:rFonts w:hint="eastAsia"/>
                <w:sz w:val="22"/>
              </w:rPr>
              <w:t>朱睿、王九红、朱利民</w:t>
            </w:r>
          </w:p>
        </w:tc>
      </w:tr>
    </w:tbl>
    <w:p>
      <w:pPr>
        <w:ind w:firstLineChars="200" w:firstLine="420"/>
        <w:jc w:val="both"/>
        <w:rPr>
          <w:rFonts w:ascii="宋体" w:hAnsi="宋体"/>
          <w:bCs/>
        </w:rPr>
      </w:pPr>
      <w:r>
        <w:rPr>
          <w:rFonts w:ascii="宋体" w:hAnsi="宋体" w:hint="eastAsia"/>
        </w:rPr>
        <w:t>注：经公司</w:t>
      </w:r>
      <w:r>
        <w:rPr>
          <w:rFonts w:ascii="宋体" w:hAnsi="宋体"/>
        </w:rPr>
        <w:t>2025年5月30</w:t>
      </w:r>
      <w:r>
        <w:rPr>
          <w:rFonts w:ascii="宋体" w:hAnsi="宋体" w:hint="eastAsia"/>
        </w:rPr>
        <w:t>日召开的第九届董事会第十七次会议审议，批准</w:t>
      </w:r>
      <w:r>
        <w:rPr>
          <w:rFonts w:ascii="宋体" w:hAnsi="宋体"/>
        </w:rPr>
        <w:t>高井祥先生进入</w:t>
      </w:r>
      <w:bookmarkStart w:id="157" w:name="OLE_LINK10"/>
      <w:r>
        <w:rPr>
          <w:rFonts w:ascii="宋体" w:hAnsi="宋体"/>
        </w:rPr>
        <w:t>提名委员会</w:t>
      </w:r>
      <w:bookmarkEnd w:id="157"/>
      <w:r>
        <w:rPr>
          <w:rFonts w:ascii="宋体" w:hAnsi="宋体"/>
        </w:rPr>
        <w:t>并担任主任委员</w:t>
      </w:r>
      <w:r>
        <w:rPr>
          <w:rFonts w:ascii="宋体" w:hAnsi="宋体" w:hint="eastAsia"/>
        </w:rPr>
        <w:t>；</w:t>
      </w:r>
      <w:r>
        <w:rPr>
          <w:rFonts w:ascii="宋体" w:hAnsi="宋体"/>
        </w:rPr>
        <w:t>朱睿女士替换胡家栋先生，担任提名委员会委员</w:t>
      </w:r>
      <w:r>
        <w:rPr>
          <w:rFonts w:ascii="宋体" w:hAnsi="宋体" w:hint="eastAsia"/>
        </w:rPr>
        <w:t>；</w:t>
      </w:r>
      <w:r>
        <w:rPr>
          <w:rFonts w:ascii="宋体" w:hAnsi="宋体"/>
        </w:rPr>
        <w:t>高井祥先生替换朱睿女士，担任薪酬委员会委员</w:t>
      </w:r>
      <w:r>
        <w:rPr>
          <w:rFonts w:ascii="宋体" w:hAnsi="宋体" w:hint="eastAsia"/>
        </w:rPr>
        <w:t>；</w:t>
      </w:r>
      <w:r>
        <w:rPr>
          <w:rFonts w:ascii="宋体" w:hAnsi="宋体"/>
        </w:rPr>
        <w:t>王九红先生、高井祥先生进入战略与发展委员会，担任委员</w:t>
      </w:r>
      <w:r>
        <w:rPr>
          <w:rFonts w:ascii="宋体" w:hAnsi="宋体" w:hint="eastAsia"/>
        </w:rPr>
        <w:t>；</w:t>
      </w:r>
      <w:r>
        <w:rPr>
          <w:rFonts w:ascii="宋体" w:hAnsi="宋体"/>
        </w:rPr>
        <w:t>王九红先生进入可持续发展委员会，担任委员。</w:t>
      </w:r>
      <w:r>
        <w:rPr>
          <w:rFonts w:ascii="宋体" w:hAnsi="宋体" w:hint="eastAsia"/>
          <w:bCs/>
        </w:rPr>
        <w:t>彭苏萍先生因中国工程院院士兼职规范工作要求，不再担任公司独立董事。</w:t>
      </w:r>
    </w:p>
    <w:p>
      <w:pPr>
        <w:pStyle w:val="Style52"/>
        <w:numPr>
          <w:ilvl w:val="0"/>
          <w:numId w:val="28"/>
        </w:numPr>
      </w:pPr>
      <w:r>
        <w:rPr>
          <w:rFonts w:hint="eastAsia"/>
        </w:rPr>
        <w:t>报告期内</w:t>
      </w:r>
      <w:sdt>
        <w:sdtPr>
          <w:rPr>
            <w:rFonts w:ascii="宋体" w:hAnsi="宋体" w:cs="宋体" w:hint="eastAsia"/>
            <w:kern w:val="0"/>
            <w:szCs w:val="24"/>
          </w:rPr>
          <w:alias w:val="召开会议的专门委员会类别"/>
          <w:tag w:val="_GBC_adf76ecbe3584f07b573642215a867bd"/>
          <w:id w:val="434094578"/>
          <w:placeholder>
            <w:docPart w:val="GBC22222222222222222222222222222"/>
          </w:placeholder>
        </w:sdtPr>
        <w:sdtContent>
          <w:r>
            <w:rPr>
              <w:rFonts w:hint="eastAsia"/>
            </w:rPr>
            <w:t>董事会审计</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742802708"/>
          <w:placeholder>
            <w:docPart w:val="GBC22222222222222222222222222222"/>
          </w:placeholder>
        </w:sdtPr>
        <w:sdtContent>
          <w:r>
            <w:rPr>
              <w:rFonts w:hint="eastAsia"/>
            </w:rPr>
            <w:t>6</w:t>
          </w:r>
        </w:sdtContent>
      </w:sdt>
      <w:r>
        <w:rPr>
          <w:rFonts w:hint="eastAsia"/>
        </w:rPr>
        <w:t>次会议</w:t>
      </w:r>
    </w:p>
    <w:p>
      <w:pPr>
        <w:ind w:firstLineChars="200" w:firstLine="420"/>
        <w:jc w:val="both"/>
        <w:rPr>
          <w:rFonts w:ascii="宋体" w:hAnsi="宋体"/>
        </w:rPr>
      </w:pPr>
      <w:r>
        <w:rPr>
          <w:rFonts w:ascii="宋体" w:hAnsi="宋体" w:hint="eastAsia"/>
        </w:rPr>
        <w:t>公司董事会审计委员会委员为独立董事胡家栋、朱利民各位先生及朱睿女士。胡家栋先生担任审计委员会主任。</w:t>
      </w:r>
    </w:p>
    <w:p>
      <w:pPr>
        <w:ind w:firstLineChars="200" w:firstLine="420"/>
        <w:jc w:val="both"/>
        <w:rPr>
          <w:rFonts w:ascii="宋体" w:hAnsi="宋体"/>
        </w:rPr>
      </w:pPr>
      <w:r>
        <w:rPr>
          <w:rFonts w:ascii="宋体" w:hAnsi="宋体" w:hint="eastAsia"/>
        </w:rPr>
        <w:t>董事会审计委员会主要职责为：a.审核外部审计机构的工作，提议聘任、续聘或解聘外部审计机构；b.监督公司的内部审计制度及其实施；c.负责内部审计与外部审计之间的沟通；d.审核公司财务信息及披露；e.审查公司的内部监控制度及风险管理系统；f.研究讨论聘任或者解聘财务负责人；g.监督董事和高管执行职务的行为；h.</w:t>
      </w:r>
      <w:r>
        <w:rPr>
          <w:rFonts w:ascii="宋体" w:hAnsi="宋体"/>
        </w:rPr>
        <w:t>提议召开临时股东会会议和临时董事会会议</w:t>
      </w:r>
      <w:r>
        <w:rPr>
          <w:rFonts w:ascii="宋体" w:hAnsi="宋体" w:hint="eastAsia"/>
        </w:rPr>
        <w:t>等原监事会职能。</w:t>
      </w:r>
    </w:p>
    <w:p>
      <w:pPr>
        <w:ind w:firstLineChars="200" w:firstLine="420"/>
        <w:jc w:val="both"/>
        <w:rPr>
          <w:rFonts w:ascii="宋体" w:hAnsi="宋体"/>
        </w:rPr>
      </w:pPr>
      <w:r>
        <w:rPr>
          <w:rFonts w:ascii="宋体" w:hAnsi="宋体" w:hint="eastAsia"/>
        </w:rPr>
        <w:t>截至本报告披露日，董事会审计委员会认真履行《董事会审计委员会工作细则》规定的工作职责，严格、规范开展各项工作。审计委员会已经审阅了本公司2025年中期业绩、2025年年度业绩，并对本集团2025年度风险管理及内部监控系统的成效进行了检讨，有关检讨涵盖了财务监控、运作监控、合规监控等所有重要的监控方面，认为本集团的风险管理及内部监控系统充分有效。报告期内审计委员会召开6次会议，具体情况如下：</w:t>
      </w:r>
    </w:p>
    <w:p>
      <w:pPr>
        <w:ind w:firstLineChars="200" w:firstLine="420"/>
        <w:rPr>
          <w:rFonts w:ascii="宋体" w:hAnsi="宋体"/>
        </w:rPr>
      </w:pPr>
    </w:p>
    <w:tbl>
      <w:tblPr>
        <w:tblStyle w:val="Style63"/>
        <w:tblW w:w="888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2268"/>
        <w:gridCol w:w="2835"/>
        <w:gridCol w:w="851"/>
        <w:gridCol w:w="652"/>
        <w:gridCol w:w="1243"/>
      </w:tblGrid>
      <w:tr>
        <w:trPr>
          <w:tblHeader/>
        </w:trPr>
        <w:sdt>
          <w:sdtPr>
            <w:rPr>
              <w:rFonts w:ascii="宋体" w:hAnsi="宋体"/>
            </w:rPr>
            <w:tag w:val="_PLD_81aefc289fbf48b1865138608d8bd14f"/>
            <w:id w:val="1687097592"/>
          </w:sdtPr>
          <w:sdtContent>
            <w:tc>
              <w:tcPr>
                <w:tcW w:w="1032" w:type="dxa"/>
                <w:vAlign w:val="center"/>
              </w:tcPr>
              <w:p>
                <w:pPr>
                  <w:jc w:val="center"/>
                  <w:rPr>
                    <w:rFonts w:ascii="宋体" w:hAnsi="宋体"/>
                  </w:rPr>
                </w:pPr>
                <w:r>
                  <w:rPr>
                    <w:rFonts w:ascii="宋体" w:hAnsi="宋体" w:hint="eastAsia"/>
                  </w:rPr>
                  <w:t>召开日期</w:t>
                </w:r>
              </w:p>
            </w:tc>
          </w:sdtContent>
        </w:sdt>
        <w:sdt>
          <w:sdtPr>
            <w:rPr>
              <w:rFonts w:ascii="宋体" w:hAnsi="宋体"/>
            </w:rPr>
            <w:tag w:val="_PLD_9d24b601ec70414eb969daf6b393edc8"/>
            <w:id w:val="1482891903"/>
          </w:sdtPr>
          <w:sdtContent>
            <w:tc>
              <w:tcPr>
                <w:tcW w:w="2268" w:type="dxa"/>
                <w:vAlign w:val="center"/>
              </w:tcPr>
              <w:p>
                <w:pPr>
                  <w:jc w:val="center"/>
                  <w:rPr>
                    <w:rFonts w:ascii="宋体" w:hAnsi="宋体"/>
                  </w:rPr>
                </w:pPr>
                <w:r>
                  <w:rPr>
                    <w:rFonts w:ascii="宋体" w:hAnsi="宋体" w:hint="eastAsia"/>
                  </w:rPr>
                  <w:t>会议内容</w:t>
                </w:r>
              </w:p>
            </w:tc>
          </w:sdtContent>
        </w:sdt>
        <w:sdt>
          <w:sdtPr>
            <w:rPr>
              <w:rFonts w:ascii="宋体" w:hAnsi="宋体"/>
            </w:rPr>
            <w:tag w:val="_PLD_6ea19dadc3684e98a6d98faaf035a9d9"/>
            <w:id w:val="-1199703483"/>
          </w:sdtPr>
          <w:sdtContent>
            <w:tc>
              <w:tcPr>
                <w:tcW w:w="2835" w:type="dxa"/>
                <w:vAlign w:val="center"/>
              </w:tcPr>
              <w:p>
                <w:pPr>
                  <w:jc w:val="center"/>
                  <w:rPr>
                    <w:rFonts w:ascii="宋体" w:hAnsi="宋体"/>
                  </w:rPr>
                </w:pPr>
                <w:r>
                  <w:rPr>
                    <w:rFonts w:ascii="宋体" w:hAnsi="宋体" w:hint="eastAsia"/>
                  </w:rPr>
                  <w:t>重要意见和建议</w:t>
                </w:r>
              </w:p>
            </w:tc>
          </w:sdtContent>
        </w:sdt>
        <w:tc>
          <w:tcPr>
            <w:tcW w:w="851" w:type="dxa"/>
            <w:vAlign w:val="center"/>
          </w:tcPr>
          <w:p>
            <w:pPr>
              <w:jc w:val="center"/>
              <w:rPr>
                <w:rFonts w:ascii="宋体" w:hAnsi="宋体"/>
              </w:rPr>
            </w:pPr>
            <w:r>
              <w:rPr>
                <w:rFonts w:ascii="宋体" w:hAnsi="宋体" w:hint="eastAsia"/>
              </w:rPr>
              <w:t>委员</w:t>
            </w:r>
          </w:p>
        </w:tc>
        <w:tc>
          <w:tcPr>
            <w:tcW w:w="652" w:type="dxa"/>
            <w:vAlign w:val="center"/>
          </w:tcPr>
          <w:p>
            <w:pPr>
              <w:jc w:val="center"/>
              <w:rPr>
                <w:rFonts w:ascii="宋体" w:hAnsi="宋体"/>
              </w:rPr>
            </w:pPr>
            <w:r>
              <w:rPr>
                <w:rFonts w:ascii="宋体" w:hAnsi="宋体" w:hint="eastAsia"/>
              </w:rPr>
              <w:t>出席会议</w:t>
            </w:r>
          </w:p>
        </w:tc>
        <w:sdt>
          <w:sdtPr>
            <w:rPr>
              <w:rFonts w:ascii="宋体" w:hAnsi="宋体"/>
            </w:rPr>
            <w:tag w:val="_PLD_ef03d3ffb00740008011022cb6a96805"/>
            <w:id w:val="-1755735491"/>
          </w:sdtPr>
          <w:sdtContent>
            <w:tc>
              <w:tcPr>
                <w:tcW w:w="1243" w:type="dxa"/>
                <w:vAlign w:val="center"/>
              </w:tcPr>
              <w:p>
                <w:pPr>
                  <w:jc w:val="center"/>
                  <w:rPr>
                    <w:rFonts w:ascii="宋体" w:hAnsi="宋体"/>
                  </w:rPr>
                </w:pPr>
                <w:r>
                  <w:rPr>
                    <w:rFonts w:ascii="宋体" w:hAnsi="宋体" w:hint="eastAsia"/>
                  </w:rPr>
                  <w:t>其他履行职责情况</w:t>
                </w:r>
              </w:p>
            </w:tc>
          </w:sdtContent>
        </w:sdt>
      </w:tr>
      <w:tr>
        <w:tc>
          <w:tcPr>
            <w:tcW w:w="1032" w:type="dxa"/>
            <w:vAlign w:val="center"/>
          </w:tcPr>
          <w:p>
            <w:pPr>
              <w:jc w:val="both"/>
              <w:rPr>
                <w:rFonts w:ascii="宋体" w:hAnsi="宋体"/>
              </w:rPr>
            </w:pPr>
            <w:r>
              <w:rPr>
                <w:rFonts w:ascii="宋体" w:hAnsi="宋体" w:hint="eastAsia"/>
              </w:rPr>
              <w:t>2025年2月21日</w:t>
            </w:r>
          </w:p>
        </w:tc>
        <w:tc>
          <w:tcPr>
            <w:tcW w:w="2268" w:type="dxa"/>
            <w:vAlign w:val="center"/>
          </w:tcPr>
          <w:p>
            <w:pPr>
              <w:jc w:val="both"/>
              <w:rPr>
                <w:rFonts w:ascii="宋体" w:hAnsi="宋体"/>
              </w:rPr>
            </w:pPr>
            <w:r>
              <w:rPr>
                <w:rFonts w:ascii="宋体" w:hAnsi="宋体" w:hint="eastAsia"/>
              </w:rPr>
              <w:t>听取年审会计师关于公司2024年年报预审事项的汇报。</w:t>
            </w:r>
          </w:p>
        </w:tc>
        <w:tc>
          <w:tcPr>
            <w:tcW w:w="2835" w:type="dxa"/>
            <w:vAlign w:val="center"/>
          </w:tcPr>
          <w:p>
            <w:pPr>
              <w:jc w:val="both"/>
              <w:rPr>
                <w:rFonts w:ascii="宋体" w:hAnsi="宋体"/>
              </w:rPr>
            </w:pPr>
            <w:r>
              <w:rPr>
                <w:rFonts w:ascii="宋体" w:hAnsi="宋体" w:hint="eastAsia"/>
              </w:rPr>
              <w:t>督促年审会计师按时间计划出具审计报告，确保公司2024年年报的及时、准确与完整。</w:t>
            </w:r>
          </w:p>
        </w:tc>
        <w:tc>
          <w:tcPr>
            <w:tcW w:w="851" w:type="dxa"/>
            <w:vAlign w:val="center"/>
          </w:tcPr>
          <w:p>
            <w:pPr>
              <w:jc w:val="center"/>
              <w:rPr>
                <w:rFonts w:ascii="宋体" w:hAnsi="宋体"/>
              </w:rPr>
            </w:pPr>
            <w:r>
              <w:rPr>
                <w:rFonts w:ascii="宋体" w:hAnsi="宋体" w:hint="eastAsia"/>
              </w:rPr>
              <w:t>胡家栋</w:t>
            </w:r>
          </w:p>
          <w:p>
            <w:pPr>
              <w:jc w:val="center"/>
              <w:rPr>
                <w:rFonts w:ascii="宋体" w:hAnsi="宋体"/>
              </w:rPr>
            </w:pPr>
            <w:r>
              <w:rPr>
                <w:rFonts w:ascii="宋体" w:hAnsi="宋体" w:hint="eastAsia"/>
              </w:rPr>
              <w:t>朱利民</w:t>
            </w:r>
          </w:p>
          <w:p>
            <w:pPr>
              <w:jc w:val="center"/>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243" w:type="dxa"/>
            <w:vAlign w:val="center"/>
          </w:tcPr>
          <w:p>
            <w:pPr>
              <w:jc w:val="center"/>
              <w:rPr>
                <w:rFonts w:ascii="宋体" w:hAnsi="宋体"/>
              </w:rPr>
            </w:pPr>
            <w:r>
              <w:rPr>
                <w:rFonts w:ascii="宋体" w:hAnsi="宋体" w:hint="eastAsia"/>
              </w:rPr>
              <w:t>-</w:t>
            </w:r>
          </w:p>
        </w:tc>
      </w:tr>
      <w:tr>
        <w:tc>
          <w:tcPr>
            <w:tcW w:w="1032" w:type="dxa"/>
            <w:vAlign w:val="center"/>
          </w:tcPr>
          <w:p>
            <w:pPr>
              <w:jc w:val="both"/>
              <w:rPr>
                <w:rFonts w:ascii="宋体" w:hAnsi="宋体"/>
              </w:rPr>
            </w:pPr>
            <w:r>
              <w:rPr>
                <w:rFonts w:ascii="宋体" w:hAnsi="宋体" w:hint="eastAsia"/>
              </w:rPr>
              <w:t>2025年3月18日</w:t>
            </w:r>
          </w:p>
        </w:tc>
        <w:tc>
          <w:tcPr>
            <w:tcW w:w="2268" w:type="dxa"/>
            <w:vAlign w:val="center"/>
          </w:tcPr>
          <w:p>
            <w:pPr>
              <w:jc w:val="both"/>
              <w:rPr>
                <w:rFonts w:ascii="宋体" w:hAnsi="宋体"/>
              </w:rPr>
            </w:pPr>
            <w:r>
              <w:rPr>
                <w:rFonts w:ascii="宋体" w:hAnsi="宋体" w:hint="eastAsia"/>
              </w:rPr>
              <w:t>1.听取年审会计师关于2024年年报审计事项的汇报；</w:t>
            </w:r>
          </w:p>
          <w:p>
            <w:pPr>
              <w:jc w:val="both"/>
              <w:rPr>
                <w:rFonts w:ascii="宋体" w:hAnsi="宋体"/>
              </w:rPr>
            </w:pPr>
            <w:r>
              <w:rPr>
                <w:rFonts w:ascii="宋体" w:hAnsi="宋体" w:hint="eastAsia"/>
              </w:rPr>
              <w:t>2.审议公司《2024年年度财务报告》。</w:t>
            </w:r>
          </w:p>
        </w:tc>
        <w:tc>
          <w:tcPr>
            <w:tcW w:w="2835" w:type="dxa"/>
            <w:vAlign w:val="center"/>
          </w:tcPr>
          <w:p>
            <w:pPr>
              <w:jc w:val="both"/>
              <w:rPr>
                <w:rFonts w:ascii="宋体" w:hAnsi="宋体"/>
              </w:rPr>
            </w:pPr>
            <w:r>
              <w:rPr>
                <w:rFonts w:ascii="宋体" w:hAnsi="宋体" w:hint="eastAsia"/>
              </w:rPr>
              <w:t>审阅公司2024年度财务会计报表，认为财务报表能真实、完整的反映公司的资产状况和经营成果，同意提交董事会审核。</w:t>
            </w:r>
          </w:p>
        </w:tc>
        <w:tc>
          <w:tcPr>
            <w:tcW w:w="851" w:type="dxa"/>
            <w:vAlign w:val="center"/>
          </w:tcPr>
          <w:p>
            <w:pPr>
              <w:jc w:val="center"/>
              <w:rPr>
                <w:rFonts w:ascii="宋体" w:hAnsi="宋体"/>
              </w:rPr>
            </w:pPr>
            <w:r>
              <w:rPr>
                <w:rFonts w:ascii="宋体" w:hAnsi="宋体" w:hint="eastAsia"/>
              </w:rPr>
              <w:t>胡家栋</w:t>
            </w:r>
          </w:p>
          <w:p>
            <w:pPr>
              <w:jc w:val="center"/>
              <w:rPr>
                <w:rFonts w:ascii="宋体" w:hAnsi="宋体"/>
              </w:rPr>
            </w:pPr>
            <w:r>
              <w:rPr>
                <w:rFonts w:ascii="宋体" w:hAnsi="宋体" w:hint="eastAsia"/>
              </w:rPr>
              <w:t>朱利民</w:t>
            </w:r>
          </w:p>
          <w:p>
            <w:pPr>
              <w:jc w:val="center"/>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243" w:type="dxa"/>
            <w:vAlign w:val="center"/>
          </w:tcPr>
          <w:p>
            <w:pPr>
              <w:jc w:val="center"/>
              <w:rPr>
                <w:rFonts w:ascii="宋体" w:hAnsi="宋体"/>
              </w:rPr>
            </w:pPr>
            <w:r>
              <w:rPr>
                <w:rFonts w:ascii="宋体" w:hAnsi="宋体" w:hint="eastAsia"/>
              </w:rPr>
              <w:t>-</w:t>
            </w:r>
          </w:p>
        </w:tc>
      </w:tr>
      <w:tr>
        <w:tc>
          <w:tcPr>
            <w:tcW w:w="1032" w:type="dxa"/>
            <w:vAlign w:val="center"/>
          </w:tcPr>
          <w:p>
            <w:pPr>
              <w:jc w:val="both"/>
              <w:rPr>
                <w:rFonts w:ascii="宋体" w:hAnsi="宋体"/>
              </w:rPr>
            </w:pPr>
            <w:r>
              <w:rPr>
                <w:rFonts w:ascii="宋体" w:hAnsi="宋体" w:hint="eastAsia"/>
              </w:rPr>
              <w:t>2025年3月18日</w:t>
            </w:r>
          </w:p>
        </w:tc>
        <w:tc>
          <w:tcPr>
            <w:tcW w:w="2268" w:type="dxa"/>
            <w:vAlign w:val="center"/>
          </w:tcPr>
          <w:p>
            <w:pPr>
              <w:jc w:val="both"/>
              <w:rPr>
                <w:rFonts w:ascii="宋体" w:hAnsi="宋体"/>
              </w:rPr>
            </w:pPr>
            <w:r>
              <w:rPr>
                <w:rFonts w:ascii="宋体" w:hAnsi="宋体" w:hint="eastAsia"/>
              </w:rPr>
              <w:t>1.审议《审计委员会2024年度履职情况报告》；</w:t>
            </w:r>
          </w:p>
          <w:p>
            <w:pPr>
              <w:jc w:val="both"/>
              <w:rPr>
                <w:rFonts w:ascii="宋体" w:hAnsi="宋体"/>
              </w:rPr>
            </w:pPr>
            <w:r>
              <w:rPr>
                <w:rFonts w:ascii="宋体" w:hAnsi="宋体" w:hint="eastAsia"/>
              </w:rPr>
              <w:t>2.审议《2024年度内控工作报告》；</w:t>
            </w:r>
          </w:p>
          <w:p>
            <w:pPr>
              <w:jc w:val="both"/>
              <w:rPr>
                <w:rFonts w:ascii="宋体" w:hAnsi="宋体"/>
              </w:rPr>
            </w:pPr>
            <w:r>
              <w:rPr>
                <w:rFonts w:ascii="宋体" w:hAnsi="宋体" w:hint="eastAsia"/>
              </w:rPr>
              <w:t>3.审议《2024年度内部控制评价报告》；</w:t>
            </w:r>
          </w:p>
          <w:p>
            <w:pPr>
              <w:jc w:val="both"/>
              <w:rPr>
                <w:rFonts w:ascii="宋体" w:hAnsi="宋体"/>
              </w:rPr>
            </w:pPr>
            <w:r>
              <w:rPr>
                <w:rFonts w:ascii="宋体" w:hAnsi="宋体" w:hint="eastAsia"/>
              </w:rPr>
              <w:t>4.审议《2024年度会计师事务所履职情况评估报告》；</w:t>
            </w:r>
          </w:p>
          <w:p>
            <w:pPr>
              <w:jc w:val="both"/>
              <w:rPr>
                <w:rFonts w:ascii="宋体" w:hAnsi="宋体"/>
              </w:rPr>
            </w:pPr>
            <w:r>
              <w:rPr>
                <w:rFonts w:ascii="宋体" w:hAnsi="宋体" w:hint="eastAsia"/>
              </w:rPr>
              <w:lastRenderedPageBreak/>
              <w:t>5.审议《2024年度审计委员会对会计师事务所履行监督职责情况报告》；</w:t>
            </w:r>
          </w:p>
          <w:p>
            <w:pPr>
              <w:jc w:val="both"/>
              <w:rPr>
                <w:rFonts w:ascii="宋体" w:hAnsi="宋体"/>
              </w:rPr>
            </w:pPr>
            <w:r>
              <w:rPr>
                <w:rFonts w:ascii="宋体" w:hAnsi="宋体" w:hint="eastAsia"/>
              </w:rPr>
              <w:t>6.关于续聘2025年度外部审计机构及其酬金安排的议案；</w:t>
            </w:r>
          </w:p>
          <w:p>
            <w:pPr>
              <w:jc w:val="both"/>
              <w:rPr>
                <w:rFonts w:ascii="宋体" w:hAnsi="宋体"/>
              </w:rPr>
            </w:pPr>
            <w:r>
              <w:rPr>
                <w:rFonts w:ascii="宋体" w:hAnsi="宋体" w:hint="eastAsia"/>
              </w:rPr>
              <w:t>7.关于国际会计准则企业合并会计政策变更的议案；</w:t>
            </w:r>
          </w:p>
          <w:p>
            <w:pPr>
              <w:jc w:val="both"/>
              <w:rPr>
                <w:rFonts w:ascii="宋体" w:hAnsi="宋体"/>
              </w:rPr>
            </w:pPr>
            <w:r>
              <w:rPr>
                <w:rFonts w:ascii="宋体" w:hAnsi="宋体" w:hint="eastAsia"/>
              </w:rPr>
              <w:t>8.审议《山能财司与山东能源2024年综合授信审批及服务提供情况报告》；</w:t>
            </w:r>
          </w:p>
          <w:p>
            <w:pPr>
              <w:jc w:val="both"/>
              <w:rPr>
                <w:rFonts w:ascii="宋体" w:hAnsi="宋体"/>
              </w:rPr>
            </w:pPr>
            <w:r>
              <w:rPr>
                <w:rFonts w:ascii="宋体" w:hAnsi="宋体" w:hint="eastAsia"/>
              </w:rPr>
              <w:t>9.审议《山能财司2024年风险评估报告》。</w:t>
            </w:r>
          </w:p>
        </w:tc>
        <w:tc>
          <w:tcPr>
            <w:tcW w:w="2835" w:type="dxa"/>
            <w:vAlign w:val="center"/>
          </w:tcPr>
          <w:p>
            <w:pPr>
              <w:jc w:val="both"/>
              <w:rPr>
                <w:rFonts w:ascii="宋体" w:hAnsi="宋体"/>
              </w:rPr>
            </w:pPr>
            <w:r>
              <w:rPr>
                <w:rFonts w:ascii="宋体" w:hAnsi="宋体" w:hint="eastAsia"/>
              </w:rPr>
              <w:lastRenderedPageBreak/>
              <w:t>审议通过《审计委员会2024年度履职情况报告》《2024年度内控工作报告》《2024年度内部控制评价报告》《2024年度会计师事务所履职情况评估报告》《2024年度审计委员会对会计师事务所履行监督职责情况报告》《关于续聘2025年度外部审计机构及其酬金安排的议案》《关于国际会计准则企业合并会计政</w:t>
            </w:r>
            <w:r>
              <w:rPr>
                <w:rFonts w:ascii="宋体" w:hAnsi="宋体" w:hint="eastAsia"/>
              </w:rPr>
              <w:lastRenderedPageBreak/>
              <w:t>策变更的议案》《山能财司与山东能源2024年综合授信审批及服务提供情况报告》《山能财司2024年风险评估报告》。</w:t>
            </w:r>
          </w:p>
        </w:tc>
        <w:tc>
          <w:tcPr>
            <w:tcW w:w="851" w:type="dxa"/>
            <w:vAlign w:val="center"/>
          </w:tcPr>
          <w:p>
            <w:pPr>
              <w:jc w:val="center"/>
              <w:rPr>
                <w:rFonts w:ascii="宋体" w:hAnsi="宋体"/>
              </w:rPr>
            </w:pPr>
            <w:r>
              <w:rPr>
                <w:rFonts w:ascii="宋体" w:hAnsi="宋体" w:hint="eastAsia"/>
              </w:rPr>
              <w:lastRenderedPageBreak/>
              <w:t>胡家栋</w:t>
            </w:r>
          </w:p>
          <w:p>
            <w:pPr>
              <w:jc w:val="center"/>
              <w:rPr>
                <w:rFonts w:ascii="宋体" w:hAnsi="宋体"/>
              </w:rPr>
            </w:pPr>
            <w:r>
              <w:rPr>
                <w:rFonts w:ascii="宋体" w:hAnsi="宋体" w:hint="eastAsia"/>
              </w:rPr>
              <w:t>朱利民</w:t>
            </w:r>
          </w:p>
          <w:p>
            <w:pPr>
              <w:jc w:val="center"/>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243" w:type="dxa"/>
            <w:vAlign w:val="center"/>
          </w:tcPr>
          <w:p>
            <w:pPr>
              <w:jc w:val="center"/>
              <w:rPr>
                <w:rFonts w:ascii="宋体" w:hAnsi="宋体"/>
              </w:rPr>
            </w:pPr>
            <w:r>
              <w:rPr>
                <w:rFonts w:ascii="宋体" w:hAnsi="宋体" w:hint="eastAsia"/>
              </w:rPr>
              <w:t>-</w:t>
            </w:r>
          </w:p>
        </w:tc>
      </w:tr>
      <w:tr>
        <w:tc>
          <w:tcPr>
            <w:tcW w:w="1032" w:type="dxa"/>
            <w:vAlign w:val="center"/>
          </w:tcPr>
          <w:p>
            <w:pPr>
              <w:jc w:val="both"/>
              <w:rPr>
                <w:rFonts w:ascii="宋体" w:hAnsi="宋体"/>
              </w:rPr>
            </w:pPr>
            <w:r>
              <w:rPr>
                <w:rFonts w:ascii="宋体" w:hAnsi="宋体" w:hint="eastAsia"/>
              </w:rPr>
              <w:t>2025年4月16日</w:t>
            </w:r>
          </w:p>
        </w:tc>
        <w:tc>
          <w:tcPr>
            <w:tcW w:w="2268" w:type="dxa"/>
            <w:vAlign w:val="center"/>
          </w:tcPr>
          <w:p>
            <w:pPr>
              <w:jc w:val="both"/>
              <w:rPr>
                <w:rFonts w:ascii="宋体" w:hAnsi="宋体"/>
              </w:rPr>
            </w:pPr>
            <w:r>
              <w:rPr>
                <w:rFonts w:ascii="宋体" w:hAnsi="宋体" w:hint="eastAsia"/>
              </w:rPr>
              <w:t>审议公司《2025年第一季度报告》。</w:t>
            </w:r>
          </w:p>
        </w:tc>
        <w:tc>
          <w:tcPr>
            <w:tcW w:w="2835" w:type="dxa"/>
            <w:vAlign w:val="center"/>
          </w:tcPr>
          <w:p>
            <w:pPr>
              <w:jc w:val="both"/>
              <w:rPr>
                <w:rFonts w:ascii="宋体" w:hAnsi="宋体"/>
              </w:rPr>
            </w:pPr>
            <w:r>
              <w:rPr>
                <w:rFonts w:ascii="宋体" w:hAnsi="宋体" w:hint="eastAsia"/>
              </w:rPr>
              <w:t>审议通过公司《2025年第一季度报告》并提交董事会讨论审议。</w:t>
            </w:r>
          </w:p>
        </w:tc>
        <w:tc>
          <w:tcPr>
            <w:tcW w:w="851" w:type="dxa"/>
            <w:vAlign w:val="center"/>
          </w:tcPr>
          <w:p>
            <w:pPr>
              <w:jc w:val="center"/>
              <w:rPr>
                <w:rFonts w:ascii="宋体" w:hAnsi="宋体"/>
              </w:rPr>
            </w:pPr>
            <w:r>
              <w:rPr>
                <w:rFonts w:ascii="宋体" w:hAnsi="宋体" w:hint="eastAsia"/>
              </w:rPr>
              <w:t>胡家栋</w:t>
            </w:r>
          </w:p>
          <w:p>
            <w:pPr>
              <w:jc w:val="center"/>
              <w:rPr>
                <w:rFonts w:ascii="宋体" w:hAnsi="宋体"/>
              </w:rPr>
            </w:pPr>
            <w:r>
              <w:rPr>
                <w:rFonts w:ascii="宋体" w:hAnsi="宋体" w:hint="eastAsia"/>
              </w:rPr>
              <w:t>朱利民</w:t>
            </w:r>
          </w:p>
          <w:p>
            <w:pPr>
              <w:jc w:val="center"/>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243" w:type="dxa"/>
            <w:vAlign w:val="center"/>
          </w:tcPr>
          <w:p>
            <w:pPr>
              <w:jc w:val="center"/>
              <w:rPr>
                <w:rFonts w:ascii="宋体" w:hAnsi="宋体"/>
              </w:rPr>
            </w:pPr>
            <w:r>
              <w:rPr>
                <w:rFonts w:ascii="宋体" w:hAnsi="宋体" w:hint="eastAsia"/>
              </w:rPr>
              <w:t>-</w:t>
            </w:r>
          </w:p>
        </w:tc>
      </w:tr>
      <w:tr>
        <w:tc>
          <w:tcPr>
            <w:tcW w:w="1032" w:type="dxa"/>
            <w:vAlign w:val="center"/>
          </w:tcPr>
          <w:p>
            <w:pPr>
              <w:jc w:val="both"/>
              <w:rPr>
                <w:rFonts w:ascii="宋体" w:hAnsi="宋体"/>
              </w:rPr>
            </w:pPr>
            <w:r>
              <w:rPr>
                <w:rFonts w:ascii="宋体" w:hAnsi="宋体" w:hint="eastAsia"/>
              </w:rPr>
              <w:t>2025年8月20日</w:t>
            </w:r>
          </w:p>
        </w:tc>
        <w:tc>
          <w:tcPr>
            <w:tcW w:w="2268" w:type="dxa"/>
            <w:vAlign w:val="center"/>
          </w:tcPr>
          <w:p>
            <w:pPr>
              <w:jc w:val="both"/>
              <w:rPr>
                <w:rFonts w:ascii="宋体" w:hAnsi="宋体"/>
              </w:rPr>
            </w:pPr>
            <w:r>
              <w:rPr>
                <w:rFonts w:ascii="宋体" w:hAnsi="宋体" w:hint="eastAsia"/>
              </w:rPr>
              <w:t>1.审议公司《2025年中期财务报告》；</w:t>
            </w:r>
          </w:p>
          <w:p>
            <w:pPr>
              <w:jc w:val="both"/>
              <w:rPr>
                <w:rFonts w:ascii="宋体" w:hAnsi="宋体"/>
              </w:rPr>
            </w:pPr>
            <w:r>
              <w:rPr>
                <w:rFonts w:ascii="宋体" w:hAnsi="宋体" w:hint="eastAsia"/>
              </w:rPr>
              <w:t>2.关于山能财司与山东能源综合授信审批及服务提供情况的议案；</w:t>
            </w:r>
          </w:p>
          <w:p>
            <w:pPr>
              <w:jc w:val="both"/>
              <w:rPr>
                <w:rFonts w:ascii="宋体" w:hAnsi="宋体"/>
              </w:rPr>
            </w:pPr>
            <w:r>
              <w:rPr>
                <w:rFonts w:ascii="宋体" w:hAnsi="宋体" w:hint="eastAsia"/>
              </w:rPr>
              <w:t>3.关于讨论审议山东能源集团财务有限公司2025年上半年风险评估报告的议案。</w:t>
            </w:r>
          </w:p>
        </w:tc>
        <w:tc>
          <w:tcPr>
            <w:tcW w:w="2835" w:type="dxa"/>
            <w:vAlign w:val="center"/>
          </w:tcPr>
          <w:p>
            <w:pPr>
              <w:jc w:val="both"/>
              <w:rPr>
                <w:rFonts w:ascii="宋体" w:hAnsi="宋体"/>
              </w:rPr>
            </w:pPr>
            <w:r>
              <w:rPr>
                <w:rFonts w:ascii="宋体" w:hAnsi="宋体" w:hint="eastAsia"/>
              </w:rPr>
              <w:t>审议通过公司《2025年中期财务报告》《关于山能财司与山东能源综合授信审批及服务提供情况的议案》《关于讨论审议山东能源集团财务有限公司2025年上半年风险评估报告的议案》并提交董事会讨论审议。</w:t>
            </w:r>
          </w:p>
        </w:tc>
        <w:tc>
          <w:tcPr>
            <w:tcW w:w="851" w:type="dxa"/>
            <w:vAlign w:val="center"/>
          </w:tcPr>
          <w:p>
            <w:pPr>
              <w:jc w:val="center"/>
              <w:rPr>
                <w:rFonts w:ascii="宋体" w:hAnsi="宋体"/>
              </w:rPr>
            </w:pPr>
            <w:r>
              <w:rPr>
                <w:rFonts w:ascii="宋体" w:hAnsi="宋体" w:hint="eastAsia"/>
              </w:rPr>
              <w:t>胡家栋</w:t>
            </w:r>
          </w:p>
          <w:p>
            <w:pPr>
              <w:jc w:val="center"/>
              <w:rPr>
                <w:rFonts w:ascii="宋体" w:hAnsi="宋体"/>
              </w:rPr>
            </w:pPr>
            <w:r>
              <w:rPr>
                <w:rFonts w:ascii="宋体" w:hAnsi="宋体" w:hint="eastAsia"/>
              </w:rPr>
              <w:t>朱利民</w:t>
            </w:r>
          </w:p>
          <w:p>
            <w:pPr>
              <w:jc w:val="center"/>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243" w:type="dxa"/>
            <w:vAlign w:val="center"/>
          </w:tcPr>
          <w:p>
            <w:pPr>
              <w:jc w:val="center"/>
              <w:rPr>
                <w:rFonts w:ascii="宋体" w:hAnsi="宋体"/>
              </w:rPr>
            </w:pPr>
            <w:r>
              <w:rPr>
                <w:rFonts w:ascii="宋体" w:hAnsi="宋体" w:hint="eastAsia"/>
              </w:rPr>
              <w:t>-</w:t>
            </w:r>
          </w:p>
        </w:tc>
      </w:tr>
      <w:tr>
        <w:tc>
          <w:tcPr>
            <w:tcW w:w="1032" w:type="dxa"/>
            <w:vAlign w:val="center"/>
          </w:tcPr>
          <w:p>
            <w:pPr>
              <w:jc w:val="both"/>
              <w:rPr>
                <w:rFonts w:ascii="宋体" w:hAnsi="宋体"/>
              </w:rPr>
            </w:pPr>
            <w:r>
              <w:rPr>
                <w:rFonts w:ascii="宋体" w:hAnsi="宋体" w:hint="eastAsia"/>
              </w:rPr>
              <w:t>2025年10月21日</w:t>
            </w:r>
          </w:p>
        </w:tc>
        <w:tc>
          <w:tcPr>
            <w:tcW w:w="2268" w:type="dxa"/>
            <w:vAlign w:val="center"/>
          </w:tcPr>
          <w:p>
            <w:pPr>
              <w:jc w:val="both"/>
              <w:rPr>
                <w:rFonts w:ascii="宋体" w:hAnsi="宋体"/>
              </w:rPr>
            </w:pPr>
            <w:r>
              <w:rPr>
                <w:rFonts w:ascii="宋体" w:hAnsi="宋体" w:hint="eastAsia"/>
              </w:rPr>
              <w:t>审议公司《2025年第三季度报告》。</w:t>
            </w:r>
          </w:p>
        </w:tc>
        <w:tc>
          <w:tcPr>
            <w:tcW w:w="2835" w:type="dxa"/>
            <w:vAlign w:val="center"/>
          </w:tcPr>
          <w:p>
            <w:pPr>
              <w:jc w:val="both"/>
              <w:rPr>
                <w:rFonts w:ascii="宋体" w:hAnsi="宋体"/>
              </w:rPr>
            </w:pPr>
            <w:r>
              <w:rPr>
                <w:rFonts w:ascii="宋体" w:hAnsi="宋体" w:hint="eastAsia"/>
              </w:rPr>
              <w:t>审议通过公司《2025年第三季度报告》并提交董事会讨论审议。</w:t>
            </w:r>
          </w:p>
        </w:tc>
        <w:tc>
          <w:tcPr>
            <w:tcW w:w="851" w:type="dxa"/>
            <w:vAlign w:val="center"/>
          </w:tcPr>
          <w:p>
            <w:pPr>
              <w:jc w:val="center"/>
              <w:rPr>
                <w:rFonts w:ascii="宋体" w:hAnsi="宋体"/>
              </w:rPr>
            </w:pPr>
            <w:r>
              <w:rPr>
                <w:rFonts w:ascii="宋体" w:hAnsi="宋体" w:hint="eastAsia"/>
              </w:rPr>
              <w:t>胡家栋</w:t>
            </w:r>
          </w:p>
          <w:p>
            <w:pPr>
              <w:jc w:val="center"/>
              <w:rPr>
                <w:rFonts w:ascii="宋体" w:hAnsi="宋体"/>
              </w:rPr>
            </w:pPr>
            <w:r>
              <w:rPr>
                <w:rFonts w:ascii="宋体" w:hAnsi="宋体" w:hint="eastAsia"/>
              </w:rPr>
              <w:t>朱利民</w:t>
            </w:r>
          </w:p>
          <w:p>
            <w:pPr>
              <w:jc w:val="center"/>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243" w:type="dxa"/>
            <w:vAlign w:val="center"/>
          </w:tcPr>
          <w:p>
            <w:pPr>
              <w:jc w:val="center"/>
              <w:rPr>
                <w:rFonts w:ascii="宋体" w:hAnsi="宋体"/>
              </w:rPr>
            </w:pPr>
            <w:r>
              <w:rPr>
                <w:rFonts w:ascii="宋体" w:hAnsi="宋体"/>
              </w:rPr>
              <w:t>-</w:t>
            </w:r>
          </w:p>
        </w:tc>
      </w:tr>
    </w:tbl>
    <w:p>
      <w:pPr>
        <w:pStyle w:val="Style61"/>
      </w:pPr>
    </w:p>
    <w:p>
      <w:pPr>
        <w:ind w:firstLineChars="200" w:firstLine="420"/>
        <w:jc w:val="both"/>
        <w:rPr>
          <w:rFonts w:ascii="宋体" w:hAnsi="宋体"/>
        </w:rPr>
      </w:pPr>
      <w:r>
        <w:rPr>
          <w:rFonts w:ascii="宋体" w:hAnsi="宋体" w:hint="eastAsia"/>
        </w:rPr>
        <w:t>注：经公司2023年6月30日召开的第九届董事会第一次会议讨论审议，批准由胡家栋先生、朱利民先生、朱睿女士三位委员组成公司第九届董事会审计委员会，胡家栋先生担任审计委员会主任。</w:t>
      </w:r>
    </w:p>
    <w:p>
      <w:pPr>
        <w:ind w:firstLineChars="200" w:firstLine="420"/>
        <w:jc w:val="both"/>
        <w:rPr>
          <w:rFonts w:ascii="宋体" w:hAnsi="宋体"/>
        </w:rPr>
      </w:pPr>
      <w:r>
        <w:rPr>
          <w:rFonts w:ascii="宋体" w:hAnsi="宋体" w:hint="eastAsia"/>
        </w:rPr>
        <w:t>经公司2026年2月10日召开的第九届董事会审计委员会第十七次会议，听取了年审会计师关于公司2025年年报预审事项的汇报。</w:t>
      </w:r>
    </w:p>
    <w:p>
      <w:pPr>
        <w:ind w:firstLineChars="200" w:firstLine="420"/>
        <w:jc w:val="both"/>
        <w:rPr>
          <w:rFonts w:ascii="宋体" w:hAnsi="宋体"/>
        </w:rPr>
      </w:pPr>
      <w:r>
        <w:rPr>
          <w:rFonts w:ascii="宋体" w:hAnsi="宋体" w:hint="eastAsia"/>
        </w:rPr>
        <w:t>经公司2026年3月17日召开的第九届董事会审计委员会第十八次会议，通过审计委员会2025年度履职情况报告、公司2025年度内部控制工作报告、公司2025年度内部控制评价报告、2025年度会计师事务所履职情况评估报告、2025年度审计委员会对会计师事务所履行监督职责情况报告、</w:t>
      </w:r>
      <w:bookmarkStart w:id="158" w:name="_Hlk224665206"/>
      <w:r>
        <w:rPr>
          <w:rFonts w:ascii="宋体" w:hAnsi="宋体" w:hint="eastAsia"/>
          <w:bCs/>
        </w:rPr>
        <w:t>调整2025年度外部审计机构酬金安排、</w:t>
      </w:r>
      <w:bookmarkEnd w:id="158"/>
      <w:r>
        <w:rPr>
          <w:rFonts w:ascii="宋体" w:hAnsi="宋体" w:hint="eastAsia"/>
        </w:rPr>
        <w:t>续聘2026年度外部审计机构及其酬金安排、</w:t>
      </w:r>
      <w:bookmarkStart w:id="159" w:name="_Hlk225350062"/>
      <w:r>
        <w:rPr>
          <w:rFonts w:ascii="宋体" w:hAnsi="宋体" w:hint="eastAsia"/>
        </w:rPr>
        <w:t>业绩承诺实现情况说明的审核报告</w:t>
      </w:r>
      <w:bookmarkEnd w:id="159"/>
      <w:r>
        <w:rPr>
          <w:rFonts w:ascii="宋体" w:hAnsi="宋体" w:hint="eastAsia"/>
        </w:rPr>
        <w:t>、山能财司与山东能源2025年综合授信审批及服务提供情况报告、山能财司2025年风险评估报告、2025年度财务会计报表，形成决议后提交董事会审核。</w:t>
      </w:r>
    </w:p>
    <w:p>
      <w:pPr>
        <w:rPr>
          <w:rFonts w:ascii="宋体" w:hAnsi="宋体"/>
        </w:rPr>
      </w:pPr>
    </w:p>
    <w:p>
      <w:pPr>
        <w:pStyle w:val="Style52"/>
        <w:numPr>
          <w:ilvl w:val="0"/>
          <w:numId w:val="28"/>
        </w:numPr>
      </w:pPr>
      <w:r>
        <w:rPr>
          <w:rFonts w:hint="eastAsia"/>
        </w:rPr>
        <w:t>报告期内</w:t>
      </w:r>
      <w:sdt>
        <w:sdtPr>
          <w:rPr>
            <w:rFonts w:ascii="宋体" w:hAnsi="宋体" w:cs="宋体" w:hint="eastAsia"/>
            <w:kern w:val="0"/>
            <w:szCs w:val="24"/>
          </w:rPr>
          <w:alias w:val="召开会议的专门委员会类别"/>
          <w:tag w:val="_GBC_adf76ecbe3584f07b573642215a867bd"/>
          <w:id w:val="-2098310403"/>
        </w:sdtPr>
        <w:sdtContent>
          <w:r>
            <w:rPr>
              <w:rFonts w:hint="eastAsia"/>
            </w:rPr>
            <w:t>董事会提名</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38251551"/>
        </w:sdtPr>
        <w:sdtContent>
          <w:r>
            <w:rPr>
              <w:rFonts w:hint="eastAsia"/>
            </w:rPr>
            <w:t>4</w:t>
          </w:r>
        </w:sdtContent>
      </w:sdt>
      <w:r>
        <w:rPr>
          <w:rFonts w:hint="eastAsia"/>
        </w:rPr>
        <w:t>次会议</w:t>
      </w:r>
    </w:p>
    <w:p>
      <w:pPr>
        <w:ind w:firstLineChars="200" w:firstLine="420"/>
        <w:jc w:val="both"/>
        <w:rPr>
          <w:rFonts w:ascii="宋体" w:hAnsi="宋体"/>
          <w:b/>
          <w:bCs/>
        </w:rPr>
      </w:pPr>
      <w:r>
        <w:rPr>
          <w:rFonts w:ascii="宋体" w:hAnsi="宋体" w:hint="eastAsia"/>
        </w:rPr>
        <w:t>公司董事会提名委员会委员为董事长李伟先生及独立董事</w:t>
      </w:r>
      <w:r>
        <w:rPr>
          <w:rFonts w:ascii="宋体" w:hAnsi="宋体" w:hint="eastAsia"/>
          <w:sz w:val="22"/>
        </w:rPr>
        <w:t>高井祥</w:t>
      </w:r>
      <w:r>
        <w:rPr>
          <w:rFonts w:ascii="宋体" w:hAnsi="宋体" w:hint="eastAsia"/>
        </w:rPr>
        <w:t>先生和</w:t>
      </w:r>
      <w:r>
        <w:rPr>
          <w:rFonts w:ascii="宋体" w:hAnsi="宋体" w:hint="eastAsia"/>
          <w:sz w:val="22"/>
        </w:rPr>
        <w:t>朱睿女士</w:t>
      </w:r>
      <w:r>
        <w:rPr>
          <w:rFonts w:ascii="宋体" w:hAnsi="宋体" w:hint="eastAsia"/>
        </w:rPr>
        <w:t>。高井祥先生担任提名委员会主任。</w:t>
      </w:r>
    </w:p>
    <w:p>
      <w:pPr>
        <w:ind w:firstLineChars="200" w:firstLine="420"/>
        <w:jc w:val="both"/>
        <w:rPr>
          <w:rFonts w:ascii="宋体" w:hAnsi="宋体"/>
        </w:rPr>
      </w:pPr>
      <w:r>
        <w:rPr>
          <w:rFonts w:ascii="宋体" w:hAnsi="宋体" w:hint="eastAsia"/>
        </w:rPr>
        <w:lastRenderedPageBreak/>
        <w:t>1.董事会提名委员会的主要职责包括：a.根据公司的经营情况、资产规模和股权结构，每年至少一次检审董事会的架构、人数和组成（包括技能、知识及经验方面），并就任何为配合公司策略而拟对董事会作出的变动提出建议；b.研究董事、高级管理人员的选择标准、程序和方法，并向董事会提出建议；c.遴选具备适合资格可担任公司董事、高级管理人员的人选，并挑选提名有关人士出任董事、高级管理人员和就此向董事会提出建议；d.对董事、高级管理人员候选人的资格进行审查，并向董事会提出意见及任职建议；e.对董事、高级管理人员的委任或重新委任以及董事、高级管理人员的继任计划等有关事宜向董事会提出建议；f.评估独立董事的独立性。</w:t>
      </w:r>
    </w:p>
    <w:p>
      <w:pPr>
        <w:ind w:firstLineChars="200" w:firstLine="420"/>
        <w:jc w:val="both"/>
        <w:rPr>
          <w:rFonts w:ascii="宋体" w:hAnsi="宋体"/>
        </w:rPr>
      </w:pPr>
      <w:r>
        <w:rPr>
          <w:rFonts w:ascii="宋体" w:hAnsi="宋体" w:hint="eastAsia"/>
        </w:rPr>
        <w:t>2.本公司董事会成员多元化政策概要</w:t>
      </w:r>
    </w:p>
    <w:p>
      <w:pPr>
        <w:ind w:firstLineChars="200" w:firstLine="420"/>
        <w:jc w:val="both"/>
        <w:rPr>
          <w:rFonts w:ascii="宋体" w:hAnsi="宋体"/>
        </w:rPr>
      </w:pPr>
      <w:r>
        <w:rPr>
          <w:rFonts w:ascii="宋体" w:hAnsi="宋体" w:hint="eastAsia"/>
        </w:rPr>
        <w:t>提名委员会从多个方面考虑董事会成员多元化，包括但不限于性别、年龄、文化及教育背景、专业经验、技能及服务年限等。在考虑上述有关因素后，提名委员会按董事人选的长处及可为公司及董事会作出的贡献，向董事会提出最终的委任建议。</w:t>
      </w:r>
    </w:p>
    <w:p>
      <w:pPr>
        <w:ind w:firstLineChars="200" w:firstLine="420"/>
        <w:jc w:val="both"/>
        <w:rPr>
          <w:rFonts w:ascii="宋体" w:hAnsi="宋体"/>
        </w:rPr>
      </w:pPr>
      <w:r>
        <w:rPr>
          <w:rFonts w:ascii="宋体" w:hAnsi="宋体" w:hint="eastAsia"/>
        </w:rPr>
        <w:t>3.本公司董事提名政策及执行情况</w:t>
      </w:r>
    </w:p>
    <w:p>
      <w:pPr>
        <w:ind w:firstLineChars="200" w:firstLine="420"/>
        <w:jc w:val="both"/>
        <w:rPr>
          <w:rFonts w:ascii="宋体" w:hAnsi="宋体"/>
        </w:rPr>
      </w:pPr>
      <w:r>
        <w:rPr>
          <w:rFonts w:ascii="宋体" w:hAnsi="宋体" w:hint="eastAsia"/>
        </w:rPr>
        <w:t>职工董事由公司职工通过职工代表大会或者其他形式民主选举产生。</w:t>
      </w:r>
    </w:p>
    <w:p>
      <w:pPr>
        <w:ind w:firstLineChars="200" w:firstLine="420"/>
        <w:jc w:val="both"/>
        <w:rPr>
          <w:rFonts w:ascii="宋体" w:hAnsi="宋体"/>
        </w:rPr>
      </w:pPr>
      <w:r>
        <w:rPr>
          <w:rFonts w:ascii="宋体" w:hAnsi="宋体" w:hint="eastAsia"/>
        </w:rPr>
        <w:t>非职工代表董事候选人一般情况下由公司董事会以提案方式提交股东会。公司股东可按《公司章程》规定提名非职工代表董事候选人。</w:t>
      </w:r>
    </w:p>
    <w:p>
      <w:pPr>
        <w:ind w:firstLineChars="200" w:firstLine="420"/>
        <w:jc w:val="both"/>
        <w:rPr>
          <w:rFonts w:ascii="宋体" w:hAnsi="宋体"/>
          <w:bCs/>
        </w:rPr>
      </w:pPr>
      <w:r>
        <w:rPr>
          <w:rFonts w:ascii="宋体" w:hAnsi="宋体" w:hint="eastAsia"/>
        </w:rPr>
        <w:t>公司董事会、董事会审计委员会、单独或者合并持有公司已发行股份百分之一以上的股东可以提出独立董事候选人，并经股东会选举决定。报告期内</w:t>
      </w:r>
      <w:r>
        <w:rPr>
          <w:rFonts w:ascii="宋体" w:hAnsi="宋体" w:hint="eastAsia"/>
          <w:bCs/>
        </w:rPr>
        <w:t>董事会提名委员会召开4次会议，具体情况如下：</w:t>
      </w:r>
    </w:p>
    <w:p>
      <w:pPr>
        <w:ind w:firstLineChars="200" w:firstLine="420"/>
        <w:rPr>
          <w:rFonts w:ascii="宋体" w:hAnsi="宋体"/>
        </w:rPr>
      </w:pPr>
    </w:p>
    <w:tbl>
      <w:tblPr>
        <w:tblStyle w:val="Style63"/>
        <w:tblW w:w="91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2268"/>
        <w:gridCol w:w="2835"/>
        <w:gridCol w:w="850"/>
        <w:gridCol w:w="652"/>
        <w:gridCol w:w="1485"/>
      </w:tblGrid>
      <w:tr>
        <w:sdt>
          <w:sdtPr>
            <w:rPr>
              <w:rFonts w:ascii="宋体" w:hAnsi="宋体"/>
            </w:rPr>
            <w:tag w:val="_PLD_81aefc289fbf48b1865138608d8bd14f"/>
            <w:id w:val="2111079826"/>
          </w:sdtPr>
          <w:sdtContent>
            <w:tc>
              <w:tcPr>
                <w:tcW w:w="1032" w:type="dxa"/>
                <w:vAlign w:val="center"/>
              </w:tcPr>
              <w:p>
                <w:pPr>
                  <w:jc w:val="center"/>
                  <w:rPr>
                    <w:rFonts w:ascii="宋体" w:hAnsi="宋体"/>
                  </w:rPr>
                </w:pPr>
                <w:r>
                  <w:rPr>
                    <w:rFonts w:ascii="宋体" w:hAnsi="宋体" w:hint="eastAsia"/>
                  </w:rPr>
                  <w:t>召开日期</w:t>
                </w:r>
              </w:p>
            </w:tc>
          </w:sdtContent>
        </w:sdt>
        <w:sdt>
          <w:sdtPr>
            <w:rPr>
              <w:rFonts w:ascii="宋体" w:hAnsi="宋体"/>
            </w:rPr>
            <w:tag w:val="_PLD_9d24b601ec70414eb969daf6b393edc8"/>
            <w:id w:val="-1785644942"/>
          </w:sdtPr>
          <w:sdtContent>
            <w:tc>
              <w:tcPr>
                <w:tcW w:w="2268" w:type="dxa"/>
                <w:vAlign w:val="center"/>
              </w:tcPr>
              <w:p>
                <w:pPr>
                  <w:jc w:val="center"/>
                  <w:rPr>
                    <w:rFonts w:ascii="宋体" w:hAnsi="宋体"/>
                  </w:rPr>
                </w:pPr>
                <w:r>
                  <w:rPr>
                    <w:rFonts w:ascii="宋体" w:hAnsi="宋体" w:hint="eastAsia"/>
                  </w:rPr>
                  <w:t>会议内容</w:t>
                </w:r>
              </w:p>
            </w:tc>
          </w:sdtContent>
        </w:sdt>
        <w:sdt>
          <w:sdtPr>
            <w:rPr>
              <w:rFonts w:ascii="宋体" w:hAnsi="宋体"/>
            </w:rPr>
            <w:tag w:val="_PLD_6ea19dadc3684e98a6d98faaf035a9d9"/>
            <w:id w:val="-1302985771"/>
          </w:sdtPr>
          <w:sdtContent>
            <w:tc>
              <w:tcPr>
                <w:tcW w:w="2835" w:type="dxa"/>
                <w:vAlign w:val="center"/>
              </w:tcPr>
              <w:p>
                <w:pPr>
                  <w:jc w:val="center"/>
                  <w:rPr>
                    <w:rFonts w:ascii="宋体" w:hAnsi="宋体"/>
                  </w:rPr>
                </w:pPr>
                <w:r>
                  <w:rPr>
                    <w:rFonts w:ascii="宋体" w:hAnsi="宋体" w:hint="eastAsia"/>
                  </w:rPr>
                  <w:t>重要意见和建议</w:t>
                </w:r>
              </w:p>
            </w:tc>
          </w:sdtContent>
        </w:sdt>
        <w:tc>
          <w:tcPr>
            <w:tcW w:w="850" w:type="dxa"/>
            <w:vAlign w:val="center"/>
          </w:tcPr>
          <w:p>
            <w:pPr>
              <w:jc w:val="center"/>
              <w:rPr>
                <w:rFonts w:ascii="宋体" w:hAnsi="宋体"/>
              </w:rPr>
            </w:pPr>
            <w:r>
              <w:rPr>
                <w:rFonts w:ascii="宋体" w:hAnsi="宋体" w:hint="eastAsia"/>
              </w:rPr>
              <w:t>委员</w:t>
            </w:r>
          </w:p>
        </w:tc>
        <w:tc>
          <w:tcPr>
            <w:tcW w:w="652" w:type="dxa"/>
            <w:vAlign w:val="center"/>
          </w:tcPr>
          <w:p>
            <w:pPr>
              <w:jc w:val="center"/>
              <w:rPr>
                <w:rFonts w:ascii="宋体" w:hAnsi="宋体"/>
              </w:rPr>
            </w:pPr>
            <w:r>
              <w:rPr>
                <w:rFonts w:ascii="宋体" w:hAnsi="宋体" w:hint="eastAsia"/>
              </w:rPr>
              <w:t>出席会议</w:t>
            </w:r>
          </w:p>
        </w:tc>
        <w:sdt>
          <w:sdtPr>
            <w:rPr>
              <w:rFonts w:ascii="宋体" w:hAnsi="宋体"/>
            </w:rPr>
            <w:tag w:val="_PLD_ef03d3ffb00740008011022cb6a96805"/>
            <w:id w:val="1525589134"/>
          </w:sdtPr>
          <w:sdtContent>
            <w:tc>
              <w:tcPr>
                <w:tcW w:w="1485" w:type="dxa"/>
                <w:vAlign w:val="center"/>
              </w:tcPr>
              <w:p>
                <w:pPr>
                  <w:jc w:val="center"/>
                  <w:rPr>
                    <w:rFonts w:ascii="宋体" w:hAnsi="宋体"/>
                  </w:rPr>
                </w:pPr>
                <w:r>
                  <w:rPr>
                    <w:rFonts w:ascii="宋体" w:hAnsi="宋体" w:hint="eastAsia"/>
                  </w:rPr>
                  <w:t>其他履行职责情况</w:t>
                </w:r>
              </w:p>
            </w:tc>
          </w:sdtContent>
        </w:sdt>
      </w:tr>
      <w:tr>
        <w:tc>
          <w:tcPr>
            <w:tcW w:w="1032" w:type="dxa"/>
            <w:vAlign w:val="center"/>
          </w:tcPr>
          <w:p>
            <w:pPr>
              <w:jc w:val="both"/>
              <w:rPr>
                <w:rFonts w:ascii="宋体" w:hAnsi="宋体"/>
              </w:rPr>
            </w:pPr>
            <w:r>
              <w:rPr>
                <w:rFonts w:ascii="宋体" w:hAnsi="宋体" w:hint="eastAsia"/>
              </w:rPr>
              <w:t>2025年2月21日</w:t>
            </w:r>
          </w:p>
        </w:tc>
        <w:tc>
          <w:tcPr>
            <w:tcW w:w="2268" w:type="dxa"/>
            <w:vAlign w:val="center"/>
          </w:tcPr>
          <w:p>
            <w:pPr>
              <w:jc w:val="both"/>
              <w:rPr>
                <w:rFonts w:ascii="宋体" w:hAnsi="宋体"/>
              </w:rPr>
            </w:pPr>
            <w:r>
              <w:rPr>
                <w:rFonts w:ascii="宋体" w:hAnsi="宋体" w:hint="eastAsia"/>
              </w:rPr>
              <w:t>关于提名公司董事的议案。</w:t>
            </w:r>
          </w:p>
        </w:tc>
        <w:tc>
          <w:tcPr>
            <w:tcW w:w="2835" w:type="dxa"/>
            <w:vAlign w:val="center"/>
          </w:tcPr>
          <w:p>
            <w:pPr>
              <w:jc w:val="both"/>
              <w:rPr>
                <w:rFonts w:ascii="宋体" w:hAnsi="宋体"/>
              </w:rPr>
            </w:pPr>
            <w:r>
              <w:rPr>
                <w:rFonts w:ascii="宋体" w:hAnsi="宋体" w:hint="eastAsia"/>
              </w:rPr>
              <w:t>通过《关于提名公司董事的议案》，并向董事会</w:t>
            </w:r>
            <w:r>
              <w:rPr>
                <w:rFonts w:ascii="宋体" w:hAnsi="宋体"/>
              </w:rPr>
              <w:t>提名王九红先生为公司非职工代表董事</w:t>
            </w:r>
            <w:r>
              <w:rPr>
                <w:rFonts w:ascii="宋体" w:hAnsi="宋体" w:hint="eastAsia"/>
              </w:rPr>
              <w:t>。</w:t>
            </w:r>
          </w:p>
        </w:tc>
        <w:tc>
          <w:tcPr>
            <w:tcW w:w="850" w:type="dxa"/>
            <w:vAlign w:val="center"/>
          </w:tcPr>
          <w:p>
            <w:pPr>
              <w:jc w:val="center"/>
              <w:rPr>
                <w:rFonts w:ascii="宋体" w:hAnsi="宋体"/>
              </w:rPr>
            </w:pPr>
            <w:r>
              <w:rPr>
                <w:rFonts w:ascii="宋体" w:hAnsi="宋体" w:hint="eastAsia"/>
              </w:rPr>
              <w:t>彭苏萍</w:t>
            </w:r>
          </w:p>
          <w:p>
            <w:pPr>
              <w:jc w:val="center"/>
              <w:rPr>
                <w:rFonts w:ascii="宋体" w:hAnsi="宋体"/>
              </w:rPr>
            </w:pPr>
            <w:r>
              <w:rPr>
                <w:rFonts w:ascii="宋体" w:hAnsi="宋体" w:hint="eastAsia"/>
              </w:rPr>
              <w:t>李  伟</w:t>
            </w:r>
          </w:p>
          <w:p>
            <w:pPr>
              <w:jc w:val="center"/>
              <w:rPr>
                <w:rFonts w:ascii="宋体" w:hAnsi="宋体"/>
              </w:rPr>
            </w:pPr>
            <w:r>
              <w:rPr>
                <w:rFonts w:ascii="宋体" w:hAnsi="宋体" w:hint="eastAsia"/>
              </w:rPr>
              <w:t>胡家栋</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5" w:type="dxa"/>
            <w:vAlign w:val="center"/>
          </w:tcPr>
          <w:p>
            <w:pPr>
              <w:jc w:val="center"/>
              <w:rPr>
                <w:rFonts w:ascii="宋体" w:hAnsi="宋体"/>
              </w:rPr>
            </w:pPr>
            <w:r>
              <w:rPr>
                <w:rFonts w:ascii="宋体" w:hAnsi="宋体" w:hint="eastAsia"/>
              </w:rPr>
              <w:t>经审阅王九红先生个人履历等相关资料，王九红先生任职资格符合《公司法》、上市地监管规则及《公司章程》相关规定。</w:t>
            </w:r>
          </w:p>
        </w:tc>
      </w:tr>
      <w:tr>
        <w:tc>
          <w:tcPr>
            <w:tcW w:w="1032" w:type="dxa"/>
            <w:vAlign w:val="center"/>
          </w:tcPr>
          <w:p>
            <w:pPr>
              <w:jc w:val="both"/>
              <w:rPr>
                <w:rFonts w:ascii="宋体" w:hAnsi="宋体"/>
              </w:rPr>
            </w:pPr>
            <w:r>
              <w:rPr>
                <w:rFonts w:ascii="宋体" w:hAnsi="宋体" w:hint="eastAsia"/>
              </w:rPr>
              <w:t>2025年4月7日</w:t>
            </w:r>
          </w:p>
        </w:tc>
        <w:tc>
          <w:tcPr>
            <w:tcW w:w="2268" w:type="dxa"/>
            <w:vAlign w:val="center"/>
          </w:tcPr>
          <w:p>
            <w:pPr>
              <w:jc w:val="both"/>
              <w:rPr>
                <w:rFonts w:ascii="宋体" w:hAnsi="宋体"/>
              </w:rPr>
            </w:pPr>
            <w:r>
              <w:rPr>
                <w:rFonts w:ascii="宋体" w:hAnsi="宋体" w:hint="eastAsia"/>
              </w:rPr>
              <w:t>关于提名公司高级管理人员的议案。</w:t>
            </w:r>
          </w:p>
        </w:tc>
        <w:tc>
          <w:tcPr>
            <w:tcW w:w="2835" w:type="dxa"/>
            <w:vAlign w:val="center"/>
          </w:tcPr>
          <w:p>
            <w:pPr>
              <w:jc w:val="both"/>
              <w:rPr>
                <w:rFonts w:ascii="宋体" w:hAnsi="宋体"/>
              </w:rPr>
            </w:pPr>
            <w:r>
              <w:rPr>
                <w:rFonts w:ascii="宋体" w:hAnsi="宋体" w:hint="eastAsia"/>
              </w:rPr>
              <w:t>通过《关于提名公司高级管理人员的议案》，并向董事会提名</w:t>
            </w:r>
            <w:r>
              <w:rPr>
                <w:rFonts w:ascii="宋体" w:hAnsi="宋体"/>
              </w:rPr>
              <w:t>康丹先生、徐长厚先生为公司副总经理，齐俊铭先生为公司安全总监</w:t>
            </w:r>
            <w:r>
              <w:rPr>
                <w:rFonts w:ascii="宋体" w:hAnsi="宋体" w:hint="eastAsia"/>
              </w:rPr>
              <w:t>。</w:t>
            </w:r>
          </w:p>
        </w:tc>
        <w:tc>
          <w:tcPr>
            <w:tcW w:w="850" w:type="dxa"/>
            <w:vAlign w:val="center"/>
          </w:tcPr>
          <w:p>
            <w:pPr>
              <w:jc w:val="center"/>
              <w:rPr>
                <w:rFonts w:ascii="宋体" w:hAnsi="宋体"/>
              </w:rPr>
            </w:pPr>
            <w:r>
              <w:rPr>
                <w:rFonts w:ascii="宋体" w:hAnsi="宋体" w:hint="eastAsia"/>
              </w:rPr>
              <w:t>彭苏萍</w:t>
            </w:r>
          </w:p>
          <w:p>
            <w:pPr>
              <w:jc w:val="center"/>
              <w:rPr>
                <w:rFonts w:ascii="宋体" w:hAnsi="宋体"/>
              </w:rPr>
            </w:pPr>
            <w:r>
              <w:rPr>
                <w:rFonts w:ascii="宋体" w:hAnsi="宋体" w:hint="eastAsia"/>
              </w:rPr>
              <w:t>李  伟</w:t>
            </w:r>
          </w:p>
          <w:p>
            <w:pPr>
              <w:jc w:val="center"/>
              <w:rPr>
                <w:rFonts w:ascii="宋体" w:hAnsi="宋体"/>
              </w:rPr>
            </w:pPr>
            <w:r>
              <w:rPr>
                <w:rFonts w:ascii="宋体" w:hAnsi="宋体" w:hint="eastAsia"/>
              </w:rPr>
              <w:t>胡家栋</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5" w:type="dxa"/>
            <w:vAlign w:val="center"/>
          </w:tcPr>
          <w:p>
            <w:pPr>
              <w:jc w:val="both"/>
              <w:rPr>
                <w:rFonts w:ascii="宋体" w:hAnsi="宋体"/>
              </w:rPr>
            </w:pPr>
            <w:r>
              <w:rPr>
                <w:rFonts w:ascii="宋体" w:hAnsi="宋体" w:hint="eastAsia"/>
              </w:rPr>
              <w:t>经审阅康丹、徐长厚、齐俊铭各位先生个人履历等相关资料，康丹、徐长厚、齐俊铭各位先生任职资格符合《公司法》、上市地监管规则及《公司章程》相关规定。</w:t>
            </w:r>
          </w:p>
        </w:tc>
      </w:tr>
      <w:tr>
        <w:tc>
          <w:tcPr>
            <w:tcW w:w="1032" w:type="dxa"/>
            <w:vAlign w:val="center"/>
          </w:tcPr>
          <w:p>
            <w:pPr>
              <w:jc w:val="both"/>
              <w:rPr>
                <w:rFonts w:ascii="宋体" w:hAnsi="宋体"/>
              </w:rPr>
            </w:pPr>
            <w:r>
              <w:rPr>
                <w:rFonts w:ascii="宋体" w:hAnsi="宋体" w:hint="eastAsia"/>
              </w:rPr>
              <w:t>2025年4月16日</w:t>
            </w:r>
          </w:p>
        </w:tc>
        <w:tc>
          <w:tcPr>
            <w:tcW w:w="2268" w:type="dxa"/>
            <w:vAlign w:val="center"/>
          </w:tcPr>
          <w:p>
            <w:pPr>
              <w:jc w:val="both"/>
              <w:rPr>
                <w:rFonts w:ascii="宋体" w:hAnsi="宋体"/>
              </w:rPr>
            </w:pPr>
            <w:r>
              <w:rPr>
                <w:rFonts w:ascii="宋体" w:hAnsi="宋体" w:hint="eastAsia"/>
              </w:rPr>
              <w:t>关于提名公司独立董事的议案。</w:t>
            </w:r>
          </w:p>
        </w:tc>
        <w:tc>
          <w:tcPr>
            <w:tcW w:w="2835" w:type="dxa"/>
            <w:vAlign w:val="center"/>
          </w:tcPr>
          <w:p>
            <w:pPr>
              <w:jc w:val="both"/>
              <w:rPr>
                <w:rFonts w:ascii="宋体" w:hAnsi="宋体"/>
              </w:rPr>
            </w:pPr>
            <w:r>
              <w:rPr>
                <w:rFonts w:ascii="宋体" w:hAnsi="宋体" w:hint="eastAsia"/>
              </w:rPr>
              <w:t>通过《关于提名公司独立董事的议案》，并向董事会提名高井祥先生为公司独立董事。</w:t>
            </w:r>
          </w:p>
        </w:tc>
        <w:tc>
          <w:tcPr>
            <w:tcW w:w="850" w:type="dxa"/>
            <w:vAlign w:val="center"/>
          </w:tcPr>
          <w:p>
            <w:pPr>
              <w:jc w:val="center"/>
              <w:rPr>
                <w:rFonts w:ascii="宋体" w:hAnsi="宋体"/>
              </w:rPr>
            </w:pPr>
            <w:r>
              <w:rPr>
                <w:rFonts w:ascii="宋体" w:hAnsi="宋体" w:hint="eastAsia"/>
              </w:rPr>
              <w:t>彭苏萍</w:t>
            </w:r>
          </w:p>
          <w:p>
            <w:pPr>
              <w:jc w:val="center"/>
              <w:rPr>
                <w:rFonts w:ascii="宋体" w:hAnsi="宋体"/>
              </w:rPr>
            </w:pPr>
            <w:r>
              <w:rPr>
                <w:rFonts w:ascii="宋体" w:hAnsi="宋体" w:hint="eastAsia"/>
              </w:rPr>
              <w:t>李  伟</w:t>
            </w:r>
          </w:p>
          <w:p>
            <w:pPr>
              <w:jc w:val="center"/>
              <w:rPr>
                <w:rFonts w:ascii="宋体" w:hAnsi="宋体"/>
              </w:rPr>
            </w:pPr>
            <w:r>
              <w:rPr>
                <w:rFonts w:ascii="宋体" w:hAnsi="宋体" w:hint="eastAsia"/>
              </w:rPr>
              <w:t>胡家栋</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5" w:type="dxa"/>
            <w:vAlign w:val="center"/>
          </w:tcPr>
          <w:p>
            <w:pPr>
              <w:jc w:val="both"/>
              <w:rPr>
                <w:rFonts w:ascii="宋体" w:hAnsi="宋体"/>
              </w:rPr>
            </w:pPr>
            <w:r>
              <w:rPr>
                <w:rFonts w:ascii="宋体" w:hAnsi="宋体" w:hint="eastAsia"/>
              </w:rPr>
              <w:t>经审阅高井祥先生个人履历等相关资料，高井祥先生任职资格符合《公司法》、上市地监管规</w:t>
            </w:r>
            <w:r>
              <w:rPr>
                <w:rFonts w:ascii="宋体" w:hAnsi="宋体" w:hint="eastAsia"/>
              </w:rPr>
              <w:lastRenderedPageBreak/>
              <w:t>则及《公司章程》相关规定。</w:t>
            </w:r>
          </w:p>
        </w:tc>
      </w:tr>
      <w:tr>
        <w:tc>
          <w:tcPr>
            <w:tcW w:w="1032" w:type="dxa"/>
            <w:vAlign w:val="center"/>
          </w:tcPr>
          <w:p>
            <w:pPr>
              <w:jc w:val="both"/>
              <w:rPr>
                <w:rFonts w:ascii="宋体" w:hAnsi="宋体"/>
              </w:rPr>
            </w:pPr>
            <w:r>
              <w:rPr>
                <w:rFonts w:ascii="宋体" w:hAnsi="宋体" w:hint="eastAsia"/>
              </w:rPr>
              <w:lastRenderedPageBreak/>
              <w:t>2025年11月25日</w:t>
            </w:r>
          </w:p>
        </w:tc>
        <w:tc>
          <w:tcPr>
            <w:tcW w:w="2268" w:type="dxa"/>
            <w:vAlign w:val="center"/>
          </w:tcPr>
          <w:p>
            <w:pPr>
              <w:jc w:val="both"/>
              <w:rPr>
                <w:rFonts w:ascii="宋体" w:hAnsi="宋体"/>
              </w:rPr>
            </w:pPr>
            <w:r>
              <w:rPr>
                <w:rFonts w:ascii="宋体" w:hAnsi="宋体" w:hint="eastAsia"/>
              </w:rPr>
              <w:t>关于提名公司副总经理的议案。</w:t>
            </w:r>
          </w:p>
        </w:tc>
        <w:tc>
          <w:tcPr>
            <w:tcW w:w="2835" w:type="dxa"/>
            <w:vAlign w:val="center"/>
          </w:tcPr>
          <w:p>
            <w:pPr>
              <w:jc w:val="both"/>
              <w:rPr>
                <w:rFonts w:ascii="宋体" w:hAnsi="宋体"/>
              </w:rPr>
            </w:pPr>
            <w:r>
              <w:rPr>
                <w:rFonts w:ascii="宋体" w:hAnsi="宋体" w:hint="eastAsia"/>
              </w:rPr>
              <w:t>通过《关于提名公司副总经理的议案》，并向董事会提名李建忠先生为公司副总经理。</w:t>
            </w:r>
          </w:p>
        </w:tc>
        <w:tc>
          <w:tcPr>
            <w:tcW w:w="850" w:type="dxa"/>
            <w:vAlign w:val="center"/>
          </w:tcPr>
          <w:p>
            <w:pPr>
              <w:jc w:val="center"/>
              <w:rPr>
                <w:rFonts w:ascii="宋体" w:hAnsi="宋体"/>
              </w:rPr>
            </w:pPr>
            <w:r>
              <w:rPr>
                <w:rFonts w:ascii="宋体" w:hAnsi="宋体" w:hint="eastAsia"/>
              </w:rPr>
              <w:t>高井祥</w:t>
            </w:r>
          </w:p>
          <w:p>
            <w:pPr>
              <w:jc w:val="center"/>
              <w:rPr>
                <w:rFonts w:ascii="宋体" w:hAnsi="宋体"/>
              </w:rPr>
            </w:pPr>
            <w:r>
              <w:rPr>
                <w:rFonts w:ascii="宋体" w:hAnsi="宋体" w:hint="eastAsia"/>
              </w:rPr>
              <w:t>李  伟</w:t>
            </w:r>
          </w:p>
          <w:p>
            <w:pPr>
              <w:jc w:val="center"/>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5" w:type="dxa"/>
            <w:vAlign w:val="center"/>
          </w:tcPr>
          <w:p>
            <w:pPr>
              <w:jc w:val="center"/>
              <w:rPr>
                <w:rFonts w:ascii="宋体" w:hAnsi="宋体"/>
              </w:rPr>
            </w:pPr>
            <w:r>
              <w:rPr>
                <w:rFonts w:ascii="宋体" w:hAnsi="宋体" w:hint="eastAsia"/>
              </w:rPr>
              <w:t>经审阅李建忠先生个人履历等相关资料，李建忠先生任职资格符合《公司法》、上市地监管规则及《公司章程》相关规定。</w:t>
            </w:r>
          </w:p>
        </w:tc>
      </w:tr>
    </w:tbl>
    <w:p>
      <w:pPr>
        <w:pStyle w:val="Style61"/>
      </w:pPr>
    </w:p>
    <w:p>
      <w:pPr>
        <w:ind w:firstLineChars="200" w:firstLine="420"/>
        <w:jc w:val="both"/>
        <w:rPr>
          <w:rFonts w:ascii="宋体" w:hAnsi="宋体"/>
          <w:bCs/>
        </w:rPr>
      </w:pPr>
      <w:r>
        <w:rPr>
          <w:rFonts w:ascii="宋体" w:hAnsi="宋体" w:hint="eastAsia"/>
        </w:rPr>
        <w:t>注：</w:t>
      </w:r>
      <w:bookmarkStart w:id="160" w:name="OLE_LINK22"/>
      <w:r>
        <w:rPr>
          <w:rFonts w:ascii="宋体" w:hAnsi="宋体" w:hint="eastAsia"/>
        </w:rPr>
        <w:t>经公司</w:t>
      </w:r>
      <w:bookmarkEnd w:id="160"/>
      <w:r>
        <w:rPr>
          <w:rFonts w:ascii="宋体" w:hAnsi="宋体" w:hint="eastAsia"/>
        </w:rPr>
        <w:t>2023年6月30日召开的第九届董事会第一次会议讨论审议，批准由彭苏萍先生、胡家栋先生、李伟先生三位委员组成公司第九届董事会提名委员会，彭苏萍先生担任提名委员会主任。经公司</w:t>
      </w:r>
      <w:r>
        <w:rPr>
          <w:rFonts w:ascii="宋体" w:hAnsi="宋体"/>
        </w:rPr>
        <w:t>2025年5月30</w:t>
      </w:r>
      <w:r>
        <w:rPr>
          <w:rFonts w:ascii="宋体" w:hAnsi="宋体" w:hint="eastAsia"/>
        </w:rPr>
        <w:t>日召开的第九届董事会第十七次会议讨论审议，批准</w:t>
      </w:r>
      <w:r>
        <w:rPr>
          <w:rFonts w:ascii="宋体" w:hAnsi="宋体"/>
        </w:rPr>
        <w:t>高井祥先生进入提名委员会并担任主任委员</w:t>
      </w:r>
      <w:r>
        <w:rPr>
          <w:rFonts w:ascii="宋体" w:hAnsi="宋体" w:hint="eastAsia"/>
        </w:rPr>
        <w:t>；</w:t>
      </w:r>
      <w:r>
        <w:rPr>
          <w:rFonts w:ascii="宋体" w:hAnsi="宋体"/>
        </w:rPr>
        <w:t>朱睿女士替换胡家栋先生，担任提名委员会委员</w:t>
      </w:r>
      <w:r>
        <w:rPr>
          <w:rFonts w:ascii="宋体" w:hAnsi="宋体" w:hint="eastAsia"/>
        </w:rPr>
        <w:t>。</w:t>
      </w:r>
      <w:r>
        <w:rPr>
          <w:rFonts w:ascii="宋体" w:hAnsi="宋体" w:hint="eastAsia"/>
          <w:bCs/>
        </w:rPr>
        <w:t>彭苏萍先生因中国工程院院士兼职规范工作要求，不再担任公司独立董事。</w:t>
      </w:r>
    </w:p>
    <w:p>
      <w:pPr>
        <w:ind w:firstLineChars="200" w:firstLine="420"/>
        <w:jc w:val="both"/>
        <w:rPr>
          <w:rFonts w:ascii="宋体" w:hAnsi="宋体"/>
        </w:rPr>
      </w:pPr>
      <w:r>
        <w:rPr>
          <w:rFonts w:ascii="宋体" w:hAnsi="宋体" w:hint="eastAsia"/>
        </w:rPr>
        <w:t>报告期内，按照《公司章程》等相关规定，董事会提名委员会根据公司的经营情况、资产规模和股权结构，检讨董事会的架构、人数和构成（包括技能、知识及经验方面），认为当前董事会构成和规模符合公司发展策略；公司独立非执行董事的独立性均符合要求。</w:t>
      </w:r>
    </w:p>
    <w:p>
      <w:pPr>
        <w:pStyle w:val="Style49"/>
      </w:pPr>
    </w:p>
    <w:p>
      <w:pPr>
        <w:pStyle w:val="Style52"/>
        <w:numPr>
          <w:ilvl w:val="0"/>
          <w:numId w:val="28"/>
        </w:numPr>
      </w:pPr>
      <w:r>
        <w:rPr>
          <w:rFonts w:hint="eastAsia"/>
        </w:rPr>
        <w:t>报告期内</w:t>
      </w:r>
      <w:sdt>
        <w:sdtPr>
          <w:rPr>
            <w:rFonts w:ascii="宋体" w:hAnsi="宋体" w:cs="宋体" w:hint="eastAsia"/>
            <w:kern w:val="0"/>
            <w:szCs w:val="24"/>
          </w:rPr>
          <w:alias w:val="召开会议的专门委员会类别"/>
          <w:tag w:val="_GBC_adf76ecbe3584f07b573642215a867bd"/>
          <w:id w:val="1174229582"/>
        </w:sdtPr>
        <w:sdtContent>
          <w:r>
            <w:rPr>
              <w:rFonts w:hint="eastAsia"/>
            </w:rPr>
            <w:t>董事会薪酬</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931594361"/>
        </w:sdtPr>
        <w:sdtEndPr>
          <w:rPr>
            <w:rFonts w:asciiTheme="minorEastAsia" w:eastAsiaTheme="minorEastAsia" w:hAnsiTheme="minorEastAsia"/>
          </w:rPr>
        </w:sdtEndPr>
        <w:sdtContent>
          <w:r>
            <w:rPr>
              <w:rFonts w:hint="eastAsia"/>
            </w:rPr>
            <w:t>2</w:t>
          </w:r>
        </w:sdtContent>
      </w:sdt>
      <w:r>
        <w:rPr>
          <w:rFonts w:hint="eastAsia"/>
        </w:rPr>
        <w:t>次会议</w:t>
      </w:r>
    </w:p>
    <w:p>
      <w:pPr>
        <w:ind w:firstLineChars="200" w:firstLine="420"/>
        <w:jc w:val="both"/>
        <w:rPr>
          <w:sz w:val="22"/>
        </w:rPr>
      </w:pPr>
      <w:r>
        <w:rPr>
          <w:rFonts w:ascii="宋体" w:hAnsi="宋体" w:hint="eastAsia"/>
        </w:rPr>
        <w:t>公司董事会薪酬委员会委员为独立董事</w:t>
      </w:r>
      <w:r>
        <w:rPr>
          <w:rFonts w:hint="eastAsia"/>
          <w:sz w:val="22"/>
        </w:rPr>
        <w:t>朱利民、胡家栋、高井祥</w:t>
      </w:r>
      <w:r>
        <w:rPr>
          <w:rFonts w:ascii="宋体" w:hAnsi="宋体" w:hint="eastAsia"/>
        </w:rPr>
        <w:t>各位先生。朱利民先生担任</w:t>
      </w:r>
      <w:r>
        <w:rPr>
          <w:rFonts w:ascii="宋体" w:hAnsi="宋体" w:cs="宋体" w:hint="eastAsia"/>
          <w:szCs w:val="24"/>
        </w:rPr>
        <w:t>薪酬委员会</w:t>
      </w:r>
      <w:r>
        <w:rPr>
          <w:rFonts w:ascii="宋体" w:hAnsi="宋体" w:hint="eastAsia"/>
        </w:rPr>
        <w:t>主任。</w:t>
      </w:r>
    </w:p>
    <w:p>
      <w:pPr>
        <w:ind w:firstLineChars="200" w:firstLine="420"/>
        <w:jc w:val="both"/>
        <w:rPr>
          <w:rFonts w:ascii="宋体" w:hAnsi="宋体"/>
        </w:rPr>
      </w:pPr>
      <w:r>
        <w:rPr>
          <w:rFonts w:ascii="宋体" w:hAnsi="宋体" w:hint="eastAsia"/>
        </w:rPr>
        <w:t>董事会薪酬委员会的主要职责包括：a.考虑董事及高级管理人员岗位的主要范围、所承担的职责、须付出的时间、集团内其他职位的雇佣条件以及其他相关企业相关岗位的薪酬水平等因素，制定薪酬计划或方案，并向董事会提出建议；薪酬计划或方案主要包括但不限于参照董事会通过的公司目标制定绩效评价标准、程序及主要评价体系，奖励和惩罚的主要方案和制度等；b.对公司董事及高级管理人员薪酬制度执行情况进行监督；c.参照董事会所订公司方针及目标，审查公司董事及高级管理人员的履行职责情况并对其进行年度绩效考评，向董事会提出董事及高级管理人员薪酬建议；d.对公司的股权激励方案进行研究并提出建议；e.董事、高级管理人员在拟分拆所属子公司安排持股计划。报告期内</w:t>
      </w:r>
      <w:r>
        <w:rPr>
          <w:rFonts w:ascii="宋体" w:hAnsi="宋体" w:hint="eastAsia"/>
          <w:bCs/>
        </w:rPr>
        <w:t>董事会薪酬委员会召开2次会议。具体情况如下：</w:t>
      </w:r>
    </w:p>
    <w:p>
      <w:pPr>
        <w:ind w:firstLineChars="200" w:firstLine="420"/>
        <w:rPr>
          <w:rFonts w:ascii="宋体" w:hAnsi="宋体"/>
        </w:rPr>
      </w:pPr>
    </w:p>
    <w:tbl>
      <w:tblPr>
        <w:tblStyle w:val="Style63"/>
        <w:tblW w:w="912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2268"/>
        <w:gridCol w:w="2835"/>
        <w:gridCol w:w="850"/>
        <w:gridCol w:w="652"/>
        <w:gridCol w:w="1484"/>
      </w:tblGrid>
      <w:tr>
        <w:sdt>
          <w:sdtPr>
            <w:rPr>
              <w:rFonts w:ascii="宋体" w:hAnsi="宋体"/>
            </w:rPr>
            <w:tag w:val="_PLD_81aefc289fbf48b1865138608d8bd14f"/>
            <w:id w:val="1593125360"/>
          </w:sdtPr>
          <w:sdtContent>
            <w:tc>
              <w:tcPr>
                <w:tcW w:w="1032" w:type="dxa"/>
                <w:vAlign w:val="center"/>
              </w:tcPr>
              <w:p>
                <w:pPr>
                  <w:jc w:val="center"/>
                  <w:rPr>
                    <w:rFonts w:ascii="宋体" w:hAnsi="宋体"/>
                  </w:rPr>
                </w:pPr>
                <w:r>
                  <w:rPr>
                    <w:rFonts w:ascii="宋体" w:hAnsi="宋体" w:hint="eastAsia"/>
                  </w:rPr>
                  <w:t>召开日期</w:t>
                </w:r>
              </w:p>
            </w:tc>
          </w:sdtContent>
        </w:sdt>
        <w:sdt>
          <w:sdtPr>
            <w:rPr>
              <w:rFonts w:ascii="宋体" w:hAnsi="宋体"/>
            </w:rPr>
            <w:tag w:val="_PLD_9d24b601ec70414eb969daf6b393edc8"/>
            <w:id w:val="427468046"/>
          </w:sdtPr>
          <w:sdtContent>
            <w:tc>
              <w:tcPr>
                <w:tcW w:w="2268" w:type="dxa"/>
                <w:vAlign w:val="center"/>
              </w:tcPr>
              <w:p>
                <w:pPr>
                  <w:jc w:val="center"/>
                  <w:rPr>
                    <w:rFonts w:ascii="宋体" w:hAnsi="宋体"/>
                  </w:rPr>
                </w:pPr>
                <w:r>
                  <w:rPr>
                    <w:rFonts w:ascii="宋体" w:hAnsi="宋体" w:hint="eastAsia"/>
                  </w:rPr>
                  <w:t>会议内容</w:t>
                </w:r>
              </w:p>
            </w:tc>
          </w:sdtContent>
        </w:sdt>
        <w:sdt>
          <w:sdtPr>
            <w:rPr>
              <w:rFonts w:ascii="宋体" w:hAnsi="宋体"/>
            </w:rPr>
            <w:tag w:val="_PLD_6ea19dadc3684e98a6d98faaf035a9d9"/>
            <w:id w:val="1624507868"/>
          </w:sdtPr>
          <w:sdtContent>
            <w:tc>
              <w:tcPr>
                <w:tcW w:w="2835" w:type="dxa"/>
                <w:vAlign w:val="center"/>
              </w:tcPr>
              <w:p>
                <w:pPr>
                  <w:jc w:val="center"/>
                  <w:rPr>
                    <w:rFonts w:ascii="宋体" w:hAnsi="宋体"/>
                  </w:rPr>
                </w:pPr>
                <w:r>
                  <w:rPr>
                    <w:rFonts w:ascii="宋体" w:hAnsi="宋体" w:hint="eastAsia"/>
                  </w:rPr>
                  <w:t>重要意见和建议</w:t>
                </w:r>
              </w:p>
            </w:tc>
          </w:sdtContent>
        </w:sdt>
        <w:tc>
          <w:tcPr>
            <w:tcW w:w="850" w:type="dxa"/>
            <w:vAlign w:val="center"/>
          </w:tcPr>
          <w:p>
            <w:pPr>
              <w:jc w:val="center"/>
              <w:rPr>
                <w:rFonts w:ascii="宋体" w:hAnsi="宋体"/>
              </w:rPr>
            </w:pPr>
            <w:r>
              <w:rPr>
                <w:rFonts w:ascii="宋体" w:hAnsi="宋体" w:hint="eastAsia"/>
              </w:rPr>
              <w:t>委员</w:t>
            </w:r>
          </w:p>
        </w:tc>
        <w:tc>
          <w:tcPr>
            <w:tcW w:w="652" w:type="dxa"/>
            <w:vAlign w:val="center"/>
          </w:tcPr>
          <w:p>
            <w:pPr>
              <w:jc w:val="center"/>
              <w:rPr>
                <w:rFonts w:ascii="宋体" w:hAnsi="宋体"/>
              </w:rPr>
            </w:pPr>
            <w:r>
              <w:rPr>
                <w:rFonts w:ascii="宋体" w:hAnsi="宋体" w:hint="eastAsia"/>
              </w:rPr>
              <w:t>出席会议</w:t>
            </w:r>
          </w:p>
        </w:tc>
        <w:sdt>
          <w:sdtPr>
            <w:rPr>
              <w:rFonts w:ascii="宋体" w:hAnsi="宋体"/>
            </w:rPr>
            <w:tag w:val="_PLD_ef03d3ffb00740008011022cb6a96805"/>
            <w:id w:val="392855204"/>
          </w:sdtPr>
          <w:sdtContent>
            <w:tc>
              <w:tcPr>
                <w:tcW w:w="1484" w:type="dxa"/>
                <w:vAlign w:val="center"/>
              </w:tcPr>
              <w:p>
                <w:pPr>
                  <w:jc w:val="center"/>
                  <w:rPr>
                    <w:rFonts w:ascii="宋体" w:hAnsi="宋体"/>
                  </w:rPr>
                </w:pPr>
                <w:r>
                  <w:rPr>
                    <w:rFonts w:ascii="宋体" w:hAnsi="宋体" w:hint="eastAsia"/>
                  </w:rPr>
                  <w:t>其他履行职责情况</w:t>
                </w:r>
              </w:p>
            </w:tc>
          </w:sdtContent>
        </w:sdt>
      </w:tr>
      <w:tr>
        <w:tc>
          <w:tcPr>
            <w:tcW w:w="1032" w:type="dxa"/>
            <w:vAlign w:val="center"/>
          </w:tcPr>
          <w:p>
            <w:pPr>
              <w:jc w:val="both"/>
              <w:rPr>
                <w:rFonts w:ascii="宋体" w:hAnsi="宋体"/>
              </w:rPr>
            </w:pPr>
            <w:r>
              <w:rPr>
                <w:rFonts w:ascii="宋体" w:hAnsi="宋体" w:hint="eastAsia"/>
              </w:rPr>
              <w:t>2025年2月21日</w:t>
            </w:r>
          </w:p>
        </w:tc>
        <w:tc>
          <w:tcPr>
            <w:tcW w:w="2268" w:type="dxa"/>
            <w:vAlign w:val="center"/>
          </w:tcPr>
          <w:p>
            <w:pPr>
              <w:jc w:val="both"/>
              <w:rPr>
                <w:rFonts w:ascii="宋体" w:hAnsi="宋体"/>
              </w:rPr>
            </w:pPr>
            <w:r>
              <w:rPr>
                <w:rFonts w:ascii="宋体" w:hAnsi="宋体" w:hint="eastAsia"/>
              </w:rPr>
              <w:t>1.关于回购注销部分激励对象限制性股票的议案；</w:t>
            </w:r>
          </w:p>
          <w:p>
            <w:pPr>
              <w:jc w:val="both"/>
              <w:rPr>
                <w:rFonts w:ascii="宋体" w:hAnsi="宋体"/>
              </w:rPr>
            </w:pPr>
            <w:r>
              <w:rPr>
                <w:rFonts w:ascii="宋体" w:hAnsi="宋体" w:hint="eastAsia"/>
              </w:rPr>
              <w:t>2.关于审议批准解禁A股限制性股票激励第二批限售股份的议案。</w:t>
            </w:r>
          </w:p>
        </w:tc>
        <w:tc>
          <w:tcPr>
            <w:tcW w:w="2835" w:type="dxa"/>
            <w:vAlign w:val="center"/>
          </w:tcPr>
          <w:p>
            <w:pPr>
              <w:jc w:val="both"/>
              <w:rPr>
                <w:rFonts w:ascii="宋体" w:hAnsi="宋体"/>
              </w:rPr>
            </w:pPr>
            <w:r>
              <w:rPr>
                <w:rFonts w:ascii="宋体" w:hAnsi="宋体" w:hint="eastAsia"/>
              </w:rPr>
              <w:t>通过《关于回购注销部分激励对象限制性股票的议案》以及《关于审议批准解禁A股限制性股票激励第二批限售股份的议案》，并提交公司董事会讨论审议。</w:t>
            </w:r>
          </w:p>
        </w:tc>
        <w:tc>
          <w:tcPr>
            <w:tcW w:w="850" w:type="dxa"/>
            <w:vAlign w:val="center"/>
          </w:tcPr>
          <w:p>
            <w:pPr>
              <w:jc w:val="both"/>
              <w:rPr>
                <w:rFonts w:ascii="宋体" w:hAnsi="宋体"/>
              </w:rPr>
            </w:pPr>
            <w:r>
              <w:rPr>
                <w:rFonts w:ascii="宋体" w:hAnsi="宋体" w:hint="eastAsia"/>
              </w:rPr>
              <w:t>朱利民</w:t>
            </w:r>
          </w:p>
          <w:p>
            <w:pPr>
              <w:jc w:val="both"/>
              <w:rPr>
                <w:rFonts w:ascii="宋体" w:hAnsi="宋体"/>
              </w:rPr>
            </w:pPr>
            <w:r>
              <w:rPr>
                <w:rFonts w:ascii="宋体" w:hAnsi="宋体" w:hint="eastAsia"/>
              </w:rPr>
              <w:t>胡家栋</w:t>
            </w:r>
          </w:p>
          <w:p>
            <w:pPr>
              <w:jc w:val="both"/>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4" w:type="dxa"/>
            <w:vAlign w:val="center"/>
          </w:tcPr>
          <w:p>
            <w:pPr>
              <w:jc w:val="center"/>
              <w:rPr>
                <w:rFonts w:ascii="宋体" w:hAnsi="宋体"/>
              </w:rPr>
            </w:pPr>
            <w:r>
              <w:rPr>
                <w:rFonts w:ascii="宋体" w:hAnsi="宋体" w:hint="eastAsia"/>
              </w:rPr>
              <w:t>-</w:t>
            </w:r>
          </w:p>
        </w:tc>
      </w:tr>
      <w:tr>
        <w:tc>
          <w:tcPr>
            <w:tcW w:w="1032" w:type="dxa"/>
            <w:vAlign w:val="center"/>
          </w:tcPr>
          <w:p>
            <w:pPr>
              <w:jc w:val="both"/>
              <w:rPr>
                <w:rFonts w:ascii="宋体" w:hAnsi="宋体"/>
              </w:rPr>
            </w:pPr>
            <w:r>
              <w:rPr>
                <w:rFonts w:ascii="宋体" w:hAnsi="宋体" w:hint="eastAsia"/>
              </w:rPr>
              <w:t>2025年3月18日</w:t>
            </w:r>
          </w:p>
        </w:tc>
        <w:tc>
          <w:tcPr>
            <w:tcW w:w="2268" w:type="dxa"/>
            <w:vAlign w:val="center"/>
          </w:tcPr>
          <w:p>
            <w:pPr>
              <w:jc w:val="both"/>
              <w:rPr>
                <w:rFonts w:ascii="宋体" w:hAnsi="宋体"/>
              </w:rPr>
            </w:pPr>
            <w:r>
              <w:rPr>
                <w:rFonts w:ascii="宋体" w:hAnsi="宋体" w:hint="eastAsia"/>
              </w:rPr>
              <w:t>1.关于讨论审议董事、监事2025年度酬金的议案；</w:t>
            </w:r>
          </w:p>
          <w:p>
            <w:pPr>
              <w:jc w:val="both"/>
              <w:rPr>
                <w:rFonts w:ascii="宋体" w:hAnsi="宋体"/>
              </w:rPr>
            </w:pPr>
            <w:r>
              <w:rPr>
                <w:rFonts w:ascii="宋体" w:hAnsi="宋体" w:hint="eastAsia"/>
              </w:rPr>
              <w:t>2.关于讨论审议高级管理人员2025年度酬金的议案。</w:t>
            </w:r>
          </w:p>
        </w:tc>
        <w:tc>
          <w:tcPr>
            <w:tcW w:w="2835" w:type="dxa"/>
            <w:vAlign w:val="center"/>
          </w:tcPr>
          <w:p>
            <w:pPr>
              <w:jc w:val="both"/>
              <w:rPr>
                <w:rFonts w:ascii="宋体" w:hAnsi="宋体"/>
              </w:rPr>
            </w:pPr>
            <w:r>
              <w:rPr>
                <w:rFonts w:ascii="宋体" w:hAnsi="宋体" w:hint="eastAsia"/>
              </w:rPr>
              <w:t>通过《关于讨论审议公司董事、监事2025年度酬金的议案》以及《关于讨论审议公司高级管理人员2025年度酬金的议案》，并提交公司董事会讨论审议。</w:t>
            </w:r>
          </w:p>
        </w:tc>
        <w:tc>
          <w:tcPr>
            <w:tcW w:w="850" w:type="dxa"/>
            <w:vAlign w:val="center"/>
          </w:tcPr>
          <w:p>
            <w:pPr>
              <w:jc w:val="both"/>
              <w:rPr>
                <w:rFonts w:ascii="宋体" w:hAnsi="宋体"/>
              </w:rPr>
            </w:pPr>
            <w:r>
              <w:rPr>
                <w:rFonts w:ascii="宋体" w:hAnsi="宋体" w:hint="eastAsia"/>
              </w:rPr>
              <w:t>朱利民</w:t>
            </w:r>
          </w:p>
          <w:p>
            <w:pPr>
              <w:jc w:val="both"/>
              <w:rPr>
                <w:rFonts w:ascii="宋体" w:hAnsi="宋体"/>
              </w:rPr>
            </w:pPr>
            <w:r>
              <w:rPr>
                <w:rFonts w:ascii="宋体" w:hAnsi="宋体" w:hint="eastAsia"/>
              </w:rPr>
              <w:t>胡家栋</w:t>
            </w:r>
          </w:p>
          <w:p>
            <w:pPr>
              <w:jc w:val="both"/>
              <w:rPr>
                <w:rFonts w:ascii="宋体" w:hAnsi="宋体"/>
              </w:rPr>
            </w:pPr>
            <w:r>
              <w:rPr>
                <w:rFonts w:ascii="宋体" w:hAnsi="宋体" w:hint="eastAsia"/>
              </w:rPr>
              <w:t>朱  睿</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4" w:type="dxa"/>
            <w:vAlign w:val="center"/>
          </w:tcPr>
          <w:p>
            <w:pPr>
              <w:jc w:val="both"/>
              <w:rPr>
                <w:rFonts w:ascii="宋体" w:hAnsi="宋体"/>
              </w:rPr>
            </w:pPr>
            <w:r>
              <w:rPr>
                <w:rFonts w:ascii="宋体" w:hAnsi="宋体" w:hint="eastAsia"/>
              </w:rPr>
              <w:t>1.建议公司独立董事2025年度人均酬金为25万元(含税)。建议公司2025年度完成经营目标后，按照公司</w:t>
            </w:r>
            <w:r>
              <w:rPr>
                <w:rFonts w:ascii="宋体" w:hAnsi="宋体" w:hint="eastAsia"/>
              </w:rPr>
              <w:lastRenderedPageBreak/>
              <w:t>薪酬考核政策，确定从公司领取薪酬的非独立董事、监事薪酬水平。</w:t>
            </w:r>
          </w:p>
          <w:p>
            <w:pPr>
              <w:jc w:val="both"/>
              <w:rPr>
                <w:rFonts w:ascii="宋体" w:hAnsi="宋体"/>
              </w:rPr>
            </w:pPr>
            <w:r>
              <w:rPr>
                <w:rFonts w:ascii="宋体" w:hAnsi="宋体" w:hint="eastAsia"/>
              </w:rPr>
              <w:t>2.建议公司2025年度完成经营目标后，按照公司薪酬考核政策，确定非董事高级管理人员薪酬水平。</w:t>
            </w:r>
          </w:p>
        </w:tc>
      </w:tr>
    </w:tbl>
    <w:p>
      <w:pPr>
        <w:pStyle w:val="Style61"/>
      </w:pPr>
    </w:p>
    <w:p>
      <w:pPr>
        <w:ind w:firstLineChars="200" w:firstLine="420"/>
        <w:jc w:val="both"/>
      </w:pPr>
      <w:r>
        <w:rPr>
          <w:rFonts w:hint="eastAsia"/>
        </w:rPr>
        <w:t>注：经</w:t>
      </w:r>
      <w:r>
        <w:rPr>
          <w:rFonts w:ascii="宋体" w:hAnsi="宋体" w:hint="eastAsia"/>
        </w:rPr>
        <w:t>公司2023年6月30</w:t>
      </w:r>
      <w:r>
        <w:rPr>
          <w:rFonts w:hint="eastAsia"/>
        </w:rPr>
        <w:t>日召开的第九届董事会第一次会议讨论审议，批准由朱利民先生、胡家栋先生及朱睿女士三位委员组成公司第九届董事会薪酬委员会，朱利民先生担任薪酬委员会主任。经</w:t>
      </w:r>
      <w:r>
        <w:rPr>
          <w:rFonts w:ascii="宋体" w:hAnsi="宋体" w:hint="eastAsia"/>
        </w:rPr>
        <w:t>公司</w:t>
      </w:r>
      <w:r>
        <w:rPr>
          <w:rFonts w:ascii="宋体" w:hAnsi="宋体"/>
        </w:rPr>
        <w:t>2025年5月30</w:t>
      </w:r>
      <w:r>
        <w:rPr>
          <w:rFonts w:ascii="宋体" w:hAnsi="宋体" w:hint="eastAsia"/>
        </w:rPr>
        <w:t>日召开的第九届董事会第十七次会议</w:t>
      </w:r>
      <w:r>
        <w:rPr>
          <w:rFonts w:hint="eastAsia"/>
        </w:rPr>
        <w:t>讨论审议</w:t>
      </w:r>
      <w:r>
        <w:rPr>
          <w:rFonts w:ascii="宋体" w:hAnsi="宋体" w:hint="eastAsia"/>
        </w:rPr>
        <w:t>，批准</w:t>
      </w:r>
      <w:r>
        <w:rPr>
          <w:rFonts w:ascii="宋体" w:hAnsi="宋体"/>
        </w:rPr>
        <w:t>高井祥先生替换朱睿女士，担任薪酬委员会委员。</w:t>
      </w:r>
    </w:p>
    <w:p>
      <w:pPr>
        <w:ind w:firstLineChars="200" w:firstLine="420"/>
        <w:jc w:val="both"/>
        <w:rPr>
          <w:rFonts w:ascii="宋体" w:hAnsi="宋体"/>
        </w:rPr>
      </w:pPr>
      <w:r>
        <w:rPr>
          <w:rFonts w:hint="eastAsia"/>
        </w:rPr>
        <w:t>经</w:t>
      </w:r>
      <w:r>
        <w:rPr>
          <w:rFonts w:ascii="宋体" w:hAnsi="宋体" w:hint="eastAsia"/>
        </w:rPr>
        <w:t>公司2026年2月10日召开的第九届董事会薪酬委员会第六次会议</w:t>
      </w:r>
      <w:r>
        <w:rPr>
          <w:rFonts w:hint="eastAsia"/>
        </w:rPr>
        <w:t>讨论审议</w:t>
      </w:r>
      <w:r>
        <w:rPr>
          <w:rFonts w:ascii="宋体" w:hAnsi="宋体" w:hint="eastAsia"/>
        </w:rPr>
        <w:t>，通过《关于回购注销部分激励对象限制性股票的议案》《关于审议批准解禁A股限制性股票激励第三批限售股份的议案》，并提交公司董事会讨论审议。</w:t>
      </w:r>
    </w:p>
    <w:p>
      <w:pPr>
        <w:ind w:firstLineChars="200" w:firstLine="420"/>
        <w:jc w:val="both"/>
        <w:rPr>
          <w:rFonts w:ascii="宋体" w:hAnsi="宋体"/>
        </w:rPr>
      </w:pPr>
      <w:r>
        <w:rPr>
          <w:rFonts w:hint="eastAsia"/>
        </w:rPr>
        <w:t>经</w:t>
      </w:r>
      <w:r>
        <w:rPr>
          <w:rFonts w:ascii="宋体" w:hAnsi="宋体" w:hint="eastAsia"/>
        </w:rPr>
        <w:t>公司2026年3月17日召开的第九届董事会薪酬委员会第七次会议</w:t>
      </w:r>
      <w:r>
        <w:rPr>
          <w:rFonts w:hint="eastAsia"/>
        </w:rPr>
        <w:t>讨论审议</w:t>
      </w:r>
      <w:r>
        <w:rPr>
          <w:rFonts w:ascii="宋体" w:hAnsi="宋体" w:hint="eastAsia"/>
        </w:rPr>
        <w:t>，通过</w:t>
      </w:r>
      <w:bookmarkStart w:id="161" w:name="_Hlk225278326"/>
      <w:r>
        <w:rPr>
          <w:rFonts w:ascii="宋体" w:hAnsi="宋体" w:hint="eastAsia"/>
        </w:rPr>
        <w:t>《关于讨论审议公司非独立董事2026年度薪酬的议案》《关于讨论审议公司独立董事2026年度津贴的议案》</w:t>
      </w:r>
      <w:bookmarkStart w:id="162" w:name="_Hlk224665295"/>
      <w:bookmarkEnd w:id="161"/>
      <w:r>
        <w:rPr>
          <w:rFonts w:ascii="宋体" w:hAnsi="宋体" w:hint="eastAsia"/>
        </w:rPr>
        <w:t>《关于讨论审议非董事高级管理人员2026年度酬金的议案》《关于制定〈薪酬管理制度〉的议案》</w:t>
      </w:r>
      <w:bookmarkEnd w:id="162"/>
      <w:r>
        <w:rPr>
          <w:rFonts w:ascii="宋体" w:hAnsi="宋体" w:hint="eastAsia"/>
        </w:rPr>
        <w:t>，并提交公司董事会讨论审议。</w:t>
      </w:r>
    </w:p>
    <w:p>
      <w:pPr>
        <w:pStyle w:val="Style49"/>
      </w:pPr>
    </w:p>
    <w:p>
      <w:pPr>
        <w:pStyle w:val="Style52"/>
        <w:numPr>
          <w:ilvl w:val="0"/>
          <w:numId w:val="28"/>
        </w:numPr>
      </w:pPr>
      <w:r>
        <w:rPr>
          <w:rFonts w:hint="eastAsia"/>
        </w:rPr>
        <w:t>报告期内</w:t>
      </w:r>
      <w:sdt>
        <w:sdtPr>
          <w:rPr>
            <w:rFonts w:ascii="宋体" w:hAnsi="宋体" w:cs="宋体" w:hint="eastAsia"/>
            <w:kern w:val="0"/>
            <w:szCs w:val="24"/>
          </w:rPr>
          <w:alias w:val="召开会议的专门委员会类别"/>
          <w:tag w:val="_GBC_adf76ecbe3584f07b573642215a867bd"/>
          <w:id w:val="-1327975758"/>
        </w:sdtPr>
        <w:sdtContent>
          <w:r>
            <w:rPr>
              <w:rFonts w:hint="eastAsia"/>
            </w:rPr>
            <w:t>董事会战略与发展</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462654623"/>
        </w:sdtPr>
        <w:sdtContent>
          <w:r>
            <w:rPr>
              <w:rFonts w:hint="eastAsia"/>
            </w:rPr>
            <w:t>2</w:t>
          </w:r>
        </w:sdtContent>
      </w:sdt>
      <w:r>
        <w:rPr>
          <w:rFonts w:hint="eastAsia"/>
        </w:rPr>
        <w:t>次会议</w:t>
      </w:r>
    </w:p>
    <w:p>
      <w:pPr>
        <w:ind w:firstLineChars="200" w:firstLine="420"/>
        <w:jc w:val="both"/>
        <w:rPr>
          <w:sz w:val="22"/>
        </w:rPr>
      </w:pPr>
      <w:r>
        <w:rPr>
          <w:rFonts w:ascii="宋体" w:hAnsi="宋体" w:hint="eastAsia"/>
        </w:rPr>
        <w:t>公司董事会战略与发展委员会委员为董事</w:t>
      </w:r>
      <w:r>
        <w:rPr>
          <w:rFonts w:hint="eastAsia"/>
          <w:sz w:val="22"/>
        </w:rPr>
        <w:t>李伟、王九红、刘健各位先生及独立董事高井祥先生、朱利民先生</w:t>
      </w:r>
      <w:r>
        <w:rPr>
          <w:rFonts w:ascii="宋体" w:hAnsi="宋体" w:hint="eastAsia"/>
        </w:rPr>
        <w:t>。李伟先生担任战略与发展委员会主任。</w:t>
      </w:r>
    </w:p>
    <w:p>
      <w:pPr>
        <w:ind w:firstLineChars="200" w:firstLine="420"/>
        <w:jc w:val="both"/>
        <w:rPr>
          <w:rFonts w:ascii="宋体" w:hAnsi="宋体"/>
        </w:rPr>
      </w:pPr>
      <w:r>
        <w:rPr>
          <w:rFonts w:ascii="宋体" w:hAnsi="宋体" w:hint="eastAsia"/>
        </w:rPr>
        <w:t>董事会战略与发展委员会的主要职责包括：a.对公司长期发展战略和重大投资决策进行研究并提出建议；b.对公司的年度战略发展计划和经营计划进行研究并提出建议；c.对影响公司发展的其他重大事项进行研究并提出建议；d.对以上事项的实施情况进行监督。报告期内</w:t>
      </w:r>
      <w:r>
        <w:rPr>
          <w:rFonts w:ascii="宋体" w:hAnsi="宋体" w:hint="eastAsia"/>
          <w:bCs/>
        </w:rPr>
        <w:t>董事会战略与发展委员会召开2次会议。具体情况如下：</w:t>
      </w:r>
    </w:p>
    <w:tbl>
      <w:tblPr>
        <w:tblStyle w:val="Style63"/>
        <w:tblW w:w="912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2268"/>
        <w:gridCol w:w="2835"/>
        <w:gridCol w:w="850"/>
        <w:gridCol w:w="652"/>
        <w:gridCol w:w="1484"/>
      </w:tblGrid>
      <w:tr>
        <w:trPr>
          <w:tblHeader/>
        </w:trPr>
        <w:sdt>
          <w:sdtPr>
            <w:rPr>
              <w:rFonts w:ascii="宋体" w:hAnsi="宋体"/>
            </w:rPr>
            <w:tag w:val="_PLD_81aefc289fbf48b1865138608d8bd14f"/>
            <w:id w:val="1390149290"/>
          </w:sdtPr>
          <w:sdtContent>
            <w:tc>
              <w:tcPr>
                <w:tcW w:w="1032" w:type="dxa"/>
                <w:vAlign w:val="center"/>
              </w:tcPr>
              <w:p>
                <w:pPr>
                  <w:jc w:val="center"/>
                  <w:rPr>
                    <w:rFonts w:ascii="宋体" w:hAnsi="宋体"/>
                  </w:rPr>
                </w:pPr>
                <w:r>
                  <w:rPr>
                    <w:rFonts w:ascii="宋体" w:hAnsi="宋体" w:hint="eastAsia"/>
                  </w:rPr>
                  <w:t>召开日期</w:t>
                </w:r>
              </w:p>
            </w:tc>
          </w:sdtContent>
        </w:sdt>
        <w:sdt>
          <w:sdtPr>
            <w:rPr>
              <w:rFonts w:ascii="宋体" w:hAnsi="宋体"/>
            </w:rPr>
            <w:tag w:val="_PLD_9d24b601ec70414eb969daf6b393edc8"/>
            <w:id w:val="504789573"/>
          </w:sdtPr>
          <w:sdtContent>
            <w:tc>
              <w:tcPr>
                <w:tcW w:w="2268" w:type="dxa"/>
                <w:vAlign w:val="center"/>
              </w:tcPr>
              <w:p>
                <w:pPr>
                  <w:jc w:val="center"/>
                  <w:rPr>
                    <w:rFonts w:ascii="宋体" w:hAnsi="宋体"/>
                  </w:rPr>
                </w:pPr>
                <w:r>
                  <w:rPr>
                    <w:rFonts w:ascii="宋体" w:hAnsi="宋体" w:hint="eastAsia"/>
                  </w:rPr>
                  <w:t>会议内容</w:t>
                </w:r>
              </w:p>
            </w:tc>
          </w:sdtContent>
        </w:sdt>
        <w:sdt>
          <w:sdtPr>
            <w:rPr>
              <w:rFonts w:ascii="宋体" w:hAnsi="宋体"/>
            </w:rPr>
            <w:tag w:val="_PLD_6ea19dadc3684e98a6d98faaf035a9d9"/>
            <w:id w:val="-159081944"/>
          </w:sdtPr>
          <w:sdtContent>
            <w:tc>
              <w:tcPr>
                <w:tcW w:w="2835" w:type="dxa"/>
                <w:vAlign w:val="center"/>
              </w:tcPr>
              <w:p>
                <w:pPr>
                  <w:jc w:val="center"/>
                  <w:rPr>
                    <w:rFonts w:ascii="宋体" w:hAnsi="宋体"/>
                  </w:rPr>
                </w:pPr>
                <w:r>
                  <w:rPr>
                    <w:rFonts w:ascii="宋体" w:hAnsi="宋体" w:hint="eastAsia"/>
                  </w:rPr>
                  <w:t>重要意见和建议</w:t>
                </w:r>
              </w:p>
            </w:tc>
          </w:sdtContent>
        </w:sdt>
        <w:tc>
          <w:tcPr>
            <w:tcW w:w="850" w:type="dxa"/>
            <w:vAlign w:val="center"/>
          </w:tcPr>
          <w:p>
            <w:pPr>
              <w:jc w:val="center"/>
              <w:rPr>
                <w:rFonts w:ascii="宋体" w:hAnsi="宋体"/>
              </w:rPr>
            </w:pPr>
            <w:r>
              <w:rPr>
                <w:rFonts w:ascii="宋体" w:hAnsi="宋体" w:hint="eastAsia"/>
              </w:rPr>
              <w:t>委员</w:t>
            </w:r>
          </w:p>
        </w:tc>
        <w:tc>
          <w:tcPr>
            <w:tcW w:w="652" w:type="dxa"/>
            <w:vAlign w:val="center"/>
          </w:tcPr>
          <w:p>
            <w:pPr>
              <w:jc w:val="center"/>
              <w:rPr>
                <w:rFonts w:ascii="宋体" w:hAnsi="宋体"/>
              </w:rPr>
            </w:pPr>
            <w:r>
              <w:rPr>
                <w:rFonts w:ascii="宋体" w:hAnsi="宋体" w:hint="eastAsia"/>
              </w:rPr>
              <w:t>出席会议</w:t>
            </w:r>
          </w:p>
        </w:tc>
        <w:sdt>
          <w:sdtPr>
            <w:rPr>
              <w:rFonts w:ascii="宋体" w:hAnsi="宋体"/>
            </w:rPr>
            <w:tag w:val="_PLD_ef03d3ffb00740008011022cb6a96805"/>
            <w:id w:val="1232278794"/>
          </w:sdtPr>
          <w:sdtContent>
            <w:tc>
              <w:tcPr>
                <w:tcW w:w="1484" w:type="dxa"/>
                <w:vAlign w:val="center"/>
              </w:tcPr>
              <w:p>
                <w:pPr>
                  <w:jc w:val="center"/>
                  <w:rPr>
                    <w:rFonts w:ascii="宋体" w:hAnsi="宋体"/>
                  </w:rPr>
                </w:pPr>
                <w:r>
                  <w:rPr>
                    <w:rFonts w:ascii="宋体" w:hAnsi="宋体" w:hint="eastAsia"/>
                  </w:rPr>
                  <w:t>其他履行职责情况</w:t>
                </w:r>
              </w:p>
            </w:tc>
          </w:sdtContent>
        </w:sdt>
      </w:tr>
      <w:tr>
        <w:tc>
          <w:tcPr>
            <w:tcW w:w="1032" w:type="dxa"/>
            <w:vAlign w:val="center"/>
          </w:tcPr>
          <w:p>
            <w:pPr>
              <w:jc w:val="both"/>
              <w:rPr>
                <w:rFonts w:ascii="宋体" w:hAnsi="宋体"/>
              </w:rPr>
            </w:pPr>
            <w:r>
              <w:rPr>
                <w:rFonts w:ascii="宋体" w:hAnsi="宋体" w:hint="eastAsia"/>
              </w:rPr>
              <w:t>2025年3月18日</w:t>
            </w:r>
          </w:p>
        </w:tc>
        <w:tc>
          <w:tcPr>
            <w:tcW w:w="2268" w:type="dxa"/>
            <w:vAlign w:val="center"/>
          </w:tcPr>
          <w:p>
            <w:pPr>
              <w:jc w:val="both"/>
              <w:rPr>
                <w:rFonts w:ascii="宋体" w:hAnsi="宋体"/>
              </w:rPr>
            </w:pPr>
            <w:r>
              <w:rPr>
                <w:rFonts w:ascii="宋体" w:hAnsi="宋体" w:hint="eastAsia"/>
              </w:rPr>
              <w:t>关于讨论审议公司《2025年度生产经营和资本性开支计划》的议案。</w:t>
            </w:r>
          </w:p>
        </w:tc>
        <w:tc>
          <w:tcPr>
            <w:tcW w:w="2835" w:type="dxa"/>
            <w:vAlign w:val="center"/>
          </w:tcPr>
          <w:p>
            <w:pPr>
              <w:jc w:val="both"/>
              <w:rPr>
                <w:rFonts w:ascii="宋体" w:hAnsi="宋体"/>
              </w:rPr>
            </w:pPr>
            <w:r>
              <w:rPr>
                <w:rFonts w:ascii="宋体" w:hAnsi="宋体" w:hint="eastAsia"/>
              </w:rPr>
              <w:t>通过《关于讨论审议公司&lt;2025年度生产经营和资本性开支计划&gt;的议案》，并提交公司董事会讨论审议。</w:t>
            </w:r>
          </w:p>
        </w:tc>
        <w:tc>
          <w:tcPr>
            <w:tcW w:w="850" w:type="dxa"/>
            <w:vAlign w:val="center"/>
          </w:tcPr>
          <w:p>
            <w:pPr>
              <w:jc w:val="center"/>
              <w:rPr>
                <w:rFonts w:ascii="宋体" w:hAnsi="宋体"/>
              </w:rPr>
            </w:pPr>
            <w:r>
              <w:rPr>
                <w:rFonts w:ascii="宋体" w:hAnsi="宋体" w:hint="eastAsia"/>
              </w:rPr>
              <w:t>李伟</w:t>
            </w:r>
          </w:p>
          <w:p>
            <w:pPr>
              <w:jc w:val="center"/>
              <w:rPr>
                <w:rFonts w:ascii="宋体" w:hAnsi="宋体"/>
              </w:rPr>
            </w:pPr>
            <w:r>
              <w:rPr>
                <w:rFonts w:ascii="宋体" w:hAnsi="宋体" w:hint="eastAsia"/>
              </w:rPr>
              <w:t>刘健</w:t>
            </w:r>
          </w:p>
          <w:p>
            <w:pPr>
              <w:jc w:val="center"/>
              <w:rPr>
                <w:rFonts w:ascii="宋体" w:hAnsi="宋体"/>
              </w:rPr>
            </w:pPr>
            <w:r>
              <w:rPr>
                <w:rFonts w:ascii="宋体" w:hAnsi="宋体" w:hint="eastAsia"/>
              </w:rPr>
              <w:t>彭苏萍</w:t>
            </w:r>
          </w:p>
          <w:p>
            <w:pPr>
              <w:jc w:val="center"/>
              <w:rPr>
                <w:rFonts w:ascii="宋体" w:hAnsi="宋体"/>
              </w:rPr>
            </w:pPr>
            <w:r>
              <w:rPr>
                <w:rFonts w:ascii="宋体" w:hAnsi="宋体" w:hint="eastAsia"/>
              </w:rPr>
              <w:t>朱利民</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4" w:type="dxa"/>
            <w:vAlign w:val="center"/>
          </w:tcPr>
          <w:p>
            <w:pPr>
              <w:jc w:val="center"/>
              <w:rPr>
                <w:rFonts w:ascii="宋体" w:hAnsi="宋体"/>
              </w:rPr>
            </w:pPr>
            <w:r>
              <w:rPr>
                <w:rFonts w:ascii="宋体" w:hAnsi="宋体" w:hint="eastAsia"/>
              </w:rPr>
              <w:t>-</w:t>
            </w:r>
          </w:p>
        </w:tc>
      </w:tr>
      <w:tr>
        <w:tc>
          <w:tcPr>
            <w:tcW w:w="1032" w:type="dxa"/>
            <w:vAlign w:val="center"/>
          </w:tcPr>
          <w:p>
            <w:pPr>
              <w:jc w:val="both"/>
              <w:rPr>
                <w:rFonts w:ascii="宋体" w:hAnsi="宋体"/>
              </w:rPr>
            </w:pPr>
            <w:r>
              <w:rPr>
                <w:rFonts w:ascii="宋体" w:hAnsi="宋体" w:hint="eastAsia"/>
              </w:rPr>
              <w:t>2025年4月8日</w:t>
            </w:r>
          </w:p>
        </w:tc>
        <w:tc>
          <w:tcPr>
            <w:tcW w:w="2268" w:type="dxa"/>
            <w:vAlign w:val="center"/>
          </w:tcPr>
          <w:p>
            <w:pPr>
              <w:jc w:val="both"/>
              <w:rPr>
                <w:rFonts w:ascii="宋体" w:hAnsi="宋体"/>
              </w:rPr>
            </w:pPr>
            <w:r>
              <w:rPr>
                <w:rFonts w:ascii="宋体" w:hAnsi="宋体" w:hint="eastAsia"/>
              </w:rPr>
              <w:t>关于讨论审议以协议受让及增资方式收购西北矿业51%股权的议案；</w:t>
            </w:r>
          </w:p>
        </w:tc>
        <w:tc>
          <w:tcPr>
            <w:tcW w:w="2835" w:type="dxa"/>
            <w:vAlign w:val="center"/>
          </w:tcPr>
          <w:p>
            <w:pPr>
              <w:jc w:val="both"/>
              <w:rPr>
                <w:rFonts w:ascii="宋体" w:hAnsi="宋体"/>
              </w:rPr>
            </w:pPr>
            <w:r>
              <w:rPr>
                <w:rFonts w:ascii="宋体" w:hAnsi="宋体" w:hint="eastAsia"/>
              </w:rPr>
              <w:t>通过《关于讨论审议以协议受让及增资方式收购西北矿业51%股权的议案》，并提交公司董事会讨论审议。</w:t>
            </w:r>
          </w:p>
        </w:tc>
        <w:tc>
          <w:tcPr>
            <w:tcW w:w="850" w:type="dxa"/>
            <w:vAlign w:val="center"/>
          </w:tcPr>
          <w:p>
            <w:pPr>
              <w:jc w:val="center"/>
              <w:rPr>
                <w:rFonts w:ascii="宋体" w:hAnsi="宋体"/>
              </w:rPr>
            </w:pPr>
            <w:r>
              <w:rPr>
                <w:rFonts w:ascii="宋体" w:hAnsi="宋体" w:hint="eastAsia"/>
              </w:rPr>
              <w:t>李伟</w:t>
            </w:r>
          </w:p>
          <w:p>
            <w:pPr>
              <w:jc w:val="center"/>
              <w:rPr>
                <w:rFonts w:ascii="宋体" w:hAnsi="宋体"/>
              </w:rPr>
            </w:pPr>
            <w:r>
              <w:rPr>
                <w:rFonts w:ascii="宋体" w:hAnsi="宋体" w:hint="eastAsia"/>
              </w:rPr>
              <w:t>刘健</w:t>
            </w:r>
          </w:p>
          <w:p>
            <w:pPr>
              <w:jc w:val="center"/>
              <w:rPr>
                <w:rFonts w:ascii="宋体" w:hAnsi="宋体"/>
              </w:rPr>
            </w:pPr>
            <w:r>
              <w:rPr>
                <w:rFonts w:ascii="宋体" w:hAnsi="宋体" w:hint="eastAsia"/>
              </w:rPr>
              <w:t>彭苏萍</w:t>
            </w:r>
          </w:p>
          <w:p>
            <w:pPr>
              <w:jc w:val="both"/>
              <w:rPr>
                <w:rFonts w:ascii="宋体" w:hAnsi="宋体"/>
              </w:rPr>
            </w:pPr>
            <w:r>
              <w:rPr>
                <w:rFonts w:ascii="宋体" w:hAnsi="宋体" w:hint="eastAsia"/>
              </w:rPr>
              <w:t>朱利民</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4" w:type="dxa"/>
            <w:vAlign w:val="center"/>
          </w:tcPr>
          <w:p>
            <w:pPr>
              <w:jc w:val="center"/>
              <w:rPr>
                <w:rFonts w:ascii="宋体" w:hAnsi="宋体"/>
              </w:rPr>
            </w:pPr>
            <w:r>
              <w:rPr>
                <w:rFonts w:ascii="宋体" w:hAnsi="宋体" w:hint="eastAsia"/>
              </w:rPr>
              <w:t>-</w:t>
            </w:r>
          </w:p>
        </w:tc>
      </w:tr>
    </w:tbl>
    <w:p>
      <w:pPr>
        <w:pStyle w:val="Style61"/>
      </w:pPr>
    </w:p>
    <w:p>
      <w:pPr>
        <w:ind w:firstLineChars="200" w:firstLine="420"/>
        <w:jc w:val="both"/>
        <w:rPr>
          <w:rFonts w:ascii="宋体" w:hAnsi="宋体"/>
        </w:rPr>
      </w:pPr>
      <w:r>
        <w:rPr>
          <w:rFonts w:ascii="宋体" w:hAnsi="宋体" w:hint="eastAsia"/>
        </w:rPr>
        <w:t>注：经公司2023年6月30日召开的第九届董事会第一次会议讨论审议，批准由李伟先生、肖耀猛先生、刘健先生、彭苏萍先生、朱利民先生五位委员组成公司第九届董事会战略与发展委员会，李伟先生担任战略与发展委员会主任。2024年9月18日，肖耀猛先生因工作调整不再担任本公司董事。</w:t>
      </w:r>
      <w:r>
        <w:rPr>
          <w:rFonts w:ascii="宋体" w:hAnsi="宋体" w:hint="eastAsia"/>
          <w:bCs/>
        </w:rPr>
        <w:t>彭苏萍先生因中国工程院院士兼职规范工作要求，不再担任公司独立董事。</w:t>
      </w:r>
      <w:r>
        <w:rPr>
          <w:rFonts w:ascii="宋体" w:hAnsi="宋体" w:hint="eastAsia"/>
        </w:rPr>
        <w:t>经公</w:t>
      </w:r>
      <w:r>
        <w:rPr>
          <w:rFonts w:ascii="宋体" w:hAnsi="宋体" w:hint="eastAsia"/>
        </w:rPr>
        <w:lastRenderedPageBreak/>
        <w:t>司</w:t>
      </w:r>
      <w:r>
        <w:rPr>
          <w:rFonts w:ascii="宋体" w:hAnsi="宋体"/>
        </w:rPr>
        <w:t>2025年5月30</w:t>
      </w:r>
      <w:r>
        <w:rPr>
          <w:rFonts w:ascii="宋体" w:hAnsi="宋体" w:hint="eastAsia"/>
        </w:rPr>
        <w:t>日召开的第九届董事会第十七次会议讨论审议，批准</w:t>
      </w:r>
      <w:r>
        <w:rPr>
          <w:rFonts w:ascii="宋体" w:hAnsi="宋体"/>
        </w:rPr>
        <w:t>王九红先生、高井祥先生进入战略与发展委员会，担任委员。</w:t>
      </w:r>
    </w:p>
    <w:p>
      <w:pPr>
        <w:ind w:firstLineChars="200" w:firstLine="420"/>
        <w:jc w:val="both"/>
        <w:rPr>
          <w:rFonts w:ascii="宋体" w:hAnsi="宋体"/>
        </w:rPr>
      </w:pPr>
      <w:r>
        <w:rPr>
          <w:rFonts w:ascii="宋体" w:hAnsi="宋体" w:hint="eastAsia"/>
        </w:rPr>
        <w:t>经公司2026年3月17日召开的第九届董事会战略与发展委员会第六次会议讨论审议，通过公司《2026年度生产经营和资本性开支计划》，并提交公司董事会讨论审议。</w:t>
      </w:r>
    </w:p>
    <w:p>
      <w:pPr>
        <w:ind w:firstLineChars="200" w:firstLine="420"/>
        <w:jc w:val="both"/>
        <w:rPr>
          <w:rFonts w:ascii="宋体" w:hAnsi="宋体"/>
        </w:rPr>
      </w:pPr>
    </w:p>
    <w:p>
      <w:pPr>
        <w:pStyle w:val="Style52"/>
        <w:numPr>
          <w:ilvl w:val="0"/>
          <w:numId w:val="28"/>
        </w:numPr>
      </w:pPr>
      <w:r>
        <w:rPr>
          <w:rFonts w:hint="eastAsia"/>
        </w:rPr>
        <w:t>报告期内</w:t>
      </w:r>
      <w:sdt>
        <w:sdtPr>
          <w:rPr>
            <w:rFonts w:ascii="宋体" w:hAnsi="宋体" w:cs="宋体" w:hint="eastAsia"/>
            <w:kern w:val="0"/>
            <w:szCs w:val="24"/>
          </w:rPr>
          <w:alias w:val="召开会议的专门委员会类别"/>
          <w:tag w:val="_GBC_adf76ecbe3584f07b573642215a867bd"/>
          <w:id w:val="2145383096"/>
        </w:sdtPr>
        <w:sdtContent>
          <w:r>
            <w:rPr>
              <w:rFonts w:hint="eastAsia"/>
            </w:rPr>
            <w:t>董事会可持续发展</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538433618"/>
        </w:sdtPr>
        <w:sdtContent>
          <w:r>
            <w:rPr>
              <w:rFonts w:hint="eastAsia"/>
            </w:rPr>
            <w:t>1</w:t>
          </w:r>
        </w:sdtContent>
      </w:sdt>
      <w:r>
        <w:rPr>
          <w:rFonts w:hint="eastAsia"/>
        </w:rPr>
        <w:t>次会议</w:t>
      </w:r>
    </w:p>
    <w:p>
      <w:pPr>
        <w:ind w:firstLineChars="200" w:firstLine="420"/>
        <w:jc w:val="both"/>
        <w:rPr>
          <w:rFonts w:ascii="宋体" w:hAnsi="宋体"/>
        </w:rPr>
      </w:pPr>
      <w:r>
        <w:rPr>
          <w:rFonts w:ascii="宋体" w:hAnsi="宋体" w:hint="eastAsia"/>
        </w:rPr>
        <w:t>公司董事会可持续发展委员会委员为董事王九红先生及独立董事朱睿女士、朱利民先生，朱睿女士担任可持续发展委员会主任。</w:t>
      </w:r>
    </w:p>
    <w:p>
      <w:pPr>
        <w:ind w:firstLineChars="200" w:firstLine="420"/>
        <w:jc w:val="both"/>
        <w:rPr>
          <w:rFonts w:ascii="宋体" w:hAnsi="宋体"/>
        </w:rPr>
      </w:pPr>
      <w:r>
        <w:rPr>
          <w:rFonts w:ascii="宋体" w:hAnsi="宋体" w:hint="eastAsia"/>
        </w:rPr>
        <w:t>董事会可持续发展委员会的主要职责包括：a.对公司的企业管治、环境及社会责任相关政策和策略进行审阅，确保其符合法律、法规和标准；b.对公司的企业管治、环境及社会责任相关风险及机遇进行评估和梳理，并向董事会提出建议；c.审查公司的企业管治、环境及社会责任管理及内部监控系统，就其适当性和有效性向董事会提出建议；d.对公司的企业管治、环境及社会责任相关工作的目标和实施情况进行审查和监督，评估工作情况，并向董事会提出建议；e.审阅公司对外披露的社会责任报告，并向董事会提出建议；f.对公司的企业管治、环境及社会责任管理愿景、目标及策略的制定进行指导，并向董事会提出建议。报告期内</w:t>
      </w:r>
      <w:r>
        <w:rPr>
          <w:rFonts w:ascii="宋体" w:hAnsi="宋体" w:hint="eastAsia"/>
          <w:bCs/>
        </w:rPr>
        <w:t>董事会可持续发展委员会召开1次会议。具体情况如下：</w:t>
      </w:r>
    </w:p>
    <w:p>
      <w:pPr>
        <w:ind w:firstLineChars="200" w:firstLine="420"/>
        <w:rPr>
          <w:rFonts w:ascii="宋体" w:hAnsi="宋体"/>
        </w:rPr>
      </w:pPr>
    </w:p>
    <w:tbl>
      <w:tblPr>
        <w:tblStyle w:val="Style63"/>
        <w:tblW w:w="912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2268"/>
        <w:gridCol w:w="2835"/>
        <w:gridCol w:w="850"/>
        <w:gridCol w:w="652"/>
        <w:gridCol w:w="1484"/>
      </w:tblGrid>
      <w:tr>
        <w:sdt>
          <w:sdtPr>
            <w:rPr>
              <w:rFonts w:ascii="宋体" w:hAnsi="宋体"/>
            </w:rPr>
            <w:tag w:val="_PLD_81aefc289fbf48b1865138608d8bd14f"/>
            <w:id w:val="-1624607950"/>
          </w:sdtPr>
          <w:sdtContent>
            <w:tc>
              <w:tcPr>
                <w:tcW w:w="1032" w:type="dxa"/>
                <w:vAlign w:val="center"/>
              </w:tcPr>
              <w:p>
                <w:pPr>
                  <w:jc w:val="center"/>
                  <w:rPr>
                    <w:rFonts w:ascii="宋体" w:hAnsi="宋体"/>
                  </w:rPr>
                </w:pPr>
                <w:r>
                  <w:rPr>
                    <w:rFonts w:ascii="宋体" w:hAnsi="宋体" w:hint="eastAsia"/>
                  </w:rPr>
                  <w:t>召开日期</w:t>
                </w:r>
              </w:p>
            </w:tc>
          </w:sdtContent>
        </w:sdt>
        <w:sdt>
          <w:sdtPr>
            <w:rPr>
              <w:rFonts w:ascii="宋体" w:hAnsi="宋体"/>
            </w:rPr>
            <w:tag w:val="_PLD_9d24b601ec70414eb969daf6b393edc8"/>
            <w:id w:val="-1615595433"/>
          </w:sdtPr>
          <w:sdtContent>
            <w:tc>
              <w:tcPr>
                <w:tcW w:w="2268" w:type="dxa"/>
                <w:vAlign w:val="center"/>
              </w:tcPr>
              <w:p>
                <w:pPr>
                  <w:jc w:val="center"/>
                  <w:rPr>
                    <w:rFonts w:ascii="宋体" w:hAnsi="宋体"/>
                  </w:rPr>
                </w:pPr>
                <w:r>
                  <w:rPr>
                    <w:rFonts w:ascii="宋体" w:hAnsi="宋体" w:hint="eastAsia"/>
                  </w:rPr>
                  <w:t>会议内容</w:t>
                </w:r>
              </w:p>
            </w:tc>
          </w:sdtContent>
        </w:sdt>
        <w:sdt>
          <w:sdtPr>
            <w:rPr>
              <w:rFonts w:ascii="宋体" w:hAnsi="宋体"/>
            </w:rPr>
            <w:tag w:val="_PLD_6ea19dadc3684e98a6d98faaf035a9d9"/>
            <w:id w:val="-1936509054"/>
          </w:sdtPr>
          <w:sdtContent>
            <w:tc>
              <w:tcPr>
                <w:tcW w:w="2835" w:type="dxa"/>
                <w:vAlign w:val="center"/>
              </w:tcPr>
              <w:p>
                <w:pPr>
                  <w:jc w:val="center"/>
                  <w:rPr>
                    <w:rFonts w:ascii="宋体" w:hAnsi="宋体"/>
                  </w:rPr>
                </w:pPr>
                <w:r>
                  <w:rPr>
                    <w:rFonts w:ascii="宋体" w:hAnsi="宋体" w:hint="eastAsia"/>
                  </w:rPr>
                  <w:t>重要意见和建议</w:t>
                </w:r>
              </w:p>
            </w:tc>
          </w:sdtContent>
        </w:sdt>
        <w:tc>
          <w:tcPr>
            <w:tcW w:w="850" w:type="dxa"/>
            <w:vAlign w:val="center"/>
          </w:tcPr>
          <w:p>
            <w:pPr>
              <w:jc w:val="center"/>
              <w:rPr>
                <w:rFonts w:ascii="宋体" w:hAnsi="宋体"/>
              </w:rPr>
            </w:pPr>
            <w:r>
              <w:rPr>
                <w:rFonts w:ascii="宋体" w:hAnsi="宋体" w:hint="eastAsia"/>
              </w:rPr>
              <w:t>委员</w:t>
            </w:r>
          </w:p>
        </w:tc>
        <w:tc>
          <w:tcPr>
            <w:tcW w:w="652" w:type="dxa"/>
            <w:vAlign w:val="center"/>
          </w:tcPr>
          <w:p>
            <w:pPr>
              <w:jc w:val="center"/>
              <w:rPr>
                <w:rFonts w:ascii="宋体" w:hAnsi="宋体"/>
              </w:rPr>
            </w:pPr>
            <w:r>
              <w:rPr>
                <w:rFonts w:ascii="宋体" w:hAnsi="宋体" w:hint="eastAsia"/>
              </w:rPr>
              <w:t>出席会议</w:t>
            </w:r>
          </w:p>
        </w:tc>
        <w:sdt>
          <w:sdtPr>
            <w:rPr>
              <w:rFonts w:ascii="宋体" w:hAnsi="宋体"/>
            </w:rPr>
            <w:tag w:val="_PLD_ef03d3ffb00740008011022cb6a96805"/>
            <w:id w:val="-1239168751"/>
          </w:sdtPr>
          <w:sdtContent>
            <w:tc>
              <w:tcPr>
                <w:tcW w:w="1484" w:type="dxa"/>
                <w:vAlign w:val="center"/>
              </w:tcPr>
              <w:p>
                <w:pPr>
                  <w:jc w:val="center"/>
                  <w:rPr>
                    <w:rFonts w:ascii="宋体" w:hAnsi="宋体"/>
                  </w:rPr>
                </w:pPr>
                <w:r>
                  <w:rPr>
                    <w:rFonts w:ascii="宋体" w:hAnsi="宋体" w:hint="eastAsia"/>
                  </w:rPr>
                  <w:t>其他履行职责情况</w:t>
                </w:r>
              </w:p>
            </w:tc>
          </w:sdtContent>
        </w:sdt>
      </w:tr>
      <w:tr>
        <w:tc>
          <w:tcPr>
            <w:tcW w:w="1032" w:type="dxa"/>
            <w:vAlign w:val="center"/>
          </w:tcPr>
          <w:p>
            <w:pPr>
              <w:jc w:val="both"/>
              <w:rPr>
                <w:rFonts w:ascii="宋体" w:hAnsi="宋体"/>
              </w:rPr>
            </w:pPr>
            <w:r>
              <w:rPr>
                <w:rFonts w:ascii="宋体" w:hAnsi="宋体" w:hint="eastAsia"/>
              </w:rPr>
              <w:t>2025年3月18日</w:t>
            </w:r>
          </w:p>
        </w:tc>
        <w:tc>
          <w:tcPr>
            <w:tcW w:w="2268" w:type="dxa"/>
            <w:vAlign w:val="center"/>
          </w:tcPr>
          <w:p>
            <w:pPr>
              <w:jc w:val="both"/>
              <w:rPr>
                <w:rFonts w:ascii="宋体" w:hAnsi="宋体"/>
              </w:rPr>
            </w:pPr>
            <w:r>
              <w:rPr>
                <w:rFonts w:ascii="宋体" w:hAnsi="宋体" w:hint="eastAsia"/>
              </w:rPr>
              <w:t>关于讨论审议公司《2024年度ESG报告》的议案。</w:t>
            </w:r>
          </w:p>
        </w:tc>
        <w:tc>
          <w:tcPr>
            <w:tcW w:w="2835" w:type="dxa"/>
            <w:vAlign w:val="center"/>
          </w:tcPr>
          <w:p>
            <w:pPr>
              <w:jc w:val="both"/>
              <w:rPr>
                <w:rFonts w:ascii="宋体" w:hAnsi="宋体"/>
              </w:rPr>
            </w:pPr>
            <w:r>
              <w:rPr>
                <w:rFonts w:ascii="宋体" w:hAnsi="宋体" w:hint="eastAsia"/>
              </w:rPr>
              <w:t>通过《关于讨论审议公司〈2024年度ESG报告〉的议案》，并提交公司董事会讨论审议。</w:t>
            </w:r>
          </w:p>
        </w:tc>
        <w:tc>
          <w:tcPr>
            <w:tcW w:w="850" w:type="dxa"/>
            <w:vAlign w:val="center"/>
          </w:tcPr>
          <w:p>
            <w:pPr>
              <w:jc w:val="center"/>
              <w:rPr>
                <w:rFonts w:ascii="宋体" w:hAnsi="宋体"/>
              </w:rPr>
            </w:pPr>
            <w:r>
              <w:rPr>
                <w:rFonts w:ascii="宋体" w:hAnsi="宋体" w:hint="eastAsia"/>
              </w:rPr>
              <w:t>朱  睿</w:t>
            </w:r>
          </w:p>
          <w:p>
            <w:pPr>
              <w:jc w:val="center"/>
              <w:rPr>
                <w:rFonts w:ascii="宋体" w:hAnsi="宋体"/>
              </w:rPr>
            </w:pPr>
            <w:r>
              <w:rPr>
                <w:rFonts w:ascii="宋体" w:hAnsi="宋体" w:hint="eastAsia"/>
              </w:rPr>
              <w:t>朱利民</w:t>
            </w:r>
          </w:p>
        </w:tc>
        <w:tc>
          <w:tcPr>
            <w:tcW w:w="652" w:type="dxa"/>
            <w:vAlign w:val="center"/>
          </w:tcPr>
          <w:p>
            <w:pPr>
              <w:jc w:val="center"/>
              <w:rPr>
                <w:rFonts w:ascii="宋体" w:hAnsi="宋体"/>
              </w:rPr>
            </w:pPr>
            <w:r>
              <w:rPr>
                <w:rFonts w:ascii="宋体" w:hAnsi="宋体" w:hint="eastAsia"/>
              </w:rPr>
              <w:t>√</w:t>
            </w:r>
          </w:p>
          <w:p>
            <w:pPr>
              <w:jc w:val="center"/>
              <w:rPr>
                <w:rFonts w:ascii="宋体" w:hAnsi="宋体"/>
              </w:rPr>
            </w:pPr>
            <w:r>
              <w:rPr>
                <w:rFonts w:ascii="宋体" w:hAnsi="宋体" w:hint="eastAsia"/>
              </w:rPr>
              <w:t>√</w:t>
            </w:r>
          </w:p>
        </w:tc>
        <w:tc>
          <w:tcPr>
            <w:tcW w:w="1484" w:type="dxa"/>
            <w:vAlign w:val="center"/>
          </w:tcPr>
          <w:p>
            <w:pPr>
              <w:jc w:val="center"/>
              <w:rPr>
                <w:rFonts w:ascii="宋体" w:hAnsi="宋体"/>
              </w:rPr>
            </w:pPr>
            <w:r>
              <w:rPr>
                <w:rFonts w:ascii="宋体" w:hAnsi="宋体" w:hint="eastAsia"/>
              </w:rPr>
              <w:t>-</w:t>
            </w:r>
          </w:p>
        </w:tc>
      </w:tr>
    </w:tbl>
    <w:p>
      <w:pPr>
        <w:pStyle w:val="Style61"/>
      </w:pPr>
    </w:p>
    <w:p>
      <w:pPr>
        <w:ind w:firstLineChars="200" w:firstLine="420"/>
        <w:jc w:val="both"/>
        <w:rPr>
          <w:rFonts w:ascii="宋体" w:hAnsi="宋体"/>
        </w:rPr>
      </w:pPr>
      <w:r>
        <w:rPr>
          <w:rFonts w:ascii="宋体" w:hAnsi="宋体" w:hint="eastAsia"/>
        </w:rPr>
        <w:t>注：经公司2023年6月30日召开的第九届董事会第一次会议</w:t>
      </w:r>
      <w:bookmarkStart w:id="163" w:name="OLE_LINK23"/>
      <w:r>
        <w:rPr>
          <w:rFonts w:ascii="宋体" w:hAnsi="宋体" w:hint="eastAsia"/>
        </w:rPr>
        <w:t>讨论审议</w:t>
      </w:r>
      <w:bookmarkEnd w:id="163"/>
      <w:r>
        <w:rPr>
          <w:rFonts w:ascii="宋体" w:hAnsi="宋体" w:hint="eastAsia"/>
        </w:rPr>
        <w:t>，批准由朱睿女士、肖耀猛先生、朱利民先生三位委员组成公司第九届董事会可持续发展委员会，朱睿女士担任可持续发展委员会主任。2024年9月18日，肖耀猛先生因工作调整不再担任本公司董事。经公司</w:t>
      </w:r>
      <w:r>
        <w:rPr>
          <w:rFonts w:ascii="宋体" w:hAnsi="宋体"/>
        </w:rPr>
        <w:t>2025年5月30</w:t>
      </w:r>
      <w:r>
        <w:rPr>
          <w:rFonts w:ascii="宋体" w:hAnsi="宋体" w:hint="eastAsia"/>
        </w:rPr>
        <w:t>日召开的第九届董事会第十七次会议讨论审议，批准</w:t>
      </w:r>
      <w:r>
        <w:rPr>
          <w:rFonts w:ascii="宋体" w:hAnsi="宋体"/>
        </w:rPr>
        <w:t>王九红先生进入可持续发展委员会，担任委员。</w:t>
      </w:r>
    </w:p>
    <w:p>
      <w:pPr>
        <w:ind w:firstLineChars="200" w:firstLine="420"/>
        <w:jc w:val="both"/>
        <w:rPr>
          <w:rFonts w:ascii="宋体" w:hAnsi="宋体"/>
        </w:rPr>
      </w:pPr>
      <w:r>
        <w:rPr>
          <w:rFonts w:ascii="宋体" w:hAnsi="宋体" w:hint="eastAsia"/>
        </w:rPr>
        <w:t>经公司2026年3月17日召开的第九届董事会可持续发展委员会第三次会议讨论审议，通过《关于讨论审议公司〈2025年度ESG报告〉的议案》，并提交公司董事会讨论审议。</w:t>
      </w:r>
    </w:p>
    <w:p>
      <w:pPr>
        <w:pStyle w:val="Style49"/>
      </w:pPr>
    </w:p>
    <w:p>
      <w:pPr>
        <w:pStyle w:val="Style52"/>
        <w:numPr>
          <w:ilvl w:val="0"/>
          <w:numId w:val="28"/>
        </w:numPr>
      </w:pPr>
      <w:r>
        <w:rPr>
          <w:rFonts w:hint="eastAsia"/>
        </w:rPr>
        <w:t>存在异议事项的具体情况</w:t>
      </w:r>
    </w:p>
    <w:sdt>
      <w:sdtPr>
        <w:rPr>
          <w:rFonts w:hint="eastAsia"/>
        </w:rPr>
        <w:alias w:val="是否适用：董事会下设专门委员会在报告期内履行职责时所提出的重要意见和建议[双击切换]"/>
        <w:tag w:val="_GBC_f61de8443c9e4bc6b27047ea31f34f46"/>
        <w:id w:val="-269084858"/>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1"/>
        <w:numPr>
          <w:ilvl w:val="0"/>
          <w:numId w:val="24"/>
        </w:numPr>
      </w:pPr>
      <w:r>
        <w:rPr>
          <w:rFonts w:hint="eastAsia"/>
        </w:rPr>
        <w:t>审计委员会</w:t>
      </w:r>
      <w:r>
        <w:t>发现公司存在风险的说明</w:t>
      </w:r>
    </w:p>
    <w:sdt>
      <w:sdtPr>
        <w:alias w:val="是否适用：监事会发现公司存在风险的说明[双击切换]"/>
        <w:tag w:val="_GBC_987bc6e795084351a58e9d0bca47f246"/>
        <w:id w:val="59051380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sdt>
        <w:sdtPr>
          <w:tag w:val="_PLD_3da969a146b34cc99cc693934187219d"/>
          <w:id w:val="-886950799"/>
        </w:sdtPr>
        <w:sdtContent>
          <w:r>
            <w:rPr>
              <w:rFonts w:hint="eastAsia"/>
            </w:rPr>
            <w:t>审计委员会</w:t>
          </w:r>
        </w:sdtContent>
      </w:sdt>
      <w:r>
        <w:rPr>
          <w:rFonts w:hint="eastAsia"/>
        </w:rPr>
        <w:t>对报告期内的监督事项</w:t>
      </w:r>
      <w:sdt>
        <w:sdtPr>
          <w:tag w:val="_PLD_66086d7fdf9245bb81102da5ce6dd63d"/>
          <w:id w:val="876748729"/>
        </w:sdtPr>
        <w:sdtContent>
          <w:r>
            <w:rPr>
              <w:rFonts w:hint="eastAsia"/>
            </w:rPr>
            <w:t>无异议</w:t>
          </w:r>
        </w:sdtContent>
      </w:sdt>
      <w:r>
        <w:rPr>
          <w:rFonts w:hint="eastAsia"/>
        </w:rPr>
        <w:t>。</w:t>
      </w:r>
    </w:p>
    <w:p>
      <w:pPr>
        <w:pStyle w:val="Style49"/>
      </w:pPr>
    </w:p>
    <w:p>
      <w:pPr>
        <w:pStyle w:val="Style49"/>
      </w:pPr>
    </w:p>
    <w:p>
      <w:pPr>
        <w:pStyle w:val="Style51"/>
        <w:numPr>
          <w:ilvl w:val="0"/>
          <w:numId w:val="24"/>
        </w:numPr>
      </w:pPr>
      <w:r>
        <w:rPr>
          <w:rFonts w:ascii="宋体" w:hAnsi="宋体" w:cs="宋体" w:hint="eastAsia"/>
          <w:kern w:val="0"/>
          <w:szCs w:val="24"/>
        </w:rPr>
        <w:t>报告期末</w:t>
      </w:r>
      <w:r>
        <w:rPr>
          <w:rFonts w:ascii="宋体" w:hAnsi="宋体" w:cs="宋体"/>
          <w:kern w:val="0"/>
          <w:szCs w:val="24"/>
        </w:rPr>
        <w:t>母公司和主要子公司的员工情况</w:t>
      </w:r>
    </w:p>
    <w:p>
      <w:pPr>
        <w:pStyle w:val="Style52"/>
        <w:numPr>
          <w:ilvl w:val="0"/>
          <w:numId w:val="29"/>
        </w:numPr>
        <w:rPr>
          <w:szCs w:val="21"/>
        </w:rPr>
      </w:pPr>
      <w:bookmarkStart w:id="164" w:name="_Hlk89184114"/>
      <w:r>
        <w:rPr>
          <w:szCs w:val="21"/>
        </w:rPr>
        <w:t>员工情况</w:t>
      </w:r>
    </w:p>
    <w:tbl>
      <w:tblPr>
        <w:tblStyle w:val="g7"/>
        <w:tblW w:w="9049" w:type="dxa"/>
        <w:tblLayout w:type="fixed"/>
        <w:tblLook w:val="04A0" w:firstRow="1" w:lastRow="0" w:firstColumn="1" w:lastColumn="0" w:noHBand="0" w:noVBand="1"/>
      </w:tblPr>
      <w:tblGrid>
        <w:gridCol w:w="4524"/>
        <w:gridCol w:w="4525"/>
      </w:tblGrid>
      <w:tr>
        <w:trPr>
          <w:trHeight w:val="120"/>
        </w:trPr>
        <w:sdt>
          <w:sdtPr>
            <w:tag w:val="_PLD_cff5d8823807446facbb16ac3f50949e"/>
            <w:id w:val="1071696834"/>
          </w:sdtPr>
          <w:sdtContent>
            <w:tc>
              <w:tcPr>
                <w:tcW w:w="4524" w:type="dxa"/>
                <w:vAlign w:val="center"/>
              </w:tcPr>
              <w:p>
                <w:pPr>
                  <w:pStyle w:val="Style49"/>
                </w:pPr>
                <w:r>
                  <w:t>母公司在职员工的数量</w:t>
                </w:r>
              </w:p>
            </w:tc>
          </w:sdtContent>
        </w:sdt>
        <w:tc>
          <w:tcPr>
            <w:tcW w:w="4525" w:type="dxa"/>
            <w:vAlign w:val="center"/>
          </w:tcPr>
          <w:p>
            <w:pPr>
              <w:jc w:val="right"/>
              <w:rPr>
                <w:rFonts w:asciiTheme="minorEastAsia" w:eastAsiaTheme="minorEastAsia" w:hAnsiTheme="minorEastAsia"/>
              </w:rPr>
            </w:pPr>
            <w:r>
              <w:rPr>
                <w:rFonts w:asciiTheme="minorEastAsia" w:eastAsiaTheme="minorEastAsia" w:hAnsiTheme="minorEastAsia" w:hint="eastAsia"/>
              </w:rPr>
              <w:t>31,865</w:t>
            </w:r>
          </w:p>
        </w:tc>
      </w:tr>
      <w:tr>
        <w:trPr>
          <w:trHeight w:val="195"/>
        </w:trPr>
        <w:tc>
          <w:tcPr>
            <w:tcW w:w="4524" w:type="dxa"/>
            <w:vAlign w:val="center"/>
          </w:tcPr>
          <w:p>
            <w:pPr>
              <w:pStyle w:val="Style49"/>
            </w:pPr>
            <w:r>
              <w:t>主要子公司在职员工的数量</w:t>
            </w:r>
          </w:p>
        </w:tc>
        <w:tc>
          <w:tcPr>
            <w:tcW w:w="4525" w:type="dxa"/>
            <w:vAlign w:val="center"/>
          </w:tcPr>
          <w:p>
            <w:pPr>
              <w:jc w:val="right"/>
              <w:rPr>
                <w:rFonts w:asciiTheme="minorEastAsia" w:eastAsiaTheme="minorEastAsia" w:hAnsiTheme="minorEastAsia"/>
              </w:rPr>
            </w:pPr>
            <w:r>
              <w:rPr>
                <w:rFonts w:asciiTheme="minorEastAsia" w:eastAsiaTheme="minorEastAsia" w:hAnsiTheme="minorEastAsia" w:hint="eastAsia"/>
              </w:rPr>
              <w:t>59,056</w:t>
            </w:r>
          </w:p>
        </w:tc>
      </w:tr>
      <w:tr>
        <w:trPr>
          <w:trHeight w:val="116"/>
        </w:trPr>
        <w:tc>
          <w:tcPr>
            <w:tcW w:w="4524" w:type="dxa"/>
            <w:vAlign w:val="center"/>
          </w:tcPr>
          <w:p>
            <w:pPr>
              <w:pStyle w:val="Style49"/>
            </w:pPr>
            <w:r>
              <w:t>在职员工的数量合计</w:t>
            </w:r>
          </w:p>
        </w:tc>
        <w:tc>
          <w:tcPr>
            <w:tcW w:w="4525" w:type="dxa"/>
            <w:vAlign w:val="center"/>
          </w:tcPr>
          <w:p>
            <w:pPr>
              <w:jc w:val="right"/>
              <w:rPr>
                <w:rFonts w:asciiTheme="minorEastAsia" w:eastAsiaTheme="minorEastAsia" w:hAnsiTheme="minorEastAsia"/>
              </w:rPr>
            </w:pPr>
            <w:r>
              <w:rPr>
                <w:rFonts w:asciiTheme="minorEastAsia" w:eastAsiaTheme="minorEastAsia" w:hAnsiTheme="minorEastAsia" w:hint="eastAsia"/>
              </w:rPr>
              <w:t>90,921</w:t>
            </w:r>
          </w:p>
        </w:tc>
      </w:tr>
      <w:tr>
        <w:trPr>
          <w:trHeight w:val="180"/>
        </w:trPr>
        <w:tc>
          <w:tcPr>
            <w:tcW w:w="4524" w:type="dxa"/>
            <w:vAlign w:val="center"/>
          </w:tcPr>
          <w:p>
            <w:pPr>
              <w:pStyle w:val="Style49"/>
            </w:pPr>
            <w:r>
              <w:t>母公司及主要子公司需承担费用的离退休职工人数</w:t>
            </w:r>
          </w:p>
        </w:tc>
        <w:tc>
          <w:tcPr>
            <w:tcW w:w="4525" w:type="dxa"/>
            <w:vAlign w:val="center"/>
          </w:tcPr>
          <w:p>
            <w:pPr>
              <w:jc w:val="right"/>
              <w:rPr>
                <w:rFonts w:asciiTheme="minorEastAsia" w:eastAsiaTheme="minorEastAsia" w:hAnsiTheme="minorEastAsia"/>
              </w:rPr>
            </w:pPr>
            <w:r>
              <w:rPr>
                <w:rFonts w:asciiTheme="minorEastAsia" w:eastAsiaTheme="minorEastAsia" w:hAnsiTheme="minorEastAsia" w:hint="eastAsia"/>
              </w:rPr>
              <w:t>85,601</w:t>
            </w:r>
          </w:p>
        </w:tc>
      </w:tr>
      <w:tr>
        <w:trPr>
          <w:trHeight w:val="101"/>
        </w:trPr>
        <w:sdt>
          <w:sdtPr>
            <w:tag w:val="_PLD_f37d0297c6bb44dea272632ad4d910e4"/>
            <w:id w:val="671996034"/>
          </w:sdtPr>
          <w:sdtContent>
            <w:tc>
              <w:tcPr>
                <w:tcW w:w="9049" w:type="dxa"/>
                <w:gridSpan w:val="2"/>
                <w:vAlign w:val="center"/>
              </w:tcPr>
              <w:p>
                <w:pPr>
                  <w:jc w:val="center"/>
                </w:pPr>
                <w:r>
                  <w:t>专业构成</w:t>
                </w:r>
              </w:p>
            </w:tc>
          </w:sdtContent>
        </w:sdt>
      </w:tr>
      <w:tr>
        <w:trPr>
          <w:trHeight w:val="150"/>
        </w:trPr>
        <w:sdt>
          <w:sdtPr>
            <w:tag w:val="_PLD_90bef974c0c14508b11a7e84e6f364c5"/>
            <w:id w:val="1492142496"/>
          </w:sdtPr>
          <w:sdtContent>
            <w:tc>
              <w:tcPr>
                <w:tcW w:w="4524" w:type="dxa"/>
                <w:vAlign w:val="center"/>
              </w:tcPr>
              <w:p>
                <w:pPr>
                  <w:jc w:val="center"/>
                </w:pPr>
                <w:r>
                  <w:t>专业构成类别</w:t>
                </w:r>
              </w:p>
            </w:tc>
          </w:sdtContent>
        </w:sdt>
        <w:sdt>
          <w:sdtPr>
            <w:tag w:val="_PLD_a5f175a6b2a94ee7a70936fbe5cbc8da"/>
            <w:id w:val="-829369026"/>
          </w:sdtPr>
          <w:sdtContent>
            <w:tc>
              <w:tcPr>
                <w:tcW w:w="4525" w:type="dxa"/>
                <w:vAlign w:val="center"/>
              </w:tcPr>
              <w:p>
                <w:pPr>
                  <w:jc w:val="center"/>
                </w:pPr>
                <w:r>
                  <w:t>专业构成人数</w:t>
                </w:r>
              </w:p>
            </w:tc>
          </w:sdtContent>
        </w:sdt>
      </w:tr>
      <w:tr>
        <w:trPr>
          <w:trHeight w:val="150"/>
        </w:trPr>
        <w:tc>
          <w:tcPr>
            <w:tcW w:w="4524" w:type="dxa"/>
            <w:vAlign w:val="center"/>
          </w:tcPr>
          <w:p>
            <w:pPr>
              <w:jc w:val="center"/>
            </w:pPr>
            <w:r>
              <w:t>生产人员</w:t>
            </w:r>
          </w:p>
        </w:tc>
        <w:tc>
          <w:tcPr>
            <w:tcW w:w="4525" w:type="dxa"/>
            <w:vAlign w:val="center"/>
          </w:tcPr>
          <w:p>
            <w:pPr>
              <w:jc w:val="right"/>
              <w:rPr>
                <w:rFonts w:asciiTheme="minorEastAsia" w:eastAsiaTheme="minorEastAsia" w:hAnsiTheme="minorEastAsia"/>
              </w:rPr>
            </w:pPr>
            <w:r>
              <w:rPr>
                <w:rFonts w:asciiTheme="minorEastAsia" w:eastAsiaTheme="minorEastAsia" w:hAnsiTheme="minorEastAsia" w:hint="eastAsia"/>
              </w:rPr>
              <w:t>52,210</w:t>
            </w:r>
          </w:p>
        </w:tc>
      </w:tr>
      <w:tr>
        <w:trPr>
          <w:trHeight w:val="150"/>
        </w:trPr>
        <w:tc>
          <w:tcPr>
            <w:tcW w:w="4524" w:type="dxa"/>
            <w:vAlign w:val="center"/>
          </w:tcPr>
          <w:p>
            <w:pPr>
              <w:jc w:val="center"/>
            </w:pPr>
            <w:r>
              <w:t>销售人员</w:t>
            </w:r>
          </w:p>
        </w:tc>
        <w:tc>
          <w:tcPr>
            <w:tcW w:w="4525" w:type="dxa"/>
          </w:tcPr>
          <w:p>
            <w:pPr>
              <w:jc w:val="right"/>
              <w:rPr>
                <w:rFonts w:asciiTheme="minorEastAsia" w:eastAsiaTheme="minorEastAsia" w:hAnsiTheme="minorEastAsia"/>
              </w:rPr>
            </w:pPr>
            <w:r>
              <w:rPr>
                <w:rFonts w:asciiTheme="minorEastAsia" w:eastAsiaTheme="minorEastAsia" w:hAnsiTheme="minorEastAsia" w:hint="eastAsia"/>
              </w:rPr>
              <w:t>958</w:t>
            </w:r>
          </w:p>
        </w:tc>
      </w:tr>
      <w:tr>
        <w:trPr>
          <w:trHeight w:val="101"/>
        </w:trPr>
        <w:tc>
          <w:tcPr>
            <w:tcW w:w="4524" w:type="dxa"/>
            <w:vAlign w:val="center"/>
          </w:tcPr>
          <w:p>
            <w:pPr>
              <w:jc w:val="center"/>
            </w:pPr>
            <w:r>
              <w:t>技术人员</w:t>
            </w:r>
          </w:p>
        </w:tc>
        <w:tc>
          <w:tcPr>
            <w:tcW w:w="4525" w:type="dxa"/>
          </w:tcPr>
          <w:p>
            <w:pPr>
              <w:jc w:val="right"/>
              <w:rPr>
                <w:rFonts w:asciiTheme="minorEastAsia" w:eastAsiaTheme="minorEastAsia" w:hAnsiTheme="minorEastAsia"/>
              </w:rPr>
            </w:pPr>
            <w:r>
              <w:rPr>
                <w:rFonts w:asciiTheme="minorEastAsia" w:eastAsiaTheme="minorEastAsia" w:hAnsiTheme="minorEastAsia" w:hint="eastAsia"/>
              </w:rPr>
              <w:t>6,482</w:t>
            </w:r>
          </w:p>
        </w:tc>
      </w:tr>
      <w:tr>
        <w:trPr>
          <w:trHeight w:val="116"/>
        </w:trPr>
        <w:tc>
          <w:tcPr>
            <w:tcW w:w="4524" w:type="dxa"/>
            <w:vAlign w:val="center"/>
          </w:tcPr>
          <w:p>
            <w:pPr>
              <w:jc w:val="center"/>
            </w:pPr>
            <w:r>
              <w:t>财务人员</w:t>
            </w:r>
          </w:p>
        </w:tc>
        <w:tc>
          <w:tcPr>
            <w:tcW w:w="4525" w:type="dxa"/>
          </w:tcPr>
          <w:p>
            <w:pPr>
              <w:jc w:val="right"/>
              <w:rPr>
                <w:rFonts w:asciiTheme="minorEastAsia" w:eastAsiaTheme="minorEastAsia" w:hAnsiTheme="minorEastAsia"/>
              </w:rPr>
            </w:pPr>
            <w:r>
              <w:rPr>
                <w:rFonts w:asciiTheme="minorEastAsia" w:eastAsiaTheme="minorEastAsia" w:hAnsiTheme="minorEastAsia" w:hint="eastAsia"/>
              </w:rPr>
              <w:t>998</w:t>
            </w:r>
          </w:p>
        </w:tc>
      </w:tr>
      <w:tr>
        <w:trPr>
          <w:trHeight w:val="165"/>
        </w:trPr>
        <w:tc>
          <w:tcPr>
            <w:tcW w:w="4524" w:type="dxa"/>
            <w:vAlign w:val="center"/>
          </w:tcPr>
          <w:p>
            <w:pPr>
              <w:jc w:val="center"/>
            </w:pPr>
            <w:r>
              <w:t>行政人员</w:t>
            </w:r>
          </w:p>
        </w:tc>
        <w:tc>
          <w:tcPr>
            <w:tcW w:w="4525" w:type="dxa"/>
          </w:tcPr>
          <w:p>
            <w:pPr>
              <w:jc w:val="right"/>
              <w:rPr>
                <w:rFonts w:asciiTheme="minorEastAsia" w:eastAsiaTheme="minorEastAsia" w:hAnsiTheme="minorEastAsia"/>
              </w:rPr>
            </w:pPr>
            <w:r>
              <w:rPr>
                <w:rFonts w:asciiTheme="minorEastAsia" w:eastAsiaTheme="minorEastAsia" w:hAnsiTheme="minorEastAsia" w:hint="eastAsia"/>
              </w:rPr>
              <w:t>5,706</w:t>
            </w:r>
          </w:p>
        </w:tc>
      </w:tr>
      <w:tr>
        <w:trPr>
          <w:trHeight w:val="131"/>
        </w:trPr>
        <w:tc>
          <w:tcPr>
            <w:tcW w:w="4524" w:type="dxa"/>
            <w:vAlign w:val="center"/>
          </w:tcPr>
          <w:p>
            <w:pPr>
              <w:jc w:val="center"/>
            </w:pPr>
            <w:r>
              <w:rPr>
                <w:rFonts w:hint="eastAsia"/>
              </w:rPr>
              <w:t>其他辅助人员</w:t>
            </w:r>
          </w:p>
        </w:tc>
        <w:tc>
          <w:tcPr>
            <w:tcW w:w="4525" w:type="dxa"/>
            <w:vAlign w:val="center"/>
          </w:tcPr>
          <w:p>
            <w:pPr>
              <w:jc w:val="right"/>
              <w:rPr>
                <w:rFonts w:asciiTheme="minorEastAsia" w:eastAsiaTheme="minorEastAsia" w:hAnsiTheme="minorEastAsia"/>
              </w:rPr>
            </w:pPr>
            <w:r>
              <w:rPr>
                <w:rFonts w:asciiTheme="minorEastAsia" w:eastAsiaTheme="minorEastAsia" w:hAnsiTheme="minorEastAsia" w:hint="eastAsia"/>
              </w:rPr>
              <w:t>24,567</w:t>
            </w:r>
          </w:p>
        </w:tc>
      </w:tr>
      <w:tr>
        <w:trPr>
          <w:trHeight w:val="146"/>
        </w:trPr>
        <w:tc>
          <w:tcPr>
            <w:tcW w:w="4524" w:type="dxa"/>
            <w:vAlign w:val="center"/>
          </w:tcPr>
          <w:p>
            <w:pPr>
              <w:jc w:val="center"/>
            </w:pPr>
            <w:r>
              <w:t>合计</w:t>
            </w:r>
          </w:p>
        </w:tc>
        <w:tc>
          <w:tcPr>
            <w:tcW w:w="4525" w:type="dxa"/>
            <w:vAlign w:val="center"/>
          </w:tcPr>
          <w:p>
            <w:pPr>
              <w:jc w:val="right"/>
              <w:rPr>
                <w:rFonts w:asciiTheme="minorEastAsia" w:eastAsiaTheme="minorEastAsia" w:hAnsiTheme="minorEastAsia"/>
              </w:rPr>
            </w:pPr>
            <w:r>
              <w:rPr>
                <w:rFonts w:asciiTheme="minorEastAsia" w:eastAsiaTheme="minorEastAsia" w:hAnsiTheme="minorEastAsia" w:hint="eastAsia"/>
              </w:rPr>
              <w:t>90,921</w:t>
            </w:r>
          </w:p>
        </w:tc>
      </w:tr>
      <w:tr>
        <w:trPr>
          <w:trHeight w:val="101"/>
        </w:trPr>
        <w:sdt>
          <w:sdtPr>
            <w:tag w:val="_PLD_ea58f2d9c900463a8694fdc78940295e"/>
            <w:id w:val="644472267"/>
          </w:sdtPr>
          <w:sdtContent>
            <w:tc>
              <w:tcPr>
                <w:tcW w:w="9049" w:type="dxa"/>
                <w:gridSpan w:val="2"/>
                <w:vAlign w:val="center"/>
              </w:tcPr>
              <w:p>
                <w:pPr>
                  <w:jc w:val="center"/>
                </w:pPr>
                <w:r>
                  <w:t>教育程度</w:t>
                </w:r>
              </w:p>
            </w:tc>
          </w:sdtContent>
        </w:sdt>
      </w:tr>
      <w:tr>
        <w:trPr>
          <w:trHeight w:val="116"/>
        </w:trPr>
        <w:sdt>
          <w:sdtPr>
            <w:tag w:val="_PLD_92fefeded22c454881177d08c5c97d97"/>
            <w:id w:val="349759541"/>
          </w:sdtPr>
          <w:sdtContent>
            <w:tc>
              <w:tcPr>
                <w:tcW w:w="4524" w:type="dxa"/>
                <w:vAlign w:val="center"/>
              </w:tcPr>
              <w:p>
                <w:pPr>
                  <w:jc w:val="center"/>
                </w:pPr>
                <w:r>
                  <w:t>教育程度类别</w:t>
                </w:r>
              </w:p>
            </w:tc>
          </w:sdtContent>
        </w:sdt>
        <w:sdt>
          <w:sdtPr>
            <w:tag w:val="_PLD_2a8ff2c52daa4348bedf7a0e6951a5c6"/>
            <w:id w:val="-1721050459"/>
          </w:sdtPr>
          <w:sdtContent>
            <w:tc>
              <w:tcPr>
                <w:tcW w:w="4525" w:type="dxa"/>
                <w:vAlign w:val="center"/>
              </w:tcPr>
              <w:p>
                <w:pPr>
                  <w:jc w:val="center"/>
                </w:pPr>
                <w:r>
                  <w:t>数量（人）</w:t>
                </w:r>
              </w:p>
            </w:tc>
          </w:sdtContent>
        </w:sdt>
      </w:tr>
      <w:tr>
        <w:trPr>
          <w:trHeight w:val="131"/>
        </w:trPr>
        <w:tc>
          <w:tcPr>
            <w:tcW w:w="4524" w:type="dxa"/>
            <w:vAlign w:val="center"/>
          </w:tcPr>
          <w:p>
            <w:pPr>
              <w:jc w:val="center"/>
            </w:pPr>
            <w:r>
              <w:rPr>
                <w:rFonts w:hint="eastAsia"/>
              </w:rPr>
              <w:t>大专及以上</w:t>
            </w:r>
          </w:p>
        </w:tc>
        <w:tc>
          <w:tcPr>
            <w:tcW w:w="4525" w:type="dxa"/>
          </w:tcPr>
          <w:p>
            <w:pPr>
              <w:jc w:val="right"/>
              <w:rPr>
                <w:rFonts w:asciiTheme="minorEastAsia" w:eastAsiaTheme="minorEastAsia" w:hAnsiTheme="minorEastAsia"/>
              </w:rPr>
            </w:pPr>
            <w:r>
              <w:rPr>
                <w:rFonts w:asciiTheme="minorEastAsia" w:eastAsiaTheme="minorEastAsia" w:hAnsiTheme="minorEastAsia" w:hint="eastAsia"/>
              </w:rPr>
              <w:t>46,269</w:t>
            </w:r>
          </w:p>
        </w:tc>
      </w:tr>
      <w:tr>
        <w:trPr>
          <w:trHeight w:val="131"/>
        </w:trPr>
        <w:tc>
          <w:tcPr>
            <w:tcW w:w="4524" w:type="dxa"/>
            <w:vAlign w:val="center"/>
          </w:tcPr>
          <w:p>
            <w:pPr>
              <w:jc w:val="center"/>
            </w:pPr>
            <w:r>
              <w:rPr>
                <w:rFonts w:hint="eastAsia"/>
              </w:rPr>
              <w:t>中等学历</w:t>
            </w:r>
          </w:p>
        </w:tc>
        <w:tc>
          <w:tcPr>
            <w:tcW w:w="4525" w:type="dxa"/>
          </w:tcPr>
          <w:p>
            <w:pPr>
              <w:jc w:val="right"/>
              <w:rPr>
                <w:rFonts w:asciiTheme="minorEastAsia" w:eastAsiaTheme="minorEastAsia" w:hAnsiTheme="minorEastAsia"/>
              </w:rPr>
            </w:pPr>
            <w:r>
              <w:rPr>
                <w:rFonts w:asciiTheme="minorEastAsia" w:eastAsiaTheme="minorEastAsia" w:hAnsiTheme="minorEastAsia" w:hint="eastAsia"/>
              </w:rPr>
              <w:t>29,489</w:t>
            </w:r>
          </w:p>
        </w:tc>
      </w:tr>
      <w:tr>
        <w:trPr>
          <w:trHeight w:val="131"/>
        </w:trPr>
        <w:tc>
          <w:tcPr>
            <w:tcW w:w="4524" w:type="dxa"/>
            <w:vAlign w:val="center"/>
          </w:tcPr>
          <w:p>
            <w:pPr>
              <w:jc w:val="center"/>
            </w:pPr>
            <w:r>
              <w:rPr>
                <w:rFonts w:hint="eastAsia"/>
              </w:rPr>
              <w:t>初中及以下</w:t>
            </w:r>
          </w:p>
        </w:tc>
        <w:tc>
          <w:tcPr>
            <w:tcW w:w="4525" w:type="dxa"/>
          </w:tcPr>
          <w:p>
            <w:pPr>
              <w:jc w:val="right"/>
              <w:rPr>
                <w:rFonts w:asciiTheme="minorEastAsia" w:eastAsiaTheme="minorEastAsia" w:hAnsiTheme="minorEastAsia"/>
              </w:rPr>
            </w:pPr>
            <w:r>
              <w:rPr>
                <w:rFonts w:asciiTheme="minorEastAsia" w:eastAsiaTheme="minorEastAsia" w:hAnsiTheme="minorEastAsia" w:hint="eastAsia"/>
              </w:rPr>
              <w:t>15,163</w:t>
            </w:r>
          </w:p>
        </w:tc>
      </w:tr>
      <w:tr>
        <w:trPr>
          <w:trHeight w:val="165"/>
        </w:trPr>
        <w:tc>
          <w:tcPr>
            <w:tcW w:w="4524" w:type="dxa"/>
            <w:tcBorders>
              <w:bottom w:val="single" w:sz="4" w:space="0" w:color="auto"/>
            </w:tcBorders>
            <w:vAlign w:val="center"/>
          </w:tcPr>
          <w:p>
            <w:pPr>
              <w:jc w:val="center"/>
            </w:pPr>
            <w:r>
              <w:t>合计</w:t>
            </w:r>
          </w:p>
        </w:tc>
        <w:tc>
          <w:tcPr>
            <w:tcW w:w="4525" w:type="dxa"/>
            <w:tcBorders>
              <w:bottom w:val="single" w:sz="4" w:space="0" w:color="auto"/>
            </w:tcBorders>
          </w:tcPr>
          <w:p>
            <w:pPr>
              <w:jc w:val="right"/>
              <w:rPr>
                <w:rFonts w:asciiTheme="minorEastAsia" w:eastAsiaTheme="minorEastAsia" w:hAnsiTheme="minorEastAsia"/>
              </w:rPr>
            </w:pPr>
            <w:r>
              <w:rPr>
                <w:rFonts w:asciiTheme="minorEastAsia" w:eastAsiaTheme="minorEastAsia" w:hAnsiTheme="minorEastAsia" w:hint="eastAsia"/>
              </w:rPr>
              <w:t>90,921</w:t>
            </w:r>
          </w:p>
        </w:tc>
      </w:tr>
    </w:tbl>
    <w:p>
      <w:pPr>
        <w:pStyle w:val="Style49"/>
      </w:pPr>
    </w:p>
    <w:bookmarkEnd w:id="164"/>
    <w:p>
      <w:pPr>
        <w:pStyle w:val="Style52"/>
        <w:numPr>
          <w:ilvl w:val="0"/>
          <w:numId w:val="29"/>
        </w:numPr>
        <w:rPr>
          <w:szCs w:val="21"/>
        </w:rPr>
      </w:pPr>
      <w:r>
        <w:rPr>
          <w:szCs w:val="21"/>
        </w:rPr>
        <w:t>薪酬政策</w:t>
      </w:r>
    </w:p>
    <w:sdt>
      <w:sdtPr>
        <w:rPr>
          <w:rFonts w:hint="eastAsia"/>
        </w:rPr>
        <w:alias w:val="是否适用：薪酬政策[双击切换]"/>
        <w:tag w:val="_GBC_13404877597d44c38f554884f31b3123"/>
        <w:id w:val="1638840980"/>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员工薪酬政策"/>
        <w:tag w:val="_GBC_c66914a8847a42b2b50437dbe93cdad1"/>
        <w:id w:val="432176133"/>
        <w:placeholder>
          <w:docPart w:val="GBC22222222222222222222222222222"/>
        </w:placeholder>
      </w:sdtPr>
      <w:sdtEndPr>
        <w:rPr>
          <w:rFonts w:ascii="宋体" w:hAnsi="宋体"/>
        </w:rPr>
      </w:sdtEndPr>
      <w:sdtContent>
        <w:p>
          <w:pPr>
            <w:ind w:firstLineChars="200" w:firstLine="420"/>
            <w:jc w:val="both"/>
            <w:rPr>
              <w:rFonts w:ascii="宋体" w:hAnsi="宋体"/>
            </w:rPr>
          </w:pPr>
          <w:r>
            <w:rPr>
              <w:rFonts w:ascii="宋体" w:hAnsi="宋体" w:hint="eastAsia"/>
            </w:rPr>
            <w:t>2025年度本集团员工的工资与津贴总额为159亿元。董事、高级管理人员薪酬政策详情请见本节“现任及报告期内离任董事和高级管理人员持股变动及薪酬情况”“</w:t>
          </w:r>
          <w:bookmarkStart w:id="165" w:name="_Hlk224665372"/>
          <w:r>
            <w:rPr>
              <w:rFonts w:ascii="宋体" w:hAnsi="宋体" w:hint="eastAsia"/>
            </w:rPr>
            <w:t>董事、高级管理人员薪酬情况</w:t>
          </w:r>
          <w:bookmarkEnd w:id="165"/>
          <w:r>
            <w:rPr>
              <w:rFonts w:ascii="宋体" w:hAnsi="宋体" w:hint="eastAsia"/>
            </w:rPr>
            <w:t>”。</w:t>
          </w:r>
        </w:p>
        <w:p>
          <w:pPr>
            <w:ind w:firstLineChars="200" w:firstLine="420"/>
            <w:jc w:val="both"/>
            <w:rPr>
              <w:rFonts w:ascii="宋体" w:hAnsi="宋体"/>
            </w:rPr>
          </w:pPr>
          <w:r>
            <w:rPr>
              <w:rFonts w:ascii="宋体" w:hAnsi="宋体" w:hint="eastAsia"/>
            </w:rPr>
            <w:t>本集团其他员工的薪酬政策主要是实行以岗位职责及量化考核结果为基础的岗位绩效工资制，并将绩效工资与公司的整体经济效益及个人业绩挂钩考核兑现。</w:t>
          </w:r>
        </w:p>
      </w:sdtContent>
    </w:sdt>
    <w:p>
      <w:pPr>
        <w:jc w:val="both"/>
      </w:pPr>
    </w:p>
    <w:p>
      <w:pPr>
        <w:pStyle w:val="Style52"/>
        <w:numPr>
          <w:ilvl w:val="0"/>
          <w:numId w:val="29"/>
        </w:numPr>
        <w:rPr>
          <w:szCs w:val="21"/>
        </w:rPr>
      </w:pPr>
      <w:bookmarkStart w:id="166" w:name="OLE_LINK24"/>
      <w:r>
        <w:rPr>
          <w:szCs w:val="21"/>
        </w:rPr>
        <w:t>培训计划</w:t>
      </w:r>
    </w:p>
    <w:sdt>
      <w:sdtPr>
        <w:rPr>
          <w:rFonts w:hint="eastAsia"/>
        </w:rPr>
        <w:alias w:val="是否适用：培训计划[双击切换]"/>
        <w:tag w:val="_GBC_123cfa2c006d4970ae10b316c2c1f95a"/>
        <w:id w:val="457689994"/>
        <w:placeholder>
          <w:docPart w:val="GBC22222222222222222222222222222"/>
        </w:placeholder>
      </w:sdtPr>
      <w:sdtContent>
        <w:p>
          <w:pPr>
            <w:jc w:val="both"/>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员工培训计划"/>
        <w:tag w:val="_GBC_266f6e1d93824387ae96645a471738b7"/>
        <w:id w:val="-748428965"/>
        <w:placeholder>
          <w:docPart w:val="GBC22222222222222222222222222222"/>
        </w:placeholder>
      </w:sdtPr>
      <w:sdtEndPr>
        <w:rPr>
          <w:rFonts w:ascii="宋体" w:hAnsi="宋体"/>
        </w:rPr>
      </w:sdtEndPr>
      <w:sdtContent>
        <w:p>
          <w:pPr>
            <w:ind w:firstLineChars="200" w:firstLine="420"/>
            <w:jc w:val="both"/>
            <w:rPr>
              <w:rFonts w:ascii="宋体" w:hAnsi="宋体"/>
            </w:rPr>
          </w:pPr>
          <w:r>
            <w:rPr>
              <w:rFonts w:ascii="宋体" w:hAnsi="宋体" w:hint="eastAsia"/>
            </w:rPr>
            <w:t>本集团重视员工技能和业务素质培训。不断拓宽教育培训渠道，充分利用各类培训机构，采用形式多样的培训方式，有重点地进行业务技能培训，稳步推进实施管理培训、继续教育、技能培训、安全培训、转岗培训、岗前培训及其他培训。2025年全年计划脱产培训12.6万人次，实际完成13.0万人次，完成计划的103%。</w:t>
          </w:r>
        </w:p>
      </w:sdtContent>
    </w:sdt>
    <w:bookmarkEnd w:id="166"/>
    <w:p>
      <w:pPr>
        <w:pStyle w:val="Style49"/>
      </w:pPr>
    </w:p>
    <w:p>
      <w:pPr>
        <w:pStyle w:val="Style52"/>
        <w:numPr>
          <w:ilvl w:val="0"/>
          <w:numId w:val="29"/>
        </w:numPr>
        <w:rPr>
          <w:szCs w:val="21"/>
        </w:rPr>
      </w:pPr>
      <w:bookmarkStart w:id="167" w:name="_Hlk184285495"/>
      <w:r>
        <w:rPr>
          <w:szCs w:val="21"/>
        </w:rPr>
        <w:t>劳务外包情况</w:t>
      </w:r>
    </w:p>
    <w:sdt>
      <w:sdtPr>
        <w:alias w:val="是否适用：劳务外包情况[双击切换]"/>
        <w:tag w:val="_GBC_7647f15955ca4a4f9916c280d684fbc0"/>
        <w:id w:val="-1100719655"/>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bookmarkEnd w:id="167"/>
    <w:p>
      <w:pPr>
        <w:pStyle w:val="Style51"/>
        <w:numPr>
          <w:ilvl w:val="0"/>
          <w:numId w:val="24"/>
        </w:numPr>
      </w:pPr>
      <w:r>
        <w:t>利润分配或资本公积金转增预案</w:t>
      </w:r>
    </w:p>
    <w:p>
      <w:pPr>
        <w:pStyle w:val="Style52"/>
        <w:numPr>
          <w:ilvl w:val="0"/>
          <w:numId w:val="30"/>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55466604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现金分红政策的执行情况"/>
        <w:tag w:val="_GBC_0ba57968760941749cc2f420644f2599"/>
        <w:id w:val="-1205395952"/>
        <w:placeholder>
          <w:docPart w:val="GBC22222222222222222222222222222"/>
        </w:placeholder>
      </w:sdtPr>
      <w:sdtContent>
        <w:p>
          <w:pPr>
            <w:ind w:firstLineChars="200" w:firstLine="420"/>
          </w:pPr>
        </w:p>
        <w:p>
          <w:pPr>
            <w:ind w:firstLineChars="200" w:firstLine="420"/>
            <w:jc w:val="both"/>
            <w:rPr>
              <w:rFonts w:ascii="宋体" w:hAnsi="宋体"/>
            </w:rPr>
          </w:pPr>
          <w:r>
            <w:rPr>
              <w:rFonts w:ascii="宋体" w:hAnsi="宋体" w:hint="eastAsia"/>
            </w:rPr>
            <w:t>公司规定的现金分红政策为：公司可以采用现金、股票或者现金与股票相结合的方式进行利润分配。当具备现金分红条件时，现金股利优先于股票股利。公司在分配有关会计年度的税后利润时，以两种财务报表（按中国会计准则编制的财务报表、按国际或者境外上市地会计准则编制的财务报表）税后利润数较少者为准。公司分配当年税后利润时，应当提取利润的百分之十列入公司法定公积金。公司法定公积金累计额为公司注册资本的百分之五十以上的，可以不再提取。公司每年分配末期股利一次，由股东会通过普通决议授权董事会分配和支付该末期股利；除非股东会另有决议，股东会授权董事会分配中期股利。在优先保证公司可持续发展、公司当年盈利且累计未分配利润为正的前提下，除有重大投资计划或重大现金需求外，公司在该会计年度分配的现金股利总额，应占公司该年度扣除法定储备后净利润的约百分之三十五。公司在经营情况良好，</w:t>
          </w:r>
          <w:r>
            <w:rPr>
              <w:rFonts w:ascii="宋体" w:hAnsi="宋体" w:hint="eastAsia"/>
            </w:rPr>
            <w:lastRenderedPageBreak/>
            <w:t>并且董事会认为公司股票价格与公司股本规模不匹配、发放股票股利有利于公司全体股东整体利益及其他必要情形时，可采用股票形式进行利润分配。</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经公司2023年10月27日召开的2023年第一次临时股东大会审议批准，公司2023-2025年度现金分红比例确定为：公司在各会计年度分配的现金股利总额，应占公司该年度扣除法定储备后净利润的约百分之六十，且每股现金股利不低于0.50元。</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经公司202</w:t>
          </w:r>
          <w:r>
            <w:rPr>
              <w:rFonts w:ascii="宋体" w:hAnsi="宋体"/>
            </w:rPr>
            <w:t>5</w:t>
          </w:r>
          <w:r>
            <w:rPr>
              <w:rFonts w:ascii="宋体" w:hAnsi="宋体" w:hint="eastAsia"/>
            </w:rPr>
            <w:t>年</w:t>
          </w:r>
          <w:r>
            <w:rPr>
              <w:rFonts w:ascii="宋体" w:hAnsi="宋体"/>
            </w:rPr>
            <w:t>5</w:t>
          </w:r>
          <w:r>
            <w:rPr>
              <w:rFonts w:ascii="宋体" w:hAnsi="宋体" w:hint="eastAsia"/>
            </w:rPr>
            <w:t>月</w:t>
          </w:r>
          <w:r>
            <w:rPr>
              <w:rFonts w:ascii="宋体" w:hAnsi="宋体"/>
            </w:rPr>
            <w:t>30</w:t>
          </w:r>
          <w:r>
            <w:rPr>
              <w:rFonts w:ascii="宋体" w:hAnsi="宋体" w:hint="eastAsia"/>
            </w:rPr>
            <w:t>日召开的202</w:t>
          </w:r>
          <w:r>
            <w:rPr>
              <w:rFonts w:ascii="宋体" w:hAnsi="宋体"/>
            </w:rPr>
            <w:t>4</w:t>
          </w:r>
          <w:r>
            <w:rPr>
              <w:rFonts w:ascii="宋体" w:hAnsi="宋体" w:hint="eastAsia"/>
            </w:rPr>
            <w:t>年度股东周年大会审议批准，公司202</w:t>
          </w:r>
          <w:r>
            <w:rPr>
              <w:rFonts w:ascii="宋体" w:hAnsi="宋体"/>
            </w:rPr>
            <w:t>4</w:t>
          </w:r>
          <w:r>
            <w:rPr>
              <w:rFonts w:ascii="宋体" w:hAnsi="宋体" w:hint="eastAsia"/>
            </w:rPr>
            <w:t>年度末期权益分派方案为每股派发现金股利</w:t>
          </w:r>
          <w:r>
            <w:rPr>
              <w:rFonts w:ascii="宋体" w:hAnsi="宋体"/>
            </w:rPr>
            <w:t>0.54</w:t>
          </w:r>
          <w:r>
            <w:rPr>
              <w:rFonts w:ascii="宋体" w:hAnsi="宋体" w:hint="eastAsia"/>
            </w:rPr>
            <w:t>元（含税）。截至本报告披露日，202</w:t>
          </w:r>
          <w:r>
            <w:rPr>
              <w:rFonts w:ascii="宋体" w:hAnsi="宋体"/>
            </w:rPr>
            <w:t>4</w:t>
          </w:r>
          <w:r>
            <w:rPr>
              <w:rFonts w:ascii="宋体" w:hAnsi="宋体" w:hint="eastAsia"/>
            </w:rPr>
            <w:t>年度末期权益分派已实施完毕。</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经公司202</w:t>
          </w:r>
          <w:r>
            <w:rPr>
              <w:rFonts w:ascii="宋体" w:hAnsi="宋体"/>
            </w:rPr>
            <w:t>5</w:t>
          </w:r>
          <w:r>
            <w:rPr>
              <w:rFonts w:ascii="宋体" w:hAnsi="宋体" w:hint="eastAsia"/>
            </w:rPr>
            <w:t>年</w:t>
          </w:r>
          <w:r>
            <w:rPr>
              <w:rFonts w:ascii="宋体" w:hAnsi="宋体"/>
            </w:rPr>
            <w:t>8</w:t>
          </w:r>
          <w:r>
            <w:rPr>
              <w:rFonts w:ascii="宋体" w:hAnsi="宋体" w:hint="eastAsia"/>
            </w:rPr>
            <w:t>月</w:t>
          </w:r>
          <w:r>
            <w:rPr>
              <w:rFonts w:ascii="宋体" w:hAnsi="宋体"/>
            </w:rPr>
            <w:t>29</w:t>
          </w:r>
          <w:r>
            <w:rPr>
              <w:rFonts w:ascii="宋体" w:hAnsi="宋体" w:hint="eastAsia"/>
            </w:rPr>
            <w:t>日召开的第九届董事会第十八次会议审议批准，公司202</w:t>
          </w:r>
          <w:r>
            <w:rPr>
              <w:rFonts w:ascii="宋体" w:hAnsi="宋体"/>
            </w:rPr>
            <w:t>5</w:t>
          </w:r>
          <w:r>
            <w:rPr>
              <w:rFonts w:ascii="宋体" w:hAnsi="宋体" w:hint="eastAsia"/>
            </w:rPr>
            <w:t>年半年度权益分派方案为每股派发现金股利</w:t>
          </w:r>
          <w:r>
            <w:rPr>
              <w:rFonts w:ascii="宋体" w:hAnsi="宋体"/>
            </w:rPr>
            <w:t>0.18</w:t>
          </w:r>
          <w:r>
            <w:rPr>
              <w:rFonts w:ascii="宋体" w:hAnsi="宋体" w:hint="eastAsia"/>
            </w:rPr>
            <w:t>元（含税）。截至本报告披露日，202</w:t>
          </w:r>
          <w:r>
            <w:rPr>
              <w:rFonts w:ascii="宋体" w:hAnsi="宋体"/>
            </w:rPr>
            <w:t>5</w:t>
          </w:r>
          <w:r>
            <w:rPr>
              <w:rFonts w:ascii="宋体" w:hAnsi="宋体" w:hint="eastAsia"/>
            </w:rPr>
            <w:t>年半年度权益分派已实施完毕。</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202</w:t>
          </w:r>
          <w:r>
            <w:rPr>
              <w:rFonts w:ascii="宋体" w:hAnsi="宋体"/>
            </w:rPr>
            <w:t>5</w:t>
          </w:r>
          <w:r>
            <w:rPr>
              <w:rFonts w:ascii="宋体" w:hAnsi="宋体" w:hint="eastAsia"/>
            </w:rPr>
            <w:t>年度，公司按中国会计准则实现归母净利润</w:t>
          </w:r>
          <w:r>
            <w:rPr>
              <w:rFonts w:ascii="宋体" w:hAnsi="宋体"/>
            </w:rPr>
            <w:t>83.81</w:t>
          </w:r>
          <w:r>
            <w:rPr>
              <w:rFonts w:ascii="宋体" w:hAnsi="宋体" w:hint="eastAsia"/>
            </w:rPr>
            <w:t>亿元，按国际财务报告准则实现归母净利润</w:t>
          </w:r>
          <w:r>
            <w:rPr>
              <w:rFonts w:ascii="宋体" w:hAnsi="宋体"/>
            </w:rPr>
            <w:t>85.25</w:t>
          </w:r>
          <w:r>
            <w:rPr>
              <w:rFonts w:ascii="宋体" w:hAnsi="宋体" w:hint="eastAsia"/>
            </w:rPr>
            <w:t>亿元，根据《公司章程》及2023-2025年度分红政策，202</w:t>
          </w:r>
          <w:r>
            <w:rPr>
              <w:rFonts w:ascii="宋体" w:hAnsi="宋体"/>
            </w:rPr>
            <w:t>5</w:t>
          </w:r>
          <w:r>
            <w:rPr>
              <w:rFonts w:ascii="宋体" w:hAnsi="宋体" w:hint="eastAsia"/>
            </w:rPr>
            <w:t>年度现金股利为</w:t>
          </w:r>
          <w:r>
            <w:rPr>
              <w:rFonts w:ascii="宋体" w:hAnsi="宋体"/>
            </w:rPr>
            <w:t>0.50</w:t>
          </w:r>
          <w:r>
            <w:rPr>
              <w:rFonts w:ascii="宋体" w:hAnsi="宋体" w:hint="eastAsia"/>
            </w:rPr>
            <w:t>元/股（含税），扣除202</w:t>
          </w:r>
          <w:r>
            <w:rPr>
              <w:rFonts w:ascii="宋体" w:hAnsi="宋体"/>
            </w:rPr>
            <w:t>5</w:t>
          </w:r>
          <w:r>
            <w:rPr>
              <w:rFonts w:ascii="宋体" w:hAnsi="宋体" w:hint="eastAsia"/>
            </w:rPr>
            <w:t>年半年度现金股利0.</w:t>
          </w:r>
          <w:r>
            <w:rPr>
              <w:rFonts w:ascii="宋体" w:hAnsi="宋体"/>
            </w:rPr>
            <w:t>18</w:t>
          </w:r>
          <w:r>
            <w:rPr>
              <w:rFonts w:ascii="宋体" w:hAnsi="宋体" w:hint="eastAsia"/>
            </w:rPr>
            <w:t>元/股（含税）后，公司董事会建议以权益分派股权登记日的总股本为基数，派发202</w:t>
          </w:r>
          <w:r>
            <w:rPr>
              <w:rFonts w:ascii="宋体" w:hAnsi="宋体"/>
            </w:rPr>
            <w:t>5</w:t>
          </w:r>
          <w:r>
            <w:rPr>
              <w:rFonts w:ascii="宋体" w:hAnsi="宋体" w:hint="eastAsia"/>
            </w:rPr>
            <w:t>年度末期现金股利</w:t>
          </w:r>
          <w:r>
            <w:rPr>
              <w:rFonts w:ascii="宋体" w:hAnsi="宋体"/>
            </w:rPr>
            <w:t>0.32</w:t>
          </w:r>
          <w:r>
            <w:rPr>
              <w:rFonts w:ascii="宋体" w:hAnsi="宋体" w:hint="eastAsia"/>
            </w:rPr>
            <w:t>元/股（含税）。</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该等分配方案将提交202</w:t>
          </w:r>
          <w:r>
            <w:rPr>
              <w:rFonts w:ascii="宋体" w:hAnsi="宋体"/>
            </w:rPr>
            <w:t>5</w:t>
          </w:r>
          <w:r>
            <w:rPr>
              <w:rFonts w:ascii="宋体" w:hAnsi="宋体" w:hint="eastAsia"/>
            </w:rPr>
            <w:t>年度股东会审议，并于股东会批准后两个月内（若被通过）发放给公司股东。根据《公司章程》规定，现金股利将以人民币计算和宣布。</w:t>
          </w:r>
        </w:p>
        <w:p>
          <w:pPr>
            <w:ind w:firstLineChars="200" w:firstLine="420"/>
            <w:jc w:val="both"/>
            <w:rPr>
              <w:rFonts w:ascii="宋体" w:hAnsi="宋体"/>
            </w:rPr>
          </w:pPr>
          <w:r>
            <w:rPr>
              <w:rFonts w:ascii="宋体" w:hAnsi="宋体" w:hint="eastAsia"/>
            </w:rPr>
            <w:t>在实施权益分派的股权登记日前公司总股本发生变动的，拟维持每股分配金额不变，相应调整分配总额。</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公司利润分配方案的制定已充分听取和考虑本公司股东特别是中小股东的意见和诉求，并符合《公司章程》规定，经本公司董事会和股东会批准执行。</w:t>
          </w:r>
        </w:p>
        <w:p>
          <w:pPr>
            <w:ind w:firstLineChars="200" w:firstLine="420"/>
          </w:pPr>
        </w:p>
      </w:sdtContent>
    </w:sdt>
    <w:p>
      <w:pPr>
        <w:pStyle w:val="Style49"/>
      </w:pPr>
    </w:p>
    <w:p>
      <w:pPr>
        <w:pStyle w:val="Style52"/>
        <w:numPr>
          <w:ilvl w:val="0"/>
          <w:numId w:val="30"/>
        </w:numPr>
      </w:pPr>
      <w:bookmarkStart w:id="168" w:name="_Hlk89446160"/>
      <w:r>
        <w:rPr>
          <w:rFonts w:hint="eastAsia"/>
        </w:rPr>
        <w:t>现金分红政策的专项说明</w:t>
      </w:r>
    </w:p>
    <w:sdt>
      <w:sdtPr>
        <w:alias w:val="是否适用：现金分红政策的专项说明 [双击切换]"/>
        <w:tag w:val="_GBC_715d8b6c04924cf19dcd2347ae32471f"/>
        <w:id w:val="-189565194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Style6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1994"/>
      </w:tblGrid>
      <w:tr>
        <w:sdt>
          <w:sdtPr>
            <w:tag w:val="_PLD_be5b642d619e47719375899ad34c31f6"/>
            <w:id w:val="1499076776"/>
          </w:sdtPr>
          <w:sdtContent>
            <w:tc>
              <w:tcPr>
                <w:tcW w:w="7054" w:type="dxa"/>
                <w:vAlign w:val="center"/>
              </w:tcPr>
              <w:p>
                <w:pPr>
                  <w:pStyle w:val="Style49"/>
                </w:pPr>
                <w:r>
                  <w:rPr>
                    <w:rFonts w:hint="eastAsia"/>
                  </w:rPr>
                  <w:t>是否符合公司章程的规定或股东会决议的要求</w:t>
                </w:r>
              </w:p>
            </w:tc>
          </w:sdtContent>
        </w:sdt>
        <w:sdt>
          <w:sdtPr>
            <w:rPr>
              <w:rFonts w:asciiTheme="minorEastAsia" w:eastAsiaTheme="minorEastAsia" w:hAnsiTheme="minorEastAsia"/>
            </w:rPr>
            <w:alias w:val="是否符合公司章程的规定或股东大会决议的要求[双击切换]"/>
            <w:tag w:val="_GBC_c4c31977f51f4fa0a4f1f65cff248b5c"/>
            <w:id w:val="1063686174"/>
          </w:sdtPr>
          <w:sdtContent>
            <w:tc>
              <w:tcPr>
                <w:tcW w:w="1994" w:type="dxa"/>
                <w:vAlign w:val="center"/>
              </w:tcPr>
              <w:p>
                <w:pPr>
                  <w:jc w:val="cente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□否 </w:instrText>
                </w:r>
                <w:r>
                  <w:rPr>
                    <w:rFonts w:asciiTheme="minorEastAsia" w:eastAsiaTheme="minorEastAsia" w:hAnsiTheme="minorEastAsia"/>
                  </w:rPr>
                  <w:fldChar w:fldCharType="end"/>
                </w:r>
              </w:p>
            </w:tc>
          </w:sdtContent>
        </w:sdt>
      </w:tr>
      <w:tr>
        <w:tc>
          <w:tcPr>
            <w:tcW w:w="7054" w:type="dxa"/>
            <w:vAlign w:val="center"/>
          </w:tcPr>
          <w:p>
            <w:pPr>
              <w:pStyle w:val="Style49"/>
            </w:pPr>
            <w:r>
              <w:rPr>
                <w:rFonts w:hint="eastAsia"/>
              </w:rPr>
              <w:t>分红标准和比例是否明确和清晰</w:t>
            </w:r>
          </w:p>
        </w:tc>
        <w:sdt>
          <w:sdtPr>
            <w:rPr>
              <w:rFonts w:asciiTheme="minorEastAsia" w:eastAsiaTheme="minorEastAsia" w:hAnsiTheme="minorEastAsia"/>
            </w:rPr>
            <w:alias w:val="分红标准和比例是否明确和清晰[双击切换]"/>
            <w:tag w:val="_GBC_c8bbad0601c544fca3faeac3b11ee218"/>
            <w:id w:val="899485814"/>
          </w:sdtPr>
          <w:sdtContent>
            <w:tc>
              <w:tcPr>
                <w:tcW w:w="1994" w:type="dxa"/>
                <w:vAlign w:val="center"/>
              </w:tcPr>
              <w:p>
                <w:pPr>
                  <w:jc w:val="cente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□否 </w:instrText>
                </w:r>
                <w:r>
                  <w:rPr>
                    <w:rFonts w:asciiTheme="minorEastAsia" w:eastAsiaTheme="minorEastAsia" w:hAnsiTheme="minorEastAsia"/>
                  </w:rPr>
                  <w:fldChar w:fldCharType="end"/>
                </w:r>
              </w:p>
            </w:tc>
          </w:sdtContent>
        </w:sdt>
      </w:tr>
      <w:tr>
        <w:tc>
          <w:tcPr>
            <w:tcW w:w="7054" w:type="dxa"/>
            <w:tcBorders>
              <w:top w:val="single" w:sz="4" w:space="0" w:color="auto"/>
              <w:left w:val="single" w:sz="4" w:space="0" w:color="auto"/>
              <w:bottom w:val="single" w:sz="4" w:space="0" w:color="auto"/>
              <w:right w:val="single" w:sz="4" w:space="0" w:color="auto"/>
            </w:tcBorders>
            <w:vAlign w:val="center"/>
          </w:tcPr>
          <w:p>
            <w:pPr>
              <w:pStyle w:val="Style49"/>
            </w:pPr>
            <w:r>
              <w:rPr>
                <w:rFonts w:hint="eastAsia"/>
              </w:rPr>
              <w:t>相关的决策程序和机制是否完备</w:t>
            </w:r>
          </w:p>
        </w:tc>
        <w:sdt>
          <w:sdtPr>
            <w:rPr>
              <w:rFonts w:asciiTheme="minorEastAsia" w:eastAsiaTheme="minorEastAsia" w:hAnsiTheme="minorEastAsia"/>
            </w:rPr>
            <w:alias w:val="相关的决策程序和机制是否完备[双击切换]"/>
            <w:tag w:val="_GBC_b2d0d75abb6f4f14a51595902d0ad7b9"/>
            <w:id w:val="-1169013421"/>
          </w:sdtPr>
          <w:sdtContent>
            <w:tc>
              <w:tcPr>
                <w:tcW w:w="1994" w:type="dxa"/>
                <w:tcBorders>
                  <w:top w:val="single" w:sz="4" w:space="0" w:color="auto"/>
                  <w:left w:val="single" w:sz="4" w:space="0" w:color="auto"/>
                  <w:bottom w:val="single" w:sz="4" w:space="0" w:color="auto"/>
                  <w:right w:val="single" w:sz="4" w:space="0" w:color="auto"/>
                </w:tcBorders>
                <w:vAlign w:val="center"/>
              </w:tcPr>
              <w:p>
                <w:pPr>
                  <w:jc w:val="cente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□否 </w:instrText>
                </w:r>
                <w:r>
                  <w:rPr>
                    <w:rFonts w:asciiTheme="minorEastAsia" w:eastAsiaTheme="minorEastAsia" w:hAnsiTheme="minorEastAsia"/>
                  </w:rPr>
                  <w:fldChar w:fldCharType="end"/>
                </w:r>
              </w:p>
            </w:tc>
          </w:sdtContent>
        </w:sdt>
      </w:tr>
      <w:tr>
        <w:tc>
          <w:tcPr>
            <w:tcW w:w="7054" w:type="dxa"/>
            <w:tcBorders>
              <w:top w:val="single" w:sz="4" w:space="0" w:color="auto"/>
              <w:left w:val="single" w:sz="4" w:space="0" w:color="auto"/>
              <w:bottom w:val="single" w:sz="4" w:space="0" w:color="auto"/>
              <w:right w:val="single" w:sz="4" w:space="0" w:color="auto"/>
            </w:tcBorders>
            <w:vAlign w:val="center"/>
          </w:tcPr>
          <w:p>
            <w:pPr>
              <w:pStyle w:val="Style49"/>
            </w:pPr>
            <w:r>
              <w:rPr>
                <w:rFonts w:hint="eastAsia"/>
              </w:rPr>
              <w:t>独立董事是否履职尽责并发挥了应有的作用</w:t>
            </w:r>
          </w:p>
        </w:tc>
        <w:sdt>
          <w:sdtPr>
            <w:rPr>
              <w:rFonts w:asciiTheme="minorEastAsia" w:eastAsiaTheme="minorEastAsia" w:hAnsiTheme="minorEastAsia"/>
            </w:rPr>
            <w:alias w:val="独立董事是否履职尽责并发挥了应有的作用[双击切换]"/>
            <w:tag w:val="_GBC_0b8d249fbcc74af893077c4c7eee16ef"/>
            <w:id w:val="-867824412"/>
          </w:sdtPr>
          <w:sdtContent>
            <w:tc>
              <w:tcPr>
                <w:tcW w:w="1994" w:type="dxa"/>
                <w:tcBorders>
                  <w:top w:val="single" w:sz="4" w:space="0" w:color="auto"/>
                  <w:left w:val="single" w:sz="4" w:space="0" w:color="auto"/>
                  <w:bottom w:val="single" w:sz="4" w:space="0" w:color="auto"/>
                  <w:right w:val="single" w:sz="4" w:space="0" w:color="auto"/>
                </w:tcBorders>
                <w:vAlign w:val="center"/>
              </w:tcPr>
              <w:p>
                <w:pPr>
                  <w:jc w:val="cente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□否 </w:instrText>
                </w:r>
                <w:r>
                  <w:rPr>
                    <w:rFonts w:asciiTheme="minorEastAsia" w:eastAsiaTheme="minorEastAsia" w:hAnsiTheme="minorEastAsia"/>
                  </w:rPr>
                  <w:fldChar w:fldCharType="end"/>
                </w:r>
              </w:p>
            </w:tc>
          </w:sdtContent>
        </w:sdt>
      </w:tr>
      <w:tr>
        <w:tc>
          <w:tcPr>
            <w:tcW w:w="7054" w:type="dxa"/>
            <w:tcBorders>
              <w:top w:val="single" w:sz="4" w:space="0" w:color="auto"/>
              <w:left w:val="single" w:sz="4" w:space="0" w:color="auto"/>
              <w:bottom w:val="single" w:sz="4" w:space="0" w:color="auto"/>
              <w:right w:val="single" w:sz="4" w:space="0" w:color="auto"/>
            </w:tcBorders>
            <w:vAlign w:val="center"/>
          </w:tcPr>
          <w:p>
            <w:pPr>
              <w:pStyle w:val="Style49"/>
            </w:pPr>
            <w:r>
              <w:rPr>
                <w:rFonts w:hint="eastAsia"/>
              </w:rPr>
              <w:t>中小股东是否有充分表达意见和诉求的机会，其合法权益是否得到了充分保护</w:t>
            </w:r>
          </w:p>
        </w:tc>
        <w:sdt>
          <w:sdtPr>
            <w:rPr>
              <w:rFonts w:asciiTheme="minorEastAsia" w:eastAsiaTheme="minorEastAsia" w:hAnsiTheme="minorEastAsia"/>
            </w:rPr>
            <w:alias w:val="中小股东是否有充分表达意见和诉求的机会，其合法权益是否得到了充分保护[双击切换]"/>
            <w:tag w:val="_GBC_827122507d054bfd80b4c5e8d243a91b"/>
            <w:id w:val="-717051653"/>
          </w:sdtPr>
          <w:sdtContent>
            <w:tc>
              <w:tcPr>
                <w:tcW w:w="1994" w:type="dxa"/>
                <w:tcBorders>
                  <w:top w:val="single" w:sz="4" w:space="0" w:color="auto"/>
                  <w:left w:val="single" w:sz="4" w:space="0" w:color="auto"/>
                  <w:bottom w:val="single" w:sz="4" w:space="0" w:color="auto"/>
                  <w:right w:val="single" w:sz="4" w:space="0" w:color="auto"/>
                </w:tcBorders>
                <w:vAlign w:val="center"/>
              </w:tcPr>
              <w:p>
                <w:pPr>
                  <w:jc w:val="cente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□否 </w:instrText>
                </w:r>
                <w:r>
                  <w:rPr>
                    <w:rFonts w:asciiTheme="minorEastAsia" w:eastAsiaTheme="minorEastAsia" w:hAnsiTheme="minorEastAsia"/>
                  </w:rPr>
                  <w:fldChar w:fldCharType="end"/>
                </w:r>
              </w:p>
            </w:tc>
          </w:sdtContent>
        </w:sdt>
      </w:tr>
    </w:tbl>
    <w:p>
      <w:pPr>
        <w:pStyle w:val="Style49"/>
      </w:pPr>
    </w:p>
    <w:bookmarkEnd w:id="168"/>
    <w:p>
      <w:pPr>
        <w:pStyle w:val="Style52"/>
        <w:numPr>
          <w:ilvl w:val="0"/>
          <w:numId w:val="30"/>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2933571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0"/>
          <w:numId w:val="30"/>
        </w:numPr>
      </w:pPr>
      <w:r>
        <w:rPr>
          <w:rFonts w:hint="eastAsia"/>
        </w:rPr>
        <w:t>本报告期利润分配及资本公积金转增股本预案</w:t>
      </w:r>
    </w:p>
    <w:sdt>
      <w:sdtPr>
        <w:alias w:val="是否适用：利润分配及资本公积金转增股本情况[双击切换]"/>
        <w:tag w:val="_GBC_495a4ba42a0f42f09a8ad4b2fade6559"/>
        <w:id w:val="-135094691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利润分配及资本公积金转增股本情况"/>
          <w:tag w:val="_GBC_13401d941a944aa6845e12add2d0dd0e"/>
          <w:id w:val="-137361255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sdt>
        <w:sdtPr>
          <w:rPr>
            <w:rFonts w:hint="eastAsia"/>
          </w:rPr>
          <w:alias w:val="币种：利润分配及资本公积金转增股本情况"/>
          <w:tag w:val="_GBC_7b66af31a51f46208037a812a69070e9"/>
          <w:id w:val="-4466176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63"/>
        <w:tblW w:w="877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248"/>
        <w:gridCol w:w="4531"/>
      </w:tblGrid>
      <w:tr>
        <w:trPr>
          <w:trHeight w:val="380"/>
        </w:trPr>
        <w:sdt>
          <w:sdtPr>
            <w:rPr>
              <w:rFonts w:ascii="宋体" w:hAnsi="宋体"/>
            </w:rPr>
            <w:tag w:val="_PLD_28cd685f5155420cab6b327b3f81025e"/>
            <w:id w:val="2057733954"/>
          </w:sdtPr>
          <w:sdtContent>
            <w:tc>
              <w:tcPr>
                <w:tcW w:w="4248" w:type="dxa"/>
                <w:vAlign w:val="center"/>
              </w:tcPr>
              <w:p>
                <w:pPr>
                  <w:rPr>
                    <w:rFonts w:ascii="宋体" w:hAnsi="宋体"/>
                  </w:rPr>
                </w:pPr>
                <w:r>
                  <w:rPr>
                    <w:rFonts w:ascii="宋体" w:hAnsi="宋体"/>
                  </w:rPr>
                  <w:t>每10股送红股数（股）</w:t>
                </w:r>
              </w:p>
            </w:tc>
          </w:sdtContent>
        </w:sdt>
        <w:sdt>
          <w:sdtPr>
            <w:rPr>
              <w:rFonts w:ascii="宋体" w:hAnsi="宋体"/>
            </w:rPr>
            <w:alias w:val="每10股送红股数"/>
            <w:tag w:val="_GBC_58f0c45405b7481688ebf758a6c2771d"/>
            <w:id w:val="1474571513"/>
          </w:sdtPr>
          <w:sdtContent>
            <w:tc>
              <w:tcPr>
                <w:tcW w:w="4531" w:type="dxa"/>
                <w:vAlign w:val="center"/>
              </w:tcPr>
              <w:p>
                <w:pPr>
                  <w:jc w:val="right"/>
                  <w:rPr>
                    <w:rFonts w:ascii="宋体" w:hAnsi="宋体"/>
                  </w:rPr>
                </w:pPr>
                <w:r>
                  <w:rPr>
                    <w:rFonts w:ascii="宋体" w:hAnsi="宋体" w:hint="eastAsia"/>
                  </w:rPr>
                  <w:t>-</w:t>
                </w:r>
              </w:p>
            </w:tc>
          </w:sdtContent>
        </w:sdt>
      </w:tr>
      <w:tr>
        <w:trPr>
          <w:trHeight w:val="340"/>
        </w:trPr>
        <w:tc>
          <w:tcPr>
            <w:tcW w:w="4248" w:type="dxa"/>
            <w:vAlign w:val="center"/>
          </w:tcPr>
          <w:p>
            <w:pPr>
              <w:rPr>
                <w:rFonts w:ascii="宋体" w:hAnsi="宋体"/>
              </w:rPr>
            </w:pPr>
            <w:r>
              <w:rPr>
                <w:rFonts w:ascii="宋体" w:hAnsi="宋体" w:hint="eastAsia"/>
              </w:rPr>
              <w:t>每</w:t>
            </w:r>
            <w:r>
              <w:rPr>
                <w:rFonts w:ascii="宋体" w:hAnsi="宋体"/>
              </w:rPr>
              <w:t>10</w:t>
            </w:r>
            <w:r>
              <w:rPr>
                <w:rFonts w:ascii="宋体" w:hAnsi="宋体" w:hint="eastAsia"/>
              </w:rPr>
              <w:t>股派息数（元）（含税）</w:t>
            </w:r>
          </w:p>
        </w:tc>
        <w:tc>
          <w:tcPr>
            <w:tcW w:w="4531" w:type="dxa"/>
            <w:vAlign w:val="center"/>
          </w:tcPr>
          <w:p>
            <w:pPr>
              <w:jc w:val="right"/>
              <w:rPr>
                <w:rFonts w:ascii="宋体" w:hAnsi="宋体"/>
              </w:rPr>
            </w:pPr>
            <w:r>
              <w:rPr>
                <w:rFonts w:ascii="宋体" w:hAnsi="宋体" w:hint="eastAsia"/>
              </w:rPr>
              <w:t>5</w:t>
            </w:r>
          </w:p>
        </w:tc>
      </w:tr>
      <w:tr>
        <w:trPr>
          <w:trHeight w:val="340"/>
        </w:trPr>
        <w:tc>
          <w:tcPr>
            <w:tcW w:w="4248" w:type="dxa"/>
            <w:vAlign w:val="center"/>
          </w:tcPr>
          <w:p>
            <w:pPr>
              <w:rPr>
                <w:rFonts w:ascii="宋体" w:hAnsi="宋体"/>
              </w:rPr>
            </w:pPr>
            <w:r>
              <w:rPr>
                <w:rFonts w:ascii="宋体" w:hAnsi="宋体" w:hint="eastAsia"/>
              </w:rPr>
              <w:lastRenderedPageBreak/>
              <w:t>每</w:t>
            </w:r>
            <w:r>
              <w:rPr>
                <w:rFonts w:ascii="宋体" w:hAnsi="宋体"/>
              </w:rPr>
              <w:t>10</w:t>
            </w:r>
            <w:r>
              <w:rPr>
                <w:rFonts w:ascii="宋体" w:hAnsi="宋体" w:hint="eastAsia"/>
              </w:rPr>
              <w:t>股转增数（股）</w:t>
            </w:r>
          </w:p>
        </w:tc>
        <w:tc>
          <w:tcPr>
            <w:tcW w:w="4531" w:type="dxa"/>
            <w:vAlign w:val="center"/>
          </w:tcPr>
          <w:p>
            <w:pPr>
              <w:jc w:val="right"/>
              <w:rPr>
                <w:rFonts w:ascii="宋体" w:hAnsi="宋体"/>
              </w:rPr>
            </w:pPr>
            <w:r>
              <w:rPr>
                <w:rFonts w:ascii="宋体" w:hAnsi="宋体" w:hint="eastAsia"/>
              </w:rPr>
              <w:t>-</w:t>
            </w:r>
          </w:p>
        </w:tc>
      </w:tr>
      <w:tr>
        <w:trPr>
          <w:trHeight w:val="340"/>
        </w:trPr>
        <w:tc>
          <w:tcPr>
            <w:tcW w:w="4248" w:type="dxa"/>
            <w:vAlign w:val="center"/>
          </w:tcPr>
          <w:p>
            <w:pPr>
              <w:rPr>
                <w:rFonts w:ascii="宋体" w:hAnsi="宋体"/>
              </w:rPr>
            </w:pPr>
            <w:r>
              <w:rPr>
                <w:rFonts w:ascii="宋体" w:hAnsi="宋体" w:hint="eastAsia"/>
              </w:rPr>
              <w:t>现金分红金额（含税）</w:t>
            </w:r>
          </w:p>
        </w:tc>
        <w:tc>
          <w:tcPr>
            <w:tcW w:w="4531" w:type="dxa"/>
            <w:vAlign w:val="center"/>
          </w:tcPr>
          <w:p>
            <w:pPr>
              <w:jc w:val="right"/>
              <w:rPr>
                <w:rFonts w:ascii="宋体" w:hAnsi="宋体"/>
              </w:rPr>
            </w:pPr>
            <w:r>
              <w:rPr>
                <w:rFonts w:ascii="宋体" w:hAnsi="宋体"/>
              </w:rPr>
              <w:t>5,018,740</w:t>
            </w:r>
          </w:p>
        </w:tc>
      </w:tr>
      <w:tr>
        <w:trPr>
          <w:trHeight w:val="340"/>
        </w:trPr>
        <w:tc>
          <w:tcPr>
            <w:tcW w:w="4248"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rPr>
              <w:t>合并报表中归属于上市公司</w:t>
            </w:r>
            <w:r>
              <w:rPr>
                <w:rFonts w:ascii="宋体" w:hAnsi="宋体" w:hint="eastAsia"/>
              </w:rPr>
              <w:t>普通股</w:t>
            </w:r>
            <w:r>
              <w:rPr>
                <w:rFonts w:ascii="宋体" w:hAnsi="宋体"/>
              </w:rPr>
              <w:t>股东的净利润</w:t>
            </w:r>
          </w:p>
        </w:tc>
        <w:tc>
          <w:tcPr>
            <w:tcW w:w="45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8,380,948</w:t>
            </w:r>
          </w:p>
        </w:tc>
      </w:tr>
      <w:tr>
        <w:trPr>
          <w:trHeight w:val="340"/>
        </w:trPr>
        <w:tc>
          <w:tcPr>
            <w:tcW w:w="4248"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现金分红金额</w:t>
            </w:r>
            <w:r>
              <w:rPr>
                <w:rFonts w:ascii="宋体" w:hAnsi="宋体"/>
              </w:rPr>
              <w:t>占合并报表中归属于上市公司</w:t>
            </w:r>
            <w:r>
              <w:rPr>
                <w:rFonts w:ascii="宋体" w:hAnsi="宋体" w:hint="eastAsia"/>
              </w:rPr>
              <w:t>普通股</w:t>
            </w:r>
            <w:r>
              <w:rPr>
                <w:rFonts w:ascii="宋体" w:hAnsi="宋体"/>
              </w:rPr>
              <w:t>股东的净利润的比率</w:t>
            </w:r>
            <w:bookmarkStart w:id="169" w:name="OLE_LINK4"/>
            <w:r>
              <w:rPr>
                <w:rFonts w:ascii="宋体" w:hAnsi="宋体" w:hint="eastAsia"/>
              </w:rPr>
              <w:t>（%）</w:t>
            </w:r>
          </w:p>
        </w:tc>
        <w:bookmarkEnd w:id="169"/>
        <w:tc>
          <w:tcPr>
            <w:tcW w:w="45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w:t>
            </w:r>
            <w:r>
              <w:rPr>
                <w:rFonts w:ascii="宋体" w:hAnsi="宋体"/>
              </w:rPr>
              <w:t>0</w:t>
            </w:r>
          </w:p>
        </w:tc>
      </w:tr>
      <w:tr>
        <w:trPr>
          <w:trHeight w:val="340"/>
        </w:trPr>
        <w:tc>
          <w:tcPr>
            <w:tcW w:w="4248" w:type="dxa"/>
            <w:vAlign w:val="center"/>
          </w:tcPr>
          <w:p>
            <w:pPr>
              <w:rPr>
                <w:rFonts w:ascii="宋体" w:hAnsi="宋体"/>
              </w:rPr>
            </w:pPr>
            <w:r>
              <w:rPr>
                <w:rFonts w:ascii="宋体" w:hAnsi="宋体" w:hint="eastAsia"/>
              </w:rPr>
              <w:t>以</w:t>
            </w:r>
            <w:r>
              <w:rPr>
                <w:rFonts w:ascii="宋体" w:hAnsi="宋体"/>
              </w:rPr>
              <w:t>现金方式回购股份计入现金分红的</w:t>
            </w:r>
            <w:r>
              <w:rPr>
                <w:rFonts w:ascii="宋体" w:hAnsi="宋体" w:hint="eastAsia"/>
              </w:rPr>
              <w:t>金额</w:t>
            </w:r>
          </w:p>
        </w:tc>
        <w:tc>
          <w:tcPr>
            <w:tcW w:w="4531" w:type="dxa"/>
            <w:vAlign w:val="center"/>
          </w:tcPr>
          <w:p>
            <w:pPr>
              <w:jc w:val="right"/>
              <w:rPr>
                <w:rFonts w:ascii="宋体" w:hAnsi="宋体"/>
              </w:rPr>
            </w:pPr>
            <w:r>
              <w:rPr>
                <w:rFonts w:ascii="宋体" w:hAnsi="宋体" w:hint="eastAsia"/>
              </w:rPr>
              <w:t>-</w:t>
            </w:r>
          </w:p>
        </w:tc>
      </w:tr>
      <w:tr>
        <w:trPr>
          <w:trHeight w:val="340"/>
        </w:trPr>
        <w:tc>
          <w:tcPr>
            <w:tcW w:w="4248" w:type="dxa"/>
            <w:vAlign w:val="center"/>
          </w:tcPr>
          <w:p>
            <w:pPr>
              <w:rPr>
                <w:rFonts w:ascii="宋体" w:hAnsi="宋体"/>
              </w:rPr>
            </w:pPr>
            <w:r>
              <w:rPr>
                <w:rFonts w:ascii="宋体" w:hAnsi="宋体" w:hint="eastAsia"/>
              </w:rPr>
              <w:t>合计分红金额（含税）</w:t>
            </w:r>
          </w:p>
        </w:tc>
        <w:tc>
          <w:tcPr>
            <w:tcW w:w="4531" w:type="dxa"/>
            <w:vAlign w:val="center"/>
          </w:tcPr>
          <w:p>
            <w:pPr>
              <w:jc w:val="right"/>
              <w:rPr>
                <w:rFonts w:ascii="宋体" w:hAnsi="宋体"/>
              </w:rPr>
            </w:pPr>
            <w:r>
              <w:rPr>
                <w:rFonts w:ascii="宋体" w:hAnsi="宋体"/>
              </w:rPr>
              <w:t>5,018,740</w:t>
            </w:r>
          </w:p>
        </w:tc>
      </w:tr>
      <w:tr>
        <w:trPr>
          <w:trHeight w:val="340"/>
        </w:trPr>
        <w:tc>
          <w:tcPr>
            <w:tcW w:w="4248" w:type="dxa"/>
            <w:vAlign w:val="center"/>
          </w:tcPr>
          <w:p>
            <w:pPr>
              <w:rPr>
                <w:rFonts w:ascii="宋体" w:hAnsi="宋体"/>
              </w:rPr>
            </w:pPr>
            <w:r>
              <w:rPr>
                <w:rFonts w:ascii="宋体" w:hAnsi="宋体" w:hint="eastAsia"/>
              </w:rPr>
              <w:t>合计分红金额</w:t>
            </w:r>
            <w:r>
              <w:rPr>
                <w:rFonts w:ascii="宋体" w:hAnsi="宋体"/>
              </w:rPr>
              <w:t>占合并报表中归属于上市公司</w:t>
            </w:r>
            <w:r>
              <w:rPr>
                <w:rFonts w:ascii="宋体" w:hAnsi="宋体" w:hint="eastAsia"/>
              </w:rPr>
              <w:t>普通股</w:t>
            </w:r>
            <w:r>
              <w:rPr>
                <w:rFonts w:ascii="宋体" w:hAnsi="宋体"/>
              </w:rPr>
              <w:t>股东的净利润的比率</w:t>
            </w:r>
            <w:r>
              <w:rPr>
                <w:rFonts w:ascii="宋体" w:hAnsi="宋体" w:hint="eastAsia"/>
              </w:rPr>
              <w:t>（%）</w:t>
            </w:r>
          </w:p>
        </w:tc>
        <w:tc>
          <w:tcPr>
            <w:tcW w:w="4531" w:type="dxa"/>
            <w:vAlign w:val="center"/>
          </w:tcPr>
          <w:p>
            <w:pPr>
              <w:jc w:val="right"/>
              <w:rPr>
                <w:rFonts w:ascii="宋体" w:hAnsi="宋体"/>
              </w:rPr>
            </w:pPr>
            <w:r>
              <w:rPr>
                <w:rFonts w:ascii="宋体" w:hAnsi="宋体" w:hint="eastAsia"/>
              </w:rPr>
              <w:t>6</w:t>
            </w:r>
            <w:r>
              <w:rPr>
                <w:rFonts w:ascii="宋体" w:hAnsi="宋体"/>
              </w:rPr>
              <w:t>0</w:t>
            </w:r>
          </w:p>
        </w:tc>
      </w:tr>
    </w:tbl>
    <w:p>
      <w:pPr>
        <w:rPr>
          <w:rFonts w:ascii="宋体" w:hAnsi="宋体"/>
        </w:rPr>
      </w:pPr>
    </w:p>
    <w:p>
      <w:pPr>
        <w:pStyle w:val="Style52"/>
        <w:numPr>
          <w:ilvl w:val="0"/>
          <w:numId w:val="30"/>
        </w:numPr>
      </w:pPr>
      <w:bookmarkStart w:id="170" w:name="_Hlk183089680"/>
      <w:r>
        <w:rPr>
          <w:rFonts w:hint="eastAsia"/>
        </w:rPr>
        <w:t>最近三个会计年度现金分红情况</w:t>
      </w:r>
    </w:p>
    <w:sdt>
      <w:sdtPr>
        <w:rPr>
          <w:rFonts w:ascii="宋体" w:hAnsi="宋体" w:hint="eastAsia"/>
        </w:rPr>
        <w:alias w:val="是否适用：最近三个会计年度现金分红情况[双击切换]"/>
        <w:tag w:val="_GBC_28e549783f2141f4b4d8c360788bf33d"/>
        <w:id w:val="-1607650800"/>
        <w:placeholder>
          <w:docPart w:val="GBC22222222222222222222222222222"/>
        </w:placeholder>
      </w:sdtPr>
      <w:sdtContent>
        <w:p>
          <w:pPr>
            <w:rPr>
              <w:rFonts w:ascii="宋体" w:hAnsi="宋体"/>
            </w:rPr>
          </w:pPr>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pPr>
        <w:jc w:val="right"/>
        <w:rPr>
          <w:rFonts w:ascii="宋体" w:hAnsi="宋体"/>
        </w:rPr>
      </w:pPr>
      <w:r>
        <w:rPr>
          <w:rFonts w:ascii="宋体" w:hAnsi="宋体" w:hint="eastAsia"/>
        </w:rPr>
        <w:t>单位：</w:t>
      </w:r>
      <w:sdt>
        <w:sdtPr>
          <w:rPr>
            <w:rFonts w:ascii="宋体" w:hAnsi="宋体" w:hint="eastAsia"/>
          </w:rPr>
          <w:alias w:val="单位：最近三个会计年度现金分红情况"/>
          <w:tag w:val="_GBC_b8634c7351cc405bb925f28f0a63105b"/>
          <w:id w:val="-71906177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千元</w:t>
          </w:r>
        </w:sdtContent>
      </w:sdt>
      <w:r>
        <w:rPr>
          <w:rFonts w:ascii="宋体" w:hAnsi="宋体" w:hint="eastAsia"/>
        </w:rPr>
        <w:t xml:space="preserve">  币种：</w:t>
      </w:r>
      <w:sdt>
        <w:sdtPr>
          <w:rPr>
            <w:rFonts w:ascii="宋体" w:hAnsi="宋体" w:hint="eastAsia"/>
          </w:rPr>
          <w:alias w:val="币种：最近三个会计年度现金分红情况"/>
          <w:tag w:val="_GBC_f92d810bf34147c190eacf6f794855d7"/>
          <w:id w:val="18780414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r>
        <w:rPr>
          <w:rFonts w:ascii="宋体" w:hAnsi="宋体" w:hint="eastAsia"/>
        </w:rPr>
        <w:t xml:space="preserve"> </w:t>
      </w:r>
    </w:p>
    <w:tbl>
      <w:tblPr>
        <w:tblStyle w:val="Style63"/>
        <w:tblW w:w="905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5075"/>
        <w:gridCol w:w="3978"/>
      </w:tblGrid>
      <w:tr>
        <w:trPr>
          <w:trHeight w:val="340"/>
        </w:trPr>
        <w:sdt>
          <w:sdtPr>
            <w:rPr>
              <w:rFonts w:ascii="宋体" w:hAnsi="宋体"/>
            </w:rPr>
            <w:tag w:val="_PLD_f2d866feb6ed4bba8cf4399521757247"/>
            <w:id w:val="2127896531"/>
          </w:sdtPr>
          <w:sdtContent>
            <w:tc>
              <w:tcPr>
                <w:tcW w:w="5075" w:type="dxa"/>
                <w:vAlign w:val="center"/>
              </w:tcPr>
              <w:p>
                <w:pPr>
                  <w:rPr>
                    <w:rFonts w:ascii="宋体" w:hAnsi="宋体"/>
                  </w:rPr>
                </w:pPr>
                <w:r>
                  <w:rPr>
                    <w:rFonts w:ascii="宋体" w:hAnsi="宋体" w:hint="eastAsia"/>
                  </w:rPr>
                  <w:t>最近三个会计年度累计现金分红金额（含税）(1)</w:t>
                </w:r>
              </w:p>
            </w:tc>
          </w:sdtContent>
        </w:sdt>
        <w:sdt>
          <w:sdtPr>
            <w:rPr>
              <w:rFonts w:ascii="宋体" w:hAnsi="宋体" w:hint="eastAsia"/>
            </w:rPr>
            <w:alias w:val="最近三个会计年度累计现金分红金额"/>
            <w:tag w:val="_GBC_7995ca7746b5435e81fa91542e8c70a3"/>
            <w:id w:val="535244323"/>
          </w:sdtPr>
          <w:sdtContent>
            <w:tc>
              <w:tcPr>
                <w:tcW w:w="3978" w:type="dxa"/>
                <w:vAlign w:val="center"/>
              </w:tcPr>
              <w:p>
                <w:pPr>
                  <w:jc w:val="right"/>
                  <w:rPr>
                    <w:rFonts w:ascii="宋体" w:hAnsi="宋体"/>
                  </w:rPr>
                </w:pPr>
                <w:r>
                  <w:rPr>
                    <w:rFonts w:ascii="宋体" w:hAnsi="宋体"/>
                  </w:rPr>
                  <w:t>24,255,372</w:t>
                </w:r>
              </w:p>
            </w:tc>
          </w:sdtContent>
        </w:sdt>
      </w:tr>
      <w:tr>
        <w:trPr>
          <w:trHeight w:val="340"/>
        </w:trPr>
        <w:tc>
          <w:tcPr>
            <w:tcW w:w="5075" w:type="dxa"/>
            <w:vAlign w:val="center"/>
          </w:tcPr>
          <w:p>
            <w:pPr>
              <w:rPr>
                <w:rFonts w:ascii="宋体" w:hAnsi="宋体"/>
              </w:rPr>
            </w:pPr>
            <w:r>
              <w:rPr>
                <w:rFonts w:ascii="宋体" w:hAnsi="宋体" w:hint="eastAsia"/>
              </w:rPr>
              <w:t>最近三个会计年度累计回购并注销金额</w:t>
            </w:r>
            <w:r>
              <w:rPr>
                <w:rFonts w:ascii="宋体" w:hAnsi="宋体"/>
              </w:rPr>
              <w:t>(</w:t>
            </w:r>
            <w:r>
              <w:rPr>
                <w:rFonts w:ascii="宋体" w:hAnsi="宋体" w:hint="eastAsia"/>
              </w:rPr>
              <w:t>2</w:t>
            </w:r>
            <w:r>
              <w:rPr>
                <w:rFonts w:ascii="宋体" w:hAnsi="宋体"/>
              </w:rPr>
              <w:t>)</w:t>
            </w:r>
          </w:p>
        </w:tc>
        <w:tc>
          <w:tcPr>
            <w:tcW w:w="3978" w:type="dxa"/>
            <w:vAlign w:val="center"/>
          </w:tcPr>
          <w:p>
            <w:pPr>
              <w:jc w:val="right"/>
              <w:rPr>
                <w:rFonts w:ascii="宋体" w:hAnsi="宋体"/>
              </w:rPr>
            </w:pPr>
            <w:r>
              <w:rPr>
                <w:rFonts w:ascii="宋体" w:hAnsi="宋体" w:hint="eastAsia"/>
              </w:rPr>
              <w:t>-</w:t>
            </w:r>
          </w:p>
        </w:tc>
      </w:tr>
      <w:tr>
        <w:trPr>
          <w:trHeight w:val="340"/>
        </w:trPr>
        <w:tc>
          <w:tcPr>
            <w:tcW w:w="5075" w:type="dxa"/>
            <w:vAlign w:val="center"/>
          </w:tcPr>
          <w:p>
            <w:pPr>
              <w:rPr>
                <w:rFonts w:ascii="宋体" w:hAnsi="宋体"/>
              </w:rPr>
            </w:pPr>
            <w:r>
              <w:rPr>
                <w:rFonts w:ascii="宋体" w:hAnsi="宋体" w:hint="eastAsia"/>
              </w:rPr>
              <w:t>最近三个会计年度现金分红和回购并注销累计金额</w:t>
            </w:r>
            <w:r>
              <w:rPr>
                <w:rFonts w:ascii="宋体" w:hAnsi="宋体"/>
              </w:rPr>
              <w:t>(</w:t>
            </w:r>
            <w:r>
              <w:rPr>
                <w:rFonts w:ascii="宋体" w:hAnsi="宋体" w:hint="eastAsia"/>
              </w:rPr>
              <w:t>3</w:t>
            </w:r>
            <w:r>
              <w:rPr>
                <w:rFonts w:ascii="宋体" w:hAnsi="宋体"/>
              </w:rPr>
              <w:t>)=(1)+(</w:t>
            </w:r>
            <w:r>
              <w:rPr>
                <w:rFonts w:ascii="宋体" w:hAnsi="宋体" w:hint="eastAsia"/>
              </w:rPr>
              <w:t>2</w:t>
            </w:r>
            <w:r>
              <w:rPr>
                <w:rFonts w:ascii="宋体" w:hAnsi="宋体"/>
              </w:rPr>
              <w:t>)</w:t>
            </w:r>
          </w:p>
        </w:tc>
        <w:tc>
          <w:tcPr>
            <w:tcW w:w="3978" w:type="dxa"/>
            <w:vAlign w:val="center"/>
          </w:tcPr>
          <w:p>
            <w:pPr>
              <w:jc w:val="right"/>
              <w:rPr>
                <w:rFonts w:ascii="宋体" w:hAnsi="宋体"/>
              </w:rPr>
            </w:pPr>
            <w:r>
              <w:rPr>
                <w:rFonts w:ascii="宋体" w:hAnsi="宋体"/>
              </w:rPr>
              <w:t xml:space="preserve">24,255,372 </w:t>
            </w:r>
          </w:p>
        </w:tc>
      </w:tr>
      <w:tr>
        <w:trPr>
          <w:trHeight w:val="340"/>
        </w:trPr>
        <w:tc>
          <w:tcPr>
            <w:tcW w:w="5075" w:type="dxa"/>
            <w:vAlign w:val="center"/>
          </w:tcPr>
          <w:p>
            <w:pPr>
              <w:rPr>
                <w:rFonts w:ascii="宋体" w:hAnsi="宋体"/>
              </w:rPr>
            </w:pPr>
            <w:r>
              <w:rPr>
                <w:rFonts w:ascii="宋体" w:hAnsi="宋体" w:hint="eastAsia"/>
              </w:rPr>
              <w:t>最近三个会计年度年均净利润金额</w:t>
            </w:r>
            <w:r>
              <w:rPr>
                <w:rFonts w:ascii="宋体" w:hAnsi="宋体"/>
              </w:rPr>
              <w:t>(</w:t>
            </w:r>
            <w:r>
              <w:rPr>
                <w:rFonts w:ascii="宋体" w:hAnsi="宋体" w:hint="eastAsia"/>
              </w:rPr>
              <w:t>4</w:t>
            </w:r>
            <w:r>
              <w:rPr>
                <w:rFonts w:ascii="宋体" w:hAnsi="宋体"/>
              </w:rPr>
              <w:t>)</w:t>
            </w:r>
          </w:p>
        </w:tc>
        <w:tc>
          <w:tcPr>
            <w:tcW w:w="3978" w:type="dxa"/>
            <w:vAlign w:val="center"/>
          </w:tcPr>
          <w:p>
            <w:pPr>
              <w:jc w:val="right"/>
              <w:rPr>
                <w:rFonts w:ascii="宋体" w:hAnsi="宋体"/>
              </w:rPr>
            </w:pPr>
            <w:r>
              <w:rPr>
                <w:rFonts w:ascii="宋体" w:hAnsi="宋体"/>
              </w:rPr>
              <w:t xml:space="preserve">14,315,167 </w:t>
            </w:r>
          </w:p>
        </w:tc>
      </w:tr>
      <w:tr>
        <w:trPr>
          <w:trHeight w:val="340"/>
        </w:trPr>
        <w:tc>
          <w:tcPr>
            <w:tcW w:w="5075" w:type="dxa"/>
            <w:vAlign w:val="center"/>
          </w:tcPr>
          <w:p>
            <w:pPr>
              <w:rPr>
                <w:rFonts w:ascii="宋体" w:hAnsi="宋体"/>
              </w:rPr>
            </w:pPr>
            <w:r>
              <w:rPr>
                <w:rFonts w:ascii="宋体" w:hAnsi="宋体" w:hint="eastAsia"/>
              </w:rPr>
              <w:t>最近三个会计年度现金分红比例（%）</w:t>
            </w:r>
            <w:r>
              <w:rPr>
                <w:rFonts w:ascii="宋体" w:hAnsi="宋体"/>
              </w:rPr>
              <w:t>(5)=(3)/(4)</w:t>
            </w:r>
          </w:p>
        </w:tc>
        <w:tc>
          <w:tcPr>
            <w:tcW w:w="3978" w:type="dxa"/>
            <w:vAlign w:val="center"/>
          </w:tcPr>
          <w:p>
            <w:pPr>
              <w:jc w:val="right"/>
              <w:rPr>
                <w:rFonts w:ascii="宋体" w:hAnsi="宋体"/>
              </w:rPr>
            </w:pPr>
            <w:r>
              <w:rPr>
                <w:rFonts w:ascii="宋体" w:hAnsi="宋体"/>
              </w:rPr>
              <w:t>169.44</w:t>
            </w:r>
          </w:p>
        </w:tc>
      </w:tr>
      <w:tr>
        <w:trPr>
          <w:trHeight w:val="340"/>
        </w:trPr>
        <w:tc>
          <w:tcPr>
            <w:tcW w:w="5075" w:type="dxa"/>
            <w:vAlign w:val="center"/>
          </w:tcPr>
          <w:p>
            <w:pPr>
              <w:rPr>
                <w:rFonts w:ascii="宋体" w:hAnsi="宋体"/>
              </w:rPr>
            </w:pPr>
            <w:r>
              <w:rPr>
                <w:rFonts w:ascii="宋体" w:hAnsi="宋体" w:hint="eastAsia"/>
              </w:rPr>
              <w:t>最近一个会计年度</w:t>
            </w:r>
            <w:r>
              <w:rPr>
                <w:rFonts w:ascii="宋体" w:hAnsi="宋体"/>
              </w:rPr>
              <w:t>合并报表</w:t>
            </w:r>
            <w:r>
              <w:rPr>
                <w:rFonts w:ascii="宋体" w:hAnsi="宋体" w:hint="eastAsia"/>
              </w:rPr>
              <w:t>中</w:t>
            </w:r>
            <w:r>
              <w:rPr>
                <w:rFonts w:ascii="宋体" w:hAnsi="宋体"/>
              </w:rPr>
              <w:t>归属于上市公司</w:t>
            </w:r>
            <w:r>
              <w:rPr>
                <w:rFonts w:ascii="宋体" w:hAnsi="宋体" w:hint="eastAsia"/>
              </w:rPr>
              <w:t>普通股</w:t>
            </w:r>
            <w:r>
              <w:rPr>
                <w:rFonts w:ascii="宋体" w:hAnsi="宋体"/>
              </w:rPr>
              <w:t>股东的净利润</w:t>
            </w:r>
          </w:p>
        </w:tc>
        <w:tc>
          <w:tcPr>
            <w:tcW w:w="3978" w:type="dxa"/>
            <w:vAlign w:val="center"/>
          </w:tcPr>
          <w:p>
            <w:pPr>
              <w:jc w:val="right"/>
              <w:rPr>
                <w:rFonts w:ascii="宋体" w:hAnsi="宋体"/>
              </w:rPr>
            </w:pPr>
            <w:r>
              <w:rPr>
                <w:rFonts w:ascii="宋体" w:hAnsi="宋体"/>
              </w:rPr>
              <w:t>8,380,948</w:t>
            </w:r>
          </w:p>
        </w:tc>
      </w:tr>
      <w:tr>
        <w:trPr>
          <w:trHeight w:val="340"/>
        </w:trPr>
        <w:tc>
          <w:tcPr>
            <w:tcW w:w="5075" w:type="dxa"/>
            <w:vAlign w:val="center"/>
          </w:tcPr>
          <w:p>
            <w:pPr>
              <w:rPr>
                <w:rFonts w:ascii="宋体" w:hAnsi="宋体"/>
              </w:rPr>
            </w:pPr>
            <w:r>
              <w:rPr>
                <w:rFonts w:ascii="宋体" w:hAnsi="宋体" w:hint="eastAsia"/>
              </w:rPr>
              <w:t>最近一个会计年度母公司报表年度末未分配利润</w:t>
            </w:r>
          </w:p>
        </w:tc>
        <w:tc>
          <w:tcPr>
            <w:tcW w:w="3978" w:type="dxa"/>
            <w:vAlign w:val="center"/>
          </w:tcPr>
          <w:p>
            <w:pPr>
              <w:jc w:val="right"/>
              <w:rPr>
                <w:rFonts w:ascii="宋体" w:hAnsi="宋体"/>
              </w:rPr>
            </w:pPr>
            <w:r>
              <w:rPr>
                <w:rFonts w:ascii="宋体" w:hAnsi="宋体"/>
              </w:rPr>
              <w:t xml:space="preserve"> 6,794,044 </w:t>
            </w:r>
          </w:p>
        </w:tc>
      </w:tr>
    </w:tbl>
    <w:p>
      <w:pPr>
        <w:pStyle w:val="Style49"/>
      </w:pPr>
    </w:p>
    <w:p>
      <w:pPr>
        <w:pStyle w:val="Style52"/>
        <w:numPr>
          <w:ilvl w:val="0"/>
          <w:numId w:val="30"/>
        </w:numPr>
      </w:pPr>
      <w:r>
        <w:rPr>
          <w:rFonts w:hint="eastAsia"/>
        </w:rPr>
        <w:t>税项及税项减免</w:t>
      </w:r>
    </w:p>
    <w:p>
      <w:pPr>
        <w:widowControl w:val="0"/>
        <w:ind w:firstLineChars="200" w:firstLine="420"/>
        <w:jc w:val="both"/>
        <w:rPr>
          <w:rFonts w:ascii="宋体" w:hAnsi="宋体" w:cs="宋体"/>
          <w:szCs w:val="24"/>
        </w:rPr>
      </w:pPr>
      <w:r>
        <w:rPr>
          <w:rFonts w:ascii="宋体" w:hAnsi="宋体" w:cs="宋体" w:hint="eastAsia"/>
          <w:szCs w:val="24"/>
        </w:rPr>
        <w:t>1.A股投资者股息红利所得税代扣代缴及税项减免相关规定，详情请见本公司日期为202</w:t>
      </w:r>
      <w:r>
        <w:rPr>
          <w:rFonts w:ascii="宋体" w:hAnsi="宋体" w:cs="宋体"/>
          <w:szCs w:val="24"/>
        </w:rPr>
        <w:t>5</w:t>
      </w:r>
      <w:r>
        <w:rPr>
          <w:rFonts w:ascii="宋体" w:hAnsi="宋体" w:cs="宋体" w:hint="eastAsia"/>
          <w:szCs w:val="24"/>
        </w:rPr>
        <w:t>年6月</w:t>
      </w:r>
      <w:r>
        <w:rPr>
          <w:rFonts w:ascii="宋体" w:hAnsi="宋体" w:cs="宋体"/>
          <w:szCs w:val="24"/>
        </w:rPr>
        <w:t>9</w:t>
      </w:r>
      <w:r>
        <w:rPr>
          <w:rFonts w:ascii="宋体" w:hAnsi="宋体" w:cs="宋体" w:hint="eastAsia"/>
          <w:szCs w:val="24"/>
        </w:rPr>
        <w:t>日的《202</w:t>
      </w:r>
      <w:r>
        <w:rPr>
          <w:rFonts w:ascii="宋体" w:hAnsi="宋体" w:cs="宋体"/>
          <w:szCs w:val="24"/>
        </w:rPr>
        <w:t>4</w:t>
      </w:r>
      <w:r>
        <w:rPr>
          <w:rFonts w:ascii="宋体" w:hAnsi="宋体" w:cs="宋体" w:hint="eastAsia"/>
          <w:szCs w:val="24"/>
        </w:rPr>
        <w:t>年年度末期权益分派实施公告》、日期为202</w:t>
      </w:r>
      <w:r>
        <w:rPr>
          <w:rFonts w:ascii="宋体" w:hAnsi="宋体" w:cs="宋体"/>
          <w:szCs w:val="24"/>
        </w:rPr>
        <w:t>5</w:t>
      </w:r>
      <w:r>
        <w:rPr>
          <w:rFonts w:ascii="宋体" w:hAnsi="宋体" w:cs="宋体" w:hint="eastAsia"/>
          <w:szCs w:val="24"/>
        </w:rPr>
        <w:t>年</w:t>
      </w:r>
      <w:r>
        <w:rPr>
          <w:rFonts w:ascii="宋体" w:hAnsi="宋体" w:cs="宋体"/>
          <w:szCs w:val="24"/>
        </w:rPr>
        <w:t>9</w:t>
      </w:r>
      <w:r>
        <w:rPr>
          <w:rFonts w:ascii="宋体" w:hAnsi="宋体" w:cs="宋体" w:hint="eastAsia"/>
          <w:szCs w:val="24"/>
        </w:rPr>
        <w:t>月</w:t>
      </w:r>
      <w:r>
        <w:rPr>
          <w:rFonts w:ascii="宋体" w:hAnsi="宋体" w:cs="宋体"/>
          <w:szCs w:val="24"/>
        </w:rPr>
        <w:t>5</w:t>
      </w:r>
      <w:r>
        <w:rPr>
          <w:rFonts w:ascii="宋体" w:hAnsi="宋体" w:cs="宋体" w:hint="eastAsia"/>
          <w:szCs w:val="24"/>
        </w:rPr>
        <w:t>日的《202</w:t>
      </w:r>
      <w:r>
        <w:rPr>
          <w:rFonts w:ascii="宋体" w:hAnsi="宋体" w:cs="宋体"/>
          <w:szCs w:val="24"/>
        </w:rPr>
        <w:t>5</w:t>
      </w:r>
      <w:r>
        <w:rPr>
          <w:rFonts w:ascii="宋体" w:hAnsi="宋体" w:cs="宋体" w:hint="eastAsia"/>
          <w:szCs w:val="24"/>
        </w:rPr>
        <w:t>年半年度权益分派实施公告》有关内容，该等资料刊载于上交所网站、公司网站及/或《中国证券报》《上海证券报》《证券时报》《证券日报》。</w:t>
      </w:r>
    </w:p>
    <w:p>
      <w:pPr>
        <w:widowControl w:val="0"/>
        <w:ind w:firstLineChars="200" w:firstLine="420"/>
        <w:jc w:val="both"/>
        <w:rPr>
          <w:rFonts w:ascii="宋体" w:hAnsi="宋体" w:cs="宋体"/>
          <w:szCs w:val="24"/>
        </w:rPr>
      </w:pPr>
      <w:r>
        <w:rPr>
          <w:rFonts w:ascii="宋体" w:hAnsi="宋体" w:cs="宋体" w:hint="eastAsia"/>
          <w:szCs w:val="24"/>
        </w:rPr>
        <w:t>2.H股投资者股息红利所得税代扣代缴及税项减免</w:t>
      </w:r>
    </w:p>
    <w:p>
      <w:pPr>
        <w:widowControl w:val="0"/>
        <w:ind w:firstLineChars="200" w:firstLine="420"/>
        <w:jc w:val="both"/>
        <w:rPr>
          <w:rFonts w:ascii="宋体" w:hAnsi="宋体" w:cs="宋体"/>
          <w:szCs w:val="24"/>
        </w:rPr>
      </w:pPr>
      <w:r>
        <w:rPr>
          <w:rFonts w:ascii="宋体" w:hAnsi="宋体" w:cs="宋体" w:hint="eastAsia"/>
          <w:szCs w:val="24"/>
        </w:rPr>
        <w:t>(1)代扣代缴境外非居民企业股东企业所得税</w:t>
      </w:r>
    </w:p>
    <w:p>
      <w:pPr>
        <w:widowControl w:val="0"/>
        <w:ind w:firstLineChars="200" w:firstLine="420"/>
        <w:jc w:val="both"/>
        <w:rPr>
          <w:rFonts w:ascii="宋体" w:hAnsi="宋体" w:cs="宋体"/>
          <w:szCs w:val="24"/>
        </w:rPr>
      </w:pPr>
      <w:r>
        <w:rPr>
          <w:rFonts w:ascii="宋体" w:hAnsi="宋体" w:cs="宋体" w:hint="eastAsia"/>
          <w:szCs w:val="24"/>
        </w:rPr>
        <w:t>根据《中华人民共和国企业所得税法》及其实施条例以及相关规定，本公司向名列于H股股东名册上的非居民企业股东派发股息时，有义务代扣代缴企业所得税，税率为10%。任何以非个人股东名义，包括以香港中央结算（代理人）有限公司、其他代理人或受托人、或其他组织及团体名义登记的股份皆被视为非居民企业股东所持的股份，其应得之股息将被扣除企业所得税。</w:t>
      </w:r>
    </w:p>
    <w:p>
      <w:pPr>
        <w:widowControl w:val="0"/>
        <w:ind w:firstLineChars="200" w:firstLine="420"/>
        <w:jc w:val="both"/>
        <w:rPr>
          <w:rFonts w:ascii="宋体" w:hAnsi="宋体" w:cs="宋体"/>
          <w:szCs w:val="24"/>
        </w:rPr>
      </w:pPr>
      <w:r>
        <w:rPr>
          <w:rFonts w:ascii="宋体" w:hAnsi="宋体" w:cs="宋体" w:hint="eastAsia"/>
          <w:szCs w:val="24"/>
        </w:rPr>
        <w:t>(2)代扣代缴境外个人股东个人所得税</w:t>
      </w:r>
    </w:p>
    <w:p>
      <w:pPr>
        <w:widowControl w:val="0"/>
        <w:ind w:firstLineChars="200" w:firstLine="420"/>
        <w:jc w:val="both"/>
        <w:rPr>
          <w:rFonts w:ascii="宋体" w:hAnsi="宋体" w:cs="宋体"/>
          <w:szCs w:val="24"/>
        </w:rPr>
      </w:pPr>
      <w:r>
        <w:rPr>
          <w:rFonts w:ascii="宋体" w:hAnsi="宋体" w:cs="宋体" w:hint="eastAsia"/>
          <w:szCs w:val="24"/>
        </w:rPr>
        <w:t>本公司将按照如下安排为H股个人股东代扣代缴股息的个人所得税：</w:t>
      </w:r>
    </w:p>
    <w:p>
      <w:pPr>
        <w:widowControl w:val="0"/>
        <w:ind w:firstLineChars="200" w:firstLine="420"/>
        <w:jc w:val="both"/>
        <w:rPr>
          <w:rFonts w:ascii="宋体" w:hAnsi="宋体" w:cs="宋体"/>
          <w:szCs w:val="24"/>
        </w:rPr>
      </w:pPr>
      <w:r>
        <w:rPr>
          <w:rFonts w:ascii="宋体" w:hAnsi="宋体" w:cs="宋体" w:hint="eastAsia"/>
          <w:szCs w:val="24"/>
        </w:rPr>
        <w:t>①取得股息的H股个人股东为香港或澳门居民或其他与中国签订10%股息税率的税收协议的国家（地区）的居民，本公司派发股息时将按10%的税率代扣代缴个人所得税。</w:t>
      </w:r>
    </w:p>
    <w:p>
      <w:pPr>
        <w:widowControl w:val="0"/>
        <w:ind w:firstLineChars="200" w:firstLine="420"/>
        <w:jc w:val="both"/>
        <w:rPr>
          <w:rFonts w:ascii="宋体" w:hAnsi="宋体" w:cs="宋体"/>
          <w:szCs w:val="24"/>
        </w:rPr>
      </w:pPr>
      <w:r>
        <w:rPr>
          <w:rFonts w:ascii="宋体" w:hAnsi="宋体" w:cs="宋体" w:hint="eastAsia"/>
          <w:szCs w:val="24"/>
        </w:rPr>
        <w:t>②取得股息的H股个人股东为与中国签订低于10%股息税率的税收协议的国家（地区）的居民，本公司派发股息时将暂按10%的税率代扣代缴个人所得税。名列本公司H股股东名册的个人股东，如属于低于10%税率的协议国家居民，请依照股东会或董事会决议安排向H股股份过户登记处呈交书面委托以及有关申报材料，并经本公司转呈主管税务机关审核批准后，本公司可以根据中国税务机关有关规定，代为办理享受有关协议待遇申请。</w:t>
      </w:r>
    </w:p>
    <w:p>
      <w:pPr>
        <w:widowControl w:val="0"/>
        <w:ind w:firstLineChars="200" w:firstLine="420"/>
        <w:jc w:val="both"/>
        <w:rPr>
          <w:rFonts w:ascii="宋体" w:hAnsi="宋体" w:cs="宋体"/>
          <w:szCs w:val="24"/>
        </w:rPr>
      </w:pPr>
      <w:r>
        <w:rPr>
          <w:rFonts w:ascii="宋体" w:hAnsi="宋体" w:cs="宋体" w:hint="eastAsia"/>
          <w:szCs w:val="24"/>
        </w:rPr>
        <w:t>③取得股息的H股个人股东为与中国签订高于10%但低于20%股息税率的税收协议的国家（地区）的居民，本公司派发股息时将按相关税收协议规定的实际税率代扣代缴个人所得税。</w:t>
      </w:r>
    </w:p>
    <w:p>
      <w:pPr>
        <w:widowControl w:val="0"/>
        <w:ind w:firstLineChars="200" w:firstLine="420"/>
        <w:jc w:val="both"/>
        <w:rPr>
          <w:rFonts w:ascii="宋体" w:hAnsi="宋体" w:cs="宋体"/>
          <w:szCs w:val="24"/>
        </w:rPr>
      </w:pPr>
      <w:r>
        <w:rPr>
          <w:rFonts w:ascii="宋体" w:hAnsi="宋体" w:cs="宋体" w:hint="eastAsia"/>
          <w:szCs w:val="24"/>
        </w:rPr>
        <w:lastRenderedPageBreak/>
        <w:t>④取得股息的H股个人股东为与中国签订20%股息税率的税收协议的国家（地区）居民、与中国没有税收协议的国家（地区）居民或其他情况，本公司派发股息时将按20%的税率代扣代缴个人所得税。</w:t>
      </w:r>
    </w:p>
    <w:p>
      <w:pPr>
        <w:widowControl w:val="0"/>
        <w:ind w:firstLineChars="200" w:firstLine="420"/>
        <w:jc w:val="both"/>
        <w:rPr>
          <w:rFonts w:ascii="宋体" w:hAnsi="宋体" w:cs="宋体"/>
          <w:szCs w:val="24"/>
        </w:rPr>
      </w:pPr>
      <w:r>
        <w:rPr>
          <w:rFonts w:ascii="宋体" w:hAnsi="宋体" w:cs="宋体" w:hint="eastAsia"/>
          <w:szCs w:val="24"/>
        </w:rPr>
        <w:t>（3）港股通投资者的所得税扣缴方式</w:t>
      </w:r>
    </w:p>
    <w:p>
      <w:pPr>
        <w:widowControl w:val="0"/>
        <w:ind w:firstLineChars="200" w:firstLine="420"/>
        <w:jc w:val="both"/>
        <w:rPr>
          <w:rFonts w:ascii="宋体" w:hAnsi="宋体" w:cs="宋体"/>
          <w:szCs w:val="24"/>
        </w:rPr>
      </w:pPr>
      <w:r>
        <w:rPr>
          <w:rFonts w:ascii="宋体" w:hAnsi="宋体" w:cs="宋体" w:hint="eastAsia"/>
          <w:szCs w:val="24"/>
        </w:rPr>
        <w:t>根据中国财政部、国家税务总局、中国证监会联合发布的《沪港股票市场交易互联互通机制试点涉及的有关税收政策的通知（财税〔2014〕81号）》及《关于深港股票市场交易互联互通机制试点有关税收政策的通知（财税〔2016〕127号）》的相关规定，内地个人投资者通过沪港通或深港通投资香港联交所上市H股取得的股息红利由本公司按照20%的税率代扣个人所得税。对内地证券投资基金通过沪港通或深港通投资香港联交所上市股票取得的股息红利所得参照个人投资者征税。对内地企业投资者不代扣股息红利所得税款，应纳税款由企业自行申报缴纳。</w:t>
      </w:r>
    </w:p>
    <w:p>
      <w:pPr>
        <w:pStyle w:val="Style61"/>
      </w:pPr>
      <w:r>
        <w:br w:type="page"/>
      </w:r>
    </w:p>
    <w:p>
      <w:pPr>
        <w:pStyle w:val="Style51"/>
        <w:numPr>
          <w:ilvl w:val="0"/>
          <w:numId w:val="24"/>
        </w:numPr>
      </w:pPr>
      <w:bookmarkStart w:id="171" w:name="_Toc342565948"/>
      <w:bookmarkStart w:id="172" w:name="_Toc342491956"/>
      <w:bookmarkEnd w:id="170"/>
      <w:r>
        <w:rPr>
          <w:rFonts w:hint="eastAsia"/>
        </w:rPr>
        <w:lastRenderedPageBreak/>
        <w:t>公司股权激励计划、员工持股计划或其他员工激励措施的情况及其影响</w:t>
      </w:r>
      <w:bookmarkEnd w:id="171"/>
      <w:bookmarkEnd w:id="172"/>
    </w:p>
    <w:p>
      <w:pPr>
        <w:pStyle w:val="Style52"/>
        <w:numPr>
          <w:ilvl w:val="1"/>
          <w:numId w:val="31"/>
        </w:numPr>
        <w:rPr>
          <w:kern w:val="44"/>
          <w:szCs w:val="21"/>
        </w:rPr>
      </w:pPr>
      <w:bookmarkStart w:id="173" w:name="_Toc342491957"/>
      <w:bookmarkStart w:id="174" w:name="_Toc342565949"/>
      <w:r>
        <w:rPr>
          <w:rFonts w:hint="eastAsia"/>
          <w:kern w:val="44"/>
          <w:szCs w:val="21"/>
        </w:rPr>
        <w:t>相关激励事项已在临时公告披露且后续实施无进展或变化的</w:t>
      </w:r>
      <w:bookmarkEnd w:id="173"/>
      <w:bookmarkEnd w:id="174"/>
    </w:p>
    <w:sdt>
      <w:sdtPr>
        <w:alias w:val="是否适用：相关激励事项已在临时公告披露且后续实施无进展或变化的[双击切换]"/>
        <w:tag w:val="_GBC_0af9dca2858d42619c57d7878f3a7792"/>
        <w:id w:val="1046184428"/>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1"/>
          <w:numId w:val="31"/>
        </w:numPr>
        <w:rPr>
          <w:kern w:val="44"/>
          <w:szCs w:val="21"/>
        </w:rPr>
      </w:pPr>
      <w:r>
        <w:rPr>
          <w:rFonts w:hint="eastAsia"/>
          <w:kern w:val="44"/>
          <w:szCs w:val="21"/>
        </w:rPr>
        <w:t>临时公告未披露或有后续进展的激励情况</w:t>
      </w:r>
    </w:p>
    <w:p>
      <w:pPr>
        <w:pStyle w:val="Style49"/>
      </w:pPr>
      <w:r>
        <w:rPr>
          <w:rFonts w:hint="eastAsia"/>
        </w:rPr>
        <w:t>股权激励情况</w:t>
      </w:r>
    </w:p>
    <w:p>
      <w:pPr>
        <w:pStyle w:val="Style49"/>
      </w:pPr>
      <w:sdt>
        <w:sdtPr>
          <w:alias w:val="是否适用：股权激励情况[双击切换]"/>
          <w:tag w:val="_GBC_002ad948ce1449c2a805bfbb132b2202"/>
          <w:id w:val="-1447456986"/>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pPr>
        <w:rPr>
          <w:rFonts w:ascii="宋体" w:hAnsi="宋体"/>
        </w:rPr>
      </w:pPr>
      <w:sdt>
        <w:sdtPr>
          <w:rPr>
            <w:rFonts w:hint="eastAsia"/>
          </w:rPr>
          <w:alias w:val="股权激励计划年份"/>
          <w:tag w:val="_GBC_8c608b750e98413fbea3e815e4c9162c"/>
          <w:id w:val="-198475199"/>
          <w:placeholder>
            <w:docPart w:val="GBC22222222222222222222222222222"/>
          </w:placeholder>
        </w:sdtPr>
        <w:sdtEndPr>
          <w:rPr>
            <w:rFonts w:ascii="宋体" w:hAnsi="宋体"/>
          </w:rPr>
        </w:sdtEndPr>
        <w:sdtContent>
          <w:r>
            <w:rPr>
              <w:rFonts w:ascii="宋体" w:hAnsi="宋体" w:hint="eastAsia"/>
            </w:rPr>
            <w:t>2021</w:t>
          </w:r>
        </w:sdtContent>
      </w:sdt>
      <w:r>
        <w:rPr>
          <w:rFonts w:ascii="宋体" w:hAnsi="宋体" w:hint="eastAsia"/>
        </w:rPr>
        <w:t>年</w:t>
      </w:r>
      <w:sdt>
        <w:sdtPr>
          <w:rPr>
            <w:rFonts w:ascii="宋体" w:hAnsi="宋体" w:hint="eastAsia"/>
          </w:rPr>
          <w:alias w:val="股权激励计划执行次数"/>
          <w:tag w:val="_GBC_0d4c8424e0e44370819dff37a3a57f27"/>
          <w:id w:val="1417292837"/>
          <w:placeholder>
            <w:docPart w:val="GBC22222222222222222222222222222"/>
          </w:placeholder>
        </w:sdtPr>
        <w:sdtContent>
          <w:r>
            <w:rPr>
              <w:rFonts w:ascii="宋体" w:hAnsi="宋体" w:hint="eastAsia"/>
            </w:rPr>
            <w:t>A股限制性股票</w:t>
          </w:r>
        </w:sdtContent>
      </w:sdt>
      <w:r>
        <w:rPr>
          <w:rFonts w:ascii="宋体" w:hAnsi="宋体" w:hint="eastAsia"/>
        </w:rPr>
        <w:t>激励计划</w:t>
      </w:r>
    </w:p>
    <w:p>
      <w:pPr>
        <w:rPr>
          <w:rFonts w:ascii="宋体" w:hAnsi="宋体"/>
        </w:rPr>
      </w:pPr>
      <w:r>
        <w:rPr>
          <w:rFonts w:ascii="宋体" w:hAnsi="宋体" w:hint="eastAsia"/>
        </w:rPr>
        <w:t>激励方式</w:t>
      </w:r>
      <w:r>
        <w:rPr>
          <w:rFonts w:ascii="宋体" w:hAnsi="宋体"/>
        </w:rPr>
        <w:t>:</w:t>
      </w:r>
      <w:sdt>
        <w:sdtPr>
          <w:rPr>
            <w:rFonts w:ascii="宋体" w:hAnsi="宋体" w:hint="eastAsia"/>
          </w:rPr>
          <w:alias w:val="公司股权激励方式"/>
          <w:tag w:val="_GBC_a761ce34631247a78f1c34cf742f6749"/>
          <w:id w:val="-602035619"/>
          <w:placeholder>
            <w:docPart w:val="GBC22222222222222222222222222222"/>
          </w:placeholder>
          <w:comboBox>
            <w:listItem w:displayText="限制性股票" w:value="限制性股票"/>
            <w:listItem w:displayText="股票期权" w:value="股票期权"/>
            <w:listItem w:displayText="其他" w:value="其他"/>
          </w:comboBox>
        </w:sdtPr>
        <w:sdtContent>
          <w:r>
            <w:rPr>
              <w:rFonts w:ascii="宋体" w:hAnsi="宋体" w:hint="eastAsia"/>
            </w:rPr>
            <w:t>限制性股票</w:t>
          </w:r>
        </w:sdtContent>
      </w:sdt>
    </w:p>
    <w:p>
      <w:pPr>
        <w:rPr>
          <w:rFonts w:ascii="宋体" w:hAnsi="宋体"/>
        </w:rPr>
      </w:pPr>
      <w:r>
        <w:rPr>
          <w:rFonts w:ascii="宋体" w:hAnsi="宋体" w:hint="eastAsia"/>
        </w:rPr>
        <w:t>标的股票来源</w:t>
      </w:r>
      <w:r>
        <w:rPr>
          <w:rFonts w:ascii="宋体" w:hAnsi="宋体"/>
        </w:rPr>
        <w:t>:</w:t>
      </w:r>
      <w:sdt>
        <w:sdtPr>
          <w:rPr>
            <w:rFonts w:ascii="宋体" w:hAnsi="宋体" w:hint="eastAsia"/>
          </w:rPr>
          <w:alias w:val="公司股权激励的标的股票来源"/>
          <w:tag w:val="_GBC_52a8d93837e1430ba8062d77dd075fce"/>
          <w:id w:val="521593628"/>
          <w:placeholder>
            <w:docPart w:val="GBC22222222222222222222222222222"/>
          </w:placeholder>
          <w:comboBox>
            <w:listItem w:displayText="向激励对象发行股份" w:value="向激励对象发行股份"/>
            <w:listItem w:displayText="公司回购股份" w:value="公司回购股份"/>
            <w:listItem w:displayText="提取激励基金委托" w:value="提取激励基金委托"/>
            <w:listItem w:displayText="他人购买股份" w:value="他人购买股份"/>
          </w:comboBox>
        </w:sdtPr>
        <w:sdtContent>
          <w:r>
            <w:rPr>
              <w:rFonts w:ascii="宋体" w:hAnsi="宋体" w:hint="eastAsia"/>
            </w:rPr>
            <w:t>向激励对象发行股份</w:t>
          </w:r>
        </w:sdtContent>
      </w:sdt>
    </w:p>
    <w:p>
      <w:pPr>
        <w:jc w:val="both"/>
        <w:rPr>
          <w:rFonts w:ascii="宋体" w:hAnsi="宋体"/>
        </w:rPr>
      </w:pPr>
      <w:r>
        <w:rPr>
          <w:rFonts w:ascii="宋体" w:hAnsi="宋体" w:hint="eastAsia"/>
        </w:rPr>
        <w:t>权益工具公允价值的计量方法、参数的选取标准及结果</w:t>
      </w:r>
    </w:p>
    <w:tbl>
      <w:tblPr>
        <w:tblStyle w:val="Style63"/>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785"/>
      </w:tblGrid>
      <w:tr>
        <w:trPr>
          <w:trHeight w:val="270"/>
        </w:trPr>
        <w:sdt>
          <w:sdtPr>
            <w:rPr>
              <w:rFonts w:ascii="宋体" w:hAnsi="宋体"/>
            </w:rPr>
            <w:tag w:val="_PLD_ae12e8f12c5b4a0a84b192aebc659e30"/>
            <w:id w:val="632140060"/>
          </w:sdtPr>
          <w:sdtContent>
            <w:tc>
              <w:tcPr>
                <w:tcW w:w="2263" w:type="dxa"/>
                <w:noWrap/>
                <w:vAlign w:val="center"/>
              </w:tcPr>
              <w:p>
                <w:pPr>
                  <w:jc w:val="center"/>
                  <w:rPr>
                    <w:rFonts w:ascii="宋体" w:hAnsi="宋体"/>
                  </w:rPr>
                </w:pPr>
                <w:r>
                  <w:rPr>
                    <w:rFonts w:ascii="宋体" w:hAnsi="宋体" w:hint="eastAsia"/>
                  </w:rPr>
                  <w:t>计量方法</w:t>
                </w:r>
              </w:p>
            </w:tc>
          </w:sdtContent>
        </w:sdt>
        <w:sdt>
          <w:sdtPr>
            <w:rPr>
              <w:rFonts w:ascii="宋体" w:hAnsi="宋体" w:hint="eastAsia"/>
            </w:rPr>
            <w:alias w:val="公司股权激励权益工具公允价值的计量方法的说明"/>
            <w:tag w:val="_GBC_415841c7cd124bb1b7875bef2ba0658d"/>
            <w:id w:val="-738400956"/>
          </w:sdtPr>
          <w:sdtContent>
            <w:tc>
              <w:tcPr>
                <w:tcW w:w="6785" w:type="dxa"/>
                <w:noWrap/>
                <w:vAlign w:val="center"/>
              </w:tcPr>
              <w:p>
                <w:pPr>
                  <w:jc w:val="both"/>
                  <w:rPr>
                    <w:rFonts w:ascii="宋体" w:hAnsi="宋体"/>
                  </w:rPr>
                </w:pPr>
                <w:r>
                  <w:rPr>
                    <w:rFonts w:ascii="宋体" w:hAnsi="宋体" w:hint="eastAsia"/>
                  </w:rPr>
                  <w:t>根据《企业会计准则第11号——股份支付》，公司以授予日股票收盘价与授予价格之间的差额作为每股限制性股票的股份支付成本，并将最终确认本激励计划的股份支付费用。</w:t>
                </w:r>
              </w:p>
            </w:tc>
          </w:sdtContent>
        </w:sdt>
      </w:tr>
      <w:tr>
        <w:trPr>
          <w:trHeight w:val="270"/>
        </w:trPr>
        <w:tc>
          <w:tcPr>
            <w:tcW w:w="2263" w:type="dxa"/>
            <w:noWrap/>
            <w:vAlign w:val="center"/>
          </w:tcPr>
          <w:p>
            <w:pPr>
              <w:jc w:val="center"/>
              <w:rPr>
                <w:rFonts w:ascii="宋体" w:hAnsi="宋体"/>
              </w:rPr>
            </w:pPr>
            <w:r>
              <w:rPr>
                <w:rFonts w:ascii="宋体" w:hAnsi="宋体" w:hint="eastAsia"/>
              </w:rPr>
              <w:t>参数名称</w:t>
            </w:r>
          </w:p>
        </w:tc>
        <w:tc>
          <w:tcPr>
            <w:tcW w:w="6785" w:type="dxa"/>
            <w:noWrap/>
            <w:vAlign w:val="center"/>
          </w:tcPr>
          <w:p>
            <w:pPr>
              <w:jc w:val="both"/>
              <w:rPr>
                <w:rFonts w:ascii="宋体" w:hAnsi="宋体"/>
              </w:rPr>
            </w:pPr>
            <w:r>
              <w:rPr>
                <w:rFonts w:ascii="宋体" w:hAnsi="宋体" w:hint="eastAsia"/>
              </w:rPr>
              <w:t>授予日股票收盘价、授予价格。</w:t>
            </w:r>
          </w:p>
        </w:tc>
      </w:tr>
      <w:tr>
        <w:trPr>
          <w:trHeight w:val="270"/>
        </w:trPr>
        <w:tc>
          <w:tcPr>
            <w:tcW w:w="2263" w:type="dxa"/>
            <w:noWrap/>
            <w:vAlign w:val="center"/>
          </w:tcPr>
          <w:p>
            <w:pPr>
              <w:jc w:val="center"/>
              <w:rPr>
                <w:rFonts w:ascii="宋体" w:hAnsi="宋体"/>
              </w:rPr>
            </w:pPr>
            <w:r>
              <w:rPr>
                <w:rFonts w:ascii="宋体" w:hAnsi="宋体" w:hint="eastAsia"/>
              </w:rPr>
              <w:t>计量结果</w:t>
            </w:r>
          </w:p>
        </w:tc>
        <w:tc>
          <w:tcPr>
            <w:tcW w:w="6785" w:type="dxa"/>
            <w:noWrap/>
            <w:vAlign w:val="center"/>
          </w:tcPr>
          <w:p>
            <w:pPr>
              <w:jc w:val="both"/>
              <w:rPr>
                <w:rFonts w:ascii="宋体" w:hAnsi="宋体"/>
              </w:rPr>
            </w:pPr>
            <w:r>
              <w:rPr>
                <w:rFonts w:ascii="宋体" w:hAnsi="宋体" w:hint="eastAsia"/>
              </w:rPr>
              <w:t>每股限制性股票的公允价值为12.80元。</w:t>
            </w:r>
          </w:p>
        </w:tc>
      </w:tr>
    </w:tbl>
    <w:p>
      <w:pPr>
        <w:jc w:val="both"/>
      </w:pPr>
    </w:p>
    <w:p>
      <w:pPr>
        <w:jc w:val="both"/>
      </w:pPr>
      <w:r>
        <w:rPr>
          <w:rFonts w:hint="eastAsia"/>
        </w:rPr>
        <w:t>其他说明：</w:t>
      </w:r>
    </w:p>
    <w:sdt>
      <w:sdtPr>
        <w:rPr>
          <w:rFonts w:hint="eastAsia"/>
        </w:rPr>
        <w:alias w:val="是否适用：股权激励情况的说明[双击切换]"/>
        <w:tag w:val="_GBC_67421581adf34d0f9f06e3042b8d7199"/>
        <w:id w:val="-1031642179"/>
        <w:placeholder>
          <w:docPart w:val="GBC22222222222222222222222222222"/>
        </w:placeholder>
      </w:sdtPr>
      <w:sdtContent>
        <w:p>
          <w:pPr>
            <w:jc w:val="both"/>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股权激励情况的说明"/>
        <w:tag w:val="_GBC_387c842e79d147469f8a81b8141b623a"/>
        <w:id w:val="-1277481800"/>
        <w:placeholder>
          <w:docPart w:val="GBC22222222222222222222222222222"/>
        </w:placeholder>
      </w:sdtPr>
      <w:sdtContent>
        <w:p>
          <w:pPr>
            <w:ind w:firstLineChars="200" w:firstLine="420"/>
            <w:jc w:val="both"/>
            <w:rPr>
              <w:rFonts w:ascii="宋体" w:hAnsi="宋体"/>
            </w:rPr>
          </w:pPr>
          <w:r>
            <w:rPr>
              <w:rFonts w:ascii="宋体" w:hAnsi="宋体" w:hint="eastAsia"/>
            </w:rPr>
            <w:t>经2022年1月27日召开的公司2022年度第一次临时股东大会、第一次A股/H股类别股东大会及第八届董事会第二十次会议批准，公司根据2021年A股限制性股票激励计划（“限制性股票激励计划”）向激励对象授出限制性股票。</w:t>
          </w:r>
        </w:p>
        <w:p>
          <w:pPr>
            <w:ind w:firstLineChars="200" w:firstLine="420"/>
            <w:jc w:val="both"/>
            <w:rPr>
              <w:rFonts w:ascii="宋体" w:hAnsi="宋体"/>
            </w:rPr>
          </w:pPr>
          <w:r>
            <w:rPr>
              <w:rFonts w:ascii="宋体" w:hAnsi="宋体" w:hint="eastAsia"/>
            </w:rPr>
            <w:t>经2024年2月23日召开的公司第九届董事会第五次会议批准，确认限制性股票激励计划第一个解除限售期条件已经达成，公司对1,201名激励对象所获授的2,916.342万股限制性股票解除限售。紧接解除限售日期之前本公司股份的加权平均收市价为27.41元（除权除息前价格）。2024年3月8日，解除限售的限制性股票上市流通。</w:t>
          </w:r>
        </w:p>
        <w:p>
          <w:pPr>
            <w:ind w:firstLineChars="200" w:firstLine="420"/>
            <w:jc w:val="both"/>
            <w:rPr>
              <w:rFonts w:ascii="宋体" w:hAnsi="宋体"/>
            </w:rPr>
          </w:pPr>
          <w:r>
            <w:rPr>
              <w:rFonts w:ascii="宋体" w:hAnsi="宋体" w:hint="eastAsia"/>
            </w:rPr>
            <w:t>经2025年2月24日召开的公司第九届董事会第十三次会议批准，确认限制性股票激励计划第二个解除限售期条件已经达成，公司对1,171名激励对象所获授的3,673.870万股限制性股票解除限售。紧接解除限售日期之前本公司股份的加权平均收市价为13.21元。2025年3月7日，解除限售的限制性股票上市流通。</w:t>
          </w:r>
        </w:p>
        <w:p>
          <w:pPr>
            <w:ind w:firstLineChars="200" w:firstLine="420"/>
            <w:jc w:val="both"/>
            <w:rPr>
              <w:rFonts w:ascii="宋体" w:hAnsi="宋体"/>
            </w:rPr>
          </w:pPr>
          <w:r>
            <w:rPr>
              <w:rFonts w:ascii="宋体" w:hAnsi="宋体" w:hint="eastAsia"/>
            </w:rPr>
            <w:t>经2026年2月11日召开的公司第九届董事会第二十一次会议批准，确认限制性股票激励计划第三个解除限售期条件已经达成，公司对1161名激励对象所获授的</w:t>
          </w:r>
          <w:bookmarkStart w:id="175" w:name="_Hlk223370649"/>
          <w:r>
            <w:rPr>
              <w:rFonts w:ascii="宋体" w:hAnsi="宋体" w:hint="eastAsia"/>
            </w:rPr>
            <w:t>3</w:t>
          </w:r>
          <w:r>
            <w:rPr>
              <w:rFonts w:ascii="宋体" w:hAnsi="宋体"/>
            </w:rPr>
            <w:t>744.0936</w:t>
          </w:r>
          <w:bookmarkEnd w:id="175"/>
          <w:r>
            <w:rPr>
              <w:rFonts w:ascii="宋体" w:hAnsi="宋体" w:hint="eastAsia"/>
            </w:rPr>
            <w:t>万股限制性股票解除限售。紧接解除限售日期之前本公司股份的加权平均收市价为19.10元。</w:t>
          </w:r>
        </w:p>
        <w:p>
          <w:pPr>
            <w:ind w:firstLineChars="200" w:firstLine="420"/>
            <w:jc w:val="both"/>
            <w:rPr>
              <w:rFonts w:ascii="宋体" w:hAnsi="宋体"/>
            </w:rPr>
          </w:pPr>
          <w:r>
            <w:rPr>
              <w:rFonts w:ascii="宋体" w:hAnsi="宋体" w:hint="eastAsia"/>
            </w:rPr>
            <w:t>2026年3月17日，解除限售的限制性股票上市流通。</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限制性股票激励计划摘要</w:t>
          </w:r>
        </w:p>
        <w:p>
          <w:pPr>
            <w:ind w:firstLineChars="200" w:firstLine="420"/>
            <w:jc w:val="both"/>
            <w:rPr>
              <w:rFonts w:ascii="宋体" w:hAnsi="宋体"/>
            </w:rPr>
          </w:pPr>
          <w:r>
            <w:rPr>
              <w:rFonts w:ascii="宋体" w:hAnsi="宋体" w:hint="eastAsia"/>
            </w:rPr>
            <w:t>（一）限制性股票激励计划授予情况</w:t>
          </w:r>
        </w:p>
        <w:p>
          <w:pPr>
            <w:ind w:firstLineChars="200" w:firstLine="420"/>
            <w:jc w:val="both"/>
            <w:rPr>
              <w:rFonts w:ascii="宋体" w:hAnsi="宋体"/>
            </w:rPr>
          </w:pPr>
          <w:r>
            <w:rPr>
              <w:rFonts w:ascii="宋体" w:hAnsi="宋体" w:hint="eastAsia"/>
            </w:rPr>
            <w:t>1.限制性股票激励计划的目的</w:t>
          </w:r>
        </w:p>
        <w:p>
          <w:pPr>
            <w:ind w:firstLineChars="200" w:firstLine="420"/>
            <w:jc w:val="both"/>
            <w:rPr>
              <w:rFonts w:ascii="宋体" w:hAnsi="宋体"/>
            </w:rPr>
          </w:pPr>
          <w:r>
            <w:rPr>
              <w:rFonts w:ascii="宋体" w:hAnsi="宋体" w:hint="eastAsia"/>
            </w:rPr>
            <w:t>为进一步健全中长期激励机制，充分调动公司管理团队及骨干员工积极性，将股东利益、公司利益和核心团队个人利益紧密结合，提升公司的市场竞争能力与可持续发展能力。</w:t>
          </w:r>
        </w:p>
        <w:p>
          <w:pPr>
            <w:ind w:firstLineChars="200" w:firstLine="420"/>
            <w:jc w:val="both"/>
            <w:rPr>
              <w:rFonts w:ascii="宋体" w:hAnsi="宋体"/>
            </w:rPr>
          </w:pPr>
          <w:r>
            <w:rPr>
              <w:rFonts w:ascii="宋体" w:hAnsi="宋体" w:hint="eastAsia"/>
            </w:rPr>
            <w:t>2.激励对象的范围</w:t>
          </w:r>
        </w:p>
        <w:p>
          <w:pPr>
            <w:ind w:firstLineChars="200" w:firstLine="420"/>
            <w:jc w:val="both"/>
            <w:rPr>
              <w:rFonts w:ascii="宋体" w:hAnsi="宋体"/>
            </w:rPr>
          </w:pPr>
          <w:r>
            <w:rPr>
              <w:rFonts w:ascii="宋体" w:hAnsi="宋体" w:hint="eastAsia"/>
            </w:rPr>
            <w:t>限制性股票激励计划的激励对象为当时担任公司董事、高级管理人员、中层管理人员、核心骨干人员等，不包括外部董事（含独立董事）、监事及单独或合计持有公司5%以上股份的股东或实际控制人及其配偶、父母、子女。</w:t>
          </w:r>
        </w:p>
        <w:p>
          <w:pPr>
            <w:ind w:firstLineChars="200" w:firstLine="420"/>
            <w:jc w:val="both"/>
            <w:rPr>
              <w:rFonts w:ascii="宋体" w:hAnsi="宋体"/>
            </w:rPr>
          </w:pPr>
          <w:r>
            <w:rPr>
              <w:rFonts w:ascii="宋体" w:hAnsi="宋体" w:hint="eastAsia"/>
            </w:rPr>
            <w:t>3.标的股票数量</w:t>
          </w:r>
        </w:p>
        <w:p>
          <w:pPr>
            <w:ind w:firstLineChars="200" w:firstLine="420"/>
            <w:jc w:val="both"/>
            <w:rPr>
              <w:rFonts w:ascii="宋体" w:hAnsi="宋体"/>
            </w:rPr>
          </w:pPr>
          <w:r>
            <w:rPr>
              <w:rFonts w:ascii="宋体" w:hAnsi="宋体" w:hint="eastAsia"/>
            </w:rPr>
            <w:t>经2022年1月27日召开的公司2022年度第一次临时股东大会、第一次A股/H股类别股东大会及第八届董事会第二十次会议批准，向激励对象1,245人授予6,174万股限制性股票（占本报告披露日公司已发行总股本（不包括库存股份）的约0.61%），所有限制性股票已于2022年1月27日（“授予日”）授予完毕。涉及的标的股票种类为人民币普通股（A股）股票。</w:t>
          </w:r>
        </w:p>
        <w:p>
          <w:pPr>
            <w:ind w:firstLineChars="200" w:firstLine="420"/>
            <w:jc w:val="both"/>
            <w:rPr>
              <w:rFonts w:ascii="宋体" w:hAnsi="宋体"/>
            </w:rPr>
          </w:pPr>
          <w:r>
            <w:rPr>
              <w:rFonts w:ascii="宋体" w:hAnsi="宋体" w:hint="eastAsia"/>
            </w:rPr>
            <w:lastRenderedPageBreak/>
            <w:t>4.每名参与人可获授权益上限</w:t>
          </w:r>
        </w:p>
        <w:p>
          <w:pPr>
            <w:ind w:firstLineChars="200" w:firstLine="420"/>
            <w:jc w:val="both"/>
            <w:rPr>
              <w:rFonts w:ascii="宋体" w:hAnsi="宋体"/>
            </w:rPr>
          </w:pPr>
          <w:r>
            <w:rPr>
              <w:rFonts w:ascii="宋体" w:hAnsi="宋体" w:hint="eastAsia"/>
            </w:rPr>
            <w:t>任何一名激励对象通过全部在有效期内的股权激励计划获授的公司股票数量，累计未超过限制性股票激励计划草案公告日公司股本总额的1%。</w:t>
          </w:r>
        </w:p>
        <w:p>
          <w:pPr>
            <w:ind w:firstLineChars="200" w:firstLine="420"/>
            <w:jc w:val="both"/>
            <w:rPr>
              <w:rFonts w:ascii="宋体" w:hAnsi="宋体"/>
            </w:rPr>
          </w:pPr>
          <w:r>
            <w:rPr>
              <w:rFonts w:ascii="宋体" w:hAnsi="宋体" w:hint="eastAsia"/>
            </w:rPr>
            <w:t>5.授予日</w:t>
          </w:r>
        </w:p>
        <w:p>
          <w:pPr>
            <w:ind w:firstLineChars="200" w:firstLine="420"/>
            <w:jc w:val="both"/>
            <w:rPr>
              <w:rFonts w:ascii="宋体" w:hAnsi="宋体"/>
            </w:rPr>
          </w:pPr>
          <w:r>
            <w:rPr>
              <w:rFonts w:ascii="宋体" w:hAnsi="宋体" w:hint="eastAsia"/>
            </w:rPr>
            <w:t>经2022年1月27日召开的公司第八届董事会第二十次会议审议批准，授予日为2022年1月27日。</w:t>
          </w:r>
        </w:p>
        <w:p>
          <w:pPr>
            <w:ind w:firstLineChars="200" w:firstLine="420"/>
            <w:jc w:val="both"/>
            <w:rPr>
              <w:rFonts w:ascii="宋体" w:hAnsi="宋体"/>
            </w:rPr>
          </w:pPr>
          <w:r>
            <w:rPr>
              <w:rFonts w:ascii="宋体" w:hAnsi="宋体" w:hint="eastAsia"/>
            </w:rPr>
            <w:t>6.限售期</w:t>
          </w:r>
        </w:p>
        <w:p>
          <w:pPr>
            <w:ind w:firstLineChars="200" w:firstLine="420"/>
            <w:jc w:val="both"/>
            <w:rPr>
              <w:rFonts w:ascii="宋体" w:hAnsi="宋体"/>
            </w:rPr>
          </w:pPr>
          <w:r>
            <w:rPr>
              <w:rFonts w:ascii="宋体" w:hAnsi="宋体" w:hint="eastAsia"/>
            </w:rPr>
            <w:t>限制性股票激励计划限售期分别为自限制性股票授予登记完成之日起24个月、36个月、48个月。</w:t>
          </w:r>
        </w:p>
        <w:p>
          <w:pPr>
            <w:ind w:firstLineChars="200" w:firstLine="420"/>
            <w:jc w:val="both"/>
            <w:rPr>
              <w:rFonts w:ascii="宋体" w:hAnsi="宋体"/>
            </w:rPr>
          </w:pPr>
          <w:r>
            <w:rPr>
              <w:rFonts w:ascii="宋体" w:hAnsi="宋体" w:hint="eastAsia"/>
            </w:rPr>
            <w:t>7.解除限售安排</w:t>
          </w:r>
        </w:p>
        <w:p>
          <w:pPr>
            <w:ind w:firstLineChars="200" w:firstLine="420"/>
            <w:jc w:val="both"/>
            <w:rPr>
              <w:rFonts w:ascii="宋体" w:hAnsi="宋体"/>
            </w:rPr>
          </w:pPr>
          <w:r>
            <w:rPr>
              <w:rFonts w:ascii="宋体" w:hAnsi="宋体" w:hint="eastAsia"/>
            </w:rPr>
            <w:t>限制性股票激励计划授予限制性股票的解除限售期及各期解除限售时间安排如下表所示：</w:t>
          </w:r>
        </w:p>
        <w:tbl>
          <w:tblPr>
            <w:tblStyle w:val="Style63"/>
            <w:tblW w:w="8583" w:type="dxa"/>
            <w:jc w:val="center"/>
            <w:tblInd w:w="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trPr>
              <w:trHeight w:val="632"/>
              <w:jc w:val="center"/>
            </w:trPr>
            <w:tc>
              <w:tcPr>
                <w:tcW w:w="1577"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解除限售安排</w:t>
                </w:r>
              </w:p>
            </w:tc>
            <w:tc>
              <w:tcPr>
                <w:tcW w:w="509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解除限售时间</w:t>
                </w:r>
              </w:p>
            </w:tc>
            <w:tc>
              <w:tcPr>
                <w:tcW w:w="1915"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解除限售比例</w:t>
                </w:r>
              </w:p>
            </w:tc>
          </w:tr>
          <w:tr>
            <w:trPr>
              <w:trHeight w:val="676"/>
              <w:jc w:val="center"/>
            </w:trPr>
            <w:tc>
              <w:tcPr>
                <w:tcW w:w="157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第一个解除限售期</w:t>
                </w:r>
              </w:p>
            </w:tc>
            <w:tc>
              <w:tcPr>
                <w:tcW w:w="509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自限制性股票完成登记日起24个月后的首个交易日起至限制性股票完成登记日起36个月内的最后一个交易日当日止</w:t>
                </w:r>
              </w:p>
            </w:tc>
            <w:tc>
              <w:tcPr>
                <w:tcW w:w="19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33%</w:t>
                </w:r>
              </w:p>
            </w:tc>
          </w:tr>
          <w:tr>
            <w:trPr>
              <w:trHeight w:val="634"/>
              <w:jc w:val="center"/>
            </w:trPr>
            <w:tc>
              <w:tcPr>
                <w:tcW w:w="157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第二个解除限售期</w:t>
                </w:r>
              </w:p>
            </w:tc>
            <w:tc>
              <w:tcPr>
                <w:tcW w:w="509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自限制性股票完成登记日起36个月后的首个交易日起至限制性股票完成登记日起48个月内的最后一个交易日当日止</w:t>
                </w:r>
              </w:p>
            </w:tc>
            <w:tc>
              <w:tcPr>
                <w:tcW w:w="19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33%</w:t>
                </w:r>
              </w:p>
            </w:tc>
          </w:tr>
          <w:tr>
            <w:trPr>
              <w:trHeight w:val="744"/>
              <w:jc w:val="center"/>
            </w:trPr>
            <w:tc>
              <w:tcPr>
                <w:tcW w:w="157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第三个解除限售期</w:t>
                </w:r>
              </w:p>
            </w:tc>
            <w:tc>
              <w:tcPr>
                <w:tcW w:w="509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自限制性股票完成登记日起48个月后的首个交易日起至限制性股票完成登记日起60个月内的最后一个交易日当日止</w:t>
                </w:r>
              </w:p>
            </w:tc>
            <w:tc>
              <w:tcPr>
                <w:tcW w:w="19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34%</w:t>
                </w:r>
              </w:p>
            </w:tc>
          </w:tr>
        </w:tbl>
        <w:p>
          <w:pPr>
            <w:ind w:firstLineChars="200" w:firstLine="420"/>
            <w:jc w:val="both"/>
            <w:rPr>
              <w:rFonts w:ascii="宋体" w:hAnsi="宋体"/>
            </w:rPr>
          </w:pPr>
          <w:r>
            <w:rPr>
              <w:rFonts w:ascii="宋体" w:hAnsi="宋体" w:hint="eastAsia"/>
            </w:rPr>
            <w:t>8.授予价格</w:t>
          </w:r>
        </w:p>
        <w:p>
          <w:pPr>
            <w:ind w:firstLineChars="200" w:firstLine="420"/>
            <w:jc w:val="both"/>
            <w:rPr>
              <w:rFonts w:ascii="宋体" w:hAnsi="宋体"/>
            </w:rPr>
          </w:pPr>
          <w:r>
            <w:rPr>
              <w:rFonts w:ascii="宋体" w:hAnsi="宋体" w:hint="eastAsia"/>
            </w:rPr>
            <w:t>限制性股票激励计划的授予价格为11.72元/股，即满足授予条件后，激励对象可以每股11.72元的价格购买公司向激励对象增发的公司限制性股票。</w:t>
          </w:r>
        </w:p>
        <w:p>
          <w:pPr>
            <w:ind w:firstLineChars="200" w:firstLine="420"/>
            <w:jc w:val="both"/>
            <w:rPr>
              <w:rFonts w:ascii="宋体" w:hAnsi="宋体"/>
            </w:rPr>
          </w:pPr>
          <w:r>
            <w:rPr>
              <w:rFonts w:ascii="宋体" w:hAnsi="宋体" w:hint="eastAsia"/>
            </w:rPr>
            <w:t>9.授予价格的确定方法</w:t>
          </w:r>
        </w:p>
        <w:p>
          <w:pPr>
            <w:ind w:firstLineChars="200" w:firstLine="420"/>
            <w:jc w:val="both"/>
            <w:rPr>
              <w:rFonts w:ascii="宋体" w:hAnsi="宋体"/>
            </w:rPr>
          </w:pPr>
          <w:r>
            <w:rPr>
              <w:rFonts w:ascii="宋体" w:hAnsi="宋体" w:hint="eastAsia"/>
            </w:rPr>
            <w:t>授予价格不低于股票票面金额，且不低于公平市场价格的50%，公平市场价格按以下价格的较高者确定：</w:t>
          </w:r>
        </w:p>
        <w:p>
          <w:pPr>
            <w:ind w:firstLineChars="200" w:firstLine="420"/>
            <w:jc w:val="both"/>
            <w:rPr>
              <w:rFonts w:ascii="宋体" w:hAnsi="宋体"/>
            </w:rPr>
          </w:pPr>
          <w:r>
            <w:rPr>
              <w:rFonts w:ascii="宋体" w:hAnsi="宋体" w:hint="eastAsia"/>
            </w:rPr>
            <w:t>标准一、限制性股票激励计划草案公布前1个交易日的公司标的股票交易均价；</w:t>
          </w:r>
        </w:p>
        <w:p>
          <w:pPr>
            <w:ind w:firstLineChars="200" w:firstLine="420"/>
            <w:jc w:val="both"/>
            <w:rPr>
              <w:rFonts w:ascii="宋体" w:hAnsi="宋体"/>
            </w:rPr>
          </w:pPr>
          <w:r>
            <w:rPr>
              <w:rFonts w:ascii="宋体" w:hAnsi="宋体" w:hint="eastAsia"/>
            </w:rPr>
            <w:t>标准二、限制性股票激励计划草案公布前20个交易日、60个交易日或者120个交易日的公司标的股票交易均价之一。</w:t>
          </w:r>
        </w:p>
        <w:p>
          <w:pPr>
            <w:ind w:firstLineChars="200" w:firstLine="420"/>
            <w:jc w:val="both"/>
            <w:rPr>
              <w:rFonts w:ascii="宋体" w:hAnsi="宋体"/>
            </w:rPr>
          </w:pPr>
          <w:r>
            <w:rPr>
              <w:rFonts w:ascii="宋体" w:hAnsi="宋体" w:hint="eastAsia"/>
            </w:rPr>
            <w:t>详情请见下表：</w:t>
          </w:r>
        </w:p>
        <w:p>
          <w:pPr>
            <w:ind w:firstLineChars="200" w:firstLine="420"/>
            <w:jc w:val="right"/>
            <w:rPr>
              <w:rFonts w:ascii="宋体" w:hAnsi="宋体"/>
            </w:rPr>
          </w:pPr>
          <w:r>
            <w:rPr>
              <w:rFonts w:ascii="宋体" w:hAnsi="宋体" w:hint="eastAsia"/>
            </w:rPr>
            <w:t>单位：元/股</w:t>
          </w:r>
        </w:p>
        <w:tbl>
          <w:tblPr>
            <w:tblStyle w:val="Style63"/>
            <w:tblW w:w="0" w:type="auto"/>
            <w:jc w:val="center"/>
            <w:tblInd w:w="0" w:type="dxa"/>
            <w:tblLook w:val="04A0" w:firstRow="1" w:lastRow="0" w:firstColumn="1" w:lastColumn="0" w:noHBand="0" w:noVBand="1"/>
          </w:tblPr>
          <w:tblGrid>
            <w:gridCol w:w="1031"/>
            <w:gridCol w:w="1557"/>
            <w:gridCol w:w="1510"/>
            <w:gridCol w:w="1559"/>
            <w:gridCol w:w="1559"/>
            <w:gridCol w:w="1568"/>
          </w:tblGrid>
          <w:tr>
            <w:trPr>
              <w:jc w:val="center"/>
            </w:trPr>
            <w:tc>
              <w:tcPr>
                <w:tcW w:w="1031" w:type="dxa"/>
                <w:vMerge w:val="restart"/>
                <w:tcBorders>
                  <w:top w:val="single" w:sz="4" w:space="0" w:color="auto"/>
                  <w:left w:val="single" w:sz="4" w:space="0" w:color="auto"/>
                  <w:bottom w:val="single" w:sz="4" w:space="0" w:color="auto"/>
                  <w:right w:val="single" w:sz="4" w:space="0" w:color="auto"/>
                </w:tcBorders>
              </w:tcPr>
              <w:p>
                <w:pPr>
                  <w:rPr>
                    <w:rFonts w:ascii="宋体" w:hAnsi="宋体"/>
                  </w:rPr>
                </w:pPr>
              </w:p>
            </w:tc>
            <w:tc>
              <w:tcPr>
                <w:tcW w:w="1557" w:type="dxa"/>
                <w:tcBorders>
                  <w:top w:val="single" w:sz="4" w:space="0" w:color="auto"/>
                  <w:left w:val="nil"/>
                  <w:bottom w:val="single" w:sz="4" w:space="0" w:color="auto"/>
                  <w:right w:val="single" w:sz="4" w:space="0" w:color="auto"/>
                </w:tcBorders>
                <w:vAlign w:val="center"/>
              </w:tcPr>
              <w:p>
                <w:pPr>
                  <w:jc w:val="center"/>
                  <w:rPr>
                    <w:rFonts w:ascii="宋体" w:hAnsi="宋体"/>
                  </w:rPr>
                </w:pPr>
                <w:r>
                  <w:rPr>
                    <w:rFonts w:ascii="宋体" w:hAnsi="宋体" w:hint="eastAsia"/>
                  </w:rPr>
                  <w:t>标准一</w:t>
                </w:r>
              </w:p>
            </w:tc>
            <w:tc>
              <w:tcPr>
                <w:tcW w:w="4628" w:type="dxa"/>
                <w:gridSpan w:val="3"/>
                <w:tcBorders>
                  <w:top w:val="single" w:sz="4" w:space="0" w:color="auto"/>
                  <w:left w:val="nil"/>
                  <w:bottom w:val="single" w:sz="4" w:space="0" w:color="auto"/>
                  <w:right w:val="single" w:sz="4" w:space="0" w:color="auto"/>
                </w:tcBorders>
                <w:vAlign w:val="center"/>
              </w:tcPr>
              <w:p>
                <w:pPr>
                  <w:jc w:val="center"/>
                  <w:rPr>
                    <w:rFonts w:ascii="宋体" w:hAnsi="宋体"/>
                  </w:rPr>
                </w:pPr>
                <w:r>
                  <w:rPr>
                    <w:rFonts w:ascii="宋体" w:hAnsi="宋体" w:hint="eastAsia"/>
                  </w:rPr>
                  <w:t>标准二</w:t>
                </w:r>
              </w:p>
            </w:tc>
            <w:tc>
              <w:tcPr>
                <w:tcW w:w="1568" w:type="dxa"/>
                <w:vMerge w:val="restart"/>
                <w:tcBorders>
                  <w:top w:val="single" w:sz="4" w:space="0" w:color="auto"/>
                  <w:left w:val="nil"/>
                  <w:bottom w:val="single" w:sz="4" w:space="0" w:color="auto"/>
                  <w:right w:val="single" w:sz="4" w:space="0" w:color="auto"/>
                </w:tcBorders>
                <w:vAlign w:val="center"/>
              </w:tcPr>
              <w:p>
                <w:pPr>
                  <w:jc w:val="both"/>
                  <w:rPr>
                    <w:rFonts w:ascii="宋体" w:hAnsi="宋体"/>
                  </w:rPr>
                </w:pPr>
                <w:r>
                  <w:rPr>
                    <w:rFonts w:ascii="宋体" w:hAnsi="宋体" w:hint="eastAsia"/>
                  </w:rPr>
                  <w:t>最低授予价格</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pPr>
                  <w:rPr>
                    <w:rFonts w:ascii="宋体" w:hAnsi="宋体"/>
                  </w:rPr>
                </w:pPr>
              </w:p>
            </w:tc>
            <w:tc>
              <w:tcPr>
                <w:tcW w:w="1557" w:type="dxa"/>
                <w:tcBorders>
                  <w:top w:val="single" w:sz="4" w:space="0" w:color="auto"/>
                  <w:left w:val="nil"/>
                  <w:bottom w:val="single" w:sz="4" w:space="0" w:color="auto"/>
                  <w:right w:val="single" w:sz="4" w:space="0" w:color="auto"/>
                </w:tcBorders>
                <w:vAlign w:val="center"/>
              </w:tcPr>
              <w:p>
                <w:pPr>
                  <w:jc w:val="both"/>
                  <w:rPr>
                    <w:rFonts w:ascii="宋体" w:hAnsi="宋体"/>
                  </w:rPr>
                </w:pPr>
                <w:r>
                  <w:rPr>
                    <w:rFonts w:ascii="宋体" w:hAnsi="宋体" w:hint="eastAsia"/>
                  </w:rPr>
                  <w:t>前1个交易日的公司股票交易均价</w:t>
                </w:r>
              </w:p>
            </w:tc>
            <w:tc>
              <w:tcPr>
                <w:tcW w:w="1510" w:type="dxa"/>
                <w:tcBorders>
                  <w:top w:val="single" w:sz="4" w:space="0" w:color="auto"/>
                  <w:left w:val="nil"/>
                  <w:bottom w:val="single" w:sz="4" w:space="0" w:color="auto"/>
                  <w:right w:val="single" w:sz="4" w:space="0" w:color="auto"/>
                </w:tcBorders>
                <w:vAlign w:val="center"/>
              </w:tcPr>
              <w:p>
                <w:pPr>
                  <w:jc w:val="both"/>
                  <w:rPr>
                    <w:rFonts w:ascii="宋体" w:hAnsi="宋体"/>
                  </w:rPr>
                </w:pPr>
                <w:r>
                  <w:rPr>
                    <w:rFonts w:ascii="宋体" w:hAnsi="宋体" w:hint="eastAsia"/>
                  </w:rPr>
                  <w:t>前20个交易日的公司股票交易均价</w:t>
                </w:r>
              </w:p>
            </w:tc>
            <w:tc>
              <w:tcPr>
                <w:tcW w:w="1559" w:type="dxa"/>
                <w:tcBorders>
                  <w:top w:val="single" w:sz="4" w:space="0" w:color="auto"/>
                  <w:left w:val="nil"/>
                  <w:bottom w:val="single" w:sz="4" w:space="0" w:color="auto"/>
                  <w:right w:val="single" w:sz="4" w:space="0" w:color="auto"/>
                </w:tcBorders>
                <w:vAlign w:val="center"/>
              </w:tcPr>
              <w:p>
                <w:pPr>
                  <w:jc w:val="both"/>
                  <w:rPr>
                    <w:rFonts w:ascii="宋体" w:hAnsi="宋体"/>
                  </w:rPr>
                </w:pPr>
                <w:r>
                  <w:rPr>
                    <w:rFonts w:ascii="宋体" w:hAnsi="宋体" w:hint="eastAsia"/>
                  </w:rPr>
                  <w:t>前60个交易日的公司股票交易均价</w:t>
                </w:r>
              </w:p>
            </w:tc>
            <w:tc>
              <w:tcPr>
                <w:tcW w:w="1559" w:type="dxa"/>
                <w:tcBorders>
                  <w:top w:val="single" w:sz="4" w:space="0" w:color="auto"/>
                  <w:left w:val="nil"/>
                  <w:bottom w:val="single" w:sz="4" w:space="0" w:color="auto"/>
                  <w:right w:val="single" w:sz="4" w:space="0" w:color="auto"/>
                </w:tcBorders>
                <w:vAlign w:val="center"/>
              </w:tcPr>
              <w:p>
                <w:pPr>
                  <w:jc w:val="both"/>
                  <w:rPr>
                    <w:rFonts w:ascii="宋体" w:hAnsi="宋体"/>
                  </w:rPr>
                </w:pPr>
                <w:r>
                  <w:rPr>
                    <w:rFonts w:ascii="宋体" w:hAnsi="宋体" w:hint="eastAsia"/>
                  </w:rPr>
                  <w:t>前120个交易日的公司股票交易均价</w:t>
                </w:r>
              </w:p>
            </w:tc>
            <w:tc>
              <w:tcPr>
                <w:tcW w:w="1568" w:type="dxa"/>
                <w:vMerge/>
                <w:tcBorders>
                  <w:top w:val="single" w:sz="4" w:space="0" w:color="auto"/>
                  <w:left w:val="nil"/>
                  <w:bottom w:val="single" w:sz="4" w:space="0" w:color="auto"/>
                  <w:right w:val="single" w:sz="4" w:space="0" w:color="auto"/>
                </w:tcBorders>
                <w:vAlign w:val="center"/>
              </w:tcPr>
              <w:p>
                <w:pPr>
                  <w:rPr>
                    <w:rFonts w:ascii="宋体" w:hAnsi="宋体"/>
                  </w:rPr>
                </w:pPr>
              </w:p>
            </w:tc>
          </w:tr>
          <w:tr>
            <w:trPr>
              <w:jc w:val="center"/>
            </w:trPr>
            <w:tc>
              <w:tcPr>
                <w:tcW w:w="103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A股</w:t>
                </w:r>
              </w:p>
            </w:tc>
            <w:tc>
              <w:tcPr>
                <w:tcW w:w="1557" w:type="dxa"/>
                <w:tcBorders>
                  <w:top w:val="single" w:sz="4" w:space="0" w:color="auto"/>
                  <w:left w:val="nil"/>
                  <w:bottom w:val="single" w:sz="4" w:space="0" w:color="auto"/>
                  <w:right w:val="single" w:sz="4" w:space="0" w:color="auto"/>
                </w:tcBorders>
                <w:vAlign w:val="center"/>
              </w:tcPr>
              <w:p>
                <w:pPr>
                  <w:jc w:val="right"/>
                  <w:rPr>
                    <w:rFonts w:ascii="宋体" w:hAnsi="宋体"/>
                  </w:rPr>
                </w:pPr>
                <w:r>
                  <w:rPr>
                    <w:rFonts w:ascii="宋体" w:hAnsi="宋体" w:hint="eastAsia"/>
                  </w:rPr>
                  <w:t>23.44</w:t>
                </w:r>
              </w:p>
            </w:tc>
            <w:tc>
              <w:tcPr>
                <w:tcW w:w="1510" w:type="dxa"/>
                <w:tcBorders>
                  <w:top w:val="single" w:sz="4" w:space="0" w:color="auto"/>
                  <w:left w:val="nil"/>
                  <w:bottom w:val="single" w:sz="4" w:space="0" w:color="auto"/>
                  <w:right w:val="single" w:sz="4" w:space="0" w:color="auto"/>
                </w:tcBorders>
                <w:vAlign w:val="center"/>
              </w:tcPr>
              <w:p>
                <w:pPr>
                  <w:jc w:val="right"/>
                  <w:rPr>
                    <w:rFonts w:ascii="宋体" w:hAnsi="宋体"/>
                  </w:rPr>
                </w:pPr>
                <w:r>
                  <w:rPr>
                    <w:rFonts w:ascii="宋体" w:hAnsi="宋体" w:hint="eastAsia"/>
                  </w:rPr>
                  <w:t>23.29</w:t>
                </w:r>
              </w:p>
            </w:tc>
            <w:tc>
              <w:tcPr>
                <w:tcW w:w="1559" w:type="dxa"/>
                <w:tcBorders>
                  <w:top w:val="single" w:sz="4" w:space="0" w:color="auto"/>
                  <w:left w:val="nil"/>
                  <w:bottom w:val="single" w:sz="4" w:space="0" w:color="auto"/>
                  <w:right w:val="single" w:sz="4" w:space="0" w:color="auto"/>
                </w:tcBorders>
                <w:vAlign w:val="center"/>
              </w:tcPr>
              <w:p>
                <w:pPr>
                  <w:jc w:val="right"/>
                  <w:rPr>
                    <w:rFonts w:ascii="宋体" w:hAnsi="宋体"/>
                  </w:rPr>
                </w:pPr>
                <w:r>
                  <w:rPr>
                    <w:rFonts w:ascii="宋体" w:hAnsi="宋体" w:hint="eastAsia"/>
                  </w:rPr>
                  <w:t>27.03</w:t>
                </w:r>
              </w:p>
            </w:tc>
            <w:tc>
              <w:tcPr>
                <w:tcW w:w="1559" w:type="dxa"/>
                <w:tcBorders>
                  <w:top w:val="single" w:sz="4" w:space="0" w:color="auto"/>
                  <w:left w:val="nil"/>
                  <w:bottom w:val="single" w:sz="4" w:space="0" w:color="auto"/>
                  <w:right w:val="single" w:sz="4" w:space="0" w:color="auto"/>
                </w:tcBorders>
                <w:vAlign w:val="center"/>
              </w:tcPr>
              <w:p>
                <w:pPr>
                  <w:jc w:val="right"/>
                  <w:rPr>
                    <w:rFonts w:ascii="宋体" w:hAnsi="宋体"/>
                  </w:rPr>
                </w:pPr>
                <w:r>
                  <w:rPr>
                    <w:rFonts w:ascii="宋体" w:hAnsi="宋体" w:hint="eastAsia"/>
                  </w:rPr>
                  <w:t>22.55</w:t>
                </w:r>
              </w:p>
            </w:tc>
            <w:tc>
              <w:tcPr>
                <w:tcW w:w="1568" w:type="dxa"/>
                <w:tcBorders>
                  <w:top w:val="single" w:sz="4" w:space="0" w:color="auto"/>
                  <w:left w:val="nil"/>
                  <w:bottom w:val="single" w:sz="4" w:space="0" w:color="auto"/>
                  <w:right w:val="single" w:sz="4" w:space="0" w:color="auto"/>
                </w:tcBorders>
                <w:vAlign w:val="center"/>
              </w:tcPr>
              <w:p>
                <w:pPr>
                  <w:jc w:val="right"/>
                  <w:rPr>
                    <w:rFonts w:ascii="宋体" w:hAnsi="宋体"/>
                  </w:rPr>
                </w:pPr>
                <w:r>
                  <w:rPr>
                    <w:rFonts w:ascii="宋体" w:hAnsi="宋体" w:hint="eastAsia"/>
                  </w:rPr>
                  <w:t>11.72</w:t>
                </w:r>
              </w:p>
            </w:tc>
          </w:tr>
        </w:tbl>
        <w:p>
          <w:pPr>
            <w:ind w:firstLineChars="200" w:firstLine="420"/>
            <w:jc w:val="both"/>
            <w:rPr>
              <w:rFonts w:ascii="宋体" w:hAnsi="宋体"/>
            </w:rPr>
          </w:pPr>
          <w:r>
            <w:rPr>
              <w:rFonts w:ascii="宋体" w:hAnsi="宋体" w:hint="eastAsia"/>
            </w:rPr>
            <w:t>10.回购原则</w:t>
          </w:r>
        </w:p>
        <w:p>
          <w:pPr>
            <w:ind w:firstLineChars="200" w:firstLine="420"/>
            <w:jc w:val="both"/>
            <w:rPr>
              <w:rFonts w:ascii="宋体" w:hAnsi="宋体"/>
            </w:rPr>
          </w:pPr>
          <w:r>
            <w:rPr>
              <w:rFonts w:ascii="宋体" w:hAnsi="宋体" w:hint="eastAsia"/>
            </w:rPr>
            <w:t>激励对象获授的限制性股票完成股份登记后，公司有资本公积转增股本、派送股票红利、股份拆细、配股、缩股等影响公司股本总额或公司股票价格事项的，公司应对尚未解除限售的限制性股票的回购数量、价格做相应的调整。具体调整方法请见2022年1月27日公告的《兖矿能源2021年A股限制性股票激励计划》。</w:t>
          </w:r>
        </w:p>
        <w:p>
          <w:pPr>
            <w:ind w:firstLineChars="200" w:firstLine="420"/>
            <w:jc w:val="both"/>
            <w:rPr>
              <w:rFonts w:ascii="宋体" w:hAnsi="宋体"/>
            </w:rPr>
          </w:pPr>
          <w:r>
            <w:rPr>
              <w:rFonts w:ascii="宋体" w:hAnsi="宋体" w:hint="eastAsia"/>
            </w:rPr>
            <w:t>激励对象因调动、免职、退休、死亡、丧失民事行为能力等客观原因与公司解除或者终止劳动关系时，尚未解除限售的限制性股票，由公司按授予价格（调整后的，下同）加上同期银行存款利息回购注销。</w:t>
          </w:r>
        </w:p>
        <w:p>
          <w:pPr>
            <w:ind w:firstLineChars="200" w:firstLine="420"/>
            <w:jc w:val="both"/>
            <w:rPr>
              <w:rFonts w:ascii="宋体" w:hAnsi="宋体"/>
            </w:rPr>
          </w:pPr>
          <w:r>
            <w:rPr>
              <w:rFonts w:ascii="宋体" w:hAnsi="宋体" w:hint="eastAsia"/>
            </w:rPr>
            <w:t>激励对象辞职、因个人原因被解除劳动关系的，已获授但尚未解除限售的限制性股票由公司回购注销，回购价格为授予价格与回购时公司股票市场价格的孰低值（市场价格为董事会审议回购事项前1交易日公司标的股票交易均价，下同）。</w:t>
          </w:r>
        </w:p>
        <w:p>
          <w:pPr>
            <w:ind w:firstLineChars="200" w:firstLine="420"/>
            <w:jc w:val="both"/>
            <w:rPr>
              <w:rFonts w:ascii="宋体" w:hAnsi="宋体"/>
            </w:rPr>
          </w:pPr>
          <w:r>
            <w:rPr>
              <w:rFonts w:ascii="宋体" w:hAnsi="宋体" w:hint="eastAsia"/>
            </w:rPr>
            <w:lastRenderedPageBreak/>
            <w:t>若限制性股票某个解除限售期的公司业绩考核目标未达成，则所有激励对象当期限制性股票不可解除限售，由公司回购注销；因个人层面绩效考核结果导致当期不可解除限售的限制性股票，由公司回购注销。回购价格不得高于授予价格与市场价格的较低者。</w:t>
          </w:r>
        </w:p>
        <w:p>
          <w:pPr>
            <w:ind w:firstLineChars="200" w:firstLine="420"/>
            <w:jc w:val="both"/>
            <w:rPr>
              <w:rFonts w:ascii="宋体" w:hAnsi="宋体"/>
            </w:rPr>
          </w:pPr>
          <w:r>
            <w:rPr>
              <w:rFonts w:ascii="宋体" w:hAnsi="宋体" w:hint="eastAsia"/>
            </w:rPr>
            <w:t>11.有效期</w:t>
          </w:r>
        </w:p>
        <w:p>
          <w:pPr>
            <w:ind w:firstLineChars="200" w:firstLine="420"/>
            <w:jc w:val="both"/>
            <w:rPr>
              <w:rFonts w:ascii="宋体" w:hAnsi="宋体"/>
            </w:rPr>
          </w:pPr>
          <w:r>
            <w:rPr>
              <w:rFonts w:ascii="宋体" w:hAnsi="宋体" w:hint="eastAsia"/>
            </w:rPr>
            <w:t>限制性股票激励计划经2022年1月27日召开的公司2022年度第一次临时股东大会、2022年度第一次A股/H股类别股东大会批准生效。有效期自限制性股票授予登记完成之日起至激励对象获授的限制性股票全部解除限售或回购注销完成之日止，最长不超过60个月。</w:t>
          </w:r>
        </w:p>
        <w:p>
          <w:pPr>
            <w:ind w:firstLineChars="200" w:firstLine="420"/>
            <w:jc w:val="both"/>
            <w:rPr>
              <w:rFonts w:ascii="宋体" w:hAnsi="宋体"/>
            </w:rPr>
          </w:pPr>
          <w:r>
            <w:rPr>
              <w:rFonts w:ascii="宋体" w:hAnsi="宋体" w:hint="eastAsia"/>
            </w:rPr>
            <w:t>12.授予完成情况</w:t>
          </w:r>
        </w:p>
        <w:p>
          <w:pPr>
            <w:ind w:firstLineChars="200" w:firstLine="420"/>
            <w:jc w:val="both"/>
            <w:rPr>
              <w:rFonts w:ascii="宋体" w:hAnsi="宋体"/>
            </w:rPr>
          </w:pPr>
          <w:r>
            <w:rPr>
              <w:rFonts w:ascii="宋体" w:hAnsi="宋体" w:hint="eastAsia"/>
            </w:rPr>
            <w:t>2022年2月24日，公司在中国结算上海分公司完成了限制性股票的授予登记工作。有关详情请见公司日期为2022年2月25日的关于2021年A股限制性股票激励计划授予结果的公告。</w:t>
          </w:r>
        </w:p>
        <w:p>
          <w:pPr>
            <w:ind w:firstLineChars="200" w:firstLine="420"/>
            <w:jc w:val="both"/>
            <w:rPr>
              <w:rFonts w:ascii="宋体" w:hAnsi="宋体"/>
            </w:rPr>
          </w:pPr>
          <w:r>
            <w:rPr>
              <w:rFonts w:ascii="宋体" w:hAnsi="宋体" w:hint="eastAsia"/>
            </w:rPr>
            <w:t>（二）历次调整情况</w:t>
          </w:r>
        </w:p>
        <w:p>
          <w:pPr>
            <w:ind w:firstLineChars="200" w:firstLine="420"/>
            <w:jc w:val="both"/>
            <w:rPr>
              <w:rFonts w:ascii="宋体" w:hAnsi="宋体"/>
            </w:rPr>
          </w:pPr>
          <w:r>
            <w:rPr>
              <w:rFonts w:ascii="宋体" w:hAnsi="宋体" w:hint="eastAsia"/>
            </w:rPr>
            <w:t>经2023年8月25日召开的公司第九届董事会第二次会议审议批准，由于公司于限售期内进行两次利润分配，另外每股派送红股0.5股，因此公司董事会对限制性股票回购价格、数量进行调整，本次调整后，回购价格由11.72元/股调整为3.6133元/股，已获授但未解除限售的限制性股票数量由6,174万股调整为9,261万股；26名激励对象因调动、退休等原因，公司注销其已获授但未解除限售的限制性股票267万股。详情请见公司日期为2023年8月25日的关于调整限制性股票回购价格及回购数量的公告、关于回购注销部分激励对象已获授但尚未解除限售的限制性股票的公告。</w:t>
          </w:r>
        </w:p>
        <w:p>
          <w:pPr>
            <w:ind w:firstLineChars="200" w:firstLine="420"/>
            <w:jc w:val="both"/>
            <w:rPr>
              <w:rFonts w:ascii="宋体" w:hAnsi="宋体"/>
            </w:rPr>
          </w:pPr>
          <w:r>
            <w:rPr>
              <w:rFonts w:ascii="宋体" w:hAnsi="宋体" w:hint="eastAsia"/>
            </w:rPr>
            <w:t>经2024年2月23日召开的公司第九届董事会第五次会议审议批准，由于限制性股票激励计划16名激励对象因职务调动等原因已不符合激励条件，2名激励对象绩效考核结果为“不合格”，4名激励对象绩效考核结果为“达标”，因此对上述22名激励对象已获授但尚未解除限售的限制性股票140.118万股进行回购注销。详情请见公司日期为2024年2月23日的关于回购注销部分激励对象已获授但尚未解除限售的限制性股票的公告。</w:t>
          </w:r>
        </w:p>
        <w:p>
          <w:pPr>
            <w:ind w:firstLineChars="200" w:firstLine="420"/>
            <w:jc w:val="both"/>
            <w:rPr>
              <w:rFonts w:ascii="宋体" w:hAnsi="宋体"/>
            </w:rPr>
          </w:pPr>
          <w:r>
            <w:rPr>
              <w:rFonts w:ascii="宋体" w:hAnsi="宋体"/>
            </w:rPr>
            <w:t>经2025年2月24日召开的公司第九届董事会第十三次会议审议批准，由于公司于</w:t>
          </w:r>
          <w:r>
            <w:rPr>
              <w:rFonts w:ascii="宋体" w:hAnsi="宋体" w:hint="eastAsia"/>
            </w:rPr>
            <w:t>2024年</w:t>
          </w:r>
          <w:r>
            <w:rPr>
              <w:rFonts w:ascii="宋体" w:hAnsi="宋体"/>
            </w:rPr>
            <w:t>内进行两次利润分配，另外每股派送红股0.3股，因此公司董事会对限制性股票回购价格、数量进行调整，本次调整后，回购价格由3.6133元/股调整为1.4033元/股，已获授但未解除限售的限制性股票数量由5,937.54万股调整为7,718.802万股。27名激励对象因职务调动等原因已不符合激励条件，5名激励对象绩效考核结果为“不合格”，9名激励对象绩效考核结果为“达标”，因此对上述41名激励对象已获授但尚未解除限售的限制性股票237.986万股进行回购注销。详情请见公司日期为2025年2月24日的关于回购注销部分激励对象已获授但尚未解除限售的限制性股票的公告。</w:t>
          </w:r>
        </w:p>
        <w:p>
          <w:pPr>
            <w:ind w:firstLineChars="200" w:firstLine="420"/>
            <w:jc w:val="both"/>
            <w:rPr>
              <w:rFonts w:ascii="宋体" w:hAnsi="宋体"/>
            </w:rPr>
          </w:pPr>
          <w:r>
            <w:rPr>
              <w:rFonts w:ascii="宋体" w:hAnsi="宋体"/>
            </w:rPr>
            <w:t>经202</w:t>
          </w:r>
          <w:r>
            <w:rPr>
              <w:rFonts w:ascii="宋体" w:hAnsi="宋体" w:hint="eastAsia"/>
            </w:rPr>
            <w:t>6</w:t>
          </w:r>
          <w:r>
            <w:rPr>
              <w:rFonts w:ascii="宋体" w:hAnsi="宋体"/>
            </w:rPr>
            <w:t>年</w:t>
          </w:r>
          <w:r>
            <w:rPr>
              <w:rFonts w:ascii="宋体" w:hAnsi="宋体" w:hint="eastAsia"/>
            </w:rPr>
            <w:t>2</w:t>
          </w:r>
          <w:r>
            <w:rPr>
              <w:rFonts w:ascii="宋体" w:hAnsi="宋体"/>
            </w:rPr>
            <w:t>月</w:t>
          </w:r>
          <w:r>
            <w:rPr>
              <w:rFonts w:ascii="宋体" w:hAnsi="宋体" w:hint="eastAsia"/>
            </w:rPr>
            <w:t>11</w:t>
          </w:r>
          <w:r>
            <w:rPr>
              <w:rFonts w:ascii="宋体" w:hAnsi="宋体"/>
            </w:rPr>
            <w:t>日召开的公司第九届董事会第</w:t>
          </w:r>
          <w:r>
            <w:rPr>
              <w:rFonts w:ascii="宋体" w:hAnsi="宋体" w:hint="eastAsia"/>
            </w:rPr>
            <w:t>二十一</w:t>
          </w:r>
          <w:r>
            <w:rPr>
              <w:rFonts w:ascii="宋体" w:hAnsi="宋体"/>
            </w:rPr>
            <w:t>次会议审议批准，由于公司于报告期内进行两次利润分配，因此公司董事会对限制性股票回购价格、数量进行调整，本次调整后，回购价格由1.4033元/股调整为</w:t>
          </w:r>
          <w:r>
            <w:rPr>
              <w:rFonts w:ascii="宋体" w:hAnsi="宋体" w:hint="eastAsia"/>
            </w:rPr>
            <w:t>0.6833</w:t>
          </w:r>
          <w:r>
            <w:rPr>
              <w:rFonts w:ascii="宋体" w:hAnsi="宋体"/>
            </w:rPr>
            <w:t>元/股，已获授但未解除限售的限制性股票数量为</w:t>
          </w:r>
          <w:r>
            <w:rPr>
              <w:rFonts w:ascii="宋体" w:hAnsi="宋体" w:hint="eastAsia"/>
            </w:rPr>
            <w:t>3,806.946</w:t>
          </w:r>
          <w:r>
            <w:rPr>
              <w:rFonts w:ascii="宋体" w:hAnsi="宋体"/>
            </w:rPr>
            <w:t>万股。</w:t>
          </w:r>
          <w:r>
            <w:rPr>
              <w:rFonts w:ascii="宋体" w:hAnsi="宋体" w:hint="eastAsia"/>
            </w:rPr>
            <w:t>15</w:t>
          </w:r>
          <w:r>
            <w:rPr>
              <w:rFonts w:ascii="宋体" w:hAnsi="宋体"/>
            </w:rPr>
            <w:t>名激励对象因职务调动等原因已不符合激励条件，</w:t>
          </w:r>
          <w:r>
            <w:rPr>
              <w:rFonts w:ascii="宋体" w:hAnsi="宋体" w:hint="eastAsia"/>
            </w:rPr>
            <w:t>3</w:t>
          </w:r>
          <w:r>
            <w:rPr>
              <w:rFonts w:ascii="宋体" w:hAnsi="宋体"/>
            </w:rPr>
            <w:t>名激励对象绩效考核结果为“达标”，因此对上述</w:t>
          </w:r>
          <w:r>
            <w:rPr>
              <w:rFonts w:ascii="宋体" w:hAnsi="宋体" w:hint="eastAsia"/>
            </w:rPr>
            <w:t>18</w:t>
          </w:r>
          <w:r>
            <w:rPr>
              <w:rFonts w:ascii="宋体" w:hAnsi="宋体"/>
            </w:rPr>
            <w:t>名激励对象已获授但尚未解除限售的限制性股票</w:t>
          </w:r>
          <w:r>
            <w:rPr>
              <w:rFonts w:ascii="宋体" w:hAnsi="宋体" w:hint="eastAsia"/>
            </w:rPr>
            <w:t>62.8524</w:t>
          </w:r>
          <w:r>
            <w:rPr>
              <w:rFonts w:ascii="宋体" w:hAnsi="宋体"/>
            </w:rPr>
            <w:t>万股进行回购注销。详情请见公司日期为202</w:t>
          </w:r>
          <w:r>
            <w:rPr>
              <w:rFonts w:ascii="宋体" w:hAnsi="宋体" w:hint="eastAsia"/>
            </w:rPr>
            <w:t>6</w:t>
          </w:r>
          <w:r>
            <w:rPr>
              <w:rFonts w:ascii="宋体" w:hAnsi="宋体"/>
            </w:rPr>
            <w:t>年</w:t>
          </w:r>
          <w:r>
            <w:rPr>
              <w:rFonts w:ascii="宋体" w:hAnsi="宋体" w:hint="eastAsia"/>
            </w:rPr>
            <w:t>2</w:t>
          </w:r>
          <w:r>
            <w:rPr>
              <w:rFonts w:ascii="宋体" w:hAnsi="宋体"/>
            </w:rPr>
            <w:t>月</w:t>
          </w:r>
          <w:r>
            <w:rPr>
              <w:rFonts w:ascii="宋体" w:hAnsi="宋体" w:hint="eastAsia"/>
            </w:rPr>
            <w:t>11</w:t>
          </w:r>
          <w:r>
            <w:rPr>
              <w:rFonts w:ascii="宋体" w:hAnsi="宋体"/>
            </w:rPr>
            <w:t>日的关于回购注销部分激励对象已获授但尚未解除限售的限制性股票的公告。</w:t>
          </w:r>
        </w:p>
      </w:sdtContent>
    </w:sdt>
    <w:p>
      <w:pPr>
        <w:pStyle w:val="Style49"/>
      </w:pPr>
    </w:p>
    <w:p>
      <w:pPr>
        <w:rPr>
          <w:bCs/>
        </w:rPr>
      </w:pPr>
      <w:r>
        <w:rPr>
          <w:rFonts w:hint="eastAsia"/>
          <w:bCs/>
        </w:rPr>
        <w:t>员工持股计划情况</w:t>
      </w:r>
    </w:p>
    <w:sdt>
      <w:sdtPr>
        <w:rPr>
          <w:rFonts w:hint="eastAsia"/>
          <w:bCs/>
        </w:rPr>
        <w:alias w:val="是否适用：员工持股计划情况[双击切换]"/>
        <w:tag w:val="_GBC_58bc54aaaba24427a2a569de76f7f83e"/>
        <w:id w:val="-830053294"/>
        <w:placeholder>
          <w:docPart w:val="GBC22222222222222222222222222222"/>
        </w:placeholder>
      </w:sdtPr>
      <w:sdtContent>
        <w:p>
          <w:pPr>
            <w:rPr>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p>
      <w:pPr>
        <w:rPr>
          <w:bCs/>
        </w:rPr>
      </w:pPr>
    </w:p>
    <w:p>
      <w:pPr>
        <w:rPr>
          <w:bCs/>
        </w:rPr>
      </w:pPr>
      <w:r>
        <w:rPr>
          <w:rFonts w:hint="eastAsia"/>
          <w:bCs/>
        </w:rPr>
        <w:t>其他激励措施</w:t>
      </w:r>
    </w:p>
    <w:sdt>
      <w:sdtPr>
        <w:alias w:val="是否适用：其他激励措施[双击切换]"/>
        <w:tag w:val="_GBC_1273f753309d4658962c7982b10fa010"/>
        <w:id w:val="-227457907"/>
        <w:placeholder>
          <w:docPart w:val="GBC22222222222222222222222222222"/>
        </w:placeholder>
      </w:sdtPr>
      <w:sdtContent>
        <w:p>
          <w:pPr>
            <w:rPr>
              <w:bCs/>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bCs/>
        </w:rPr>
        <w:sectPr>
          <w:pgSz w:w="11906" w:h="16838"/>
          <w:pgMar w:top="1525" w:right="1276" w:bottom="1440" w:left="1797" w:header="851" w:footer="992" w:gutter="0"/>
          <w:cols w:space="425"/>
          <w:docGrid w:linePitch="312"/>
        </w:sectPr>
      </w:pPr>
    </w:p>
    <w:p>
      <w:pPr>
        <w:rPr>
          <w:bCs/>
        </w:rPr>
      </w:pPr>
    </w:p>
    <w:p>
      <w:pPr>
        <w:pStyle w:val="Style52"/>
        <w:numPr>
          <w:ilvl w:val="1"/>
          <w:numId w:val="31"/>
        </w:numPr>
        <w:rPr>
          <w:kern w:val="44"/>
          <w:szCs w:val="21"/>
        </w:rPr>
      </w:pPr>
      <w:bookmarkStart w:id="176" w:name="_Toc342566005"/>
      <w:bookmarkStart w:id="177" w:name="_Toc342057945"/>
      <w:r>
        <w:rPr>
          <w:rFonts w:hint="eastAsia"/>
          <w:kern w:val="44"/>
          <w:szCs w:val="21"/>
        </w:rPr>
        <w:t>董事、高级管理人员报告期内被授予的股权激励情况</w:t>
      </w:r>
      <w:bookmarkEnd w:id="176"/>
      <w:bookmarkEnd w:id="177"/>
    </w:p>
    <w:p>
      <w:pPr>
        <w:pStyle w:val="Style49"/>
      </w:pPr>
      <w:r>
        <w:rPr>
          <w:rFonts w:hint="eastAsia"/>
        </w:rPr>
        <w:t>董事、高级管理人员报告期内被授予的股票期权情况</w:t>
      </w:r>
    </w:p>
    <w:p>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874661619"/>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bookmarkStart w:id="178" w:name="_Hlk56780992"/>
    </w:p>
    <w:p>
      <w:pPr>
        <w:kinsoku w:val="0"/>
        <w:overflowPunct w:val="0"/>
        <w:autoSpaceDE w:val="0"/>
        <w:autoSpaceDN w:val="0"/>
        <w:adjustRightInd w:val="0"/>
        <w:snapToGrid w:val="0"/>
      </w:pPr>
    </w:p>
    <w:p>
      <w:pPr>
        <w:pStyle w:val="Style49"/>
      </w:pPr>
      <w:r>
        <w:rPr>
          <w:rFonts w:hint="eastAsia"/>
        </w:rPr>
        <w:t>董事、高级管理人员报告期内被授予的限制性股票情况</w:t>
      </w:r>
    </w:p>
    <w:p>
      <w:pPr>
        <w:kinsoku w:val="0"/>
        <w:overflowPunct w:val="0"/>
        <w:autoSpaceDE w:val="0"/>
        <w:autoSpaceDN w:val="0"/>
        <w:adjustRightInd w:val="0"/>
        <w:snapToGrid w:val="0"/>
        <w:rPr>
          <w:color w:val="0000FF"/>
        </w:rPr>
      </w:pPr>
    </w:p>
    <w:p>
      <w:pPr>
        <w:kinsoku w:val="0"/>
        <w:overflowPunct w:val="0"/>
        <w:autoSpaceDE w:val="0"/>
        <w:autoSpaceDN w:val="0"/>
        <w:adjustRightInd w:val="0"/>
        <w:snapToGrid w:val="0"/>
        <w:rPr>
          <w:color w:val="0000FF"/>
        </w:rPr>
      </w:pPr>
    </w:p>
    <w:sdt>
      <w:sdtPr>
        <w:rPr>
          <w:rFonts w:hint="eastAsia"/>
        </w:rPr>
        <w:alias w:val="是否适用：董事、监事、高级管理人员报告期内被授予的限制性股票激励情况[双击切换]"/>
        <w:tag w:val="_GBC_fab645ff85b74c30b698dafe2aa5cba6"/>
        <w:id w:val="453986480"/>
        <w:placeholder>
          <w:docPart w:val="B97563B66DDD4203ABEE4EC3913C04AC"/>
        </w:placeholder>
      </w:sdtPr>
      <w:sdtContent>
        <w:p>
          <w:pPr>
            <w:kinsoku w:val="0"/>
            <w:overflowPunct w:val="0"/>
            <w:autoSpaceDE w:val="0"/>
            <w:autoSpaceDN w:val="0"/>
            <w:adjustRightInd w:val="0"/>
            <w:snapToGrid w:val="0"/>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kinsoku w:val="0"/>
        <w:overflowPunct w:val="0"/>
        <w:autoSpaceDE w:val="0"/>
        <w:autoSpaceDN w:val="0"/>
        <w:adjustRightInd w:val="0"/>
        <w:snapToGrid w:val="0"/>
        <w:jc w:val="right"/>
      </w:pPr>
      <w:r>
        <w:rPr>
          <w:rFonts w:hint="eastAsia"/>
        </w:rPr>
        <w:t>单位：</w:t>
      </w:r>
      <w:sdt>
        <w:sdtPr>
          <w:rPr>
            <w:rFonts w:hint="eastAsia"/>
          </w:rPr>
          <w:alias w:val="单位：董事、监事、高级管理人员报告期内被授予的股权激励情况"/>
          <w:tag w:val="_GBC_fd6c88cda94949d6a3e4b29026628a1d"/>
          <w:id w:val="-811337957"/>
          <w:placeholder>
            <w:docPart w:val="B97563B66DDD4203ABEE4EC3913C04AC"/>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万股</w:t>
          </w:r>
        </w:sdtContent>
      </w:sdt>
    </w:p>
    <w:tbl>
      <w:tblPr>
        <w:tblStyle w:val="aff4"/>
        <w:tblW w:w="13887" w:type="dxa"/>
        <w:tblLayout w:type="fixed"/>
        <w:tblLook w:val="04A0" w:firstRow="1" w:lastRow="0" w:firstColumn="1" w:lastColumn="0" w:noHBand="0" w:noVBand="1"/>
      </w:tblPr>
      <w:tblGrid>
        <w:gridCol w:w="1129"/>
        <w:gridCol w:w="2835"/>
        <w:gridCol w:w="1276"/>
        <w:gridCol w:w="992"/>
        <w:gridCol w:w="1276"/>
        <w:gridCol w:w="1701"/>
        <w:gridCol w:w="1276"/>
        <w:gridCol w:w="1276"/>
        <w:gridCol w:w="1275"/>
        <w:gridCol w:w="851"/>
      </w:tblGrid>
      <w:tr>
        <w:sdt>
          <w:sdtPr>
            <w:tag w:val="_PLD_c9bbc87e326c4f249ca30ca583c2371e"/>
            <w:id w:val="1004560930"/>
          </w:sdtPr>
          <w:sdtContent>
            <w:tc>
              <w:tcPr>
                <w:tcW w:w="1129" w:type="dxa"/>
                <w:vAlign w:val="center"/>
              </w:tcPr>
              <w:p>
                <w:pPr>
                  <w:kinsoku w:val="0"/>
                  <w:overflowPunct w:val="0"/>
                  <w:autoSpaceDE w:val="0"/>
                  <w:autoSpaceDN w:val="0"/>
                  <w:adjustRightInd w:val="0"/>
                  <w:snapToGrid w:val="0"/>
                  <w:jc w:val="center"/>
                </w:pPr>
                <w:r>
                  <w:rPr>
                    <w:rFonts w:hint="eastAsia"/>
                  </w:rPr>
                  <w:t>姓名</w:t>
                </w:r>
              </w:p>
            </w:tc>
          </w:sdtContent>
        </w:sdt>
        <w:sdt>
          <w:sdtPr>
            <w:tag w:val="_PLD_0f5c9d3a544444b980080b1d8d4d85eb"/>
            <w:id w:val="212243434"/>
          </w:sdtPr>
          <w:sdtContent>
            <w:tc>
              <w:tcPr>
                <w:tcW w:w="2835" w:type="dxa"/>
                <w:vAlign w:val="center"/>
              </w:tcPr>
              <w:p>
                <w:pPr>
                  <w:kinsoku w:val="0"/>
                  <w:overflowPunct w:val="0"/>
                  <w:autoSpaceDE w:val="0"/>
                  <w:autoSpaceDN w:val="0"/>
                  <w:adjustRightInd w:val="0"/>
                  <w:snapToGrid w:val="0"/>
                  <w:jc w:val="center"/>
                </w:pPr>
                <w:r>
                  <w:rPr>
                    <w:rFonts w:hint="eastAsia"/>
                  </w:rPr>
                  <w:t>职务</w:t>
                </w:r>
              </w:p>
            </w:tc>
          </w:sdtContent>
        </w:sdt>
        <w:sdt>
          <w:sdtPr>
            <w:tag w:val="_PLD_bc6ad7db9a354aa8970b23561b28ee9a"/>
            <w:id w:val="-797602895"/>
          </w:sdtPr>
          <w:sdtContent>
            <w:tc>
              <w:tcPr>
                <w:tcW w:w="1276" w:type="dxa"/>
                <w:vAlign w:val="center"/>
              </w:tcPr>
              <w:p>
                <w:pPr>
                  <w:kinsoku w:val="0"/>
                  <w:overflowPunct w:val="0"/>
                  <w:autoSpaceDE w:val="0"/>
                  <w:autoSpaceDN w:val="0"/>
                  <w:adjustRightInd w:val="0"/>
                  <w:snapToGrid w:val="0"/>
                  <w:jc w:val="center"/>
                </w:pPr>
                <w:r>
                  <w:rPr>
                    <w:rFonts w:hint="eastAsia"/>
                  </w:rPr>
                  <w:t>年</w:t>
                </w:r>
                <w:r>
                  <w:t>初持有限制性股票数量</w:t>
                </w:r>
              </w:p>
            </w:tc>
          </w:sdtContent>
        </w:sdt>
        <w:sdt>
          <w:sdtPr>
            <w:tag w:val="_PLD_e9aed798fa4f41c8983f815df23bfc9e"/>
            <w:id w:val="1350918386"/>
          </w:sdtPr>
          <w:sdtContent>
            <w:tc>
              <w:tcPr>
                <w:tcW w:w="992" w:type="dxa"/>
                <w:vAlign w:val="center"/>
              </w:tcPr>
              <w:p>
                <w:pPr>
                  <w:kinsoku w:val="0"/>
                  <w:overflowPunct w:val="0"/>
                  <w:autoSpaceDE w:val="0"/>
                  <w:autoSpaceDN w:val="0"/>
                  <w:adjustRightInd w:val="0"/>
                  <w:snapToGrid w:val="0"/>
                  <w:jc w:val="center"/>
                </w:pPr>
                <w:r>
                  <w:t>报告期新授予限制性股票数量</w:t>
                </w:r>
              </w:p>
            </w:tc>
          </w:sdtContent>
        </w:sdt>
        <w:sdt>
          <w:sdtPr>
            <w:tag w:val="_PLD_303c7257ef864533a238566b9850dc2b"/>
            <w:id w:val="1987512572"/>
          </w:sdtPr>
          <w:sdtContent>
            <w:tc>
              <w:tcPr>
                <w:tcW w:w="1276" w:type="dxa"/>
                <w:vAlign w:val="center"/>
              </w:tcPr>
              <w:p>
                <w:pPr>
                  <w:kinsoku w:val="0"/>
                  <w:overflowPunct w:val="0"/>
                  <w:autoSpaceDE w:val="0"/>
                  <w:autoSpaceDN w:val="0"/>
                  <w:adjustRightInd w:val="0"/>
                  <w:snapToGrid w:val="0"/>
                  <w:jc w:val="center"/>
                </w:pPr>
                <w:r>
                  <w:t>限制性股票的授予价格</w:t>
                </w:r>
              </w:p>
              <w:p>
                <w:pPr>
                  <w:kinsoku w:val="0"/>
                  <w:overflowPunct w:val="0"/>
                  <w:autoSpaceDE w:val="0"/>
                  <w:autoSpaceDN w:val="0"/>
                  <w:adjustRightInd w:val="0"/>
                  <w:snapToGrid w:val="0"/>
                  <w:jc w:val="center"/>
                </w:pPr>
                <w:r>
                  <w:t>（元）</w:t>
                </w:r>
              </w:p>
            </w:tc>
          </w:sdtContent>
        </w:sdt>
        <w:tc>
          <w:tcPr>
            <w:tcW w:w="1701" w:type="dxa"/>
            <w:vAlign w:val="center"/>
          </w:tcPr>
          <w:p>
            <w:pPr>
              <w:kinsoku w:val="0"/>
              <w:overflowPunct w:val="0"/>
              <w:autoSpaceDE w:val="0"/>
              <w:autoSpaceDN w:val="0"/>
              <w:adjustRightInd w:val="0"/>
              <w:snapToGrid w:val="0"/>
              <w:jc w:val="center"/>
            </w:pPr>
            <w:r>
              <w:t>报告期内失效</w:t>
            </w:r>
            <w:r>
              <w:t>(</w:t>
            </w:r>
            <w:r>
              <w:t>注销</w:t>
            </w:r>
            <w:r>
              <w:t>)</w:t>
            </w:r>
            <w:r>
              <w:t>的限制性股票数量</w:t>
            </w:r>
          </w:p>
          <w:p>
            <w:pPr>
              <w:kinsoku w:val="0"/>
              <w:overflowPunct w:val="0"/>
              <w:autoSpaceDE w:val="0"/>
              <w:autoSpaceDN w:val="0"/>
              <w:adjustRightInd w:val="0"/>
              <w:snapToGrid w:val="0"/>
              <w:jc w:val="center"/>
            </w:pPr>
          </w:p>
        </w:tc>
        <w:sdt>
          <w:sdtPr>
            <w:tag w:val="_PLD_aadbcbfa95d44aae8fb08edd516c6c4d"/>
            <w:id w:val="-426971267"/>
          </w:sdtPr>
          <w:sdtContent>
            <w:tc>
              <w:tcPr>
                <w:tcW w:w="1276" w:type="dxa"/>
                <w:vAlign w:val="center"/>
              </w:tcPr>
              <w:p>
                <w:pPr>
                  <w:kinsoku w:val="0"/>
                  <w:overflowPunct w:val="0"/>
                  <w:autoSpaceDE w:val="0"/>
                  <w:autoSpaceDN w:val="0"/>
                  <w:adjustRightInd w:val="0"/>
                  <w:snapToGrid w:val="0"/>
                  <w:jc w:val="center"/>
                </w:pPr>
                <w:r>
                  <w:t>已解锁股份</w:t>
                </w:r>
              </w:p>
            </w:tc>
          </w:sdtContent>
        </w:sdt>
        <w:sdt>
          <w:sdtPr>
            <w:tag w:val="_PLD_63c4030dc8754c0bb4fe02ea53b33c48"/>
            <w:id w:val="221026073"/>
          </w:sdtPr>
          <w:sdtContent>
            <w:tc>
              <w:tcPr>
                <w:tcW w:w="1276" w:type="dxa"/>
                <w:vAlign w:val="center"/>
              </w:tcPr>
              <w:p>
                <w:pPr>
                  <w:kinsoku w:val="0"/>
                  <w:overflowPunct w:val="0"/>
                  <w:autoSpaceDE w:val="0"/>
                  <w:autoSpaceDN w:val="0"/>
                  <w:adjustRightInd w:val="0"/>
                  <w:snapToGrid w:val="0"/>
                  <w:jc w:val="center"/>
                </w:pPr>
                <w:r>
                  <w:t>未解锁股份</w:t>
                </w:r>
              </w:p>
            </w:tc>
          </w:sdtContent>
        </w:sdt>
        <w:sdt>
          <w:sdtPr>
            <w:tag w:val="_PLD_8bd0578e24f24186a40ea12feaed00ee"/>
            <w:id w:val="-308634010"/>
          </w:sdtPr>
          <w:sdtContent>
            <w:tc>
              <w:tcPr>
                <w:tcW w:w="1275" w:type="dxa"/>
                <w:vAlign w:val="center"/>
              </w:tcPr>
              <w:p>
                <w:pPr>
                  <w:kinsoku w:val="0"/>
                  <w:overflowPunct w:val="0"/>
                  <w:autoSpaceDE w:val="0"/>
                  <w:autoSpaceDN w:val="0"/>
                  <w:adjustRightInd w:val="0"/>
                  <w:snapToGrid w:val="0"/>
                  <w:jc w:val="center"/>
                </w:pPr>
                <w:r>
                  <w:t>期末持有限制性股票数量</w:t>
                </w:r>
              </w:p>
            </w:tc>
          </w:sdtContent>
        </w:sdt>
        <w:sdt>
          <w:sdtPr>
            <w:tag w:val="_PLD_187f1fb43a3442bc943be5430b7104ae"/>
            <w:id w:val="86820337"/>
          </w:sdtPr>
          <w:sdtContent>
            <w:tc>
              <w:tcPr>
                <w:tcW w:w="851" w:type="dxa"/>
                <w:vAlign w:val="center"/>
              </w:tcPr>
              <w:p>
                <w:pPr>
                  <w:kinsoku w:val="0"/>
                  <w:overflowPunct w:val="0"/>
                  <w:autoSpaceDE w:val="0"/>
                  <w:autoSpaceDN w:val="0"/>
                  <w:adjustRightInd w:val="0"/>
                  <w:snapToGrid w:val="0"/>
                  <w:jc w:val="center"/>
                </w:pPr>
                <w:r>
                  <w:t>报告期末市价（元）</w:t>
                </w:r>
              </w:p>
            </w:tc>
          </w:sdtContent>
        </w:sdt>
      </w:tr>
      <w:sdt>
        <w:sdtPr>
          <w:rPr>
            <w:rFonts w:asciiTheme="minorEastAsia" w:eastAsiaTheme="minorEastAsia" w:hAnsiTheme="minorEastAsia" w:cstheme="minorBidi"/>
            <w:kern w:val="2"/>
            <w14:ligatures w14:val="standardContextual"/>
          </w:rPr>
          <w:alias w:val="董事、监事、高级管理人员被授予限制性股票情况明细"/>
          <w:tag w:val="_TUP_b1a09088941b4f1094f27fc94a5b06e6"/>
          <w:id w:val="1482435003"/>
          <w:placeholder>
            <w:docPart w:val="B502CFA585D84E91B303841F579AE7BD"/>
          </w:placeholder>
        </w:sdtPr>
        <w:sdtContent>
          <w:tr>
            <w:tc>
              <w:tcPr>
                <w:tcW w:w="1129" w:type="dxa"/>
                <w:vAlign w:val="center"/>
              </w:tcPr>
              <w:p>
                <w:pPr>
                  <w:kinsoku w:val="0"/>
                  <w:overflowPunct w:val="0"/>
                  <w:autoSpaceDE w:val="0"/>
                  <w:autoSpaceDN w:val="0"/>
                  <w:adjustRightInd w:val="0"/>
                  <w:snapToGrid w:val="0"/>
                  <w:rPr>
                    <w:rFonts w:asciiTheme="minorEastAsia" w:eastAsiaTheme="minorEastAsia" w:hAnsiTheme="minorEastAsia" w:cstheme="minorBidi"/>
                    <w:kern w:val="2"/>
                  </w:rPr>
                </w:pPr>
                <w:r>
                  <w:rPr>
                    <w:rFonts w:asciiTheme="minorEastAsia" w:eastAsiaTheme="minorEastAsia" w:hAnsiTheme="minorEastAsia" w:cstheme="minorBidi" w:hint="eastAsia"/>
                    <w:kern w:val="2"/>
                    <w14:ligatures w14:val="standardContextual"/>
                  </w:rPr>
                  <w:t>王九红</w:t>
                </w:r>
              </w:p>
            </w:tc>
            <w:tc>
              <w:tcPr>
                <w:tcW w:w="2835" w:type="dxa"/>
                <w:vAlign w:val="center"/>
              </w:tcPr>
              <w:p>
                <w:pPr>
                  <w:kinsoku w:val="0"/>
                  <w:overflowPunct w:val="0"/>
                  <w:autoSpaceDE w:val="0"/>
                  <w:autoSpaceDN w:val="0"/>
                  <w:adjustRightInd w:val="0"/>
                  <w:snapToGrid w:val="0"/>
                  <w:rPr>
                    <w:rFonts w:asciiTheme="minorEastAsia" w:eastAsiaTheme="minorEastAsia" w:hAnsiTheme="minorEastAsia"/>
                  </w:rPr>
                </w:pPr>
                <w:r>
                  <w:rPr>
                    <w:rFonts w:asciiTheme="minorEastAsia" w:eastAsiaTheme="minorEastAsia" w:hAnsiTheme="minorEastAsia" w:hint="eastAsia"/>
                  </w:rPr>
                  <w:t>党委书记、董事、总经理</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10.452</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11.72</w:t>
                </w:r>
              </w:p>
            </w:tc>
            <w:sdt>
              <w:sdtPr>
                <w:rPr>
                  <w:rFonts w:asciiTheme="minorEastAsia" w:eastAsiaTheme="minorEastAsia" w:hAnsiTheme="minorEastAsia"/>
                  <w:sz w:val="20"/>
                  <w:szCs w:val="20"/>
                </w:rPr>
                <w:alias w:val="报告期内失效(注销)的限制性股票数量"/>
                <w:tag w:val="_GBC_ca46bd56069f42938baf6635a6d66186"/>
                <w:id w:val="326259929"/>
              </w:sdtPr>
              <w:sdtContent>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sdtContent>
            </w:sdt>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5.148</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5.304</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5.304</w:t>
                </w:r>
              </w:p>
            </w:tc>
            <w:tc>
              <w:tcPr>
                <w:tcW w:w="85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13.15</w:t>
                </w:r>
              </w:p>
            </w:tc>
          </w:tr>
        </w:sdtContent>
      </w:sdt>
      <w:sdt>
        <w:sdtPr>
          <w:rPr>
            <w:rFonts w:asciiTheme="minorEastAsia" w:eastAsiaTheme="minorEastAsia" w:hAnsiTheme="minorEastAsia" w:cstheme="minorBidi"/>
            <w:kern w:val="2"/>
            <w14:ligatures w14:val="standardContextual"/>
          </w:rPr>
          <w:alias w:val="董事、监事、高级管理人员被授予限制性股票情况明细"/>
          <w:tag w:val="_TUP_b1a09088941b4f1094f27fc94a5b06e6"/>
          <w:id w:val="-443158134"/>
          <w:placeholder>
            <w:docPart w:val="29B5B6D3F1A44C8F9CD94987E3A04EA2"/>
          </w:placeholder>
        </w:sdtPr>
        <w:sdtContent>
          <w:tr>
            <w:tc>
              <w:tcPr>
                <w:tcW w:w="1129" w:type="dxa"/>
                <w:vAlign w:val="center"/>
              </w:tcPr>
              <w:p>
                <w:pPr>
                  <w:kinsoku w:val="0"/>
                  <w:overflowPunct w:val="0"/>
                  <w:autoSpaceDE w:val="0"/>
                  <w:autoSpaceDN w:val="0"/>
                  <w:adjustRightInd w:val="0"/>
                  <w:snapToGrid w:val="0"/>
                  <w:rPr>
                    <w:rFonts w:asciiTheme="minorEastAsia" w:eastAsiaTheme="minorEastAsia" w:hAnsiTheme="minorEastAsia" w:cstheme="minorBidi"/>
                    <w:kern w:val="2"/>
                  </w:rPr>
                </w:pPr>
                <w:r>
                  <w:rPr>
                    <w:rFonts w:asciiTheme="minorEastAsia" w:eastAsiaTheme="minorEastAsia" w:hAnsiTheme="minorEastAsia" w:cstheme="minorBidi" w:hint="eastAsia"/>
                    <w:kern w:val="2"/>
                    <w14:ligatures w14:val="standardContextual"/>
                  </w:rPr>
                  <w:t>康  丹</w:t>
                </w:r>
              </w:p>
            </w:tc>
            <w:tc>
              <w:tcPr>
                <w:tcW w:w="2835" w:type="dxa"/>
                <w:vAlign w:val="center"/>
              </w:tcPr>
              <w:p>
                <w:pPr>
                  <w:kinsoku w:val="0"/>
                  <w:overflowPunct w:val="0"/>
                  <w:autoSpaceDE w:val="0"/>
                  <w:autoSpaceDN w:val="0"/>
                  <w:adjustRightInd w:val="0"/>
                  <w:snapToGrid w:val="0"/>
                  <w:rPr>
                    <w:rFonts w:asciiTheme="minorEastAsia" w:eastAsiaTheme="minorEastAsia" w:hAnsiTheme="minorEastAsia"/>
                  </w:rPr>
                </w:pPr>
                <w:r>
                  <w:rPr>
                    <w:rFonts w:asciiTheme="minorEastAsia" w:eastAsiaTheme="minorEastAsia" w:hAnsiTheme="minorEastAsia" w:hint="eastAsia"/>
                    <w:color w:val="000000"/>
                  </w:rPr>
                  <w:t>党委委员、副总经理</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10.452</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11.72</w:t>
                </w:r>
              </w:p>
            </w:tc>
            <w:sdt>
              <w:sdtPr>
                <w:rPr>
                  <w:rFonts w:asciiTheme="minorEastAsia" w:eastAsiaTheme="minorEastAsia" w:hAnsiTheme="minorEastAsia"/>
                  <w:sz w:val="20"/>
                  <w:szCs w:val="20"/>
                </w:rPr>
                <w:alias w:val="报告期内失效(注销)的限制性股票数量"/>
                <w:tag w:val="_GBC_ca46bd56069f42938baf6635a6d66186"/>
                <w:id w:val="1013339590"/>
              </w:sdtPr>
              <w:sdtContent>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sdtContent>
            </w:sdt>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5.148</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5.304</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5.304</w:t>
                </w:r>
              </w:p>
            </w:tc>
            <w:tc>
              <w:tcPr>
                <w:tcW w:w="85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13.15</w:t>
                </w:r>
              </w:p>
            </w:tc>
          </w:tr>
        </w:sdtContent>
      </w:sdt>
      <w:tr>
        <w:tc>
          <w:tcPr>
            <w:tcW w:w="1129" w:type="dxa"/>
            <w:vAlign w:val="center"/>
          </w:tcPr>
          <w:p>
            <w:pPr>
              <w:kinsoku w:val="0"/>
              <w:overflowPunct w:val="0"/>
              <w:autoSpaceDE w:val="0"/>
              <w:autoSpaceDN w:val="0"/>
              <w:adjustRightInd w:val="0"/>
              <w:snapToGrid w:val="0"/>
              <w:rPr>
                <w:rFonts w:asciiTheme="minorEastAsia" w:eastAsiaTheme="minorEastAsia" w:hAnsiTheme="minorEastAsia" w:cstheme="minorBidi"/>
                <w:kern w:val="2"/>
              </w:rPr>
            </w:pPr>
            <w:r>
              <w:rPr>
                <w:rFonts w:asciiTheme="minorEastAsia" w:eastAsiaTheme="minorEastAsia" w:hAnsiTheme="minorEastAsia" w:cstheme="minorBidi" w:hint="eastAsia"/>
                <w:kern w:val="2"/>
              </w:rPr>
              <w:t>张照允</w:t>
            </w:r>
          </w:p>
        </w:tc>
        <w:tc>
          <w:tcPr>
            <w:tcW w:w="2835" w:type="dxa"/>
            <w:vAlign w:val="center"/>
          </w:tcPr>
          <w:p>
            <w:pPr>
              <w:kinsoku w:val="0"/>
              <w:overflowPunct w:val="0"/>
              <w:autoSpaceDE w:val="0"/>
              <w:autoSpaceDN w:val="0"/>
              <w:adjustRightInd w:val="0"/>
              <w:snapToGrid w:val="0"/>
              <w:rPr>
                <w:rFonts w:asciiTheme="minorEastAsia" w:eastAsiaTheme="minorEastAsia" w:hAnsiTheme="minorEastAsia"/>
              </w:rPr>
            </w:pPr>
            <w:r>
              <w:rPr>
                <w:rFonts w:asciiTheme="minorEastAsia" w:eastAsiaTheme="minorEastAsia" w:hAnsiTheme="minorEastAsia" w:hint="eastAsia"/>
              </w:rPr>
              <w:t>党委委员、总工程师</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7.839</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11.72</w:t>
            </w:r>
          </w:p>
        </w:tc>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3.861</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3.978</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3.978</w:t>
            </w:r>
          </w:p>
        </w:tc>
        <w:tc>
          <w:tcPr>
            <w:tcW w:w="851" w:type="dxa"/>
            <w:vAlign w:val="center"/>
          </w:tcPr>
          <w:p>
            <w:pPr>
              <w:kinsoku w:val="0"/>
              <w:overflowPunct w:val="0"/>
              <w:autoSpaceDE w:val="0"/>
              <w:autoSpaceDN w:val="0"/>
              <w:adjustRightInd w:val="0"/>
              <w:snapToGrid w:val="0"/>
              <w:jc w:val="right"/>
              <w:rPr>
                <w:rFonts w:asciiTheme="minorEastAsia" w:eastAsiaTheme="minorEastAsia" w:hAnsiTheme="minorEastAsia" w:cstheme="minorBidi"/>
                <w:kern w:val="2"/>
              </w:rPr>
            </w:pPr>
            <w:r>
              <w:rPr>
                <w:rFonts w:asciiTheme="minorEastAsia" w:eastAsiaTheme="minorEastAsia" w:hAnsiTheme="minorEastAsia" w:cstheme="minorBidi"/>
                <w:kern w:val="2"/>
              </w:rPr>
              <w:t>13.15</w:t>
            </w:r>
          </w:p>
        </w:tc>
      </w:tr>
      <w:tr>
        <w:tc>
          <w:tcPr>
            <w:tcW w:w="1129" w:type="dxa"/>
            <w:vAlign w:val="center"/>
          </w:tcPr>
          <w:p>
            <w:pPr>
              <w:kinsoku w:val="0"/>
              <w:overflowPunct w:val="0"/>
              <w:autoSpaceDE w:val="0"/>
              <w:autoSpaceDN w:val="0"/>
              <w:adjustRightInd w:val="0"/>
              <w:snapToGrid w:val="0"/>
              <w:rPr>
                <w:rFonts w:asciiTheme="minorEastAsia" w:eastAsiaTheme="minorEastAsia" w:hAnsiTheme="minorEastAsia" w:cstheme="minorBidi"/>
                <w:kern w:val="2"/>
              </w:rPr>
            </w:pPr>
            <w:r>
              <w:rPr>
                <w:rFonts w:asciiTheme="minorEastAsia" w:eastAsiaTheme="minorEastAsia" w:hAnsiTheme="minorEastAsia" w:cstheme="minorBidi" w:hint="eastAsia"/>
                <w:kern w:val="2"/>
              </w:rPr>
              <w:t>高春雷</w:t>
            </w:r>
          </w:p>
        </w:tc>
        <w:tc>
          <w:tcPr>
            <w:tcW w:w="2835" w:type="dxa"/>
            <w:vAlign w:val="center"/>
          </w:tcPr>
          <w:p>
            <w:pPr>
              <w:kinsoku w:val="0"/>
              <w:overflowPunct w:val="0"/>
              <w:autoSpaceDE w:val="0"/>
              <w:autoSpaceDN w:val="0"/>
              <w:adjustRightInd w:val="0"/>
              <w:snapToGrid w:val="0"/>
              <w:rPr>
                <w:rFonts w:asciiTheme="minorEastAsia" w:eastAsiaTheme="minorEastAsia" w:hAnsiTheme="minorEastAsia"/>
              </w:rPr>
            </w:pPr>
            <w:r>
              <w:rPr>
                <w:rFonts w:asciiTheme="minorEastAsia" w:eastAsiaTheme="minorEastAsia" w:hAnsiTheme="minorEastAsia" w:hint="eastAsia"/>
              </w:rPr>
              <w:t>党委委员、总工程师（化工）</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10.452</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11.72</w:t>
            </w:r>
          </w:p>
        </w:tc>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5.148</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5.304</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5.304</w:t>
            </w:r>
          </w:p>
        </w:tc>
        <w:tc>
          <w:tcPr>
            <w:tcW w:w="851" w:type="dxa"/>
            <w:vAlign w:val="center"/>
          </w:tcPr>
          <w:p>
            <w:pPr>
              <w:kinsoku w:val="0"/>
              <w:overflowPunct w:val="0"/>
              <w:autoSpaceDE w:val="0"/>
              <w:autoSpaceDN w:val="0"/>
              <w:adjustRightInd w:val="0"/>
              <w:snapToGrid w:val="0"/>
              <w:jc w:val="right"/>
              <w:rPr>
                <w:rFonts w:asciiTheme="minorEastAsia" w:eastAsiaTheme="minorEastAsia" w:hAnsiTheme="minorEastAsia" w:cstheme="minorBidi"/>
                <w:kern w:val="2"/>
              </w:rPr>
            </w:pPr>
            <w:r>
              <w:rPr>
                <w:rFonts w:asciiTheme="minorEastAsia" w:eastAsiaTheme="minorEastAsia" w:hAnsiTheme="minorEastAsia" w:cstheme="minorBidi"/>
                <w:kern w:val="2"/>
              </w:rPr>
              <w:t>13.15</w:t>
            </w:r>
          </w:p>
        </w:tc>
      </w:tr>
      <w:tr>
        <w:tc>
          <w:tcPr>
            <w:tcW w:w="1129" w:type="dxa"/>
            <w:vAlign w:val="center"/>
          </w:tcPr>
          <w:p>
            <w:pPr>
              <w:kinsoku w:val="0"/>
              <w:overflowPunct w:val="0"/>
              <w:autoSpaceDE w:val="0"/>
              <w:autoSpaceDN w:val="0"/>
              <w:adjustRightInd w:val="0"/>
              <w:snapToGrid w:val="0"/>
              <w:rPr>
                <w:rFonts w:asciiTheme="minorEastAsia" w:eastAsiaTheme="minorEastAsia" w:hAnsiTheme="minorEastAsia" w:cstheme="minorBidi"/>
                <w:kern w:val="2"/>
              </w:rPr>
            </w:pPr>
            <w:r>
              <w:rPr>
                <w:rFonts w:asciiTheme="minorEastAsia" w:eastAsiaTheme="minorEastAsia" w:hAnsiTheme="minorEastAsia" w:cstheme="minorBidi" w:hint="eastAsia"/>
                <w:kern w:val="2"/>
              </w:rPr>
              <w:t>黄霄龙</w:t>
            </w:r>
          </w:p>
        </w:tc>
        <w:tc>
          <w:tcPr>
            <w:tcW w:w="2835" w:type="dxa"/>
            <w:vAlign w:val="center"/>
          </w:tcPr>
          <w:p>
            <w:pPr>
              <w:kinsoku w:val="0"/>
              <w:overflowPunct w:val="0"/>
              <w:autoSpaceDE w:val="0"/>
              <w:autoSpaceDN w:val="0"/>
              <w:adjustRightInd w:val="0"/>
              <w:snapToGrid w:val="0"/>
              <w:rPr>
                <w:rFonts w:asciiTheme="minorEastAsia" w:eastAsiaTheme="minorEastAsia" w:hAnsiTheme="minorEastAsia"/>
              </w:rPr>
            </w:pPr>
            <w:r>
              <w:rPr>
                <w:rFonts w:asciiTheme="minorEastAsia" w:eastAsiaTheme="minorEastAsia" w:hAnsiTheme="minorEastAsia" w:hint="eastAsia"/>
              </w:rPr>
              <w:t>董事、董事会秘书</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20.904</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11.72</w:t>
            </w:r>
          </w:p>
        </w:tc>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10.296</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10.608</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10.608</w:t>
            </w:r>
          </w:p>
        </w:tc>
        <w:tc>
          <w:tcPr>
            <w:tcW w:w="851" w:type="dxa"/>
            <w:vAlign w:val="center"/>
          </w:tcPr>
          <w:p>
            <w:pPr>
              <w:kinsoku w:val="0"/>
              <w:overflowPunct w:val="0"/>
              <w:autoSpaceDE w:val="0"/>
              <w:autoSpaceDN w:val="0"/>
              <w:adjustRightInd w:val="0"/>
              <w:snapToGrid w:val="0"/>
              <w:jc w:val="right"/>
              <w:rPr>
                <w:rFonts w:asciiTheme="minorEastAsia" w:eastAsiaTheme="minorEastAsia" w:hAnsiTheme="minorEastAsia" w:cstheme="minorBidi"/>
                <w:kern w:val="2"/>
              </w:rPr>
            </w:pPr>
            <w:r>
              <w:rPr>
                <w:rFonts w:asciiTheme="minorEastAsia" w:eastAsiaTheme="minorEastAsia" w:hAnsiTheme="minorEastAsia" w:cstheme="minorBidi"/>
                <w:kern w:val="2"/>
              </w:rPr>
              <w:t>13.15</w:t>
            </w:r>
          </w:p>
        </w:tc>
      </w:tr>
      <w:tr>
        <w:tc>
          <w:tcPr>
            <w:tcW w:w="1129" w:type="dxa"/>
            <w:vAlign w:val="center"/>
          </w:tcPr>
          <w:p>
            <w:pPr>
              <w:kinsoku w:val="0"/>
              <w:overflowPunct w:val="0"/>
              <w:autoSpaceDE w:val="0"/>
              <w:autoSpaceDN w:val="0"/>
              <w:adjustRightInd w:val="0"/>
              <w:snapToGrid w:val="0"/>
              <w:rPr>
                <w:rFonts w:asciiTheme="minorEastAsia" w:eastAsiaTheme="minorEastAsia" w:hAnsiTheme="minorEastAsia" w:cstheme="minorBidi"/>
                <w:kern w:val="2"/>
              </w:rPr>
            </w:pPr>
            <w:r>
              <w:rPr>
                <w:rFonts w:asciiTheme="minorEastAsia" w:eastAsiaTheme="minorEastAsia" w:hAnsiTheme="minorEastAsia" w:cstheme="minorBidi" w:hint="eastAsia"/>
                <w:kern w:val="2"/>
              </w:rPr>
              <w:t>徐长厚</w:t>
            </w:r>
          </w:p>
        </w:tc>
        <w:tc>
          <w:tcPr>
            <w:tcW w:w="2835" w:type="dxa"/>
            <w:vAlign w:val="center"/>
          </w:tcPr>
          <w:p>
            <w:pPr>
              <w:kinsoku w:val="0"/>
              <w:overflowPunct w:val="0"/>
              <w:autoSpaceDE w:val="0"/>
              <w:autoSpaceDN w:val="0"/>
              <w:adjustRightInd w:val="0"/>
              <w:snapToGrid w:val="0"/>
              <w:rPr>
                <w:rFonts w:asciiTheme="minorEastAsia" w:eastAsiaTheme="minorEastAsia" w:hAnsiTheme="minorEastAsia"/>
              </w:rPr>
            </w:pPr>
            <w:r>
              <w:rPr>
                <w:rFonts w:asciiTheme="minorEastAsia" w:eastAsiaTheme="minorEastAsia" w:hAnsiTheme="minorEastAsia" w:hint="eastAsia"/>
              </w:rPr>
              <w:t>副总经理</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7.839</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11.72</w:t>
            </w:r>
          </w:p>
        </w:tc>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3.861</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3.978</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3.978</w:t>
            </w:r>
          </w:p>
        </w:tc>
        <w:tc>
          <w:tcPr>
            <w:tcW w:w="851" w:type="dxa"/>
            <w:vAlign w:val="center"/>
          </w:tcPr>
          <w:p>
            <w:pPr>
              <w:kinsoku w:val="0"/>
              <w:overflowPunct w:val="0"/>
              <w:autoSpaceDE w:val="0"/>
              <w:autoSpaceDN w:val="0"/>
              <w:adjustRightInd w:val="0"/>
              <w:snapToGrid w:val="0"/>
              <w:jc w:val="right"/>
              <w:rPr>
                <w:rFonts w:asciiTheme="minorEastAsia" w:eastAsiaTheme="minorEastAsia" w:hAnsiTheme="minorEastAsia" w:cstheme="minorBidi"/>
                <w:kern w:val="2"/>
              </w:rPr>
            </w:pPr>
            <w:r>
              <w:rPr>
                <w:rFonts w:asciiTheme="minorEastAsia" w:eastAsiaTheme="minorEastAsia" w:hAnsiTheme="minorEastAsia" w:cstheme="minorBidi"/>
                <w:kern w:val="2"/>
              </w:rPr>
              <w:t>13.15</w:t>
            </w:r>
          </w:p>
        </w:tc>
      </w:tr>
      <w:tr>
        <w:tc>
          <w:tcPr>
            <w:tcW w:w="1129" w:type="dxa"/>
            <w:vAlign w:val="center"/>
          </w:tcPr>
          <w:p>
            <w:pPr>
              <w:kinsoku w:val="0"/>
              <w:overflowPunct w:val="0"/>
              <w:autoSpaceDE w:val="0"/>
              <w:autoSpaceDN w:val="0"/>
              <w:adjustRightInd w:val="0"/>
              <w:snapToGrid w:val="0"/>
              <w:rPr>
                <w:rFonts w:asciiTheme="minorEastAsia" w:eastAsiaTheme="minorEastAsia" w:hAnsiTheme="minorEastAsia" w:cstheme="minorBidi"/>
                <w:kern w:val="2"/>
              </w:rPr>
            </w:pPr>
            <w:r>
              <w:rPr>
                <w:rFonts w:asciiTheme="minorEastAsia" w:eastAsiaTheme="minorEastAsia" w:hAnsiTheme="minorEastAsia" w:cstheme="minorBidi" w:hint="eastAsia"/>
                <w:kern w:val="2"/>
              </w:rPr>
              <w:t>齐俊铭</w:t>
            </w:r>
          </w:p>
        </w:tc>
        <w:tc>
          <w:tcPr>
            <w:tcW w:w="2835" w:type="dxa"/>
            <w:vAlign w:val="center"/>
          </w:tcPr>
          <w:p>
            <w:pPr>
              <w:kinsoku w:val="0"/>
              <w:overflowPunct w:val="0"/>
              <w:autoSpaceDE w:val="0"/>
              <w:autoSpaceDN w:val="0"/>
              <w:adjustRightInd w:val="0"/>
              <w:snapToGrid w:val="0"/>
              <w:rPr>
                <w:rFonts w:asciiTheme="minorEastAsia" w:eastAsiaTheme="minorEastAsia" w:hAnsiTheme="minorEastAsia"/>
              </w:rPr>
            </w:pPr>
            <w:r>
              <w:rPr>
                <w:rFonts w:asciiTheme="minorEastAsia" w:eastAsiaTheme="minorEastAsia" w:hAnsiTheme="minorEastAsia" w:hint="eastAsia"/>
              </w:rPr>
              <w:t>安全总监</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10.452</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11.72</w:t>
            </w:r>
          </w:p>
        </w:tc>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5.148</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5.304</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5.304</w:t>
            </w:r>
          </w:p>
        </w:tc>
        <w:tc>
          <w:tcPr>
            <w:tcW w:w="851" w:type="dxa"/>
            <w:vAlign w:val="center"/>
          </w:tcPr>
          <w:p>
            <w:pPr>
              <w:kinsoku w:val="0"/>
              <w:overflowPunct w:val="0"/>
              <w:autoSpaceDE w:val="0"/>
              <w:autoSpaceDN w:val="0"/>
              <w:adjustRightInd w:val="0"/>
              <w:snapToGrid w:val="0"/>
              <w:jc w:val="right"/>
              <w:rPr>
                <w:rFonts w:asciiTheme="minorEastAsia" w:eastAsiaTheme="minorEastAsia" w:hAnsiTheme="minorEastAsia" w:cstheme="minorBidi"/>
                <w:kern w:val="2"/>
              </w:rPr>
            </w:pPr>
            <w:r>
              <w:rPr>
                <w:rFonts w:asciiTheme="minorEastAsia" w:eastAsiaTheme="minorEastAsia" w:hAnsiTheme="minorEastAsia" w:cstheme="minorBidi"/>
                <w:kern w:val="2"/>
              </w:rPr>
              <w:t>13.15</w:t>
            </w:r>
          </w:p>
        </w:tc>
      </w:tr>
      <w:tr>
        <w:tc>
          <w:tcPr>
            <w:tcW w:w="3964" w:type="dxa"/>
            <w:gridSpan w:val="2"/>
            <w:vAlign w:val="center"/>
          </w:tcPr>
          <w:p>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其他人员合计</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7,640.412</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w:t>
            </w:r>
          </w:p>
        </w:tc>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237.9858</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3,635.2602</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3,767.166</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3,767.166</w:t>
            </w:r>
          </w:p>
        </w:tc>
        <w:tc>
          <w:tcPr>
            <w:tcW w:w="851" w:type="dxa"/>
            <w:vAlign w:val="center"/>
          </w:tcPr>
          <w:p>
            <w:pPr>
              <w:kinsoku w:val="0"/>
              <w:overflowPunct w:val="0"/>
              <w:autoSpaceDE w:val="0"/>
              <w:autoSpaceDN w:val="0"/>
              <w:adjustRightInd w:val="0"/>
              <w:snapToGrid w:val="0"/>
              <w:jc w:val="right"/>
              <w:rPr>
                <w:rFonts w:asciiTheme="minorEastAsia" w:eastAsiaTheme="minorEastAsia" w:hAnsiTheme="minorEastAsia" w:cstheme="minorBidi"/>
                <w:kern w:val="2"/>
              </w:rPr>
            </w:pPr>
            <w:r>
              <w:rPr>
                <w:rFonts w:asciiTheme="minorEastAsia" w:eastAsiaTheme="minorEastAsia" w:hAnsiTheme="minorEastAsia" w:cstheme="minorBidi" w:hint="eastAsia"/>
                <w:kern w:val="2"/>
              </w:rPr>
              <w:t>/</w:t>
            </w:r>
          </w:p>
        </w:tc>
      </w:tr>
      <w:tr>
        <w:sdt>
          <w:sdtPr>
            <w:rPr>
              <w:rFonts w:asciiTheme="minorEastAsia" w:eastAsiaTheme="minorEastAsia" w:hAnsiTheme="minorEastAsia"/>
              <w:sz w:val="20"/>
              <w:szCs w:val="20"/>
            </w:rPr>
            <w:tag w:val="_PLD_540edf8df1f74360b174fc69d7525558"/>
            <w:id w:val="1800804752"/>
          </w:sdtPr>
          <w:sdtContent>
            <w:tc>
              <w:tcPr>
                <w:tcW w:w="1129" w:type="dxa"/>
                <w:vAlign w:val="center"/>
              </w:tcPr>
              <w:p>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合计</w:t>
                </w:r>
              </w:p>
            </w:tc>
          </w:sdtContent>
        </w:sdt>
        <w:tc>
          <w:tcPr>
            <w:tcW w:w="2835" w:type="dxa"/>
            <w:vAlign w:val="center"/>
          </w:tcPr>
          <w:p>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7,718.802</w:t>
            </w:r>
          </w:p>
        </w:tc>
        <w:tc>
          <w:tcPr>
            <w:tcW w:w="992"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276" w:type="dxa"/>
            <w:vAlign w:val="center"/>
          </w:tcPr>
          <w:sdt>
            <w:sdtPr>
              <w:rPr>
                <w:rFonts w:asciiTheme="minorEastAsia" w:eastAsiaTheme="minorEastAsia" w:hAnsiTheme="minorEastAsia"/>
                <w:sz w:val="20"/>
                <w:szCs w:val="20"/>
              </w:rPr>
              <w:tag w:val="_PLD_e0377076c060412c83b6192fb037de8a"/>
              <w:id w:val="-160618967"/>
            </w:sdtPr>
            <w:sdtContent>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w:t>
                </w:r>
              </w:p>
            </w:sdtContent>
          </w:sdt>
        </w:tc>
        <w:tc>
          <w:tcPr>
            <w:tcW w:w="1701"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237.9858</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3,673.8702</w:t>
            </w:r>
          </w:p>
        </w:tc>
        <w:tc>
          <w:tcPr>
            <w:tcW w:w="1276"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3,806.946</w:t>
            </w:r>
          </w:p>
        </w:tc>
        <w:tc>
          <w:tcPr>
            <w:tcW w:w="1275" w:type="dxa"/>
            <w:vAlign w:val="center"/>
          </w:tcPr>
          <w:p>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rPr>
              <w:t>3,806.946</w:t>
            </w:r>
          </w:p>
        </w:tc>
        <w:tc>
          <w:tcPr>
            <w:tcW w:w="851" w:type="dxa"/>
            <w:vAlign w:val="center"/>
          </w:tcPr>
          <w:sdt>
            <w:sdtPr>
              <w:rPr>
                <w:rFonts w:asciiTheme="minorEastAsia" w:eastAsiaTheme="minorEastAsia" w:hAnsiTheme="minorEastAsia"/>
                <w:sz w:val="20"/>
                <w:szCs w:val="20"/>
              </w:rPr>
              <w:tag w:val="_PLD_74fe2f294c3e49888059776ae39ddd83"/>
              <w:id w:val="795409139"/>
            </w:sdtPr>
            <w:sdtContent>
              <w:p>
                <w:pPr>
                  <w:jc w:val="right"/>
                  <w:rPr>
                    <w:rFonts w:asciiTheme="minorEastAsia" w:eastAsiaTheme="minorEastAsia" w:hAnsiTheme="minorEastAsia"/>
                  </w:rPr>
                </w:pPr>
                <w:r>
                  <w:rPr>
                    <w:rFonts w:asciiTheme="minorEastAsia" w:eastAsiaTheme="minorEastAsia" w:hAnsiTheme="minorEastAsia" w:hint="eastAsia"/>
                  </w:rPr>
                  <w:t>/</w:t>
                </w:r>
              </w:p>
            </w:sdtContent>
          </w:sdt>
        </w:tc>
      </w:tr>
    </w:tbl>
    <w:p>
      <w:pPr>
        <w:pStyle w:val="Style93"/>
      </w:pPr>
    </w:p>
    <w:p>
      <w:pPr>
        <w:pStyle w:val="Style93"/>
      </w:pPr>
    </w:p>
    <w:p>
      <w:pPr>
        <w:kinsoku w:val="0"/>
        <w:overflowPunct w:val="0"/>
        <w:autoSpaceDE w:val="0"/>
        <w:autoSpaceDN w:val="0"/>
        <w:adjustRightInd w:val="0"/>
        <w:snapToGrid w:val="0"/>
        <w:ind w:firstLineChars="200" w:firstLine="420"/>
      </w:pPr>
      <w:r>
        <w:rPr>
          <w:rFonts w:hint="eastAsia"/>
        </w:rPr>
        <w:t>注：</w:t>
      </w:r>
    </w:p>
    <w:p>
      <w:pPr>
        <w:kinsoku w:val="0"/>
        <w:overflowPunct w:val="0"/>
        <w:autoSpaceDE w:val="0"/>
        <w:autoSpaceDN w:val="0"/>
        <w:adjustRightInd w:val="0"/>
        <w:snapToGrid w:val="0"/>
        <w:ind w:firstLineChars="200" w:firstLine="420"/>
      </w:pPr>
      <w:r>
        <w:rPr>
          <w:rFonts w:ascii="宋体" w:hAnsi="宋体" w:hint="eastAsia"/>
        </w:rPr>
        <w:t>①上表根据本报告披露日公司董事、高级管理人员任职情况填列。</w:t>
      </w:r>
    </w:p>
    <w:p>
      <w:pPr>
        <w:kinsoku w:val="0"/>
        <w:overflowPunct w:val="0"/>
        <w:autoSpaceDE w:val="0"/>
        <w:autoSpaceDN w:val="0"/>
        <w:adjustRightInd w:val="0"/>
        <w:snapToGrid w:val="0"/>
        <w:ind w:firstLineChars="200" w:firstLine="420"/>
        <w:jc w:val="both"/>
        <w:rPr>
          <w:rFonts w:ascii="宋体" w:hAnsi="宋体"/>
        </w:rPr>
      </w:pPr>
      <w:r>
        <w:rPr>
          <w:rFonts w:ascii="宋体" w:hAnsi="宋体" w:hint="eastAsia"/>
        </w:rPr>
        <w:t>②根据公司限制性股票激励计划，表内各激励对象于2022年1月27日获授全部未解锁的限制性股票，紧接该等限制性股票授出日期之前的收盘价为人民币22.06元(除权除息前价格)。</w:t>
      </w:r>
    </w:p>
    <w:p>
      <w:pPr>
        <w:kinsoku w:val="0"/>
        <w:overflowPunct w:val="0"/>
        <w:autoSpaceDE w:val="0"/>
        <w:autoSpaceDN w:val="0"/>
        <w:adjustRightInd w:val="0"/>
        <w:snapToGrid w:val="0"/>
        <w:ind w:firstLineChars="200" w:firstLine="420"/>
        <w:jc w:val="both"/>
        <w:rPr>
          <w:rFonts w:ascii="宋体" w:hAnsi="宋体"/>
        </w:rPr>
      </w:pPr>
      <w:r>
        <w:rPr>
          <w:rFonts w:ascii="宋体" w:hAnsi="宋体" w:hint="eastAsia"/>
        </w:rPr>
        <w:lastRenderedPageBreak/>
        <w:t>③41名激励对象因职务调动等原因，公司回购注销其已获授但未解除限售的限制性股票237.986万股，详见本节“限制性股票激励计划摘要”之“（二）历次调整情况”。</w:t>
      </w:r>
    </w:p>
    <w:p>
      <w:pPr>
        <w:kinsoku w:val="0"/>
        <w:overflowPunct w:val="0"/>
        <w:autoSpaceDE w:val="0"/>
        <w:autoSpaceDN w:val="0"/>
        <w:adjustRightInd w:val="0"/>
        <w:snapToGrid w:val="0"/>
        <w:ind w:firstLineChars="200" w:firstLine="420"/>
        <w:jc w:val="both"/>
        <w:rPr>
          <w:rFonts w:ascii="宋体" w:hAnsi="宋体"/>
        </w:rPr>
      </w:pPr>
      <w:r>
        <w:rPr>
          <w:rFonts w:ascii="宋体" w:hAnsi="宋体" w:hint="eastAsia"/>
        </w:rPr>
        <w:t>④有关获授限制性股票的解锁期，详见本节“限制性股票激励计划摘要”之“7.解除限售安排”。</w:t>
      </w:r>
    </w:p>
    <w:p>
      <w:pPr>
        <w:kinsoku w:val="0"/>
        <w:overflowPunct w:val="0"/>
        <w:autoSpaceDE w:val="0"/>
        <w:autoSpaceDN w:val="0"/>
        <w:adjustRightInd w:val="0"/>
        <w:snapToGrid w:val="0"/>
        <w:ind w:firstLineChars="200" w:firstLine="420"/>
        <w:jc w:val="both"/>
        <w:rPr>
          <w:rFonts w:ascii="宋体" w:hAnsi="宋体"/>
        </w:rPr>
      </w:pPr>
      <w:r>
        <w:rPr>
          <w:rFonts w:ascii="宋体" w:hAnsi="宋体" w:hint="eastAsia"/>
        </w:rPr>
        <w:t>⑤有关获授限制性股票的考核目标以限制性股票激励计划中规定的各解除限售期所对应的业绩考核条件为准，详情请见本公司于2022年1月12日刊发的通函。</w:t>
      </w:r>
    </w:p>
    <w:p>
      <w:pPr>
        <w:kinsoku w:val="0"/>
        <w:overflowPunct w:val="0"/>
        <w:autoSpaceDE w:val="0"/>
        <w:autoSpaceDN w:val="0"/>
        <w:adjustRightInd w:val="0"/>
        <w:snapToGrid w:val="0"/>
        <w:ind w:firstLineChars="200" w:firstLine="420"/>
        <w:jc w:val="both"/>
        <w:rPr>
          <w:rFonts w:ascii="宋体" w:hAnsi="宋体"/>
        </w:rPr>
      </w:pPr>
      <w:r>
        <w:rPr>
          <w:rFonts w:ascii="宋体" w:hAnsi="宋体" w:hint="eastAsia"/>
        </w:rPr>
        <w:t>2025年开始及结束时，可以根据本公司所有股权激励计划授权授出的限制性股票数目为0。报告期内，可以就所有股权激励计划授出的限制性股票而发行的股份数目为0，除以该期间已发行的A股股份总数的加权平均数为0%。</w:t>
      </w:r>
    </w:p>
    <w:p>
      <w:pPr>
        <w:sectPr>
          <w:pgSz w:w="16838" w:h="11906" w:orient="landscape"/>
          <w:pgMar w:top="1797" w:right="1525" w:bottom="1276" w:left="1440" w:header="851" w:footer="992" w:gutter="0"/>
          <w:cols w:space="425"/>
          <w:docGrid w:linePitch="312"/>
        </w:sectPr>
      </w:pPr>
    </w:p>
    <w:p>
      <w:pPr>
        <w:pStyle w:val="Style49"/>
      </w:pPr>
    </w:p>
    <w:p>
      <w:pPr>
        <w:pStyle w:val="Style52"/>
        <w:numPr>
          <w:ilvl w:val="1"/>
          <w:numId w:val="31"/>
        </w:numPr>
        <w:rPr>
          <w:kern w:val="44"/>
          <w:szCs w:val="21"/>
        </w:rPr>
      </w:pPr>
      <w:bookmarkStart w:id="179" w:name="OLE_LINK25"/>
      <w:bookmarkEnd w:id="178"/>
      <w:r>
        <w:rPr>
          <w:rFonts w:hint="eastAsia"/>
          <w:kern w:val="44"/>
          <w:szCs w:val="21"/>
        </w:rP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134338865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公司对高级管理人员的考评及激励情况"/>
        <w:tag w:val="_GBC_ff8dc93589b2464ba735502bf6a2a8ca"/>
        <w:id w:val="-1574344990"/>
        <w:placeholder>
          <w:docPart w:val="GBC22222222222222222222222222222"/>
        </w:placeholder>
      </w:sdtPr>
      <w:sdtContent>
        <w:p>
          <w:pPr>
            <w:ind w:firstLineChars="200" w:firstLine="420"/>
            <w:jc w:val="both"/>
          </w:pPr>
          <w:r>
            <w:rPr>
              <w:rFonts w:hint="eastAsia"/>
            </w:rPr>
            <w:t>公司在管理层中推行年度薪酬考评及激励机制，使管理层的绩效考评与公司经济效益、经营效果有机结合。公司根据有关经营指标和管理标准直接对高级管理人员的业绩和绩效进行考评、奖惩。公司将根据高级管理人员经营指标完成情况和考评结果，兑现</w:t>
          </w:r>
          <w:r>
            <w:rPr>
              <w:rFonts w:ascii="宋体" w:hAnsi="宋体" w:hint="eastAsia"/>
            </w:rPr>
            <w:t>其2025年</w:t>
          </w:r>
          <w:r>
            <w:rPr>
              <w:rFonts w:hint="eastAsia"/>
            </w:rPr>
            <w:t>度薪酬。</w:t>
          </w:r>
        </w:p>
        <w:p>
          <w:pPr>
            <w:ind w:firstLineChars="200" w:firstLine="420"/>
            <w:jc w:val="both"/>
          </w:pPr>
          <w:r>
            <w:rPr>
              <w:rFonts w:hint="eastAsia"/>
            </w:rPr>
            <w:t>公司实施了限制性股票激励计划，公司严格按照相关考核管理办法，在达成业绩考核指标后，对管理层解除限售。</w:t>
          </w:r>
        </w:p>
      </w:sdtContent>
    </w:sdt>
    <w:bookmarkEnd w:id="179"/>
    <w:p>
      <w:pPr>
        <w:pStyle w:val="Style49"/>
      </w:pPr>
    </w:p>
    <w:p>
      <w:pPr>
        <w:pStyle w:val="Style51"/>
        <w:numPr>
          <w:ilvl w:val="0"/>
          <w:numId w:val="24"/>
        </w:numPr>
      </w:pPr>
      <w:r>
        <w:rPr>
          <w:rFonts w:hint="eastAsia"/>
        </w:rPr>
        <w:t>报告期内的内部控制制度建设及实施情况</w:t>
      </w:r>
    </w:p>
    <w:sdt>
      <w:sdtPr>
        <w:alias w:val="是否适用：报告期内的内部控制制度建设及实施情况[双击切换]"/>
        <w:tag w:val="_GBC_f76747fb26ee47cfb00fc8ad5592b038"/>
        <w:id w:val="96461612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内部控制自我评价报告"/>
        <w:tag w:val="_GBC_7ec2120247b647e18f5670c0a1211280"/>
        <w:id w:val="1511636300"/>
        <w:placeholder>
          <w:docPart w:val="GBC22222222222222222222222222222"/>
        </w:placeholder>
      </w:sdtPr>
      <w:sdtContent>
        <w:sdt>
          <w:sdtPr>
            <w:alias w:val="内部控制自我评价报告"/>
            <w:tag w:val="_GBC_7ec2120247b647e18f5670c0a1211280"/>
            <w:id w:val="-1793814797"/>
          </w:sdtPr>
          <w:sdtEndPr>
            <w:rPr>
              <w:rFonts w:ascii="宋体" w:hAnsi="宋体"/>
            </w:rPr>
          </w:sdtEndPr>
          <w:sdtContent>
            <w:p>
              <w:pPr>
                <w:ind w:firstLineChars="200" w:firstLine="420"/>
                <w:jc w:val="both"/>
                <w:rPr>
                  <w:rFonts w:ascii="宋体" w:hAnsi="宋体"/>
                </w:rPr>
              </w:pPr>
              <w:r>
                <w:rPr>
                  <w:rFonts w:ascii="宋体" w:hAnsi="宋体" w:hint="eastAsia"/>
                </w:rPr>
                <w:t>公司按照上市地监管要求，于2006年制定了《内控体系设计与应用》，建立有效运行的内部控制体系。</w:t>
              </w:r>
            </w:p>
            <w:p>
              <w:pPr>
                <w:ind w:firstLineChars="200" w:firstLine="420"/>
                <w:jc w:val="both"/>
                <w:rPr>
                  <w:rFonts w:ascii="宋体" w:hAnsi="宋体"/>
                </w:rPr>
              </w:pPr>
              <w:r>
                <w:rPr>
                  <w:rFonts w:ascii="宋体" w:hAnsi="宋体" w:hint="eastAsia"/>
                </w:rPr>
                <w:t>公司于2011年按照财政部等五部委联合发布的《企业内部控制基本规范》和《企业内部控制配套指引》及上市地监管要求，在《企业内部控制配套指引》18项指引的基础上，从公司、下属部门及附属公司、业务环节三个层面对内部控制流程和内部控制制度等方面，进一步完善了内部控制体系，建立健全了内部控制制度。</w:t>
              </w:r>
            </w:p>
            <w:p>
              <w:pPr>
                <w:ind w:firstLineChars="200" w:firstLine="420"/>
                <w:jc w:val="both"/>
                <w:rPr>
                  <w:rFonts w:ascii="宋体" w:hAnsi="宋体"/>
                </w:rPr>
              </w:pPr>
              <w:r>
                <w:rPr>
                  <w:rFonts w:ascii="宋体" w:hAnsi="宋体" w:hint="eastAsia"/>
                </w:rPr>
                <w:t>董事会及董事会专门委员会负责内部控制体系的建立健全和有效实施；董事会审计委员会对董事会建立与实施内部控制进行监督；经理层负责组织领导企业内部控制的日常运行。</w:t>
              </w:r>
            </w:p>
            <w:p>
              <w:pPr>
                <w:ind w:firstLineChars="200" w:firstLine="420"/>
                <w:jc w:val="both"/>
                <w:rPr>
                  <w:rFonts w:ascii="宋体" w:hAnsi="宋体"/>
                </w:rPr>
              </w:pPr>
              <w:r>
                <w:rPr>
                  <w:rFonts w:ascii="宋体" w:hAnsi="宋体" w:hint="eastAsia"/>
                </w:rPr>
                <w:t>自2007年起，董事会每年评估一次内部控制体系运行的有效性。公司2026年3月27日召开的第九届董事会第二十二次会议，对2025年度内部控制的有效性进行了评估。董事会评估认为，公司内部控制制度健全，执行有效，未发现本公司存在内部控制设计或执行方面的重大缺陷。</w:t>
              </w:r>
            </w:p>
            <w:p>
              <w:pPr>
                <w:ind w:firstLineChars="200" w:firstLine="420"/>
                <w:jc w:val="both"/>
                <w:rPr>
                  <w:rFonts w:ascii="宋体" w:hAnsi="宋体"/>
                </w:rPr>
              </w:pPr>
              <w:r>
                <w:rPr>
                  <w:rFonts w:ascii="宋体" w:hAnsi="宋体" w:hint="eastAsia"/>
                </w:rPr>
                <w:t>公司内部控制的自我评估报告全文载于上交所网站、香港联交所网站和公司网站。</w:t>
              </w:r>
            </w:p>
            <w:p>
              <w:pPr>
                <w:ind w:firstLineChars="200" w:firstLine="420"/>
                <w:jc w:val="both"/>
                <w:rPr>
                  <w:rFonts w:ascii="宋体" w:hAnsi="宋体"/>
                </w:rPr>
              </w:pPr>
              <w:r>
                <w:rPr>
                  <w:rFonts w:ascii="宋体" w:hAnsi="宋体" w:hint="eastAsia"/>
                </w:rPr>
                <w:t>公司制定了《全面风险管理办法》，搭建了风险（包括环境、社会及管治风险）管理信息化管控平台，建立了完善的风险管控机制。每年在公司及附属公司范围内，通过风险管理信息化管控平台开展风险辨识、风险评估、风险应对、关键风险点监控等全面风险管理工作，并出具《年度风险管理报告》；针对确认的重大风险，制定切合实际的风险管理策略和解决方案，定期对管控情况进行总结，编制重大风险管控报告。通过借助信息化的手段，对重大风险实施精准辨识、多维度风险评估及量化分析、科学应对及定期跟踪评价，实现了对重大风险的全过程闭环管理。</w:t>
              </w:r>
            </w:p>
            <w:p>
              <w:pPr>
                <w:ind w:firstLineChars="200" w:firstLine="420"/>
                <w:jc w:val="both"/>
                <w:rPr>
                  <w:rFonts w:ascii="宋体" w:hAnsi="宋体"/>
                </w:rPr>
              </w:pPr>
              <w:r>
                <w:rPr>
                  <w:rFonts w:ascii="宋体" w:hAnsi="宋体" w:hint="eastAsia"/>
                </w:rPr>
                <w:t>董事会对前述的风险管理及内部监控系统负责，并及时检讨该等制度的有效性（最少每年检讨一次）。董事会已经完成有关检讨，认为本集团的风险管理及内部监控系统有效且足够。董事会进一步阐明前述系统旨在管理而并非消除未能达成业务目标的风险，并且只就不会有重大的失实陈述或损失作出合理而非绝对的保证。</w:t>
              </w:r>
            </w:p>
            <w:p>
              <w:pPr>
                <w:ind w:firstLineChars="200" w:firstLine="420"/>
                <w:jc w:val="both"/>
                <w:rPr>
                  <w:rFonts w:ascii="宋体" w:hAnsi="宋体"/>
                </w:rPr>
              </w:pPr>
              <w:r>
                <w:rPr>
                  <w:rFonts w:ascii="宋体" w:hAnsi="宋体" w:hint="eastAsia"/>
                </w:rPr>
                <w:t>在处理及发布内幕消息方面，本公司已制定《股东、董事、高管及相关内幕信息知情人所持本公司股份及变动管理制度》《信息披露管理制度》《内幕信息知情人登记管理制度》《重大信息内部报告制度》及《信息披露暂缓与豁免管理制度》等内部制度，规定了内幕信息及内幕信息知情人的范围、报告流程、登记备案、禁止行为等内容，严控知情人范围，严防内幕信息泄露。</w:t>
              </w:r>
            </w:p>
          </w:sdtContent>
        </w:sdt>
      </w:sdtContent>
    </w:sdt>
    <w:p>
      <w:pPr>
        <w:pStyle w:val="Style49"/>
      </w:pPr>
    </w:p>
    <w:p>
      <w:pPr>
        <w:tabs>
          <w:tab w:val="left" w:pos="2760"/>
        </w:tabs>
      </w:pPr>
      <w:r>
        <w:rPr>
          <w:rFonts w:hint="eastAsia"/>
        </w:rPr>
        <w:t>报告期内部控制存在重大缺陷情况的说明</w:t>
      </w:r>
    </w:p>
    <w:sdt>
      <w:sdtPr>
        <w:alias w:val="是否适用：报告期内部控制存在重大缺陷情况的说明[双击切换]"/>
        <w:tag w:val="_GBC_cad036bd9fe3409f906985f824010f6a"/>
        <w:id w:val="1749621688"/>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1"/>
        <w:numPr>
          <w:ilvl w:val="0"/>
          <w:numId w:val="24"/>
        </w:numPr>
      </w:pPr>
      <w:r>
        <w:rPr>
          <w:rFonts w:hint="eastAsia"/>
        </w:rPr>
        <w:t>报告期内对子公司的管理控制情况</w:t>
      </w:r>
    </w:p>
    <w:sdt>
      <w:sdtPr>
        <w:rPr>
          <w:rFonts w:hint="eastAsia"/>
        </w:rPr>
        <w:alias w:val="是否适用：报告期内对子公司的管理控制情况[双击切换]"/>
        <w:tag w:val="_GBC_3c41db66329f4aabb0fd91423cfeac3f"/>
        <w:id w:val="-136111215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报告期内对子公司的管理控制情况"/>
        <w:tag w:val="_GBC_c42acb3ad0ff45a1891fd8fa03ee78a2"/>
        <w:id w:val="372884344"/>
        <w:placeholder>
          <w:docPart w:val="GBC22222222222222222222222222222"/>
        </w:placeholder>
      </w:sdtPr>
      <w:sdtContent>
        <w:sdt>
          <w:sdtPr>
            <w:alias w:val="报告期内对子公司的管理控制情况"/>
            <w:tag w:val="_GBC_c42acb3ad0ff45a1891fd8fa03ee78a2"/>
            <w:id w:val="1169985305"/>
          </w:sdtPr>
          <w:sdtContent>
            <w:p>
              <w:pPr>
                <w:ind w:firstLineChars="200" w:firstLine="420"/>
                <w:jc w:val="both"/>
              </w:pPr>
              <w:r>
                <w:rPr>
                  <w:rFonts w:hint="eastAsia"/>
                </w:rPr>
                <w:t>公司通过派驻董事、高级管理人员；规范子公司召开股东会、董事会；建立《重大信息内部报告制度》《专职产权代表管理办法》《关联交易管理办法》等一系列管控制度；以及督导各主体规范建立内控制度等措施对子公司进行有效的管理控制；指导子公司完成监事会改革，由董事会审计委员会或内部审计机构承接原监事会职能，优化法人治理结构。</w:t>
              </w:r>
            </w:p>
            <w:p>
              <w:pPr>
                <w:ind w:firstLineChars="200" w:firstLine="420"/>
                <w:jc w:val="both"/>
              </w:pPr>
              <w:r>
                <w:rPr>
                  <w:rFonts w:hint="eastAsia"/>
                </w:rPr>
                <w:t>报告期内，公司新增子公司主要为西北矿业、兖矿东华装备制造（泰安）有限公司等。上述子公司纳入公司合并报表范围后，与其他子公司同受内部控制管理制度的约束，通过公司治理、</w:t>
              </w:r>
              <w:r>
                <w:rPr>
                  <w:rFonts w:hint="eastAsia"/>
                </w:rPr>
                <w:lastRenderedPageBreak/>
                <w:t>财务管理、风险管理、重大事项管理等方面对子公司实施管理控制，完成业务整合，确保子公司的经营及发展符合公司整体发展战略规划。</w:t>
              </w:r>
            </w:p>
          </w:sdtContent>
        </w:sdt>
      </w:sdtContent>
    </w:sdt>
    <w:p>
      <w:pPr>
        <w:pStyle w:val="Style49"/>
      </w:pPr>
    </w:p>
    <w:p>
      <w:pPr>
        <w:tabs>
          <w:tab w:val="left" w:pos="2760"/>
        </w:tabs>
      </w:pPr>
      <w:bookmarkStart w:id="180" w:name="_Hlk190432193"/>
      <w:r>
        <w:rPr>
          <w:rFonts w:hint="eastAsia"/>
        </w:rPr>
        <w:t>对子公司的管理控制存在异常的风险提示</w:t>
      </w:r>
    </w:p>
    <w:sdt>
      <w:sdtPr>
        <w:rPr>
          <w:rFonts w:hint="eastAsia"/>
        </w:rPr>
        <w:alias w:val="是否适用：对子公司的管理控制存在异常的风险提示[双击切换]"/>
        <w:tag w:val="_GBC_edc1e7805eef4d0d8cc96ae5ea6f3fa6"/>
        <w:id w:val="1230420323"/>
        <w:placeholder>
          <w:docPart w:val="GBC22222222222222222222222222222"/>
        </w:placeholder>
      </w:sdtPr>
      <w:sdtContent>
        <w:p>
          <w:pPr>
            <w:pStyle w:val="Style49"/>
          </w:pPr>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pPr>
        <w:pStyle w:val="Style49"/>
      </w:pPr>
    </w:p>
    <w:bookmarkEnd w:id="180"/>
    <w:p>
      <w:pPr>
        <w:pStyle w:val="Style51"/>
        <w:numPr>
          <w:ilvl w:val="0"/>
          <w:numId w:val="24"/>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172779752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审计报告与公司自我评价意见不一致情况"/>
        <w:tag w:val="_GBC_1abfe1ce3c2044e1a311865463691e52"/>
        <w:id w:val="1534839358"/>
        <w:placeholder>
          <w:docPart w:val="GBC22222222222222222222222222222"/>
        </w:placeholder>
      </w:sdtPr>
      <w:sdtContent>
        <w:sdt>
          <w:sdtPr>
            <w:alias w:val="审计报告与公司自我评价意见不一致情况"/>
            <w:tag w:val="_GBC_1abfe1ce3c2044e1a311865463691e52"/>
            <w:id w:val="253483852"/>
          </w:sdtPr>
          <w:sdtContent>
            <w:p>
              <w:pPr>
                <w:ind w:firstLineChars="200" w:firstLine="420"/>
                <w:jc w:val="both"/>
                <w:rPr>
                  <w:rFonts w:ascii="宋体" w:hAnsi="宋体"/>
                </w:rPr>
              </w:pPr>
              <w:r>
                <w:rPr>
                  <w:rFonts w:ascii="宋体" w:hAnsi="宋体" w:hint="eastAsia"/>
                </w:rPr>
                <w:t>公司自2013年起聘请境内年审会计师，对财务报告内部控制体系建设是否符合境内监管要求及运行的有效性进行评估。</w:t>
              </w:r>
            </w:p>
            <w:p>
              <w:pPr>
                <w:ind w:firstLineChars="200" w:firstLine="420"/>
                <w:jc w:val="both"/>
                <w:rPr>
                  <w:rFonts w:ascii="宋体" w:hAnsi="宋体"/>
                </w:rPr>
              </w:pPr>
              <w:r>
                <w:rPr>
                  <w:rFonts w:ascii="宋体" w:hAnsi="宋体" w:hint="eastAsia"/>
                </w:rPr>
                <w:t>公司聘请天职国际会计师事务所（特殊普通合伙）对公司2025年度财务报告内部控制有效性进行了审核评估，认为公司按照《企业内部控制基本规范》和相关规定在所有重大方面保持了有效的财务报告内部控制。</w:t>
              </w:r>
            </w:p>
            <w:p>
              <w:pPr>
                <w:ind w:firstLineChars="200" w:firstLine="420"/>
                <w:jc w:val="both"/>
                <w:rPr>
                  <w:rFonts w:ascii="宋体" w:hAnsi="宋体"/>
                </w:rPr>
              </w:pPr>
              <w:r>
                <w:rPr>
                  <w:rFonts w:ascii="宋体" w:hAnsi="宋体" w:hint="eastAsia"/>
                </w:rPr>
                <w:t>天职国际会计师事务所（特殊普通合伙）出具的2025年度财务报告内部控制审计报告全文载于上交所网站、香港联交所网站和公司网站。</w:t>
              </w:r>
            </w:p>
            <w:p>
              <w:pPr>
                <w:ind w:firstLineChars="200" w:firstLine="420"/>
              </w:pPr>
            </w:p>
          </w:sdtContent>
        </w:sdt>
      </w:sdtContent>
    </w:sdt>
    <w:p>
      <w:pPr>
        <w:ind w:firstLineChars="200" w:firstLine="420"/>
        <w:jc w:val="both"/>
        <w:rPr>
          <w:rFonts w:ascii="宋体" w:hAnsi="宋体"/>
        </w:rPr>
      </w:pPr>
      <w:r>
        <w:rPr>
          <w:rFonts w:ascii="宋体" w:hAnsi="宋体"/>
        </w:rPr>
        <w:t>是否披露内部控制审计报告：</w:t>
      </w:r>
      <w:sdt>
        <w:sdtPr>
          <w:rPr>
            <w:rFonts w:ascii="宋体" w:hAnsi="宋体"/>
          </w:rPr>
          <w:alias w:val="审计机构是否对公司内部控制出具核实评价意见"/>
          <w:tag w:val="_GBC_c9f332f7c06944ebbd339ca86944d1e2"/>
          <w:id w:val="604692039"/>
          <w:placeholder>
            <w:docPart w:val="GBC22222222222222222222222222222"/>
          </w:placeholder>
          <w:comboBox>
            <w:listItem w:displayText="是" w:value="true"/>
            <w:listItem w:displayText="否" w:value="false"/>
          </w:comboBox>
        </w:sdtPr>
        <w:sdtContent>
          <w:r>
            <w:rPr>
              <w:rFonts w:ascii="宋体" w:hAnsi="宋体"/>
            </w:rPr>
            <w:t>是</w:t>
          </w:r>
        </w:sdtContent>
      </w:sdt>
    </w:p>
    <w:p>
      <w:pPr>
        <w:ind w:firstLineChars="200" w:firstLine="420"/>
        <w:jc w:val="both"/>
        <w:rPr>
          <w:rFonts w:ascii="宋体" w:hAnsi="宋体"/>
        </w:rPr>
      </w:pPr>
      <w:r>
        <w:rPr>
          <w:rFonts w:ascii="宋体" w:hAnsi="宋体" w:hint="eastAsia"/>
        </w:rPr>
        <w:t>内部控制审计报告意见类型：</w:t>
      </w:r>
      <w:sdt>
        <w:sdtPr>
          <w:rPr>
            <w:rFonts w:ascii="宋体" w:hAnsi="宋体" w:hint="eastAsia"/>
          </w:rPr>
          <w:alias w:val="内部控制审计意见类型"/>
          <w:tag w:val="_GBC_70262b41c723466c879c062e5326eee3"/>
          <w:id w:val="-1483921900"/>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Pr>
              <w:rFonts w:ascii="宋体" w:hAnsi="宋体" w:hint="eastAsia"/>
            </w:rPr>
            <w:t>标准的无保留意见</w:t>
          </w:r>
        </w:sdtContent>
      </w:sdt>
    </w:p>
    <w:p>
      <w:pPr>
        <w:pStyle w:val="Style49"/>
      </w:pPr>
    </w:p>
    <w:p>
      <w:pPr>
        <w:pStyle w:val="Style51"/>
        <w:numPr>
          <w:ilvl w:val="0"/>
          <w:numId w:val="24"/>
        </w:numPr>
      </w:pPr>
      <w:bookmarkStart w:id="181" w:name="_Hlk40625163"/>
      <w:r>
        <w:rPr>
          <w:rFonts w:ascii="宋体" w:hAnsi="宋体" w:cs="宋体"/>
          <w:kern w:val="0"/>
          <w:szCs w:val="24"/>
        </w:rPr>
        <w:t>上市公司治理专项行动自查问题整改情况</w:t>
      </w:r>
    </w:p>
    <w:sdt>
      <w:sdtPr>
        <w:alias w:val="上市公司治理专项行动自查问题整改情况"/>
        <w:tag w:val="_GBC_05eb1501ffbf4b83acf20965ad06a2e0"/>
        <w:id w:val="740372933"/>
        <w:placeholder>
          <w:docPart w:val="GBC22222222222222222222222222222"/>
        </w:placeholder>
      </w:sdtPr>
      <w:sdtContent>
        <w:p>
          <w:pPr>
            <w:pStyle w:val="Style49"/>
          </w:pPr>
          <w:r>
            <w:rPr>
              <w:rFonts w:hint="eastAsia"/>
            </w:rPr>
            <w:t>不适用</w:t>
          </w:r>
        </w:p>
      </w:sdtContent>
    </w:sdt>
    <w:p>
      <w:pPr>
        <w:pStyle w:val="Style49"/>
      </w:pPr>
    </w:p>
    <w:p>
      <w:pPr>
        <w:pStyle w:val="Style51"/>
        <w:numPr>
          <w:ilvl w:val="0"/>
          <w:numId w:val="24"/>
        </w:numPr>
      </w:pPr>
      <w:bookmarkStart w:id="182" w:name="_Hlk200011887"/>
      <w:bookmarkStart w:id="183" w:name="_Hlk217315508"/>
      <w:bookmarkStart w:id="184" w:name="_Hlk89187063"/>
      <w:bookmarkStart w:id="185" w:name="_Hlk89187025"/>
      <w:bookmarkEnd w:id="181"/>
      <w:r>
        <w:rPr>
          <w:rFonts w:ascii="宋体" w:hAnsi="宋体" w:cs="宋体"/>
          <w:kern w:val="0"/>
          <w:szCs w:val="24"/>
        </w:rPr>
        <w:t>纳入环境信息依法披露企业名单的上市公司及其</w:t>
      </w:r>
      <w:r>
        <w:rPr>
          <w:rFonts w:ascii="宋体" w:hAnsi="宋体" w:cs="宋体" w:hint="eastAsia"/>
          <w:kern w:val="0"/>
          <w:szCs w:val="24"/>
        </w:rPr>
        <w:t>主要</w:t>
      </w:r>
      <w:r>
        <w:rPr>
          <w:rFonts w:ascii="宋体" w:hAnsi="宋体" w:cs="宋体"/>
          <w:kern w:val="0"/>
          <w:szCs w:val="24"/>
        </w:rPr>
        <w:t>子公司的环</w:t>
      </w:r>
      <w:r>
        <w:rPr>
          <w:rFonts w:ascii="宋体" w:hAnsi="宋体" w:cs="宋体" w:hint="eastAsia"/>
          <w:kern w:val="0"/>
          <w:szCs w:val="24"/>
        </w:rPr>
        <w:t>境</w:t>
      </w:r>
      <w:r>
        <w:rPr>
          <w:rFonts w:ascii="宋体" w:hAnsi="宋体" w:cs="宋体"/>
          <w:kern w:val="0"/>
          <w:szCs w:val="24"/>
        </w:rPr>
        <w:t>信息情况</w:t>
      </w:r>
    </w:p>
    <w:sdt>
      <w:sdtPr>
        <w:rPr>
          <w:rFonts w:hint="eastAsia"/>
          <w:color w:val="000000"/>
        </w:rPr>
        <w:alias w:val="是否适用：纳入环境信息依法披露企业名单的上市公司及其主要子公司的环境信息情况[双击切换]"/>
        <w:tag w:val="_GBC_6553e3da66c54f77a89d044d325fe993"/>
        <w:id w:val="-1294748621"/>
        <w:placeholder>
          <w:docPart w:val="GBC22222222222222222222222222222"/>
        </w:placeholder>
      </w:sdtPr>
      <w:sdtContent>
        <w:p>
          <w:pPr>
            <w:rPr>
              <w:color w:val="000000"/>
            </w:rPr>
          </w:pPr>
          <w:r>
            <w:rPr>
              <w:rFonts w:ascii="宋体" w:hAnsi="宋体" w:hint="eastAsia"/>
              <w:color w:val="000000"/>
            </w:rPr>
            <w:fldChar w:fldCharType="begin"/>
          </w:r>
          <w:r>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□不适用 </w:instrText>
          </w:r>
          <w:r>
            <w:rPr>
              <w:rFonts w:ascii="宋体" w:hAnsi="宋体" w:hint="eastAsia"/>
              <w:color w:val="000000"/>
            </w:rPr>
            <w:fldChar w:fldCharType="end"/>
          </w:r>
        </w:p>
      </w:sdtContent>
    </w:sdt>
    <w:tbl>
      <w:tblPr>
        <w:tblStyle w:val="Style63"/>
        <w:tblW w:w="586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256"/>
        <w:gridCol w:w="6236"/>
      </w:tblGrid>
      <w:tr>
        <w:trPr>
          <w:trHeight w:val="270"/>
          <w:jc w:val="center"/>
        </w:trPr>
        <w:sdt>
          <w:sdtPr>
            <w:rPr>
              <w:rFonts w:ascii="宋体" w:hAnsi="宋体"/>
            </w:rPr>
            <w:tag w:val="_PLD_e65592890892416c8d7c50ff79b106ab"/>
            <w:id w:val="2099450221"/>
          </w:sdtPr>
          <w:sdtEndPr>
            <w:rPr>
              <w:rFonts w:hint="eastAsia"/>
            </w:rPr>
          </w:sdtEndPr>
          <w:sdtContent>
            <w:tc>
              <w:tcPr>
                <w:tcW w:w="1985" w:type="pct"/>
                <w:gridSpan w:val="2"/>
                <w:vAlign w:val="center"/>
              </w:tcPr>
              <w:p>
                <w:pPr>
                  <w:rPr>
                    <w:rFonts w:ascii="宋体" w:hAnsi="宋体"/>
                    <w:color w:val="000000"/>
                  </w:rPr>
                </w:pPr>
                <w:r>
                  <w:rPr>
                    <w:rFonts w:ascii="宋体" w:hAnsi="宋体"/>
                    <w:color w:val="000000"/>
                  </w:rPr>
                  <w:t>纳入环境信息依法披露企业名单中的企业数量</w:t>
                </w:r>
                <w:r>
                  <w:rPr>
                    <w:rFonts w:ascii="宋体" w:hAnsi="宋体" w:hint="eastAsia"/>
                    <w:color w:val="000000"/>
                  </w:rPr>
                  <w:t>（个）</w:t>
                </w:r>
              </w:p>
            </w:tc>
          </w:sdtContent>
        </w:sdt>
        <w:sdt>
          <w:sdtPr>
            <w:rPr>
              <w:rFonts w:ascii="宋体" w:hAnsi="宋体" w:hint="eastAsia"/>
              <w:color w:val="000000"/>
            </w:rPr>
            <w:alias w:val="纳入环境信息依法披露企业名单中的企业数量"/>
            <w:tag w:val="_GBC_7baa182ec31f4a64ab363ea9eeb644b7"/>
            <w:id w:val="-696391066"/>
          </w:sdtPr>
          <w:sdtContent>
            <w:tc>
              <w:tcPr>
                <w:tcW w:w="3015" w:type="pct"/>
                <w:vAlign w:val="center"/>
              </w:tcPr>
              <w:p>
                <w:pPr>
                  <w:rPr>
                    <w:rFonts w:ascii="宋体" w:hAnsi="宋体"/>
                    <w:color w:val="000000"/>
                  </w:rPr>
                </w:pPr>
                <w:r>
                  <w:rPr>
                    <w:rFonts w:ascii="宋体" w:hAnsi="宋体"/>
                    <w:color w:val="000000"/>
                  </w:rPr>
                  <w:t>34</w:t>
                </w:r>
              </w:p>
            </w:tc>
          </w:sdtContent>
        </w:sdt>
      </w:tr>
      <w:tr>
        <w:trPr>
          <w:trHeight w:val="90"/>
          <w:jc w:val="center"/>
        </w:trPr>
        <w:sdt>
          <w:sdtPr>
            <w:rPr>
              <w:rFonts w:ascii="宋体" w:hAnsi="宋体"/>
            </w:rPr>
            <w:tag w:val="_PLD_aa5264c7cdd741a288e8817aeed291ec"/>
            <w:id w:val="-914390960"/>
          </w:sdtPr>
          <w:sdtContent>
            <w:tc>
              <w:tcPr>
                <w:tcW w:w="411" w:type="pct"/>
              </w:tcPr>
              <w:p>
                <w:pPr>
                  <w:jc w:val="center"/>
                  <w:rPr>
                    <w:rFonts w:ascii="宋体" w:hAnsi="宋体"/>
                    <w:color w:val="000000"/>
                  </w:rPr>
                </w:pPr>
                <w:r>
                  <w:rPr>
                    <w:rFonts w:ascii="宋体" w:hAnsi="宋体" w:hint="eastAsia"/>
                    <w:color w:val="000000"/>
                  </w:rPr>
                  <w:t>序号</w:t>
                </w:r>
              </w:p>
            </w:tc>
          </w:sdtContent>
        </w:sdt>
        <w:sdt>
          <w:sdtPr>
            <w:rPr>
              <w:rFonts w:ascii="宋体" w:hAnsi="宋体"/>
            </w:rPr>
            <w:tag w:val="_PLD_ea61f68d8edd490bba2d24075e39baf4"/>
            <w:id w:val="-792753604"/>
          </w:sdtPr>
          <w:sdtContent>
            <w:tc>
              <w:tcPr>
                <w:tcW w:w="1574" w:type="pct"/>
                <w:vAlign w:val="center"/>
              </w:tcPr>
              <w:p>
                <w:pPr>
                  <w:jc w:val="center"/>
                  <w:rPr>
                    <w:rFonts w:ascii="宋体" w:hAnsi="宋体"/>
                    <w:color w:val="000000"/>
                  </w:rPr>
                </w:pPr>
                <w:r>
                  <w:rPr>
                    <w:rFonts w:ascii="宋体" w:hAnsi="宋体" w:hint="eastAsia"/>
                    <w:color w:val="000000"/>
                  </w:rPr>
                  <w:t>企业名称</w:t>
                </w:r>
              </w:p>
            </w:tc>
          </w:sdtContent>
        </w:sdt>
        <w:sdt>
          <w:sdtPr>
            <w:rPr>
              <w:rFonts w:ascii="宋体" w:hAnsi="宋体"/>
            </w:rPr>
            <w:tag w:val="_PLD_ea32e24ff0034b8f8356ec47b456df6a"/>
            <w:id w:val="1994526985"/>
          </w:sdtPr>
          <w:sdtContent>
            <w:tc>
              <w:tcPr>
                <w:tcW w:w="3015" w:type="pct"/>
                <w:vAlign w:val="center"/>
              </w:tcPr>
              <w:p>
                <w:pPr>
                  <w:jc w:val="center"/>
                  <w:rPr>
                    <w:rFonts w:ascii="宋体" w:hAnsi="宋体"/>
                    <w:iCs/>
                    <w:color w:val="000000"/>
                  </w:rPr>
                </w:pPr>
                <w:r>
                  <w:rPr>
                    <w:rFonts w:ascii="宋体" w:hAnsi="宋体" w:hint="eastAsia"/>
                    <w:iCs/>
                    <w:color w:val="000000"/>
                  </w:rPr>
                  <w:t>环境信息依法披露报告的查询索引</w:t>
                </w:r>
              </w:p>
            </w:tc>
          </w:sdtContent>
        </w:sdt>
      </w:tr>
      <w:tr>
        <w:trPr>
          <w:trHeight w:val="270"/>
          <w:jc w:val="center"/>
        </w:trPr>
        <w:tc>
          <w:tcPr>
            <w:tcW w:w="411" w:type="pct"/>
            <w:vAlign w:val="center"/>
          </w:tcPr>
          <w:p>
            <w:pPr>
              <w:jc w:val="center"/>
              <w:rPr>
                <w:rFonts w:ascii="宋体" w:hAnsi="宋体"/>
              </w:rPr>
            </w:pPr>
            <w:r>
              <w:rPr>
                <w:rFonts w:ascii="宋体" w:hAnsi="宋体" w:hint="eastAsia"/>
              </w:rPr>
              <w:t>1</w:t>
            </w:r>
          </w:p>
        </w:tc>
        <w:tc>
          <w:tcPr>
            <w:tcW w:w="1574" w:type="pct"/>
            <w:vAlign w:val="center"/>
          </w:tcPr>
          <w:p>
            <w:pPr>
              <w:rPr>
                <w:rFonts w:ascii="宋体" w:hAnsi="宋体"/>
              </w:rPr>
            </w:pPr>
            <w:r>
              <w:rPr>
                <w:rFonts w:ascii="宋体" w:hAnsi="宋体" w:hint="eastAsia"/>
              </w:rPr>
              <w:t>兖矿能源集团股份有限公司南屯煤矿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http://221.214.62.226:8090/EnvironmentDisclosure/enterpriseRoster/openEnterpriseDetails?comDetailFrom=0&amp;id=91370000706096972T</w:t>
            </w:r>
          </w:p>
        </w:tc>
      </w:tr>
      <w:tr>
        <w:trPr>
          <w:trHeight w:val="270"/>
          <w:jc w:val="center"/>
        </w:trPr>
        <w:tc>
          <w:tcPr>
            <w:tcW w:w="411" w:type="pct"/>
            <w:vAlign w:val="center"/>
          </w:tcPr>
          <w:p>
            <w:pPr>
              <w:jc w:val="center"/>
              <w:rPr>
                <w:rFonts w:ascii="宋体" w:hAnsi="宋体"/>
              </w:rPr>
            </w:pPr>
            <w:r>
              <w:rPr>
                <w:rFonts w:ascii="宋体" w:hAnsi="宋体" w:hint="eastAsia"/>
              </w:rPr>
              <w:t>2</w:t>
            </w:r>
          </w:p>
        </w:tc>
        <w:tc>
          <w:tcPr>
            <w:tcW w:w="1574" w:type="pct"/>
            <w:vAlign w:val="center"/>
          </w:tcPr>
          <w:p>
            <w:pPr>
              <w:rPr>
                <w:rFonts w:ascii="宋体" w:hAnsi="宋体"/>
              </w:rPr>
            </w:pPr>
            <w:r>
              <w:rPr>
                <w:rFonts w:ascii="宋体" w:hAnsi="宋体" w:hint="eastAsia"/>
              </w:rPr>
              <w:t>兖矿能源集团股份有限公司兴隆庄煤矿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http://221.214.62.226:8090/EnvironmentDisclosure/enterpriseRoster/openEnterpriseDetails?comDetailFrom=0&amp;id=91370000706220283T</w:t>
            </w:r>
          </w:p>
        </w:tc>
      </w:tr>
      <w:tr>
        <w:trPr>
          <w:trHeight w:val="270"/>
          <w:jc w:val="center"/>
        </w:trPr>
        <w:tc>
          <w:tcPr>
            <w:tcW w:w="411" w:type="pct"/>
            <w:vAlign w:val="center"/>
          </w:tcPr>
          <w:p>
            <w:pPr>
              <w:jc w:val="center"/>
              <w:rPr>
                <w:rFonts w:ascii="宋体" w:hAnsi="宋体"/>
              </w:rPr>
            </w:pPr>
            <w:r>
              <w:rPr>
                <w:rFonts w:ascii="宋体" w:hAnsi="宋体" w:hint="eastAsia"/>
              </w:rPr>
              <w:t>3</w:t>
            </w:r>
          </w:p>
        </w:tc>
        <w:tc>
          <w:tcPr>
            <w:tcW w:w="1574" w:type="pct"/>
            <w:vAlign w:val="center"/>
          </w:tcPr>
          <w:p>
            <w:pPr>
              <w:rPr>
                <w:rFonts w:ascii="宋体" w:hAnsi="宋体"/>
              </w:rPr>
            </w:pPr>
            <w:r>
              <w:rPr>
                <w:rFonts w:ascii="宋体" w:hAnsi="宋体" w:hint="eastAsia"/>
              </w:rPr>
              <w:t>兖矿能源集团股份有限公司鲍店煤矿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http://221.214.62.226:8090/EnvironmentDisclosure/enterpriseRoster/openEnterpriseDetails?comDetailFrom=0&amp;id=91370000706096999J</w:t>
            </w:r>
          </w:p>
        </w:tc>
      </w:tr>
      <w:tr>
        <w:trPr>
          <w:trHeight w:val="270"/>
          <w:jc w:val="center"/>
        </w:trPr>
        <w:tc>
          <w:tcPr>
            <w:tcW w:w="411" w:type="pct"/>
            <w:vAlign w:val="center"/>
          </w:tcPr>
          <w:p>
            <w:pPr>
              <w:jc w:val="center"/>
              <w:rPr>
                <w:rFonts w:ascii="宋体" w:hAnsi="宋体"/>
              </w:rPr>
            </w:pPr>
            <w:r>
              <w:rPr>
                <w:rFonts w:ascii="宋体" w:hAnsi="宋体" w:hint="eastAsia"/>
              </w:rPr>
              <w:t>4</w:t>
            </w:r>
          </w:p>
        </w:tc>
        <w:tc>
          <w:tcPr>
            <w:tcW w:w="1574" w:type="pct"/>
            <w:vAlign w:val="center"/>
          </w:tcPr>
          <w:p>
            <w:pPr>
              <w:rPr>
                <w:rFonts w:ascii="宋体" w:hAnsi="宋体"/>
              </w:rPr>
            </w:pPr>
            <w:r>
              <w:rPr>
                <w:rFonts w:ascii="宋体" w:hAnsi="宋体" w:hint="eastAsia"/>
              </w:rPr>
              <w:t>兖矿能源集团股份有限公司东滩煤矿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http://221.214.62.226:8090/EnvironmentDisclosure/enterpriseRoster/openEnterpriseDetails?comDetailFrom=0&amp;id=91370000706096980M</w:t>
            </w:r>
          </w:p>
        </w:tc>
      </w:tr>
      <w:tr>
        <w:trPr>
          <w:trHeight w:val="270"/>
          <w:jc w:val="center"/>
        </w:trPr>
        <w:tc>
          <w:tcPr>
            <w:tcW w:w="411" w:type="pct"/>
            <w:vAlign w:val="center"/>
          </w:tcPr>
          <w:p>
            <w:pPr>
              <w:jc w:val="center"/>
              <w:rPr>
                <w:rFonts w:ascii="宋体" w:hAnsi="宋体"/>
              </w:rPr>
            </w:pPr>
            <w:r>
              <w:rPr>
                <w:rFonts w:ascii="宋体" w:hAnsi="宋体" w:hint="eastAsia"/>
              </w:rPr>
              <w:t>5</w:t>
            </w:r>
          </w:p>
        </w:tc>
        <w:tc>
          <w:tcPr>
            <w:tcW w:w="1574" w:type="pct"/>
            <w:vAlign w:val="center"/>
          </w:tcPr>
          <w:p>
            <w:pPr>
              <w:rPr>
                <w:rFonts w:ascii="宋体" w:hAnsi="宋体"/>
              </w:rPr>
            </w:pPr>
            <w:r>
              <w:rPr>
                <w:rFonts w:ascii="宋体" w:hAnsi="宋体" w:hint="eastAsia"/>
              </w:rPr>
              <w:t>兖矿能源集团股份有限公司济宁二号煤矿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http://221.214.62.226:8090/EnvironmentDisclosure/enterpriseRoster/openEnterpriseDetails?comDetailFrom=0&amp;id=91370000706092808K</w:t>
            </w:r>
          </w:p>
        </w:tc>
      </w:tr>
      <w:tr>
        <w:trPr>
          <w:trHeight w:val="270"/>
          <w:jc w:val="center"/>
        </w:trPr>
        <w:tc>
          <w:tcPr>
            <w:tcW w:w="411" w:type="pct"/>
            <w:vAlign w:val="center"/>
          </w:tcPr>
          <w:p>
            <w:pPr>
              <w:jc w:val="center"/>
              <w:rPr>
                <w:rFonts w:ascii="宋体" w:hAnsi="宋体"/>
              </w:rPr>
            </w:pPr>
            <w:r>
              <w:rPr>
                <w:rFonts w:ascii="宋体" w:hAnsi="宋体" w:hint="eastAsia"/>
              </w:rPr>
              <w:t>6</w:t>
            </w:r>
          </w:p>
        </w:tc>
        <w:tc>
          <w:tcPr>
            <w:tcW w:w="1574" w:type="pct"/>
            <w:vAlign w:val="center"/>
          </w:tcPr>
          <w:p>
            <w:pPr>
              <w:rPr>
                <w:rFonts w:ascii="宋体" w:hAnsi="宋体"/>
              </w:rPr>
            </w:pPr>
            <w:r>
              <w:rPr>
                <w:rFonts w:ascii="宋体" w:hAnsi="宋体" w:hint="eastAsia"/>
              </w:rPr>
              <w:t>兖矿能源集团股份有限公司济宁三号煤矿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lastRenderedPageBreak/>
              <w:t>http://221.214.62.226:8090/EnvironmentDisclosure/enterpriseRoster/openEnterpriseDetails?comDetailFrom=0&amp;id=913700007267048323</w:t>
            </w:r>
          </w:p>
        </w:tc>
      </w:tr>
      <w:tr>
        <w:trPr>
          <w:trHeight w:val="270"/>
          <w:jc w:val="center"/>
        </w:trPr>
        <w:tc>
          <w:tcPr>
            <w:tcW w:w="411" w:type="pct"/>
            <w:vAlign w:val="center"/>
          </w:tcPr>
          <w:p>
            <w:pPr>
              <w:jc w:val="center"/>
              <w:rPr>
                <w:rFonts w:ascii="宋体" w:hAnsi="宋体"/>
              </w:rPr>
            </w:pPr>
            <w:r>
              <w:rPr>
                <w:rFonts w:ascii="宋体" w:hAnsi="宋体" w:hint="eastAsia"/>
              </w:rPr>
              <w:lastRenderedPageBreak/>
              <w:t>7</w:t>
            </w:r>
          </w:p>
        </w:tc>
        <w:tc>
          <w:tcPr>
            <w:tcW w:w="1574" w:type="pct"/>
            <w:vAlign w:val="center"/>
          </w:tcPr>
          <w:p>
            <w:pPr>
              <w:rPr>
                <w:rFonts w:ascii="宋体" w:hAnsi="宋体"/>
              </w:rPr>
            </w:pPr>
            <w:r>
              <w:rPr>
                <w:rFonts w:ascii="宋体" w:hAnsi="宋体" w:hint="eastAsia"/>
              </w:rPr>
              <w:t>兖矿能源集团股份有限公司杨村煤矿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http://221.214.62.226:8090/EnvironmentDisclosure/enterpriseRoster/openEnterpriseDetails?comDetailFrom=0&amp;id=913700001660825360</w:t>
            </w:r>
          </w:p>
        </w:tc>
      </w:tr>
      <w:tr>
        <w:trPr>
          <w:trHeight w:val="270"/>
          <w:jc w:val="center"/>
        </w:trPr>
        <w:tc>
          <w:tcPr>
            <w:tcW w:w="411" w:type="pct"/>
            <w:vAlign w:val="center"/>
          </w:tcPr>
          <w:p>
            <w:pPr>
              <w:jc w:val="center"/>
              <w:rPr>
                <w:rFonts w:ascii="宋体" w:hAnsi="宋体"/>
              </w:rPr>
            </w:pPr>
            <w:r>
              <w:rPr>
                <w:rFonts w:ascii="宋体" w:hAnsi="宋体" w:hint="eastAsia"/>
              </w:rPr>
              <w:t>8</w:t>
            </w:r>
          </w:p>
        </w:tc>
        <w:tc>
          <w:tcPr>
            <w:tcW w:w="1574" w:type="pct"/>
            <w:vAlign w:val="center"/>
          </w:tcPr>
          <w:p>
            <w:pPr>
              <w:rPr>
                <w:rFonts w:ascii="宋体" w:hAnsi="宋体"/>
              </w:rPr>
            </w:pPr>
            <w:r>
              <w:rPr>
                <w:rFonts w:ascii="宋体" w:hAnsi="宋体" w:hint="eastAsia"/>
              </w:rPr>
              <w:t>兖煤菏泽能化有限公司赵楼煤矿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http://221.214.62.226:8090/EnvironmentDisclosure/enterpriseRoster/openEnterpriseDetails?comDetailFrom=0&amp;id=91370000692003957B</w:t>
            </w:r>
          </w:p>
        </w:tc>
      </w:tr>
      <w:tr>
        <w:trPr>
          <w:trHeight w:val="270"/>
          <w:jc w:val="center"/>
        </w:trPr>
        <w:tc>
          <w:tcPr>
            <w:tcW w:w="411" w:type="pct"/>
            <w:vAlign w:val="center"/>
          </w:tcPr>
          <w:p>
            <w:pPr>
              <w:jc w:val="center"/>
              <w:rPr>
                <w:rFonts w:ascii="宋体" w:hAnsi="宋体"/>
              </w:rPr>
            </w:pPr>
            <w:r>
              <w:rPr>
                <w:rFonts w:ascii="宋体" w:hAnsi="宋体" w:hint="eastAsia"/>
              </w:rPr>
              <w:t>9</w:t>
            </w:r>
          </w:p>
        </w:tc>
        <w:tc>
          <w:tcPr>
            <w:tcW w:w="1574" w:type="pct"/>
            <w:vAlign w:val="center"/>
          </w:tcPr>
          <w:p>
            <w:pPr>
              <w:rPr>
                <w:rFonts w:ascii="宋体" w:hAnsi="宋体"/>
              </w:rPr>
            </w:pPr>
            <w:r>
              <w:rPr>
                <w:rFonts w:ascii="宋体" w:hAnsi="宋体" w:hint="eastAsia"/>
              </w:rPr>
              <w:t>兖煤万福能源有限公司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http://221.214.62.226:8090/EnvironmentDisclosure/enterpriseRoster/openEnterpriseDetails?comDetailFrom=0&amp;id=91371724MA3F1GKX2M</w:t>
            </w:r>
          </w:p>
        </w:tc>
      </w:tr>
      <w:tr>
        <w:trPr>
          <w:trHeight w:val="270"/>
          <w:jc w:val="center"/>
        </w:trPr>
        <w:tc>
          <w:tcPr>
            <w:tcW w:w="411" w:type="pct"/>
            <w:vAlign w:val="center"/>
          </w:tcPr>
          <w:p>
            <w:pPr>
              <w:jc w:val="center"/>
              <w:rPr>
                <w:rFonts w:ascii="宋体" w:hAnsi="宋体"/>
              </w:rPr>
            </w:pPr>
            <w:r>
              <w:rPr>
                <w:rFonts w:ascii="宋体" w:hAnsi="宋体" w:hint="eastAsia"/>
              </w:rPr>
              <w:t>10</w:t>
            </w:r>
          </w:p>
        </w:tc>
        <w:tc>
          <w:tcPr>
            <w:tcW w:w="1574" w:type="pct"/>
            <w:vAlign w:val="center"/>
          </w:tcPr>
          <w:p>
            <w:pPr>
              <w:rPr>
                <w:rFonts w:ascii="宋体" w:hAnsi="宋体"/>
              </w:rPr>
            </w:pPr>
            <w:r>
              <w:rPr>
                <w:rFonts w:ascii="宋体" w:hAnsi="宋体" w:hint="eastAsia"/>
              </w:rPr>
              <w:t>山东兖矿济三电力有限公司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http://221.214.62.226:8090/EnvironmentDisclosure/enterpriseRoster/openEnterpriseDetails?comDetailFrom=0&amp;id=91370800771045952K</w:t>
            </w:r>
          </w:p>
        </w:tc>
      </w:tr>
      <w:tr>
        <w:trPr>
          <w:trHeight w:val="270"/>
          <w:jc w:val="center"/>
        </w:trPr>
        <w:tc>
          <w:tcPr>
            <w:tcW w:w="411" w:type="pct"/>
            <w:vAlign w:val="center"/>
          </w:tcPr>
          <w:p>
            <w:pPr>
              <w:jc w:val="center"/>
              <w:rPr>
                <w:rFonts w:ascii="宋体" w:hAnsi="宋体"/>
              </w:rPr>
            </w:pPr>
            <w:r>
              <w:rPr>
                <w:rFonts w:ascii="宋体" w:hAnsi="宋体" w:hint="eastAsia"/>
              </w:rPr>
              <w:t>11</w:t>
            </w:r>
          </w:p>
        </w:tc>
        <w:tc>
          <w:tcPr>
            <w:tcW w:w="1574" w:type="pct"/>
            <w:vAlign w:val="center"/>
          </w:tcPr>
          <w:p>
            <w:pPr>
              <w:rPr>
                <w:rFonts w:ascii="宋体" w:hAnsi="宋体"/>
              </w:rPr>
            </w:pPr>
            <w:r>
              <w:rPr>
                <w:rFonts w:ascii="宋体" w:hAnsi="宋体" w:hint="eastAsia"/>
              </w:rPr>
              <w:t>兖煤菏泽能化有限公司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http://221.214.62.226:8090/EnvironmentDisclosure/enterpriseRoster/openEnterpriseDetails?comDetailFrom=0&amp;id=91370000754456581B</w:t>
            </w:r>
          </w:p>
        </w:tc>
      </w:tr>
      <w:tr>
        <w:trPr>
          <w:trHeight w:val="270"/>
          <w:jc w:val="center"/>
        </w:trPr>
        <w:tc>
          <w:tcPr>
            <w:tcW w:w="411" w:type="pct"/>
            <w:vAlign w:val="center"/>
          </w:tcPr>
          <w:p>
            <w:pPr>
              <w:jc w:val="center"/>
              <w:rPr>
                <w:rFonts w:ascii="宋体" w:hAnsi="宋体"/>
              </w:rPr>
            </w:pPr>
            <w:r>
              <w:rPr>
                <w:rFonts w:ascii="宋体" w:hAnsi="宋体" w:hint="eastAsia"/>
              </w:rPr>
              <w:t>12</w:t>
            </w:r>
          </w:p>
        </w:tc>
        <w:tc>
          <w:tcPr>
            <w:tcW w:w="1574" w:type="pct"/>
            <w:vAlign w:val="center"/>
          </w:tcPr>
          <w:p>
            <w:pPr>
              <w:rPr>
                <w:rFonts w:ascii="宋体" w:hAnsi="宋体"/>
              </w:rPr>
            </w:pPr>
            <w:r>
              <w:rPr>
                <w:rFonts w:ascii="宋体" w:hAnsi="宋体" w:hint="eastAsia"/>
              </w:rPr>
              <w:t>兖矿鲁南化工有限公司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http://221.214.62.226:8090/EnvironmentDisclosure/enterpriseRoster/openEnterpriseDetails?comDetailFrom=0&amp;id=913704006644327461</w:t>
            </w:r>
          </w:p>
        </w:tc>
      </w:tr>
      <w:tr>
        <w:trPr>
          <w:trHeight w:val="270"/>
          <w:jc w:val="center"/>
        </w:trPr>
        <w:tc>
          <w:tcPr>
            <w:tcW w:w="411" w:type="pct"/>
            <w:vAlign w:val="center"/>
          </w:tcPr>
          <w:p>
            <w:pPr>
              <w:jc w:val="center"/>
              <w:rPr>
                <w:rFonts w:ascii="宋体" w:hAnsi="宋体"/>
              </w:rPr>
            </w:pPr>
            <w:r>
              <w:rPr>
                <w:rFonts w:ascii="宋体" w:hAnsi="宋体" w:hint="eastAsia"/>
              </w:rPr>
              <w:t>13</w:t>
            </w:r>
          </w:p>
        </w:tc>
        <w:tc>
          <w:tcPr>
            <w:tcW w:w="1574" w:type="pct"/>
            <w:vAlign w:val="center"/>
          </w:tcPr>
          <w:p>
            <w:pPr>
              <w:rPr>
                <w:rFonts w:ascii="宋体" w:hAnsi="宋体"/>
              </w:rPr>
            </w:pPr>
            <w:r>
              <w:rPr>
                <w:rFonts w:ascii="宋体" w:hAnsi="宋体" w:hint="eastAsia"/>
              </w:rPr>
              <w:t>鄂尔多斯市转龙湾煤炭有限公司</w:t>
            </w:r>
          </w:p>
        </w:tc>
        <w:tc>
          <w:tcPr>
            <w:tcW w:w="3015" w:type="pct"/>
            <w:vAlign w:val="center"/>
          </w:tcPr>
          <w:p>
            <w:pPr>
              <w:wordWrap w:val="0"/>
              <w:rPr>
                <w:rFonts w:ascii="宋体" w:hAnsi="宋体"/>
              </w:rPr>
            </w:pPr>
            <w:r>
              <w:rPr>
                <w:rFonts w:ascii="宋体" w:hAnsi="宋体" w:hint="eastAsia"/>
              </w:rPr>
              <w:t>企业环境信息依法披露系统（内蒙古）</w:t>
            </w:r>
          </w:p>
          <w:p>
            <w:pPr>
              <w:wordWrap w:val="0"/>
              <w:rPr>
                <w:rFonts w:ascii="宋体" w:hAnsi="宋体"/>
              </w:rPr>
            </w:pPr>
            <w:r>
              <w:rPr>
                <w:rFonts w:ascii="宋体" w:hAnsi="宋体"/>
              </w:rPr>
              <w:t>http://111.56.142.62:40010/support-yfpl-web/web/viewRunner.html?viewId=http://111.56.142.62:40010/support-yfpl-web/web/sps/views/yfpl/views/yfplYearReport/index.js&amp;keyword=%E9%84%82%E5%B0%94%E5%A4%9A%E6%96%AF%E5%B8%82%E8%BD%AC%E9%BE%99%E6%B9%BE%E7%85%A4%E7%82%AD%E6%9C%89%E9%99%90%E5%85%AC%E5%8F%B8</w:t>
            </w:r>
          </w:p>
        </w:tc>
      </w:tr>
      <w:tr>
        <w:trPr>
          <w:trHeight w:val="270"/>
          <w:jc w:val="center"/>
        </w:trPr>
        <w:tc>
          <w:tcPr>
            <w:tcW w:w="411" w:type="pct"/>
            <w:vAlign w:val="center"/>
          </w:tcPr>
          <w:p>
            <w:pPr>
              <w:jc w:val="center"/>
              <w:rPr>
                <w:rFonts w:ascii="宋体" w:hAnsi="宋体"/>
              </w:rPr>
            </w:pPr>
            <w:r>
              <w:rPr>
                <w:rFonts w:ascii="宋体" w:hAnsi="宋体" w:hint="eastAsia"/>
              </w:rPr>
              <w:t>14</w:t>
            </w:r>
          </w:p>
        </w:tc>
        <w:tc>
          <w:tcPr>
            <w:tcW w:w="1574" w:type="pct"/>
            <w:vAlign w:val="center"/>
          </w:tcPr>
          <w:p>
            <w:pPr>
              <w:rPr>
                <w:rFonts w:ascii="宋体" w:hAnsi="宋体"/>
              </w:rPr>
            </w:pPr>
            <w:r>
              <w:rPr>
                <w:rFonts w:ascii="宋体" w:hAnsi="宋体" w:hint="eastAsia"/>
              </w:rPr>
              <w:t>内蒙古昊盛煤业有限公司</w:t>
            </w:r>
          </w:p>
        </w:tc>
        <w:tc>
          <w:tcPr>
            <w:tcW w:w="3015" w:type="pct"/>
            <w:vAlign w:val="center"/>
          </w:tcPr>
          <w:p>
            <w:pPr>
              <w:wordWrap w:val="0"/>
              <w:rPr>
                <w:rFonts w:ascii="宋体" w:hAnsi="宋体"/>
              </w:rPr>
            </w:pPr>
            <w:r>
              <w:rPr>
                <w:rFonts w:ascii="宋体" w:hAnsi="宋体" w:hint="eastAsia"/>
              </w:rPr>
              <w:t>企业环境信息依法披露系统（内蒙古）</w:t>
            </w:r>
          </w:p>
          <w:p>
            <w:pPr>
              <w:wordWrap w:val="0"/>
              <w:rPr>
                <w:rFonts w:ascii="宋体" w:hAnsi="宋体"/>
              </w:rPr>
            </w:pPr>
            <w:r>
              <w:rPr>
                <w:rFonts w:ascii="宋体" w:hAnsi="宋体"/>
              </w:rPr>
              <w:t>http://111.56.142.62:40010/support-yfpl-web/web/viewRunner.html?viewId=http://111.56.142.62:40010/support-yfpl-web/web/sps/views/yfpl/views/yfplYearReport/index.js&amp;keyword=%E5%86%85%E8%92%99%E5%8F%A4%E6%98%8A%E7%9B%9B%E7%85%A4%E4%B8%9A%E6%9C%89%E9%99%90%E5%85%AC%E5%8F%B8</w:t>
            </w:r>
          </w:p>
        </w:tc>
      </w:tr>
      <w:tr>
        <w:trPr>
          <w:trHeight w:val="270"/>
          <w:jc w:val="center"/>
        </w:trPr>
        <w:tc>
          <w:tcPr>
            <w:tcW w:w="411" w:type="pct"/>
            <w:vAlign w:val="center"/>
          </w:tcPr>
          <w:p>
            <w:pPr>
              <w:jc w:val="center"/>
              <w:rPr>
                <w:rFonts w:ascii="宋体" w:hAnsi="宋体"/>
              </w:rPr>
            </w:pPr>
            <w:r>
              <w:rPr>
                <w:rFonts w:ascii="宋体" w:hAnsi="宋体" w:hint="eastAsia"/>
              </w:rPr>
              <w:t>15</w:t>
            </w:r>
          </w:p>
        </w:tc>
        <w:tc>
          <w:tcPr>
            <w:tcW w:w="1574" w:type="pct"/>
            <w:vAlign w:val="center"/>
          </w:tcPr>
          <w:p>
            <w:pPr>
              <w:rPr>
                <w:rFonts w:ascii="宋体" w:hAnsi="宋体"/>
              </w:rPr>
            </w:pPr>
            <w:r>
              <w:rPr>
                <w:rFonts w:ascii="宋体" w:hAnsi="宋体" w:hint="eastAsia"/>
              </w:rPr>
              <w:t>鄂尔多斯市营盘壕煤炭有限公司</w:t>
            </w:r>
          </w:p>
        </w:tc>
        <w:tc>
          <w:tcPr>
            <w:tcW w:w="3015" w:type="pct"/>
            <w:vAlign w:val="center"/>
          </w:tcPr>
          <w:p>
            <w:pPr>
              <w:wordWrap w:val="0"/>
              <w:rPr>
                <w:rFonts w:ascii="宋体" w:hAnsi="宋体"/>
              </w:rPr>
            </w:pPr>
            <w:r>
              <w:rPr>
                <w:rFonts w:ascii="宋体" w:hAnsi="宋体" w:hint="eastAsia"/>
              </w:rPr>
              <w:t>企业环境信息依法披露系统（内蒙古）</w:t>
            </w:r>
          </w:p>
          <w:p>
            <w:pPr>
              <w:wordWrap w:val="0"/>
              <w:rPr>
                <w:rFonts w:ascii="宋体" w:hAnsi="宋体"/>
              </w:rPr>
            </w:pPr>
            <w:r>
              <w:rPr>
                <w:rFonts w:ascii="宋体" w:hAnsi="宋体"/>
              </w:rPr>
              <w:t>http://111.56.142.62:40010/support-yfpl-web/web/viewRunner.html?viewId=http://111.56.142.62:40010/support-yfpl-web/web/sps/views/yfpl/views/yfplYearReport/index.js&amp;keyword=%E9%84%82%E5%B0%94%E5%A4%9A%E6%96%AF%E5%B8%82%E8%90%A5%E7%9B%98%E5%A3%95%E7%85%A4%E7%82%AD%E6%9C%89%E9%99%90%E5%85%AC%E5%8F%B8</w:t>
            </w:r>
          </w:p>
        </w:tc>
      </w:tr>
      <w:tr>
        <w:trPr>
          <w:trHeight w:val="270"/>
          <w:jc w:val="center"/>
        </w:trPr>
        <w:tc>
          <w:tcPr>
            <w:tcW w:w="411" w:type="pct"/>
            <w:vAlign w:val="center"/>
          </w:tcPr>
          <w:p>
            <w:pPr>
              <w:jc w:val="center"/>
              <w:rPr>
                <w:rFonts w:ascii="宋体" w:hAnsi="宋体"/>
              </w:rPr>
            </w:pPr>
            <w:r>
              <w:rPr>
                <w:rFonts w:ascii="宋体" w:hAnsi="宋体" w:hint="eastAsia"/>
              </w:rPr>
              <w:t>16</w:t>
            </w:r>
          </w:p>
        </w:tc>
        <w:tc>
          <w:tcPr>
            <w:tcW w:w="1574" w:type="pct"/>
            <w:vAlign w:val="center"/>
          </w:tcPr>
          <w:p>
            <w:pPr>
              <w:rPr>
                <w:rFonts w:ascii="宋体" w:hAnsi="宋体"/>
              </w:rPr>
            </w:pPr>
            <w:r>
              <w:rPr>
                <w:rFonts w:ascii="宋体" w:hAnsi="宋体" w:hint="eastAsia"/>
              </w:rPr>
              <w:t>内蒙古荣信化工有限公司</w:t>
            </w:r>
          </w:p>
        </w:tc>
        <w:tc>
          <w:tcPr>
            <w:tcW w:w="3015" w:type="pct"/>
            <w:vAlign w:val="center"/>
          </w:tcPr>
          <w:p>
            <w:pPr>
              <w:wordWrap w:val="0"/>
              <w:rPr>
                <w:rFonts w:ascii="宋体" w:hAnsi="宋体"/>
              </w:rPr>
            </w:pPr>
            <w:r>
              <w:rPr>
                <w:rFonts w:ascii="宋体" w:hAnsi="宋体" w:hint="eastAsia"/>
              </w:rPr>
              <w:t>企业环境信息依法披露系统（内蒙古）</w:t>
            </w:r>
          </w:p>
          <w:p>
            <w:pPr>
              <w:wordWrap w:val="0"/>
              <w:rPr>
                <w:rFonts w:ascii="宋体" w:hAnsi="宋体"/>
              </w:rPr>
            </w:pPr>
            <w:r>
              <w:rPr>
                <w:rFonts w:ascii="宋体" w:hAnsi="宋体"/>
              </w:rPr>
              <w:t>http://111.56.142.62:40010/support-yfpl-web/web/viewRunner.html?viewId=http://111.56.142.62:40010/support-yfpl-web</w:t>
            </w:r>
            <w:r>
              <w:rPr>
                <w:rFonts w:ascii="宋体" w:hAnsi="宋体"/>
              </w:rPr>
              <w:lastRenderedPageBreak/>
              <w:t>/web/sps/views/yfpl/views/yfplYearReport/index.js&amp;keyword=%E5%86%85%E8%92%99%E5%8F%A4%E8%8D%A3%E4%BF%A1%E5%8C%96%E5%B7%A5%E6%9C%89%E9%99%90%E5%85%AC%E5%8F%B8</w:t>
            </w:r>
          </w:p>
        </w:tc>
      </w:tr>
      <w:tr>
        <w:trPr>
          <w:trHeight w:val="270"/>
          <w:jc w:val="center"/>
        </w:trPr>
        <w:tc>
          <w:tcPr>
            <w:tcW w:w="411" w:type="pct"/>
            <w:vAlign w:val="center"/>
          </w:tcPr>
          <w:p>
            <w:pPr>
              <w:jc w:val="center"/>
              <w:rPr>
                <w:rFonts w:ascii="宋体" w:hAnsi="宋体"/>
              </w:rPr>
            </w:pPr>
            <w:r>
              <w:rPr>
                <w:rFonts w:ascii="宋体" w:hAnsi="宋体" w:hint="eastAsia"/>
              </w:rPr>
              <w:lastRenderedPageBreak/>
              <w:t>17</w:t>
            </w:r>
          </w:p>
        </w:tc>
        <w:tc>
          <w:tcPr>
            <w:tcW w:w="1574" w:type="pct"/>
            <w:vAlign w:val="center"/>
          </w:tcPr>
          <w:p>
            <w:pPr>
              <w:rPr>
                <w:rFonts w:ascii="宋体" w:hAnsi="宋体"/>
              </w:rPr>
            </w:pPr>
            <w:r>
              <w:rPr>
                <w:rFonts w:ascii="宋体" w:hAnsi="宋体" w:hint="eastAsia"/>
              </w:rPr>
              <w:t>乌兰察布市宏大实业有限公司</w:t>
            </w:r>
          </w:p>
        </w:tc>
        <w:tc>
          <w:tcPr>
            <w:tcW w:w="3015" w:type="pct"/>
            <w:vAlign w:val="center"/>
          </w:tcPr>
          <w:p>
            <w:pPr>
              <w:wordWrap w:val="0"/>
              <w:rPr>
                <w:rFonts w:ascii="宋体" w:hAnsi="宋体"/>
              </w:rPr>
            </w:pPr>
            <w:r>
              <w:rPr>
                <w:rFonts w:ascii="宋体" w:hAnsi="宋体" w:hint="eastAsia"/>
              </w:rPr>
              <w:t>企业环境信息依法披露系统（内蒙古）</w:t>
            </w:r>
          </w:p>
          <w:p>
            <w:pPr>
              <w:wordWrap w:val="0"/>
              <w:rPr>
                <w:rFonts w:ascii="宋体" w:hAnsi="宋体"/>
              </w:rPr>
            </w:pPr>
            <w:r>
              <w:rPr>
                <w:rFonts w:ascii="宋体" w:hAnsi="宋体"/>
              </w:rPr>
              <w:t>http://111.56.142.62:40010/support-yfpl-web/web/viewRunner.html?viewId=http://111.56.142.62:40010/support-yfpl-web/web/sps/views/yfpl/views/yfplYearReport/index.js&amp;keyword=%E4%B9%8C%E5%85%B0%E5%AF%9F%E5%B8%83%E5%B8%82%E5%AE%8F%E5%A4%A7%E5%AE%9E%E4%B8%9A%E6%9C%89%E9%99%90%E5%85%AC%E5%8F%B8</w:t>
            </w:r>
          </w:p>
        </w:tc>
      </w:tr>
      <w:tr>
        <w:trPr>
          <w:trHeight w:val="270"/>
          <w:jc w:val="center"/>
        </w:trPr>
        <w:tc>
          <w:tcPr>
            <w:tcW w:w="411" w:type="pct"/>
            <w:vAlign w:val="center"/>
          </w:tcPr>
          <w:p>
            <w:pPr>
              <w:jc w:val="center"/>
              <w:rPr>
                <w:rFonts w:ascii="宋体" w:hAnsi="宋体"/>
              </w:rPr>
            </w:pPr>
            <w:r>
              <w:rPr>
                <w:rFonts w:ascii="宋体" w:hAnsi="宋体" w:hint="eastAsia"/>
              </w:rPr>
              <w:t>18</w:t>
            </w:r>
          </w:p>
        </w:tc>
        <w:tc>
          <w:tcPr>
            <w:tcW w:w="1574" w:type="pct"/>
            <w:vAlign w:val="center"/>
          </w:tcPr>
          <w:p>
            <w:pPr>
              <w:rPr>
                <w:rFonts w:ascii="宋体" w:hAnsi="宋体"/>
              </w:rPr>
            </w:pPr>
            <w:r>
              <w:rPr>
                <w:rFonts w:ascii="宋体" w:hAnsi="宋体" w:hint="eastAsia"/>
              </w:rPr>
              <w:t>陕西未来能源化工有限公司</w:t>
            </w:r>
          </w:p>
        </w:tc>
        <w:tc>
          <w:tcPr>
            <w:tcW w:w="3015" w:type="pct"/>
            <w:vAlign w:val="center"/>
          </w:tcPr>
          <w:p>
            <w:pPr>
              <w:wordWrap w:val="0"/>
              <w:rPr>
                <w:rFonts w:ascii="宋体" w:hAnsi="宋体"/>
              </w:rPr>
            </w:pPr>
            <w:r>
              <w:rPr>
                <w:rFonts w:ascii="宋体" w:hAnsi="宋体" w:hint="eastAsia"/>
              </w:rPr>
              <w:t>企业环境信息依法披露系统（陕西）</w:t>
            </w:r>
          </w:p>
          <w:p>
            <w:pPr>
              <w:wordWrap w:val="0"/>
              <w:rPr>
                <w:rFonts w:ascii="宋体" w:hAnsi="宋体"/>
              </w:rPr>
            </w:pPr>
            <w:r>
              <w:rPr>
                <w:rFonts w:ascii="宋体" w:hAnsi="宋体"/>
              </w:rPr>
              <w:t>http://113.140.66.227:11077/#/noLogin/qymd?key=%E9%99%95%E8%A5%BF%E6%9C%AA%E6%9D%A5%E8%83%BD%E6%BA%90%E5%8C%96%E5%B7%A5%E6%9C%89%E9%99%90%E5%85%AC%E5%8F%B8</w:t>
            </w:r>
          </w:p>
        </w:tc>
      </w:tr>
      <w:tr>
        <w:trPr>
          <w:trHeight w:val="270"/>
          <w:jc w:val="center"/>
        </w:trPr>
        <w:tc>
          <w:tcPr>
            <w:tcW w:w="411" w:type="pct"/>
            <w:vAlign w:val="center"/>
          </w:tcPr>
          <w:p>
            <w:pPr>
              <w:jc w:val="center"/>
              <w:rPr>
                <w:rFonts w:ascii="宋体" w:hAnsi="宋体"/>
              </w:rPr>
            </w:pPr>
            <w:r>
              <w:rPr>
                <w:rFonts w:ascii="宋体" w:hAnsi="宋体" w:hint="eastAsia"/>
              </w:rPr>
              <w:t>19</w:t>
            </w:r>
          </w:p>
        </w:tc>
        <w:tc>
          <w:tcPr>
            <w:tcW w:w="1574" w:type="pct"/>
            <w:vAlign w:val="center"/>
          </w:tcPr>
          <w:p>
            <w:pPr>
              <w:rPr>
                <w:rFonts w:ascii="宋体" w:hAnsi="宋体"/>
              </w:rPr>
            </w:pPr>
            <w:r>
              <w:rPr>
                <w:rFonts w:ascii="宋体" w:hAnsi="宋体" w:hint="eastAsia"/>
              </w:rPr>
              <w:t>兖州煤业榆林能化有限公司</w:t>
            </w:r>
          </w:p>
        </w:tc>
        <w:tc>
          <w:tcPr>
            <w:tcW w:w="3015" w:type="pct"/>
            <w:vAlign w:val="center"/>
          </w:tcPr>
          <w:p>
            <w:pPr>
              <w:wordWrap w:val="0"/>
              <w:rPr>
                <w:rFonts w:ascii="宋体" w:hAnsi="宋体"/>
              </w:rPr>
            </w:pPr>
            <w:r>
              <w:rPr>
                <w:rFonts w:ascii="宋体" w:hAnsi="宋体" w:hint="eastAsia"/>
              </w:rPr>
              <w:t>企业环境信息依法披露系统（陕西）</w:t>
            </w:r>
          </w:p>
          <w:p>
            <w:pPr>
              <w:wordWrap w:val="0"/>
              <w:rPr>
                <w:rFonts w:ascii="宋体" w:hAnsi="宋体"/>
              </w:rPr>
            </w:pPr>
            <w:r>
              <w:rPr>
                <w:rFonts w:ascii="宋体" w:hAnsi="宋体"/>
              </w:rPr>
              <w:t>http://113.140.66.227:11077/#/noLogin/qymd?key=%E5%85%96%E5%B7%9E%E7%85%A4%E4%B8%9A%E6%A6%86%E6%9E%97%E8%83%BD%E5%8C%96%E6%9C%89%E9%99%90%E5%85%AC%E5%8F%B8</w:t>
            </w:r>
          </w:p>
        </w:tc>
      </w:tr>
      <w:tr>
        <w:trPr>
          <w:trHeight w:val="270"/>
          <w:jc w:val="center"/>
        </w:trPr>
        <w:tc>
          <w:tcPr>
            <w:tcW w:w="411" w:type="pct"/>
            <w:vAlign w:val="center"/>
          </w:tcPr>
          <w:p>
            <w:pPr>
              <w:jc w:val="center"/>
              <w:rPr>
                <w:rFonts w:ascii="宋体" w:hAnsi="宋体"/>
              </w:rPr>
            </w:pPr>
            <w:r>
              <w:rPr>
                <w:rFonts w:ascii="宋体" w:hAnsi="宋体" w:hint="eastAsia"/>
              </w:rPr>
              <w:t>20</w:t>
            </w:r>
          </w:p>
        </w:tc>
        <w:tc>
          <w:tcPr>
            <w:tcW w:w="1574" w:type="pct"/>
            <w:vAlign w:val="center"/>
          </w:tcPr>
          <w:p>
            <w:pPr>
              <w:rPr>
                <w:rFonts w:ascii="宋体" w:hAnsi="宋体"/>
              </w:rPr>
            </w:pPr>
            <w:r>
              <w:rPr>
                <w:rFonts w:ascii="宋体" w:hAnsi="宋体" w:hint="eastAsia"/>
              </w:rPr>
              <w:t>兖矿榆林精细化工有限公司</w:t>
            </w:r>
          </w:p>
        </w:tc>
        <w:tc>
          <w:tcPr>
            <w:tcW w:w="3015" w:type="pct"/>
            <w:vAlign w:val="center"/>
          </w:tcPr>
          <w:p>
            <w:pPr>
              <w:wordWrap w:val="0"/>
              <w:rPr>
                <w:rFonts w:ascii="宋体" w:hAnsi="宋体"/>
              </w:rPr>
            </w:pPr>
            <w:r>
              <w:rPr>
                <w:rFonts w:ascii="宋体" w:hAnsi="宋体" w:hint="eastAsia"/>
              </w:rPr>
              <w:t>企业环境信息依法披露系统（陕西）</w:t>
            </w:r>
          </w:p>
          <w:p>
            <w:pPr>
              <w:wordWrap w:val="0"/>
              <w:rPr>
                <w:rFonts w:ascii="宋体" w:hAnsi="宋体"/>
              </w:rPr>
            </w:pPr>
            <w:r>
              <w:rPr>
                <w:rFonts w:ascii="宋体" w:hAnsi="宋体"/>
              </w:rPr>
              <w:t>http://113.140.66.227:11077/#/noLogin/qymd?key=%E5%85%96%E7%9F%BF%E6%A6%86%E6%9E%97%E7%B2%BE%E7%BB%86%E5%8C%96%E5%B7%A5%E6%9C%89%E9%99%90%E5%85%AC%E5%8F%B8</w:t>
            </w:r>
          </w:p>
        </w:tc>
      </w:tr>
      <w:tr>
        <w:trPr>
          <w:trHeight w:val="270"/>
          <w:jc w:val="center"/>
        </w:trPr>
        <w:tc>
          <w:tcPr>
            <w:tcW w:w="411" w:type="pct"/>
            <w:vAlign w:val="center"/>
          </w:tcPr>
          <w:p>
            <w:pPr>
              <w:jc w:val="center"/>
              <w:rPr>
                <w:rFonts w:ascii="宋体" w:hAnsi="宋体"/>
              </w:rPr>
            </w:pPr>
            <w:r>
              <w:rPr>
                <w:rFonts w:ascii="宋体" w:hAnsi="宋体" w:hint="eastAsia"/>
              </w:rPr>
              <w:t>21</w:t>
            </w:r>
          </w:p>
        </w:tc>
        <w:tc>
          <w:tcPr>
            <w:tcW w:w="1574" w:type="pct"/>
            <w:vAlign w:val="center"/>
          </w:tcPr>
          <w:p>
            <w:pPr>
              <w:rPr>
                <w:rFonts w:ascii="宋体" w:hAnsi="宋体"/>
              </w:rPr>
            </w:pPr>
            <w:r>
              <w:rPr>
                <w:rFonts w:ascii="宋体" w:hAnsi="宋体" w:hint="eastAsia"/>
              </w:rPr>
              <w:t>山东新巨龙能源有限责任公司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http://221.214.62.226:8090/EnvironmentDisclosure/enterpriseRoster/openEnterpriseDetails?comDetailFrom=0&amp;id=913700007563990580</w:t>
            </w:r>
          </w:p>
        </w:tc>
      </w:tr>
      <w:tr>
        <w:trPr>
          <w:trHeight w:val="270"/>
          <w:jc w:val="center"/>
        </w:trPr>
        <w:tc>
          <w:tcPr>
            <w:tcW w:w="411" w:type="pct"/>
            <w:vAlign w:val="center"/>
          </w:tcPr>
          <w:p>
            <w:pPr>
              <w:jc w:val="center"/>
              <w:rPr>
                <w:rFonts w:ascii="宋体" w:hAnsi="宋体"/>
              </w:rPr>
            </w:pPr>
            <w:r>
              <w:rPr>
                <w:rFonts w:ascii="宋体" w:hAnsi="宋体" w:hint="eastAsia"/>
              </w:rPr>
              <w:t>22</w:t>
            </w:r>
          </w:p>
        </w:tc>
        <w:tc>
          <w:tcPr>
            <w:tcW w:w="1574" w:type="pct"/>
            <w:vAlign w:val="center"/>
          </w:tcPr>
          <w:p>
            <w:pPr>
              <w:rPr>
                <w:rFonts w:ascii="宋体" w:hAnsi="宋体"/>
              </w:rPr>
            </w:pPr>
            <w:r>
              <w:rPr>
                <w:rFonts w:ascii="宋体" w:hAnsi="宋体" w:hint="eastAsia"/>
              </w:rPr>
              <w:t>临沂矿业集团菏泽煤电有限公司郭屯煤矿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http://221.214.62.226:8090/EnvironmentDisclosure/enterpriseRoster/openEnterpriseDetails?comDetailFrom=0&amp;id=913700006731531087</w:t>
            </w:r>
          </w:p>
        </w:tc>
      </w:tr>
      <w:tr>
        <w:trPr>
          <w:trHeight w:val="270"/>
          <w:jc w:val="center"/>
        </w:trPr>
        <w:tc>
          <w:tcPr>
            <w:tcW w:w="411" w:type="pct"/>
            <w:vAlign w:val="center"/>
          </w:tcPr>
          <w:p>
            <w:pPr>
              <w:jc w:val="center"/>
              <w:rPr>
                <w:rFonts w:ascii="宋体" w:hAnsi="宋体"/>
              </w:rPr>
            </w:pPr>
            <w:r>
              <w:rPr>
                <w:rFonts w:ascii="宋体" w:hAnsi="宋体" w:hint="eastAsia"/>
              </w:rPr>
              <w:t>23</w:t>
            </w:r>
          </w:p>
        </w:tc>
        <w:tc>
          <w:tcPr>
            <w:tcW w:w="1574" w:type="pct"/>
            <w:vAlign w:val="center"/>
          </w:tcPr>
          <w:p>
            <w:pPr>
              <w:rPr>
                <w:rFonts w:ascii="宋体" w:hAnsi="宋体"/>
              </w:rPr>
            </w:pPr>
            <w:r>
              <w:rPr>
                <w:rFonts w:ascii="宋体" w:hAnsi="宋体" w:hint="eastAsia"/>
              </w:rPr>
              <w:t>山东李楼煤业有限公司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http://221.214.62.226:8090/EnvironmentDisclosure/enterpriseRoster/openEnterpriseDetails?comDetailFrom=0&amp;id=91370000795346514H</w:t>
            </w:r>
          </w:p>
        </w:tc>
      </w:tr>
      <w:tr>
        <w:trPr>
          <w:trHeight w:val="270"/>
          <w:jc w:val="center"/>
        </w:trPr>
        <w:tc>
          <w:tcPr>
            <w:tcW w:w="411" w:type="pct"/>
            <w:vAlign w:val="center"/>
          </w:tcPr>
          <w:p>
            <w:pPr>
              <w:jc w:val="center"/>
              <w:rPr>
                <w:rFonts w:ascii="宋体" w:hAnsi="宋体"/>
              </w:rPr>
            </w:pPr>
            <w:r>
              <w:rPr>
                <w:rFonts w:ascii="宋体" w:hAnsi="宋体" w:hint="eastAsia"/>
              </w:rPr>
              <w:t>24</w:t>
            </w:r>
          </w:p>
        </w:tc>
        <w:tc>
          <w:tcPr>
            <w:tcW w:w="1574" w:type="pct"/>
            <w:vAlign w:val="center"/>
          </w:tcPr>
          <w:p>
            <w:pPr>
              <w:rPr>
                <w:rFonts w:ascii="宋体" w:hAnsi="宋体"/>
              </w:rPr>
            </w:pPr>
            <w:r>
              <w:rPr>
                <w:rFonts w:ascii="宋体" w:hAnsi="宋体" w:hint="eastAsia"/>
              </w:rPr>
              <w:t>临沂矿业集团菏泽煤电有限公司彭庄煤矿</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http://221.214.62.226:8090/EnvironmentDisclosure/enterpriseRoster/openEnterpriseDetails?comDetailFrom=0&amp;id=913700006731531162</w:t>
            </w:r>
          </w:p>
        </w:tc>
      </w:tr>
      <w:tr>
        <w:trPr>
          <w:trHeight w:val="270"/>
          <w:jc w:val="center"/>
        </w:trPr>
        <w:tc>
          <w:tcPr>
            <w:tcW w:w="411" w:type="pct"/>
            <w:vAlign w:val="center"/>
          </w:tcPr>
          <w:p>
            <w:pPr>
              <w:jc w:val="center"/>
              <w:rPr>
                <w:rFonts w:ascii="宋体" w:hAnsi="宋体"/>
              </w:rPr>
            </w:pPr>
            <w:r>
              <w:rPr>
                <w:rFonts w:ascii="宋体" w:hAnsi="宋体" w:hint="eastAsia"/>
              </w:rPr>
              <w:t>25</w:t>
            </w:r>
          </w:p>
        </w:tc>
        <w:tc>
          <w:tcPr>
            <w:tcW w:w="1574" w:type="pct"/>
            <w:vAlign w:val="center"/>
          </w:tcPr>
          <w:p>
            <w:pPr>
              <w:rPr>
                <w:rFonts w:ascii="宋体" w:hAnsi="宋体"/>
              </w:rPr>
            </w:pPr>
            <w:r>
              <w:rPr>
                <w:rFonts w:ascii="宋体" w:hAnsi="宋体" w:hint="eastAsia"/>
              </w:rPr>
              <w:t>肥城矿业集团单县能源有限责任公司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http://221.214.62.226:8090/EnvironmentDisclosure/enterpriseRoster/openEnterpriseDetails?comDetailFrom=0&amp;id=9137000067452090X9</w:t>
            </w:r>
          </w:p>
        </w:tc>
      </w:tr>
      <w:tr>
        <w:trPr>
          <w:trHeight w:val="270"/>
          <w:jc w:val="center"/>
        </w:trPr>
        <w:tc>
          <w:tcPr>
            <w:tcW w:w="411" w:type="pct"/>
            <w:vAlign w:val="center"/>
          </w:tcPr>
          <w:p>
            <w:pPr>
              <w:jc w:val="center"/>
              <w:rPr>
                <w:rFonts w:ascii="宋体" w:hAnsi="宋体"/>
              </w:rPr>
            </w:pPr>
            <w:r>
              <w:rPr>
                <w:rFonts w:ascii="宋体" w:hAnsi="宋体" w:hint="eastAsia"/>
              </w:rPr>
              <w:t>26</w:t>
            </w:r>
          </w:p>
        </w:tc>
        <w:tc>
          <w:tcPr>
            <w:tcW w:w="1574" w:type="pct"/>
            <w:vAlign w:val="center"/>
          </w:tcPr>
          <w:p>
            <w:pPr>
              <w:rPr>
                <w:rFonts w:ascii="宋体" w:hAnsi="宋体"/>
              </w:rPr>
            </w:pPr>
            <w:r>
              <w:rPr>
                <w:rFonts w:ascii="宋体" w:hAnsi="宋体" w:hint="eastAsia"/>
              </w:rPr>
              <w:t>山东唐口煤业有限公司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http://221.214.62.226:8090/EnvironmentDisclosure/enterpriseRoster/openEnterpriseDetails?comDetailFrom=0&amp;id=913700006667367359</w:t>
            </w:r>
          </w:p>
        </w:tc>
      </w:tr>
      <w:tr>
        <w:trPr>
          <w:trHeight w:val="270"/>
          <w:jc w:val="center"/>
        </w:trPr>
        <w:tc>
          <w:tcPr>
            <w:tcW w:w="411" w:type="pct"/>
            <w:vAlign w:val="center"/>
          </w:tcPr>
          <w:p>
            <w:pPr>
              <w:jc w:val="center"/>
              <w:rPr>
                <w:rFonts w:ascii="宋体" w:hAnsi="宋体"/>
              </w:rPr>
            </w:pPr>
            <w:r>
              <w:rPr>
                <w:rFonts w:ascii="宋体" w:hAnsi="宋体" w:hint="eastAsia"/>
              </w:rPr>
              <w:t>27</w:t>
            </w:r>
          </w:p>
        </w:tc>
        <w:tc>
          <w:tcPr>
            <w:tcW w:w="1574" w:type="pct"/>
            <w:vAlign w:val="center"/>
          </w:tcPr>
          <w:p>
            <w:pPr>
              <w:rPr>
                <w:rFonts w:ascii="宋体" w:hAnsi="宋体"/>
              </w:rPr>
            </w:pPr>
            <w:r>
              <w:rPr>
                <w:rFonts w:ascii="宋体" w:hAnsi="宋体" w:hint="eastAsia"/>
              </w:rPr>
              <w:t>肥城矿业集团梁宝寺能源有限责任公司</w:t>
            </w:r>
          </w:p>
        </w:tc>
        <w:tc>
          <w:tcPr>
            <w:tcW w:w="3015" w:type="pct"/>
            <w:vAlign w:val="center"/>
          </w:tcPr>
          <w:p>
            <w:pPr>
              <w:wordWrap w:val="0"/>
              <w:rPr>
                <w:rFonts w:ascii="宋体" w:hAnsi="宋体"/>
              </w:rPr>
            </w:pPr>
            <w:r>
              <w:rPr>
                <w:rFonts w:ascii="宋体" w:hAnsi="宋体" w:hint="eastAsia"/>
              </w:rPr>
              <w:t>企业环境信息依法披露系统（山东）</w:t>
            </w:r>
          </w:p>
          <w:p>
            <w:pPr>
              <w:wordWrap w:val="0"/>
              <w:rPr>
                <w:rFonts w:ascii="宋体" w:hAnsi="宋体"/>
              </w:rPr>
            </w:pPr>
            <w:r>
              <w:rPr>
                <w:rFonts w:ascii="宋体" w:hAnsi="宋体"/>
              </w:rPr>
              <w:t>http://221.214.62.226:8090/EnvironmentDisclosure/enterpriseRoster/openEnterpriseDetails?comDetailFrom=0&amp;id=91370000779717557X</w:t>
            </w:r>
          </w:p>
        </w:tc>
      </w:tr>
      <w:tr>
        <w:trPr>
          <w:trHeight w:val="270"/>
          <w:jc w:val="center"/>
        </w:trPr>
        <w:tc>
          <w:tcPr>
            <w:tcW w:w="411" w:type="pct"/>
            <w:vAlign w:val="center"/>
          </w:tcPr>
          <w:p>
            <w:pPr>
              <w:jc w:val="center"/>
              <w:rPr>
                <w:rFonts w:ascii="宋体" w:hAnsi="宋体"/>
              </w:rPr>
            </w:pPr>
            <w:r>
              <w:rPr>
                <w:rFonts w:ascii="宋体" w:hAnsi="宋体" w:hint="eastAsia"/>
              </w:rPr>
              <w:lastRenderedPageBreak/>
              <w:t>28</w:t>
            </w:r>
          </w:p>
        </w:tc>
        <w:tc>
          <w:tcPr>
            <w:tcW w:w="1574" w:type="pct"/>
            <w:vAlign w:val="center"/>
          </w:tcPr>
          <w:p>
            <w:pPr>
              <w:rPr>
                <w:rFonts w:ascii="宋体" w:hAnsi="宋体"/>
              </w:rPr>
            </w:pPr>
            <w:r>
              <w:rPr>
                <w:rFonts w:ascii="宋体" w:hAnsi="宋体" w:hint="eastAsia"/>
              </w:rPr>
              <w:t>兖矿新疆煤化工有限公司</w:t>
            </w:r>
          </w:p>
        </w:tc>
        <w:tc>
          <w:tcPr>
            <w:tcW w:w="3015" w:type="pct"/>
            <w:vAlign w:val="center"/>
          </w:tcPr>
          <w:p>
            <w:pPr>
              <w:wordWrap w:val="0"/>
              <w:rPr>
                <w:rFonts w:ascii="宋体" w:hAnsi="宋体"/>
              </w:rPr>
            </w:pPr>
            <w:r>
              <w:rPr>
                <w:rFonts w:ascii="宋体" w:hAnsi="宋体" w:hint="eastAsia"/>
              </w:rPr>
              <w:t>新疆维吾尔自治区企业环境信息披露与信用评价系统</w:t>
            </w:r>
          </w:p>
          <w:p>
            <w:pPr>
              <w:wordWrap w:val="0"/>
              <w:rPr>
                <w:rFonts w:ascii="宋体" w:hAnsi="宋体"/>
              </w:rPr>
            </w:pPr>
            <w:r>
              <w:rPr>
                <w:rFonts w:ascii="宋体" w:hAnsi="宋体"/>
              </w:rPr>
              <w:t>https://124.117.235.203:9015/index</w:t>
            </w:r>
          </w:p>
        </w:tc>
      </w:tr>
      <w:tr>
        <w:trPr>
          <w:trHeight w:val="270"/>
          <w:jc w:val="center"/>
        </w:trPr>
        <w:tc>
          <w:tcPr>
            <w:tcW w:w="411" w:type="pct"/>
            <w:vAlign w:val="center"/>
          </w:tcPr>
          <w:p>
            <w:pPr>
              <w:jc w:val="center"/>
              <w:rPr>
                <w:rFonts w:ascii="宋体" w:hAnsi="宋体"/>
              </w:rPr>
            </w:pPr>
            <w:r>
              <w:rPr>
                <w:rFonts w:ascii="宋体" w:hAnsi="宋体" w:hint="eastAsia"/>
              </w:rPr>
              <w:t>29</w:t>
            </w:r>
          </w:p>
        </w:tc>
        <w:tc>
          <w:tcPr>
            <w:tcW w:w="1574" w:type="pct"/>
            <w:vAlign w:val="center"/>
          </w:tcPr>
          <w:p>
            <w:pPr>
              <w:rPr>
                <w:rFonts w:ascii="宋体" w:hAnsi="宋体"/>
              </w:rPr>
            </w:pPr>
            <w:r>
              <w:rPr>
                <w:rFonts w:ascii="宋体" w:hAnsi="宋体" w:hint="eastAsia"/>
              </w:rPr>
              <w:t>陕西正通煤业有限责任公司</w:t>
            </w:r>
          </w:p>
        </w:tc>
        <w:tc>
          <w:tcPr>
            <w:tcW w:w="3015" w:type="pct"/>
            <w:vAlign w:val="center"/>
          </w:tcPr>
          <w:p>
            <w:pPr>
              <w:wordWrap w:val="0"/>
              <w:rPr>
                <w:rFonts w:ascii="宋体" w:hAnsi="宋体"/>
              </w:rPr>
            </w:pPr>
            <w:r>
              <w:rPr>
                <w:rFonts w:ascii="宋体" w:hAnsi="宋体" w:hint="eastAsia"/>
              </w:rPr>
              <w:t>企业环境信息依法披露系统（陕西）</w:t>
            </w:r>
          </w:p>
          <w:p>
            <w:pPr>
              <w:wordWrap w:val="0"/>
              <w:rPr>
                <w:rFonts w:ascii="宋体" w:hAnsi="宋体"/>
              </w:rPr>
            </w:pPr>
            <w:r>
              <w:rPr>
                <w:rFonts w:ascii="宋体" w:hAnsi="宋体"/>
              </w:rPr>
              <w:t>http://113.140.66.227:11077/#/noLogin/qymd?key=%E9%99%95%E8%A5%BF%E6%AD%A3%E9%80%9A%E7%85%A4%E4%B8%9A%E6%9C%89%E9%99%90%E8%B4%A3%E4%BB%BB%E5%85%AC%E5%8F%B8</w:t>
            </w:r>
          </w:p>
        </w:tc>
      </w:tr>
      <w:tr>
        <w:trPr>
          <w:trHeight w:val="270"/>
          <w:jc w:val="center"/>
        </w:trPr>
        <w:tc>
          <w:tcPr>
            <w:tcW w:w="411" w:type="pct"/>
            <w:vAlign w:val="center"/>
          </w:tcPr>
          <w:p>
            <w:pPr>
              <w:jc w:val="center"/>
              <w:rPr>
                <w:rFonts w:ascii="宋体" w:hAnsi="宋体"/>
              </w:rPr>
            </w:pPr>
            <w:r>
              <w:rPr>
                <w:rFonts w:ascii="宋体" w:hAnsi="宋体" w:hint="eastAsia"/>
              </w:rPr>
              <w:t>30</w:t>
            </w:r>
          </w:p>
        </w:tc>
        <w:tc>
          <w:tcPr>
            <w:tcW w:w="1574" w:type="pct"/>
            <w:vAlign w:val="center"/>
          </w:tcPr>
          <w:p>
            <w:pPr>
              <w:rPr>
                <w:rFonts w:ascii="宋体" w:hAnsi="宋体"/>
              </w:rPr>
            </w:pPr>
            <w:r>
              <w:rPr>
                <w:rFonts w:ascii="宋体" w:hAnsi="宋体" w:hint="eastAsia"/>
              </w:rPr>
              <w:t>华能灵台邵寨煤业有限责任公司</w:t>
            </w:r>
          </w:p>
        </w:tc>
        <w:tc>
          <w:tcPr>
            <w:tcW w:w="3015" w:type="pct"/>
            <w:vAlign w:val="center"/>
          </w:tcPr>
          <w:p>
            <w:pPr>
              <w:wordWrap w:val="0"/>
              <w:rPr>
                <w:rFonts w:ascii="宋体" w:hAnsi="宋体"/>
              </w:rPr>
            </w:pPr>
            <w:r>
              <w:rPr>
                <w:rFonts w:ascii="宋体" w:hAnsi="宋体" w:hint="eastAsia"/>
              </w:rPr>
              <w:t>企业环境信息依法披露系统（甘肃）</w:t>
            </w:r>
          </w:p>
          <w:p>
            <w:pPr>
              <w:wordWrap w:val="0"/>
              <w:rPr>
                <w:rFonts w:ascii="宋体" w:hAnsi="宋体"/>
              </w:rPr>
            </w:pPr>
            <w:r>
              <w:rPr>
                <w:rFonts w:ascii="宋体" w:hAnsi="宋体"/>
              </w:rPr>
              <w:t>https://zwfw.sthj.gansu.gov.cn/revealPubVue/#/home</w:t>
            </w:r>
          </w:p>
        </w:tc>
      </w:tr>
      <w:tr>
        <w:trPr>
          <w:trHeight w:val="270"/>
          <w:jc w:val="center"/>
        </w:trPr>
        <w:tc>
          <w:tcPr>
            <w:tcW w:w="411" w:type="pct"/>
            <w:vAlign w:val="center"/>
          </w:tcPr>
          <w:p>
            <w:pPr>
              <w:jc w:val="center"/>
              <w:rPr>
                <w:rFonts w:ascii="宋体" w:hAnsi="宋体"/>
              </w:rPr>
            </w:pPr>
            <w:r>
              <w:rPr>
                <w:rFonts w:ascii="宋体" w:hAnsi="宋体" w:hint="eastAsia"/>
              </w:rPr>
              <w:t>31</w:t>
            </w:r>
          </w:p>
        </w:tc>
        <w:tc>
          <w:tcPr>
            <w:tcW w:w="1574" w:type="pct"/>
            <w:vAlign w:val="center"/>
          </w:tcPr>
          <w:p>
            <w:pPr>
              <w:rPr>
                <w:rFonts w:ascii="宋体" w:hAnsi="宋体"/>
              </w:rPr>
            </w:pPr>
            <w:r>
              <w:rPr>
                <w:rFonts w:ascii="宋体" w:hAnsi="宋体" w:hint="eastAsia"/>
              </w:rPr>
              <w:t>陕西长武亭南煤业有限责任公司</w:t>
            </w:r>
          </w:p>
        </w:tc>
        <w:tc>
          <w:tcPr>
            <w:tcW w:w="3015" w:type="pct"/>
            <w:vAlign w:val="center"/>
          </w:tcPr>
          <w:p>
            <w:pPr>
              <w:wordWrap w:val="0"/>
              <w:rPr>
                <w:rFonts w:ascii="宋体" w:hAnsi="宋体"/>
              </w:rPr>
            </w:pPr>
            <w:r>
              <w:rPr>
                <w:rFonts w:ascii="宋体" w:hAnsi="宋体" w:hint="eastAsia"/>
              </w:rPr>
              <w:t>企业环境信息依法披露系统（陕西）</w:t>
            </w:r>
          </w:p>
          <w:p>
            <w:pPr>
              <w:wordWrap w:val="0"/>
              <w:rPr>
                <w:rFonts w:ascii="宋体" w:hAnsi="宋体"/>
              </w:rPr>
            </w:pPr>
            <w:r>
              <w:rPr>
                <w:rFonts w:ascii="宋体" w:hAnsi="宋体"/>
              </w:rPr>
              <w:t>http://113.140.66.227:11077/#/noLogin/qymd?key=%E9%99%95%E8%A5%BF%E9%95%BF%E6%AD%A6%E4%BA%AD%E5%8D%97%E7%85%A4%E4%B8%9A%E6%9C%89%E9%99%90%E8%B4%A3%E4%BB%BB%E5%85%AC%E5%8F%B8</w:t>
            </w:r>
          </w:p>
        </w:tc>
      </w:tr>
      <w:tr>
        <w:trPr>
          <w:trHeight w:val="270"/>
          <w:jc w:val="center"/>
        </w:trPr>
        <w:tc>
          <w:tcPr>
            <w:tcW w:w="411" w:type="pct"/>
            <w:vAlign w:val="center"/>
          </w:tcPr>
          <w:p>
            <w:pPr>
              <w:jc w:val="center"/>
              <w:rPr>
                <w:rFonts w:ascii="宋体" w:hAnsi="宋体"/>
              </w:rPr>
            </w:pPr>
            <w:r>
              <w:rPr>
                <w:rFonts w:ascii="宋体" w:hAnsi="宋体" w:hint="eastAsia"/>
              </w:rPr>
              <w:t>32</w:t>
            </w:r>
          </w:p>
        </w:tc>
        <w:tc>
          <w:tcPr>
            <w:tcW w:w="1574" w:type="pct"/>
            <w:vAlign w:val="center"/>
          </w:tcPr>
          <w:p>
            <w:pPr>
              <w:rPr>
                <w:rFonts w:ascii="宋体" w:hAnsi="宋体"/>
              </w:rPr>
            </w:pPr>
            <w:r>
              <w:rPr>
                <w:rFonts w:ascii="宋体" w:hAnsi="宋体" w:hint="eastAsia"/>
              </w:rPr>
              <w:t>山西朔州平鲁区龙矿大恒煤业有限公司</w:t>
            </w:r>
          </w:p>
        </w:tc>
        <w:tc>
          <w:tcPr>
            <w:tcW w:w="3015" w:type="pct"/>
            <w:vAlign w:val="center"/>
          </w:tcPr>
          <w:p>
            <w:pPr>
              <w:wordWrap w:val="0"/>
              <w:rPr>
                <w:rFonts w:ascii="宋体" w:hAnsi="宋体"/>
              </w:rPr>
            </w:pPr>
            <w:r>
              <w:rPr>
                <w:rFonts w:ascii="宋体" w:hAnsi="宋体" w:hint="eastAsia"/>
              </w:rPr>
              <w:t>企业环境信息依法披露系统（朔州）</w:t>
            </w:r>
          </w:p>
          <w:p>
            <w:pPr>
              <w:wordWrap w:val="0"/>
              <w:rPr>
                <w:rFonts w:ascii="宋体" w:hAnsi="宋体"/>
              </w:rPr>
            </w:pPr>
            <w:r>
              <w:rPr>
                <w:rFonts w:ascii="宋体" w:hAnsi="宋体"/>
              </w:rPr>
              <w:t>http://111.53.19.139:8081/#/DisclosureDetail/1902248354006614018/2025</w:t>
            </w:r>
          </w:p>
        </w:tc>
      </w:tr>
      <w:tr>
        <w:trPr>
          <w:trHeight w:val="270"/>
          <w:jc w:val="center"/>
        </w:trPr>
        <w:tc>
          <w:tcPr>
            <w:tcW w:w="411" w:type="pct"/>
            <w:vAlign w:val="center"/>
          </w:tcPr>
          <w:p>
            <w:pPr>
              <w:jc w:val="center"/>
              <w:rPr>
                <w:rFonts w:ascii="宋体" w:hAnsi="宋体"/>
              </w:rPr>
            </w:pPr>
            <w:r>
              <w:rPr>
                <w:rFonts w:ascii="宋体" w:hAnsi="宋体" w:hint="eastAsia"/>
              </w:rPr>
              <w:t>33</w:t>
            </w:r>
          </w:p>
        </w:tc>
        <w:tc>
          <w:tcPr>
            <w:tcW w:w="1574" w:type="pct"/>
            <w:vAlign w:val="center"/>
          </w:tcPr>
          <w:p>
            <w:pPr>
              <w:rPr>
                <w:rFonts w:ascii="宋体" w:hAnsi="宋体"/>
              </w:rPr>
            </w:pPr>
            <w:r>
              <w:rPr>
                <w:rFonts w:ascii="宋体" w:hAnsi="宋体" w:hint="eastAsia"/>
              </w:rPr>
              <w:t>内蒙古黄陶勒盖煤炭有限责任公司</w:t>
            </w:r>
          </w:p>
        </w:tc>
        <w:tc>
          <w:tcPr>
            <w:tcW w:w="3015" w:type="pct"/>
            <w:vAlign w:val="center"/>
          </w:tcPr>
          <w:p>
            <w:pPr>
              <w:wordWrap w:val="0"/>
              <w:rPr>
                <w:rFonts w:ascii="宋体" w:hAnsi="宋体"/>
              </w:rPr>
            </w:pPr>
            <w:r>
              <w:rPr>
                <w:rFonts w:ascii="宋体" w:hAnsi="宋体" w:hint="eastAsia"/>
              </w:rPr>
              <w:t>企业环境信息依法披露系统（内蒙古）</w:t>
            </w:r>
          </w:p>
          <w:p>
            <w:pPr>
              <w:wordWrap w:val="0"/>
              <w:rPr>
                <w:rFonts w:ascii="宋体" w:hAnsi="宋体"/>
              </w:rPr>
            </w:pPr>
            <w:r>
              <w:rPr>
                <w:rFonts w:ascii="宋体" w:hAnsi="宋体"/>
              </w:rPr>
              <w:t>http://111.56.142.62:40010/support-yfpl-web/web/viewRunner.html?viewId=http://111.56.142.62:40010/support-yfpl-web/web/sps/views/yfpl/views/yfplYearReport/index.js&amp;keyword=%E5%86%85%E8%92%99%E5%8F%A4%E9%BB%84%E9%99%B6%E5%8B%92%E7%9B%96%E7%85%A4%E7%82%AD%E6%9C%89%E9%99%90%E8%B4%A3%E4%BB%BB%E5%85%AC%E5%8F%B8%EF%BC%88%E5%B7%B4%E5%BD%A6%E9%AB%98%E5%8B%92%E7%85%A4%E7%9F%BF%EF%BC%89</w:t>
            </w:r>
          </w:p>
        </w:tc>
      </w:tr>
      <w:tr>
        <w:trPr>
          <w:trHeight w:val="270"/>
          <w:jc w:val="center"/>
        </w:trPr>
        <w:tc>
          <w:tcPr>
            <w:tcW w:w="411" w:type="pct"/>
            <w:vAlign w:val="center"/>
          </w:tcPr>
          <w:p>
            <w:pPr>
              <w:jc w:val="center"/>
              <w:rPr>
                <w:rFonts w:ascii="宋体" w:hAnsi="宋体"/>
              </w:rPr>
            </w:pPr>
            <w:r>
              <w:rPr>
                <w:rFonts w:ascii="宋体" w:hAnsi="宋体" w:hint="eastAsia"/>
              </w:rPr>
              <w:t>34</w:t>
            </w:r>
          </w:p>
        </w:tc>
        <w:tc>
          <w:tcPr>
            <w:tcW w:w="1574" w:type="pct"/>
            <w:vAlign w:val="center"/>
          </w:tcPr>
          <w:p>
            <w:pPr>
              <w:rPr>
                <w:rFonts w:ascii="宋体" w:hAnsi="宋体"/>
              </w:rPr>
            </w:pPr>
            <w:r>
              <w:rPr>
                <w:rFonts w:ascii="宋体" w:hAnsi="宋体" w:hint="eastAsia"/>
              </w:rPr>
              <w:t>甘肃华能天竣能源有限公司刘园子煤矿分公司</w:t>
            </w:r>
          </w:p>
        </w:tc>
        <w:tc>
          <w:tcPr>
            <w:tcW w:w="3015" w:type="pct"/>
            <w:vAlign w:val="center"/>
          </w:tcPr>
          <w:p>
            <w:pPr>
              <w:wordWrap w:val="0"/>
              <w:rPr>
                <w:rFonts w:ascii="宋体" w:hAnsi="宋体"/>
              </w:rPr>
            </w:pPr>
            <w:r>
              <w:rPr>
                <w:rFonts w:ascii="宋体" w:hAnsi="宋体" w:hint="eastAsia"/>
              </w:rPr>
              <w:t>企业环境信息依法披露系统（甘肃）</w:t>
            </w:r>
          </w:p>
          <w:p>
            <w:pPr>
              <w:wordWrap w:val="0"/>
              <w:rPr>
                <w:rFonts w:ascii="宋体" w:hAnsi="宋体"/>
              </w:rPr>
            </w:pPr>
            <w:r>
              <w:rPr>
                <w:rFonts w:ascii="宋体" w:hAnsi="宋体"/>
              </w:rPr>
              <w:t>https://zwfw.sthj.gansu.gov.cn/revealPubVue/#/home</w:t>
            </w:r>
          </w:p>
        </w:tc>
      </w:tr>
    </w:tbl>
    <w:p>
      <w:pPr>
        <w:pStyle w:val="Style49"/>
      </w:pPr>
    </w:p>
    <w:p>
      <w:pPr>
        <w:rPr>
          <w:color w:val="000000"/>
        </w:rPr>
      </w:pPr>
      <w:r>
        <w:rPr>
          <w:rFonts w:hint="eastAsia"/>
          <w:color w:val="000000"/>
        </w:rPr>
        <w:t>其他说明</w:t>
      </w:r>
    </w:p>
    <w:sdt>
      <w:sdtPr>
        <w:rPr>
          <w:rFonts w:hint="eastAsia"/>
          <w:color w:val="000000"/>
        </w:rPr>
        <w:alias w:val="是否适用：纳入环境信息依法披露企业名单的上市公司及其主要子公司的环境信息情况其他说明[双击切换]"/>
        <w:tag w:val="_GBC_abd5627e0eb0427eb278825f1b086dc3"/>
        <w:id w:val="-951785064"/>
        <w:placeholder>
          <w:docPart w:val="GBC22222222222222222222222222222"/>
        </w:placeholder>
      </w:sdtPr>
      <w:sdtContent>
        <w:p>
          <w:pPr>
            <w:rPr>
              <w:color w:val="000000"/>
            </w:rPr>
          </w:pPr>
          <w:r>
            <w:rPr>
              <w:rFonts w:ascii="宋体" w:hAnsi="宋体" w:hint="eastAsia"/>
              <w:color w:val="000000"/>
            </w:rPr>
            <w:fldChar w:fldCharType="begin"/>
          </w:r>
          <w:r>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□不适用 </w:instrText>
          </w:r>
          <w:r>
            <w:rPr>
              <w:rFonts w:ascii="宋体" w:hAnsi="宋体" w:hint="eastAsia"/>
              <w:color w:val="000000"/>
            </w:rPr>
            <w:fldChar w:fldCharType="end"/>
          </w:r>
        </w:p>
      </w:sdtContent>
    </w:sdt>
    <w:sdt>
      <w:sdtPr>
        <w:rPr>
          <w:rFonts w:hint="eastAsia"/>
          <w:color w:val="000000"/>
        </w:rPr>
        <w:alias w:val="纳入环境信息依法披露企业名单的上市公司及其主要子公司的环境信息情况其他说明"/>
        <w:tag w:val="_GBC_59b20b5f7d41408180c5216c68c1a09a"/>
        <w:id w:val="-822121719"/>
        <w:placeholder>
          <w:docPart w:val="4348013967214338AA936EC95226A6E3"/>
        </w:placeholder>
      </w:sdtPr>
      <w:sdtContent>
        <w:p>
          <w:pPr>
            <w:ind w:firstLineChars="200" w:firstLine="420"/>
          </w:pPr>
          <w:r>
            <w:rPr>
              <w:rFonts w:hint="eastAsia"/>
              <w:color w:val="000000"/>
            </w:rPr>
            <w:t>上表所列纳入环境信息依法披露企业均为本集团境内附属公司，境外附属公司不适用上述披露规定。</w:t>
          </w:r>
        </w:p>
      </w:sdtContent>
    </w:sdt>
    <w:p>
      <w:pPr>
        <w:rPr>
          <w:color w:val="000000" w:themeColor="text1"/>
        </w:rPr>
      </w:pPr>
    </w:p>
    <w:bookmarkEnd w:id="182"/>
    <w:bookmarkEnd w:id="183"/>
    <w:p>
      <w:pPr>
        <w:pStyle w:val="Style51"/>
        <w:numPr>
          <w:ilvl w:val="0"/>
          <w:numId w:val="24"/>
        </w:numPr>
      </w:pPr>
      <w:r>
        <w:rPr>
          <w:rFonts w:ascii="宋体" w:hAnsi="宋体" w:cs="宋体"/>
          <w:kern w:val="0"/>
          <w:szCs w:val="24"/>
        </w:rPr>
        <w:t>社会责任工作情况</w:t>
      </w:r>
    </w:p>
    <w:p>
      <w:pPr>
        <w:pStyle w:val="3"/>
        <w:numPr>
          <w:ilvl w:val="0"/>
          <w:numId w:val="32"/>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829126395"/>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是否单独披露社会责任报告、可持续发展报告或ESG报告"/>
        <w:tag w:val="_GBC_e26ad08dba0e483a908a6ff4e6e74e3f"/>
        <w:id w:val="2012568458"/>
        <w:placeholder>
          <w:docPart w:val="GBC22222222222222222222222222222"/>
        </w:placeholder>
      </w:sdtPr>
      <w:sdtContent>
        <w:p>
          <w:pPr>
            <w:pStyle w:val="Style49"/>
          </w:pPr>
          <w:r>
            <w:t>公司</w:t>
          </w:r>
          <w:r>
            <w:rPr>
              <w:rFonts w:hint="eastAsia"/>
            </w:rPr>
            <w:t>单独发布《环境、社会及管治报告》。</w:t>
          </w:r>
        </w:p>
      </w:sdtContent>
    </w:sdt>
    <w:p>
      <w:pPr>
        <w:pStyle w:val="Style49"/>
      </w:pPr>
    </w:p>
    <w:p>
      <w:pPr>
        <w:pStyle w:val="3"/>
        <w:numPr>
          <w:ilvl w:val="0"/>
          <w:numId w:val="32"/>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36688241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Style6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5484"/>
      </w:tblGrid>
      <w:tr>
        <w:sdt>
          <w:sdtPr>
            <w:tag w:val="_PLD_8ccd1f20d787452283cca30b8be75dc8"/>
            <w:id w:val="-643740066"/>
          </w:sdtPr>
          <w:sdtContent>
            <w:tc>
              <w:tcPr>
                <w:tcW w:w="3016" w:type="dxa"/>
                <w:vAlign w:val="center"/>
              </w:tcPr>
              <w:p>
                <w:pPr>
                  <w:widowControl w:val="0"/>
                  <w:jc w:val="center"/>
                </w:pPr>
                <w:r>
                  <w:rPr>
                    <w:rFonts w:hint="eastAsia"/>
                  </w:rPr>
                  <w:t>对外捐赠、公益项目</w:t>
                </w:r>
              </w:p>
            </w:tc>
          </w:sdtContent>
        </w:sdt>
        <w:sdt>
          <w:sdtPr>
            <w:tag w:val="_PLD_8451b9cc95c641c39056391d3348179e"/>
            <w:id w:val="-1219366658"/>
          </w:sdtPr>
          <w:sdtContent>
            <w:tc>
              <w:tcPr>
                <w:tcW w:w="5484" w:type="dxa"/>
                <w:vAlign w:val="center"/>
              </w:tcPr>
              <w:p>
                <w:pPr>
                  <w:widowControl w:val="0"/>
                  <w:jc w:val="center"/>
                </w:pPr>
                <w:r>
                  <w:rPr>
                    <w:rFonts w:hint="eastAsia"/>
                  </w:rPr>
                  <w:t>数量</w:t>
                </w:r>
                <w:r>
                  <w:rPr>
                    <w:rFonts w:hint="eastAsia"/>
                  </w:rPr>
                  <w:t>/</w:t>
                </w:r>
                <w:r>
                  <w:rPr>
                    <w:rFonts w:hint="eastAsia"/>
                  </w:rPr>
                  <w:t>内容</w:t>
                </w:r>
              </w:p>
            </w:tc>
          </w:sdtContent>
        </w:sdt>
      </w:tr>
      <w:tr>
        <w:tc>
          <w:tcPr>
            <w:tcW w:w="3016" w:type="dxa"/>
            <w:vAlign w:val="center"/>
          </w:tcPr>
          <w:p>
            <w:pPr>
              <w:widowControl w:val="0"/>
              <w:jc w:val="both"/>
            </w:pPr>
            <w:sdt>
              <w:sdtPr>
                <w:tag w:val="_PLD_0d7064bea05840f68cf6fa5a0fdfd98b"/>
                <w:id w:val="-1245647211"/>
              </w:sdtPr>
              <w:sdtContent>
                <w:r>
                  <w:rPr>
                    <w:rFonts w:hint="eastAsia"/>
                  </w:rPr>
                  <w:t>总投入</w:t>
                </w:r>
              </w:sdtContent>
            </w:sdt>
            <w:r>
              <w:rPr>
                <w:rFonts w:hint="eastAsia"/>
              </w:rPr>
              <w:t>（</w:t>
            </w:r>
            <w:sdt>
              <w:sdtPr>
                <w:rPr>
                  <w:rFonts w:hint="eastAsia"/>
                </w:rPr>
                <w:alias w:val="单位：对外捐赠、公益项目总投入"/>
                <w:tag w:val="_GBC_aab341873e5d4b8da4321e41124d111c"/>
                <w:id w:val="609396062"/>
                <w:placeholder>
                  <w:docPart w:val="8BFAD9E4DA3E4289B95646EBFD3E106C"/>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tc>
          <w:tcPr>
            <w:tcW w:w="5484" w:type="dxa"/>
            <w:vAlign w:val="center"/>
          </w:tcPr>
          <w:p>
            <w:pPr>
              <w:widowControl w:val="0"/>
              <w:jc w:val="right"/>
              <w:rPr>
                <w:rFonts w:ascii="宋体" w:hAnsi="宋体"/>
              </w:rPr>
            </w:pPr>
            <w:r>
              <w:rPr>
                <w:rFonts w:ascii="宋体" w:hAnsi="宋体"/>
              </w:rPr>
              <w:t>6,883</w:t>
            </w:r>
          </w:p>
        </w:tc>
      </w:tr>
      <w:tr>
        <w:tc>
          <w:tcPr>
            <w:tcW w:w="3016" w:type="dxa"/>
            <w:vAlign w:val="center"/>
          </w:tcPr>
          <w:p>
            <w:pPr>
              <w:widowControl w:val="0"/>
              <w:jc w:val="both"/>
            </w:pPr>
            <w:sdt>
              <w:sdtPr>
                <w:tag w:val="_PLD_74e68264673c4597881c5410d63b6c6f"/>
                <w:id w:val="1490133471"/>
              </w:sdtPr>
              <w:sdtContent>
                <w:r>
                  <w:rPr>
                    <w:rFonts w:hint="eastAsia"/>
                  </w:rPr>
                  <w:t>其中：资金</w:t>
                </w:r>
              </w:sdtContent>
            </w:sdt>
            <w:r>
              <w:rPr>
                <w:rFonts w:hint="eastAsia"/>
              </w:rPr>
              <w:t>（</w:t>
            </w:r>
            <w:sdt>
              <w:sdtPr>
                <w:rPr>
                  <w:rFonts w:hint="eastAsia"/>
                </w:rPr>
                <w:alias w:val="单位：对外捐赠、公益项目资金"/>
                <w:tag w:val="_GBC_cdf539ba1e6842ba87837cc093e99d8c"/>
                <w:id w:val="1537539202"/>
                <w:placeholder>
                  <w:docPart w:val="8BFAD9E4DA3E4289B95646EBFD3E106C"/>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tc>
          <w:tcPr>
            <w:tcW w:w="5484" w:type="dxa"/>
          </w:tcPr>
          <w:p>
            <w:pPr>
              <w:widowControl w:val="0"/>
              <w:jc w:val="right"/>
              <w:rPr>
                <w:rFonts w:ascii="宋体" w:hAnsi="宋体"/>
              </w:rPr>
            </w:pPr>
            <w:r>
              <w:rPr>
                <w:rFonts w:ascii="宋体" w:hAnsi="宋体"/>
              </w:rPr>
              <w:t>5,836</w:t>
            </w:r>
          </w:p>
        </w:tc>
      </w:tr>
      <w:tr>
        <w:tc>
          <w:tcPr>
            <w:tcW w:w="3016" w:type="dxa"/>
            <w:vAlign w:val="center"/>
          </w:tcPr>
          <w:p>
            <w:pPr>
              <w:widowControl w:val="0"/>
              <w:ind w:firstLineChars="300" w:firstLine="630"/>
              <w:jc w:val="both"/>
            </w:pPr>
            <w:sdt>
              <w:sdtPr>
                <w:tag w:val="_PLD_0011a929cca44c63ae225eb40c179693"/>
                <w:id w:val="1808587085"/>
              </w:sdtPr>
              <w:sdtContent>
                <w:r>
                  <w:rPr>
                    <w:rFonts w:hint="eastAsia"/>
                  </w:rPr>
                  <w:t>物资折款</w:t>
                </w:r>
              </w:sdtContent>
            </w:sdt>
            <w:r>
              <w:rPr>
                <w:rFonts w:hint="eastAsia"/>
              </w:rPr>
              <w:t>（</w:t>
            </w:r>
            <w:sdt>
              <w:sdtPr>
                <w:rPr>
                  <w:rFonts w:hint="eastAsia"/>
                </w:rPr>
                <w:alias w:val="单位：对外捐赠、公益项目物资折款"/>
                <w:tag w:val="_GBC_f0b7b13642c94169a98099a684129ab4"/>
                <w:id w:val="-646513768"/>
                <w:placeholder>
                  <w:docPart w:val="8BFAD9E4DA3E4289B95646EBFD3E106C"/>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tc>
          <w:tcPr>
            <w:tcW w:w="5484" w:type="dxa"/>
          </w:tcPr>
          <w:p>
            <w:pPr>
              <w:widowControl w:val="0"/>
              <w:jc w:val="right"/>
              <w:rPr>
                <w:rFonts w:ascii="宋体" w:hAnsi="宋体"/>
              </w:rPr>
            </w:pPr>
            <w:r>
              <w:rPr>
                <w:rFonts w:ascii="宋体" w:hAnsi="宋体"/>
              </w:rPr>
              <w:t>997</w:t>
            </w:r>
          </w:p>
        </w:tc>
      </w:tr>
      <w:tr>
        <w:tc>
          <w:tcPr>
            <w:tcW w:w="3016" w:type="dxa"/>
            <w:vAlign w:val="center"/>
          </w:tcPr>
          <w:p>
            <w:pPr>
              <w:widowControl w:val="0"/>
              <w:jc w:val="both"/>
            </w:pPr>
            <w:r>
              <w:rPr>
                <w:rFonts w:hint="eastAsia"/>
              </w:rPr>
              <w:t>惠及人数（人）</w:t>
            </w:r>
          </w:p>
        </w:tc>
        <w:tc>
          <w:tcPr>
            <w:tcW w:w="5484" w:type="dxa"/>
            <w:vAlign w:val="center"/>
          </w:tcPr>
          <w:p>
            <w:pPr>
              <w:widowControl w:val="0"/>
              <w:jc w:val="right"/>
            </w:pPr>
            <w:r>
              <w:rPr>
                <w:rFonts w:hint="eastAsia"/>
              </w:rPr>
              <w:t>-</w:t>
            </w:r>
          </w:p>
        </w:tc>
      </w:tr>
    </w:tbl>
    <w:p>
      <w:pPr>
        <w:pStyle w:val="Style49"/>
      </w:pPr>
    </w:p>
    <w:p>
      <w:pPr>
        <w:pStyle w:val="Style49"/>
      </w:pPr>
      <w:r>
        <w:rPr>
          <w:rFonts w:hint="eastAsia"/>
        </w:rPr>
        <w:t>具体说明</w:t>
      </w:r>
    </w:p>
    <w:sdt>
      <w:sdtPr>
        <w:rPr>
          <w:rFonts w:hint="eastAsia"/>
        </w:rPr>
        <w:alias w:val="是否适用：社会责任工作情况[双击切换]"/>
        <w:tag w:val="_GBC_193e5fab56724eddabaa8d0d74a4b129"/>
        <w:id w:val="172455808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Chars="200" w:firstLine="420"/>
        <w:rPr>
          <w:rFonts w:ascii="宋体" w:hAnsi="宋体"/>
        </w:rPr>
      </w:pPr>
      <w:sdt>
        <w:sdtPr>
          <w:rPr>
            <w:rFonts w:ascii="宋体" w:hAnsi="宋体"/>
          </w:rPr>
          <w:alias w:val="社会责任工作情况"/>
          <w:tag w:val="_GBC_a9b541509de44900b46d09bc29c43131"/>
          <w:id w:val="1650632901"/>
          <w:placeholder>
            <w:docPart w:val="GBC22222222222222222222222222222"/>
          </w:placeholder>
        </w:sdtPr>
        <w:sdtContent>
          <w:r>
            <w:rPr>
              <w:rFonts w:ascii="宋体" w:hAnsi="宋体" w:hint="eastAsia"/>
            </w:rPr>
            <w:t>2025年，公司积极开展对外捐赠和公益支持工作，有关详情请见日期为2026年3月2</w:t>
          </w:r>
          <w:r>
            <w:rPr>
              <w:rFonts w:ascii="宋体" w:hAnsi="宋体"/>
            </w:rPr>
            <w:t>7</w:t>
          </w:r>
          <w:r>
            <w:rPr>
              <w:rFonts w:ascii="宋体" w:hAnsi="宋体" w:hint="eastAsia"/>
            </w:rPr>
            <w:t>日的《2025年度环境、社会及管治报告》。</w:t>
          </w:r>
        </w:sdtContent>
      </w:sdt>
    </w:p>
    <w:p>
      <w:pPr>
        <w:rPr>
          <w:rFonts w:ascii="宋体" w:hAnsi="宋体"/>
        </w:rPr>
      </w:pPr>
    </w:p>
    <w:p>
      <w:pPr>
        <w:pStyle w:val="Style51"/>
        <w:numPr>
          <w:ilvl w:val="0"/>
          <w:numId w:val="24"/>
        </w:numPr>
      </w:pPr>
      <w:r>
        <w:rPr>
          <w:rFonts w:ascii="宋体" w:hAnsi="宋体" w:cs="宋体" w:hint="eastAsia"/>
          <w:kern w:val="0"/>
          <w:szCs w:val="24"/>
        </w:rPr>
        <w:t>巩固拓展脱贫攻坚成果、乡村振兴等工作具体情况</w:t>
      </w:r>
    </w:p>
    <w:sdt>
      <w:sdtPr>
        <w:rPr>
          <w:rFonts w:ascii="宋体" w:hAnsi="宋体"/>
        </w:rPr>
        <w:alias w:val="是否适用：巩固拓展脱贫攻坚成果、乡村振兴工作具体情况[双击切换]"/>
        <w:tag w:val="_GBC_94f5c59c87964f1f83743f3f44109e91"/>
        <w:id w:val="-101651716"/>
        <w:placeholder>
          <w:docPart w:val="GBC22222222222222222222222222222"/>
        </w:placeholder>
      </w:sdt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Style6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5415"/>
      </w:tblGrid>
      <w:tr>
        <w:sdt>
          <w:sdtPr>
            <w:rPr>
              <w:rFonts w:ascii="宋体" w:hAnsi="宋体"/>
            </w:rPr>
            <w:tag w:val="_PLD_d29d252d89d54e55bc5bc96bc0b5b469"/>
            <w:id w:val="861484999"/>
          </w:sdtPr>
          <w:sdtContent>
            <w:tc>
              <w:tcPr>
                <w:tcW w:w="3085" w:type="dxa"/>
                <w:vAlign w:val="center"/>
              </w:tcPr>
              <w:p>
                <w:pPr>
                  <w:widowControl w:val="0"/>
                  <w:jc w:val="center"/>
                  <w:rPr>
                    <w:rFonts w:ascii="宋体" w:hAnsi="宋体"/>
                  </w:rPr>
                </w:pPr>
                <w:r>
                  <w:rPr>
                    <w:rFonts w:ascii="宋体" w:hAnsi="宋体" w:hint="eastAsia"/>
                  </w:rPr>
                  <w:t>扶贫及乡村振兴项目</w:t>
                </w:r>
              </w:p>
            </w:tc>
          </w:sdtContent>
        </w:sdt>
        <w:sdt>
          <w:sdtPr>
            <w:rPr>
              <w:rFonts w:ascii="宋体" w:hAnsi="宋体"/>
            </w:rPr>
            <w:tag w:val="_PLD_a6391e1627b241d296ea0039eb1df6ec"/>
            <w:id w:val="458534490"/>
          </w:sdtPr>
          <w:sdtContent>
            <w:tc>
              <w:tcPr>
                <w:tcW w:w="5415" w:type="dxa"/>
                <w:vAlign w:val="center"/>
              </w:tcPr>
              <w:p>
                <w:pPr>
                  <w:widowControl w:val="0"/>
                  <w:jc w:val="center"/>
                  <w:rPr>
                    <w:rFonts w:ascii="宋体" w:hAnsi="宋体"/>
                  </w:rPr>
                </w:pPr>
                <w:r>
                  <w:rPr>
                    <w:rFonts w:ascii="宋体" w:hAnsi="宋体" w:hint="eastAsia"/>
                  </w:rPr>
                  <w:t>数量/内容</w:t>
                </w:r>
              </w:p>
            </w:tc>
          </w:sdtContent>
        </w:sdt>
      </w:tr>
      <w:tr>
        <w:tc>
          <w:tcPr>
            <w:tcW w:w="3085" w:type="dxa"/>
            <w:vAlign w:val="center"/>
          </w:tcPr>
          <w:p>
            <w:pPr>
              <w:widowControl w:val="0"/>
              <w:rPr>
                <w:rFonts w:ascii="宋体" w:hAnsi="宋体"/>
              </w:rPr>
            </w:pPr>
            <w:sdt>
              <w:sdtPr>
                <w:rPr>
                  <w:rFonts w:ascii="宋体" w:hAnsi="宋体"/>
                </w:rPr>
                <w:tag w:val="_PLD_dae771cda9a1484bba73d2b716e9e1d0"/>
                <w:id w:val="550034315"/>
              </w:sdtPr>
              <w:sdtContent>
                <w:r>
                  <w:rPr>
                    <w:rFonts w:ascii="宋体" w:hAnsi="宋体" w:hint="eastAsia"/>
                  </w:rPr>
                  <w:t>总投入</w:t>
                </w:r>
              </w:sdtContent>
            </w:sdt>
            <w:r>
              <w:rPr>
                <w:rFonts w:ascii="宋体" w:hAnsi="宋体" w:hint="eastAsia"/>
              </w:rPr>
              <w:t>（</w:t>
            </w:r>
            <w:sdt>
              <w:sdtPr>
                <w:rPr>
                  <w:rFonts w:ascii="宋体" w:hAnsi="宋体" w:hint="eastAsia"/>
                </w:rPr>
                <w:alias w:val="单位：扶贫总体投入"/>
                <w:tag w:val="_GBC_5f0221b7e67c41f098047fc332d7fdb0"/>
                <w:id w:val="-794208883"/>
                <w:placeholder>
                  <w:docPart w:val="4B5B35B7A69D445681BA3CC394ABF5E3"/>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万元</w:t>
                </w:r>
              </w:sdtContent>
            </w:sdt>
            <w:r>
              <w:rPr>
                <w:rFonts w:ascii="宋体" w:hAnsi="宋体" w:hint="eastAsia"/>
              </w:rPr>
              <w:t>）</w:t>
            </w:r>
          </w:p>
        </w:tc>
        <w:tc>
          <w:tcPr>
            <w:tcW w:w="5415" w:type="dxa"/>
          </w:tcPr>
          <w:p>
            <w:pPr>
              <w:widowControl w:val="0"/>
              <w:jc w:val="right"/>
              <w:rPr>
                <w:rFonts w:ascii="宋体" w:hAnsi="宋体"/>
              </w:rPr>
            </w:pPr>
            <w:r>
              <w:rPr>
                <w:rFonts w:ascii="宋体" w:hAnsi="宋体"/>
              </w:rPr>
              <w:t>619</w:t>
            </w:r>
          </w:p>
        </w:tc>
      </w:tr>
      <w:tr>
        <w:tc>
          <w:tcPr>
            <w:tcW w:w="3085" w:type="dxa"/>
            <w:vAlign w:val="center"/>
          </w:tcPr>
          <w:p>
            <w:pPr>
              <w:widowControl w:val="0"/>
              <w:rPr>
                <w:rFonts w:ascii="宋体" w:hAnsi="宋体"/>
              </w:rPr>
            </w:pPr>
            <w:sdt>
              <w:sdtPr>
                <w:rPr>
                  <w:rFonts w:ascii="宋体" w:hAnsi="宋体"/>
                </w:rPr>
                <w:tag w:val="_PLD_69ea38aa090e4fbbb17554804e8f1815"/>
                <w:id w:val="1681847097"/>
              </w:sdtPr>
              <w:sdtContent>
                <w:r>
                  <w:rPr>
                    <w:rFonts w:ascii="宋体" w:hAnsi="宋体" w:hint="eastAsia"/>
                  </w:rPr>
                  <w:t>其中：资金</w:t>
                </w:r>
              </w:sdtContent>
            </w:sdt>
            <w:r>
              <w:rPr>
                <w:rFonts w:ascii="宋体" w:hAnsi="宋体" w:hint="eastAsia"/>
              </w:rPr>
              <w:t>（</w:t>
            </w:r>
            <w:sdt>
              <w:sdtPr>
                <w:rPr>
                  <w:rFonts w:ascii="宋体" w:hAnsi="宋体" w:hint="eastAsia"/>
                </w:rPr>
                <w:alias w:val="单位：扶贫总体资金"/>
                <w:tag w:val="_GBC_ee2e74bc2b774ca490d2bc701194ed12"/>
                <w:id w:val="1246696867"/>
                <w:placeholder>
                  <w:docPart w:val="4B5B35B7A69D445681BA3CC394ABF5E3"/>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万元</w:t>
                </w:r>
              </w:sdtContent>
            </w:sdt>
            <w:r>
              <w:rPr>
                <w:rFonts w:ascii="宋体" w:hAnsi="宋体" w:hint="eastAsia"/>
              </w:rPr>
              <w:t>）</w:t>
            </w:r>
          </w:p>
        </w:tc>
        <w:tc>
          <w:tcPr>
            <w:tcW w:w="5415" w:type="dxa"/>
          </w:tcPr>
          <w:p>
            <w:pPr>
              <w:widowControl w:val="0"/>
              <w:jc w:val="right"/>
              <w:rPr>
                <w:rFonts w:ascii="宋体" w:hAnsi="宋体"/>
              </w:rPr>
            </w:pPr>
            <w:r>
              <w:rPr>
                <w:rFonts w:ascii="宋体" w:hAnsi="宋体"/>
              </w:rPr>
              <w:t>619</w:t>
            </w:r>
          </w:p>
        </w:tc>
      </w:tr>
      <w:tr>
        <w:tc>
          <w:tcPr>
            <w:tcW w:w="3085" w:type="dxa"/>
            <w:vAlign w:val="center"/>
          </w:tcPr>
          <w:p>
            <w:pPr>
              <w:widowControl w:val="0"/>
              <w:ind w:firstLineChars="300" w:firstLine="630"/>
              <w:jc w:val="both"/>
              <w:rPr>
                <w:rFonts w:ascii="宋体" w:hAnsi="宋体"/>
              </w:rPr>
            </w:pPr>
            <w:sdt>
              <w:sdtPr>
                <w:rPr>
                  <w:rFonts w:ascii="宋体" w:hAnsi="宋体"/>
                </w:rPr>
                <w:tag w:val="_PLD_0ceb41eb583e412ea04995521d22af44"/>
                <w:id w:val="1715158095"/>
              </w:sdtPr>
              <w:sdtContent>
                <w:r>
                  <w:rPr>
                    <w:rFonts w:ascii="宋体" w:hAnsi="宋体" w:hint="eastAsia"/>
                  </w:rPr>
                  <w:t>物资折款</w:t>
                </w:r>
              </w:sdtContent>
            </w:sdt>
            <w:r>
              <w:rPr>
                <w:rFonts w:ascii="宋体" w:hAnsi="宋体" w:hint="eastAsia"/>
              </w:rPr>
              <w:t>（</w:t>
            </w:r>
            <w:sdt>
              <w:sdtPr>
                <w:rPr>
                  <w:rFonts w:ascii="宋体" w:hAnsi="宋体" w:hint="eastAsia"/>
                </w:rPr>
                <w:alias w:val="单位：扶贫物资折款"/>
                <w:tag w:val="_GBC_e913f66999ce4abcba46d8007b91edcb"/>
                <w:id w:val="-72130409"/>
                <w:placeholder>
                  <w:docPart w:val="4B5B35B7A69D445681BA3CC394ABF5E3"/>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万元</w:t>
                </w:r>
              </w:sdtContent>
            </w:sdt>
            <w:r>
              <w:rPr>
                <w:rFonts w:ascii="宋体" w:hAnsi="宋体" w:hint="eastAsia"/>
              </w:rPr>
              <w:t>）</w:t>
            </w:r>
          </w:p>
        </w:tc>
        <w:tc>
          <w:tcPr>
            <w:tcW w:w="5415" w:type="dxa"/>
            <w:vAlign w:val="center"/>
          </w:tcPr>
          <w:p>
            <w:pPr>
              <w:widowControl w:val="0"/>
              <w:jc w:val="right"/>
              <w:rPr>
                <w:rFonts w:ascii="宋体" w:hAnsi="宋体"/>
              </w:rPr>
            </w:pPr>
            <w:r>
              <w:rPr>
                <w:rFonts w:ascii="宋体" w:hAnsi="宋体" w:hint="eastAsia"/>
              </w:rPr>
              <w:t>-</w:t>
            </w:r>
          </w:p>
        </w:tc>
      </w:tr>
      <w:tr>
        <w:tc>
          <w:tcPr>
            <w:tcW w:w="3085" w:type="dxa"/>
            <w:vAlign w:val="center"/>
          </w:tcPr>
          <w:p>
            <w:pPr>
              <w:widowControl w:val="0"/>
              <w:rPr>
                <w:rFonts w:ascii="宋体" w:hAnsi="宋体"/>
              </w:rPr>
            </w:pPr>
            <w:r>
              <w:rPr>
                <w:rFonts w:ascii="宋体" w:hAnsi="宋体" w:hint="eastAsia"/>
              </w:rPr>
              <w:t>惠及人数（人）</w:t>
            </w:r>
          </w:p>
        </w:tc>
        <w:tc>
          <w:tcPr>
            <w:tcW w:w="5415" w:type="dxa"/>
            <w:vAlign w:val="center"/>
          </w:tcPr>
          <w:p>
            <w:pPr>
              <w:widowControl w:val="0"/>
              <w:jc w:val="right"/>
              <w:rPr>
                <w:rFonts w:ascii="宋体" w:hAnsi="宋体"/>
              </w:rPr>
            </w:pPr>
            <w:r>
              <w:rPr>
                <w:rFonts w:ascii="宋体" w:hAnsi="宋体" w:hint="eastAsia"/>
              </w:rPr>
              <w:t>-</w:t>
            </w:r>
          </w:p>
        </w:tc>
      </w:tr>
      <w:tr>
        <w:tc>
          <w:tcPr>
            <w:tcW w:w="3085" w:type="dxa"/>
            <w:vAlign w:val="center"/>
          </w:tcPr>
          <w:p>
            <w:pPr>
              <w:widowControl w:val="0"/>
              <w:rPr>
                <w:rFonts w:ascii="宋体" w:hAnsi="宋体"/>
              </w:rPr>
            </w:pPr>
            <w:r>
              <w:rPr>
                <w:rFonts w:ascii="宋体" w:hAnsi="宋体" w:hint="eastAsia"/>
              </w:rPr>
              <w:t>帮扶形式（如产业扶贫、就业扶贫、教育扶贫等）</w:t>
            </w:r>
          </w:p>
        </w:tc>
        <w:tc>
          <w:tcPr>
            <w:tcW w:w="5415" w:type="dxa"/>
            <w:vAlign w:val="center"/>
          </w:tcPr>
          <w:p>
            <w:pPr>
              <w:widowControl w:val="0"/>
              <w:rPr>
                <w:rFonts w:ascii="宋体" w:hAnsi="宋体"/>
              </w:rPr>
            </w:pPr>
            <w:r>
              <w:rPr>
                <w:rFonts w:ascii="宋体" w:hAnsi="宋体" w:hint="eastAsia"/>
              </w:rPr>
              <w:t>产业扶贫、就业扶贫、教育扶贫</w:t>
            </w:r>
          </w:p>
        </w:tc>
      </w:tr>
    </w:tbl>
    <w:p>
      <w:pPr>
        <w:rPr>
          <w:rFonts w:ascii="宋体" w:hAnsi="宋体"/>
        </w:rPr>
      </w:pPr>
    </w:p>
    <w:p>
      <w:pPr>
        <w:rPr>
          <w:rFonts w:ascii="宋体" w:hAnsi="宋体"/>
        </w:rPr>
      </w:pPr>
      <w:r>
        <w:rPr>
          <w:rFonts w:ascii="宋体" w:hAnsi="宋体"/>
        </w:rPr>
        <w:t>具体说明</w:t>
      </w:r>
    </w:p>
    <w:sdt>
      <w:sdtPr>
        <w:rPr>
          <w:rFonts w:ascii="宋体" w:hAnsi="宋体"/>
        </w:rPr>
        <w:alias w:val="是否适用：巩固拓展脱贫攻坚成果、乡村振兴等工作具体情况其他说明[双击切换]"/>
        <w:tag w:val="_GBC_da0a87234d174e509f00e24b4a8320dc"/>
        <w:id w:val="-509136581"/>
        <w:placeholder>
          <w:docPart w:val="GBC22222222222222222222222222222"/>
        </w:placeholder>
      </w:sdt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Chars="200" w:firstLine="420"/>
        <w:rPr>
          <w:rFonts w:ascii="宋体" w:hAnsi="宋体"/>
        </w:rPr>
      </w:pPr>
      <w:sdt>
        <w:sdtPr>
          <w:rPr>
            <w:rFonts w:ascii="宋体" w:hAnsi="宋体"/>
          </w:rPr>
          <w:alias w:val="巩固拓展脱贫攻坚成果、乡村振兴工作具体情况"/>
          <w:tag w:val="_GBC_6af1d9c635ca457eaede5db7b23daa68"/>
          <w:id w:val="-241408211"/>
          <w:placeholder>
            <w:docPart w:val="GBC22222222222222222222222222222"/>
          </w:placeholder>
        </w:sdtPr>
        <w:sdtContent>
          <w:r>
            <w:rPr>
              <w:rFonts w:ascii="宋体" w:hAnsi="宋体" w:hint="eastAsia"/>
            </w:rPr>
            <w:t>2025年，公司积极开展脱贫攻坚和乡村振兴工作，有关详情请见日期为2026年3月2</w:t>
          </w:r>
          <w:r>
            <w:rPr>
              <w:rFonts w:ascii="宋体" w:hAnsi="宋体"/>
            </w:rPr>
            <w:t>7</w:t>
          </w:r>
          <w:r>
            <w:rPr>
              <w:rFonts w:ascii="宋体" w:hAnsi="宋体" w:hint="eastAsia"/>
            </w:rPr>
            <w:t>日的《2025年度环境、社会及管治报告》。</w:t>
          </w:r>
        </w:sdtContent>
      </w:sdt>
    </w:p>
    <w:p/>
    <w:p>
      <w:pPr>
        <w:pStyle w:val="Style51"/>
        <w:numPr>
          <w:ilvl w:val="0"/>
          <w:numId w:val="24"/>
        </w:numPr>
      </w:pPr>
      <w:r>
        <w:t>其他</w:t>
      </w:r>
    </w:p>
    <w:sdt>
      <w:sdtPr>
        <w:rPr>
          <w:rFonts w:hint="eastAsia"/>
        </w:rPr>
        <w:alias w:val="是否适用：其他公司治理情况说明[双击切换]"/>
        <w:tag w:val="_GBC_dc91085943bb4d4ab22a79a9ba7014df"/>
        <w:id w:val="207685803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其他公司治理情况"/>
        <w:tag w:val="_GBC_b87ae3f9769a4139afd35b4713731640"/>
        <w:id w:val="1283765404"/>
        <w:placeholder>
          <w:docPart w:val="GBC22222222222222222222222222222"/>
        </w:placeholder>
      </w:sdtPr>
      <w:sdtContent>
        <w:p>
          <w:pPr>
            <w:ind w:firstLineChars="200" w:firstLine="420"/>
            <w:jc w:val="both"/>
          </w:pPr>
          <w:r>
            <w:rPr>
              <w:rFonts w:hint="eastAsia"/>
            </w:rPr>
            <w:t>企业管治报告（按香港上市监管规定编制）</w:t>
          </w:r>
        </w:p>
        <w:p>
          <w:pPr>
            <w:jc w:val="both"/>
          </w:pPr>
        </w:p>
        <w:p>
          <w:pPr>
            <w:ind w:firstLineChars="200" w:firstLine="420"/>
            <w:jc w:val="both"/>
            <w:rPr>
              <w:rFonts w:ascii="宋体" w:hAnsi="宋体"/>
            </w:rPr>
          </w:pPr>
          <w:r>
            <w:rPr>
              <w:rFonts w:ascii="宋体" w:hAnsi="宋体" w:hint="eastAsia"/>
            </w:rPr>
            <w:t>（一）《企业管治守则》（“《守则》”）及《标准守则》遵守情况</w:t>
          </w:r>
        </w:p>
        <w:p>
          <w:pPr>
            <w:ind w:firstLineChars="200" w:firstLine="420"/>
            <w:jc w:val="both"/>
            <w:rPr>
              <w:rFonts w:ascii="宋体" w:hAnsi="宋体"/>
            </w:rPr>
          </w:pPr>
          <w:r>
            <w:rPr>
              <w:rFonts w:ascii="宋体" w:hAnsi="宋体" w:hint="eastAsia"/>
            </w:rPr>
            <w:t>本集团已经建立了比较规范、稳健的企业管治架构，并注重遵循透明、问责、维护全体股东权益的公司管治原则。</w:t>
          </w:r>
        </w:p>
        <w:p>
          <w:pPr>
            <w:ind w:firstLineChars="200" w:firstLine="420"/>
            <w:jc w:val="both"/>
            <w:rPr>
              <w:rFonts w:ascii="宋体" w:hAnsi="宋体"/>
            </w:rPr>
          </w:pPr>
          <w:r>
            <w:rPr>
              <w:rFonts w:ascii="宋体" w:hAnsi="宋体" w:hint="eastAsia"/>
            </w:rPr>
            <w:t>董事会相信，良好的企业管治对本集团运营发展十分重要。本集团已建立向全体董事汇报的制度，确保董事对公司业务知情；并相信定期举行的董事会会议能够为非执行董事提供有效的沟通渠道，以使非执行董事对本集团业务进行全面及开放的讨论。董事会定期检讨公司治理常规，以确保公司的运行符合法律、法规及上市地监管规定，不断致力于提升公司管治水平。</w:t>
          </w:r>
        </w:p>
        <w:p>
          <w:pPr>
            <w:ind w:firstLineChars="200" w:firstLine="420"/>
            <w:jc w:val="both"/>
            <w:rPr>
              <w:rFonts w:ascii="宋体" w:hAnsi="宋体"/>
            </w:rPr>
          </w:pPr>
          <w:r>
            <w:rPr>
              <w:rFonts w:ascii="宋体" w:hAnsi="宋体" w:hint="eastAsia"/>
            </w:rPr>
            <w:t>本集团已执行的企业管治常规文件包括但不限于：《公司章程》《股东会议事规则》《董事会议事规则》《总经理工作细则》《总经理办公会议事规则》《独立董事工作制度》《董事会授权管理制度》《董事会秘书工作制度》《信息披露管理制度》《关联交易管理办法》《投资者关系管理工作制度》《股东、董事、高管及相关内幕信息知情人所持本公司股份及变动管理制度》《董事会决议落实情况监督和评价管理办法》《专职产权代表管理办法》《高级职员职业道德行为准则》《内控体系建设管理办法》《全面风险管理办法》《市值管理制度》《</w:t>
          </w:r>
          <w:r>
            <w:rPr>
              <w:rFonts w:ascii="宋体" w:hAnsi="宋体"/>
            </w:rPr>
            <w:t>信息披露暂缓与豁免管理制度</w:t>
          </w:r>
          <w:r>
            <w:rPr>
              <w:rFonts w:ascii="宋体" w:hAnsi="宋体" w:hint="eastAsia"/>
            </w:rPr>
            <w:t>》《内部审计管理办法》等。截至2025年12月31日止年度及截至本报告公布之日，本集团采纳的企业管治常规文件，还包含香港上市规则之《守则》，本集团的企业管治运行情况亦符合《守则》的要求。报告期内，本公司已全面遵守《守则》第二部分所载的守则条文。</w:t>
          </w:r>
        </w:p>
        <w:p>
          <w:pPr>
            <w:ind w:firstLineChars="200" w:firstLine="420"/>
            <w:jc w:val="both"/>
            <w:rPr>
              <w:rFonts w:ascii="宋体" w:hAnsi="宋体"/>
            </w:rPr>
          </w:pPr>
          <w:r>
            <w:rPr>
              <w:rFonts w:ascii="宋体" w:hAnsi="宋体" w:hint="eastAsia"/>
            </w:rPr>
            <w:t>本集团已执行的企业管治常规，在某些方面比《守则》条文更严格，主要体现在：</w:t>
          </w:r>
        </w:p>
        <w:p>
          <w:pPr>
            <w:ind w:firstLineChars="200" w:firstLine="420"/>
            <w:jc w:val="both"/>
            <w:rPr>
              <w:rFonts w:ascii="宋体" w:hAnsi="宋体"/>
            </w:rPr>
          </w:pPr>
          <w:r>
            <w:rPr>
              <w:rFonts w:ascii="宋体" w:hAnsi="宋体" w:hint="eastAsia"/>
            </w:rPr>
            <w:t>积极推进董事会专门委员会建设。除《守则》条文中要求设立的审计委员会、薪酬委员会和提名委员会外，公司还进一步设立了战略与发展委员会和可持续发展委员会，并赋予各委员会具体详实的职责义务；</w:t>
          </w:r>
        </w:p>
        <w:p>
          <w:pPr>
            <w:ind w:firstLineChars="200" w:firstLine="420"/>
            <w:jc w:val="both"/>
            <w:rPr>
              <w:rFonts w:ascii="宋体" w:hAnsi="宋体"/>
            </w:rPr>
          </w:pPr>
          <w:r>
            <w:rPr>
              <w:rFonts w:ascii="宋体" w:hAnsi="宋体" w:hint="eastAsia"/>
            </w:rPr>
            <w:t>制定的《股东、董事、高管及相关内幕信息知情人所持本公司股份及变动管理制度》《高级职员职业道德行为准则》，比《标准守则》更严格；</w:t>
          </w:r>
        </w:p>
        <w:p>
          <w:pPr>
            <w:ind w:firstLineChars="200" w:firstLine="420"/>
            <w:jc w:val="both"/>
            <w:rPr>
              <w:rFonts w:ascii="宋体" w:hAnsi="宋体"/>
            </w:rPr>
          </w:pPr>
          <w:r>
            <w:rPr>
              <w:rFonts w:ascii="宋体" w:hAnsi="宋体" w:hint="eastAsia"/>
            </w:rPr>
            <w:t>按照上交所《公司自律监管指引第1号——规范运作》、中国财政部等五部委联合下发的《企业内部控制基本规范》和《守则》条文的规定建立内部控制体系，执行的标准比《守则》有关内部监控的条文更细化；</w:t>
          </w:r>
        </w:p>
        <w:p>
          <w:pPr>
            <w:ind w:firstLineChars="200" w:firstLine="420"/>
            <w:jc w:val="both"/>
            <w:rPr>
              <w:rFonts w:ascii="宋体" w:hAnsi="宋体"/>
            </w:rPr>
          </w:pPr>
          <w:r>
            <w:rPr>
              <w:rFonts w:ascii="宋体" w:hAnsi="宋体" w:hint="eastAsia"/>
            </w:rPr>
            <w:t>公布了董事会及年审会计师对公司2025年度内部控制有效性的评估结论。</w:t>
          </w:r>
        </w:p>
        <w:p>
          <w:pPr>
            <w:pStyle w:val="Style49"/>
          </w:pPr>
          <w:r>
            <w:rPr>
              <w:rFonts w:hint="eastAsia"/>
            </w:rPr>
            <w:t xml:space="preserve"> </w:t>
          </w:r>
        </w:p>
        <w:p>
          <w:pPr>
            <w:ind w:firstLineChars="200" w:firstLine="420"/>
            <w:jc w:val="both"/>
            <w:rPr>
              <w:rFonts w:ascii="宋体" w:hAnsi="宋体"/>
            </w:rPr>
          </w:pPr>
          <w:r>
            <w:rPr>
              <w:rFonts w:ascii="宋体" w:hAnsi="宋体" w:hint="eastAsia"/>
            </w:rPr>
            <w:lastRenderedPageBreak/>
            <w:t>（二）董事证券交易</w:t>
          </w:r>
        </w:p>
        <w:p>
          <w:pPr>
            <w:ind w:firstLineChars="200" w:firstLine="420"/>
            <w:jc w:val="both"/>
            <w:rPr>
              <w:rFonts w:ascii="宋体" w:hAnsi="宋体"/>
            </w:rPr>
          </w:pPr>
          <w:r>
            <w:rPr>
              <w:rFonts w:ascii="宋体" w:hAnsi="宋体" w:hint="eastAsia"/>
            </w:rPr>
            <w:t>在向所有董事和高级管理人员作出特定查询后，本公司确定，截至本报告披露日，本公司董事和高级管理人员均严格遵守了《标准守则》所订有关进行证券交易的标准及本公司的有关管理制度。本公司已就董事和高级管理人员的证券交易采用不低于《标准守则》的行为准则。</w:t>
          </w:r>
        </w:p>
        <w:p>
          <w:pPr>
            <w:ind w:firstLineChars="200" w:firstLine="420"/>
            <w:jc w:val="both"/>
            <w:rPr>
              <w:rFonts w:ascii="宋体" w:hAnsi="宋体"/>
            </w:rPr>
          </w:pPr>
          <w:r>
            <w:rPr>
              <w:rFonts w:ascii="宋体" w:hAnsi="宋体" w:hint="eastAsia"/>
            </w:rPr>
            <w:t>2006年4月21日，本公司第三届董事会第五次会议审议批准了《管理层证券交易守则》；2010年4月23日，本公司第四届董事会第十四次会议对《管理层证券交易守则》进行修订，该制度在《标准守则》的基础上，补充完善了上市地证券交易有关法律法规和监管要求，比《标准守则》更严格。</w:t>
          </w:r>
        </w:p>
        <w:p>
          <w:pPr>
            <w:ind w:firstLineChars="200" w:firstLine="420"/>
            <w:jc w:val="both"/>
            <w:rPr>
              <w:rFonts w:ascii="宋体" w:hAnsi="宋体"/>
            </w:rPr>
          </w:pPr>
          <w:r>
            <w:rPr>
              <w:rFonts w:ascii="宋体" w:hAnsi="宋体" w:hint="eastAsia"/>
            </w:rPr>
            <w:t>2018年2月13日，本公司第七届董事会第十次会议审议批准了《董监高及内幕信息知情人所持本公司股份及变动管理制度》，同时废止了《管理层证券交易守则》；2018年12月5日，本公司第七届董事会第二十次会议对《董监高及内幕信息知情人所持本公司股份及变动管理制度》进行修订，该制度在《管理层证券交易守则》的基础上，规范了内幕信息知情人所持本公司股份及变动的行为，增加了违反监管措施的处罚规定，比《管理层证券交易守则》更全面、更严格。</w:t>
          </w:r>
        </w:p>
        <w:p>
          <w:pPr>
            <w:ind w:firstLineChars="200" w:firstLine="420"/>
            <w:jc w:val="both"/>
            <w:rPr>
              <w:rFonts w:ascii="宋体" w:hAnsi="宋体"/>
            </w:rPr>
          </w:pPr>
          <w:r>
            <w:rPr>
              <w:rFonts w:ascii="宋体" w:hAnsi="宋体" w:hint="eastAsia"/>
            </w:rPr>
            <w:t>2022年4月29日，本公司第八届董事会第二十二次会议审议批准了《股东、董事、监事、高管及相关内幕信息知情人所持本公司股份及变动管理制度》，对《董监高及内幕信息知情人所持本公司股份及变动管理制度》进行整体结构调整，补充更新相关条款，进一步加强股东、董事、监事、高级管理人员及相关内幕信息知情人所持本公司股份变动管理。</w:t>
          </w:r>
        </w:p>
        <w:p>
          <w:pPr>
            <w:ind w:firstLineChars="200" w:firstLine="420"/>
            <w:jc w:val="both"/>
            <w:rPr>
              <w:rFonts w:ascii="宋体" w:hAnsi="宋体"/>
            </w:rPr>
          </w:pPr>
          <w:r>
            <w:rPr>
              <w:rFonts w:ascii="宋体" w:hAnsi="宋体" w:hint="eastAsia"/>
            </w:rPr>
            <w:t>2024年8月30日，结合中国证监会修改发布《上市公司股东减持股份管理暂行办法》《上市公司董事、监事和高级管理人员所持本公司股份及其变动管理规则》，上交所修改发布《上市公司自律监管指引第15号——股东及董事、监事、高级管理人员减持股份》等实际情况，本公司第九届董事会第十次会议审议批准修改《股东、董事、监事、高管及相关内幕信息知情人所持本公司股份及变动管理制度》</w:t>
          </w:r>
          <w:bookmarkEnd w:id="184"/>
          <w:r>
            <w:rPr>
              <w:rFonts w:ascii="宋体" w:hAnsi="宋体" w:hint="eastAsia"/>
            </w:rPr>
            <w:t>中有关股东、董事、监事和高管减持股份的条款。</w:t>
          </w:r>
        </w:p>
        <w:p>
          <w:pPr>
            <w:ind w:firstLineChars="200" w:firstLine="420"/>
            <w:jc w:val="both"/>
            <w:rPr>
              <w:rFonts w:ascii="宋体" w:hAnsi="宋体"/>
            </w:rPr>
          </w:pPr>
          <w:r>
            <w:rPr>
              <w:rFonts w:ascii="宋体" w:hAnsi="宋体" w:hint="eastAsia"/>
            </w:rPr>
            <w:t>2025年4月25日，结合公司取消监事会实际并配套相关制度名称修改，本公司第九届董事会第十六次会议审议批准修订《股东、董事、监事、高管及相关内幕信息知情人所持本公司股份及变动管理制度》，删除原文件关于监事内容的表述。</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（三）董事会与经理层</w:t>
          </w:r>
        </w:p>
        <w:p>
          <w:pPr>
            <w:ind w:firstLineChars="200" w:firstLine="420"/>
            <w:jc w:val="both"/>
            <w:rPr>
              <w:rFonts w:ascii="宋体" w:hAnsi="宋体"/>
            </w:rPr>
          </w:pPr>
          <w:r>
            <w:rPr>
              <w:rFonts w:ascii="宋体" w:hAnsi="宋体" w:hint="eastAsia"/>
            </w:rPr>
            <w:t>于本报告披露日，公司董事会由11名董事组成，其中包括4名独立非执行董事。董事会成员的姓名、任职及离任情况载于本节相关内容。</w:t>
          </w:r>
          <w:bookmarkStart w:id="186" w:name="_Hlk223370006"/>
          <w:r>
            <w:rPr>
              <w:rFonts w:ascii="宋体" w:hAnsi="宋体" w:hint="eastAsia"/>
            </w:rPr>
            <w:t>报告期内，王九红先生及高井祥先生分别于2025年4月14日及2025年4月25日取得香港上市规则第3.09D条所述的法律意见，新任董事均已确认其明白作为上市发行人董事的责任。</w:t>
          </w:r>
        </w:p>
        <w:bookmarkEnd w:id="186"/>
        <w:p>
          <w:pPr>
            <w:ind w:firstLineChars="200" w:firstLine="420"/>
            <w:jc w:val="both"/>
            <w:rPr>
              <w:rFonts w:ascii="宋体" w:hAnsi="宋体"/>
            </w:rPr>
          </w:pPr>
          <w:r>
            <w:rPr>
              <w:rFonts w:ascii="宋体" w:hAnsi="宋体" w:hint="eastAsia"/>
            </w:rPr>
            <w:t>《公司章程》清晰载列了董事会和经理层的职责权限。</w:t>
          </w:r>
        </w:p>
        <w:p>
          <w:pPr>
            <w:ind w:firstLineChars="200" w:firstLine="420"/>
            <w:jc w:val="both"/>
            <w:rPr>
              <w:rFonts w:ascii="宋体" w:hAnsi="宋体"/>
            </w:rPr>
          </w:pPr>
          <w:r>
            <w:rPr>
              <w:rFonts w:ascii="宋体" w:hAnsi="宋体" w:hint="eastAsia"/>
            </w:rPr>
            <w:t>董事会“定战略、作决策、防风险”，负责公司战略决策和监督公司及管理层的运行，主要行使下列职权：决定公司经营计划和投资方案；制订公司财务决算和利润分配方案；推行及检讨公司内部监控系统；履行企业管治职责；确定公司管理机构设置及基本管理制度等。</w:t>
          </w:r>
        </w:p>
        <w:p>
          <w:pPr>
            <w:ind w:firstLineChars="200" w:firstLine="420"/>
            <w:jc w:val="both"/>
            <w:rPr>
              <w:rFonts w:ascii="宋体" w:hAnsi="宋体"/>
            </w:rPr>
          </w:pPr>
          <w:r>
            <w:rPr>
              <w:rFonts w:ascii="宋体" w:hAnsi="宋体" w:hint="eastAsia"/>
            </w:rPr>
            <w:t>经理层“谋经营、抓落实、强管理”，负责公司生产经营和管理工作，主要行使下列职权：负责公司日常生产经营；组织实施董事会决议事项；组织实施公司年度经营计划和投资方案；起草公司管理机构设置方案；起草公司的基本管理制度；拟定公司职工的工资、福利、奖惩；决定公司职工的聘用和解聘等。</w:t>
          </w:r>
        </w:p>
        <w:p>
          <w:pPr>
            <w:ind w:firstLineChars="200" w:firstLine="420"/>
            <w:jc w:val="both"/>
            <w:rPr>
              <w:rFonts w:ascii="宋体" w:hAnsi="宋体"/>
            </w:rPr>
          </w:pPr>
          <w:r>
            <w:rPr>
              <w:rFonts w:ascii="宋体" w:hAnsi="宋体" w:hint="eastAsia"/>
            </w:rPr>
            <w:t>根据香港上市规则，公司已经收到每名独立非执行董事就其独立性而作出的年度确认函，公司确认4名独立非执行董事属独立人士且符合香港上市规则关于独立非执行董事资格的要求。</w:t>
          </w:r>
        </w:p>
        <w:p>
          <w:pPr>
            <w:ind w:firstLineChars="200" w:firstLine="420"/>
            <w:jc w:val="both"/>
            <w:rPr>
              <w:rFonts w:ascii="宋体" w:hAnsi="宋体"/>
            </w:rPr>
          </w:pPr>
          <w:r>
            <w:rPr>
              <w:rFonts w:ascii="宋体" w:hAnsi="宋体" w:hint="eastAsia"/>
            </w:rPr>
            <w:t>董事负责编制公司相关会计期间的财务账目，真实公允地反映公司财务状况、经营业绩及现金流量状况。</w:t>
          </w:r>
        </w:p>
        <w:p>
          <w:pPr>
            <w:ind w:firstLineChars="200" w:firstLine="420"/>
            <w:jc w:val="both"/>
            <w:rPr>
              <w:rFonts w:ascii="宋体" w:hAnsi="宋体"/>
            </w:rPr>
          </w:pPr>
          <w:r>
            <w:rPr>
              <w:rFonts w:ascii="宋体" w:hAnsi="宋体" w:hint="eastAsia"/>
            </w:rPr>
            <w:t>自2008年以来，公司每年均为公司董事和高级管理人员购买责任保险。</w:t>
          </w:r>
        </w:p>
        <w:p>
          <w:pPr>
            <w:ind w:firstLineChars="200" w:firstLine="420"/>
            <w:jc w:val="both"/>
            <w:rPr>
              <w:rFonts w:ascii="宋体" w:hAnsi="宋体"/>
            </w:rPr>
          </w:pPr>
          <w:r>
            <w:rPr>
              <w:rFonts w:ascii="宋体" w:hAnsi="宋体" w:hint="eastAsia"/>
            </w:rPr>
            <w:t>本公司已制定内部政策（包括但不限于《公司章程》、董事提名政策、薪酬与提名委员会职权范围）以确保董事会可获得独立的观点和意见，这些政策涵盖了本公司就董事（包括独立非执行董事）的选举与委任的程序及甄选准则、董事就董事会审议相关议案的回避表决机制、独立董事委员会聘请独立财务顾问或其他专业顾问的权限等。本公司已检讨上述机制的实施及有效性，认为上述机制能够确保董事会获得独立的观点和意见。</w:t>
          </w:r>
        </w:p>
        <w:p>
          <w:pPr>
            <w:jc w:val="both"/>
          </w:pPr>
          <w:r>
            <w:rPr>
              <w:rFonts w:hint="eastAsia"/>
            </w:rPr>
            <w:t xml:space="preserve"> </w:t>
          </w:r>
        </w:p>
        <w:p>
          <w:pPr>
            <w:ind w:firstLineChars="200" w:firstLine="420"/>
            <w:jc w:val="both"/>
            <w:rPr>
              <w:rFonts w:ascii="宋体" w:hAnsi="宋体"/>
            </w:rPr>
          </w:pPr>
          <w:r>
            <w:rPr>
              <w:rFonts w:ascii="宋体" w:hAnsi="宋体" w:hint="eastAsia"/>
            </w:rPr>
            <w:t>（四）董事会会议及董事培训</w:t>
          </w:r>
        </w:p>
        <w:p>
          <w:pPr>
            <w:ind w:firstLineChars="200" w:firstLine="420"/>
            <w:jc w:val="both"/>
            <w:rPr>
              <w:rFonts w:ascii="宋体" w:hAnsi="宋体"/>
            </w:rPr>
          </w:pPr>
          <w:r>
            <w:rPr>
              <w:rFonts w:ascii="宋体" w:hAnsi="宋体" w:hint="eastAsia"/>
            </w:rPr>
            <w:lastRenderedPageBreak/>
            <w:t>根据《公司章程》和《董事会议事规则》规定，所有董事皆有机会提出商讨事项列入董事会会议议程；公司于定期董事会会议召开日14天前、临时董事会会议召开日3天前，向董事发出会议通知；于定期董事会会议召开日5天前、临时董事会会议召开日3天前，将会议议案、会议讨论资料提交公司董事审阅；对会议上各董事所考虑的事项及形成的决定作了详细的会议记录；董事会会议结束后，会议记录的初稿和最终定稿于合理时间内提交全体董事，初稿供董事表达意见，最终定稿供董事备存；任何董事亦可于合理时段查阅公司备存的会议记录。</w:t>
          </w:r>
        </w:p>
        <w:p>
          <w:pPr>
            <w:ind w:firstLineChars="200" w:firstLine="420"/>
            <w:jc w:val="both"/>
            <w:rPr>
              <w:rFonts w:ascii="宋体" w:hAnsi="宋体"/>
            </w:rPr>
          </w:pPr>
          <w:r>
            <w:rPr>
              <w:rFonts w:ascii="宋体" w:hAnsi="宋体" w:hint="eastAsia"/>
            </w:rPr>
            <w:t>董事会及每名董事均有自行接触高级管理人员的独立途径。所有董事均有权查阅董事会文件及相关资料。</w:t>
          </w:r>
        </w:p>
        <w:p>
          <w:pPr>
            <w:ind w:firstLineChars="200" w:firstLine="420"/>
            <w:jc w:val="both"/>
            <w:rPr>
              <w:rFonts w:ascii="宋体" w:hAnsi="宋体"/>
            </w:rPr>
          </w:pPr>
          <w:r>
            <w:rPr>
              <w:rFonts w:ascii="宋体" w:hAnsi="宋体" w:hint="eastAsia"/>
            </w:rPr>
            <w:t>公司设立了董事会专门办事机构，全体董事均可获得董事会秘书提供的服务。董事会可以决定在适当情况下为董事寻求独立专业意见，相关费用由公司承担。董事会审议关联事项时，关联董事均回避表决。</w:t>
          </w:r>
        </w:p>
        <w:p>
          <w:pPr>
            <w:ind w:firstLineChars="200" w:firstLine="420"/>
            <w:jc w:val="both"/>
            <w:rPr>
              <w:rFonts w:ascii="宋体" w:hAnsi="宋体"/>
            </w:rPr>
          </w:pPr>
          <w:r>
            <w:rPr>
              <w:rFonts w:ascii="宋体" w:hAnsi="宋体" w:hint="eastAsia"/>
            </w:rPr>
            <w:t>截至2025年12月31日止年度，公司董事会共召开了8次会议。有关董事出席董事会、股东会情况详情请见本节相关内容。</w:t>
          </w:r>
        </w:p>
        <w:p>
          <w:pPr>
            <w:ind w:firstLineChars="200" w:firstLine="420"/>
            <w:jc w:val="both"/>
            <w:rPr>
              <w:rFonts w:ascii="宋体" w:hAnsi="宋体"/>
            </w:rPr>
          </w:pPr>
          <w:r>
            <w:rPr>
              <w:rFonts w:ascii="宋体" w:hAnsi="宋体" w:hint="eastAsia"/>
            </w:rPr>
            <w:t>公司所有董事均能够参与持续专业发展，更新其知识、技能，以确保其为董事会做出贡献。</w:t>
          </w:r>
        </w:p>
        <w:p>
          <w:pPr>
            <w:ind w:firstLineChars="200" w:firstLine="420"/>
            <w:jc w:val="both"/>
            <w:rPr>
              <w:rFonts w:ascii="宋体" w:hAnsi="宋体"/>
            </w:rPr>
          </w:pPr>
          <w:r>
            <w:rPr>
              <w:rFonts w:ascii="宋体" w:hAnsi="宋体" w:hint="eastAsia"/>
            </w:rPr>
            <w:t>报告期内，公司现任董事参加培训情况如下：</w:t>
          </w:r>
        </w:p>
        <w:tbl>
          <w:tblPr>
            <w:tblStyle w:val="Style63"/>
            <w:tblW w:w="4981"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962"/>
          </w:tblGrid>
          <w:tr>
            <w:tc>
              <w:tcPr>
                <w:tcW w:w="2177" w:type="pct"/>
                <w:tcBorders>
                  <w:top w:val="single" w:sz="4" w:space="0" w:color="auto"/>
                  <w:left w:val="single" w:sz="4" w:space="0" w:color="auto"/>
                  <w:bottom w:val="single" w:sz="4" w:space="0" w:color="auto"/>
                  <w:right w:val="single" w:sz="4" w:space="0" w:color="auto"/>
                </w:tcBorders>
              </w:tcPr>
              <w:p>
                <w:pPr>
                  <w:jc w:val="center"/>
                  <w:rPr>
                    <w:b/>
                  </w:rPr>
                </w:pPr>
                <w:bookmarkStart w:id="187" w:name="_Hlk219105848"/>
                <w:r>
                  <w:rPr>
                    <w:rFonts w:hint="eastAsia"/>
                    <w:b/>
                  </w:rPr>
                  <w:t>姓名</w:t>
                </w:r>
              </w:p>
            </w:tc>
            <w:tc>
              <w:tcPr>
                <w:tcW w:w="2823" w:type="pct"/>
                <w:tcBorders>
                  <w:top w:val="single" w:sz="4" w:space="0" w:color="auto"/>
                  <w:left w:val="nil"/>
                  <w:bottom w:val="single" w:sz="4" w:space="0" w:color="auto"/>
                  <w:right w:val="single" w:sz="4" w:space="0" w:color="auto"/>
                </w:tcBorders>
              </w:tcPr>
              <w:p>
                <w:pPr>
                  <w:jc w:val="center"/>
                  <w:rPr>
                    <w:b/>
                  </w:rPr>
                </w:pPr>
                <w:r>
                  <w:rPr>
                    <w:rFonts w:hint="eastAsia"/>
                    <w:b/>
                  </w:rPr>
                  <w:t>培训情况</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李伟、王九红、刘强、张海军、苏力、黄霄龙、朱利民、高井祥、胡家栋、朱睿</w:t>
                </w:r>
              </w:p>
            </w:tc>
            <w:tc>
              <w:tcPr>
                <w:tcW w:w="2823" w:type="pct"/>
                <w:tcBorders>
                  <w:top w:val="single" w:sz="4" w:space="0" w:color="auto"/>
                  <w:left w:val="nil"/>
                  <w:bottom w:val="single" w:sz="4" w:space="0" w:color="auto"/>
                  <w:right w:val="single" w:sz="4" w:space="0" w:color="auto"/>
                </w:tcBorders>
                <w:vAlign w:val="center"/>
              </w:tcPr>
              <w:p>
                <w:pPr>
                  <w:rPr>
                    <w:rFonts w:ascii="宋体" w:hAnsi="宋体"/>
                    <w:b/>
                    <w:bCs/>
                  </w:rPr>
                </w:pPr>
                <w:r>
                  <w:rPr>
                    <w:rFonts w:ascii="宋体" w:hAnsi="宋体" w:hint="eastAsia"/>
                  </w:rPr>
                  <w:t>于2025年5月30日参加了公司组织的《上市公司规范运作》专题培训。</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王九红、苏力、黄霄龙</w:t>
                </w:r>
              </w:p>
            </w:tc>
            <w:tc>
              <w:tcPr>
                <w:tcW w:w="2823" w:type="pct"/>
                <w:tcBorders>
                  <w:top w:val="single" w:sz="4" w:space="0" w:color="auto"/>
                  <w:left w:val="nil"/>
                  <w:bottom w:val="single" w:sz="4" w:space="0" w:color="auto"/>
                  <w:right w:val="single" w:sz="4" w:space="0" w:color="auto"/>
                </w:tcBorders>
                <w:vAlign w:val="center"/>
              </w:tcPr>
              <w:p>
                <w:pPr>
                  <w:rPr>
                    <w:rFonts w:ascii="宋体" w:hAnsi="宋体"/>
                  </w:rPr>
                </w:pPr>
                <w:bookmarkStart w:id="188" w:name="OLE_LINK15"/>
                <w:r>
                  <w:rPr>
                    <w:rFonts w:ascii="宋体" w:hAnsi="宋体" w:hint="eastAsia"/>
                  </w:rPr>
                  <w:t>1.于2025年6月20日参加了公司组织的《公司治理及规范运作》专题培训。</w:t>
                </w:r>
                <w:bookmarkEnd w:id="188"/>
              </w:p>
              <w:p>
                <w:pPr>
                  <w:rPr>
                    <w:rFonts w:ascii="宋体" w:hAnsi="宋体"/>
                  </w:rPr>
                </w:pPr>
                <w:r>
                  <w:rPr>
                    <w:rFonts w:ascii="宋体" w:hAnsi="宋体" w:hint="eastAsia"/>
                  </w:rPr>
                  <w:t>2.于2025年12月5日参加了公司组织的有色金属业务提升专题培训会。</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苏力、黄霄龙</w:t>
                </w:r>
              </w:p>
            </w:tc>
            <w:tc>
              <w:tcPr>
                <w:tcW w:w="2823" w:type="pct"/>
                <w:tcBorders>
                  <w:top w:val="single" w:sz="4" w:space="0" w:color="auto"/>
                  <w:left w:val="nil"/>
                  <w:bottom w:val="single" w:sz="4" w:space="0" w:color="auto"/>
                  <w:right w:val="single" w:sz="4" w:space="0" w:color="auto"/>
                </w:tcBorders>
                <w:vAlign w:val="center"/>
              </w:tcPr>
              <w:p>
                <w:pPr>
                  <w:rPr>
                    <w:rFonts w:ascii="宋体" w:hAnsi="宋体"/>
                  </w:rPr>
                </w:pPr>
                <w:r>
                  <w:rPr>
                    <w:rFonts w:ascii="宋体" w:hAnsi="宋体" w:hint="eastAsia"/>
                  </w:rPr>
                  <w:t>于202</w:t>
                </w:r>
                <w:r>
                  <w:rPr>
                    <w:rFonts w:ascii="宋体" w:hAnsi="宋体"/>
                  </w:rPr>
                  <w:t>5</w:t>
                </w:r>
                <w:r>
                  <w:rPr>
                    <w:rFonts w:ascii="宋体" w:hAnsi="宋体" w:hint="eastAsia"/>
                  </w:rPr>
                  <w:t>年</w:t>
                </w:r>
                <w:r>
                  <w:rPr>
                    <w:rFonts w:ascii="宋体" w:hAnsi="宋体"/>
                  </w:rPr>
                  <w:t>7</w:t>
                </w:r>
                <w:r>
                  <w:rPr>
                    <w:rFonts w:ascii="宋体" w:hAnsi="宋体" w:hint="eastAsia"/>
                  </w:rPr>
                  <w:t>月2</w:t>
                </w:r>
                <w:r>
                  <w:rPr>
                    <w:rFonts w:ascii="宋体" w:hAnsi="宋体"/>
                  </w:rPr>
                  <w:t>9</w:t>
                </w:r>
                <w:r>
                  <w:rPr>
                    <w:rFonts w:ascii="宋体" w:hAnsi="宋体" w:hint="eastAsia"/>
                  </w:rPr>
                  <w:t>日参加了山东上市公司协会2025年第二期董事、监事、高管培训班。</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刘健</w:t>
                </w:r>
              </w:p>
            </w:tc>
            <w:tc>
              <w:tcPr>
                <w:tcW w:w="2823" w:type="pct"/>
                <w:tcBorders>
                  <w:top w:val="single" w:sz="4" w:space="0" w:color="auto"/>
                  <w:left w:val="nil"/>
                  <w:bottom w:val="single" w:sz="4" w:space="0" w:color="auto"/>
                  <w:right w:val="single" w:sz="4" w:space="0" w:color="auto"/>
                </w:tcBorders>
                <w:vAlign w:val="center"/>
              </w:tcPr>
              <w:p>
                <w:pPr>
                  <w:rPr>
                    <w:rFonts w:ascii="宋体" w:hAnsi="宋体"/>
                  </w:rPr>
                </w:pPr>
                <w:r>
                  <w:rPr>
                    <w:rFonts w:ascii="宋体" w:hAnsi="宋体" w:hint="eastAsia"/>
                  </w:rPr>
                  <w:t>于202</w:t>
                </w:r>
                <w:r>
                  <w:rPr>
                    <w:rFonts w:ascii="宋体" w:hAnsi="宋体"/>
                  </w:rPr>
                  <w:t>5</w:t>
                </w:r>
                <w:r>
                  <w:rPr>
                    <w:rFonts w:ascii="宋体" w:hAnsi="宋体" w:hint="eastAsia"/>
                  </w:rPr>
                  <w:t>年10月22日-11月30日参加了</w:t>
                </w:r>
                <w:bookmarkStart w:id="189" w:name="OLE_LINK27"/>
                <w:r>
                  <w:rPr>
                    <w:rFonts w:ascii="宋体" w:hAnsi="宋体" w:hint="eastAsia"/>
                  </w:rPr>
                  <w:t>中国上市公司协会组织的</w:t>
                </w:r>
                <w:bookmarkEnd w:id="189"/>
                <w:r>
                  <w:rPr>
                    <w:rFonts w:ascii="宋体" w:hAnsi="宋体" w:hint="eastAsia"/>
                  </w:rPr>
                  <w:t>2025年度上市公司违法违规典型案例分析线上专题培训。</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黄霄龙</w:t>
                </w:r>
              </w:p>
            </w:tc>
            <w:tc>
              <w:tcPr>
                <w:tcW w:w="2823" w:type="pct"/>
                <w:tcBorders>
                  <w:top w:val="single" w:sz="4" w:space="0" w:color="auto"/>
                  <w:left w:val="nil"/>
                  <w:bottom w:val="single" w:sz="4" w:space="0" w:color="auto"/>
                  <w:right w:val="single" w:sz="4" w:space="0" w:color="auto"/>
                </w:tcBorders>
                <w:vAlign w:val="center"/>
              </w:tcPr>
              <w:p>
                <w:pPr>
                  <w:rPr>
                    <w:rFonts w:ascii="宋体" w:hAnsi="宋体"/>
                  </w:rPr>
                </w:pPr>
                <w:r>
                  <w:rPr>
                    <w:rFonts w:ascii="宋体" w:hAnsi="宋体"/>
                  </w:rPr>
                  <w:t>1</w:t>
                </w:r>
                <w:r>
                  <w:rPr>
                    <w:rFonts w:ascii="宋体" w:hAnsi="宋体" w:hint="eastAsia"/>
                  </w:rPr>
                  <w:t>.于2025年9月17日-19日参加了香港公司治理公会2025年治理专业人士强化持续专业发展培训；</w:t>
                </w:r>
              </w:p>
              <w:p>
                <w:pPr>
                  <w:rPr>
                    <w:rFonts w:ascii="宋体" w:hAnsi="宋体"/>
                  </w:rPr>
                </w:pPr>
                <w:r>
                  <w:rPr>
                    <w:rFonts w:ascii="宋体" w:hAnsi="宋体"/>
                  </w:rPr>
                  <w:t>2</w:t>
                </w:r>
                <w:r>
                  <w:rPr>
                    <w:rFonts w:ascii="宋体" w:hAnsi="宋体" w:hint="eastAsia"/>
                  </w:rPr>
                  <w:t>.于202</w:t>
                </w:r>
                <w:r>
                  <w:rPr>
                    <w:rFonts w:ascii="宋体" w:hAnsi="宋体"/>
                  </w:rPr>
                  <w:t>5</w:t>
                </w:r>
                <w:r>
                  <w:rPr>
                    <w:rFonts w:ascii="宋体" w:hAnsi="宋体" w:hint="eastAsia"/>
                  </w:rPr>
                  <w:t>年12月1</w:t>
                </w:r>
                <w:r>
                  <w:rPr>
                    <w:rFonts w:ascii="宋体" w:hAnsi="宋体"/>
                  </w:rPr>
                  <w:t>6</w:t>
                </w:r>
                <w:r>
                  <w:rPr>
                    <w:rFonts w:ascii="宋体" w:hAnsi="宋体" w:hint="eastAsia"/>
                  </w:rPr>
                  <w:t>日-</w:t>
                </w:r>
                <w:r>
                  <w:rPr>
                    <w:rFonts w:ascii="宋体" w:hAnsi="宋体"/>
                  </w:rPr>
                  <w:t>3</w:t>
                </w:r>
                <w:r>
                  <w:rPr>
                    <w:rFonts w:ascii="宋体" w:hAnsi="宋体" w:hint="eastAsia"/>
                  </w:rPr>
                  <w:t>0日参加了上交所2025年第6期上市公司董事会秘书后续培训。</w:t>
                </w:r>
              </w:p>
            </w:tc>
          </w:tr>
        </w:tbl>
        <w:bookmarkEnd w:id="187"/>
        <w:p>
          <w:pPr>
            <w:pStyle w:val="Style49"/>
          </w:pPr>
          <w:r>
            <w:rPr>
              <w:rFonts w:hint="eastAsia"/>
            </w:rPr>
            <w:t xml:space="preserve"> </w:t>
          </w:r>
        </w:p>
        <w:p>
          <w:pPr>
            <w:ind w:firstLineChars="200" w:firstLine="420"/>
            <w:jc w:val="both"/>
          </w:pPr>
          <w:r>
            <w:rPr>
              <w:rFonts w:hint="eastAsia"/>
            </w:rPr>
            <w:t>报告期内，公司除邀请法律顾问、年审会计师就上市监管规则、会计准则进行研究学习外，还将法律法规修订、监管要求变化、典型突出案例、董事培训资料和公司编制的《合规动态》刊物及时呈报全体董事传阅，持续提升董事的业务能力。</w:t>
          </w:r>
        </w:p>
        <w:p>
          <w:pPr>
            <w:jc w:val="both"/>
          </w:pPr>
          <w:r>
            <w:rPr>
              <w:rFonts w:hint="eastAsia"/>
            </w:rPr>
            <w:t xml:space="preserve"> </w:t>
          </w:r>
        </w:p>
        <w:p>
          <w:pPr>
            <w:ind w:firstLineChars="200" w:firstLine="420"/>
            <w:jc w:val="both"/>
            <w:rPr>
              <w:rFonts w:ascii="宋体" w:hAnsi="宋体"/>
            </w:rPr>
          </w:pPr>
          <w:r>
            <w:rPr>
              <w:rFonts w:ascii="宋体" w:hAnsi="宋体" w:hint="eastAsia"/>
            </w:rPr>
            <w:t>（五）主席及行政总裁</w:t>
          </w:r>
        </w:p>
        <w:p>
          <w:pPr>
            <w:ind w:firstLineChars="200" w:firstLine="420"/>
            <w:jc w:val="both"/>
            <w:rPr>
              <w:rFonts w:ascii="宋体" w:hAnsi="宋体"/>
            </w:rPr>
          </w:pPr>
          <w:r>
            <w:rPr>
              <w:rFonts w:ascii="宋体" w:hAnsi="宋体" w:hint="eastAsia"/>
            </w:rPr>
            <w:t>于2025年度，本公司董事长由李伟先生担任，总经理由王九红先生担任。董事长和总经理的职责分工明确，《公司章程》具体载列了董事长和总经理的职责权限。</w:t>
          </w:r>
        </w:p>
        <w:p>
          <w:pPr>
            <w:ind w:firstLineChars="200" w:firstLine="420"/>
            <w:jc w:val="both"/>
            <w:rPr>
              <w:rFonts w:ascii="宋体" w:hAnsi="宋体"/>
            </w:rPr>
          </w:pPr>
          <w:r>
            <w:rPr>
              <w:rFonts w:ascii="宋体" w:hAnsi="宋体" w:hint="eastAsia"/>
            </w:rPr>
            <w:t>于2025年度，董事长与独立非执行董事举行了没有其他董事出席的会议。</w:t>
          </w:r>
        </w:p>
        <w:p>
          <w:pPr>
            <w:ind w:firstLineChars="200" w:firstLine="420"/>
            <w:jc w:val="both"/>
            <w:rPr>
              <w:rFonts w:ascii="宋体" w:hAnsi="宋体"/>
            </w:rPr>
          </w:pPr>
          <w:r>
            <w:rPr>
              <w:rFonts w:ascii="宋体" w:hAnsi="宋体" w:hint="eastAsia"/>
            </w:rPr>
            <w:t xml:space="preserve"> </w:t>
          </w:r>
        </w:p>
        <w:p>
          <w:pPr>
            <w:ind w:firstLineChars="200" w:firstLine="420"/>
            <w:jc w:val="both"/>
            <w:rPr>
              <w:rFonts w:ascii="宋体" w:hAnsi="宋体"/>
            </w:rPr>
          </w:pPr>
          <w:r>
            <w:rPr>
              <w:rFonts w:ascii="宋体" w:hAnsi="宋体" w:hint="eastAsia"/>
            </w:rPr>
            <w:t>（六）非执行董事</w:t>
          </w:r>
        </w:p>
        <w:p>
          <w:pPr>
            <w:ind w:firstLineChars="200" w:firstLine="420"/>
            <w:jc w:val="both"/>
            <w:rPr>
              <w:rFonts w:ascii="宋体" w:hAnsi="宋体"/>
            </w:rPr>
          </w:pPr>
          <w:r>
            <w:rPr>
              <w:rFonts w:ascii="宋体" w:hAnsi="宋体" w:hint="eastAsia"/>
            </w:rPr>
            <w:t>非执行董事均与公司订立服务合约。按照《公司章程》规定，公司董事会成员（包括非执行董事）每届任期三年，任期届满后连选可以连任；而独立非执行董事的连任期间不超过六年。</w:t>
          </w:r>
        </w:p>
        <w:p>
          <w:pPr>
            <w:ind w:firstLineChars="200" w:firstLine="420"/>
            <w:jc w:val="both"/>
            <w:rPr>
              <w:rFonts w:ascii="宋体" w:hAnsi="宋体"/>
            </w:rPr>
          </w:pPr>
          <w:r>
            <w:rPr>
              <w:rFonts w:ascii="宋体" w:hAnsi="宋体" w:hint="eastAsia"/>
            </w:rPr>
            <w:t>公司非执行董事的职责包括但不限于下列各项：</w:t>
          </w:r>
        </w:p>
        <w:p>
          <w:pPr>
            <w:ind w:firstLineChars="200" w:firstLine="420"/>
            <w:jc w:val="both"/>
            <w:rPr>
              <w:rFonts w:ascii="宋体" w:hAnsi="宋体"/>
            </w:rPr>
          </w:pPr>
          <w:r>
            <w:rPr>
              <w:rFonts w:ascii="宋体" w:hAnsi="宋体" w:hint="eastAsia"/>
            </w:rPr>
            <w:t>参与公司董事会会议，在涉及策略、政策、公司表现、问责性、资源、主要委任及操守准则等事宜上，提供独立的意见；</w:t>
          </w:r>
        </w:p>
        <w:p>
          <w:pPr>
            <w:ind w:firstLineChars="200" w:firstLine="420"/>
            <w:jc w:val="both"/>
            <w:rPr>
              <w:rFonts w:ascii="宋体" w:hAnsi="宋体"/>
            </w:rPr>
          </w:pPr>
          <w:r>
            <w:rPr>
              <w:rFonts w:ascii="宋体" w:hAnsi="宋体" w:hint="eastAsia"/>
            </w:rPr>
            <w:t>在出现潜在利益冲突时发挥规范引导作用；</w:t>
          </w:r>
        </w:p>
        <w:p>
          <w:pPr>
            <w:ind w:firstLineChars="200" w:firstLine="420"/>
            <w:jc w:val="both"/>
            <w:rPr>
              <w:rFonts w:ascii="宋体" w:hAnsi="宋体"/>
            </w:rPr>
          </w:pPr>
          <w:r>
            <w:rPr>
              <w:rFonts w:ascii="宋体" w:hAnsi="宋体" w:hint="eastAsia"/>
            </w:rPr>
            <w:lastRenderedPageBreak/>
            <w:t>出任董事会下属审计委员会、薪酬委员会、提名委员会、战略与发展委员会及可持续发展委员会成员；</w:t>
          </w:r>
        </w:p>
        <w:p>
          <w:pPr>
            <w:ind w:firstLineChars="200" w:firstLine="420"/>
            <w:jc w:val="both"/>
            <w:rPr>
              <w:rFonts w:ascii="宋体" w:hAnsi="宋体"/>
            </w:rPr>
          </w:pPr>
          <w:r>
            <w:rPr>
              <w:rFonts w:ascii="宋体" w:hAnsi="宋体" w:hint="eastAsia"/>
            </w:rPr>
            <w:t>检查公司的表现是否达到既定的企业目标和目的，并监察汇报公司表现的事宜。</w:t>
          </w:r>
        </w:p>
        <w:p>
          <w:pPr>
            <w:ind w:firstLineChars="200" w:firstLine="420"/>
            <w:jc w:val="both"/>
            <w:rPr>
              <w:rFonts w:ascii="宋体" w:hAnsi="宋体"/>
            </w:rPr>
          </w:pPr>
          <w:r>
            <w:rPr>
              <w:rFonts w:ascii="宋体" w:hAnsi="宋体" w:hint="eastAsia"/>
            </w:rPr>
            <w:t>独立非执行董事及其他非执行董事须通过提供独立、富建设性及有根据的意见对本公司制定策略及政策作出正面贡献。</w:t>
          </w:r>
        </w:p>
        <w:p>
          <w:pPr>
            <w:ind w:firstLineChars="200" w:firstLine="420"/>
            <w:rPr>
              <w:rFonts w:ascii="宋体" w:hAnsi="宋体"/>
            </w:rPr>
          </w:pPr>
          <w:r>
            <w:rPr>
              <w:rFonts w:ascii="宋体" w:hAnsi="宋体" w:hint="eastAsia"/>
            </w:rPr>
            <w:t xml:space="preserve"> </w:t>
          </w:r>
        </w:p>
        <w:p>
          <w:pPr>
            <w:ind w:firstLineChars="200" w:firstLine="420"/>
            <w:jc w:val="both"/>
            <w:rPr>
              <w:rFonts w:ascii="宋体" w:hAnsi="宋体"/>
            </w:rPr>
          </w:pPr>
          <w:r>
            <w:rPr>
              <w:rFonts w:ascii="宋体" w:hAnsi="宋体" w:hint="eastAsia"/>
            </w:rPr>
            <w:t>（七）董事会下属委员会履职情况</w:t>
          </w:r>
        </w:p>
        <w:p>
          <w:pPr>
            <w:ind w:firstLineChars="200" w:firstLine="420"/>
            <w:jc w:val="both"/>
            <w:rPr>
              <w:rFonts w:ascii="宋体" w:hAnsi="宋体"/>
            </w:rPr>
          </w:pPr>
          <w:r>
            <w:rPr>
              <w:rFonts w:ascii="宋体" w:hAnsi="宋体" w:hint="eastAsia"/>
            </w:rPr>
            <w:t>提名委员会从多个方面考虑董事会成员多元化，包括但不限于性别、年龄、文化及教育背景、专业经验、技能及服务年限等。在考虑上述有关因素后，提名委员会按董事人选专业特长及可为公司及董事会作出的贡献，向董事会提出最终的委任建议。</w:t>
          </w:r>
        </w:p>
        <w:p>
          <w:pPr>
            <w:ind w:firstLineChars="200" w:firstLine="420"/>
            <w:jc w:val="both"/>
            <w:rPr>
              <w:rFonts w:ascii="宋体" w:hAnsi="宋体"/>
            </w:rPr>
          </w:pPr>
          <w:r>
            <w:rPr>
              <w:rFonts w:ascii="宋体" w:hAnsi="宋体" w:hint="eastAsia"/>
            </w:rPr>
            <w:t>董事会致力提高性别多元化，在选聘时适当考虑增加女性成员比例，目前已委任一名女性董事，该名女性董事亦被委任为提名委员会委员。公司认为董事会目前的组成是均衡多样化的组合，充分考虑了公司的实际情况，适合公司的业务发展，于报告期内符合董事会多元化政策。</w:t>
          </w:r>
        </w:p>
        <w:p>
          <w:pPr>
            <w:ind w:firstLineChars="200" w:firstLine="420"/>
            <w:jc w:val="both"/>
            <w:rPr>
              <w:rFonts w:ascii="宋体" w:hAnsi="宋体"/>
            </w:rPr>
          </w:pPr>
          <w:r>
            <w:rPr>
              <w:rFonts w:ascii="宋体" w:hAnsi="宋体" w:hint="eastAsia"/>
            </w:rPr>
            <w:t>本公司亦已采取，并继续采取措施促进各级员工团队之多元化。所有合资格雇员均享有平等之雇佣、培训及职业发展之机会，并无歧视。于本年度内，本公司员工总数中女性占比为</w:t>
          </w:r>
          <w:r>
            <w:rPr>
              <w:rFonts w:ascii="宋体" w:hAnsi="宋体"/>
            </w:rPr>
            <w:t>16.71%</w:t>
          </w:r>
          <w:r>
            <w:rPr>
              <w:rFonts w:ascii="宋体" w:hAnsi="宋体" w:hint="eastAsia"/>
            </w:rPr>
            <w:t>。</w:t>
          </w:r>
        </w:p>
        <w:p>
          <w:pPr>
            <w:ind w:firstLineChars="200" w:firstLine="420"/>
            <w:jc w:val="both"/>
            <w:rPr>
              <w:rFonts w:ascii="宋体" w:hAnsi="宋体"/>
            </w:rPr>
          </w:pPr>
          <w:r>
            <w:rPr>
              <w:rFonts w:ascii="宋体" w:hAnsi="宋体" w:hint="eastAsia"/>
            </w:rPr>
            <w:t>综上，公司已采取并将继续采取措施，包括但不限于物色各方面董事成员，持续推进公司董事会的多元化水平，董事会希望其女性成员比例至少维持在现有水平左右。为促进本公司管理层及雇员的组成多元化，本公司将在选聘雇员时适当考虑增加女性成员的比例，并在提拔管理层时适当考虑增加女性成员的比例。</w:t>
          </w:r>
        </w:p>
        <w:p>
          <w:pPr>
            <w:ind w:firstLineChars="200" w:firstLine="420"/>
            <w:jc w:val="both"/>
            <w:rPr>
              <w:rFonts w:ascii="宋体" w:hAnsi="宋体"/>
            </w:rPr>
          </w:pPr>
          <w:r>
            <w:rPr>
              <w:rFonts w:ascii="宋体" w:hAnsi="宋体" w:hint="eastAsia"/>
            </w:rPr>
            <w:t>本公司每年检讨董事会多元化政策，以确保其持续有效，并符合监管规定及良好企业管治常规。董事会认为公司目前的董事会多元化政策及实施是有效的。</w:t>
          </w:r>
        </w:p>
        <w:p>
          <w:pPr>
            <w:ind w:firstLineChars="200" w:firstLine="420"/>
            <w:jc w:val="both"/>
            <w:rPr>
              <w:rFonts w:ascii="宋体" w:hAnsi="宋体"/>
            </w:rPr>
          </w:pPr>
          <w:r>
            <w:rPr>
              <w:rFonts w:ascii="宋体" w:hAnsi="宋体" w:hint="eastAsia"/>
            </w:rPr>
            <w:t>其他请见本节“董事会下设专门委员会情况”相关内容。</w:t>
          </w:r>
        </w:p>
        <w:p>
          <w:pPr>
            <w:jc w:val="both"/>
            <w:rPr>
              <w:rFonts w:ascii="宋体" w:hAnsi="宋体"/>
            </w:rPr>
          </w:pPr>
          <w:r>
            <w:rPr>
              <w:rFonts w:ascii="宋体" w:hAnsi="宋体" w:hint="eastAsia"/>
            </w:rPr>
            <w:t xml:space="preserve"> </w:t>
          </w:r>
        </w:p>
        <w:p>
          <w:pPr>
            <w:ind w:firstLineChars="200" w:firstLine="420"/>
            <w:jc w:val="both"/>
            <w:rPr>
              <w:rFonts w:ascii="宋体" w:hAnsi="宋体"/>
            </w:rPr>
          </w:pPr>
          <w:r>
            <w:rPr>
              <w:rFonts w:ascii="宋体" w:hAnsi="宋体" w:hint="eastAsia"/>
            </w:rPr>
            <w:t>（八）核数师酬金</w:t>
          </w:r>
        </w:p>
        <w:p>
          <w:pPr>
            <w:ind w:firstLineChars="200" w:firstLine="420"/>
            <w:jc w:val="both"/>
            <w:rPr>
              <w:rFonts w:ascii="宋体" w:hAnsi="宋体"/>
            </w:rPr>
          </w:pPr>
          <w:r>
            <w:rPr>
              <w:rFonts w:ascii="宋体" w:hAnsi="宋体" w:hint="eastAsia"/>
            </w:rPr>
            <w:t>详情请见“第六节重要事项”之“聘任、解聘会计师事务所情况”相关内容。</w:t>
          </w:r>
        </w:p>
        <w:p>
          <w:pPr>
            <w:ind w:firstLineChars="200" w:firstLine="420"/>
            <w:jc w:val="both"/>
            <w:rPr>
              <w:rFonts w:ascii="宋体" w:hAnsi="宋体"/>
            </w:rPr>
          </w:pPr>
          <w:r>
            <w:rPr>
              <w:rFonts w:ascii="宋体" w:hAnsi="宋体" w:hint="eastAsia"/>
            </w:rPr>
            <w:t xml:space="preserve"> </w:t>
          </w:r>
        </w:p>
        <w:p>
          <w:pPr>
            <w:ind w:firstLineChars="200" w:firstLine="420"/>
            <w:jc w:val="both"/>
            <w:rPr>
              <w:rFonts w:ascii="宋体" w:hAnsi="宋体"/>
            </w:rPr>
          </w:pPr>
          <w:r>
            <w:rPr>
              <w:rFonts w:ascii="宋体" w:hAnsi="宋体" w:hint="eastAsia"/>
            </w:rPr>
            <w:t>（九）公司秘书</w:t>
          </w:r>
        </w:p>
        <w:p>
          <w:pPr>
            <w:ind w:firstLineChars="200" w:firstLine="420"/>
            <w:jc w:val="both"/>
            <w:rPr>
              <w:rFonts w:ascii="宋体" w:hAnsi="宋体"/>
            </w:rPr>
          </w:pPr>
          <w:r>
            <w:rPr>
              <w:rFonts w:ascii="宋体" w:hAnsi="宋体" w:hint="eastAsia"/>
            </w:rPr>
            <w:t>经公司2023年6月30日召开的第九届董事会第一次会议审议批准，聘任黄霄龙先生为公司秘书。</w:t>
          </w:r>
        </w:p>
        <w:p>
          <w:pPr>
            <w:ind w:firstLineChars="200" w:firstLine="420"/>
            <w:jc w:val="both"/>
            <w:rPr>
              <w:rFonts w:ascii="宋体" w:hAnsi="宋体"/>
            </w:rPr>
          </w:pPr>
          <w:r>
            <w:rPr>
              <w:rFonts w:ascii="宋体" w:hAnsi="宋体" w:hint="eastAsia"/>
            </w:rPr>
            <w:t>黄霄龙先生长期从事上市公司治理和投资者关系管理工作，拥有法律硕士学位，同时拥有正高级经济师职称，在学术水平、专业资格和工作经验等方面，足以履行公司秘书职责。同时，黄先生亦是公司高级管理人员，能充分了解公司日常经营状况，以确保与董事及其他高级管理人员保持有效沟通、协助董事会加强公司治理机制建设。</w:t>
          </w:r>
        </w:p>
        <w:p>
          <w:pPr>
            <w:ind w:firstLineChars="200" w:firstLine="420"/>
            <w:jc w:val="both"/>
            <w:rPr>
              <w:rFonts w:ascii="宋体" w:hAnsi="宋体"/>
            </w:rPr>
          </w:pPr>
          <w:r>
            <w:rPr>
              <w:rFonts w:ascii="宋体" w:hAnsi="宋体" w:hint="eastAsia"/>
            </w:rPr>
            <w:t>截至本报告披露日，</w:t>
          </w:r>
          <w:bookmarkStart w:id="190" w:name="_Hlk223369963"/>
          <w:r>
            <w:rPr>
              <w:rFonts w:ascii="宋体" w:hAnsi="宋体" w:hint="eastAsia"/>
            </w:rPr>
            <w:t>黄霄龙先生为本公司唯一公司秘书。黄伟超先生已于2026年2月11日辞任公司联席秘书，有关进一步详情，请参阅本公司日期为2026年2月11日的公告。</w:t>
          </w:r>
          <w:bookmarkEnd w:id="190"/>
        </w:p>
        <w:p>
          <w:pPr>
            <w:ind w:firstLineChars="200" w:firstLine="420"/>
            <w:jc w:val="both"/>
            <w:rPr>
              <w:rFonts w:ascii="宋体" w:hAnsi="宋体"/>
            </w:rPr>
          </w:pPr>
          <w:r>
            <w:rPr>
              <w:rFonts w:ascii="宋体" w:hAnsi="宋体" w:hint="eastAsia"/>
            </w:rPr>
            <w:t>《公司章程》中具体载列了公司秘书的职责。</w:t>
          </w:r>
        </w:p>
        <w:p>
          <w:pPr>
            <w:ind w:firstLineChars="200" w:firstLine="420"/>
            <w:jc w:val="both"/>
            <w:rPr>
              <w:rFonts w:ascii="宋体" w:hAnsi="宋体"/>
            </w:rPr>
          </w:pPr>
          <w:r>
            <w:rPr>
              <w:rFonts w:ascii="宋体" w:hAnsi="宋体" w:hint="eastAsia"/>
            </w:rPr>
            <w:t>报告期内，黄霄龙先生及黄伟超先生均参加了上市地监管机构组织的累计超过15小时的相关培训。</w:t>
          </w:r>
        </w:p>
        <w:p>
          <w:pPr>
            <w:ind w:firstLineChars="200" w:firstLine="420"/>
            <w:jc w:val="both"/>
            <w:rPr>
              <w:rFonts w:ascii="宋体" w:hAnsi="宋体"/>
            </w:rPr>
          </w:pPr>
        </w:p>
        <w:p>
          <w:pPr>
            <w:ind w:firstLineChars="200" w:firstLine="420"/>
            <w:jc w:val="both"/>
            <w:rPr>
              <w:rFonts w:ascii="宋体" w:hAnsi="宋体"/>
            </w:rPr>
          </w:pPr>
          <w:bookmarkStart w:id="191" w:name="_Hlk223369924"/>
          <w:r>
            <w:rPr>
              <w:rFonts w:ascii="宋体" w:hAnsi="宋体" w:hint="eastAsia"/>
            </w:rPr>
            <w:t>（十）法律程序代理人</w:t>
          </w:r>
        </w:p>
        <w:p>
          <w:pPr>
            <w:ind w:firstLineChars="200" w:firstLine="420"/>
            <w:jc w:val="both"/>
            <w:rPr>
              <w:rFonts w:ascii="宋体" w:hAnsi="宋体"/>
            </w:rPr>
          </w:pPr>
          <w:r>
            <w:rPr>
              <w:rFonts w:ascii="宋体" w:hAnsi="宋体" w:hint="eastAsia"/>
            </w:rPr>
            <w:t>黄伟超先生因工作安排变动，已辞任根据《上市规则》第19A.13(2)条及香港法例第622章《公司条例》代表本公司接收在香港送达的法律程序文件及通知的授权代表（“法律程序代理人”）一职，自2026年2月11日起生效。黄先生辞任后，林庚墀先生获委任为本公司法律程序代理人，自2026年2月11日起生效。有关进一步详情，请参阅本公司日期为2026年2月11日的公告。为免生疑问，林庚墀先生并非本公司根据《上市规则》第3.05条委任的授权代表。</w:t>
          </w:r>
        </w:p>
        <w:bookmarkEnd w:id="191"/>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（十一）股东权利</w:t>
          </w:r>
        </w:p>
        <w:p>
          <w:pPr>
            <w:ind w:firstLineChars="200" w:firstLine="420"/>
            <w:jc w:val="both"/>
            <w:rPr>
              <w:rFonts w:ascii="宋体" w:hAnsi="宋体"/>
            </w:rPr>
          </w:pPr>
          <w:r>
            <w:rPr>
              <w:rFonts w:ascii="宋体" w:hAnsi="宋体" w:hint="eastAsia"/>
            </w:rPr>
            <w:t>《公司章程》中具体载列了股东提议召开股东会、向董事会提出查询以及在股东会上提出建议的程序：</w:t>
          </w:r>
        </w:p>
        <w:p>
          <w:pPr>
            <w:ind w:firstLineChars="200" w:firstLine="420"/>
            <w:jc w:val="both"/>
            <w:rPr>
              <w:rFonts w:ascii="宋体" w:hAnsi="宋体"/>
            </w:rPr>
          </w:pPr>
          <w:r>
            <w:rPr>
              <w:rFonts w:ascii="宋体" w:hAnsi="宋体" w:hint="eastAsia"/>
            </w:rPr>
            <w:lastRenderedPageBreak/>
            <w:t>符合条件的公司股东，在提供足够的联络资料后，可以以下列方式提议召开临时股东会：（1）以书面形式提请董事会召开，并阐明会议的议题，董事会在规定的时间内应给予股东书面反馈意见；（2）若董事会不同意召开，股东有权向审计委员会以书面形式提议召开；（3）若</w:t>
          </w:r>
          <w:bookmarkStart w:id="192" w:name="OLE_LINK17"/>
          <w:r>
            <w:rPr>
              <w:rFonts w:ascii="宋体" w:hAnsi="宋体" w:hint="eastAsia"/>
            </w:rPr>
            <w:t>审计委员会</w:t>
          </w:r>
          <w:bookmarkEnd w:id="192"/>
          <w:r>
            <w:rPr>
              <w:rFonts w:ascii="宋体" w:hAnsi="宋体" w:hint="eastAsia"/>
            </w:rPr>
            <w:t>未在规定期限内发出股东会通知，视为审计委员会不召集和主持，股东可以自行召集和主持临时股东会。股东因董事会、审计委员会未应前述要求举行临时股东会而自行召集并举行的，其所发生的合理费用由公司承担；公司董事会和公司秘书将配合组织、召集股东会相关事宜。</w:t>
          </w:r>
        </w:p>
        <w:p>
          <w:pPr>
            <w:ind w:firstLineChars="200" w:firstLine="420"/>
            <w:jc w:val="both"/>
            <w:rPr>
              <w:rFonts w:ascii="宋体" w:hAnsi="宋体"/>
            </w:rPr>
          </w:pPr>
          <w:r>
            <w:rPr>
              <w:rFonts w:ascii="宋体" w:hAnsi="宋体" w:hint="eastAsia"/>
            </w:rPr>
            <w:t>股东向公司提交相关身份证明材料和足够的联络资料后，可以向公司董事会查询公司股东名册、董事和高级管理人员个人资料、股东会记录、董事会会议决议、财务会计报告以及公司债券存根等资料。</w:t>
          </w:r>
        </w:p>
        <w:p>
          <w:pPr>
            <w:ind w:firstLineChars="200" w:firstLine="420"/>
            <w:jc w:val="both"/>
            <w:rPr>
              <w:rFonts w:ascii="宋体" w:hAnsi="宋体"/>
            </w:rPr>
          </w:pPr>
          <w:r>
            <w:rPr>
              <w:rFonts w:ascii="宋体" w:hAnsi="宋体" w:hint="eastAsia"/>
            </w:rPr>
            <w:t>符合条件的股东可以在股东会召开十日前提出临时提案并书面提交公司股东会召集人，召集人应当在收到提案后二日内发出股东会补充通知，公告临时提案的内容。公司全体董事和高级管理人员应当参加会议，除涉及公司商业秘密外，董事、高级管理人员应当对股东的质询和建议作出解释或说明。</w:t>
          </w:r>
        </w:p>
        <w:p>
          <w:pPr>
            <w:ind w:firstLineChars="200" w:firstLine="420"/>
            <w:jc w:val="both"/>
            <w:rPr>
              <w:rFonts w:ascii="宋体" w:hAnsi="宋体"/>
            </w:rPr>
          </w:pPr>
        </w:p>
        <w:p>
          <w:pPr>
            <w:ind w:firstLineChars="200" w:firstLine="420"/>
            <w:jc w:val="both"/>
            <w:rPr>
              <w:rFonts w:ascii="宋体" w:hAnsi="宋体"/>
            </w:rPr>
          </w:pPr>
          <w:r>
            <w:rPr>
              <w:rFonts w:ascii="宋体" w:hAnsi="宋体" w:hint="eastAsia"/>
            </w:rPr>
            <w:t>（十二）投资者关系</w:t>
          </w:r>
        </w:p>
        <w:p>
          <w:pPr>
            <w:ind w:firstLineChars="200" w:firstLine="420"/>
            <w:jc w:val="both"/>
            <w:rPr>
              <w:rFonts w:ascii="宋体" w:hAnsi="宋体"/>
            </w:rPr>
          </w:pPr>
          <w:r>
            <w:rPr>
              <w:rFonts w:ascii="宋体" w:hAnsi="宋体" w:hint="eastAsia"/>
            </w:rPr>
            <w:t>1．不断完善投资者关系管理制度</w:t>
          </w:r>
        </w:p>
        <w:p>
          <w:pPr>
            <w:ind w:firstLineChars="200" w:firstLine="420"/>
            <w:jc w:val="both"/>
            <w:rPr>
              <w:rFonts w:ascii="宋体" w:hAnsi="宋体"/>
            </w:rPr>
          </w:pPr>
          <w:r>
            <w:rPr>
              <w:rFonts w:ascii="宋体" w:hAnsi="宋体" w:hint="eastAsia"/>
            </w:rPr>
            <w:t>根据上市地监管规定，结合日常工作实践，公司制定并完善了《投资者关系管理工作制度》《信息披露管理制度》等投资者关系管理制度，规范开展投资者关系管理工作。</w:t>
          </w:r>
        </w:p>
        <w:p>
          <w:pPr>
            <w:ind w:firstLineChars="200" w:firstLine="420"/>
            <w:jc w:val="both"/>
            <w:rPr>
              <w:rFonts w:ascii="宋体" w:hAnsi="宋体"/>
            </w:rPr>
          </w:pPr>
          <w:r>
            <w:rPr>
              <w:rFonts w:ascii="宋体" w:hAnsi="宋体" w:hint="eastAsia"/>
            </w:rPr>
            <w:t>公司对《公司章程》等内部管理制度不时进行修订及完善，有关修订详情请见本节“公司治理相关情况说明”相关内容。</w:t>
          </w:r>
        </w:p>
        <w:p>
          <w:pPr>
            <w:ind w:firstLineChars="200" w:firstLine="420"/>
            <w:jc w:val="both"/>
            <w:rPr>
              <w:rFonts w:ascii="宋体" w:hAnsi="宋体"/>
            </w:rPr>
          </w:pPr>
          <w:r>
            <w:rPr>
              <w:rFonts w:ascii="宋体" w:hAnsi="宋体" w:hint="eastAsia"/>
            </w:rPr>
            <w:t>2．积极与投资者进行沟通</w:t>
          </w:r>
        </w:p>
        <w:p>
          <w:pPr>
            <w:ind w:firstLineChars="200" w:firstLine="420"/>
            <w:jc w:val="both"/>
            <w:rPr>
              <w:rFonts w:ascii="宋体" w:hAnsi="宋体"/>
            </w:rPr>
          </w:pPr>
          <w:r>
            <w:rPr>
              <w:rFonts w:ascii="宋体" w:hAnsi="宋体" w:hint="eastAsia"/>
            </w:rPr>
            <w:t>公司始终坚持公开、公平、公正的原则，诚恳地与投资者沟通交流。</w:t>
          </w:r>
        </w:p>
        <w:p>
          <w:pPr>
            <w:ind w:firstLineChars="200" w:firstLine="420"/>
            <w:jc w:val="both"/>
            <w:rPr>
              <w:rFonts w:ascii="宋体" w:hAnsi="宋体"/>
            </w:rPr>
          </w:pPr>
          <w:r>
            <w:rPr>
              <w:rFonts w:ascii="宋体" w:hAnsi="宋体" w:hint="eastAsia"/>
            </w:rPr>
            <w:t>报告期内，公司采取路演、反路演等方式，面对面地向投资者汇报经营情况，同时了解投资者及资本市场对公司的意见和建议。积极召开定期报告业绩说明会，主动就相关重大事项召开投资者说明会。除上证e互动、投资者说明会等常规渠道以外，通过电话、电邮、微信等方式回应投资者投诉、意见，或向投资者征求意见建议并改进，与分析师、基金经理和投资者沟通交流2000余人次，实现了与资本市场的双向畅通沟通交流。本公司已检讨了上述机制的实施及有效性，认为上述机制能够确保公司与投资者及股东的有效沟通。</w:t>
          </w:r>
        </w:p>
        <w:p>
          <w:pPr>
            <w:ind w:firstLineChars="200" w:firstLine="420"/>
            <w:jc w:val="both"/>
            <w:rPr>
              <w:rFonts w:ascii="宋体" w:hAnsi="宋体"/>
            </w:rPr>
          </w:pPr>
          <w:r>
            <w:rPr>
              <w:rFonts w:ascii="宋体" w:hAnsi="宋体" w:hint="eastAsia"/>
            </w:rPr>
            <w:t>公司重视通过股东会与股东沟通，采用网络投票等多种方式鼓励中小股东积极参加股东会。公司相关董事（包括独立非执行董事）和高级管理人员出席股东会。在股东会上，每项实际独立事项均单独提出议案，所有议案均以投票方式进行表决。</w:t>
          </w:r>
        </w:p>
        <w:p>
          <w:pPr>
            <w:ind w:firstLineChars="200" w:firstLine="420"/>
            <w:jc w:val="both"/>
            <w:rPr>
              <w:rFonts w:ascii="宋体" w:hAnsi="宋体"/>
            </w:rPr>
          </w:pPr>
          <w:r>
            <w:rPr>
              <w:rFonts w:ascii="宋体" w:hAnsi="宋体" w:hint="eastAsia"/>
            </w:rPr>
            <w:t xml:space="preserve"> </w:t>
          </w:r>
        </w:p>
        <w:p>
          <w:pPr>
            <w:ind w:firstLineChars="200" w:firstLine="420"/>
            <w:jc w:val="both"/>
            <w:rPr>
              <w:rFonts w:ascii="宋体" w:hAnsi="宋体"/>
            </w:rPr>
          </w:pPr>
          <w:r>
            <w:rPr>
              <w:rFonts w:ascii="宋体" w:hAnsi="宋体" w:hint="eastAsia"/>
            </w:rPr>
            <w:t>（十三）信息披露</w:t>
          </w:r>
        </w:p>
        <w:p>
          <w:pPr>
            <w:ind w:firstLineChars="200" w:firstLine="420"/>
            <w:jc w:val="both"/>
            <w:rPr>
              <w:rFonts w:ascii="宋体" w:hAnsi="宋体"/>
            </w:rPr>
          </w:pPr>
          <w:r>
            <w:rPr>
              <w:rFonts w:ascii="宋体" w:hAnsi="宋体" w:hint="eastAsia"/>
            </w:rPr>
            <w:t>公司高度重视信息披露的真实性、准确性、完整性、及时性和公平性，确保披露信息简明清晰，通俗易懂，并遵守香港上市规则的披露规定。公司建立了规范、有效的信息收集、整理、审定、披露和反馈控制程序，确保信息披露工作符合上市地监管规定，保障投资者合理获悉公司信息的需要。</w:t>
          </w:r>
        </w:p>
        <w:p>
          <w:pPr>
            <w:ind w:firstLineChars="200" w:firstLine="420"/>
            <w:jc w:val="both"/>
            <w:rPr>
              <w:rFonts w:ascii="宋体" w:hAnsi="宋体"/>
            </w:rPr>
          </w:pPr>
          <w:r>
            <w:rPr>
              <w:rFonts w:ascii="宋体" w:hAnsi="宋体" w:hint="eastAsia"/>
            </w:rPr>
            <w:t>公司财务总监必须确保披露的财务报表及相关内容，按照适用的会计准则及有关法规要求真实、准确、完整的反映本公司的业绩和财务状况。通过公司网站，公司实现了定期报告、临时性公告与交易所网站及法定媒体同步披露，并向投资者及时提供公司动态、公司治理制度的完善情况以及行业信息。</w:t>
          </w:r>
        </w:p>
        <w:p>
          <w:pPr>
            <w:ind w:firstLineChars="200" w:firstLine="420"/>
            <w:jc w:val="both"/>
            <w:rPr>
              <w:rFonts w:ascii="宋体" w:hAnsi="宋体"/>
            </w:rPr>
          </w:pPr>
          <w:r>
            <w:rPr>
              <w:rFonts w:ascii="宋体" w:hAnsi="宋体" w:hint="eastAsia"/>
            </w:rPr>
            <w:t>针对拥有多地上市平台的实际情况，公司始终坚持“同步公平披露”的原则，使投资者能公平地了解公司的经营情况。</w:t>
          </w:r>
        </w:p>
        <w:p>
          <w:pPr>
            <w:ind w:firstLineChars="200" w:firstLine="420"/>
            <w:jc w:val="both"/>
            <w:rPr>
              <w:rFonts w:ascii="宋体" w:hAnsi="宋体"/>
            </w:rPr>
          </w:pPr>
          <w:r>
            <w:rPr>
              <w:rFonts w:ascii="宋体" w:hAnsi="宋体" w:hint="eastAsia"/>
            </w:rPr>
            <w:t xml:space="preserve"> </w:t>
          </w:r>
        </w:p>
        <w:p>
          <w:pPr>
            <w:ind w:firstLineChars="200" w:firstLine="420"/>
            <w:jc w:val="both"/>
            <w:rPr>
              <w:rFonts w:ascii="宋体" w:hAnsi="宋体"/>
            </w:rPr>
          </w:pPr>
          <w:r>
            <w:rPr>
              <w:rFonts w:ascii="宋体" w:hAnsi="宋体" w:hint="eastAsia"/>
            </w:rPr>
            <w:t>（十四）风险管理与内部监控</w:t>
          </w:r>
        </w:p>
        <w:p>
          <w:pPr>
            <w:ind w:firstLineChars="200" w:firstLine="420"/>
            <w:jc w:val="both"/>
            <w:rPr>
              <w:rFonts w:ascii="宋体" w:hAnsi="宋体"/>
            </w:rPr>
          </w:pPr>
          <w:r>
            <w:rPr>
              <w:rFonts w:ascii="宋体" w:hAnsi="宋体" w:hint="eastAsia"/>
            </w:rPr>
            <w:t>详情请见本节“十、报告期内的内部控制制度建设及实施情况”相关内容。</w:t>
          </w:r>
        </w:p>
        <w:p>
          <w:pPr>
            <w:ind w:firstLineChars="200" w:firstLine="420"/>
            <w:jc w:val="both"/>
            <w:rPr>
              <w:rFonts w:ascii="宋体" w:hAnsi="宋体"/>
            </w:rPr>
          </w:pPr>
          <w:r>
            <w:rPr>
              <w:rFonts w:ascii="宋体" w:hAnsi="宋体" w:hint="eastAsia"/>
            </w:rPr>
            <w:t xml:space="preserve"> </w:t>
          </w:r>
        </w:p>
        <w:p>
          <w:pPr>
            <w:ind w:firstLineChars="200" w:firstLine="420"/>
            <w:jc w:val="both"/>
            <w:rPr>
              <w:rFonts w:ascii="宋体" w:hAnsi="宋体"/>
            </w:rPr>
          </w:pPr>
          <w:r>
            <w:rPr>
              <w:rFonts w:ascii="宋体" w:hAnsi="宋体" w:hint="eastAsia"/>
            </w:rPr>
            <w:t>（十五）董事关于编制公司账目责任的确认</w:t>
          </w:r>
        </w:p>
        <w:p>
          <w:pPr>
            <w:ind w:firstLineChars="200" w:firstLine="420"/>
            <w:jc w:val="both"/>
            <w:rPr>
              <w:rFonts w:ascii="宋体" w:hAnsi="宋体"/>
            </w:rPr>
          </w:pPr>
          <w:r>
            <w:rPr>
              <w:rFonts w:ascii="宋体" w:hAnsi="宋体" w:hint="eastAsia"/>
            </w:rPr>
            <w:t>全体董事确认，彼等有责任编制截至2025年12月31日止年度的账目，真实公允地反映公司财务状况、经营业绩及现金流量状况。</w:t>
          </w:r>
        </w:p>
        <w:p>
          <w:pPr>
            <w:ind w:firstLineChars="200" w:firstLine="420"/>
            <w:jc w:val="both"/>
            <w:rPr>
              <w:rFonts w:ascii="宋体" w:hAnsi="宋体"/>
            </w:rPr>
          </w:pPr>
          <w:r>
            <w:rPr>
              <w:rFonts w:ascii="宋体" w:hAnsi="宋体" w:hint="eastAsia"/>
            </w:rPr>
            <w:lastRenderedPageBreak/>
            <w:t xml:space="preserve"> </w:t>
          </w:r>
        </w:p>
        <w:p>
          <w:pPr>
            <w:ind w:firstLineChars="200" w:firstLine="420"/>
            <w:jc w:val="both"/>
            <w:rPr>
              <w:rFonts w:ascii="宋体" w:hAnsi="宋体"/>
            </w:rPr>
          </w:pPr>
          <w:r>
            <w:rPr>
              <w:rFonts w:ascii="宋体" w:hAnsi="宋体" w:hint="eastAsia"/>
            </w:rPr>
            <w:t>（十六）企业文化</w:t>
          </w:r>
        </w:p>
        <w:p>
          <w:pPr>
            <w:ind w:firstLineChars="200" w:firstLine="420"/>
            <w:jc w:val="both"/>
            <w:rPr>
              <w:rFonts w:ascii="宋体" w:hAnsi="宋体"/>
            </w:rPr>
          </w:pPr>
          <w:r>
            <w:rPr>
              <w:rFonts w:ascii="宋体" w:hAnsi="宋体" w:hint="eastAsia"/>
            </w:rPr>
            <w:t>公司企业文化包含公司使命、愿景、核心价值观和企业目标四个部分。公司使命为：创造绿色动能 引领能源变革。公司愿景为：</w:t>
          </w:r>
          <w:r>
            <w:rPr>
              <w:rFonts w:ascii="宋体" w:hAnsi="宋体"/>
            </w:rPr>
            <w:t>建设综合清洁能源服务商和世界一流企业。</w:t>
          </w:r>
          <w:r>
            <w:rPr>
              <w:rFonts w:ascii="宋体" w:hAnsi="宋体" w:hint="eastAsia"/>
            </w:rPr>
            <w:t>公司核心价值观为：安全、创新、绿色、担当、卓越。公司目标为：建设国际一流、可持续发展的清洁能源引领示范企业。</w:t>
          </w:r>
        </w:p>
        <w:p>
          <w:pPr>
            <w:ind w:firstLineChars="200" w:firstLine="420"/>
            <w:jc w:val="both"/>
            <w:rPr>
              <w:rFonts w:ascii="宋体" w:hAnsi="宋体"/>
            </w:rPr>
          </w:pPr>
          <w:r>
            <w:rPr>
              <w:rFonts w:ascii="宋体" w:hAnsi="宋体" w:hint="eastAsia"/>
            </w:rPr>
            <w:t>本公司认为健康的企业文化是良好企业管治的核心，所有董事以身作则，致力推广企业文化。本公司注重企业文化的传达及推动，遵行问责与检讨，让所有管理层及员工了解企业文化的核心价值及应有的行为。本公司已将企业文化的宣传加入各类员工培训材料、工作汇报流程、主题讨论等环节中，制定及强化员工行为守则及人才管理制度，加强及完善管理层与员工之间的沟通机制，通过各种途径了解员工对企业文化的认同度或发现的问题。</w:t>
          </w:r>
        </w:p>
        <w:p>
          <w:pPr>
            <w:ind w:firstLineChars="200" w:firstLine="420"/>
            <w:jc w:val="both"/>
            <w:rPr>
              <w:rFonts w:ascii="宋体" w:hAnsi="宋体"/>
            </w:rPr>
          </w:pPr>
          <w:r>
            <w:rPr>
              <w:rFonts w:ascii="宋体" w:hAnsi="宋体" w:hint="eastAsia"/>
            </w:rPr>
            <w:t>本公司已制定反对贪污和受理举报的制度，鼓励员工对贪污贿赂、徇私舞弊等违纪违法行为进行举报，对举报反映的问题线索及时组织核查，规范员工从业行为。本公司也会在日常员工培训中加大反贪污宣传，筑牢思想防线，强化民主监督，营造风清气正的发展环境。</w:t>
          </w:r>
        </w:p>
        <w:p>
          <w:pPr>
            <w:pStyle w:val="Style49"/>
          </w:pPr>
        </w:p>
      </w:sdtContent>
    </w:sdt>
    <w:p>
      <w:pPr>
        <w:pStyle w:val="Style49"/>
      </w:pPr>
      <w:r>
        <w:br w:type="page"/>
      </w:r>
    </w:p>
    <w:p>
      <w:pPr>
        <w:sectPr>
          <w:pgSz w:w="11906" w:h="16838"/>
          <w:pgMar w:top="1525" w:right="1276" w:bottom="1440" w:left="1797" w:header="851" w:footer="992" w:gutter="0"/>
          <w:cols w:space="425"/>
          <w:docGrid w:linePitch="312"/>
        </w:sectPr>
      </w:pPr>
    </w:p>
    <w:p>
      <w:pPr>
        <w:pStyle w:val="Style49"/>
      </w:pPr>
    </w:p>
    <w:p>
      <w:pPr>
        <w:numPr>
          <w:ilvl w:val="0"/>
          <w:numId w:val="10"/>
        </w:numPr>
        <w:jc w:val="center"/>
        <w:outlineLvl w:val="0"/>
        <w:rPr>
          <w:rFonts w:ascii="黑体" w:eastAsia="黑体" w:hAnsi="黑体"/>
          <w:b/>
          <w:bCs/>
          <w:sz w:val="28"/>
          <w:szCs w:val="28"/>
        </w:rPr>
      </w:pPr>
      <w:bookmarkStart w:id="193" w:name="_Toc225175014"/>
      <w:bookmarkStart w:id="194" w:name="_Toc191024260"/>
      <w:bookmarkStart w:id="195" w:name="_Hlk90554245"/>
      <w:bookmarkEnd w:id="185"/>
      <w:r>
        <w:rPr>
          <w:rFonts w:ascii="黑体" w:eastAsia="黑体" w:hAnsi="黑体" w:hint="eastAsia"/>
          <w:b/>
          <w:bCs/>
          <w:sz w:val="28"/>
          <w:szCs w:val="28"/>
        </w:rPr>
        <w:t>重要事项</w:t>
      </w:r>
      <w:bookmarkEnd w:id="193"/>
    </w:p>
    <w:bookmarkEnd w:id="194"/>
    <w:p>
      <w:pPr>
        <w:pStyle w:val="Style51"/>
        <w:numPr>
          <w:ilvl w:val="0"/>
          <w:numId w:val="33"/>
        </w:numPr>
      </w:pPr>
      <w:r>
        <w:rPr>
          <w:rFonts w:hint="eastAsia"/>
        </w:rPr>
        <w:t>承诺事项履行情况</w:t>
      </w:r>
    </w:p>
    <w:p>
      <w:pPr>
        <w:pStyle w:val="Style52"/>
        <w:numPr>
          <w:ilvl w:val="1"/>
          <w:numId w:val="34"/>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802655140"/>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Style63"/>
        <w:tblW w:w="140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1417"/>
        <w:gridCol w:w="4962"/>
        <w:gridCol w:w="850"/>
        <w:gridCol w:w="709"/>
        <w:gridCol w:w="1134"/>
        <w:gridCol w:w="850"/>
        <w:gridCol w:w="1134"/>
        <w:gridCol w:w="1029"/>
      </w:tblGrid>
      <w:tr>
        <w:trPr>
          <w:tblHeader/>
        </w:trPr>
        <w:bookmarkStart w:id="196" w:name="_Hlk218670729" w:displacedByCustomXml="next"/>
        <w:sdt>
          <w:sdtPr>
            <w:tag w:val="_PLD_415cfb23b46b41fba9f0b895a1088fd6"/>
            <w:id w:val="1933626133"/>
          </w:sdtPr>
          <w:sdtContent>
            <w:tc>
              <w:tcPr>
                <w:tcW w:w="1129" w:type="dxa"/>
                <w:vAlign w:val="center"/>
              </w:tcPr>
              <w:p>
                <w:pPr>
                  <w:jc w:val="center"/>
                </w:pPr>
                <w:r>
                  <w:rPr>
                    <w:rFonts w:hint="eastAsia"/>
                  </w:rPr>
                  <w:t>承诺背景</w:t>
                </w:r>
              </w:p>
            </w:tc>
          </w:sdtContent>
        </w:sdt>
        <w:sdt>
          <w:sdtPr>
            <w:tag w:val="_PLD_6d89eb5533974f2f9b788e2563589a7c"/>
            <w:id w:val="1327786221"/>
          </w:sdtPr>
          <w:sdtContent>
            <w:tc>
              <w:tcPr>
                <w:tcW w:w="851" w:type="dxa"/>
                <w:vAlign w:val="center"/>
              </w:tcPr>
              <w:p>
                <w:pPr>
                  <w:jc w:val="center"/>
                </w:pPr>
                <w:r>
                  <w:rPr>
                    <w:rFonts w:hint="eastAsia"/>
                  </w:rPr>
                  <w:t>承诺</w:t>
                </w:r>
              </w:p>
              <w:p>
                <w:pPr>
                  <w:jc w:val="center"/>
                </w:pPr>
                <w:r>
                  <w:rPr>
                    <w:rFonts w:hint="eastAsia"/>
                  </w:rPr>
                  <w:t>类型</w:t>
                </w:r>
              </w:p>
            </w:tc>
          </w:sdtContent>
        </w:sdt>
        <w:sdt>
          <w:sdtPr>
            <w:tag w:val="_PLD_4e3459cf954648c5ade489d7f239c9b2"/>
            <w:id w:val="-1246184813"/>
          </w:sdtPr>
          <w:sdtContent>
            <w:tc>
              <w:tcPr>
                <w:tcW w:w="1417" w:type="dxa"/>
                <w:vAlign w:val="center"/>
              </w:tcPr>
              <w:p>
                <w:pPr>
                  <w:jc w:val="center"/>
                </w:pPr>
                <w:r>
                  <w:rPr>
                    <w:rFonts w:hint="eastAsia"/>
                  </w:rPr>
                  <w:t>承诺方</w:t>
                </w:r>
              </w:p>
            </w:tc>
          </w:sdtContent>
        </w:sdt>
        <w:sdt>
          <w:sdtPr>
            <w:tag w:val="_PLD_b7ba969a5a9f484b969e33829f8fee27"/>
            <w:id w:val="78105196"/>
          </w:sdtPr>
          <w:sdtContent>
            <w:tc>
              <w:tcPr>
                <w:tcW w:w="4962" w:type="dxa"/>
                <w:vAlign w:val="center"/>
              </w:tcPr>
              <w:p>
                <w:pPr>
                  <w:jc w:val="center"/>
                </w:pPr>
                <w:r>
                  <w:rPr>
                    <w:rFonts w:hint="eastAsia"/>
                  </w:rPr>
                  <w:t>承诺</w:t>
                </w:r>
              </w:p>
              <w:p>
                <w:pPr>
                  <w:jc w:val="center"/>
                </w:pPr>
                <w:r>
                  <w:rPr>
                    <w:rFonts w:hint="eastAsia"/>
                  </w:rPr>
                  <w:t>内容</w:t>
                </w:r>
              </w:p>
            </w:tc>
          </w:sdtContent>
        </w:sdt>
        <w:sdt>
          <w:sdtPr>
            <w:tag w:val="_PLD_080af5a89fc040bc90935cec09ab2cd1"/>
            <w:id w:val="-191767821"/>
          </w:sdtPr>
          <w:sdtContent>
            <w:tc>
              <w:tcPr>
                <w:tcW w:w="850" w:type="dxa"/>
                <w:vAlign w:val="center"/>
              </w:tcPr>
              <w:p>
                <w:pPr>
                  <w:jc w:val="center"/>
                </w:pPr>
                <w:r>
                  <w:rPr>
                    <w:rFonts w:hint="eastAsia"/>
                  </w:rPr>
                  <w:t>承诺时间</w:t>
                </w:r>
              </w:p>
            </w:tc>
          </w:sdtContent>
        </w:sdt>
        <w:sdt>
          <w:sdtPr>
            <w:tag w:val="_PLD_81953845df7c406091c017485ffe89d0"/>
            <w:id w:val="166837494"/>
          </w:sdtPr>
          <w:sdtContent>
            <w:tc>
              <w:tcPr>
                <w:tcW w:w="709" w:type="dxa"/>
                <w:vAlign w:val="center"/>
              </w:tcPr>
              <w:p>
                <w:pPr>
                  <w:jc w:val="center"/>
                </w:pPr>
                <w:r>
                  <w:rPr>
                    <w:rFonts w:hint="eastAsia"/>
                  </w:rPr>
                  <w:t>是否有履行期限</w:t>
                </w:r>
              </w:p>
            </w:tc>
          </w:sdtContent>
        </w:sdt>
        <w:sdt>
          <w:sdtPr>
            <w:tag w:val="_PLD_95bd18790c864943ab7728a2218411a4"/>
            <w:id w:val="-2027005911"/>
          </w:sdtPr>
          <w:sdtContent>
            <w:tc>
              <w:tcPr>
                <w:tcW w:w="1134" w:type="dxa"/>
                <w:vAlign w:val="center"/>
              </w:tcPr>
              <w:p>
                <w:pPr>
                  <w:jc w:val="center"/>
                </w:pPr>
                <w:r>
                  <w:rPr>
                    <w:rFonts w:hint="eastAsia"/>
                  </w:rPr>
                  <w:t>承诺期限</w:t>
                </w:r>
              </w:p>
            </w:tc>
          </w:sdtContent>
        </w:sdt>
        <w:sdt>
          <w:sdtPr>
            <w:tag w:val="_PLD_f70c8d8e3e374db7a8e212809462bcc0"/>
            <w:id w:val="1870029269"/>
          </w:sdtPr>
          <w:sdtContent>
            <w:tc>
              <w:tcPr>
                <w:tcW w:w="850" w:type="dxa"/>
                <w:vAlign w:val="center"/>
              </w:tcPr>
              <w:p>
                <w:pPr>
                  <w:jc w:val="center"/>
                </w:pPr>
                <w:r>
                  <w:rPr>
                    <w:rFonts w:hint="eastAsia"/>
                  </w:rPr>
                  <w:t>是否及时严格履行</w:t>
                </w:r>
              </w:p>
            </w:tc>
          </w:sdtContent>
        </w:sdt>
        <w:sdt>
          <w:sdtPr>
            <w:tag w:val="_PLD_30da9c1a74564266bdab010410b3cfc4"/>
            <w:id w:val="2077011323"/>
          </w:sdtPr>
          <w:sdtContent>
            <w:tc>
              <w:tcPr>
                <w:tcW w:w="1134" w:type="dxa"/>
                <w:vAlign w:val="center"/>
              </w:tcPr>
              <w:p>
                <w:pPr>
                  <w:jc w:val="center"/>
                </w:pPr>
                <w:r>
                  <w:rPr>
                    <w:rFonts w:hint="eastAsia"/>
                  </w:rPr>
                  <w:t>如未能及时履行应说明未完成履行的具体原因</w:t>
                </w:r>
              </w:p>
            </w:tc>
          </w:sdtContent>
        </w:sdt>
        <w:sdt>
          <w:sdtPr>
            <w:tag w:val="_PLD_885166d72adc442aaa68aa0f496582ae"/>
            <w:id w:val="-1258444301"/>
          </w:sdtPr>
          <w:sdtContent>
            <w:tc>
              <w:tcPr>
                <w:tcW w:w="1029" w:type="dxa"/>
                <w:vAlign w:val="center"/>
              </w:tcPr>
              <w:p>
                <w:pPr>
                  <w:jc w:val="center"/>
                </w:pPr>
                <w:r>
                  <w:rPr>
                    <w:rFonts w:hint="eastAsia"/>
                  </w:rPr>
                  <w:t>如未能及时履行应说明下一步计划</w:t>
                </w:r>
              </w:p>
            </w:tc>
          </w:sdtContent>
        </w:sdt>
      </w:tr>
      <w:tr>
        <w:tc>
          <w:tcPr>
            <w:tcW w:w="1129" w:type="dxa"/>
            <w:vAlign w:val="center"/>
          </w:tcPr>
          <w:p>
            <w:pPr>
              <w:jc w:val="both"/>
            </w:pPr>
            <w:r>
              <w:rPr>
                <w:rFonts w:hint="eastAsia"/>
              </w:rPr>
              <w:t>与首次公开发行相关的承诺</w:t>
            </w:r>
          </w:p>
        </w:tc>
        <w:sdt>
          <w:sdtPr>
            <w:rPr>
              <w:rFonts w:ascii="宋体" w:hAnsi="宋体"/>
            </w:rPr>
            <w:alias w:val="与首次公开发行相关的承诺-承诺类型"/>
            <w:tag w:val="_GBC_544118bad2864ee8b5a42608e3d695de"/>
            <w:id w:val="105751586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color w:val="FFC000"/>
                  </w:rPr>
                </w:pPr>
                <w:r>
                  <w:rPr>
                    <w:rFonts w:ascii="宋体" w:hAnsi="宋体"/>
                  </w:rPr>
                  <w:t>解决同业竞争</w:t>
                </w:r>
              </w:p>
            </w:tc>
          </w:sdtContent>
        </w:sdt>
        <w:tc>
          <w:tcPr>
            <w:tcW w:w="1417" w:type="dxa"/>
            <w:vAlign w:val="center"/>
          </w:tcPr>
          <w:p>
            <w:pPr>
              <w:jc w:val="both"/>
              <w:rPr>
                <w:rFonts w:ascii="宋体" w:hAnsi="宋体"/>
              </w:rPr>
            </w:pPr>
            <w:r>
              <w:rPr>
                <w:rFonts w:ascii="宋体" w:hAnsi="宋体" w:hint="eastAsia"/>
              </w:rPr>
              <w:t>山东能源</w:t>
            </w:r>
          </w:p>
        </w:tc>
        <w:tc>
          <w:tcPr>
            <w:tcW w:w="4962" w:type="dxa"/>
            <w:vAlign w:val="center"/>
          </w:tcPr>
          <w:p>
            <w:pPr>
              <w:jc w:val="both"/>
              <w:rPr>
                <w:rFonts w:ascii="宋体" w:hAnsi="宋体"/>
              </w:rPr>
            </w:pPr>
            <w:r>
              <w:rPr>
                <w:rFonts w:ascii="宋体" w:hAnsi="宋体" w:hint="eastAsia"/>
              </w:rPr>
              <w:t>避免同业竞争。本公司于1997年重组时，山东能源与本公司签订《重组协议》，承诺将采取各种有效措施避免与本公司产生同业竞争。</w:t>
            </w:r>
          </w:p>
        </w:tc>
        <w:tc>
          <w:tcPr>
            <w:tcW w:w="850" w:type="dxa"/>
            <w:vAlign w:val="center"/>
          </w:tcPr>
          <w:p>
            <w:pPr>
              <w:jc w:val="both"/>
              <w:rPr>
                <w:rFonts w:ascii="宋体" w:hAnsi="宋体"/>
              </w:rPr>
            </w:pPr>
            <w:r>
              <w:rPr>
                <w:rFonts w:ascii="宋体" w:hAnsi="宋体" w:hint="eastAsia"/>
              </w:rPr>
              <w:t>1997年</w:t>
            </w:r>
          </w:p>
        </w:tc>
        <w:sdt>
          <w:sdtPr>
            <w:rPr>
              <w:rFonts w:ascii="宋体" w:hAnsi="宋体"/>
            </w:rPr>
            <w:alias w:val="与首次公开发行相关的承诺-是否有履行期限"/>
            <w:tag w:val="_GBC_2596a53d17dc47239c6d6c13d352aafe"/>
            <w:id w:val="2022274359"/>
            <w:comboBox>
              <w:listItem w:displayText="是" w:value="true"/>
              <w:listItem w:displayText="否" w:value="false"/>
            </w:comboBox>
          </w:sdtPr>
          <w:sdtContent>
            <w:tc>
              <w:tcPr>
                <w:tcW w:w="709" w:type="dxa"/>
                <w:vAlign w:val="center"/>
              </w:tcPr>
              <w:p>
                <w:pPr>
                  <w:jc w:val="center"/>
                  <w:rPr>
                    <w:rFonts w:ascii="宋体" w:hAnsi="宋体"/>
                    <w:color w:val="FFC000"/>
                  </w:rPr>
                </w:pPr>
                <w:r>
                  <w:rPr>
                    <w:rFonts w:ascii="宋体" w:hAnsi="宋体"/>
                  </w:rPr>
                  <w:t>否</w:t>
                </w:r>
              </w:p>
            </w:tc>
          </w:sdtContent>
        </w:sdt>
        <w:tc>
          <w:tcPr>
            <w:tcW w:w="1134" w:type="dxa"/>
            <w:vAlign w:val="center"/>
          </w:tcPr>
          <w:p>
            <w:pPr>
              <w:jc w:val="center"/>
              <w:rPr>
                <w:rFonts w:ascii="宋体" w:hAnsi="宋体"/>
              </w:rPr>
            </w:pPr>
            <w:r>
              <w:rPr>
                <w:rFonts w:ascii="宋体" w:hAnsi="宋体" w:hint="eastAsia"/>
              </w:rPr>
              <w:t>长期有效</w:t>
            </w:r>
          </w:p>
        </w:tc>
        <w:sdt>
          <w:sdtPr>
            <w:rPr>
              <w:rFonts w:ascii="宋体" w:hAnsi="宋体"/>
            </w:rPr>
            <w:alias w:val="与首次公开发行相关的承诺-是否及时严格履行"/>
            <w:tag w:val="_GBC_2cce12aeffd3453e80032e4cdeee78ec"/>
            <w:id w:val="192820928"/>
            <w:comboBox>
              <w:listItem w:displayText="是" w:value="true"/>
              <w:listItem w:displayText="否" w:value="false"/>
            </w:comboBox>
          </w:sdtPr>
          <w:sdtContent>
            <w:tc>
              <w:tcPr>
                <w:tcW w:w="850" w:type="dxa"/>
                <w:vAlign w:val="center"/>
              </w:tcPr>
              <w:p>
                <w:pPr>
                  <w:jc w:val="center"/>
                  <w:rPr>
                    <w:rFonts w:ascii="宋体" w:hAnsi="宋体"/>
                    <w:color w:val="FFC000"/>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正常履行</w:t>
            </w:r>
          </w:p>
        </w:tc>
        <w:tc>
          <w:tcPr>
            <w:tcW w:w="1029" w:type="dxa"/>
            <w:vAlign w:val="center"/>
          </w:tcPr>
          <w:p>
            <w:pPr>
              <w:jc w:val="center"/>
              <w:rPr>
                <w:rFonts w:ascii="宋体" w:hAnsi="宋体"/>
              </w:rPr>
            </w:pPr>
            <w:r>
              <w:rPr>
                <w:rFonts w:ascii="宋体" w:hAnsi="宋体" w:hint="eastAsia"/>
              </w:rPr>
              <w:t>无</w:t>
            </w:r>
          </w:p>
        </w:tc>
      </w:tr>
      <w:tr>
        <w:tc>
          <w:tcPr>
            <w:tcW w:w="1129" w:type="dxa"/>
            <w:vMerge w:val="restart"/>
            <w:vAlign w:val="center"/>
          </w:tcPr>
          <w:p>
            <w:pPr>
              <w:jc w:val="both"/>
            </w:pPr>
            <w:r>
              <w:rPr>
                <w:rFonts w:hint="eastAsia"/>
              </w:rPr>
              <w:t>其他承诺</w:t>
            </w:r>
          </w:p>
        </w:tc>
        <w:sdt>
          <w:sdtPr>
            <w:rPr>
              <w:rFonts w:ascii="宋体" w:hAnsi="宋体"/>
            </w:rPr>
            <w:alias w:val="其他承诺相关方的承诺事项-承诺类型"/>
            <w:tag w:val="_GBC_1e6cdc3ff68c4d3ba573b65b281d79f3"/>
            <w:id w:val="-106603318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rPr>
                </w:pPr>
                <w:r>
                  <w:rPr>
                    <w:rFonts w:ascii="宋体" w:hAnsi="宋体"/>
                  </w:rPr>
                  <w:t>其他</w:t>
                </w:r>
              </w:p>
            </w:tc>
          </w:sdtContent>
        </w:sdt>
        <w:tc>
          <w:tcPr>
            <w:tcW w:w="1417" w:type="dxa"/>
            <w:vAlign w:val="center"/>
          </w:tcPr>
          <w:p>
            <w:pPr>
              <w:jc w:val="both"/>
              <w:rPr>
                <w:rFonts w:ascii="宋体" w:hAnsi="宋体"/>
              </w:rPr>
            </w:pPr>
            <w:r>
              <w:rPr>
                <w:rFonts w:ascii="宋体" w:hAnsi="宋体" w:hint="eastAsia"/>
              </w:rPr>
              <w:t>山东能源</w:t>
            </w:r>
          </w:p>
        </w:tc>
        <w:tc>
          <w:tcPr>
            <w:tcW w:w="4962" w:type="dxa"/>
            <w:vAlign w:val="center"/>
          </w:tcPr>
          <w:p>
            <w:pPr>
              <w:jc w:val="both"/>
              <w:rPr>
                <w:rFonts w:ascii="宋体" w:hAnsi="宋体"/>
              </w:rPr>
            </w:pPr>
            <w:r>
              <w:rPr>
                <w:rFonts w:ascii="宋体" w:hAnsi="宋体" w:hint="eastAsia"/>
              </w:rPr>
              <w:t>山东能源就其与山能财司之间金融业务相关事宜作出如下承诺：</w:t>
            </w:r>
          </w:p>
          <w:p>
            <w:pPr>
              <w:jc w:val="both"/>
              <w:rPr>
                <w:rFonts w:ascii="宋体" w:hAnsi="宋体"/>
              </w:rPr>
            </w:pPr>
            <w:r>
              <w:rPr>
                <w:rFonts w:ascii="宋体" w:hAnsi="宋体" w:hint="eastAsia"/>
              </w:rPr>
              <w:t>1.鉴于兖矿能源在资产、业务、人员、财务、机构等方面均独立于山东能源，山东能源将继续确保兖矿能源的独立性并充分尊重兖矿能源的经营自主权，由兖矿能源及其子公司山能财司在符合相关监管规定的条件下，履行法律法规及《公司章程》《山东能源集团财务有限公司章程》等相关规定的决策程序后，根据业务开展的实际需要，自主决策山能财司与山东能源之间的金融业务。</w:t>
            </w:r>
          </w:p>
          <w:p>
            <w:pPr>
              <w:jc w:val="both"/>
              <w:rPr>
                <w:rFonts w:ascii="宋体" w:hAnsi="宋体"/>
              </w:rPr>
            </w:pPr>
            <w:r>
              <w:rPr>
                <w:rFonts w:ascii="宋体" w:hAnsi="宋体" w:hint="eastAsia"/>
              </w:rPr>
              <w:t>2.为保障兖矿能源在山能财司的资金安全，山东能源及其控制的其他企业将合法合规的与山能财司开展金融业务，保证不会通过山能财司或其他任何方式变相占用兖矿能源资金。</w:t>
            </w:r>
          </w:p>
          <w:p>
            <w:pPr>
              <w:jc w:val="both"/>
              <w:rPr>
                <w:rFonts w:ascii="宋体" w:hAnsi="宋体"/>
              </w:rPr>
            </w:pPr>
            <w:r>
              <w:rPr>
                <w:rFonts w:ascii="宋体" w:hAnsi="宋体" w:hint="eastAsia"/>
              </w:rPr>
              <w:t>3.若因山东能源及其控制的其他企业通过山能财司或其他任何方式违规占用兖矿能源资金而致使兖矿</w:t>
            </w:r>
            <w:r>
              <w:rPr>
                <w:rFonts w:ascii="宋体" w:hAnsi="宋体" w:hint="eastAsia"/>
              </w:rPr>
              <w:lastRenderedPageBreak/>
              <w:t>能源遭受损失，山东能源及山东能源控制的其他企业将以现金予以足额补偿。</w:t>
            </w:r>
          </w:p>
          <w:p>
            <w:pPr>
              <w:jc w:val="both"/>
              <w:rPr>
                <w:rFonts w:ascii="宋体" w:hAnsi="宋体"/>
              </w:rPr>
            </w:pPr>
            <w:r>
              <w:rPr>
                <w:rFonts w:ascii="宋体" w:hAnsi="宋体" w:hint="eastAsia"/>
              </w:rPr>
              <w:t>4.山东能源保证严格遵守中国证监会、上交所及《公司章程》等有关规定，与其他股东平等地行使股东权利、履行股东义务，不利用控股股东的地位谋取不当利益，不损害兖矿能源及其他社会公众股东的合法权益。</w:t>
            </w:r>
          </w:p>
        </w:tc>
        <w:tc>
          <w:tcPr>
            <w:tcW w:w="850" w:type="dxa"/>
            <w:vAlign w:val="center"/>
          </w:tcPr>
          <w:p>
            <w:pPr>
              <w:jc w:val="both"/>
              <w:rPr>
                <w:rFonts w:ascii="宋体" w:hAnsi="宋体"/>
              </w:rPr>
            </w:pPr>
            <w:r>
              <w:rPr>
                <w:rFonts w:ascii="宋体" w:hAnsi="宋体" w:hint="eastAsia"/>
              </w:rPr>
              <w:lastRenderedPageBreak/>
              <w:t>2022年8月26日</w:t>
            </w:r>
          </w:p>
        </w:tc>
        <w:sdt>
          <w:sdtPr>
            <w:rPr>
              <w:rFonts w:ascii="宋体" w:hAnsi="宋体"/>
            </w:rPr>
            <w:alias w:val="其他承诺相关方的承诺事项-是否有履行期限"/>
            <w:tag w:val="_GBC_095147d455544060ad66cedffc9a5f18"/>
            <w:id w:val="693419240"/>
            <w:comboBox>
              <w:listItem w:displayText="是" w:value="true"/>
              <w:listItem w:displayText="否" w:value="false"/>
            </w:comboBox>
          </w:sdtPr>
          <w:sdtContent>
            <w:tc>
              <w:tcPr>
                <w:tcW w:w="709" w:type="dxa"/>
                <w:vAlign w:val="center"/>
              </w:tcPr>
              <w:p>
                <w:pPr>
                  <w:jc w:val="center"/>
                  <w:rPr>
                    <w:rFonts w:ascii="宋体" w:hAnsi="宋体"/>
                  </w:rPr>
                </w:pPr>
                <w:r>
                  <w:rPr>
                    <w:rFonts w:ascii="宋体" w:hAnsi="宋体"/>
                  </w:rPr>
                  <w:t>否</w:t>
                </w:r>
              </w:p>
            </w:tc>
          </w:sdtContent>
        </w:sdt>
        <w:tc>
          <w:tcPr>
            <w:tcW w:w="1134" w:type="dxa"/>
            <w:vAlign w:val="center"/>
          </w:tcPr>
          <w:p>
            <w:pPr>
              <w:jc w:val="center"/>
              <w:rPr>
                <w:rFonts w:ascii="宋体" w:hAnsi="宋体"/>
              </w:rPr>
            </w:pPr>
            <w:r>
              <w:rPr>
                <w:rFonts w:ascii="宋体" w:hAnsi="宋体" w:hint="eastAsia"/>
              </w:rPr>
              <w:t>长期有效</w:t>
            </w:r>
          </w:p>
        </w:tc>
        <w:sdt>
          <w:sdtPr>
            <w:rPr>
              <w:rFonts w:ascii="宋体" w:hAnsi="宋体"/>
            </w:rPr>
            <w:alias w:val="其他承诺相关方的承诺事项-是否及时严格履行"/>
            <w:tag w:val="_GBC_45b74d8cfef3477a85932e170b84549a"/>
            <w:id w:val="2127656626"/>
            <w:comboBox>
              <w:listItem w:displayText="是" w:value="true"/>
              <w:listItem w:displayText="否" w:value="false"/>
            </w:comboBox>
          </w:sdtPr>
          <w:sdtContent>
            <w:tc>
              <w:tcPr>
                <w:tcW w:w="850"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正常履行</w:t>
            </w:r>
          </w:p>
        </w:tc>
        <w:tc>
          <w:tcPr>
            <w:tcW w:w="1029" w:type="dxa"/>
            <w:vAlign w:val="center"/>
          </w:tcPr>
          <w:p>
            <w:pPr>
              <w:jc w:val="center"/>
              <w:rPr>
                <w:rFonts w:ascii="宋体" w:hAnsi="宋体"/>
              </w:rPr>
            </w:pPr>
            <w:r>
              <w:rPr>
                <w:rFonts w:ascii="宋体" w:hAnsi="宋体" w:hint="eastAsia"/>
              </w:rPr>
              <w:t>无</w:t>
            </w:r>
          </w:p>
        </w:tc>
      </w:tr>
      <w:tr>
        <w:tc>
          <w:tcPr>
            <w:tcW w:w="1129" w:type="dxa"/>
            <w:vMerge/>
            <w:vAlign w:val="center"/>
          </w:tcPr>
          <w:p>
            <w:pPr>
              <w:jc w:val="both"/>
            </w:pPr>
          </w:p>
        </w:tc>
        <w:sdt>
          <w:sdtPr>
            <w:rPr>
              <w:rFonts w:ascii="宋体" w:hAnsi="宋体"/>
            </w:rPr>
            <w:alias w:val="其他承诺相关方的承诺事项-承诺类型"/>
            <w:tag w:val="_GBC_1e6cdc3ff68c4d3ba573b65b281d79f3"/>
            <w:id w:val="-61582454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rPr>
                </w:pPr>
                <w:r>
                  <w:rPr>
                    <w:rFonts w:ascii="宋体" w:hAnsi="宋体"/>
                  </w:rPr>
                  <w:t>其他</w:t>
                </w:r>
              </w:p>
            </w:tc>
          </w:sdtContent>
        </w:sdt>
        <w:tc>
          <w:tcPr>
            <w:tcW w:w="1417" w:type="dxa"/>
            <w:vAlign w:val="center"/>
          </w:tcPr>
          <w:p>
            <w:pPr>
              <w:jc w:val="both"/>
              <w:rPr>
                <w:rFonts w:ascii="宋体" w:hAnsi="宋体"/>
              </w:rPr>
            </w:pPr>
            <w:r>
              <w:rPr>
                <w:rFonts w:ascii="宋体" w:hAnsi="宋体" w:hint="eastAsia"/>
              </w:rPr>
              <w:t>新汶矿业集团有限责任公司、龙口矿业集团有限公司、淄博矿业集团有限责任公司、肥城肥矿煤业有限公司、临沂矿业集团有限责任公司（以下合称“转让方”）</w:t>
            </w:r>
          </w:p>
        </w:tc>
        <w:tc>
          <w:tcPr>
            <w:tcW w:w="4962" w:type="dxa"/>
            <w:vAlign w:val="center"/>
          </w:tcPr>
          <w:p>
            <w:pPr>
              <w:jc w:val="both"/>
              <w:rPr>
                <w:rFonts w:ascii="宋体" w:hAnsi="宋体"/>
              </w:rPr>
            </w:pPr>
            <w:r>
              <w:rPr>
                <w:rFonts w:ascii="宋体" w:hAnsi="宋体" w:hint="eastAsia"/>
              </w:rPr>
              <w:t>转让方就兖矿能源（“受让方”）收购鲁西矿业51%股权事项向兖矿能源作出如下承诺：</w:t>
            </w:r>
          </w:p>
          <w:p>
            <w:pPr>
              <w:jc w:val="both"/>
              <w:rPr>
                <w:rFonts w:ascii="宋体" w:hAnsi="宋体"/>
              </w:rPr>
            </w:pPr>
            <w:r>
              <w:rPr>
                <w:rFonts w:ascii="宋体" w:hAnsi="宋体" w:hint="eastAsia"/>
              </w:rPr>
              <w:t>1.如本次交易交割日后相关政府主管部门依据鲁动能〔2021〕3号、鲁政字〔2021〕143号文件或相关实施细则对鲁西矿业下属子公司煤矿采取限产、停产、关闭退出等处置措施的，转让方承诺：</w:t>
            </w:r>
          </w:p>
          <w:p>
            <w:pPr>
              <w:jc w:val="both"/>
              <w:rPr>
                <w:rFonts w:ascii="宋体" w:hAnsi="宋体"/>
              </w:rPr>
            </w:pPr>
            <w:r>
              <w:rPr>
                <w:rFonts w:ascii="宋体" w:hAnsi="宋体" w:hint="eastAsia"/>
              </w:rPr>
              <w:t>（1）由转让方对受让方给予相应补偿；</w:t>
            </w:r>
          </w:p>
          <w:p>
            <w:pPr>
              <w:jc w:val="both"/>
              <w:rPr>
                <w:rFonts w:ascii="宋体" w:hAnsi="宋体"/>
              </w:rPr>
            </w:pPr>
            <w:r>
              <w:rPr>
                <w:rFonts w:ascii="宋体" w:hAnsi="宋体" w:hint="eastAsia"/>
              </w:rPr>
              <w:t>（2）如转让方及受让方无法就前述具体赔偿金额协商一致的，则受让方可以向转让方书面通知解除《股权转让协议》，转让方应当返还已支付的股权转让价款等。</w:t>
            </w:r>
          </w:p>
          <w:p>
            <w:pPr>
              <w:jc w:val="both"/>
              <w:rPr>
                <w:rFonts w:ascii="宋体" w:hAnsi="宋体"/>
              </w:rPr>
            </w:pPr>
            <w:r>
              <w:rPr>
                <w:rFonts w:ascii="宋体" w:hAnsi="宋体" w:hint="eastAsia"/>
              </w:rPr>
              <w:t>2．除已扣减矿业权出让收益的矿业权外，就郭屯煤矿、彭庄煤矿、梁宝寺煤矿以及陈蛮庄煤矿四宗以现金、转增国家资本金等方式有偿处置过的矿业权，在本次交易交割日后，如被相关主管部门就在本次交易中相关采矿权评估范围内的资源储量征收矿业权出让收益且前述出让收益未在本次交易审计报告中体现，则：</w:t>
            </w:r>
          </w:p>
          <w:p>
            <w:pPr>
              <w:jc w:val="both"/>
              <w:rPr>
                <w:rFonts w:ascii="宋体" w:hAnsi="宋体"/>
              </w:rPr>
            </w:pPr>
            <w:r>
              <w:rPr>
                <w:rFonts w:ascii="宋体" w:hAnsi="宋体" w:hint="eastAsia"/>
              </w:rPr>
              <w:lastRenderedPageBreak/>
              <w:t>（1）转让方将按照该等下属子公司被征收出让收益金额向受让方现金补偿（补偿金额为被征收出让收益金额×51%×鲁西矿业持有该等下属子公司的股权比例）；</w:t>
            </w:r>
          </w:p>
          <w:p>
            <w:pPr>
              <w:jc w:val="both"/>
              <w:rPr>
                <w:rFonts w:ascii="宋体" w:hAnsi="宋体"/>
              </w:rPr>
            </w:pPr>
            <w:r>
              <w:rPr>
                <w:rFonts w:ascii="宋体" w:hAnsi="宋体" w:hint="eastAsia"/>
              </w:rPr>
              <w:t>（2）就届时本次交易对应资源储量中剩余的尚未按矿产品销售时的矿业权出让收益率计算征收的部分，由转让方一并向受让方现金补偿；</w:t>
            </w:r>
          </w:p>
          <w:p>
            <w:pPr>
              <w:jc w:val="both"/>
              <w:rPr>
                <w:rFonts w:ascii="宋体" w:hAnsi="宋体"/>
              </w:rPr>
            </w:pPr>
            <w:r>
              <w:rPr>
                <w:rFonts w:ascii="宋体" w:hAnsi="宋体" w:hint="eastAsia"/>
              </w:rPr>
              <w:t>（3）转让方向受让方补偿的金额应以《股权转让协议》依据的评估报告引用的矿业权评估报告所载金额×51%×鲁西矿业持有该等下属子公司的股权比例为限。</w:t>
            </w:r>
          </w:p>
        </w:tc>
        <w:tc>
          <w:tcPr>
            <w:tcW w:w="850" w:type="dxa"/>
            <w:vAlign w:val="center"/>
          </w:tcPr>
          <w:p>
            <w:pPr>
              <w:jc w:val="both"/>
              <w:rPr>
                <w:rFonts w:ascii="宋体" w:hAnsi="宋体"/>
              </w:rPr>
            </w:pPr>
            <w:r>
              <w:rPr>
                <w:rFonts w:ascii="宋体" w:hAnsi="宋体" w:hint="eastAsia"/>
              </w:rPr>
              <w:lastRenderedPageBreak/>
              <w:t>2023年4月28日</w:t>
            </w:r>
          </w:p>
        </w:tc>
        <w:sdt>
          <w:sdtPr>
            <w:rPr>
              <w:rFonts w:ascii="宋体" w:hAnsi="宋体"/>
            </w:rPr>
            <w:alias w:val="其他承诺相关方的承诺事项-是否有履行期限"/>
            <w:tag w:val="_GBC_095147d455544060ad66cedffc9a5f18"/>
            <w:id w:val="-1996030804"/>
            <w:comboBox>
              <w:listItem w:displayText="是" w:value="true"/>
              <w:listItem w:displayText="否" w:value="false"/>
            </w:comboBox>
          </w:sdtPr>
          <w:sdtContent>
            <w:tc>
              <w:tcPr>
                <w:tcW w:w="709" w:type="dxa"/>
                <w:vAlign w:val="center"/>
              </w:tcPr>
              <w:p>
                <w:pPr>
                  <w:jc w:val="center"/>
                  <w:rPr>
                    <w:rFonts w:ascii="宋体" w:hAnsi="宋体"/>
                  </w:rPr>
                </w:pPr>
                <w:r>
                  <w:rPr>
                    <w:rFonts w:ascii="宋体" w:hAnsi="宋体"/>
                  </w:rPr>
                  <w:t>否</w:t>
                </w:r>
              </w:p>
            </w:tc>
          </w:sdtContent>
        </w:sdt>
        <w:tc>
          <w:tcPr>
            <w:tcW w:w="1134" w:type="dxa"/>
            <w:vAlign w:val="center"/>
          </w:tcPr>
          <w:p>
            <w:pPr>
              <w:jc w:val="center"/>
              <w:rPr>
                <w:rFonts w:ascii="宋体" w:hAnsi="宋体"/>
              </w:rPr>
            </w:pPr>
            <w:r>
              <w:rPr>
                <w:rFonts w:ascii="宋体" w:hAnsi="宋体" w:hint="eastAsia"/>
              </w:rPr>
              <w:t>长期有效</w:t>
            </w:r>
          </w:p>
        </w:tc>
        <w:sdt>
          <w:sdtPr>
            <w:rPr>
              <w:rFonts w:ascii="宋体" w:hAnsi="宋体"/>
            </w:rPr>
            <w:alias w:val="其他承诺相关方的承诺事项-是否及时严格履行"/>
            <w:tag w:val="_GBC_45b74d8cfef3477a85932e170b84549a"/>
            <w:id w:val="-828437554"/>
            <w:comboBox>
              <w:listItem w:displayText="是" w:value="true"/>
              <w:listItem w:displayText="否" w:value="false"/>
            </w:comboBox>
          </w:sdtPr>
          <w:sdtContent>
            <w:tc>
              <w:tcPr>
                <w:tcW w:w="850"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正常履行</w:t>
            </w:r>
          </w:p>
        </w:tc>
        <w:tc>
          <w:tcPr>
            <w:tcW w:w="1029" w:type="dxa"/>
            <w:vAlign w:val="center"/>
          </w:tcPr>
          <w:p>
            <w:pPr>
              <w:jc w:val="center"/>
              <w:rPr>
                <w:rFonts w:ascii="宋体" w:hAnsi="宋体"/>
              </w:rPr>
            </w:pPr>
            <w:r>
              <w:rPr>
                <w:rFonts w:ascii="宋体" w:hAnsi="宋体" w:hint="eastAsia"/>
              </w:rPr>
              <w:t>无</w:t>
            </w:r>
          </w:p>
        </w:tc>
      </w:tr>
      <w:tr>
        <w:tc>
          <w:tcPr>
            <w:tcW w:w="1129" w:type="dxa"/>
            <w:vMerge/>
            <w:vAlign w:val="center"/>
          </w:tcPr>
          <w:p>
            <w:pPr>
              <w:jc w:val="both"/>
            </w:pPr>
          </w:p>
        </w:tc>
        <w:sdt>
          <w:sdtPr>
            <w:rPr>
              <w:rFonts w:ascii="宋体" w:hAnsi="宋体"/>
            </w:rPr>
            <w:alias w:val="其他承诺相关方的承诺事项-承诺类型"/>
            <w:tag w:val="_GBC_1e6cdc3ff68c4d3ba573b65b281d79f3"/>
            <w:id w:val="90033938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rPr>
                </w:pPr>
                <w:r>
                  <w:rPr>
                    <w:rFonts w:ascii="宋体" w:hAnsi="宋体"/>
                  </w:rPr>
                  <w:t>其他</w:t>
                </w:r>
              </w:p>
            </w:tc>
          </w:sdtContent>
        </w:sdt>
        <w:tc>
          <w:tcPr>
            <w:tcW w:w="1417" w:type="dxa"/>
            <w:vAlign w:val="center"/>
          </w:tcPr>
          <w:p>
            <w:pPr>
              <w:jc w:val="both"/>
              <w:rPr>
                <w:rFonts w:ascii="宋体" w:hAnsi="宋体"/>
              </w:rPr>
            </w:pPr>
            <w:r>
              <w:rPr>
                <w:rFonts w:ascii="宋体" w:hAnsi="宋体" w:hint="eastAsia"/>
              </w:rPr>
              <w:t>新汶矿业集团有限责任公司、山东能源（以下合称“转让方”）</w:t>
            </w:r>
          </w:p>
          <w:p>
            <w:pPr>
              <w:jc w:val="both"/>
              <w:rPr>
                <w:rFonts w:ascii="宋体" w:hAnsi="宋体"/>
              </w:rPr>
            </w:pPr>
          </w:p>
        </w:tc>
        <w:tc>
          <w:tcPr>
            <w:tcW w:w="4962" w:type="dxa"/>
            <w:vAlign w:val="center"/>
          </w:tcPr>
          <w:p>
            <w:pPr>
              <w:jc w:val="both"/>
              <w:rPr>
                <w:rFonts w:ascii="宋体" w:hAnsi="宋体"/>
              </w:rPr>
            </w:pPr>
            <w:r>
              <w:rPr>
                <w:rFonts w:ascii="宋体" w:hAnsi="宋体" w:hint="eastAsia"/>
              </w:rPr>
              <w:t>转让方就兖矿能源收购新疆能化51%股权事项向兖矿能源作出如下承诺：</w:t>
            </w:r>
          </w:p>
          <w:p>
            <w:pPr>
              <w:jc w:val="both"/>
              <w:rPr>
                <w:rFonts w:ascii="宋体" w:hAnsi="宋体"/>
              </w:rPr>
            </w:pPr>
            <w:r>
              <w:rPr>
                <w:rFonts w:ascii="宋体" w:hAnsi="宋体" w:hint="eastAsia"/>
              </w:rPr>
              <w:t>1．截至2023年4月28日，新疆能化所持有的新疆准东煤田奇台县黄草湖一至十一勘查区勘探探矿权有效期已经届满。转让方承诺将积极敦促并协助新疆能化尽快完成探矿权变更登记手续，如新疆能化在本次交易交割日后因无法完成或无法按时完成上述探矿权变更登记手续受到损失，则届时由转让方向受让方予以补偿。</w:t>
            </w:r>
          </w:p>
          <w:p>
            <w:pPr>
              <w:jc w:val="both"/>
              <w:rPr>
                <w:rFonts w:ascii="宋体" w:hAnsi="宋体"/>
              </w:rPr>
            </w:pPr>
            <w:r>
              <w:rPr>
                <w:rFonts w:ascii="宋体" w:hAnsi="宋体" w:hint="eastAsia"/>
              </w:rPr>
              <w:t>2．除已扣减矿业权出让收益的矿业权外，就保盛煤矿、红山洼煤矿两宗有偿处置过的矿业权，在本次交易交割日后，如被相关主管部门就在本次交易中相关采矿权评估范围内的资源储量征收矿业权出让收益且前述出让收益未在本次交易审计报告中体现，则：</w:t>
            </w:r>
          </w:p>
          <w:p>
            <w:pPr>
              <w:jc w:val="both"/>
              <w:rPr>
                <w:rFonts w:ascii="宋体" w:hAnsi="宋体"/>
              </w:rPr>
            </w:pPr>
            <w:r>
              <w:rPr>
                <w:rFonts w:ascii="宋体" w:hAnsi="宋体" w:hint="eastAsia"/>
              </w:rPr>
              <w:lastRenderedPageBreak/>
              <w:t>（1）转让方将按照该等下属子公司被征收出让收益金额，在明确缴纳义务后的30日内向受让方现金补偿（补偿金额为被征收出让收益金额×51%×新疆能化持有该等下属子公司的股权比例）；</w:t>
            </w:r>
          </w:p>
          <w:p>
            <w:pPr>
              <w:jc w:val="both"/>
              <w:rPr>
                <w:rFonts w:ascii="宋体" w:hAnsi="宋体"/>
              </w:rPr>
            </w:pPr>
            <w:r>
              <w:rPr>
                <w:rFonts w:ascii="宋体" w:hAnsi="宋体" w:hint="eastAsia"/>
              </w:rPr>
              <w:t>（2）就届时本次交易对应资源储量中剩余的尚未按矿产品销售时的矿业权出让收益率计算征收的部分（如涉及），由转让方一并向受让方现金补偿；</w:t>
            </w:r>
          </w:p>
          <w:p>
            <w:pPr>
              <w:jc w:val="both"/>
              <w:rPr>
                <w:rFonts w:ascii="宋体" w:hAnsi="宋体"/>
              </w:rPr>
            </w:pPr>
            <w:r>
              <w:rPr>
                <w:rFonts w:ascii="宋体" w:hAnsi="宋体" w:hint="eastAsia"/>
              </w:rPr>
              <w:t>（3）转让方向受让方补偿的金额应以《股权转让协议》依据的评估报告引用的矿业权评估报告所载金额×51%×新疆能化持有该等下属子公司的股权比例为限。</w:t>
            </w:r>
          </w:p>
        </w:tc>
        <w:tc>
          <w:tcPr>
            <w:tcW w:w="850" w:type="dxa"/>
            <w:vAlign w:val="center"/>
          </w:tcPr>
          <w:p>
            <w:pPr>
              <w:jc w:val="both"/>
              <w:rPr>
                <w:rFonts w:ascii="宋体" w:hAnsi="宋体"/>
              </w:rPr>
            </w:pPr>
            <w:r>
              <w:rPr>
                <w:rFonts w:ascii="宋体" w:hAnsi="宋体" w:hint="eastAsia"/>
              </w:rPr>
              <w:lastRenderedPageBreak/>
              <w:t>2023年4月28日</w:t>
            </w:r>
          </w:p>
        </w:tc>
        <w:sdt>
          <w:sdtPr>
            <w:rPr>
              <w:rFonts w:ascii="宋体" w:hAnsi="宋体"/>
            </w:rPr>
            <w:alias w:val="其他承诺相关方的承诺事项-是否有履行期限"/>
            <w:tag w:val="_GBC_095147d455544060ad66cedffc9a5f18"/>
            <w:id w:val="-616911251"/>
            <w:comboBox>
              <w:listItem w:displayText="是" w:value="true"/>
              <w:listItem w:displayText="否" w:value="false"/>
            </w:comboBox>
          </w:sdtPr>
          <w:sdtContent>
            <w:tc>
              <w:tcPr>
                <w:tcW w:w="709" w:type="dxa"/>
                <w:vAlign w:val="center"/>
              </w:tcPr>
              <w:p>
                <w:pPr>
                  <w:jc w:val="center"/>
                  <w:rPr>
                    <w:rFonts w:ascii="宋体" w:hAnsi="宋体"/>
                  </w:rPr>
                </w:pPr>
                <w:r>
                  <w:rPr>
                    <w:rFonts w:ascii="宋体" w:hAnsi="宋体"/>
                  </w:rPr>
                  <w:t>否</w:t>
                </w:r>
              </w:p>
            </w:tc>
          </w:sdtContent>
        </w:sdt>
        <w:tc>
          <w:tcPr>
            <w:tcW w:w="1134" w:type="dxa"/>
            <w:vAlign w:val="center"/>
          </w:tcPr>
          <w:p>
            <w:pPr>
              <w:jc w:val="center"/>
              <w:rPr>
                <w:rFonts w:ascii="宋体" w:hAnsi="宋体"/>
              </w:rPr>
            </w:pPr>
            <w:r>
              <w:rPr>
                <w:rFonts w:ascii="宋体" w:hAnsi="宋体" w:hint="eastAsia"/>
              </w:rPr>
              <w:t>长期有效</w:t>
            </w:r>
          </w:p>
        </w:tc>
        <w:sdt>
          <w:sdtPr>
            <w:rPr>
              <w:rFonts w:ascii="宋体" w:hAnsi="宋体"/>
            </w:rPr>
            <w:alias w:val="其他承诺相关方的承诺事项-是否及时严格履行"/>
            <w:tag w:val="_GBC_45b74d8cfef3477a85932e170b84549a"/>
            <w:id w:val="-352109977"/>
            <w:comboBox>
              <w:listItem w:displayText="是" w:value="true"/>
              <w:listItem w:displayText="否" w:value="false"/>
            </w:comboBox>
          </w:sdtPr>
          <w:sdtContent>
            <w:tc>
              <w:tcPr>
                <w:tcW w:w="850" w:type="dxa"/>
                <w:vAlign w:val="center"/>
              </w:tcPr>
              <w:p>
                <w:pPr>
                  <w:jc w:val="center"/>
                  <w:rPr>
                    <w:rFonts w:ascii="宋体" w:hAnsi="宋体"/>
                  </w:rPr>
                </w:pPr>
                <w:r>
                  <w:rPr>
                    <w:rFonts w:ascii="宋体" w:hAnsi="宋体"/>
                  </w:rPr>
                  <w:t>是</w:t>
                </w:r>
              </w:p>
            </w:tc>
          </w:sdtContent>
        </w:sdt>
        <w:tc>
          <w:tcPr>
            <w:tcW w:w="1134" w:type="dxa"/>
            <w:vAlign w:val="center"/>
          </w:tcPr>
          <w:p>
            <w:pPr>
              <w:jc w:val="both"/>
              <w:rPr>
                <w:rFonts w:ascii="宋体" w:hAnsi="宋体"/>
              </w:rPr>
            </w:pPr>
            <w:r>
              <w:rPr>
                <w:rFonts w:ascii="宋体" w:hAnsi="宋体" w:hint="eastAsia"/>
              </w:rPr>
              <w:t>就黄草湖探矿权续期承诺，新疆能化已于2023年5月完成续期。承诺其他部分正常履行。</w:t>
            </w:r>
          </w:p>
        </w:tc>
        <w:tc>
          <w:tcPr>
            <w:tcW w:w="1029" w:type="dxa"/>
            <w:vAlign w:val="center"/>
          </w:tcPr>
          <w:p>
            <w:pPr>
              <w:jc w:val="center"/>
              <w:rPr>
                <w:rFonts w:ascii="宋体" w:hAnsi="宋体"/>
              </w:rPr>
            </w:pPr>
            <w:r>
              <w:rPr>
                <w:rFonts w:ascii="宋体" w:hAnsi="宋体" w:hint="eastAsia"/>
              </w:rPr>
              <w:t>无</w:t>
            </w:r>
          </w:p>
        </w:tc>
      </w:tr>
      <w:tr>
        <w:tc>
          <w:tcPr>
            <w:tcW w:w="1129" w:type="dxa"/>
            <w:vMerge/>
            <w:vAlign w:val="center"/>
          </w:tcPr>
          <w:p>
            <w:pPr>
              <w:jc w:val="both"/>
            </w:pPr>
          </w:p>
        </w:tc>
        <w:sdt>
          <w:sdtPr>
            <w:rPr>
              <w:rFonts w:ascii="宋体" w:hAnsi="宋体"/>
            </w:rPr>
            <w:alias w:val="其他承诺相关方的承诺事项-承诺类型"/>
            <w:tag w:val="_GBC_1e6cdc3ff68c4d3ba573b65b281d79f3"/>
            <w:id w:val="-67534181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rPr>
                </w:pPr>
                <w:r>
                  <w:rPr>
                    <w:rFonts w:ascii="宋体" w:hAnsi="宋体"/>
                  </w:rPr>
                  <w:t>其他</w:t>
                </w:r>
              </w:p>
            </w:tc>
          </w:sdtContent>
        </w:sdt>
        <w:tc>
          <w:tcPr>
            <w:tcW w:w="1417" w:type="dxa"/>
            <w:vAlign w:val="center"/>
          </w:tcPr>
          <w:p>
            <w:pPr>
              <w:jc w:val="both"/>
              <w:rPr>
                <w:rFonts w:ascii="宋体" w:hAnsi="宋体"/>
              </w:rPr>
            </w:pPr>
            <w:r>
              <w:rPr>
                <w:rFonts w:ascii="宋体" w:hAnsi="宋体" w:hint="eastAsia"/>
              </w:rPr>
              <w:t>新汶矿业集团有限责任公司、龙口矿业集团有限公司、淄博矿业集团有限责任公司、肥城肥矿煤业有限公司、临沂矿业集团有限责任公司（以下合称“转让方”）</w:t>
            </w:r>
          </w:p>
        </w:tc>
        <w:tc>
          <w:tcPr>
            <w:tcW w:w="4962" w:type="dxa"/>
            <w:vAlign w:val="center"/>
          </w:tcPr>
          <w:p>
            <w:pPr>
              <w:jc w:val="both"/>
              <w:rPr>
                <w:rFonts w:ascii="宋体" w:hAnsi="宋体"/>
              </w:rPr>
            </w:pPr>
            <w:r>
              <w:rPr>
                <w:rFonts w:ascii="宋体" w:hAnsi="宋体" w:hint="eastAsia"/>
              </w:rPr>
              <w:t>转让方就鲁西矿业（“目标公司”）2023-2025年经营业绩作出如下承诺：</w:t>
            </w:r>
          </w:p>
          <w:p>
            <w:pPr>
              <w:jc w:val="both"/>
              <w:rPr>
                <w:rFonts w:ascii="宋体" w:hAnsi="宋体"/>
              </w:rPr>
            </w:pPr>
            <w:r>
              <w:rPr>
                <w:rFonts w:ascii="宋体" w:hAnsi="宋体" w:hint="eastAsia"/>
              </w:rPr>
              <w:t>1．2023-2025年度（“承诺期”），按中国会计准则计算，目标公司对应的经审计的扣除非经常性损益后归属于母公司股东的净利润（“净利润”）承诺期累计不低于人民币1,142,480.14万元（“承诺期累计承诺净利润”）。</w:t>
            </w:r>
          </w:p>
          <w:p>
            <w:pPr>
              <w:jc w:val="both"/>
              <w:rPr>
                <w:rFonts w:ascii="宋体" w:hAnsi="宋体"/>
              </w:rPr>
            </w:pPr>
            <w:r>
              <w:rPr>
                <w:rFonts w:ascii="宋体" w:hAnsi="宋体" w:hint="eastAsia"/>
              </w:rPr>
              <w:t>2．若目标公司在承诺期内累计实现净利润未达到承诺期累计承诺净利润，转让方将以现金方式向兖矿能源进行补偿。具体补偿金额按照以下方式计算：</w:t>
            </w:r>
          </w:p>
          <w:p>
            <w:pPr>
              <w:jc w:val="both"/>
              <w:rPr>
                <w:rFonts w:ascii="宋体" w:hAnsi="宋体"/>
              </w:rPr>
            </w:pPr>
            <w:r>
              <w:rPr>
                <w:rFonts w:ascii="宋体" w:hAnsi="宋体" w:hint="eastAsia"/>
              </w:rPr>
              <w:t>承诺期业绩补偿金额=（承诺期累计承诺净利润-承诺期累计实现净利润）÷承诺期累计承诺净利润×标的股权交易作价-其他已补偿金额。</w:t>
            </w:r>
          </w:p>
          <w:p>
            <w:pPr>
              <w:jc w:val="both"/>
              <w:rPr>
                <w:rFonts w:ascii="宋体" w:hAnsi="宋体"/>
              </w:rPr>
            </w:pPr>
          </w:p>
        </w:tc>
        <w:tc>
          <w:tcPr>
            <w:tcW w:w="850" w:type="dxa"/>
            <w:vAlign w:val="center"/>
          </w:tcPr>
          <w:p>
            <w:pPr>
              <w:jc w:val="both"/>
              <w:rPr>
                <w:rFonts w:ascii="宋体" w:hAnsi="宋体"/>
              </w:rPr>
            </w:pPr>
            <w:r>
              <w:rPr>
                <w:rFonts w:ascii="宋体" w:hAnsi="宋体" w:hint="eastAsia"/>
              </w:rPr>
              <w:t>2023年4月28日</w:t>
            </w:r>
          </w:p>
        </w:tc>
        <w:sdt>
          <w:sdtPr>
            <w:rPr>
              <w:rFonts w:ascii="宋体" w:hAnsi="宋体"/>
            </w:rPr>
            <w:alias w:val="其他承诺相关方的承诺事项-是否有履行期限"/>
            <w:tag w:val="_GBC_095147d455544060ad66cedffc9a5f18"/>
            <w:id w:val="599070282"/>
            <w:comboBox>
              <w:listItem w:displayText="是" w:value="true"/>
              <w:listItem w:displayText="否" w:value="false"/>
            </w:comboBox>
          </w:sdtPr>
          <w:sdtContent>
            <w:tc>
              <w:tcPr>
                <w:tcW w:w="709"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2023-2025年度</w:t>
            </w:r>
          </w:p>
        </w:tc>
        <w:sdt>
          <w:sdtPr>
            <w:rPr>
              <w:rFonts w:ascii="宋体" w:hAnsi="宋体"/>
            </w:rPr>
            <w:alias w:val="其他承诺相关方的承诺事项-是否及时严格履行"/>
            <w:tag w:val="_GBC_45b74d8cfef3477a85932e170b84549a"/>
            <w:id w:val="1452673149"/>
            <w:comboBox>
              <w:listItem w:displayText="是" w:value="true"/>
              <w:listItem w:displayText="否" w:value="false"/>
            </w:comboBox>
          </w:sdtPr>
          <w:sdtContent>
            <w:tc>
              <w:tcPr>
                <w:tcW w:w="850"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正常履行</w:t>
            </w:r>
          </w:p>
        </w:tc>
        <w:tc>
          <w:tcPr>
            <w:tcW w:w="1029" w:type="dxa"/>
            <w:vAlign w:val="center"/>
          </w:tcPr>
          <w:p>
            <w:pPr>
              <w:jc w:val="center"/>
              <w:rPr>
                <w:rFonts w:ascii="宋体" w:hAnsi="宋体"/>
              </w:rPr>
            </w:pPr>
            <w:r>
              <w:rPr>
                <w:rFonts w:ascii="宋体" w:hAnsi="宋体" w:hint="eastAsia"/>
              </w:rPr>
              <w:t>无</w:t>
            </w:r>
          </w:p>
        </w:tc>
      </w:tr>
      <w:tr>
        <w:tc>
          <w:tcPr>
            <w:tcW w:w="1129" w:type="dxa"/>
            <w:vMerge/>
            <w:vAlign w:val="center"/>
          </w:tcPr>
          <w:p>
            <w:pPr>
              <w:jc w:val="both"/>
            </w:pPr>
          </w:p>
        </w:tc>
        <w:sdt>
          <w:sdtPr>
            <w:rPr>
              <w:rFonts w:ascii="宋体" w:hAnsi="宋体"/>
            </w:rPr>
            <w:alias w:val="其他承诺相关方的承诺事项-承诺类型"/>
            <w:tag w:val="_GBC_1e6cdc3ff68c4d3ba573b65b281d79f3"/>
            <w:id w:val="-41755697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rPr>
                </w:pPr>
                <w:r>
                  <w:rPr>
                    <w:rFonts w:ascii="宋体" w:hAnsi="宋体"/>
                  </w:rPr>
                  <w:t>其他</w:t>
                </w:r>
              </w:p>
            </w:tc>
          </w:sdtContent>
        </w:sdt>
        <w:tc>
          <w:tcPr>
            <w:tcW w:w="1417" w:type="dxa"/>
            <w:vAlign w:val="center"/>
          </w:tcPr>
          <w:p>
            <w:pPr>
              <w:jc w:val="both"/>
              <w:rPr>
                <w:rFonts w:ascii="宋体" w:hAnsi="宋体"/>
              </w:rPr>
            </w:pPr>
            <w:r>
              <w:rPr>
                <w:rFonts w:ascii="宋体" w:hAnsi="宋体" w:hint="eastAsia"/>
              </w:rPr>
              <w:t>新汶矿业集团有限责任公司、山东能源（以下合称“转让方”）</w:t>
            </w:r>
          </w:p>
        </w:tc>
        <w:tc>
          <w:tcPr>
            <w:tcW w:w="4962" w:type="dxa"/>
            <w:vAlign w:val="center"/>
          </w:tcPr>
          <w:p>
            <w:pPr>
              <w:jc w:val="both"/>
              <w:rPr>
                <w:rFonts w:ascii="宋体" w:hAnsi="宋体"/>
              </w:rPr>
            </w:pPr>
            <w:r>
              <w:rPr>
                <w:rFonts w:ascii="宋体" w:hAnsi="宋体" w:hint="eastAsia"/>
              </w:rPr>
              <w:t>转让方就新疆能化（“目标公司”）2023-2025年经营业绩作出如下承诺：</w:t>
            </w:r>
          </w:p>
          <w:p>
            <w:pPr>
              <w:jc w:val="both"/>
              <w:rPr>
                <w:rFonts w:ascii="宋体" w:hAnsi="宋体"/>
              </w:rPr>
            </w:pPr>
            <w:r>
              <w:rPr>
                <w:rFonts w:ascii="宋体" w:hAnsi="宋体" w:hint="eastAsia"/>
              </w:rPr>
              <w:t>1．2023-2025年度（“承诺期”），按中国会计准则计算，目标公司对应的经审计的扣除非经常性损益后归属于母公司股东的净利润（“净利润”）承诺期累计不低于人民币401,345.61万元（“承诺期累计承诺净利润”）。</w:t>
            </w:r>
          </w:p>
          <w:p>
            <w:pPr>
              <w:jc w:val="both"/>
              <w:rPr>
                <w:rFonts w:ascii="宋体" w:hAnsi="宋体"/>
              </w:rPr>
            </w:pPr>
            <w:r>
              <w:rPr>
                <w:rFonts w:ascii="宋体" w:hAnsi="宋体" w:hint="eastAsia"/>
              </w:rPr>
              <w:t>2．若目标公司在承诺期内累计实现净利润未达到承诺期累计承诺净利润，转让方将以现金方式向兖矿能源进行补偿，具体补偿金额按照以下方式计算：</w:t>
            </w:r>
          </w:p>
          <w:p>
            <w:pPr>
              <w:jc w:val="both"/>
              <w:rPr>
                <w:rFonts w:ascii="宋体" w:hAnsi="宋体"/>
              </w:rPr>
            </w:pPr>
            <w:r>
              <w:rPr>
                <w:rFonts w:ascii="宋体" w:hAnsi="宋体" w:hint="eastAsia"/>
              </w:rPr>
              <w:t>承诺期业绩补偿金额=（承诺期累计承诺净利润-承诺期累计实现净利润）÷承诺期累计承诺净利润×标的股权交易作价-其他已补偿金额。</w:t>
            </w:r>
          </w:p>
        </w:tc>
        <w:tc>
          <w:tcPr>
            <w:tcW w:w="850" w:type="dxa"/>
            <w:vAlign w:val="center"/>
          </w:tcPr>
          <w:p>
            <w:pPr>
              <w:jc w:val="both"/>
              <w:rPr>
                <w:rFonts w:ascii="宋体" w:hAnsi="宋体"/>
              </w:rPr>
            </w:pPr>
            <w:r>
              <w:rPr>
                <w:rFonts w:ascii="宋体" w:hAnsi="宋体" w:hint="eastAsia"/>
              </w:rPr>
              <w:t>2023年4月28日</w:t>
            </w:r>
          </w:p>
        </w:tc>
        <w:sdt>
          <w:sdtPr>
            <w:rPr>
              <w:rFonts w:ascii="宋体" w:hAnsi="宋体"/>
            </w:rPr>
            <w:alias w:val="其他承诺相关方的承诺事项-是否有履行期限"/>
            <w:tag w:val="_GBC_095147d455544060ad66cedffc9a5f18"/>
            <w:id w:val="-832221764"/>
            <w:comboBox>
              <w:listItem w:displayText="是" w:value="true"/>
              <w:listItem w:displayText="否" w:value="false"/>
            </w:comboBox>
          </w:sdtPr>
          <w:sdtContent>
            <w:tc>
              <w:tcPr>
                <w:tcW w:w="709"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2023-2025年度</w:t>
            </w:r>
          </w:p>
        </w:tc>
        <w:sdt>
          <w:sdtPr>
            <w:rPr>
              <w:rFonts w:ascii="宋体" w:hAnsi="宋体"/>
            </w:rPr>
            <w:alias w:val="其他承诺相关方的承诺事项-是否及时严格履行"/>
            <w:tag w:val="_GBC_45b74d8cfef3477a85932e170b84549a"/>
            <w:id w:val="1855913968"/>
            <w:comboBox>
              <w:listItem w:displayText="是" w:value="true"/>
              <w:listItem w:displayText="否" w:value="false"/>
            </w:comboBox>
          </w:sdtPr>
          <w:sdtContent>
            <w:tc>
              <w:tcPr>
                <w:tcW w:w="850"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正常履行</w:t>
            </w:r>
          </w:p>
        </w:tc>
        <w:tc>
          <w:tcPr>
            <w:tcW w:w="1029" w:type="dxa"/>
            <w:vAlign w:val="center"/>
          </w:tcPr>
          <w:p>
            <w:pPr>
              <w:jc w:val="center"/>
              <w:rPr>
                <w:rFonts w:ascii="宋体" w:hAnsi="宋体"/>
              </w:rPr>
            </w:pPr>
            <w:r>
              <w:rPr>
                <w:rFonts w:ascii="宋体" w:hAnsi="宋体" w:hint="eastAsia"/>
              </w:rPr>
              <w:t>无</w:t>
            </w:r>
          </w:p>
        </w:tc>
      </w:tr>
      <w:tr>
        <w:tc>
          <w:tcPr>
            <w:tcW w:w="1129" w:type="dxa"/>
            <w:vMerge/>
            <w:vAlign w:val="center"/>
          </w:tcPr>
          <w:p>
            <w:pPr>
              <w:jc w:val="both"/>
            </w:pPr>
          </w:p>
        </w:tc>
        <w:sdt>
          <w:sdtPr>
            <w:rPr>
              <w:rFonts w:ascii="宋体" w:hAnsi="宋体"/>
            </w:rPr>
            <w:alias w:val="其他承诺相关方的承诺事项-承诺类型"/>
            <w:tag w:val="_GBC_1e6cdc3ff68c4d3ba573b65b281d79f3"/>
            <w:id w:val="-9294595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rPr>
                </w:pPr>
                <w:r>
                  <w:rPr>
                    <w:rFonts w:ascii="宋体" w:hAnsi="宋体"/>
                  </w:rPr>
                  <w:t>其他</w:t>
                </w:r>
              </w:p>
            </w:tc>
          </w:sdtContent>
        </w:sdt>
        <w:tc>
          <w:tcPr>
            <w:tcW w:w="1417" w:type="dxa"/>
            <w:vAlign w:val="center"/>
          </w:tcPr>
          <w:p>
            <w:pPr>
              <w:jc w:val="both"/>
              <w:rPr>
                <w:rFonts w:ascii="宋体" w:hAnsi="宋体"/>
              </w:rPr>
            </w:pPr>
            <w:r>
              <w:rPr>
                <w:rFonts w:ascii="宋体" w:hAnsi="宋体" w:hint="eastAsia"/>
              </w:rPr>
              <w:t>福建东聚科技有限公司、</w:t>
            </w:r>
          </w:p>
          <w:p>
            <w:pPr>
              <w:jc w:val="both"/>
              <w:rPr>
                <w:rFonts w:ascii="宋体" w:hAnsi="宋体"/>
              </w:rPr>
            </w:pPr>
            <w:r>
              <w:rPr>
                <w:rFonts w:ascii="宋体" w:hAnsi="宋体" w:hint="eastAsia"/>
              </w:rPr>
              <w:t>福建东普投资中心（有限合伙）、</w:t>
            </w:r>
          </w:p>
          <w:p>
            <w:pPr>
              <w:jc w:val="both"/>
              <w:rPr>
                <w:rFonts w:ascii="宋体" w:hAnsi="宋体"/>
              </w:rPr>
            </w:pPr>
            <w:r>
              <w:rPr>
                <w:rFonts w:ascii="宋体" w:hAnsi="宋体" w:hint="eastAsia"/>
              </w:rPr>
              <w:t>福建东震投资中心（有限合伙）、</w:t>
            </w:r>
          </w:p>
          <w:p>
            <w:pPr>
              <w:jc w:val="both"/>
              <w:rPr>
                <w:rFonts w:ascii="宋体" w:hAnsi="宋体"/>
              </w:rPr>
            </w:pPr>
            <w:r>
              <w:rPr>
                <w:rFonts w:ascii="宋体" w:hAnsi="宋体" w:hint="eastAsia"/>
              </w:rPr>
              <w:t>福建东熹投资中心（有限合伙）、</w:t>
            </w:r>
          </w:p>
          <w:p>
            <w:pPr>
              <w:jc w:val="both"/>
              <w:rPr>
                <w:rFonts w:ascii="宋体" w:hAnsi="宋体"/>
              </w:rPr>
            </w:pPr>
            <w:r>
              <w:rPr>
                <w:rFonts w:ascii="宋体" w:hAnsi="宋体" w:hint="eastAsia"/>
              </w:rPr>
              <w:lastRenderedPageBreak/>
              <w:t>福建东泊投资中心（有限合伙）、</w:t>
            </w:r>
          </w:p>
          <w:p>
            <w:pPr>
              <w:jc w:val="both"/>
              <w:rPr>
                <w:rFonts w:ascii="宋体" w:hAnsi="宋体"/>
              </w:rPr>
            </w:pPr>
            <w:r>
              <w:rPr>
                <w:rFonts w:ascii="宋体" w:hAnsi="宋体" w:hint="eastAsia"/>
              </w:rPr>
              <w:t>福建东沃投资中心（有限合伙）、</w:t>
            </w:r>
          </w:p>
          <w:p>
            <w:pPr>
              <w:jc w:val="both"/>
              <w:rPr>
                <w:rFonts w:ascii="宋体" w:hAnsi="宋体"/>
              </w:rPr>
            </w:pPr>
            <w:r>
              <w:rPr>
                <w:rFonts w:ascii="宋体" w:hAnsi="宋体" w:hint="eastAsia"/>
              </w:rPr>
              <w:t>福建东创投资中心（有限合伙）、</w:t>
            </w:r>
          </w:p>
          <w:p>
            <w:pPr>
              <w:jc w:val="both"/>
              <w:rPr>
                <w:rFonts w:ascii="宋体" w:hAnsi="宋体"/>
              </w:rPr>
            </w:pPr>
            <w:r>
              <w:rPr>
                <w:rFonts w:ascii="宋体" w:hAnsi="宋体" w:hint="eastAsia"/>
              </w:rPr>
              <w:t>福建东潭投资中心（有限合伙）、</w:t>
            </w:r>
          </w:p>
          <w:p>
            <w:pPr>
              <w:jc w:val="both"/>
              <w:rPr>
                <w:rFonts w:ascii="宋体" w:hAnsi="宋体"/>
              </w:rPr>
            </w:pPr>
            <w:r>
              <w:rPr>
                <w:rFonts w:ascii="宋体" w:hAnsi="宋体" w:hint="eastAsia"/>
              </w:rPr>
              <w:t>福建东厦投资中心（有限合伙）、</w:t>
            </w:r>
          </w:p>
          <w:p>
            <w:pPr>
              <w:jc w:val="both"/>
              <w:rPr>
                <w:rFonts w:ascii="宋体" w:hAnsi="宋体"/>
              </w:rPr>
            </w:pPr>
            <w:r>
              <w:rPr>
                <w:rFonts w:ascii="宋体" w:hAnsi="宋体" w:hint="eastAsia"/>
              </w:rPr>
              <w:t>福建东达投资中心（有限合伙）、</w:t>
            </w:r>
          </w:p>
          <w:p>
            <w:pPr>
              <w:jc w:val="both"/>
              <w:rPr>
                <w:rFonts w:ascii="宋体" w:hAnsi="宋体"/>
              </w:rPr>
            </w:pPr>
            <w:r>
              <w:rPr>
                <w:rFonts w:ascii="宋体" w:hAnsi="宋体" w:hint="eastAsia"/>
              </w:rPr>
              <w:t>福建东投投资中心（有限合伙）、</w:t>
            </w:r>
          </w:p>
          <w:p>
            <w:pPr>
              <w:jc w:val="both"/>
              <w:rPr>
                <w:rFonts w:ascii="宋体" w:hAnsi="宋体"/>
              </w:rPr>
            </w:pPr>
            <w:r>
              <w:rPr>
                <w:rFonts w:ascii="宋体" w:hAnsi="宋体" w:hint="eastAsia"/>
              </w:rPr>
              <w:t>竞点（福建）国际贸易有限公司、</w:t>
            </w:r>
          </w:p>
          <w:p>
            <w:pPr>
              <w:jc w:val="both"/>
              <w:rPr>
                <w:rFonts w:ascii="宋体" w:hAnsi="宋体"/>
              </w:rPr>
            </w:pPr>
            <w:r>
              <w:rPr>
                <w:rFonts w:ascii="宋体" w:hAnsi="宋体" w:hint="eastAsia"/>
              </w:rPr>
              <w:t>东铭实业集团有限公司</w:t>
            </w:r>
            <w:r>
              <w:rPr>
                <w:rFonts w:ascii="宋体" w:hAnsi="宋体" w:hint="eastAsia"/>
              </w:rPr>
              <w:lastRenderedPageBreak/>
              <w:t>（以下合称“承诺方”）</w:t>
            </w:r>
          </w:p>
        </w:tc>
        <w:tc>
          <w:tcPr>
            <w:tcW w:w="4962" w:type="dxa"/>
            <w:vAlign w:val="center"/>
          </w:tcPr>
          <w:p>
            <w:pPr>
              <w:jc w:val="both"/>
              <w:rPr>
                <w:rFonts w:ascii="宋体" w:hAnsi="宋体"/>
              </w:rPr>
            </w:pPr>
            <w:r>
              <w:rPr>
                <w:rFonts w:ascii="宋体" w:hAnsi="宋体" w:hint="eastAsia"/>
              </w:rPr>
              <w:lastRenderedPageBreak/>
              <w:t>承诺方就物泊科技（“目标公司”）2024-2028年经营业绩作出如下承诺：</w:t>
            </w:r>
          </w:p>
          <w:p>
            <w:pPr>
              <w:jc w:val="both"/>
              <w:rPr>
                <w:rFonts w:ascii="宋体" w:hAnsi="宋体"/>
              </w:rPr>
            </w:pPr>
            <w:r>
              <w:rPr>
                <w:rFonts w:ascii="宋体" w:hAnsi="宋体" w:hint="eastAsia"/>
              </w:rPr>
              <w:t>1.2024-2028年度（“承诺期”），按中国会计准则计算，目标公司经审计的扣除非经常性损益后归属于母公司股东的净利润（“净利润”）分别不低于9,875.37万元、10,931.41万元、11,585.10万元、12,680.99万元及13,909.10万元。</w:t>
            </w:r>
          </w:p>
          <w:p>
            <w:pPr>
              <w:jc w:val="both"/>
              <w:rPr>
                <w:rFonts w:ascii="宋体" w:hAnsi="宋体"/>
              </w:rPr>
            </w:pPr>
            <w:r>
              <w:rPr>
                <w:rFonts w:ascii="宋体" w:hAnsi="宋体" w:hint="eastAsia"/>
              </w:rPr>
              <w:t>2.若目标公司截至任一期末累计考核年度未实现上述承诺业绩，转让方将以现金方式向兖矿能源进行补偿，具体补偿金额按照以下方式计算：</w:t>
            </w:r>
          </w:p>
          <w:p>
            <w:pPr>
              <w:jc w:val="both"/>
              <w:rPr>
                <w:rFonts w:ascii="宋体" w:hAnsi="宋体"/>
              </w:rPr>
            </w:pPr>
            <w:r>
              <w:rPr>
                <w:rFonts w:ascii="宋体" w:hAnsi="宋体" w:hint="eastAsia"/>
              </w:rPr>
              <w:t>承诺期业绩补偿金额=（截至当期期末累计承诺净利润－截至当期期末累计实际净利润）÷盈利承诺期内</w:t>
            </w:r>
            <w:r>
              <w:rPr>
                <w:rFonts w:ascii="宋体" w:hAnsi="宋体" w:hint="eastAsia"/>
              </w:rPr>
              <w:lastRenderedPageBreak/>
              <w:t>各年的承诺净利润总和×本次交易现金增资款金额－累计已补偿金额。</w:t>
            </w:r>
          </w:p>
        </w:tc>
        <w:tc>
          <w:tcPr>
            <w:tcW w:w="850" w:type="dxa"/>
            <w:vAlign w:val="center"/>
          </w:tcPr>
          <w:p>
            <w:pPr>
              <w:jc w:val="both"/>
              <w:rPr>
                <w:rFonts w:ascii="宋体" w:hAnsi="宋体"/>
              </w:rPr>
            </w:pPr>
            <w:r>
              <w:rPr>
                <w:rFonts w:ascii="宋体" w:hAnsi="宋体" w:hint="eastAsia"/>
              </w:rPr>
              <w:lastRenderedPageBreak/>
              <w:t>2024年5月31日</w:t>
            </w:r>
          </w:p>
        </w:tc>
        <w:sdt>
          <w:sdtPr>
            <w:rPr>
              <w:rFonts w:ascii="宋体" w:hAnsi="宋体"/>
            </w:rPr>
            <w:alias w:val="其他承诺相关方的承诺事项-是否有履行期限"/>
            <w:tag w:val="_GBC_095147d455544060ad66cedffc9a5f18"/>
            <w:id w:val="754634425"/>
            <w:comboBox>
              <w:listItem w:displayText="是" w:value="true"/>
              <w:listItem w:displayText="否" w:value="false"/>
            </w:comboBox>
          </w:sdtPr>
          <w:sdtContent>
            <w:tc>
              <w:tcPr>
                <w:tcW w:w="709"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2024-2028年度</w:t>
            </w:r>
          </w:p>
        </w:tc>
        <w:sdt>
          <w:sdtPr>
            <w:rPr>
              <w:rFonts w:ascii="宋体" w:hAnsi="宋体"/>
            </w:rPr>
            <w:alias w:val="其他承诺相关方的承诺事项-是否及时严格履行"/>
            <w:tag w:val="_GBC_45b74d8cfef3477a85932e170b84549a"/>
            <w:id w:val="-307713458"/>
            <w:comboBox>
              <w:listItem w:displayText="是" w:value="true"/>
              <w:listItem w:displayText="否" w:value="false"/>
            </w:comboBox>
          </w:sdtPr>
          <w:sdtContent>
            <w:tc>
              <w:tcPr>
                <w:tcW w:w="850"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正常履行</w:t>
            </w:r>
          </w:p>
        </w:tc>
        <w:tc>
          <w:tcPr>
            <w:tcW w:w="1029" w:type="dxa"/>
            <w:vAlign w:val="center"/>
          </w:tcPr>
          <w:p>
            <w:pPr>
              <w:jc w:val="center"/>
              <w:rPr>
                <w:rFonts w:ascii="宋体" w:hAnsi="宋体"/>
              </w:rPr>
            </w:pPr>
            <w:r>
              <w:rPr>
                <w:rFonts w:ascii="宋体" w:hAnsi="宋体" w:hint="eastAsia"/>
              </w:rPr>
              <w:t>无</w:t>
            </w:r>
          </w:p>
        </w:tc>
      </w:tr>
      <w:tr>
        <w:tc>
          <w:tcPr>
            <w:tcW w:w="1129" w:type="dxa"/>
            <w:vMerge/>
            <w:vAlign w:val="center"/>
          </w:tcPr>
          <w:p>
            <w:pPr>
              <w:jc w:val="both"/>
            </w:pPr>
          </w:p>
        </w:tc>
        <w:sdt>
          <w:sdtPr>
            <w:rPr>
              <w:rFonts w:ascii="宋体" w:hAnsi="宋体"/>
            </w:rPr>
            <w:alias w:val="其他承诺相关方的承诺事项-承诺类型"/>
            <w:tag w:val="_GBC_1e6cdc3ff68c4d3ba573b65b281d79f3"/>
            <w:id w:val="-92672636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rPr>
                </w:pPr>
                <w:r>
                  <w:rPr>
                    <w:rFonts w:ascii="宋体" w:hAnsi="宋体"/>
                  </w:rPr>
                  <w:t>其他</w:t>
                </w:r>
              </w:p>
            </w:tc>
          </w:sdtContent>
        </w:sdt>
        <w:tc>
          <w:tcPr>
            <w:tcW w:w="1417" w:type="dxa"/>
            <w:vAlign w:val="center"/>
          </w:tcPr>
          <w:p>
            <w:pPr>
              <w:jc w:val="both"/>
              <w:rPr>
                <w:rFonts w:ascii="宋体" w:hAnsi="宋体"/>
              </w:rPr>
            </w:pPr>
            <w:r>
              <w:rPr>
                <w:rFonts w:ascii="宋体" w:hAnsi="宋体" w:hint="eastAsia"/>
              </w:rPr>
              <w:t>淄博矿业集团有限责任公司、龙口矿业集团有限公司、新汶矿业集团有限责任公司、肥城肥矿煤业有限公司（以下合称“转让方”）</w:t>
            </w:r>
          </w:p>
        </w:tc>
        <w:tc>
          <w:tcPr>
            <w:tcW w:w="4962" w:type="dxa"/>
            <w:vAlign w:val="center"/>
          </w:tcPr>
          <w:p>
            <w:pPr>
              <w:jc w:val="both"/>
              <w:rPr>
                <w:rFonts w:ascii="宋体" w:hAnsi="宋体"/>
              </w:rPr>
            </w:pPr>
            <w:r>
              <w:rPr>
                <w:rFonts w:ascii="宋体" w:hAnsi="宋体" w:hint="eastAsia"/>
              </w:rPr>
              <w:t>转让方就西北矿业矿业权相关事项作出如下承诺：</w:t>
            </w:r>
          </w:p>
          <w:p>
            <w:pPr>
              <w:jc w:val="both"/>
              <w:rPr>
                <w:rFonts w:ascii="宋体" w:hAnsi="宋体"/>
              </w:rPr>
            </w:pPr>
            <w:r>
              <w:rPr>
                <w:rFonts w:ascii="宋体" w:hAnsi="宋体" w:hint="eastAsia"/>
              </w:rPr>
              <w:t>1.《股权收购及增资协议》生效后，转让方承诺：</w:t>
            </w:r>
          </w:p>
          <w:p>
            <w:pPr>
              <w:jc w:val="both"/>
              <w:rPr>
                <w:rFonts w:ascii="宋体" w:hAnsi="宋体"/>
              </w:rPr>
            </w:pPr>
            <w:r>
              <w:rPr>
                <w:rFonts w:ascii="宋体" w:hAnsi="宋体" w:hint="eastAsia"/>
              </w:rPr>
              <w:t>（1）如马福川井田探矿权、毛家川井田探矿权无法办理探转采或保留，由转让方向受让方予以补偿，具体补偿金额=按照交易《评估报告》所使用参数评估确定的探矿权减少价值×55%×51%；</w:t>
            </w:r>
          </w:p>
          <w:p>
            <w:pPr>
              <w:jc w:val="both"/>
              <w:rPr>
                <w:rFonts w:ascii="宋体" w:hAnsi="宋体"/>
              </w:rPr>
            </w:pPr>
            <w:r>
              <w:rPr>
                <w:rFonts w:ascii="宋体" w:hAnsi="宋体" w:hint="eastAsia"/>
              </w:rPr>
              <w:t>（2）如马福川井田探矿权、毛家川井田探矿权勘查许可证被主管部门依法不予续期或收回的，由转让方向受让方予以补偿，具体补偿金额=相应探矿权的评估价值×55%×51%（如相关主管部门对收回探矿权给予补偿的，该等补偿金额应从前述补偿金额中扣减）。</w:t>
            </w:r>
          </w:p>
          <w:p>
            <w:pPr>
              <w:jc w:val="both"/>
              <w:rPr>
                <w:rFonts w:ascii="宋体" w:hAnsi="宋体"/>
              </w:rPr>
            </w:pPr>
            <w:r>
              <w:rPr>
                <w:rFonts w:ascii="宋体" w:hAnsi="宋体" w:hint="eastAsia"/>
              </w:rPr>
              <w:t>2.交易交割日后，如相关主管部门认定本次交易评估基准日前某一西北矿业下属子公司存在应缴未缴的其他矿业权出让收益，且应缴未缴出让收益金额亦未在《评估报告》或本次交易相关审计报告中体现，则：</w:t>
            </w:r>
          </w:p>
          <w:p>
            <w:pPr>
              <w:jc w:val="both"/>
              <w:rPr>
                <w:rFonts w:ascii="宋体" w:hAnsi="宋体"/>
              </w:rPr>
            </w:pPr>
            <w:r>
              <w:rPr>
                <w:rFonts w:ascii="宋体" w:hAnsi="宋体" w:hint="eastAsia"/>
              </w:rPr>
              <w:t>（1）承诺方应按照该等下属子公司被征收出让收益金额向受让方支付现金补偿（补偿金额=拟实际缴纳被征收出让收益金额×51%×西北矿业持有该等下属子公司的股权比例）；</w:t>
            </w:r>
          </w:p>
          <w:p>
            <w:pPr>
              <w:jc w:val="both"/>
              <w:rPr>
                <w:rFonts w:ascii="宋体" w:hAnsi="宋体"/>
              </w:rPr>
            </w:pPr>
            <w:r>
              <w:rPr>
                <w:rFonts w:ascii="宋体" w:hAnsi="宋体" w:hint="eastAsia"/>
              </w:rPr>
              <w:t>（2）就届时本次交易对应资源储量中剩余的尚未按矿产品销售时的矿业权出让收益率计算征收的部分，由转让方一并向受让方现金补偿；</w:t>
            </w:r>
          </w:p>
          <w:p>
            <w:pPr>
              <w:jc w:val="both"/>
              <w:rPr>
                <w:rFonts w:ascii="宋体" w:hAnsi="宋体"/>
              </w:rPr>
            </w:pPr>
            <w:r>
              <w:rPr>
                <w:rFonts w:ascii="宋体" w:hAnsi="宋体" w:hint="eastAsia"/>
              </w:rPr>
              <w:t>（3）转让方向受让方就某一西北矿业下属子公司相关事项的合计补偿金额，以本次交易中相应矿业权的</w:t>
            </w:r>
            <w:r>
              <w:rPr>
                <w:rFonts w:ascii="宋体" w:hAnsi="宋体" w:hint="eastAsia"/>
              </w:rPr>
              <w:lastRenderedPageBreak/>
              <w:t>评估价值×51%×西北矿业持有该矿业权所属子公司的股权比例为限。转让方分别以转让价款及增资价款为限承担补偿责任。</w:t>
            </w:r>
          </w:p>
          <w:p>
            <w:pPr>
              <w:jc w:val="both"/>
              <w:rPr>
                <w:rFonts w:ascii="宋体" w:hAnsi="宋体"/>
              </w:rPr>
            </w:pPr>
            <w:r>
              <w:rPr>
                <w:rFonts w:ascii="宋体" w:hAnsi="宋体" w:hint="eastAsia"/>
              </w:rPr>
              <w:t>3.就杨家村煤矿采矿权、油房壕煤矿采矿权及巴彦高勒煤矿采矿权，如本次交易交割日后相关政府主管部门因该等转化项目未落实或未全部落实到位等原因，就转化项目配置的资源储量，除向西北矿业或其下属公司征收出让收益外：</w:t>
            </w:r>
          </w:p>
          <w:p>
            <w:pPr>
              <w:jc w:val="both"/>
              <w:rPr>
                <w:rFonts w:ascii="宋体" w:hAnsi="宋体"/>
              </w:rPr>
            </w:pPr>
            <w:r>
              <w:rPr>
                <w:rFonts w:ascii="宋体" w:hAnsi="宋体" w:hint="eastAsia"/>
              </w:rPr>
              <w:t>（1）如被收回配置资源量的，则转让方向受让方予以补偿，具体补偿金额=被收回配置资源量÷该采矿权本次交易对应资源储量×本次交易中相应矿业权的评估价值×51%×西北矿业持有该等下属子公司的股权比例；</w:t>
            </w:r>
          </w:p>
          <w:p>
            <w:pPr>
              <w:jc w:val="both"/>
              <w:rPr>
                <w:rFonts w:ascii="宋体" w:hAnsi="宋体"/>
              </w:rPr>
            </w:pPr>
            <w:r>
              <w:rPr>
                <w:rFonts w:ascii="宋体" w:hAnsi="宋体" w:hint="eastAsia"/>
              </w:rPr>
              <w:t>（2）如被追究其他责任而导致西北矿业或持有该采矿权的公司受到损失，则由转让方向受让方予以相应补偿。</w:t>
            </w:r>
          </w:p>
        </w:tc>
        <w:tc>
          <w:tcPr>
            <w:tcW w:w="850" w:type="dxa"/>
            <w:vAlign w:val="center"/>
          </w:tcPr>
          <w:p>
            <w:pPr>
              <w:jc w:val="both"/>
              <w:rPr>
                <w:rFonts w:ascii="宋体" w:hAnsi="宋体"/>
              </w:rPr>
            </w:pPr>
            <w:r>
              <w:rPr>
                <w:rFonts w:ascii="宋体" w:hAnsi="宋体" w:hint="eastAsia"/>
              </w:rPr>
              <w:lastRenderedPageBreak/>
              <w:t>2025年4月8日</w:t>
            </w:r>
          </w:p>
        </w:tc>
        <w:sdt>
          <w:sdtPr>
            <w:rPr>
              <w:rFonts w:ascii="宋体" w:hAnsi="宋体"/>
            </w:rPr>
            <w:alias w:val="其他承诺相关方的承诺事项-是否有履行期限"/>
            <w:tag w:val="_GBC_095147d455544060ad66cedffc9a5f18"/>
            <w:id w:val="-1006669386"/>
            <w:comboBox>
              <w:listItem w:displayText="是" w:value="true"/>
              <w:listItem w:displayText="否" w:value="false"/>
            </w:comboBox>
          </w:sdtPr>
          <w:sdtContent>
            <w:tc>
              <w:tcPr>
                <w:tcW w:w="709"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长期有效</w:t>
            </w:r>
          </w:p>
        </w:tc>
        <w:sdt>
          <w:sdtPr>
            <w:rPr>
              <w:rFonts w:ascii="宋体" w:hAnsi="宋体"/>
            </w:rPr>
            <w:alias w:val="其他承诺相关方的承诺事项-是否及时严格履行"/>
            <w:tag w:val="_GBC_45b74d8cfef3477a85932e170b84549a"/>
            <w:id w:val="-1073967751"/>
            <w:comboBox>
              <w:listItem w:displayText="是" w:value="true"/>
              <w:listItem w:displayText="否" w:value="false"/>
            </w:comboBox>
          </w:sdtPr>
          <w:sdtContent>
            <w:tc>
              <w:tcPr>
                <w:tcW w:w="850" w:type="dxa"/>
                <w:vAlign w:val="center"/>
              </w:tcPr>
              <w:p>
                <w:pPr>
                  <w:jc w:val="center"/>
                  <w:rPr>
                    <w:rFonts w:ascii="宋体" w:hAnsi="宋体"/>
                  </w:rPr>
                </w:pPr>
                <w:r>
                  <w:rPr>
                    <w:rFonts w:ascii="宋体" w:hAnsi="宋体"/>
                  </w:rPr>
                  <w:t>是</w:t>
                </w:r>
              </w:p>
            </w:tc>
          </w:sdtContent>
        </w:sdt>
        <w:tc>
          <w:tcPr>
            <w:tcW w:w="1134" w:type="dxa"/>
            <w:vAlign w:val="center"/>
          </w:tcPr>
          <w:p>
            <w:pPr>
              <w:jc w:val="both"/>
              <w:rPr>
                <w:rFonts w:ascii="宋体" w:hAnsi="宋体"/>
              </w:rPr>
            </w:pPr>
            <w:r>
              <w:rPr>
                <w:rFonts w:ascii="宋体" w:hAnsi="宋体" w:hint="eastAsia"/>
              </w:rPr>
              <w:t>就</w:t>
            </w:r>
            <w:r>
              <w:rPr>
                <w:rFonts w:ascii="宋体" w:hAnsi="宋体"/>
              </w:rPr>
              <w:t>马福川井田探矿权、毛家川井田探矿权</w:t>
            </w:r>
            <w:r>
              <w:rPr>
                <w:rFonts w:ascii="宋体" w:hAnsi="宋体" w:hint="eastAsia"/>
              </w:rPr>
              <w:t>探转采承诺，西北矿业已于2025年8月取得</w:t>
            </w:r>
            <w:r>
              <w:rPr>
                <w:rFonts w:ascii="宋体" w:hAnsi="宋体"/>
              </w:rPr>
              <w:t>马福川井田</w:t>
            </w:r>
            <w:r>
              <w:rPr>
                <w:rFonts w:ascii="宋体" w:hAnsi="宋体" w:hint="eastAsia"/>
              </w:rPr>
              <w:t>和</w:t>
            </w:r>
            <w:r>
              <w:rPr>
                <w:rFonts w:ascii="宋体" w:hAnsi="宋体"/>
              </w:rPr>
              <w:t>毛家川</w:t>
            </w:r>
            <w:r>
              <w:rPr>
                <w:rFonts w:ascii="宋体" w:hAnsi="宋体" w:hint="eastAsia"/>
              </w:rPr>
              <w:t>井田采矿许可证。承诺其他部分正常履行。</w:t>
            </w:r>
          </w:p>
        </w:tc>
        <w:tc>
          <w:tcPr>
            <w:tcW w:w="1029" w:type="dxa"/>
            <w:vAlign w:val="center"/>
          </w:tcPr>
          <w:p>
            <w:pPr>
              <w:jc w:val="center"/>
              <w:rPr>
                <w:rFonts w:ascii="宋体" w:hAnsi="宋体"/>
              </w:rPr>
            </w:pPr>
            <w:r>
              <w:rPr>
                <w:rFonts w:ascii="宋体" w:hAnsi="宋体" w:hint="eastAsia"/>
              </w:rPr>
              <w:t>无</w:t>
            </w:r>
          </w:p>
        </w:tc>
      </w:tr>
      <w:tr>
        <w:tc>
          <w:tcPr>
            <w:tcW w:w="1129" w:type="dxa"/>
            <w:vMerge/>
            <w:vAlign w:val="center"/>
          </w:tcPr>
          <w:p>
            <w:pPr>
              <w:jc w:val="both"/>
            </w:pPr>
          </w:p>
        </w:tc>
        <w:sdt>
          <w:sdtPr>
            <w:rPr>
              <w:rFonts w:ascii="宋体" w:hAnsi="宋体"/>
            </w:rPr>
            <w:alias w:val="其他承诺相关方的承诺事项-承诺类型"/>
            <w:tag w:val="_GBC_1e6cdc3ff68c4d3ba573b65b281d79f3"/>
            <w:id w:val="-149140500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851" w:type="dxa"/>
                <w:vAlign w:val="center"/>
              </w:tcPr>
              <w:p>
                <w:pPr>
                  <w:jc w:val="center"/>
                  <w:rPr>
                    <w:rFonts w:ascii="宋体" w:hAnsi="宋体"/>
                  </w:rPr>
                </w:pPr>
                <w:r>
                  <w:rPr>
                    <w:rFonts w:ascii="宋体" w:hAnsi="宋体"/>
                  </w:rPr>
                  <w:t>其他</w:t>
                </w:r>
              </w:p>
            </w:tc>
          </w:sdtContent>
        </w:sdt>
        <w:tc>
          <w:tcPr>
            <w:tcW w:w="1417" w:type="dxa"/>
            <w:vAlign w:val="center"/>
          </w:tcPr>
          <w:p>
            <w:pPr>
              <w:jc w:val="both"/>
              <w:rPr>
                <w:rFonts w:ascii="宋体" w:hAnsi="宋体"/>
              </w:rPr>
            </w:pPr>
            <w:r>
              <w:rPr>
                <w:rFonts w:ascii="宋体" w:hAnsi="宋体" w:hint="eastAsia"/>
              </w:rPr>
              <w:t>淄博矿业集团有限责任公司、龙口矿业集团有限公司、新汶矿业集团有限责任公司、肥城肥矿煤业有限公司（以</w:t>
            </w:r>
            <w:r>
              <w:rPr>
                <w:rFonts w:ascii="宋体" w:hAnsi="宋体" w:hint="eastAsia"/>
              </w:rPr>
              <w:lastRenderedPageBreak/>
              <w:t>下合称“转让方”）</w:t>
            </w:r>
          </w:p>
        </w:tc>
        <w:tc>
          <w:tcPr>
            <w:tcW w:w="4962" w:type="dxa"/>
            <w:vAlign w:val="center"/>
          </w:tcPr>
          <w:p>
            <w:pPr>
              <w:jc w:val="both"/>
              <w:rPr>
                <w:rFonts w:ascii="宋体" w:hAnsi="宋体"/>
              </w:rPr>
            </w:pPr>
            <w:r>
              <w:rPr>
                <w:rFonts w:ascii="宋体" w:hAnsi="宋体" w:hint="eastAsia"/>
              </w:rPr>
              <w:lastRenderedPageBreak/>
              <w:t>转让方就西北矿业（“目标公司”）2025-2027年经营业绩作出如下承诺：</w:t>
            </w:r>
          </w:p>
          <w:p>
            <w:pPr>
              <w:jc w:val="both"/>
              <w:rPr>
                <w:rFonts w:ascii="宋体" w:hAnsi="宋体"/>
              </w:rPr>
            </w:pPr>
            <w:r>
              <w:rPr>
                <w:rFonts w:ascii="宋体" w:hAnsi="宋体" w:hint="eastAsia"/>
              </w:rPr>
              <w:t>1.2025-2027年度（“承诺期”），按中国会计准则计算，目标公司对应的经审计的扣除非经常性损益后归属于母公司股东的净利润（“净利润”）承诺期累计不低于人民币712,193.41万元（“承诺期累计承诺净利润”）。</w:t>
            </w:r>
          </w:p>
          <w:p>
            <w:pPr>
              <w:jc w:val="both"/>
              <w:rPr>
                <w:rFonts w:ascii="宋体" w:hAnsi="宋体"/>
              </w:rPr>
            </w:pPr>
            <w:r>
              <w:rPr>
                <w:rFonts w:ascii="宋体" w:hAnsi="宋体" w:hint="eastAsia"/>
              </w:rPr>
              <w:t>2.</w:t>
            </w:r>
            <w:r>
              <w:rPr>
                <w:rFonts w:ascii="宋体" w:hAnsi="宋体"/>
              </w:rPr>
              <w:t xml:space="preserve"> </w:t>
            </w:r>
            <w:r>
              <w:rPr>
                <w:rFonts w:ascii="宋体" w:hAnsi="宋体" w:hint="eastAsia"/>
              </w:rPr>
              <w:t>若目标公司在承诺期内累计实现净利润未达到承诺期累计承诺净利润，转让方将以现金方式向兖矿能</w:t>
            </w:r>
            <w:r>
              <w:rPr>
                <w:rFonts w:ascii="宋体" w:hAnsi="宋体" w:hint="eastAsia"/>
              </w:rPr>
              <w:lastRenderedPageBreak/>
              <w:t>源进行补偿，补偿金额为按照以下两种方式计算补偿金额孰高者：</w:t>
            </w:r>
          </w:p>
          <w:p>
            <w:pPr>
              <w:jc w:val="both"/>
              <w:rPr>
                <w:rFonts w:ascii="宋体" w:hAnsi="宋体"/>
              </w:rPr>
            </w:pPr>
            <w:r>
              <w:rPr>
                <w:rFonts w:ascii="宋体" w:hAnsi="宋体" w:hint="eastAsia"/>
              </w:rPr>
              <w:t>（1）承诺期应补偿金额=（承诺期累计承诺净利润-承诺期累计实现净利润）×51%；</w:t>
            </w:r>
          </w:p>
          <w:p>
            <w:pPr>
              <w:jc w:val="both"/>
              <w:rPr>
                <w:rFonts w:ascii="宋体" w:hAnsi="宋体"/>
              </w:rPr>
            </w:pPr>
            <w:r>
              <w:rPr>
                <w:rFonts w:ascii="宋体" w:hAnsi="宋体" w:hint="eastAsia"/>
              </w:rPr>
              <w:t>（2）承诺期应补偿金额=（本次交易评估值-承诺期末评估值）×51%（承诺期应补偿金额小于0时，按0取值）。</w:t>
            </w:r>
          </w:p>
        </w:tc>
        <w:tc>
          <w:tcPr>
            <w:tcW w:w="850" w:type="dxa"/>
            <w:vAlign w:val="center"/>
          </w:tcPr>
          <w:p>
            <w:pPr>
              <w:jc w:val="both"/>
              <w:rPr>
                <w:rFonts w:ascii="宋体" w:hAnsi="宋体"/>
              </w:rPr>
            </w:pPr>
            <w:r>
              <w:rPr>
                <w:rFonts w:ascii="宋体" w:hAnsi="宋体" w:hint="eastAsia"/>
              </w:rPr>
              <w:lastRenderedPageBreak/>
              <w:t>2025年4月8日</w:t>
            </w:r>
          </w:p>
        </w:tc>
        <w:sdt>
          <w:sdtPr>
            <w:rPr>
              <w:rFonts w:ascii="宋体" w:hAnsi="宋体"/>
            </w:rPr>
            <w:alias w:val="其他承诺相关方的承诺事项-是否有履行期限"/>
            <w:tag w:val="_GBC_095147d455544060ad66cedffc9a5f18"/>
            <w:id w:val="-661542479"/>
            <w:comboBox>
              <w:listItem w:displayText="是" w:value="true"/>
              <w:listItem w:displayText="否" w:value="false"/>
            </w:comboBox>
          </w:sdtPr>
          <w:sdtContent>
            <w:tc>
              <w:tcPr>
                <w:tcW w:w="709"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2025-2027年度</w:t>
            </w:r>
          </w:p>
        </w:tc>
        <w:sdt>
          <w:sdtPr>
            <w:rPr>
              <w:rFonts w:ascii="宋体" w:hAnsi="宋体"/>
            </w:rPr>
            <w:alias w:val="其他承诺相关方的承诺事项-是否及时严格履行"/>
            <w:tag w:val="_GBC_45b74d8cfef3477a85932e170b84549a"/>
            <w:id w:val="1622260391"/>
            <w:comboBox>
              <w:listItem w:displayText="是" w:value="true"/>
              <w:listItem w:displayText="否" w:value="false"/>
            </w:comboBox>
          </w:sdtPr>
          <w:sdtContent>
            <w:tc>
              <w:tcPr>
                <w:tcW w:w="850" w:type="dxa"/>
                <w:vAlign w:val="center"/>
              </w:tcPr>
              <w:p>
                <w:pPr>
                  <w:jc w:val="center"/>
                  <w:rPr>
                    <w:rFonts w:ascii="宋体" w:hAnsi="宋体"/>
                  </w:rPr>
                </w:pPr>
                <w:r>
                  <w:rPr>
                    <w:rFonts w:ascii="宋体" w:hAnsi="宋体"/>
                  </w:rPr>
                  <w:t>是</w:t>
                </w:r>
              </w:p>
            </w:tc>
          </w:sdtContent>
        </w:sdt>
        <w:tc>
          <w:tcPr>
            <w:tcW w:w="1134" w:type="dxa"/>
            <w:vAlign w:val="center"/>
          </w:tcPr>
          <w:p>
            <w:pPr>
              <w:jc w:val="center"/>
              <w:rPr>
                <w:rFonts w:ascii="宋体" w:hAnsi="宋体"/>
              </w:rPr>
            </w:pPr>
            <w:r>
              <w:rPr>
                <w:rFonts w:ascii="宋体" w:hAnsi="宋体" w:hint="eastAsia"/>
              </w:rPr>
              <w:t>正常履行</w:t>
            </w:r>
          </w:p>
        </w:tc>
        <w:tc>
          <w:tcPr>
            <w:tcW w:w="1029" w:type="dxa"/>
            <w:vAlign w:val="center"/>
          </w:tcPr>
          <w:p>
            <w:pPr>
              <w:jc w:val="center"/>
              <w:rPr>
                <w:rFonts w:ascii="宋体" w:hAnsi="宋体"/>
              </w:rPr>
            </w:pPr>
            <w:r>
              <w:rPr>
                <w:rFonts w:ascii="宋体" w:hAnsi="宋体" w:hint="eastAsia"/>
              </w:rPr>
              <w:t>无</w:t>
            </w:r>
          </w:p>
        </w:tc>
      </w:tr>
    </w:tbl>
    <w:bookmarkEnd w:id="196"/>
    <w:p>
      <w:pPr>
        <w:ind w:firstLineChars="200" w:firstLine="420"/>
        <w:rPr>
          <w:rFonts w:ascii="宋体" w:hAnsi="宋体"/>
          <w:bCs/>
        </w:rPr>
      </w:pPr>
      <w:r>
        <w:rPr>
          <w:rFonts w:ascii="宋体" w:hAnsi="宋体" w:hint="eastAsia"/>
          <w:bCs/>
        </w:rPr>
        <w:t>注：</w:t>
      </w:r>
    </w:p>
    <w:p>
      <w:pPr>
        <w:ind w:firstLineChars="200" w:firstLine="420"/>
        <w:rPr>
          <w:rFonts w:ascii="宋体" w:hAnsi="宋体"/>
          <w:bCs/>
        </w:rPr>
      </w:pPr>
      <w:r>
        <w:rPr>
          <w:rFonts w:ascii="宋体" w:hAnsi="宋体" w:hint="eastAsia"/>
          <w:bCs/>
        </w:rPr>
        <w:t>①关于公司收购鲁西矿业51%股权及新疆能化51%股权交易中转让方作出的承诺，有关详情请见公司日期为2023年4月28日的关联/关连交易公告。</w:t>
      </w:r>
    </w:p>
    <w:p>
      <w:pPr>
        <w:ind w:firstLineChars="200" w:firstLine="420"/>
        <w:rPr>
          <w:rFonts w:ascii="宋体" w:hAnsi="宋体"/>
          <w:bCs/>
        </w:rPr>
      </w:pPr>
      <w:r>
        <w:rPr>
          <w:rFonts w:ascii="宋体" w:hAnsi="宋体" w:hint="eastAsia"/>
          <w:bCs/>
        </w:rPr>
        <w:t>②关于收购物泊科技股权交易中承诺方作出的承诺，有关详情请见公司日期为2024年5月31日的关于并购物泊科技有限公司的公告。</w:t>
      </w:r>
    </w:p>
    <w:p>
      <w:pPr>
        <w:ind w:firstLineChars="200" w:firstLine="420"/>
        <w:rPr>
          <w:rFonts w:ascii="宋体" w:hAnsi="宋体"/>
          <w:bCs/>
        </w:rPr>
      </w:pPr>
      <w:r>
        <w:rPr>
          <w:rFonts w:ascii="宋体" w:hAnsi="宋体" w:hint="eastAsia"/>
          <w:bCs/>
        </w:rPr>
        <w:t>③关于增资及收购西北矿业51%股权交易中转让方作出的承诺，有关详情请见公司日期为2025年4月8日的关联/关连交易公告。</w:t>
      </w:r>
    </w:p>
    <w:p>
      <w:pPr>
        <w:sectPr>
          <w:pgSz w:w="16838" w:h="11906" w:orient="landscape"/>
          <w:pgMar w:top="1797" w:right="1525" w:bottom="1276" w:left="1440" w:header="855" w:footer="992" w:gutter="0"/>
          <w:cols w:space="425"/>
          <w:docGrid w:linePitch="312"/>
        </w:sectPr>
      </w:pPr>
    </w:p>
    <w:p>
      <w:pPr>
        <w:pStyle w:val="Style49"/>
      </w:pPr>
    </w:p>
    <w:p>
      <w:pPr>
        <w:pStyle w:val="Style52"/>
        <w:numPr>
          <w:ilvl w:val="1"/>
          <w:numId w:val="34"/>
        </w:numPr>
        <w:rPr>
          <w:szCs w:val="21"/>
        </w:rPr>
      </w:pPr>
      <w:r>
        <w:rPr>
          <w:rFonts w:hint="eastAsia"/>
          <w:szCs w:val="21"/>
        </w:rPr>
        <w:t>公司资产或项目存在盈利预测，且报告期仍处在盈利预测期间，公司就资产或项目是否达到原盈利预测及其原因作出说明</w:t>
      </w:r>
    </w:p>
    <w:sdt>
      <w:sdtPr>
        <w:rPr>
          <w:rFonts w:asciiTheme="minorEastAsia" w:eastAsiaTheme="minorEastAsia" w:hAnsiTheme="minorEastAsia"/>
        </w:rPr>
        <w:alias w:val="是否适用：公司就资产或项目是否达到原盈利预测及其原因作出说明"/>
        <w:tag w:val="_GBC_f8fa889013a24cb79a6ed52423d2c5a8"/>
        <w:id w:val="3399719"/>
        <w:placeholder>
          <w:docPart w:val="GBC22222222222222222222222222222"/>
        </w:placeholder>
      </w:sdtPr>
      <w:sdtContent>
        <w:p>
          <w:pPr>
            <w:pStyle w:val="Style49"/>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□已达到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□未达到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√不适用 </w:instrText>
          </w:r>
          <w:r>
            <w:rPr>
              <w:rFonts w:asciiTheme="minorEastAsia" w:eastAsiaTheme="minorEastAsia" w:hAnsiTheme="minorEastAsia"/>
            </w:rPr>
            <w:fldChar w:fldCharType="end"/>
          </w:r>
        </w:p>
      </w:sdtContent>
    </w:sdt>
    <w:p>
      <w:pPr>
        <w:pStyle w:val="Style49"/>
      </w:pPr>
    </w:p>
    <w:p>
      <w:pPr>
        <w:pStyle w:val="Style52"/>
        <w:numPr>
          <w:ilvl w:val="1"/>
          <w:numId w:val="34"/>
        </w:numPr>
        <w:rPr>
          <w:szCs w:val="21"/>
        </w:rPr>
      </w:pPr>
      <w:bookmarkStart w:id="197" w:name="_Hlk190432639"/>
      <w:bookmarkStart w:id="198" w:name="OLE_LINK7"/>
      <w:r>
        <w:rPr>
          <w:rFonts w:hint="eastAsia"/>
          <w:szCs w:val="21"/>
        </w:rPr>
        <w:t>业绩承诺情况</w:t>
      </w:r>
    </w:p>
    <w:bookmarkEnd w:id="198" w:displacedByCustomXml="next"/>
    <w:sdt>
      <w:sdtPr>
        <w:rPr>
          <w:rFonts w:hint="eastAsia"/>
        </w:rPr>
        <w:alias w:val="是否适用：业绩承诺情况[双击切换]"/>
        <w:tag w:val="_GBC_4bc1b1ef9a5943f1bc075242961e8bbe"/>
        <w:id w:val="-1330057281"/>
        <w:placeholder>
          <w:docPart w:val="GBC22222222222222222222222222222"/>
        </w:placeholder>
      </w:sdtPr>
      <w:sdtContent>
        <w:p>
          <w:pPr>
            <w:pStyle w:val="Style49"/>
          </w:pPr>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pPr>
        <w:wordWrap w:val="0"/>
        <w:jc w:val="right"/>
      </w:pPr>
      <w:r>
        <w:rPr>
          <w:rFonts w:hint="eastAsia"/>
        </w:rPr>
        <w:t>单位：</w:t>
      </w:r>
      <w:sdt>
        <w:sdtPr>
          <w:rPr>
            <w:rFonts w:hint="eastAsia"/>
          </w:rPr>
          <w:alias w:val="单位：业绩承诺情况"/>
          <w:tag w:val="_GBC_bc971aa0ed5446e69d90c44a087380f9"/>
          <w:id w:val="-84979332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业绩承诺情况"/>
          <w:tag w:val="_GBC_27905e7d30ba464284a5adc7005c7902"/>
          <w:id w:val="-15670170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w:t>
      </w:r>
    </w:p>
    <w:tbl>
      <w:tblPr>
        <w:tblStyle w:val="g7"/>
        <w:tblW w:w="13887" w:type="dxa"/>
        <w:tblLayout w:type="fixed"/>
        <w:tblLook w:val="04A0" w:firstRow="1" w:lastRow="0" w:firstColumn="1" w:lastColumn="0" w:noHBand="0" w:noVBand="1"/>
      </w:tblPr>
      <w:tblGrid>
        <w:gridCol w:w="1292"/>
        <w:gridCol w:w="3098"/>
        <w:gridCol w:w="1275"/>
        <w:gridCol w:w="2552"/>
        <w:gridCol w:w="2693"/>
        <w:gridCol w:w="1559"/>
        <w:gridCol w:w="1418"/>
      </w:tblGrid>
      <w:tr>
        <w:trPr>
          <w:tblHeader/>
        </w:trPr>
        <w:sdt>
          <w:sdtPr>
            <w:tag w:val="_PLD_4d1552de74ac4351855ef6efc4557fa5"/>
            <w:id w:val="1651166190"/>
          </w:sdtPr>
          <w:sdtContent>
            <w:tc>
              <w:tcPr>
                <w:tcW w:w="1292" w:type="dxa"/>
                <w:vAlign w:val="center"/>
              </w:tcPr>
              <w:p>
                <w:pPr>
                  <w:jc w:val="center"/>
                  <w:rPr>
                    <w:rFonts w:ascii="Calibri" w:hAnsi="Calibri"/>
                    <w:bCs/>
                    <w:kern w:val="2"/>
                  </w:rPr>
                </w:pPr>
                <w:r>
                  <w:rPr>
                    <w:rFonts w:ascii="Calibri" w:hAnsi="Calibri" w:hint="eastAsia"/>
                    <w:bCs/>
                    <w:kern w:val="2"/>
                  </w:rPr>
                  <w:t>承诺背景</w:t>
                </w:r>
              </w:p>
            </w:tc>
          </w:sdtContent>
        </w:sdt>
        <w:sdt>
          <w:sdtPr>
            <w:tag w:val="_PLD_3c07a4ff06134fd4adf89ee0ba9c5064"/>
            <w:id w:val="-1007352627"/>
          </w:sdtPr>
          <w:sdtContent>
            <w:tc>
              <w:tcPr>
                <w:tcW w:w="3098" w:type="dxa"/>
                <w:vAlign w:val="center"/>
              </w:tcPr>
              <w:p>
                <w:pPr>
                  <w:jc w:val="center"/>
                  <w:rPr>
                    <w:rFonts w:ascii="Calibri" w:hAnsi="Calibri"/>
                    <w:bCs/>
                    <w:kern w:val="2"/>
                  </w:rPr>
                </w:pPr>
                <w:r>
                  <w:rPr>
                    <w:rFonts w:ascii="Calibri" w:hAnsi="Calibri" w:hint="eastAsia"/>
                    <w:bCs/>
                    <w:kern w:val="2"/>
                  </w:rPr>
                  <w:t>承诺方</w:t>
                </w:r>
              </w:p>
            </w:tc>
          </w:sdtContent>
        </w:sdt>
        <w:sdt>
          <w:sdtPr>
            <w:tag w:val="_PLD_b9dadd91cf46417c84f289036deb2a51"/>
            <w:id w:val="1954128353"/>
          </w:sdtPr>
          <w:sdtContent>
            <w:tc>
              <w:tcPr>
                <w:tcW w:w="1275" w:type="dxa"/>
                <w:vAlign w:val="center"/>
              </w:tcPr>
              <w:p>
                <w:pPr>
                  <w:jc w:val="center"/>
                  <w:rPr>
                    <w:rFonts w:ascii="Calibri" w:hAnsi="Calibri"/>
                    <w:bCs/>
                    <w:kern w:val="2"/>
                  </w:rPr>
                </w:pPr>
                <w:r>
                  <w:rPr>
                    <w:rFonts w:ascii="Calibri" w:hAnsi="Calibri" w:hint="eastAsia"/>
                    <w:bCs/>
                    <w:kern w:val="2"/>
                  </w:rPr>
                  <w:t>承诺期间</w:t>
                </w:r>
              </w:p>
            </w:tc>
          </w:sdtContent>
        </w:sdt>
        <w:sdt>
          <w:sdtPr>
            <w:tag w:val="_PLD_4728066070ea42e49b32b8edd647063c"/>
            <w:id w:val="-2011056516"/>
          </w:sdtPr>
          <w:sdtContent>
            <w:tc>
              <w:tcPr>
                <w:tcW w:w="2552" w:type="dxa"/>
                <w:vAlign w:val="center"/>
              </w:tcPr>
              <w:p>
                <w:pPr>
                  <w:jc w:val="center"/>
                </w:pPr>
                <w:r>
                  <w:rPr>
                    <w:rFonts w:ascii="Calibri" w:hAnsi="Calibri" w:hint="eastAsia"/>
                    <w:bCs/>
                    <w:kern w:val="2"/>
                  </w:rPr>
                  <w:t>承诺指标</w:t>
                </w:r>
              </w:p>
            </w:tc>
          </w:sdtContent>
        </w:sdt>
        <w:sdt>
          <w:sdtPr>
            <w:tag w:val="_PLD_9a1e42a53a7c4b9abb906104317eaf3d"/>
            <w:id w:val="572551912"/>
          </w:sdtPr>
          <w:sdtContent>
            <w:tc>
              <w:tcPr>
                <w:tcW w:w="2693" w:type="dxa"/>
                <w:vAlign w:val="center"/>
              </w:tcPr>
              <w:p>
                <w:pPr>
                  <w:jc w:val="center"/>
                </w:pPr>
                <w:r>
                  <w:rPr>
                    <w:rFonts w:ascii="Calibri" w:hAnsi="Calibri" w:hint="eastAsia"/>
                    <w:bCs/>
                    <w:kern w:val="2"/>
                  </w:rPr>
                  <w:t>承诺金额</w:t>
                </w:r>
              </w:p>
            </w:tc>
          </w:sdtContent>
        </w:sdt>
        <w:sdt>
          <w:sdtPr>
            <w:tag w:val="_PLD_b780792c53204b19aab613d716466123"/>
            <w:id w:val="-1960242073"/>
          </w:sdtPr>
          <w:sdtContent>
            <w:tc>
              <w:tcPr>
                <w:tcW w:w="1559" w:type="dxa"/>
                <w:vAlign w:val="center"/>
              </w:tcPr>
              <w:p>
                <w:pPr>
                  <w:jc w:val="center"/>
                </w:pPr>
                <w:r>
                  <w:rPr>
                    <w:rFonts w:ascii="Calibri" w:hAnsi="Calibri" w:hint="eastAsia"/>
                    <w:bCs/>
                    <w:kern w:val="2"/>
                  </w:rPr>
                  <w:t>实际完成金额</w:t>
                </w:r>
              </w:p>
            </w:tc>
          </w:sdtContent>
        </w:sdt>
        <w:sdt>
          <w:sdtPr>
            <w:tag w:val="_PLD_750c3b0f6afd40bdaa32e160843a7026"/>
            <w:id w:val="-69268413"/>
          </w:sdtPr>
          <w:sdtContent>
            <w:tc>
              <w:tcPr>
                <w:tcW w:w="1418" w:type="dxa"/>
                <w:vAlign w:val="center"/>
              </w:tcPr>
              <w:p>
                <w:pPr>
                  <w:jc w:val="center"/>
                </w:pPr>
                <w:r>
                  <w:rPr>
                    <w:rFonts w:ascii="Calibri" w:hAnsi="Calibri" w:hint="eastAsia"/>
                    <w:bCs/>
                    <w:kern w:val="2"/>
                  </w:rPr>
                  <w:t>完成率（</w:t>
                </w:r>
                <w:r>
                  <w:rPr>
                    <w:rFonts w:ascii="Calibri" w:hAnsi="Calibri" w:hint="eastAsia"/>
                    <w:bCs/>
                    <w:kern w:val="2"/>
                  </w:rPr>
                  <w:t>%</w:t>
                </w:r>
                <w:r>
                  <w:rPr>
                    <w:rFonts w:ascii="Calibri" w:hAnsi="Calibri" w:hint="eastAsia"/>
                    <w:bCs/>
                    <w:kern w:val="2"/>
                  </w:rPr>
                  <w:t>）</w:t>
                </w:r>
              </w:p>
            </w:tc>
          </w:sdtContent>
        </w:sdt>
      </w:tr>
      <w:tr>
        <w:tc>
          <w:tcPr>
            <w:tcW w:w="1292" w:type="dxa"/>
            <w:vAlign w:val="center"/>
          </w:tcPr>
          <w:p>
            <w:pPr>
              <w:rPr>
                <w:rFonts w:ascii="宋体" w:hAnsi="宋体"/>
              </w:rPr>
            </w:pPr>
            <w:r>
              <w:rPr>
                <w:rFonts w:ascii="宋体" w:hAnsi="宋体" w:cstheme="minorBidi" w:hint="eastAsia"/>
                <w:kern w:val="2"/>
                <w:sz w:val="22"/>
                <w14:ligatures w14:val="standardContextual"/>
              </w:rPr>
              <w:t>与鲁西矿业业绩相关的承诺</w:t>
            </w:r>
          </w:p>
        </w:tc>
        <w:tc>
          <w:tcPr>
            <w:tcW w:w="3098" w:type="dxa"/>
            <w:vAlign w:val="center"/>
          </w:tcPr>
          <w:p>
            <w:pPr>
              <w:rPr>
                <w:rFonts w:ascii="宋体" w:hAnsi="宋体"/>
                <w:highlight w:val="yellow"/>
              </w:rPr>
            </w:pPr>
            <w:r>
              <w:rPr>
                <w:rFonts w:ascii="宋体" w:hAnsi="宋体" w:hint="eastAsia"/>
              </w:rPr>
              <w:t>新汶矿业集团有限责任公司、龙口矿业集团有限公司、淄博矿业集团有限责任公司、肥城肥矿煤业有限公司、临沂矿业集团有限责任公司</w:t>
            </w:r>
          </w:p>
        </w:tc>
        <w:tc>
          <w:tcPr>
            <w:tcW w:w="1275" w:type="dxa"/>
            <w:vAlign w:val="center"/>
          </w:tcPr>
          <w:p>
            <w:pPr>
              <w:rPr>
                <w:rFonts w:ascii="宋体" w:hAnsi="宋体"/>
                <w:highlight w:val="yellow"/>
              </w:rPr>
            </w:pPr>
            <w:r>
              <w:rPr>
                <w:rFonts w:ascii="宋体" w:hAnsi="宋体" w:hint="eastAsia"/>
              </w:rPr>
              <w:t>2023-2025年度</w:t>
            </w:r>
          </w:p>
        </w:tc>
        <w:tc>
          <w:tcPr>
            <w:tcW w:w="2552" w:type="dxa"/>
            <w:vAlign w:val="center"/>
          </w:tcPr>
          <w:p>
            <w:pPr>
              <w:rPr>
                <w:rFonts w:ascii="宋体" w:hAnsi="宋体"/>
                <w:highlight w:val="yellow"/>
              </w:rPr>
            </w:pPr>
            <w:r>
              <w:rPr>
                <w:rFonts w:ascii="宋体" w:hAnsi="宋体" w:hint="eastAsia"/>
              </w:rPr>
              <w:t>经审计的扣除非经常性损益后归属于母公司股东的净利润</w:t>
            </w:r>
          </w:p>
        </w:tc>
        <w:tc>
          <w:tcPr>
            <w:tcW w:w="2693" w:type="dxa"/>
            <w:vAlign w:val="center"/>
          </w:tcPr>
          <w:p>
            <w:pPr>
              <w:jc w:val="right"/>
              <w:rPr>
                <w:rFonts w:ascii="宋体" w:hAnsi="宋体"/>
                <w:highlight w:val="yellow"/>
              </w:rPr>
            </w:pPr>
            <w:r>
              <w:rPr>
                <w:rFonts w:ascii="宋体" w:hAnsi="宋体" w:hint="eastAsia"/>
              </w:rPr>
              <w:t>1,139,992.17</w:t>
            </w:r>
            <w:r>
              <w:rPr>
                <w:rFonts w:ascii="宋体" w:hAnsi="宋体" w:hint="eastAsia"/>
                <w:vertAlign w:val="superscript"/>
              </w:rPr>
              <w:t>①</w:t>
            </w:r>
          </w:p>
        </w:tc>
        <w:tc>
          <w:tcPr>
            <w:tcW w:w="1559" w:type="dxa"/>
            <w:vAlign w:val="center"/>
          </w:tcPr>
          <w:p>
            <w:pPr>
              <w:jc w:val="right"/>
              <w:rPr>
                <w:rFonts w:asciiTheme="minorEastAsia" w:eastAsiaTheme="minorEastAsia" w:hAnsiTheme="minorEastAsia"/>
              </w:rPr>
            </w:pPr>
            <w:r>
              <w:rPr>
                <w:rFonts w:ascii="宋体" w:hAnsi="宋体" w:hint="eastAsia"/>
              </w:rPr>
              <w:t>416,996.18</w:t>
            </w:r>
          </w:p>
        </w:tc>
        <w:tc>
          <w:tcPr>
            <w:tcW w:w="1418" w:type="dxa"/>
            <w:vAlign w:val="center"/>
          </w:tcPr>
          <w:p>
            <w:pPr>
              <w:jc w:val="right"/>
              <w:rPr>
                <w:rFonts w:asciiTheme="minorEastAsia" w:eastAsiaTheme="minorEastAsia" w:hAnsiTheme="minorEastAsia"/>
              </w:rPr>
            </w:pPr>
            <w:r>
              <w:rPr>
                <w:rFonts w:ascii="宋体" w:hAnsi="宋体" w:hint="eastAsia"/>
              </w:rPr>
              <w:t>36.58</w:t>
            </w:r>
          </w:p>
        </w:tc>
      </w:tr>
      <w:tr>
        <w:tc>
          <w:tcPr>
            <w:tcW w:w="1292" w:type="dxa"/>
            <w:vAlign w:val="center"/>
          </w:tcPr>
          <w:p>
            <w:pPr>
              <w:rPr>
                <w:rFonts w:ascii="宋体" w:hAnsi="宋体"/>
              </w:rPr>
            </w:pPr>
            <w:r>
              <w:rPr>
                <w:rFonts w:ascii="宋体" w:hAnsi="宋体" w:cstheme="minorBidi" w:hint="eastAsia"/>
                <w:kern w:val="2"/>
                <w:sz w:val="22"/>
                <w14:ligatures w14:val="standardContextual"/>
              </w:rPr>
              <w:t>与新疆能化业绩相关的承诺</w:t>
            </w:r>
          </w:p>
        </w:tc>
        <w:tc>
          <w:tcPr>
            <w:tcW w:w="3098" w:type="dxa"/>
            <w:vAlign w:val="center"/>
          </w:tcPr>
          <w:p>
            <w:pPr>
              <w:rPr>
                <w:rFonts w:ascii="宋体" w:hAnsi="宋体"/>
                <w:highlight w:val="yellow"/>
              </w:rPr>
            </w:pPr>
            <w:r>
              <w:rPr>
                <w:rFonts w:ascii="宋体" w:hAnsi="宋体" w:hint="eastAsia"/>
              </w:rPr>
              <w:t>新汶矿业集团有限责任公司、山东能源集团有限公司</w:t>
            </w:r>
          </w:p>
        </w:tc>
        <w:tc>
          <w:tcPr>
            <w:tcW w:w="1275" w:type="dxa"/>
            <w:vAlign w:val="center"/>
          </w:tcPr>
          <w:p>
            <w:pPr>
              <w:rPr>
                <w:rFonts w:ascii="宋体" w:hAnsi="宋体"/>
                <w:highlight w:val="yellow"/>
              </w:rPr>
            </w:pPr>
            <w:r>
              <w:rPr>
                <w:rFonts w:ascii="宋体" w:hAnsi="宋体" w:hint="eastAsia"/>
              </w:rPr>
              <w:t>2023-2025年度</w:t>
            </w:r>
          </w:p>
        </w:tc>
        <w:tc>
          <w:tcPr>
            <w:tcW w:w="2552" w:type="dxa"/>
            <w:vAlign w:val="center"/>
          </w:tcPr>
          <w:p>
            <w:pPr>
              <w:rPr>
                <w:rFonts w:ascii="宋体" w:hAnsi="宋体"/>
                <w:highlight w:val="yellow"/>
              </w:rPr>
            </w:pPr>
            <w:r>
              <w:rPr>
                <w:rFonts w:ascii="宋体" w:hAnsi="宋体" w:hint="eastAsia"/>
              </w:rPr>
              <w:t>经审计的扣除非经常性损益后归属于母公司股东的净利润</w:t>
            </w:r>
          </w:p>
        </w:tc>
        <w:tc>
          <w:tcPr>
            <w:tcW w:w="2693" w:type="dxa"/>
            <w:vAlign w:val="center"/>
          </w:tcPr>
          <w:p>
            <w:pPr>
              <w:jc w:val="right"/>
              <w:rPr>
                <w:rFonts w:ascii="宋体" w:hAnsi="宋体"/>
                <w:highlight w:val="yellow"/>
              </w:rPr>
            </w:pPr>
            <w:r>
              <w:rPr>
                <w:rFonts w:ascii="宋体" w:hAnsi="宋体" w:hint="eastAsia"/>
              </w:rPr>
              <w:t>401,345.61</w:t>
            </w:r>
          </w:p>
        </w:tc>
        <w:tc>
          <w:tcPr>
            <w:tcW w:w="1559" w:type="dxa"/>
            <w:vAlign w:val="center"/>
          </w:tcPr>
          <w:p>
            <w:pPr>
              <w:jc w:val="right"/>
              <w:rPr>
                <w:rFonts w:asciiTheme="minorEastAsia" w:eastAsiaTheme="minorEastAsia" w:hAnsiTheme="minorEastAsia"/>
              </w:rPr>
            </w:pPr>
            <w:r>
              <w:rPr>
                <w:rFonts w:ascii="宋体" w:hAnsi="宋体" w:hint="eastAsia"/>
              </w:rPr>
              <w:t>87,128.43</w:t>
            </w:r>
          </w:p>
        </w:tc>
        <w:tc>
          <w:tcPr>
            <w:tcW w:w="1418" w:type="dxa"/>
            <w:vAlign w:val="center"/>
          </w:tcPr>
          <w:p>
            <w:pPr>
              <w:jc w:val="right"/>
              <w:rPr>
                <w:rFonts w:asciiTheme="minorEastAsia" w:eastAsiaTheme="minorEastAsia" w:hAnsiTheme="minorEastAsia"/>
              </w:rPr>
            </w:pPr>
            <w:r>
              <w:rPr>
                <w:rFonts w:ascii="宋体" w:hAnsi="宋体" w:hint="eastAsia"/>
              </w:rPr>
              <w:t>21.71</w:t>
            </w:r>
          </w:p>
        </w:tc>
      </w:tr>
      <w:tr>
        <w:trPr>
          <w:trHeight w:val="759"/>
        </w:trPr>
        <w:tc>
          <w:tcPr>
            <w:tcW w:w="1292" w:type="dxa"/>
            <w:vMerge w:val="restart"/>
            <w:vAlign w:val="center"/>
          </w:tcPr>
          <w:p>
            <w:pPr>
              <w:rPr>
                <w:rFonts w:ascii="宋体" w:hAnsi="宋体" w:cstheme="minorBidi"/>
                <w:kern w:val="2"/>
                <w:sz w:val="22"/>
                <w14:ligatures w14:val="standardContextual"/>
              </w:rPr>
            </w:pPr>
            <w:r>
              <w:rPr>
                <w:rFonts w:ascii="宋体" w:hAnsi="宋体" w:cstheme="minorBidi" w:hint="eastAsia"/>
                <w:kern w:val="2"/>
                <w:sz w:val="22"/>
                <w14:ligatures w14:val="standardContextual"/>
              </w:rPr>
              <w:t>与物泊科技业绩相关的承诺</w:t>
            </w:r>
          </w:p>
        </w:tc>
        <w:tc>
          <w:tcPr>
            <w:tcW w:w="3098" w:type="dxa"/>
            <w:vMerge w:val="restart"/>
            <w:vAlign w:val="center"/>
          </w:tcPr>
          <w:p>
            <w:pPr>
              <w:rPr>
                <w:rFonts w:ascii="宋体" w:hAnsi="宋体"/>
              </w:rPr>
            </w:pPr>
            <w:r>
              <w:rPr>
                <w:rFonts w:ascii="宋体" w:hAnsi="宋体" w:hint="eastAsia"/>
              </w:rPr>
              <w:t>福建东聚科技有限公司、</w:t>
            </w:r>
          </w:p>
          <w:p>
            <w:pPr>
              <w:rPr>
                <w:rFonts w:ascii="宋体" w:hAnsi="宋体"/>
              </w:rPr>
            </w:pPr>
            <w:r>
              <w:rPr>
                <w:rFonts w:ascii="宋体" w:hAnsi="宋体" w:hint="eastAsia"/>
              </w:rPr>
              <w:t>福建东普投资中心（有限合伙）、福建东震投资中心（有限合伙）、福建东熹投资中心（有限合伙）、福建东泊投资中心（有限合伙）、福建东沃投资中心（有限合伙）、福建东创投资中心（有限合伙）、福建东潭投资中心（有限合伙）、福建东厦投资中心（有限合伙）、福建东达投资中心（有限合伙）、</w:t>
            </w:r>
            <w:r>
              <w:rPr>
                <w:rFonts w:ascii="宋体" w:hAnsi="宋体"/>
              </w:rPr>
              <w:t>福建东投投资中心（有限合伙）、</w:t>
            </w:r>
            <w:r>
              <w:rPr>
                <w:rFonts w:ascii="宋体" w:hAnsi="宋体" w:hint="eastAsia"/>
              </w:rPr>
              <w:t>竞点（福建）国际贸易有限公司、东铭实业集团有限公司</w:t>
            </w:r>
          </w:p>
        </w:tc>
        <w:tc>
          <w:tcPr>
            <w:tcW w:w="1275" w:type="dxa"/>
            <w:vMerge w:val="restart"/>
            <w:vAlign w:val="center"/>
          </w:tcPr>
          <w:p>
            <w:pPr>
              <w:rPr>
                <w:rFonts w:ascii="宋体" w:hAnsi="宋体"/>
              </w:rPr>
            </w:pPr>
            <w:r>
              <w:rPr>
                <w:rFonts w:ascii="宋体" w:hAnsi="宋体" w:hint="eastAsia"/>
              </w:rPr>
              <w:t>2024-2028年度</w:t>
            </w:r>
          </w:p>
        </w:tc>
        <w:tc>
          <w:tcPr>
            <w:tcW w:w="2552" w:type="dxa"/>
            <w:vMerge w:val="restart"/>
            <w:vAlign w:val="center"/>
          </w:tcPr>
          <w:p>
            <w:pPr>
              <w:rPr>
                <w:rFonts w:ascii="宋体" w:hAnsi="宋体"/>
              </w:rPr>
            </w:pPr>
            <w:r>
              <w:rPr>
                <w:rFonts w:ascii="宋体" w:hAnsi="宋体" w:hint="eastAsia"/>
              </w:rPr>
              <w:t>经审计的扣除非经常性损益后归属于母公司股东的净利润</w:t>
            </w:r>
          </w:p>
        </w:tc>
        <w:tc>
          <w:tcPr>
            <w:tcW w:w="2693" w:type="dxa"/>
            <w:vAlign w:val="center"/>
          </w:tcPr>
          <w:p>
            <w:pPr>
              <w:jc w:val="right"/>
              <w:rPr>
                <w:rFonts w:ascii="宋体" w:hAnsi="宋体"/>
              </w:rPr>
            </w:pPr>
            <w:r>
              <w:rPr>
                <w:rFonts w:ascii="宋体" w:hAnsi="宋体" w:hint="eastAsia"/>
              </w:rPr>
              <w:t>9,875.37</w:t>
            </w:r>
          </w:p>
        </w:tc>
        <w:tc>
          <w:tcPr>
            <w:tcW w:w="1559" w:type="dxa"/>
            <w:vAlign w:val="center"/>
          </w:tcPr>
          <w:p>
            <w:pPr>
              <w:jc w:val="right"/>
              <w:rPr>
                <w:rFonts w:asciiTheme="minorEastAsia" w:eastAsiaTheme="minorEastAsia" w:hAnsiTheme="minorEastAsia"/>
              </w:rPr>
            </w:pPr>
            <w:r>
              <w:rPr>
                <w:rFonts w:asciiTheme="minorEastAsia" w:eastAsiaTheme="minorEastAsia" w:hAnsiTheme="minorEastAsia" w:hint="eastAsia"/>
              </w:rPr>
              <w:t>15,397.11</w:t>
            </w:r>
          </w:p>
        </w:tc>
        <w:tc>
          <w:tcPr>
            <w:tcW w:w="1418" w:type="dxa"/>
            <w:vAlign w:val="center"/>
          </w:tcPr>
          <w:p>
            <w:pPr>
              <w:jc w:val="right"/>
              <w:rPr>
                <w:rFonts w:asciiTheme="minorEastAsia" w:eastAsiaTheme="minorEastAsia" w:hAnsiTheme="minorEastAsia"/>
              </w:rPr>
            </w:pPr>
            <w:r>
              <w:rPr>
                <w:rFonts w:asciiTheme="minorEastAsia" w:eastAsiaTheme="minorEastAsia" w:hAnsiTheme="minorEastAsia" w:hint="eastAsia"/>
              </w:rPr>
              <w:t>155.91</w:t>
            </w:r>
          </w:p>
        </w:tc>
      </w:tr>
      <w:tr>
        <w:trPr>
          <w:trHeight w:val="699"/>
        </w:trPr>
        <w:tc>
          <w:tcPr>
            <w:tcW w:w="1292" w:type="dxa"/>
            <w:vMerge/>
            <w:vAlign w:val="center"/>
          </w:tcPr>
          <w:p>
            <w:pPr>
              <w:rPr>
                <w:rFonts w:ascii="宋体" w:hAnsi="宋体" w:cstheme="minorBidi"/>
                <w:kern w:val="2"/>
                <w:sz w:val="22"/>
                <w14:ligatures w14:val="standardContextual"/>
              </w:rPr>
            </w:pPr>
          </w:p>
        </w:tc>
        <w:tc>
          <w:tcPr>
            <w:tcW w:w="3098" w:type="dxa"/>
            <w:vMerge/>
            <w:vAlign w:val="center"/>
          </w:tcPr>
          <w:p>
            <w:pPr>
              <w:rPr>
                <w:rFonts w:ascii="宋体" w:hAnsi="宋体"/>
              </w:rPr>
            </w:pPr>
          </w:p>
        </w:tc>
        <w:tc>
          <w:tcPr>
            <w:tcW w:w="1275" w:type="dxa"/>
            <w:vMerge/>
            <w:vAlign w:val="center"/>
          </w:tcPr>
          <w:p>
            <w:pPr>
              <w:rPr>
                <w:rFonts w:ascii="宋体" w:hAnsi="宋体"/>
              </w:rPr>
            </w:pPr>
          </w:p>
        </w:tc>
        <w:tc>
          <w:tcPr>
            <w:tcW w:w="2552" w:type="dxa"/>
            <w:vMerge/>
            <w:vAlign w:val="center"/>
          </w:tcPr>
          <w:p>
            <w:pPr>
              <w:rPr>
                <w:rFonts w:ascii="宋体" w:hAnsi="宋体"/>
              </w:rPr>
            </w:pPr>
          </w:p>
        </w:tc>
        <w:tc>
          <w:tcPr>
            <w:tcW w:w="2693" w:type="dxa"/>
            <w:vAlign w:val="center"/>
          </w:tcPr>
          <w:p>
            <w:pPr>
              <w:jc w:val="right"/>
              <w:rPr>
                <w:rFonts w:ascii="宋体" w:hAnsi="宋体"/>
              </w:rPr>
            </w:pPr>
            <w:r>
              <w:rPr>
                <w:rFonts w:ascii="宋体" w:hAnsi="宋体" w:hint="eastAsia"/>
              </w:rPr>
              <w:t>10,931.41</w:t>
            </w:r>
          </w:p>
        </w:tc>
        <w:tc>
          <w:tcPr>
            <w:tcW w:w="1559" w:type="dxa"/>
            <w:vAlign w:val="center"/>
          </w:tcPr>
          <w:p>
            <w:pPr>
              <w:jc w:val="right"/>
              <w:rPr>
                <w:rFonts w:asciiTheme="minorEastAsia" w:eastAsiaTheme="minorEastAsia" w:hAnsiTheme="minorEastAsia"/>
                <w:highlight w:val="yellow"/>
              </w:rPr>
            </w:pPr>
            <w:r>
              <w:rPr>
                <w:rFonts w:asciiTheme="minorEastAsia" w:eastAsiaTheme="minorEastAsia" w:hAnsiTheme="minorEastAsia"/>
              </w:rPr>
              <w:t>14,234.74</w:t>
            </w:r>
          </w:p>
        </w:tc>
        <w:tc>
          <w:tcPr>
            <w:tcW w:w="1418" w:type="dxa"/>
            <w:vAlign w:val="center"/>
          </w:tcPr>
          <w:p>
            <w:pPr>
              <w:jc w:val="right"/>
              <w:rPr>
                <w:rFonts w:asciiTheme="minorEastAsia" w:eastAsiaTheme="minorEastAsia" w:hAnsiTheme="minorEastAsia"/>
                <w:highlight w:val="yellow"/>
              </w:rPr>
            </w:pPr>
            <w:r>
              <w:rPr>
                <w:rFonts w:asciiTheme="minorEastAsia" w:eastAsiaTheme="minorEastAsia" w:hAnsiTheme="minorEastAsia"/>
              </w:rPr>
              <w:t>130.22</w:t>
            </w:r>
          </w:p>
        </w:tc>
      </w:tr>
      <w:tr>
        <w:trPr>
          <w:trHeight w:val="647"/>
        </w:trPr>
        <w:tc>
          <w:tcPr>
            <w:tcW w:w="1292" w:type="dxa"/>
            <w:vMerge/>
            <w:vAlign w:val="center"/>
          </w:tcPr>
          <w:p>
            <w:pPr>
              <w:rPr>
                <w:rFonts w:ascii="宋体" w:hAnsi="宋体" w:cstheme="minorBidi"/>
                <w:kern w:val="2"/>
                <w:sz w:val="22"/>
                <w14:ligatures w14:val="standardContextual"/>
              </w:rPr>
            </w:pPr>
          </w:p>
        </w:tc>
        <w:tc>
          <w:tcPr>
            <w:tcW w:w="3098" w:type="dxa"/>
            <w:vMerge/>
            <w:vAlign w:val="center"/>
          </w:tcPr>
          <w:p>
            <w:pPr>
              <w:rPr>
                <w:rFonts w:ascii="宋体" w:hAnsi="宋体"/>
              </w:rPr>
            </w:pPr>
          </w:p>
        </w:tc>
        <w:tc>
          <w:tcPr>
            <w:tcW w:w="1275" w:type="dxa"/>
            <w:vMerge/>
            <w:vAlign w:val="center"/>
          </w:tcPr>
          <w:p>
            <w:pPr>
              <w:rPr>
                <w:rFonts w:ascii="宋体" w:hAnsi="宋体"/>
              </w:rPr>
            </w:pPr>
          </w:p>
        </w:tc>
        <w:tc>
          <w:tcPr>
            <w:tcW w:w="2552" w:type="dxa"/>
            <w:vMerge/>
            <w:vAlign w:val="center"/>
          </w:tcPr>
          <w:p>
            <w:pPr>
              <w:rPr>
                <w:rFonts w:ascii="宋体" w:hAnsi="宋体"/>
              </w:rPr>
            </w:pPr>
          </w:p>
        </w:tc>
        <w:tc>
          <w:tcPr>
            <w:tcW w:w="2693" w:type="dxa"/>
            <w:vAlign w:val="center"/>
          </w:tcPr>
          <w:p>
            <w:pPr>
              <w:jc w:val="right"/>
              <w:rPr>
                <w:rFonts w:ascii="宋体" w:hAnsi="宋体"/>
              </w:rPr>
            </w:pPr>
            <w:r>
              <w:rPr>
                <w:rFonts w:ascii="宋体" w:hAnsi="宋体" w:hint="eastAsia"/>
              </w:rPr>
              <w:t>11,585.10</w:t>
            </w:r>
          </w:p>
        </w:tc>
        <w:tc>
          <w:tcPr>
            <w:tcW w:w="1559" w:type="dxa"/>
            <w:vAlign w:val="center"/>
          </w:tcPr>
          <w:p>
            <w:pPr>
              <w:jc w:val="right"/>
            </w:pPr>
            <w:r>
              <w:rPr>
                <w:rFonts w:hint="eastAsia"/>
              </w:rPr>
              <w:t>-</w:t>
            </w:r>
          </w:p>
        </w:tc>
        <w:tc>
          <w:tcPr>
            <w:tcW w:w="1418" w:type="dxa"/>
            <w:vAlign w:val="center"/>
          </w:tcPr>
          <w:p>
            <w:pPr>
              <w:jc w:val="right"/>
            </w:pPr>
            <w:r>
              <w:rPr>
                <w:rFonts w:hint="eastAsia"/>
              </w:rPr>
              <w:t>-</w:t>
            </w:r>
          </w:p>
        </w:tc>
      </w:tr>
      <w:tr>
        <w:trPr>
          <w:trHeight w:val="746"/>
        </w:trPr>
        <w:tc>
          <w:tcPr>
            <w:tcW w:w="1292" w:type="dxa"/>
            <w:vMerge/>
            <w:vAlign w:val="center"/>
          </w:tcPr>
          <w:p>
            <w:pPr>
              <w:rPr>
                <w:rFonts w:ascii="宋体" w:hAnsi="宋体" w:cstheme="minorBidi"/>
                <w:kern w:val="2"/>
                <w:sz w:val="22"/>
                <w14:ligatures w14:val="standardContextual"/>
              </w:rPr>
            </w:pPr>
          </w:p>
        </w:tc>
        <w:tc>
          <w:tcPr>
            <w:tcW w:w="3098" w:type="dxa"/>
            <w:vMerge/>
            <w:vAlign w:val="center"/>
          </w:tcPr>
          <w:p>
            <w:pPr>
              <w:rPr>
                <w:rFonts w:ascii="宋体" w:hAnsi="宋体"/>
              </w:rPr>
            </w:pPr>
          </w:p>
        </w:tc>
        <w:tc>
          <w:tcPr>
            <w:tcW w:w="1275" w:type="dxa"/>
            <w:vMerge/>
            <w:vAlign w:val="center"/>
          </w:tcPr>
          <w:p>
            <w:pPr>
              <w:rPr>
                <w:rFonts w:ascii="宋体" w:hAnsi="宋体"/>
              </w:rPr>
            </w:pPr>
          </w:p>
        </w:tc>
        <w:tc>
          <w:tcPr>
            <w:tcW w:w="2552" w:type="dxa"/>
            <w:vMerge/>
            <w:vAlign w:val="center"/>
          </w:tcPr>
          <w:p>
            <w:pPr>
              <w:rPr>
                <w:rFonts w:ascii="宋体" w:hAnsi="宋体"/>
              </w:rPr>
            </w:pPr>
          </w:p>
        </w:tc>
        <w:tc>
          <w:tcPr>
            <w:tcW w:w="2693" w:type="dxa"/>
            <w:vAlign w:val="center"/>
          </w:tcPr>
          <w:p>
            <w:pPr>
              <w:jc w:val="right"/>
              <w:rPr>
                <w:rFonts w:ascii="宋体" w:hAnsi="宋体"/>
              </w:rPr>
            </w:pPr>
            <w:r>
              <w:rPr>
                <w:rFonts w:ascii="宋体" w:hAnsi="宋体" w:hint="eastAsia"/>
              </w:rPr>
              <w:t>12,680.99</w:t>
            </w:r>
          </w:p>
        </w:tc>
        <w:tc>
          <w:tcPr>
            <w:tcW w:w="1559" w:type="dxa"/>
            <w:vAlign w:val="center"/>
          </w:tcPr>
          <w:p>
            <w:pPr>
              <w:jc w:val="right"/>
            </w:pPr>
            <w:r>
              <w:rPr>
                <w:rFonts w:hint="eastAsia"/>
              </w:rPr>
              <w:t>-</w:t>
            </w:r>
          </w:p>
        </w:tc>
        <w:tc>
          <w:tcPr>
            <w:tcW w:w="1418" w:type="dxa"/>
            <w:vAlign w:val="center"/>
          </w:tcPr>
          <w:p>
            <w:pPr>
              <w:jc w:val="right"/>
            </w:pPr>
            <w:r>
              <w:rPr>
                <w:rFonts w:hint="eastAsia"/>
              </w:rPr>
              <w:t>-</w:t>
            </w:r>
          </w:p>
        </w:tc>
      </w:tr>
      <w:tr>
        <w:tc>
          <w:tcPr>
            <w:tcW w:w="1292" w:type="dxa"/>
            <w:vMerge/>
            <w:vAlign w:val="center"/>
          </w:tcPr>
          <w:p>
            <w:pPr>
              <w:rPr>
                <w:rFonts w:ascii="宋体" w:hAnsi="宋体" w:cstheme="minorBidi"/>
                <w:kern w:val="2"/>
                <w:sz w:val="22"/>
                <w14:ligatures w14:val="standardContextual"/>
              </w:rPr>
            </w:pPr>
          </w:p>
        </w:tc>
        <w:tc>
          <w:tcPr>
            <w:tcW w:w="3098" w:type="dxa"/>
            <w:vMerge/>
            <w:vAlign w:val="center"/>
          </w:tcPr>
          <w:p>
            <w:pPr>
              <w:rPr>
                <w:rFonts w:ascii="宋体" w:hAnsi="宋体"/>
              </w:rPr>
            </w:pPr>
          </w:p>
        </w:tc>
        <w:tc>
          <w:tcPr>
            <w:tcW w:w="1275" w:type="dxa"/>
            <w:vMerge/>
            <w:vAlign w:val="center"/>
          </w:tcPr>
          <w:p>
            <w:pPr>
              <w:rPr>
                <w:rFonts w:ascii="宋体" w:hAnsi="宋体"/>
              </w:rPr>
            </w:pPr>
          </w:p>
        </w:tc>
        <w:tc>
          <w:tcPr>
            <w:tcW w:w="2552" w:type="dxa"/>
            <w:vMerge/>
            <w:vAlign w:val="center"/>
          </w:tcPr>
          <w:p>
            <w:pPr>
              <w:rPr>
                <w:rFonts w:ascii="宋体" w:hAnsi="宋体"/>
              </w:rPr>
            </w:pPr>
          </w:p>
        </w:tc>
        <w:tc>
          <w:tcPr>
            <w:tcW w:w="2693" w:type="dxa"/>
            <w:vAlign w:val="center"/>
          </w:tcPr>
          <w:p>
            <w:pPr>
              <w:jc w:val="right"/>
              <w:rPr>
                <w:rFonts w:ascii="宋体" w:hAnsi="宋体"/>
              </w:rPr>
            </w:pPr>
            <w:r>
              <w:rPr>
                <w:rFonts w:ascii="宋体" w:hAnsi="宋体"/>
              </w:rPr>
              <w:t>13,909.10</w:t>
            </w:r>
          </w:p>
        </w:tc>
        <w:tc>
          <w:tcPr>
            <w:tcW w:w="1559" w:type="dxa"/>
            <w:vAlign w:val="center"/>
          </w:tcPr>
          <w:p>
            <w:pPr>
              <w:jc w:val="right"/>
            </w:pPr>
            <w:r>
              <w:rPr>
                <w:rFonts w:hint="eastAsia"/>
              </w:rPr>
              <w:t>-</w:t>
            </w:r>
          </w:p>
        </w:tc>
        <w:tc>
          <w:tcPr>
            <w:tcW w:w="1418" w:type="dxa"/>
            <w:vAlign w:val="center"/>
          </w:tcPr>
          <w:p>
            <w:pPr>
              <w:jc w:val="right"/>
            </w:pPr>
            <w:r>
              <w:rPr>
                <w:rFonts w:hint="eastAsia"/>
              </w:rPr>
              <w:t>-</w:t>
            </w:r>
          </w:p>
        </w:tc>
      </w:tr>
      <w:tr>
        <w:tc>
          <w:tcPr>
            <w:tcW w:w="1292" w:type="dxa"/>
            <w:vAlign w:val="center"/>
          </w:tcPr>
          <w:p>
            <w:pPr>
              <w:rPr>
                <w:rFonts w:ascii="宋体" w:hAnsi="宋体" w:cstheme="minorBidi"/>
                <w:kern w:val="2"/>
                <w:sz w:val="22"/>
                <w14:ligatures w14:val="standardContextual"/>
              </w:rPr>
            </w:pPr>
            <w:r>
              <w:rPr>
                <w:rFonts w:ascii="宋体" w:hAnsi="宋体" w:cstheme="minorBidi" w:hint="eastAsia"/>
                <w:kern w:val="2"/>
                <w:sz w:val="22"/>
                <w14:ligatures w14:val="standardContextual"/>
              </w:rPr>
              <w:t>与西北矿</w:t>
            </w:r>
            <w:r>
              <w:rPr>
                <w:rFonts w:ascii="宋体" w:hAnsi="宋体" w:cstheme="minorBidi" w:hint="eastAsia"/>
                <w:kern w:val="2"/>
                <w:sz w:val="22"/>
                <w14:ligatures w14:val="standardContextual"/>
              </w:rPr>
              <w:lastRenderedPageBreak/>
              <w:t>业业绩相关的承诺</w:t>
            </w:r>
          </w:p>
        </w:tc>
        <w:tc>
          <w:tcPr>
            <w:tcW w:w="3098" w:type="dxa"/>
            <w:vAlign w:val="center"/>
          </w:tcPr>
          <w:p>
            <w:pPr>
              <w:rPr>
                <w:rFonts w:ascii="宋体" w:hAnsi="宋体"/>
              </w:rPr>
            </w:pPr>
            <w:r>
              <w:rPr>
                <w:rFonts w:ascii="宋体" w:hAnsi="宋体" w:hint="eastAsia"/>
              </w:rPr>
              <w:lastRenderedPageBreak/>
              <w:t>淄博矿业集团有限责任公司、龙</w:t>
            </w:r>
            <w:r>
              <w:rPr>
                <w:rFonts w:ascii="宋体" w:hAnsi="宋体" w:hint="eastAsia"/>
              </w:rPr>
              <w:lastRenderedPageBreak/>
              <w:t>口矿业集团有限公司、新汶矿业集团有限责任公司、肥城肥矿煤业有限公司</w:t>
            </w:r>
          </w:p>
        </w:tc>
        <w:tc>
          <w:tcPr>
            <w:tcW w:w="1275" w:type="dxa"/>
            <w:vAlign w:val="center"/>
          </w:tcPr>
          <w:p>
            <w:pPr>
              <w:rPr>
                <w:rFonts w:ascii="宋体" w:hAnsi="宋体"/>
              </w:rPr>
            </w:pPr>
            <w:r>
              <w:rPr>
                <w:rFonts w:ascii="宋体" w:hAnsi="宋体" w:hint="eastAsia"/>
              </w:rPr>
              <w:lastRenderedPageBreak/>
              <w:t>2025-2027</w:t>
            </w:r>
            <w:r>
              <w:rPr>
                <w:rFonts w:ascii="宋体" w:hAnsi="宋体" w:hint="eastAsia"/>
              </w:rPr>
              <w:lastRenderedPageBreak/>
              <w:t>年度</w:t>
            </w:r>
          </w:p>
        </w:tc>
        <w:tc>
          <w:tcPr>
            <w:tcW w:w="2552" w:type="dxa"/>
            <w:vAlign w:val="center"/>
          </w:tcPr>
          <w:p>
            <w:pPr>
              <w:rPr>
                <w:rFonts w:ascii="宋体" w:hAnsi="宋体"/>
              </w:rPr>
            </w:pPr>
            <w:r>
              <w:rPr>
                <w:rFonts w:ascii="宋体" w:hAnsi="宋体" w:hint="eastAsia"/>
              </w:rPr>
              <w:lastRenderedPageBreak/>
              <w:t>经审计的扣除非经常性损</w:t>
            </w:r>
            <w:r>
              <w:rPr>
                <w:rFonts w:ascii="宋体" w:hAnsi="宋体" w:hint="eastAsia"/>
              </w:rPr>
              <w:lastRenderedPageBreak/>
              <w:t>益后归属于母公司股东的净利润</w:t>
            </w:r>
          </w:p>
        </w:tc>
        <w:tc>
          <w:tcPr>
            <w:tcW w:w="2693" w:type="dxa"/>
            <w:vAlign w:val="center"/>
          </w:tcPr>
          <w:p>
            <w:pPr>
              <w:jc w:val="right"/>
              <w:rPr>
                <w:rFonts w:ascii="宋体" w:hAnsi="宋体"/>
              </w:rPr>
            </w:pPr>
            <w:r>
              <w:rPr>
                <w:rFonts w:ascii="宋体" w:hAnsi="宋体" w:hint="eastAsia"/>
              </w:rPr>
              <w:lastRenderedPageBreak/>
              <w:t>712,193.41</w:t>
            </w:r>
          </w:p>
        </w:tc>
        <w:tc>
          <w:tcPr>
            <w:tcW w:w="1559" w:type="dxa"/>
            <w:vAlign w:val="center"/>
          </w:tcPr>
          <w:p>
            <w:pPr>
              <w:jc w:val="right"/>
            </w:pPr>
            <w:r>
              <w:rPr>
                <w:rFonts w:hint="eastAsia"/>
              </w:rPr>
              <w:t>-</w:t>
            </w:r>
          </w:p>
        </w:tc>
        <w:tc>
          <w:tcPr>
            <w:tcW w:w="1418" w:type="dxa"/>
            <w:vAlign w:val="center"/>
          </w:tcPr>
          <w:p>
            <w:pPr>
              <w:jc w:val="right"/>
            </w:pPr>
            <w:r>
              <w:rPr>
                <w:rFonts w:hint="eastAsia"/>
              </w:rPr>
              <w:t>-</w:t>
            </w:r>
          </w:p>
        </w:tc>
      </w:tr>
    </w:tbl>
    <w:p>
      <w:pPr>
        <w:ind w:firstLineChars="200" w:firstLine="420"/>
        <w:rPr>
          <w:rFonts w:ascii="宋体" w:hAnsi="宋体"/>
        </w:rPr>
      </w:pPr>
      <w:r>
        <w:rPr>
          <w:rFonts w:ascii="宋体" w:hAnsi="宋体" w:hint="eastAsia"/>
        </w:rPr>
        <w:t>注：</w:t>
      </w:r>
    </w:p>
    <w:p>
      <w:pPr>
        <w:ind w:firstLineChars="200" w:firstLine="420"/>
        <w:rPr>
          <w:rFonts w:ascii="宋体" w:hAnsi="宋体"/>
        </w:rPr>
      </w:pPr>
      <w:bookmarkStart w:id="199" w:name="_Hlk224985686"/>
      <w:r>
        <w:rPr>
          <w:rFonts w:ascii="宋体" w:hAnsi="宋体" w:hint="eastAsia"/>
        </w:rPr>
        <w:t>①承诺函约定承诺期累计承诺净利润为1,142,480.14万元，计算业绩补偿款中使用的累计承诺净利润为1,139,992.17万元，调整金额2,487.97万元，系合并范围变化导致。根据《业绩补偿承诺函》第五条，如承诺期内由于股权转让、增资或其他原因导致合并范围发生变化，则自该年度起(含该年度)承诺净利润数和实现净利润数在转让方与兖矿能源协商一致后可以予以调整。2024年11月18日，经兖矿能源总经理办公会批准，鲁西矿业将其持有的山东淄矿铁路运输有限公司(后更名为山东鲁西铁路物流有限公司，以下简称“鲁西物流”)100%股权转让给兖矿物流科技有限公司，于2024年11月21日完成工商变更手续。经转让方与兖矿能源协商一致，鲁西物流2024年12月、2025年全年承诺净利润2,487.97万元从承诺期累计承诺净利润中扣除。</w:t>
      </w:r>
    </w:p>
    <w:p>
      <w:pPr>
        <w:ind w:firstLineChars="200" w:firstLine="420"/>
        <w:rPr>
          <w:rFonts w:ascii="宋体" w:hAnsi="宋体"/>
        </w:rPr>
      </w:pPr>
      <w:r>
        <w:rPr>
          <w:rFonts w:ascii="宋体" w:hAnsi="宋体" w:hint="eastAsia"/>
        </w:rPr>
        <w:t>②</w:t>
      </w:r>
      <w:bookmarkEnd w:id="199"/>
      <w:r>
        <w:rPr>
          <w:rFonts w:ascii="宋体" w:hAnsi="宋体" w:hint="eastAsia"/>
          <w:bCs/>
        </w:rPr>
        <w:t>西北矿业</w:t>
      </w:r>
      <w:r>
        <w:rPr>
          <w:rFonts w:hint="eastAsia"/>
        </w:rPr>
        <w:t>业绩承诺累计实现净利润将于承诺期满后根据专项审计报告确认，目前无法确定实际完成金额及完成率。</w:t>
      </w:r>
    </w:p>
    <w:p>
      <w:pPr>
        <w:ind w:firstLineChars="200" w:firstLine="420"/>
        <w:rPr>
          <w:rFonts w:ascii="宋体" w:hAnsi="宋体"/>
        </w:rPr>
      </w:pPr>
    </w:p>
    <w:p>
      <w:pPr>
        <w:rPr>
          <w:rFonts w:ascii="宋体" w:hAnsi="宋体"/>
        </w:rPr>
      </w:pPr>
      <w:r>
        <w:rPr>
          <w:rFonts w:ascii="宋体" w:hAnsi="宋体" w:hint="eastAsia"/>
          <w:bCs/>
          <w:kern w:val="2"/>
        </w:rPr>
        <w:t>业绩承诺变更情况</w:t>
      </w:r>
    </w:p>
    <w:sdt>
      <w:sdtPr>
        <w:rPr>
          <w:rFonts w:hint="eastAsia"/>
        </w:rPr>
        <w:alias w:val="是否适用：业绩承诺变更情况[双击切换]"/>
        <w:tag w:val="_GBC_8bb44889d76e41f78196a5f39e535c73"/>
        <w:id w:val="-1481379522"/>
        <w:placeholder>
          <w:docPart w:val="GBC22222222222222222222222222222"/>
        </w:placeholder>
      </w:sdtPr>
      <w:sdtContent>
        <w:p>
          <w:pPr>
            <w:pStyle w:val="Style49"/>
          </w:pPr>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pPr>
        <w:rPr>
          <w:highlight w:val="yellow"/>
        </w:rPr>
      </w:pPr>
    </w:p>
    <w:p>
      <w:pPr>
        <w:pStyle w:val="Style61"/>
      </w:pPr>
      <w:bookmarkStart w:id="200" w:name="_Hlk533667679"/>
      <w:bookmarkStart w:id="201" w:name="_Hlk191039168"/>
      <w:bookmarkEnd w:id="200"/>
      <w:r>
        <w:rPr>
          <w:rFonts w:hint="eastAsia"/>
          <w:bCs/>
        </w:rPr>
        <w:t>其他说明</w:t>
      </w:r>
    </w:p>
    <w:sdt>
      <w:sdtPr>
        <w:rPr>
          <w:rFonts w:hint="eastAsia"/>
          <w:b/>
        </w:rPr>
        <w:alias w:val="是否适用：承诺事项-商誉减值测试的影响[双击切换]"/>
        <w:tag w:val="_GBC_bbcebd5eccb545a982a878b392419b4e"/>
        <w:id w:val="973637066"/>
        <w:placeholder>
          <w:docPart w:val="GBC22222222222222222222222222222"/>
        </w:placeholder>
      </w:sdtPr>
      <w:sdtContent>
        <w:p>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p>
          <w:pPr>
            <w:rPr>
              <w:b/>
            </w:rPr>
          </w:pPr>
        </w:p>
      </w:sdtContent>
    </w:sdt>
    <w:bookmarkStart w:id="202" w:name="_Hlk224665494" w:displacedByCustomXml="next"/>
    <w:sdt>
      <w:sdtPr>
        <w:alias w:val="业绩承诺情况其他说明"/>
        <w:tag w:val="_GBC_849f176defca4ecdb1c73b8759cbc6f5"/>
        <w:id w:val="-139354345"/>
        <w:placeholder>
          <w:docPart w:val="GBC22222222222222222222222222222"/>
        </w:placeholder>
      </w:sdtPr>
      <w:sdtEndPr>
        <w:rPr>
          <w:rFonts w:ascii="宋体" w:hAnsi="宋体"/>
        </w:rPr>
      </w:sdtEndPr>
      <w:sdtContent>
        <w:p>
          <w:pPr>
            <w:ind w:firstLineChars="200" w:firstLine="420"/>
            <w:jc w:val="both"/>
            <w:rPr>
              <w:rFonts w:ascii="宋体" w:hAnsi="宋体"/>
            </w:rPr>
          </w:pPr>
          <w:r>
            <w:rPr>
              <w:rFonts w:hint="eastAsia"/>
            </w:rPr>
            <w:t>经</w:t>
          </w:r>
          <w:r>
            <w:rPr>
              <w:rFonts w:ascii="宋体" w:hAnsi="宋体" w:hint="eastAsia"/>
            </w:rPr>
            <w:t>公司2026年3月27日召开的第九届董事会第二十二次会议讨论审议，鲁西矿业、新疆能化2023-2025年度累计实现的经审计扣除非经常性损益后归属于母公司股东的净利润均未达到对应的累计承诺净利润数额，未完成业绩承诺。鲁西矿业股权转让方需向公司支付业绩补偿金额合计约为120.10亿元；新疆能化股权转让方需向公司支付业绩补偿金额合计约为63.51亿元。上述业绩补偿金为转让方在本次交易对价基础上，向公司返还的部分交易价款。</w:t>
          </w:r>
        </w:p>
        <w:bookmarkEnd w:id="202"/>
        <w:p>
          <w:pPr>
            <w:ind w:firstLineChars="200" w:firstLine="420"/>
            <w:rPr>
              <w:rFonts w:ascii="宋体" w:hAnsi="宋体"/>
            </w:rPr>
            <w:sectPr>
              <w:pgSz w:w="16838" w:h="11906" w:orient="landscape"/>
              <w:pgMar w:top="1797" w:right="1525" w:bottom="1276" w:left="1440" w:header="855" w:footer="992" w:gutter="0"/>
              <w:cols w:space="425"/>
              <w:docGrid w:linePitch="312"/>
            </w:sectPr>
          </w:pPr>
          <w:r>
            <w:rPr>
              <w:rFonts w:ascii="宋体" w:hAnsi="宋体"/>
            </w:rPr>
            <w:t>有关详情请见</w:t>
          </w:r>
          <w:r>
            <w:rPr>
              <w:rFonts w:ascii="宋体" w:hAnsi="宋体" w:hint="eastAsia"/>
            </w:rPr>
            <w:t>公司</w:t>
          </w:r>
          <w:r>
            <w:rPr>
              <w:rFonts w:ascii="宋体" w:hAnsi="宋体"/>
            </w:rPr>
            <w:t>日期为202</w:t>
          </w:r>
          <w:r>
            <w:rPr>
              <w:rFonts w:ascii="宋体" w:hAnsi="宋体" w:hint="eastAsia"/>
            </w:rPr>
            <w:t>6</w:t>
          </w:r>
          <w:r>
            <w:rPr>
              <w:rFonts w:ascii="宋体" w:hAnsi="宋体"/>
            </w:rPr>
            <w:t>年3月2</w:t>
          </w:r>
          <w:r>
            <w:rPr>
              <w:rFonts w:ascii="宋体" w:hAnsi="宋体" w:hint="eastAsia"/>
            </w:rPr>
            <w:t>7</w:t>
          </w:r>
          <w:r>
            <w:rPr>
              <w:rFonts w:ascii="宋体" w:hAnsi="宋体"/>
            </w:rPr>
            <w:t>日的公司第</w:t>
          </w:r>
          <w:r>
            <w:rPr>
              <w:rFonts w:ascii="宋体" w:hAnsi="宋体" w:hint="eastAsia"/>
            </w:rPr>
            <w:t>九</w:t>
          </w:r>
          <w:r>
            <w:rPr>
              <w:rFonts w:ascii="宋体" w:hAnsi="宋体"/>
            </w:rPr>
            <w:t>届董事会第二十</w:t>
          </w:r>
          <w:r>
            <w:rPr>
              <w:rFonts w:ascii="宋体" w:hAnsi="宋体" w:hint="eastAsia"/>
            </w:rPr>
            <w:t>二</w:t>
          </w:r>
          <w:r>
            <w:rPr>
              <w:rFonts w:ascii="宋体" w:hAnsi="宋体"/>
            </w:rPr>
            <w:t>次会议决议公告、</w:t>
          </w:r>
          <w:r>
            <w:rPr>
              <w:rFonts w:ascii="宋体" w:hAnsi="宋体" w:hint="eastAsia"/>
            </w:rPr>
            <w:t>关于鲁西矿业、新疆能化2023-2025年业绩承诺实现情况的</w:t>
          </w:r>
          <w:r>
            <w:rPr>
              <w:rFonts w:ascii="宋体" w:hAnsi="宋体"/>
            </w:rPr>
            <w:t>公告。该等资料载于上交所网站、香港联交所网站、公司网站及/或《中国证券报》《上海证券报》《证券时报》《证券日报》。</w:t>
          </w:r>
        </w:p>
      </w:sdtContent>
    </w:sdt>
    <w:p>
      <w:pPr>
        <w:pStyle w:val="Style51"/>
        <w:numPr>
          <w:ilvl w:val="0"/>
          <w:numId w:val="33"/>
        </w:numPr>
      </w:pPr>
      <w:bookmarkStart w:id="203" w:name="_Hlk89336052"/>
      <w:bookmarkEnd w:id="197"/>
      <w:bookmarkEnd w:id="201"/>
      <w:r>
        <w:rPr>
          <w:rFonts w:hint="eastAsia"/>
        </w:rPr>
        <w:lastRenderedPageBreak/>
        <w:t>报告期内控股股东及其他关联方非经营性占用资金情况</w:t>
      </w:r>
    </w:p>
    <w:sdt>
      <w:sdtPr>
        <w:alias w:val="是否适用：资金被占用情况及清欠进展情况[双击切换]"/>
        <w:tag w:val="_GBC_a94958949e0846929a78a71186526204"/>
        <w:id w:val="-187699109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bookmarkStart w:id="204" w:name="_Hlk74646365"/>
    </w:p>
    <w:p>
      <w:pPr>
        <w:pStyle w:val="Style51"/>
        <w:numPr>
          <w:ilvl w:val="0"/>
          <w:numId w:val="33"/>
        </w:numPr>
      </w:pPr>
      <w:bookmarkStart w:id="205" w:name="_Hlk89337011"/>
      <w:bookmarkEnd w:id="203"/>
      <w:bookmarkEnd w:id="204"/>
      <w:r>
        <w:rPr>
          <w:rFonts w:hint="eastAsia"/>
        </w:rPr>
        <w:t>违规担保情况</w:t>
      </w:r>
    </w:p>
    <w:sdt>
      <w:sdtPr>
        <w:alias w:val="是否适用：违规担保情况[双击切换]"/>
        <w:tag w:val="_GBC_b2d16e23c066427a800b40aaa053bc8e"/>
        <w:id w:val="-1578048411"/>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ectPr>
          <w:pgSz w:w="16838" w:h="11906" w:orient="landscape"/>
          <w:pgMar w:top="1797" w:right="1525" w:bottom="1276" w:left="1440" w:header="855" w:footer="992" w:gutter="0"/>
          <w:cols w:space="425"/>
          <w:docGrid w:linePitch="312"/>
        </w:sectPr>
      </w:pPr>
    </w:p>
    <w:p>
      <w:pPr>
        <w:pStyle w:val="Style49"/>
      </w:pPr>
    </w:p>
    <w:bookmarkEnd w:id="205"/>
    <w:p>
      <w:pPr>
        <w:pStyle w:val="Style51"/>
        <w:numPr>
          <w:ilvl w:val="0"/>
          <w:numId w:val="33"/>
        </w:numPr>
      </w:pPr>
      <w:r>
        <w:rPr>
          <w:rFonts w:hint="eastAsia"/>
        </w:rPr>
        <w:t>公司董事会对会计师事务所“非标准意见审计报告”的说明</w:t>
      </w:r>
    </w:p>
    <w:p>
      <w:pPr>
        <w:pStyle w:val="Style49"/>
      </w:pPr>
      <w:sdt>
        <w:sdtPr>
          <w:alias w:val="是否适用：董事会对会计师事务所非标准审计报告的说明[双击切换]"/>
          <w:tag w:val="_GBC_81f7a662b6a641d8aadb05b1cb176ecf"/>
          <w:id w:val="1401952699"/>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pPr>
        <w:pStyle w:val="Style49"/>
      </w:pPr>
    </w:p>
    <w:p>
      <w:pPr>
        <w:pStyle w:val="Style51"/>
        <w:numPr>
          <w:ilvl w:val="0"/>
          <w:numId w:val="33"/>
        </w:numPr>
      </w:pPr>
      <w:r>
        <w:rPr>
          <w:rFonts w:hint="eastAsia"/>
        </w:rPr>
        <w:t>公司对会计政策、会计估计变更或重大会计差错更正原因和影响的分析说明</w:t>
      </w:r>
    </w:p>
    <w:bookmarkStart w:id="206" w:name="_Hlk191559849" w:displacedByCustomXml="next"/>
    <w:sdt>
      <w:sdtPr>
        <w:tag w:val="_PLD_834cf8d61227452a9f43af3bb9507dde"/>
        <w:id w:val="1944489460"/>
      </w:sdtPr>
      <w:sdtContent>
        <w:p>
          <w:pPr>
            <w:pStyle w:val="Style52"/>
            <w:numPr>
              <w:ilvl w:val="0"/>
              <w:numId w:val="35"/>
            </w:numPr>
          </w:pPr>
          <w:r>
            <w:rPr>
              <w:rFonts w:hint="eastAsia"/>
            </w:rPr>
            <w:t>公司对会计政策、会计估计变更原因及影响的分析说明</w:t>
          </w:r>
        </w:p>
      </w:sdtContent>
    </w:sdt>
    <w:sdt>
      <w:sdtPr>
        <w:rPr>
          <w:rFonts w:hint="eastAsia"/>
        </w:rPr>
        <w:alias w:val="是否适用：公司对会计政策、会计估计更正的原因及影响[双击切换]"/>
        <w:tag w:val="_GBC_af0d7b808dd9452c873bbe81905062f6"/>
        <w:id w:val="529456488"/>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206"/>
    <w:p>
      <w:pPr>
        <w:pStyle w:val="Style49"/>
      </w:pPr>
    </w:p>
    <w:p>
      <w:pPr>
        <w:pStyle w:val="Style49"/>
      </w:pPr>
    </w:p>
    <w:bookmarkStart w:id="207" w:name="_Hlk191560035" w:displacedByCustomXml="next"/>
    <w:bookmarkStart w:id="208" w:name="_Hlk190433640" w:displacedByCustomXml="next"/>
    <w:sdt>
      <w:sdtPr>
        <w:tag w:val="_PLD_310d5df4f7924e5ca2b78d38d9d5bb26"/>
        <w:id w:val="1108314487"/>
      </w:sdtPr>
      <w:sdtContent>
        <w:p>
          <w:pPr>
            <w:pStyle w:val="Style52"/>
            <w:numPr>
              <w:ilvl w:val="0"/>
              <w:numId w:val="35"/>
            </w:numPr>
          </w:pPr>
          <w:r>
            <w:rPr>
              <w:rFonts w:hint="eastAsia"/>
            </w:rPr>
            <w:t>公司对重大会计差错更正原因及影响的分析说明</w:t>
          </w:r>
        </w:p>
      </w:sdtContent>
    </w:sdt>
    <w:sdt>
      <w:sdtPr>
        <w:rPr>
          <w:rFonts w:hint="eastAsia"/>
        </w:rPr>
        <w:alias w:val="是否适用：公司对重大会计差错更正的原因及影响[双击切换]"/>
        <w:tag w:val="_GBC_20433825c59a4e308939a2a08d3b64f5"/>
        <w:id w:val="-4352585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207"/>
    <w:p>
      <w:pPr>
        <w:pStyle w:val="Style49"/>
      </w:pPr>
    </w:p>
    <w:p>
      <w:pPr>
        <w:pStyle w:val="Style49"/>
      </w:pPr>
    </w:p>
    <w:bookmarkEnd w:id="208"/>
    <w:p>
      <w:pPr>
        <w:pStyle w:val="Style52"/>
        <w:numPr>
          <w:ilvl w:val="0"/>
          <w:numId w:val="35"/>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31588074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0"/>
          <w:numId w:val="35"/>
        </w:numPr>
      </w:pPr>
      <w:r>
        <w:rPr>
          <w:rFonts w:hint="eastAsia"/>
        </w:rPr>
        <w:t>审批程序及其他说明</w:t>
      </w:r>
    </w:p>
    <w:sdt>
      <w:sdtPr>
        <w:rPr>
          <w:rFonts w:hint="eastAsia"/>
        </w:rPr>
        <w:alias w:val="是否适用：审批程序及其他说明[双击切换]"/>
        <w:tag w:val="_GBC_f59e5141b9f74a2badb652a198d25993"/>
        <w:id w:val="-66208467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1"/>
        <w:numPr>
          <w:ilvl w:val="0"/>
          <w:numId w:val="33"/>
        </w:numPr>
      </w:pPr>
      <w:r>
        <w:rPr>
          <w:rFonts w:hint="eastAsia"/>
        </w:rPr>
        <w:t>聘任、解聘会计师事务所情况</w:t>
      </w:r>
    </w:p>
    <w:p>
      <w:pPr>
        <w:jc w:val="right"/>
      </w:pPr>
      <w:bookmarkStart w:id="209" w:name="_Hlk40535695"/>
      <w:r>
        <w:rPr>
          <w:rFonts w:hint="eastAsia"/>
        </w:rPr>
        <w:t>单位：</w:t>
      </w:r>
      <w:sdt>
        <w:sdtPr>
          <w:rPr>
            <w:rFonts w:hint="eastAsia"/>
          </w:rPr>
          <w:alias w:val="单位：聘任、解聘会计师事务所情况"/>
          <w:tag w:val="_GBC_26e166c9302c4cd6aef51526fb663693"/>
          <w:id w:val="-115575417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t xml:space="preserve"> </w:t>
      </w:r>
      <w:r>
        <w:rPr>
          <w:rFonts w:hint="eastAsia"/>
        </w:rPr>
        <w:t>币种：</w:t>
      </w:r>
      <w:sdt>
        <w:sdtPr>
          <w:rPr>
            <w:rFonts w:hint="eastAsia"/>
          </w:rPr>
          <w:alias w:val="币种：聘任、解聘会计师事务所情况"/>
          <w:tag w:val="_GBC_7dcaa3c6f2b646e695b35f062316b1bc"/>
          <w:id w:val="-106748796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4"/>
        <w:tblW w:w="0" w:type="auto"/>
        <w:tblLayout w:type="fixed"/>
        <w:tblLook w:val="04A0" w:firstRow="1" w:lastRow="0" w:firstColumn="1" w:lastColumn="0" w:noHBand="0" w:noVBand="1"/>
      </w:tblPr>
      <w:tblGrid>
        <w:gridCol w:w="4524"/>
        <w:gridCol w:w="4525"/>
      </w:tblGrid>
      <w:tr>
        <w:tc>
          <w:tcPr>
            <w:tcW w:w="4524" w:type="dxa"/>
            <w:vAlign w:val="center"/>
          </w:tcPr>
          <w:p/>
        </w:tc>
        <w:sdt>
          <w:sdtPr>
            <w:tag w:val="_PLD_364aa8d2f946450c8e3aa85ae050a07e"/>
            <w:id w:val="-1412851012"/>
          </w:sdtPr>
          <w:sdtContent>
            <w:tc>
              <w:tcPr>
                <w:tcW w:w="4525" w:type="dxa"/>
                <w:vAlign w:val="center"/>
              </w:tcPr>
              <w:p>
                <w:pPr>
                  <w:jc w:val="center"/>
                </w:pPr>
                <w:r>
                  <w:rPr>
                    <w:rFonts w:hint="eastAsia"/>
                  </w:rPr>
                  <w:t>现聘任</w:t>
                </w:r>
              </w:p>
            </w:tc>
          </w:sdtContent>
        </w:sdt>
      </w:tr>
      <w:tr>
        <w:sdt>
          <w:sdtPr>
            <w:rPr>
              <w:rFonts w:asciiTheme="minorEastAsia" w:eastAsiaTheme="minorEastAsia" w:hAnsiTheme="minorEastAsia"/>
              <w:sz w:val="20"/>
              <w:szCs w:val="20"/>
            </w:rPr>
            <w:tag w:val="_PLD_0acb50119840415b8495bc32adcd0b31"/>
            <w:id w:val="-2082363793"/>
          </w:sdtPr>
          <w:sdtContent>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A股会计师事务所名称</w:t>
                </w:r>
              </w:p>
            </w:tc>
          </w:sdtContent>
        </w:sdt>
        <w:tc>
          <w:tcPr>
            <w:tcW w:w="4525" w:type="dxa"/>
            <w:vAlign w:val="center"/>
          </w:tcPr>
          <w:p>
            <w:pPr>
              <w:rPr>
                <w:rFonts w:asciiTheme="minorEastAsia" w:eastAsiaTheme="minorEastAsia" w:hAnsiTheme="minorEastAsia"/>
              </w:rPr>
            </w:pPr>
            <w:r>
              <w:rPr>
                <w:rFonts w:asciiTheme="minorEastAsia" w:eastAsiaTheme="minorEastAsia" w:hAnsiTheme="minorEastAsia" w:hint="eastAsia"/>
              </w:rPr>
              <w:t>天职国际会计师事务所（特殊普通合伙）</w:t>
            </w:r>
          </w:p>
        </w:tc>
      </w:tr>
      <w:tr>
        <w:sdt>
          <w:sdtPr>
            <w:rPr>
              <w:rFonts w:asciiTheme="minorEastAsia" w:eastAsiaTheme="minorEastAsia" w:hAnsiTheme="minorEastAsia"/>
              <w:sz w:val="20"/>
              <w:szCs w:val="20"/>
            </w:rPr>
            <w:tag w:val="_PLD_499884016c404b70b56b51dca806a7f6"/>
            <w:id w:val="1121660229"/>
          </w:sdtPr>
          <w:sdtContent>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A股会计师事务所报酬</w:t>
                </w:r>
              </w:p>
            </w:tc>
          </w:sdtContent>
        </w:sdt>
        <w:tc>
          <w:tcPr>
            <w:tcW w:w="4525" w:type="dxa"/>
            <w:vAlign w:val="center"/>
          </w:tcPr>
          <w:p>
            <w:pPr>
              <w:rPr>
                <w:rFonts w:asciiTheme="minorEastAsia" w:eastAsiaTheme="minorEastAsia" w:hAnsiTheme="minorEastAsia"/>
              </w:rPr>
            </w:pPr>
            <w:r>
              <w:rPr>
                <w:rFonts w:asciiTheme="minorEastAsia" w:eastAsiaTheme="minorEastAsia" w:hAnsiTheme="minorEastAsia" w:hint="eastAsia"/>
              </w:rPr>
              <w:t>980（含内控报酬）</w:t>
            </w:r>
          </w:p>
        </w:tc>
      </w:tr>
      <w:tr>
        <w:sdt>
          <w:sdtPr>
            <w:rPr>
              <w:rFonts w:asciiTheme="minorEastAsia" w:eastAsiaTheme="minorEastAsia" w:hAnsiTheme="minorEastAsia"/>
              <w:sz w:val="20"/>
              <w:szCs w:val="20"/>
            </w:rPr>
            <w:tag w:val="_PLD_b34d0f60a14d41b3a048248da4532c21"/>
            <w:id w:val="-131098472"/>
          </w:sdtPr>
          <w:sdtContent>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A股会计师事务所审计年限</w:t>
                </w:r>
              </w:p>
            </w:tc>
          </w:sdtContent>
        </w:sdt>
        <w:tc>
          <w:tcPr>
            <w:tcW w:w="4525" w:type="dxa"/>
            <w:vAlign w:val="center"/>
          </w:tcPr>
          <w:p>
            <w:pPr>
              <w:rPr>
                <w:rFonts w:asciiTheme="minorEastAsia" w:eastAsiaTheme="minorEastAsia" w:hAnsiTheme="minorEastAsia"/>
              </w:rPr>
            </w:pPr>
            <w:r>
              <w:rPr>
                <w:rFonts w:asciiTheme="minorEastAsia" w:eastAsiaTheme="minorEastAsia" w:hAnsiTheme="minorEastAsia" w:hint="eastAsia"/>
              </w:rPr>
              <w:t>2024年6月至今</w:t>
            </w:r>
          </w:p>
        </w:tc>
      </w:tr>
      <w:tr>
        <w:sdt>
          <w:sdtPr>
            <w:rPr>
              <w:rFonts w:asciiTheme="minorEastAsia" w:eastAsiaTheme="minorEastAsia" w:hAnsiTheme="minorEastAsia"/>
              <w:sz w:val="20"/>
              <w:szCs w:val="20"/>
            </w:rPr>
            <w:tag w:val="_PLD_2f82b4c8a5a644498a3848a33f31b234"/>
            <w:id w:val="1912725953"/>
          </w:sdtPr>
          <w:sdtContent>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A股会计师事务所注册会计师姓名</w:t>
                </w:r>
              </w:p>
            </w:tc>
          </w:sdtContent>
        </w:sdt>
        <w:tc>
          <w:tcPr>
            <w:tcW w:w="4525" w:type="dxa"/>
            <w:vAlign w:val="center"/>
          </w:tcPr>
          <w:p>
            <w:pPr>
              <w:rPr>
                <w:rFonts w:asciiTheme="minorEastAsia" w:eastAsiaTheme="minorEastAsia" w:hAnsiTheme="minorEastAsia"/>
              </w:rPr>
            </w:pPr>
            <w:r>
              <w:rPr>
                <w:rFonts w:asciiTheme="minorEastAsia" w:eastAsiaTheme="minorEastAsia" w:hAnsiTheme="minorEastAsia" w:hint="eastAsia"/>
              </w:rPr>
              <w:t>付志成、周春阳、王明坤</w:t>
            </w:r>
          </w:p>
        </w:tc>
      </w:tr>
      <w:tr>
        <w:sdt>
          <w:sdtPr>
            <w:rPr>
              <w:rFonts w:asciiTheme="minorEastAsia" w:eastAsiaTheme="minorEastAsia" w:hAnsiTheme="minorEastAsia"/>
              <w:sz w:val="20"/>
              <w:szCs w:val="20"/>
            </w:rPr>
            <w:tag w:val="_PLD_8a2e926cd3464922a314a623dfc4f777"/>
            <w:id w:val="518671372"/>
          </w:sdtPr>
          <w:sdtContent>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A股会计师事务所注册会计师审计服务的累计年限</w:t>
                </w:r>
              </w:p>
            </w:tc>
          </w:sdtContent>
        </w:sdt>
        <w:tc>
          <w:tcPr>
            <w:tcW w:w="4525" w:type="dxa"/>
            <w:vAlign w:val="center"/>
          </w:tcPr>
          <w:p>
            <w:pPr>
              <w:rPr>
                <w:rFonts w:asciiTheme="minorEastAsia" w:eastAsiaTheme="minorEastAsia" w:hAnsiTheme="minorEastAsia"/>
              </w:rPr>
            </w:pPr>
            <w:r>
              <w:rPr>
                <w:rFonts w:asciiTheme="minorEastAsia" w:eastAsiaTheme="minorEastAsia" w:hAnsiTheme="minorEastAsia" w:hint="eastAsia"/>
              </w:rPr>
              <w:t>2年、2年、1年</w:t>
            </w:r>
          </w:p>
        </w:tc>
      </w:tr>
      <w:tr>
        <w:sdt>
          <w:sdtPr>
            <w:rPr>
              <w:rFonts w:asciiTheme="minorEastAsia" w:eastAsiaTheme="minorEastAsia" w:hAnsiTheme="minorEastAsia"/>
              <w:sz w:val="20"/>
              <w:szCs w:val="20"/>
            </w:rPr>
            <w:tag w:val="_PLD_144ac3eec20d4ce7b9a462c014e3d24f"/>
            <w:id w:val="-1296139057"/>
          </w:sdtPr>
          <w:sdtContent>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H股会计师事务所名称</w:t>
                </w:r>
              </w:p>
            </w:tc>
          </w:sdtContent>
        </w:sdt>
        <w:tc>
          <w:tcPr>
            <w:tcW w:w="4525" w:type="dxa"/>
            <w:vAlign w:val="center"/>
          </w:tcPr>
          <w:p>
            <w:pPr>
              <w:rPr>
                <w:rFonts w:asciiTheme="minorEastAsia" w:eastAsiaTheme="minorEastAsia" w:hAnsiTheme="minorEastAsia"/>
              </w:rPr>
            </w:pPr>
            <w:r>
              <w:rPr>
                <w:rFonts w:asciiTheme="minorEastAsia" w:eastAsiaTheme="minorEastAsia" w:hAnsiTheme="minorEastAsia" w:hint="eastAsia"/>
              </w:rPr>
              <w:t>天职香港会计师事务所有限公司</w:t>
            </w:r>
          </w:p>
        </w:tc>
      </w:tr>
      <w:tr>
        <w:sdt>
          <w:sdtPr>
            <w:rPr>
              <w:rFonts w:asciiTheme="minorEastAsia" w:eastAsiaTheme="minorEastAsia" w:hAnsiTheme="minorEastAsia"/>
              <w:sz w:val="20"/>
              <w:szCs w:val="20"/>
            </w:rPr>
            <w:tag w:val="_PLD_e924bac3159d4264bee9a102dddeefe7"/>
            <w:id w:val="1841493463"/>
          </w:sdtPr>
          <w:sdtContent>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H股会计师事务所报酬</w:t>
                </w:r>
              </w:p>
            </w:tc>
          </w:sdtContent>
        </w:sdt>
        <w:tc>
          <w:tcPr>
            <w:tcW w:w="4525" w:type="dxa"/>
            <w:vAlign w:val="center"/>
          </w:tcPr>
          <w:p>
            <w:pPr>
              <w:rPr>
                <w:rFonts w:asciiTheme="minorEastAsia" w:eastAsiaTheme="minorEastAsia" w:hAnsiTheme="minorEastAsia"/>
              </w:rPr>
            </w:pPr>
            <w:r>
              <w:rPr>
                <w:rFonts w:asciiTheme="minorEastAsia" w:eastAsiaTheme="minorEastAsia" w:hAnsiTheme="minorEastAsia"/>
              </w:rPr>
              <w:t>-</w:t>
            </w:r>
          </w:p>
        </w:tc>
      </w:tr>
      <w:tr>
        <w:sdt>
          <w:sdtPr>
            <w:rPr>
              <w:rFonts w:asciiTheme="minorEastAsia" w:eastAsiaTheme="minorEastAsia" w:hAnsiTheme="minorEastAsia"/>
              <w:sz w:val="20"/>
              <w:szCs w:val="20"/>
            </w:rPr>
            <w:tag w:val="_PLD_13f1cb8731d248c1a1d1c6bed454550c"/>
            <w:id w:val="-1695454006"/>
          </w:sdtPr>
          <w:sdtContent>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H股会计师事务所审计年限</w:t>
                </w:r>
              </w:p>
            </w:tc>
          </w:sdtContent>
        </w:sdt>
        <w:tc>
          <w:tcPr>
            <w:tcW w:w="4525" w:type="dxa"/>
            <w:vAlign w:val="center"/>
          </w:tcPr>
          <w:p>
            <w:pPr>
              <w:rPr>
                <w:rFonts w:asciiTheme="minorEastAsia" w:eastAsiaTheme="minorEastAsia" w:hAnsiTheme="minorEastAsia"/>
              </w:rPr>
            </w:pPr>
            <w:r>
              <w:rPr>
                <w:rFonts w:asciiTheme="minorEastAsia" w:eastAsiaTheme="minorEastAsia" w:hAnsiTheme="minorEastAsia" w:hint="eastAsia"/>
              </w:rPr>
              <w:t>2024年6月至今</w:t>
            </w:r>
          </w:p>
        </w:tc>
      </w:tr>
    </w:tbl>
    <w:p>
      <w:pPr>
        <w:rPr>
          <w:rFonts w:asciiTheme="minorEastAsia" w:eastAsiaTheme="minorEastAsia" w:hAnsiTheme="minorEastAsia"/>
        </w:rPr>
      </w:pPr>
    </w:p>
    <w:tbl>
      <w:tblPr>
        <w:tblStyle w:val="aff4"/>
        <w:tblW w:w="9049" w:type="dxa"/>
        <w:tblLayout w:type="fixed"/>
        <w:tblLook w:val="04A0" w:firstRow="1" w:lastRow="0" w:firstColumn="1" w:lastColumn="0" w:noHBand="0" w:noVBand="1"/>
      </w:tblPr>
      <w:tblGrid>
        <w:gridCol w:w="3016"/>
        <w:gridCol w:w="3016"/>
        <w:gridCol w:w="3017"/>
      </w:tblGrid>
      <w:tr>
        <w:tc>
          <w:tcPr>
            <w:tcW w:w="3016" w:type="dxa"/>
            <w:vAlign w:val="center"/>
          </w:tcPr>
          <w:p>
            <w:pPr>
              <w:rPr>
                <w:rFonts w:asciiTheme="minorEastAsia" w:eastAsiaTheme="minorEastAsia" w:hAnsiTheme="minorEastAsia"/>
              </w:rPr>
            </w:pPr>
          </w:p>
        </w:tc>
        <w:sdt>
          <w:sdtPr>
            <w:rPr>
              <w:rFonts w:asciiTheme="minorEastAsia" w:eastAsiaTheme="minorEastAsia" w:hAnsiTheme="minorEastAsia"/>
              <w:sz w:val="20"/>
              <w:szCs w:val="20"/>
            </w:rPr>
            <w:tag w:val="_PLD_c9ec27d8a8454f91bb769203a75df4b3"/>
            <w:id w:val="-591545882"/>
          </w:sdtPr>
          <w:sdtContent>
            <w:tc>
              <w:tcPr>
                <w:tcW w:w="3016" w:type="dxa"/>
                <w:vAlign w:val="center"/>
              </w:tcPr>
              <w:p>
                <w:pPr>
                  <w:jc w:val="center"/>
                  <w:rPr>
                    <w:rFonts w:asciiTheme="minorEastAsia" w:eastAsiaTheme="minorEastAsia" w:hAnsiTheme="minorEastAsia"/>
                  </w:rPr>
                </w:pPr>
                <w:r>
                  <w:rPr>
                    <w:rFonts w:asciiTheme="minorEastAsia" w:eastAsiaTheme="minorEastAsia" w:hAnsiTheme="minorEastAsia" w:hint="eastAsia"/>
                  </w:rPr>
                  <w:t>名称</w:t>
                </w:r>
              </w:p>
            </w:tc>
          </w:sdtContent>
        </w:sdt>
        <w:sdt>
          <w:sdtPr>
            <w:rPr>
              <w:rFonts w:asciiTheme="minorEastAsia" w:eastAsiaTheme="minorEastAsia" w:hAnsiTheme="minorEastAsia"/>
              <w:sz w:val="20"/>
              <w:szCs w:val="20"/>
            </w:rPr>
            <w:tag w:val="_PLD_ae4e80c7f64046dcb42116bfa53b53af"/>
            <w:id w:val="503792157"/>
          </w:sdtPr>
          <w:sdtContent>
            <w:tc>
              <w:tcPr>
                <w:tcW w:w="3017" w:type="dxa"/>
                <w:vAlign w:val="center"/>
              </w:tcPr>
              <w:p>
                <w:pPr>
                  <w:jc w:val="center"/>
                  <w:rPr>
                    <w:rFonts w:asciiTheme="minorEastAsia" w:eastAsiaTheme="minorEastAsia" w:hAnsiTheme="minorEastAsia"/>
                  </w:rPr>
                </w:pPr>
                <w:r>
                  <w:rPr>
                    <w:rFonts w:asciiTheme="minorEastAsia" w:eastAsiaTheme="minorEastAsia" w:hAnsiTheme="minorEastAsia" w:hint="eastAsia"/>
                  </w:rPr>
                  <w:t>报酬</w:t>
                </w:r>
              </w:p>
            </w:tc>
          </w:sdtContent>
        </w:sdt>
      </w:tr>
      <w:tr>
        <w:sdt>
          <w:sdtPr>
            <w:rPr>
              <w:rFonts w:asciiTheme="minorEastAsia" w:eastAsiaTheme="minorEastAsia" w:hAnsiTheme="minorEastAsia"/>
              <w:sz w:val="20"/>
              <w:szCs w:val="20"/>
            </w:rPr>
            <w:tag w:val="_PLD_7b9b36bf86614c808ea65de10637144b"/>
            <w:id w:val="-1245173869"/>
          </w:sdtPr>
          <w:sdtContent>
            <w:tc>
              <w:tcPr>
                <w:tcW w:w="3016" w:type="dxa"/>
                <w:vAlign w:val="center"/>
              </w:tcPr>
              <w:p>
                <w:pPr>
                  <w:rPr>
                    <w:rFonts w:asciiTheme="minorEastAsia" w:eastAsiaTheme="minorEastAsia" w:hAnsiTheme="minorEastAsia"/>
                  </w:rPr>
                </w:pPr>
                <w:r>
                  <w:rPr>
                    <w:rFonts w:asciiTheme="minorEastAsia" w:eastAsiaTheme="minorEastAsia" w:hAnsiTheme="minorEastAsia" w:hint="eastAsia"/>
                  </w:rPr>
                  <w:t>内部控制审计会计师事务所</w:t>
                </w:r>
              </w:p>
            </w:tc>
          </w:sdtContent>
        </w:sdt>
        <w:tc>
          <w:tcPr>
            <w:tcW w:w="3016" w:type="dxa"/>
            <w:vAlign w:val="center"/>
          </w:tcPr>
          <w:p>
            <w:pPr>
              <w:rPr>
                <w:rFonts w:asciiTheme="minorEastAsia" w:eastAsiaTheme="minorEastAsia" w:hAnsiTheme="minorEastAsia"/>
              </w:rPr>
            </w:pPr>
            <w:r>
              <w:rPr>
                <w:rFonts w:asciiTheme="minorEastAsia" w:eastAsiaTheme="minorEastAsia" w:hAnsiTheme="minorEastAsia"/>
              </w:rPr>
              <w:t>天职国际会计师事务所（特</w:t>
            </w:r>
          </w:p>
          <w:p>
            <w:pPr>
              <w:rPr>
                <w:rFonts w:asciiTheme="minorEastAsia" w:eastAsiaTheme="minorEastAsia" w:hAnsiTheme="minorEastAsia"/>
              </w:rPr>
            </w:pPr>
            <w:r>
              <w:rPr>
                <w:rFonts w:asciiTheme="minorEastAsia" w:eastAsiaTheme="minorEastAsia" w:hAnsiTheme="minorEastAsia"/>
              </w:rPr>
              <w:t>殊普通合伙）</w:t>
            </w:r>
          </w:p>
        </w:tc>
        <w:tc>
          <w:tcPr>
            <w:tcW w:w="3017" w:type="dxa"/>
            <w:vAlign w:val="center"/>
          </w:tcPr>
          <w:p>
            <w:pPr>
              <w:jc w:val="right"/>
              <w:rPr>
                <w:rFonts w:asciiTheme="minorEastAsia" w:eastAsiaTheme="minorEastAsia" w:hAnsiTheme="minorEastAsia"/>
              </w:rPr>
            </w:pPr>
            <w:r>
              <w:rPr>
                <w:rFonts w:asciiTheme="minorEastAsia" w:eastAsiaTheme="minorEastAsia" w:hAnsiTheme="minorEastAsia" w:hint="eastAsia"/>
              </w:rPr>
              <w:t>240</w:t>
            </w:r>
          </w:p>
        </w:tc>
      </w:tr>
    </w:tbl>
    <w:p>
      <w:pPr>
        <w:pStyle w:val="Style93"/>
      </w:pPr>
    </w:p>
    <w:p>
      <w:pPr>
        <w:pStyle w:val="Style49"/>
      </w:pPr>
    </w:p>
    <w:bookmarkEnd w:id="209"/>
    <w:p>
      <w:pPr>
        <w:pStyle w:val="Style49"/>
      </w:pPr>
      <w:r>
        <w:t>聘任、解聘会计师事务所的情况说明</w:t>
      </w:r>
    </w:p>
    <w:sdt>
      <w:sdtPr>
        <w:alias w:val="是否适用：聘任、解聘会计师事务所情况[双击切换]"/>
        <w:tag w:val="_GBC_376f0811302240c0a118add2061458b6"/>
        <w:id w:val="2002081458"/>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聘任、解聘会计师事务所情况说明"/>
        <w:tag w:val="_GBC_efccae536add449ea09208e1185e3711"/>
        <w:id w:val="1203365716"/>
        <w:placeholder>
          <w:docPart w:val="18E26748E5434BB1898EB1E09BA332B8"/>
        </w:placeholder>
      </w:sdtPr>
      <w:sdtEndPr>
        <w:rPr>
          <w:rFonts w:ascii="宋体" w:hAnsi="宋体"/>
        </w:rPr>
      </w:sdtEndPr>
      <w:sdtContent>
        <w:p>
          <w:pPr>
            <w:ind w:firstLineChars="200" w:firstLine="420"/>
            <w:rPr>
              <w:rFonts w:ascii="宋体" w:hAnsi="宋体"/>
            </w:rPr>
          </w:pPr>
          <w:r>
            <w:rPr>
              <w:rFonts w:ascii="宋体" w:hAnsi="宋体"/>
            </w:rPr>
            <w:t>经202</w:t>
          </w:r>
          <w:r>
            <w:rPr>
              <w:rFonts w:ascii="宋体" w:hAnsi="宋体" w:hint="eastAsia"/>
            </w:rPr>
            <w:t>5</w:t>
          </w:r>
          <w:r>
            <w:rPr>
              <w:rFonts w:ascii="宋体" w:hAnsi="宋体"/>
            </w:rPr>
            <w:t>年</w:t>
          </w:r>
          <w:r>
            <w:rPr>
              <w:rFonts w:ascii="宋体" w:hAnsi="宋体" w:hint="eastAsia"/>
            </w:rPr>
            <w:t>5</w:t>
          </w:r>
          <w:r>
            <w:rPr>
              <w:rFonts w:ascii="宋体" w:hAnsi="宋体"/>
            </w:rPr>
            <w:t>月30日召开的202</w:t>
          </w:r>
          <w:r>
            <w:rPr>
              <w:rFonts w:ascii="宋体" w:hAnsi="宋体" w:hint="eastAsia"/>
            </w:rPr>
            <w:t>4</w:t>
          </w:r>
          <w:r>
            <w:rPr>
              <w:rFonts w:ascii="宋体" w:hAnsi="宋体"/>
            </w:rPr>
            <w:t>年度股东周年大会审议批准，</w:t>
          </w:r>
          <w:r>
            <w:rPr>
              <w:rFonts w:ascii="宋体" w:hAnsi="宋体" w:hint="eastAsia"/>
            </w:rPr>
            <w:t>续聘天职国际会计师事务所（特殊普通合伙）</w:t>
          </w:r>
          <w:r>
            <w:rPr>
              <w:rFonts w:ascii="宋体" w:hAnsi="宋体"/>
            </w:rPr>
            <w:t>、</w:t>
          </w:r>
          <w:r>
            <w:rPr>
              <w:rFonts w:ascii="宋体" w:hAnsi="宋体" w:hint="eastAsia"/>
            </w:rPr>
            <w:t>天职香港会计师事务所有限公司</w:t>
          </w:r>
          <w:r>
            <w:rPr>
              <w:rFonts w:ascii="宋体" w:hAnsi="宋体"/>
            </w:rPr>
            <w:t>分别为公司202</w:t>
          </w:r>
          <w:r>
            <w:rPr>
              <w:rFonts w:ascii="宋体" w:hAnsi="宋体" w:hint="eastAsia"/>
            </w:rPr>
            <w:t>5</w:t>
          </w:r>
          <w:r>
            <w:rPr>
              <w:rFonts w:ascii="宋体" w:hAnsi="宋体"/>
            </w:rPr>
            <w:t>年度A股、H股会计师，负责公司财务报表审计、审核及内部控制审计评估，任期自202</w:t>
          </w:r>
          <w:r>
            <w:rPr>
              <w:rFonts w:ascii="宋体" w:hAnsi="宋体" w:hint="eastAsia"/>
            </w:rPr>
            <w:t>4</w:t>
          </w:r>
          <w:r>
            <w:rPr>
              <w:rFonts w:ascii="宋体" w:hAnsi="宋体"/>
            </w:rPr>
            <w:t>年度股东周年大会结束之日起至</w:t>
          </w:r>
          <w:r>
            <w:rPr>
              <w:rFonts w:ascii="宋体" w:hAnsi="宋体" w:hint="eastAsia"/>
            </w:rPr>
            <w:t>下次年度股东</w:t>
          </w:r>
          <w:r>
            <w:rPr>
              <w:rFonts w:ascii="宋体" w:hAnsi="宋体"/>
            </w:rPr>
            <w:t>会结束之日止。</w:t>
          </w:r>
        </w:p>
        <w:p>
          <w:pPr>
            <w:ind w:firstLineChars="200" w:firstLine="420"/>
            <w:jc w:val="both"/>
            <w:rPr>
              <w:rFonts w:ascii="宋体" w:hAnsi="宋体"/>
            </w:rPr>
          </w:pPr>
          <w:r>
            <w:rPr>
              <w:rFonts w:ascii="宋体" w:hAnsi="宋体"/>
            </w:rPr>
            <w:t>公司202</w:t>
          </w:r>
          <w:r>
            <w:rPr>
              <w:rFonts w:ascii="宋体" w:hAnsi="宋体" w:hint="eastAsia"/>
            </w:rPr>
            <w:t>5</w:t>
          </w:r>
          <w:r>
            <w:rPr>
              <w:rFonts w:ascii="宋体" w:hAnsi="宋体"/>
            </w:rPr>
            <w:t>年度应支付境内外业务的审计服务费用为</w:t>
          </w:r>
          <w:r>
            <w:rPr>
              <w:rFonts w:ascii="宋体" w:hAnsi="宋体" w:hint="eastAsia"/>
            </w:rPr>
            <w:t>980</w:t>
          </w:r>
          <w:r>
            <w:rPr>
              <w:rFonts w:ascii="宋体" w:hAnsi="宋体"/>
            </w:rPr>
            <w:t>万元（因公司202</w:t>
          </w:r>
          <w:r>
            <w:rPr>
              <w:rFonts w:ascii="宋体" w:hAnsi="宋体" w:hint="eastAsia"/>
            </w:rPr>
            <w:t>5</w:t>
          </w:r>
          <w:r>
            <w:rPr>
              <w:rFonts w:ascii="宋体" w:hAnsi="宋体"/>
            </w:rPr>
            <w:t>年度审计范围发生变化，增加审计服务费用</w:t>
          </w:r>
          <w:r>
            <w:rPr>
              <w:rFonts w:ascii="宋体" w:hAnsi="宋体" w:hint="eastAsia"/>
            </w:rPr>
            <w:t>140</w:t>
          </w:r>
          <w:r>
            <w:rPr>
              <w:rFonts w:ascii="宋体" w:hAnsi="宋体"/>
            </w:rPr>
            <w:t>万元），公司承担会计师在公司</w:t>
          </w:r>
          <w:r>
            <w:rPr>
              <w:rFonts w:ascii="宋体" w:hAnsi="宋体" w:hint="eastAsia"/>
            </w:rPr>
            <w:t>现场审计</w:t>
          </w:r>
          <w:r>
            <w:rPr>
              <w:rFonts w:ascii="宋体" w:hAnsi="宋体"/>
            </w:rPr>
            <w:t>期间的食宿费用，不承</w:t>
          </w:r>
          <w:r>
            <w:rPr>
              <w:rFonts w:ascii="宋体" w:hAnsi="宋体"/>
            </w:rPr>
            <w:lastRenderedPageBreak/>
            <w:t>担差旅费及其他费用。授权公司董事会决定并支付由于公司新增子公司或监管规定发生变化，导致增加后续审计、内部控制</w:t>
          </w:r>
          <w:r>
            <w:rPr>
              <w:rFonts w:ascii="宋体" w:hAnsi="宋体" w:hint="eastAsia"/>
            </w:rPr>
            <w:t>审核</w:t>
          </w:r>
          <w:r>
            <w:rPr>
              <w:rFonts w:ascii="宋体" w:hAnsi="宋体"/>
            </w:rPr>
            <w:t>等其他服务费用。</w:t>
          </w:r>
        </w:p>
        <w:p>
          <w:pPr>
            <w:ind w:firstLineChars="200" w:firstLine="420"/>
            <w:jc w:val="both"/>
            <w:rPr>
              <w:rFonts w:ascii="宋体" w:hAnsi="宋体"/>
            </w:rPr>
          </w:pPr>
          <w:r>
            <w:rPr>
              <w:rFonts w:ascii="宋体" w:hAnsi="宋体"/>
            </w:rPr>
            <w:t>公司董事会认为除常年业务的审计服务费用外，本公司支付给会计师的其他服务费用不会影响会计师的审计独立性意见。</w:t>
          </w:r>
        </w:p>
        <w:p>
          <w:pPr>
            <w:ind w:firstLineChars="200" w:firstLine="420"/>
            <w:jc w:val="both"/>
            <w:rPr>
              <w:rFonts w:ascii="宋体" w:hAnsi="宋体"/>
            </w:rPr>
          </w:pPr>
          <w:r>
            <w:rPr>
              <w:rFonts w:ascii="宋体" w:hAnsi="宋体" w:hint="eastAsia"/>
            </w:rPr>
            <w:t>经2024年6月21日召开的公司2023年度股东周年大会审议批准，聘任天职国际会计师事务所（特殊普通合伙）、天职香港会计师事务所有限公司分别为公司2024年度A股、H股会计师。于2024年6月，信永中和会计师事务所（特殊普通合伙）、信永中和（香港）会计师事务所有限公司不再担任公司A股、H股会计师。</w:t>
          </w:r>
        </w:p>
        <w:p>
          <w:pPr>
            <w:ind w:firstLineChars="200" w:firstLine="420"/>
            <w:jc w:val="both"/>
            <w:rPr>
              <w:rFonts w:ascii="宋体" w:hAnsi="宋体"/>
            </w:rPr>
          </w:pPr>
          <w:r>
            <w:rPr>
              <w:rFonts w:ascii="宋体" w:hAnsi="宋体" w:hint="eastAsia"/>
            </w:rPr>
            <w:t>除以上披露以外，本公司并无在过去三年内更换会计师事务所。</w:t>
          </w:r>
        </w:p>
        <w:p>
          <w:pPr>
            <w:ind w:firstLineChars="200" w:firstLine="420"/>
            <w:jc w:val="both"/>
            <w:rPr>
              <w:rFonts w:ascii="宋体" w:hAnsi="宋体"/>
            </w:rPr>
          </w:pPr>
          <w:r>
            <w:rPr>
              <w:rFonts w:ascii="宋体" w:hAnsi="宋体"/>
            </w:rPr>
            <w:t>根据香港法例第588章《财务汇报局条例》（</w:t>
          </w:r>
          <w:r>
            <w:rPr>
              <w:rFonts w:ascii="宋体" w:hAnsi="宋体" w:hint="eastAsia"/>
            </w:rPr>
            <w:t>经不时修订</w:t>
          </w:r>
          <w:r>
            <w:rPr>
              <w:rFonts w:ascii="宋体" w:hAnsi="宋体"/>
            </w:rPr>
            <w:t>、</w:t>
          </w:r>
          <w:r>
            <w:rPr>
              <w:rFonts w:ascii="宋体" w:hAnsi="宋体" w:hint="eastAsia"/>
            </w:rPr>
            <w:t>补充或以其他方式修改</w:t>
          </w:r>
          <w:r>
            <w:rPr>
              <w:rFonts w:ascii="宋体" w:hAnsi="宋体"/>
            </w:rPr>
            <w:t>），公司202</w:t>
          </w:r>
          <w:r>
            <w:rPr>
              <w:rFonts w:ascii="宋体" w:hAnsi="宋体" w:hint="eastAsia"/>
            </w:rPr>
            <w:t>5</w:t>
          </w:r>
          <w:r>
            <w:rPr>
              <w:rFonts w:ascii="宋体" w:hAnsi="宋体"/>
            </w:rPr>
            <w:t>年度会计师</w:t>
          </w:r>
          <w:r>
            <w:rPr>
              <w:rFonts w:ascii="宋体" w:hAnsi="宋体" w:hint="eastAsia"/>
            </w:rPr>
            <w:t>天职香港会计师事务所有限公司</w:t>
          </w:r>
          <w:r>
            <w:rPr>
              <w:rFonts w:ascii="宋体" w:hAnsi="宋体"/>
            </w:rPr>
            <w:t>为获注册的公众利益实体核数师。</w:t>
          </w:r>
        </w:p>
      </w:sdtContent>
    </w:sdt>
    <w:p>
      <w:pPr>
        <w:pStyle w:val="Style49"/>
      </w:pPr>
    </w:p>
    <w:p>
      <w:pPr>
        <w:pStyle w:val="Style49"/>
      </w:pPr>
      <w:r>
        <w:t>审计期间改聘会计师事务所的情况说明</w:t>
      </w:r>
    </w:p>
    <w:sdt>
      <w:sdtPr>
        <w:rPr>
          <w:rFonts w:hint="eastAsia"/>
        </w:rPr>
        <w:alias w:val="是否适用：审计期间改聘会计师事务所的情况说明[双击切换]"/>
        <w:tag w:val="_GBC_34c57619e2904c83a8840614e4e5d5d0"/>
        <w:id w:val="-2456333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49"/>
      </w:pPr>
      <w:r>
        <w:rPr>
          <w:rFonts w:hint="eastAsia"/>
        </w:rPr>
        <w:t>审计费用较上一年度下降</w:t>
      </w:r>
      <w:r>
        <w:rPr>
          <w:rFonts w:hint="eastAsia"/>
        </w:rPr>
        <w:t>20%</w:t>
      </w:r>
      <w:r>
        <w:rPr>
          <w:rFonts w:hint="eastAsia"/>
        </w:rPr>
        <w:t>以上（含</w:t>
      </w:r>
      <w:r>
        <w:rPr>
          <w:rFonts w:hint="eastAsia"/>
        </w:rPr>
        <w:t>20%</w:t>
      </w:r>
      <w:r>
        <w:rPr>
          <w:rFonts w:hint="eastAsia"/>
        </w:rPr>
        <w:t>）的情况说明</w:t>
      </w:r>
    </w:p>
    <w:sdt>
      <w:sdtPr>
        <w:rPr>
          <w:rFonts w:hint="eastAsia"/>
        </w:rPr>
        <w:alias w:val="是否适用：审计费用较上一年度下降20%以上（含20%）的情况说明[双击切换]"/>
        <w:tag w:val="_GBC_1b0fa24aa1d645e2aa2ab2a0fe7c67ab"/>
        <w:id w:val="205664757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1"/>
        <w:numPr>
          <w:ilvl w:val="0"/>
          <w:numId w:val="33"/>
        </w:numPr>
      </w:pPr>
      <w:r>
        <w:rPr>
          <w:rFonts w:hint="eastAsia"/>
        </w:rPr>
        <w:t>面临退市风险的情况</w:t>
      </w:r>
    </w:p>
    <w:p>
      <w:pPr>
        <w:pStyle w:val="Style52"/>
        <w:numPr>
          <w:ilvl w:val="0"/>
          <w:numId w:val="36"/>
        </w:numPr>
        <w:jc w:val="left"/>
      </w:pPr>
      <w:r>
        <w:rPr>
          <w:rFonts w:hint="eastAsia"/>
        </w:rPr>
        <w:t>导</w:t>
      </w:r>
      <w:r>
        <w:rPr>
          <w:szCs w:val="21"/>
        </w:rPr>
        <w:t>致</w:t>
      </w:r>
      <w:r>
        <w:rPr>
          <w:rFonts w:hint="eastAsia"/>
          <w:szCs w:val="21"/>
        </w:rPr>
        <w:t>退市风险警示</w:t>
      </w:r>
      <w:r>
        <w:rPr>
          <w:szCs w:val="21"/>
        </w:rPr>
        <w:t>的原因</w:t>
      </w:r>
    </w:p>
    <w:sdt>
      <w:sdtPr>
        <w:rPr>
          <w:rFonts w:hint="eastAsia"/>
        </w:rPr>
        <w:alias w:val="是否适用：导致暂停上市的原因[双击切换]"/>
        <w:tag w:val="_GBC_5be6e6fabf4849c7b63c5d08ac7706e1"/>
        <w:id w:val="-203341282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0"/>
          <w:numId w:val="36"/>
        </w:numPr>
        <w:jc w:val="left"/>
      </w:pPr>
      <w:r>
        <w:rPr>
          <w:rFonts w:hint="eastAsia"/>
        </w:rPr>
        <w:t>公司拟采取的应对措施</w:t>
      </w:r>
    </w:p>
    <w:sdt>
      <w:sdtPr>
        <w:alias w:val="是否适用：公司拟采取的措施[双击切换]"/>
        <w:tag w:val="_GBC_8656f473b4d943fe8fa1477037f607c5"/>
        <w:id w:val="-167048163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0"/>
          <w:numId w:val="36"/>
        </w:numPr>
        <w:jc w:val="left"/>
      </w:pPr>
      <w:bookmarkStart w:id="210" w:name="_Hlk89346186"/>
      <w:r>
        <w:rPr>
          <w:rFonts w:hint="eastAsia"/>
        </w:rPr>
        <w:t>面临终止上市的情况和原因</w:t>
      </w:r>
    </w:p>
    <w:sdt>
      <w:sdtPr>
        <w:rPr>
          <w:rFonts w:hint="eastAsia"/>
        </w:rPr>
        <w:alias w:val="是否适用：面临终止上市的情况和原因 [双击切换]"/>
        <w:tag w:val="_GBC_36002fff87954035b149cfd20b1790d5"/>
        <w:id w:val="693273039"/>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bookmarkEnd w:id="210"/>
    <w:p>
      <w:pPr>
        <w:pStyle w:val="Style51"/>
        <w:numPr>
          <w:ilvl w:val="0"/>
          <w:numId w:val="33"/>
        </w:numPr>
      </w:pPr>
      <w:r>
        <w:rPr>
          <w:rFonts w:hint="eastAsia"/>
        </w:rPr>
        <w:t>破产重整相关事项</w:t>
      </w:r>
    </w:p>
    <w:sdt>
      <w:sdtPr>
        <w:alias w:val="是否适用：破产重整相关事项[双击切换]"/>
        <w:tag w:val="_GBC_5840a694c2a04f98893394e6da3bc9cc"/>
        <w:id w:val="78315183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ectPr>
          <w:pgSz w:w="11906" w:h="16838"/>
          <w:pgMar w:top="1525" w:right="1276" w:bottom="1440" w:left="1797" w:header="855" w:footer="992" w:gutter="0"/>
          <w:cols w:space="425"/>
          <w:docGrid w:linePitch="312"/>
        </w:sectPr>
      </w:pPr>
    </w:p>
    <w:p>
      <w:pPr>
        <w:pStyle w:val="Style49"/>
      </w:pPr>
    </w:p>
    <w:p>
      <w:pPr>
        <w:pStyle w:val="Style51"/>
        <w:numPr>
          <w:ilvl w:val="0"/>
          <w:numId w:val="33"/>
        </w:numPr>
      </w:pPr>
      <w:r>
        <w:rPr>
          <w:rFonts w:hint="eastAsia"/>
        </w:rPr>
        <w:t>重大诉讼、仲裁事项</w:t>
      </w:r>
    </w:p>
    <w:sdt>
      <w:sdtPr>
        <w:rPr>
          <w:rFonts w:asciiTheme="minorEastAsia" w:eastAsiaTheme="minorEastAsia" w:hAnsiTheme="minorEastAsia"/>
        </w:rPr>
        <w:alias w:val="本年度公司有无重大诉讼、仲裁事项"/>
        <w:tag w:val="_GBC_b7d97a978491465ca563fa610688ebef"/>
        <w:id w:val="-2084433043"/>
        <w:placeholder>
          <w:docPart w:val="GBC22222222222222222222222222222"/>
        </w:placeholder>
      </w:sdtPr>
      <w:sdtContent>
        <w:p>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√本年度公司有重大诉讼、仲裁事项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□本年度公司无重大诉讼、仲裁事项 </w:instrText>
          </w:r>
          <w:r>
            <w:rPr>
              <w:rFonts w:asciiTheme="minorEastAsia" w:eastAsiaTheme="minorEastAsia" w:hAnsiTheme="minorEastAsia"/>
            </w:rPr>
            <w:fldChar w:fldCharType="end"/>
          </w:r>
        </w:p>
      </w:sdtContent>
    </w:sdt>
    <w:p>
      <w:pPr>
        <w:pStyle w:val="Style52"/>
        <w:numPr>
          <w:ilvl w:val="0"/>
          <w:numId w:val="37"/>
        </w:numPr>
      </w:pPr>
      <w:r>
        <w:t>诉讼、仲裁事项已在临时公告披露且无后续进展的</w:t>
      </w:r>
    </w:p>
    <w:sdt>
      <w:sdtPr>
        <w:alias w:val="是否适用：诉讼、仲裁事项已在临时公告披露且无后续进展的[双击切换]"/>
        <w:tag w:val="_GBC_df9c575188dd424d8b37483a3f491cca"/>
        <w:id w:val="-1925175118"/>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asciiTheme="minorEastAsia" w:hAnsiTheme="minorEastAsia"/>
        </w:rPr>
      </w:pPr>
    </w:p>
    <w:p>
      <w:pPr>
        <w:pStyle w:val="Style52"/>
        <w:numPr>
          <w:ilvl w:val="0"/>
          <w:numId w:val="37"/>
        </w:numPr>
      </w:pPr>
      <w:r>
        <w:t>临时公告未披露或有后续进展的诉讼、仲裁情况</w:t>
      </w:r>
    </w:p>
    <w:sdt>
      <w:sdtPr>
        <w:alias w:val="是否适用：临时公告未披露或有后续进展的诉讼、仲裁情况[双击切换]"/>
        <w:tag w:val="_GBC_35f7d90461484a06aaa4de37b11de834"/>
        <w:id w:val="201025713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重大诉讼仲裁事项"/>
          <w:tag w:val="_GBC_9d97246aa01d4ad08e6284cc246abd9f"/>
          <w:id w:val="17881653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重大诉讼仲裁事项"/>
          <w:tag w:val="_GBC_a18222a537f349d088118dcd5db0706a"/>
          <w:id w:val="13580848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7"/>
        <w:tblW w:w="14694" w:type="dxa"/>
        <w:tblLayout w:type="fixed"/>
        <w:tblLook w:val="04A0" w:firstRow="1" w:lastRow="0" w:firstColumn="1" w:lastColumn="0" w:noHBand="0" w:noVBand="1"/>
      </w:tblPr>
      <w:tblGrid>
        <w:gridCol w:w="1271"/>
        <w:gridCol w:w="1228"/>
        <w:gridCol w:w="993"/>
        <w:gridCol w:w="708"/>
        <w:gridCol w:w="4820"/>
        <w:gridCol w:w="1417"/>
        <w:gridCol w:w="709"/>
        <w:gridCol w:w="709"/>
        <w:gridCol w:w="1276"/>
        <w:gridCol w:w="1563"/>
      </w:tblGrid>
      <w:tr>
        <w:trPr>
          <w:tblHeader/>
        </w:trPr>
        <w:sdt>
          <w:sdtPr>
            <w:tag w:val="_PLD_d41f71fd1aeb4ad2847c6534560b258a"/>
            <w:id w:val="1567990823"/>
          </w:sdtPr>
          <w:sdtContent>
            <w:tc>
              <w:tcPr>
                <w:tcW w:w="14694" w:type="dxa"/>
                <w:gridSpan w:val="10"/>
                <w:vAlign w:val="center"/>
              </w:tcPr>
              <w:p>
                <w:pPr>
                  <w:pStyle w:val="Style49"/>
                </w:pPr>
                <w:r>
                  <w:rPr>
                    <w:rFonts w:hint="eastAsia"/>
                  </w:rPr>
                  <w:t>报告期内</w:t>
                </w:r>
                <w:r>
                  <w:rPr>
                    <w:rFonts w:hint="eastAsia"/>
                  </w:rPr>
                  <w:t>:</w:t>
                </w:r>
              </w:p>
            </w:tc>
          </w:sdtContent>
        </w:sdt>
      </w:tr>
      <w:tr>
        <w:trPr>
          <w:tblHeader/>
        </w:trPr>
        <w:sdt>
          <w:sdtPr>
            <w:tag w:val="_PLD_4d9b112021884e699f90fb18615a7a2e"/>
            <w:id w:val="-983698632"/>
          </w:sdtPr>
          <w:sdtContent>
            <w:tc>
              <w:tcPr>
                <w:tcW w:w="1271" w:type="dxa"/>
                <w:vAlign w:val="center"/>
              </w:tcPr>
              <w:p>
                <w:pPr>
                  <w:jc w:val="center"/>
                </w:pPr>
                <w:r>
                  <w:t>起诉</w:t>
                </w:r>
                <w:r>
                  <w:t>(</w:t>
                </w:r>
                <w:r>
                  <w:t>申请</w:t>
                </w:r>
                <w:r>
                  <w:t>)</w:t>
                </w:r>
                <w:r>
                  <w:t>方</w:t>
                </w:r>
              </w:p>
            </w:tc>
          </w:sdtContent>
        </w:sdt>
        <w:sdt>
          <w:sdtPr>
            <w:tag w:val="_PLD_c32a293b7cc342f8b27e24280205fb5b"/>
            <w:id w:val="722568295"/>
          </w:sdtPr>
          <w:sdtContent>
            <w:tc>
              <w:tcPr>
                <w:tcW w:w="1228" w:type="dxa"/>
                <w:vAlign w:val="center"/>
              </w:tcPr>
              <w:p>
                <w:pPr>
                  <w:jc w:val="center"/>
                </w:pPr>
                <w:r>
                  <w:t>应诉</w:t>
                </w:r>
                <w:r>
                  <w:rPr>
                    <w:rFonts w:hint="eastAsia"/>
                  </w:rPr>
                  <w:t>(</w:t>
                </w:r>
                <w:r>
                  <w:t>被申请</w:t>
                </w:r>
                <w:r>
                  <w:rPr>
                    <w:rFonts w:hint="eastAsia"/>
                  </w:rPr>
                  <w:t>)</w:t>
                </w:r>
                <w:r>
                  <w:t>方</w:t>
                </w:r>
              </w:p>
            </w:tc>
          </w:sdtContent>
        </w:sdt>
        <w:sdt>
          <w:sdtPr>
            <w:tag w:val="_PLD_eff0fb32b4bd49df8045de6cb1eb61f6"/>
            <w:id w:val="-1035349952"/>
          </w:sdtPr>
          <w:sdtContent>
            <w:tc>
              <w:tcPr>
                <w:tcW w:w="993" w:type="dxa"/>
                <w:vAlign w:val="center"/>
              </w:tcPr>
              <w:p>
                <w:pPr>
                  <w:jc w:val="center"/>
                </w:pPr>
                <w:r>
                  <w:t>承担连带责任方</w:t>
                </w:r>
              </w:p>
            </w:tc>
          </w:sdtContent>
        </w:sdt>
        <w:sdt>
          <w:sdtPr>
            <w:tag w:val="_PLD_3182b9e352674cfca450ce843b2abe09"/>
            <w:id w:val="2110395065"/>
          </w:sdtPr>
          <w:sdtContent>
            <w:tc>
              <w:tcPr>
                <w:tcW w:w="708" w:type="dxa"/>
                <w:vAlign w:val="center"/>
              </w:tcPr>
              <w:p>
                <w:pPr>
                  <w:jc w:val="center"/>
                </w:pPr>
                <w:r>
                  <w:t>诉讼仲裁类型</w:t>
                </w:r>
              </w:p>
            </w:tc>
          </w:sdtContent>
        </w:sdt>
        <w:sdt>
          <w:sdtPr>
            <w:tag w:val="_PLD_86e4a2e13ad5461d8f77a09cb45ddc71"/>
            <w:id w:val="-2111568885"/>
          </w:sdtPr>
          <w:sdtContent>
            <w:tc>
              <w:tcPr>
                <w:tcW w:w="4820" w:type="dxa"/>
                <w:vAlign w:val="center"/>
              </w:tcPr>
              <w:p>
                <w:pPr>
                  <w:jc w:val="center"/>
                </w:pPr>
                <w:r>
                  <w:t>诉讼</w:t>
                </w:r>
                <w:r>
                  <w:t>(</w:t>
                </w:r>
                <w:r>
                  <w:t>仲裁</w:t>
                </w:r>
                <w:r>
                  <w:t>)</w:t>
                </w:r>
                <w:r>
                  <w:t>基本情况</w:t>
                </w:r>
              </w:p>
            </w:tc>
          </w:sdtContent>
        </w:sdt>
        <w:sdt>
          <w:sdtPr>
            <w:tag w:val="_PLD_b491f23ec9e248f9902c5c1b2081b024"/>
            <w:id w:val="1917748976"/>
          </w:sdtPr>
          <w:sdtContent>
            <w:tc>
              <w:tcPr>
                <w:tcW w:w="1417" w:type="dxa"/>
                <w:vAlign w:val="center"/>
              </w:tcPr>
              <w:p>
                <w:pPr>
                  <w:jc w:val="center"/>
                </w:pPr>
                <w:r>
                  <w:t>诉讼</w:t>
                </w:r>
                <w:r>
                  <w:t>(</w:t>
                </w:r>
                <w:r>
                  <w:t>仲裁</w:t>
                </w:r>
                <w:r>
                  <w:t>)</w:t>
                </w:r>
                <w:r>
                  <w:t>涉及金额</w:t>
                </w:r>
              </w:p>
            </w:tc>
          </w:sdtContent>
        </w:sdt>
        <w:sdt>
          <w:sdtPr>
            <w:tag w:val="_PLD_2b415cbc1f944f409e2c471dbfd8a1b2"/>
            <w:id w:val="16519562"/>
          </w:sdtPr>
          <w:sdtContent>
            <w:tc>
              <w:tcPr>
                <w:tcW w:w="709" w:type="dxa"/>
                <w:vAlign w:val="center"/>
              </w:tcPr>
              <w:p>
                <w:pPr>
                  <w:jc w:val="center"/>
                </w:pPr>
                <w:r>
                  <w:t>诉讼</w:t>
                </w:r>
                <w:r>
                  <w:t>(</w:t>
                </w:r>
                <w:r>
                  <w:t>仲裁</w:t>
                </w:r>
                <w:r>
                  <w:t>)</w:t>
                </w:r>
                <w:r>
                  <w:t>是否形成预计负债及金额</w:t>
                </w:r>
              </w:p>
            </w:tc>
          </w:sdtContent>
        </w:sdt>
        <w:sdt>
          <w:sdtPr>
            <w:tag w:val="_PLD_f02309bf6efe44ff86d44f16620b132d"/>
            <w:id w:val="801496721"/>
          </w:sdtPr>
          <w:sdtContent>
            <w:tc>
              <w:tcPr>
                <w:tcW w:w="709" w:type="dxa"/>
                <w:vAlign w:val="center"/>
              </w:tcPr>
              <w:p>
                <w:pPr>
                  <w:jc w:val="center"/>
                </w:pPr>
                <w:r>
                  <w:t>诉讼</w:t>
                </w:r>
                <w:r>
                  <w:t>(</w:t>
                </w:r>
                <w:r>
                  <w:t>仲裁</w:t>
                </w:r>
                <w:r>
                  <w:t>)</w:t>
                </w:r>
                <w:r>
                  <w:t>进展情况</w:t>
                </w:r>
              </w:p>
            </w:tc>
          </w:sdtContent>
        </w:sdt>
        <w:sdt>
          <w:sdtPr>
            <w:tag w:val="_PLD_0716dc47d25e4a39b22e4eec6c623d38"/>
            <w:id w:val="-803381090"/>
          </w:sdtPr>
          <w:sdtContent>
            <w:tc>
              <w:tcPr>
                <w:tcW w:w="1276" w:type="dxa"/>
                <w:vAlign w:val="center"/>
              </w:tcPr>
              <w:p>
                <w:pPr>
                  <w:jc w:val="center"/>
                </w:pPr>
                <w:r>
                  <w:t>诉讼</w:t>
                </w:r>
                <w:r>
                  <w:t>(</w:t>
                </w:r>
                <w:r>
                  <w:t>仲裁</w:t>
                </w:r>
                <w:r>
                  <w:t>)</w:t>
                </w:r>
                <w:r>
                  <w:t>审理结果及影响</w:t>
                </w:r>
              </w:p>
            </w:tc>
          </w:sdtContent>
        </w:sdt>
        <w:sdt>
          <w:sdtPr>
            <w:tag w:val="_PLD_8bc1db95a90849249b1a09fa51190e2b"/>
            <w:id w:val="-549228268"/>
          </w:sdtPr>
          <w:sdtContent>
            <w:tc>
              <w:tcPr>
                <w:tcW w:w="1563" w:type="dxa"/>
                <w:vAlign w:val="center"/>
              </w:tcPr>
              <w:p>
                <w:pPr>
                  <w:jc w:val="center"/>
                </w:pPr>
                <w:r>
                  <w:t>诉讼</w:t>
                </w:r>
                <w:r>
                  <w:t>(</w:t>
                </w:r>
                <w:r>
                  <w:t>仲裁</w:t>
                </w:r>
                <w:r>
                  <w:t>)</w:t>
                </w:r>
                <w:r>
                  <w:t>判决执行情况</w:t>
                </w:r>
              </w:p>
            </w:tc>
          </w:sdtContent>
        </w:sdt>
      </w:tr>
      <w:tr>
        <w:tc>
          <w:tcPr>
            <w:tcW w:w="1271" w:type="dxa"/>
            <w:vAlign w:val="center"/>
          </w:tcPr>
          <w:p>
            <w:pPr>
              <w:rPr>
                <w:rFonts w:ascii="宋体" w:hAnsi="宋体"/>
              </w:rPr>
            </w:pPr>
            <w:r>
              <w:rPr>
                <w:rFonts w:ascii="宋体" w:hAnsi="宋体" w:hint="eastAsia"/>
              </w:rPr>
              <w:t>端信供应链（深圳）有限公司（“端信供应链”）</w:t>
            </w:r>
          </w:p>
        </w:tc>
        <w:tc>
          <w:tcPr>
            <w:tcW w:w="1228" w:type="dxa"/>
            <w:vAlign w:val="center"/>
          </w:tcPr>
          <w:p>
            <w:pPr>
              <w:rPr>
                <w:rFonts w:ascii="宋体" w:hAnsi="宋体"/>
              </w:rPr>
            </w:pPr>
            <w:r>
              <w:rPr>
                <w:rFonts w:ascii="宋体" w:hAnsi="宋体" w:hint="eastAsia"/>
              </w:rPr>
              <w:t>沙钢（北京）国际投资有限公司（“沙钢北京”）</w:t>
            </w:r>
          </w:p>
        </w:tc>
        <w:tc>
          <w:tcPr>
            <w:tcW w:w="993" w:type="dxa"/>
            <w:vAlign w:val="center"/>
          </w:tcPr>
          <w:p>
            <w:pPr>
              <w:rPr>
                <w:rFonts w:ascii="宋体" w:hAnsi="宋体"/>
              </w:rPr>
            </w:pPr>
            <w:r>
              <w:rPr>
                <w:rFonts w:ascii="宋体" w:hAnsi="宋体" w:hint="eastAsia"/>
              </w:rPr>
              <w:t>江苏沙钢集团有限公司（“沙钢集团”）</w:t>
            </w:r>
          </w:p>
          <w:p>
            <w:pPr>
              <w:rPr>
                <w:rFonts w:ascii="宋体" w:hAnsi="宋体"/>
              </w:rPr>
            </w:pPr>
          </w:p>
        </w:tc>
        <w:tc>
          <w:tcPr>
            <w:tcW w:w="708" w:type="dxa"/>
            <w:vAlign w:val="center"/>
          </w:tcPr>
          <w:p>
            <w:pPr>
              <w:rPr>
                <w:rFonts w:ascii="宋体" w:hAnsi="宋体"/>
              </w:rPr>
            </w:pPr>
            <w:r>
              <w:rPr>
                <w:rFonts w:ascii="宋体" w:hAnsi="宋体" w:hint="eastAsia"/>
              </w:rPr>
              <w:t>诉讼</w:t>
            </w:r>
          </w:p>
        </w:tc>
        <w:tc>
          <w:tcPr>
            <w:tcW w:w="4820" w:type="dxa"/>
            <w:vAlign w:val="center"/>
          </w:tcPr>
          <w:p>
            <w:pPr>
              <w:rPr>
                <w:rFonts w:ascii="宋体" w:hAnsi="宋体"/>
              </w:rPr>
            </w:pPr>
            <w:r>
              <w:rPr>
                <w:rFonts w:ascii="宋体" w:hAnsi="宋体" w:hint="eastAsia"/>
              </w:rPr>
              <w:t>2021年4月，兖矿能源全资子公司端信供应链以煤炭买卖合同纠纷为由，将沙钢北京诉至深圳市中级人民法院（“深圳中院”），要求其返还货款本金12,160.57万元及相应逾期付款违约金，李磊、沙钢集团对上述款项承担连带责任。一审审理过程中，端信供应链变更诉讼请求，请求沙钢集团单独承担连带责任。</w:t>
            </w:r>
          </w:p>
          <w:p>
            <w:pPr>
              <w:rPr>
                <w:rFonts w:ascii="宋体" w:hAnsi="宋体"/>
              </w:rPr>
            </w:pPr>
            <w:r>
              <w:rPr>
                <w:rFonts w:ascii="宋体" w:hAnsi="宋体" w:hint="eastAsia"/>
              </w:rPr>
              <w:t>2023年3月，端信供应链收到一审胜诉判决。沙钢北京向广东省高级人民法院提起上诉。</w:t>
            </w:r>
          </w:p>
          <w:p>
            <w:pPr>
              <w:rPr>
                <w:rFonts w:ascii="宋体" w:hAnsi="宋体"/>
              </w:rPr>
            </w:pPr>
            <w:r>
              <w:rPr>
                <w:rFonts w:ascii="宋体" w:hAnsi="宋体" w:hint="eastAsia"/>
              </w:rPr>
              <w:t>2025年3月，端信供应链收到二审判决，沙钢北京承担债务清偿责任，驳回端信供应链其他诉讼请</w:t>
            </w:r>
            <w:r>
              <w:rPr>
                <w:rFonts w:ascii="宋体" w:hAnsi="宋体" w:hint="eastAsia"/>
              </w:rPr>
              <w:lastRenderedPageBreak/>
              <w:t>求。</w:t>
            </w:r>
          </w:p>
        </w:tc>
        <w:tc>
          <w:tcPr>
            <w:tcW w:w="1417" w:type="dxa"/>
            <w:vAlign w:val="center"/>
          </w:tcPr>
          <w:p>
            <w:pPr>
              <w:jc w:val="right"/>
              <w:rPr>
                <w:rFonts w:ascii="宋体" w:hAnsi="宋体"/>
              </w:rPr>
            </w:pPr>
            <w:r>
              <w:rPr>
                <w:rFonts w:ascii="宋体" w:hAnsi="宋体" w:hint="eastAsia"/>
              </w:rPr>
              <w:lastRenderedPageBreak/>
              <w:t>12,160.57</w:t>
            </w:r>
          </w:p>
        </w:tc>
        <w:tc>
          <w:tcPr>
            <w:tcW w:w="709" w:type="dxa"/>
            <w:vAlign w:val="center"/>
          </w:tcPr>
          <w:p>
            <w:pPr>
              <w:jc w:val="center"/>
              <w:rPr>
                <w:rFonts w:ascii="宋体" w:hAnsi="宋体"/>
              </w:rPr>
            </w:pPr>
            <w:r>
              <w:rPr>
                <w:rFonts w:ascii="宋体" w:hAnsi="宋体" w:hint="eastAsia"/>
              </w:rPr>
              <w:t>否</w:t>
            </w:r>
          </w:p>
        </w:tc>
        <w:tc>
          <w:tcPr>
            <w:tcW w:w="709" w:type="dxa"/>
            <w:vAlign w:val="center"/>
          </w:tcPr>
          <w:p>
            <w:pPr>
              <w:jc w:val="center"/>
              <w:rPr>
                <w:rFonts w:ascii="宋体" w:hAnsi="宋体"/>
              </w:rPr>
            </w:pPr>
            <w:r>
              <w:rPr>
                <w:rFonts w:ascii="宋体" w:hAnsi="宋体" w:hint="eastAsia"/>
              </w:rPr>
              <w:t>结案</w:t>
            </w:r>
          </w:p>
        </w:tc>
        <w:tc>
          <w:tcPr>
            <w:tcW w:w="1276" w:type="dxa"/>
            <w:vAlign w:val="center"/>
          </w:tcPr>
          <w:p>
            <w:pPr>
              <w:rPr>
                <w:rFonts w:ascii="宋体" w:hAnsi="宋体"/>
              </w:rPr>
            </w:pPr>
            <w:r>
              <w:rPr>
                <w:rFonts w:ascii="宋体" w:hAnsi="宋体" w:hint="eastAsia"/>
              </w:rPr>
              <w:t>截至本报告期末，公司对本案涉及账面款项计提了减值准备，本次诉讼事项不会对公司期后利润产生不利影响。</w:t>
            </w:r>
          </w:p>
        </w:tc>
        <w:tc>
          <w:tcPr>
            <w:tcW w:w="1563" w:type="dxa"/>
            <w:vAlign w:val="center"/>
          </w:tcPr>
          <w:p>
            <w:pPr>
              <w:rPr>
                <w:rFonts w:ascii="宋体" w:hAnsi="宋体"/>
              </w:rPr>
            </w:pPr>
            <w:r>
              <w:rPr>
                <w:rFonts w:ascii="宋体" w:hAnsi="宋体" w:hint="eastAsia"/>
              </w:rPr>
              <w:t>2025年6月端信供应链收到深圳中院执行裁定书，因沙钢北京无可执行财产，本次执行程序终结。</w:t>
            </w:r>
          </w:p>
        </w:tc>
      </w:tr>
      <w:tr>
        <w:tc>
          <w:tcPr>
            <w:tcW w:w="1271" w:type="dxa"/>
            <w:vAlign w:val="center"/>
          </w:tcPr>
          <w:p>
            <w:pPr>
              <w:pStyle w:val="Style49"/>
            </w:pPr>
            <w:r>
              <w:rPr>
                <w:rFonts w:ascii="宋体" w:hAnsi="宋体" w:hint="eastAsia"/>
              </w:rPr>
              <w:t>端信供应链</w:t>
            </w:r>
          </w:p>
        </w:tc>
        <w:tc>
          <w:tcPr>
            <w:tcW w:w="1228" w:type="dxa"/>
            <w:vAlign w:val="center"/>
          </w:tcPr>
          <w:p>
            <w:pPr>
              <w:pStyle w:val="Style49"/>
            </w:pPr>
            <w:r>
              <w:rPr>
                <w:rFonts w:ascii="宋体" w:hAnsi="宋体" w:hint="eastAsia"/>
              </w:rPr>
              <w:t>深圳市麦凯莱科技有限公司（“麦凯莱公司”）</w:t>
            </w:r>
          </w:p>
        </w:tc>
        <w:tc>
          <w:tcPr>
            <w:tcW w:w="993" w:type="dxa"/>
            <w:vAlign w:val="center"/>
          </w:tcPr>
          <w:p>
            <w:pPr>
              <w:pStyle w:val="Style49"/>
            </w:pPr>
            <w:r>
              <w:rPr>
                <w:rFonts w:ascii="宋体" w:hAnsi="宋体" w:hint="eastAsia"/>
              </w:rPr>
              <w:t>李冠玮、戴丽香等</w:t>
            </w:r>
          </w:p>
        </w:tc>
        <w:tc>
          <w:tcPr>
            <w:tcW w:w="708" w:type="dxa"/>
            <w:vAlign w:val="center"/>
          </w:tcPr>
          <w:p>
            <w:pPr>
              <w:jc w:val="center"/>
            </w:pPr>
            <w:r>
              <w:rPr>
                <w:rFonts w:ascii="宋体" w:hAnsi="宋体" w:hint="eastAsia"/>
              </w:rPr>
              <w:t>诉讼</w:t>
            </w:r>
          </w:p>
        </w:tc>
        <w:tc>
          <w:tcPr>
            <w:tcW w:w="4820" w:type="dxa"/>
            <w:vAlign w:val="center"/>
          </w:tcPr>
          <w:p>
            <w:pPr>
              <w:wordWrap w:val="0"/>
              <w:rPr>
                <w:rFonts w:ascii="宋体" w:hAnsi="宋体"/>
              </w:rPr>
            </w:pPr>
            <w:r>
              <w:rPr>
                <w:rFonts w:ascii="宋体" w:hAnsi="宋体" w:hint="eastAsia"/>
              </w:rPr>
              <w:t>2023年2月，端信供应链以债权债务纠纷为由，将麦凯莱公司及相关担保人起诉至深圳中院，要求其清偿到期债务、利息及违约金共计39,618.85万元。</w:t>
            </w:r>
          </w:p>
          <w:p>
            <w:pPr>
              <w:rPr>
                <w:rFonts w:ascii="宋体" w:hAnsi="宋体"/>
              </w:rPr>
            </w:pPr>
            <w:r>
              <w:rPr>
                <w:rFonts w:ascii="宋体" w:hAnsi="宋体" w:hint="eastAsia"/>
              </w:rPr>
              <w:t>2024年6月，深圳中院裁定麦凯莱公司破产清算。</w:t>
            </w:r>
          </w:p>
          <w:p>
            <w:pPr>
              <w:rPr>
                <w:rFonts w:ascii="宋体" w:hAnsi="宋体"/>
              </w:rPr>
            </w:pPr>
            <w:r>
              <w:rPr>
                <w:rFonts w:ascii="宋体" w:hAnsi="宋体" w:hint="eastAsia"/>
              </w:rPr>
              <w:t>2024年8月，端信供应链向麦凯莱公司破产管理人申报债权50,988.21万元。</w:t>
            </w:r>
          </w:p>
          <w:p>
            <w:pPr>
              <w:rPr>
                <w:rFonts w:ascii="宋体" w:hAnsi="宋体"/>
              </w:rPr>
            </w:pPr>
            <w:r>
              <w:rPr>
                <w:rFonts w:ascii="宋体" w:hAnsi="宋体" w:hint="eastAsia"/>
              </w:rPr>
              <w:t>2024年12月，端信供应链收到一审判决，深圳中院判决支持端信供应链的诉讼请求。被告麦凯莱公司向广东省高级人民法院提起上诉。</w:t>
            </w:r>
          </w:p>
          <w:p>
            <w:pPr>
              <w:rPr>
                <w:rFonts w:ascii="宋体" w:hAnsi="宋体"/>
                <w:color w:val="000000"/>
              </w:rPr>
            </w:pPr>
            <w:r>
              <w:rPr>
                <w:rFonts w:ascii="宋体" w:hAnsi="宋体" w:hint="eastAsia"/>
                <w:color w:val="000000"/>
              </w:rPr>
              <w:t>2025年9月，端信供应链收到广东省高级人员法院出具的裁定书，裁定麦凯莱公司未交诉讼费，按自动撤回上诉处理。一审判决自裁定书送达后生效。</w:t>
            </w:r>
          </w:p>
        </w:tc>
        <w:tc>
          <w:tcPr>
            <w:tcW w:w="1417" w:type="dxa"/>
            <w:vAlign w:val="center"/>
          </w:tcPr>
          <w:p>
            <w:pPr>
              <w:jc w:val="right"/>
            </w:pPr>
            <w:r>
              <w:rPr>
                <w:rFonts w:ascii="宋体" w:hAnsi="宋体" w:hint="eastAsia"/>
              </w:rPr>
              <w:t>39,618.85</w:t>
            </w:r>
          </w:p>
        </w:tc>
        <w:tc>
          <w:tcPr>
            <w:tcW w:w="709" w:type="dxa"/>
            <w:vAlign w:val="center"/>
          </w:tcPr>
          <w:p>
            <w:pPr>
              <w:jc w:val="center"/>
            </w:pPr>
            <w:r>
              <w:rPr>
                <w:rFonts w:ascii="宋体" w:hAnsi="宋体" w:hint="eastAsia"/>
              </w:rPr>
              <w:t>否</w:t>
            </w:r>
          </w:p>
        </w:tc>
        <w:tc>
          <w:tcPr>
            <w:tcW w:w="709" w:type="dxa"/>
            <w:vAlign w:val="center"/>
          </w:tcPr>
          <w:p>
            <w:pPr>
              <w:jc w:val="center"/>
            </w:pPr>
            <w:r>
              <w:rPr>
                <w:rFonts w:ascii="宋体" w:hAnsi="宋体" w:hint="eastAsia"/>
              </w:rPr>
              <w:t>结案</w:t>
            </w:r>
          </w:p>
        </w:tc>
        <w:tc>
          <w:tcPr>
            <w:tcW w:w="1276" w:type="dxa"/>
            <w:vAlign w:val="center"/>
          </w:tcPr>
          <w:p>
            <w:pPr>
              <w:pStyle w:val="Style49"/>
            </w:pPr>
            <w:r>
              <w:rPr>
                <w:rFonts w:ascii="宋体" w:hAnsi="宋体" w:hint="eastAsia"/>
              </w:rPr>
              <w:t>截至本报告期末，公司对本案涉及账面款项计提了减值准备，本次诉讼事项不会对公司期后利润产生不利影响。</w:t>
            </w:r>
          </w:p>
        </w:tc>
        <w:tc>
          <w:tcPr>
            <w:tcW w:w="1563" w:type="dxa"/>
            <w:vAlign w:val="center"/>
          </w:tcPr>
          <w:p>
            <w:pPr>
              <w:rPr>
                <w:rFonts w:ascii="宋体" w:hAnsi="宋体"/>
                <w:color w:val="000000"/>
              </w:rPr>
            </w:pPr>
            <w:r>
              <w:rPr>
                <w:rFonts w:ascii="宋体" w:hAnsi="宋体" w:hint="eastAsia"/>
                <w:color w:val="000000"/>
              </w:rPr>
              <w:t>2025年10月30日公司向深圳中院申请强制执行。</w:t>
            </w:r>
          </w:p>
          <w:p>
            <w:pPr>
              <w:pStyle w:val="Style49"/>
            </w:pPr>
            <w:r>
              <w:rPr>
                <w:rFonts w:ascii="宋体" w:hAnsi="宋体" w:hint="eastAsia"/>
                <w:color w:val="000000"/>
              </w:rPr>
              <w:t>截至本报告披露日，深圳中院尚未出具执行裁定。</w:t>
            </w:r>
          </w:p>
        </w:tc>
      </w:tr>
      <w:tr>
        <w:tc>
          <w:tcPr>
            <w:tcW w:w="1271" w:type="dxa"/>
            <w:vAlign w:val="center"/>
          </w:tcPr>
          <w:p>
            <w:pPr>
              <w:pStyle w:val="Style49"/>
            </w:pPr>
            <w:r>
              <w:rPr>
                <w:rFonts w:ascii="宋体" w:hAnsi="宋体" w:hint="eastAsia"/>
              </w:rPr>
              <w:t>端信供应链</w:t>
            </w:r>
          </w:p>
        </w:tc>
        <w:tc>
          <w:tcPr>
            <w:tcW w:w="1228" w:type="dxa"/>
            <w:vAlign w:val="center"/>
          </w:tcPr>
          <w:p>
            <w:pPr>
              <w:pStyle w:val="Style49"/>
            </w:pPr>
            <w:r>
              <w:rPr>
                <w:rFonts w:ascii="宋体" w:hAnsi="宋体" w:hint="eastAsia"/>
              </w:rPr>
              <w:t>苏宁易购集团股份有限公司（“苏宁易购”）</w:t>
            </w:r>
          </w:p>
        </w:tc>
        <w:tc>
          <w:tcPr>
            <w:tcW w:w="993" w:type="dxa"/>
            <w:vAlign w:val="center"/>
          </w:tcPr>
          <w:p>
            <w:pPr>
              <w:pStyle w:val="Style49"/>
            </w:pPr>
            <w:r>
              <w:rPr>
                <w:rFonts w:ascii="宋体" w:hAnsi="宋体" w:hint="eastAsia"/>
              </w:rPr>
              <w:t>无</w:t>
            </w:r>
          </w:p>
        </w:tc>
        <w:tc>
          <w:tcPr>
            <w:tcW w:w="708" w:type="dxa"/>
            <w:vAlign w:val="center"/>
          </w:tcPr>
          <w:p>
            <w:pPr>
              <w:jc w:val="center"/>
            </w:pPr>
            <w:r>
              <w:rPr>
                <w:rFonts w:ascii="宋体" w:hAnsi="宋体" w:hint="eastAsia"/>
              </w:rPr>
              <w:t>诉讼</w:t>
            </w:r>
          </w:p>
        </w:tc>
        <w:tc>
          <w:tcPr>
            <w:tcW w:w="4820" w:type="dxa"/>
            <w:vAlign w:val="center"/>
          </w:tcPr>
          <w:p>
            <w:pPr>
              <w:rPr>
                <w:rFonts w:ascii="宋体" w:hAnsi="宋体"/>
              </w:rPr>
            </w:pPr>
            <w:r>
              <w:rPr>
                <w:rFonts w:ascii="宋体" w:hAnsi="宋体" w:hint="eastAsia"/>
              </w:rPr>
              <w:t>2023年2月，端信供应链以买卖合同纠纷为由，将苏宁易购起诉至南京市中级人民法院，要求其偿付货款、利息及违约金共计67,090.00万元。</w:t>
            </w:r>
          </w:p>
          <w:p>
            <w:pPr>
              <w:pStyle w:val="Style49"/>
            </w:pPr>
            <w:r>
              <w:rPr>
                <w:rFonts w:ascii="宋体" w:hAnsi="宋体" w:hint="eastAsia"/>
              </w:rPr>
              <w:t>2025年1月，端信供应链收到南京市中级人民法院裁定书，以涉嫌经济犯罪为由，裁定驳回起诉，将案件移交公安机关。</w:t>
            </w:r>
          </w:p>
        </w:tc>
        <w:tc>
          <w:tcPr>
            <w:tcW w:w="1417" w:type="dxa"/>
            <w:vAlign w:val="center"/>
          </w:tcPr>
          <w:p>
            <w:pPr>
              <w:jc w:val="right"/>
            </w:pPr>
            <w:r>
              <w:rPr>
                <w:rFonts w:ascii="宋体" w:hAnsi="宋体" w:hint="eastAsia"/>
              </w:rPr>
              <w:t>67,090.00</w:t>
            </w:r>
          </w:p>
        </w:tc>
        <w:tc>
          <w:tcPr>
            <w:tcW w:w="709" w:type="dxa"/>
            <w:vAlign w:val="center"/>
          </w:tcPr>
          <w:p>
            <w:pPr>
              <w:jc w:val="center"/>
            </w:pPr>
            <w:r>
              <w:rPr>
                <w:rFonts w:ascii="宋体" w:hAnsi="宋体" w:hint="eastAsia"/>
              </w:rPr>
              <w:t>否</w:t>
            </w:r>
          </w:p>
        </w:tc>
        <w:tc>
          <w:tcPr>
            <w:tcW w:w="709" w:type="dxa"/>
            <w:vAlign w:val="center"/>
          </w:tcPr>
          <w:p>
            <w:pPr>
              <w:jc w:val="center"/>
            </w:pPr>
            <w:r>
              <w:rPr>
                <w:rFonts w:ascii="宋体" w:hAnsi="宋体" w:hint="eastAsia"/>
              </w:rPr>
              <w:t>转刑事侦查，诉讼程序终结</w:t>
            </w:r>
          </w:p>
        </w:tc>
        <w:tc>
          <w:tcPr>
            <w:tcW w:w="1276" w:type="dxa"/>
            <w:vAlign w:val="center"/>
          </w:tcPr>
          <w:p>
            <w:pPr>
              <w:pStyle w:val="Style49"/>
            </w:pPr>
            <w:r>
              <w:rPr>
                <w:rFonts w:ascii="宋体" w:hAnsi="宋体" w:hint="eastAsia"/>
              </w:rPr>
              <w:t>截至本报告期末，公司对本案涉及账面款项计提了减值准备，本次诉讼事项不会对公司期后利润产生不</w:t>
            </w:r>
            <w:r>
              <w:rPr>
                <w:rFonts w:ascii="宋体" w:hAnsi="宋体" w:hint="eastAsia"/>
              </w:rPr>
              <w:lastRenderedPageBreak/>
              <w:t>利影响。</w:t>
            </w:r>
          </w:p>
        </w:tc>
        <w:tc>
          <w:tcPr>
            <w:tcW w:w="1563" w:type="dxa"/>
            <w:vAlign w:val="center"/>
          </w:tcPr>
          <w:p>
            <w:pPr>
              <w:jc w:val="center"/>
            </w:pPr>
            <w:r>
              <w:rPr>
                <w:rFonts w:ascii="宋体" w:hAnsi="宋体" w:hint="eastAsia"/>
                <w:kern w:val="2"/>
              </w:rPr>
              <w:lastRenderedPageBreak/>
              <w:t>-</w:t>
            </w:r>
          </w:p>
        </w:tc>
      </w:tr>
      <w:tr>
        <w:tc>
          <w:tcPr>
            <w:tcW w:w="1271" w:type="dxa"/>
            <w:vAlign w:val="center"/>
          </w:tcPr>
          <w:p>
            <w:pPr>
              <w:pStyle w:val="Style49"/>
            </w:pPr>
            <w:r>
              <w:rPr>
                <w:rFonts w:ascii="宋体" w:hAnsi="宋体" w:hint="eastAsia"/>
              </w:rPr>
              <w:t>内蒙古金控融资租赁有限公司（“内蒙古金控”）</w:t>
            </w:r>
          </w:p>
        </w:tc>
        <w:tc>
          <w:tcPr>
            <w:tcW w:w="1228" w:type="dxa"/>
            <w:vAlign w:val="center"/>
          </w:tcPr>
          <w:p>
            <w:pPr>
              <w:pStyle w:val="Style49"/>
            </w:pPr>
            <w:r>
              <w:rPr>
                <w:rFonts w:ascii="宋体" w:hAnsi="宋体" w:hint="eastAsia"/>
              </w:rPr>
              <w:t>中融盛国际融资租赁（天津）有限公司（“中融盛”）、韩艳杰、天津凯泰盛世资产管理有限公司</w:t>
            </w:r>
          </w:p>
        </w:tc>
        <w:tc>
          <w:tcPr>
            <w:tcW w:w="993" w:type="dxa"/>
            <w:vAlign w:val="center"/>
          </w:tcPr>
          <w:p>
            <w:pPr>
              <w:pStyle w:val="Style49"/>
            </w:pPr>
            <w:r>
              <w:rPr>
                <w:rFonts w:ascii="宋体" w:hAnsi="宋体" w:hint="eastAsia"/>
              </w:rPr>
              <w:t>大唐国际发展集团有限公司（“大唐国际”）</w:t>
            </w:r>
          </w:p>
        </w:tc>
        <w:tc>
          <w:tcPr>
            <w:tcW w:w="708" w:type="dxa"/>
            <w:vAlign w:val="center"/>
          </w:tcPr>
          <w:p>
            <w:pPr>
              <w:jc w:val="center"/>
            </w:pPr>
            <w:r>
              <w:rPr>
                <w:rFonts w:ascii="宋体" w:hAnsi="宋体" w:hint="eastAsia"/>
              </w:rPr>
              <w:t>诉讼</w:t>
            </w:r>
          </w:p>
        </w:tc>
        <w:tc>
          <w:tcPr>
            <w:tcW w:w="4820" w:type="dxa"/>
            <w:vAlign w:val="center"/>
          </w:tcPr>
          <w:p>
            <w:pPr>
              <w:rPr>
                <w:rFonts w:ascii="宋体" w:hAnsi="宋体"/>
              </w:rPr>
            </w:pPr>
            <w:r>
              <w:rPr>
                <w:rFonts w:ascii="宋体" w:hAnsi="宋体" w:hint="eastAsia"/>
              </w:rPr>
              <w:t>2023年11月，内蒙古金控以违反保理及融资租赁合同为由，将中融盛等被告诉至呼和浩特市中级人民法院，要求中融盛等被告支付保理及融资租赁款本金24,609.28万元及相应利息和违约金，并要求大唐国际承担连带责任。</w:t>
            </w:r>
          </w:p>
          <w:p>
            <w:pPr>
              <w:rPr>
                <w:rFonts w:ascii="宋体" w:hAnsi="宋体"/>
              </w:rPr>
            </w:pPr>
            <w:r>
              <w:rPr>
                <w:rFonts w:ascii="宋体" w:hAnsi="宋体" w:hint="eastAsia"/>
              </w:rPr>
              <w:t>2025年6月，内蒙古金控收到呼和浩特市中级人民法院判决，驳回内蒙古金控的诉讼请求。内蒙古金控向内蒙古自治区高级人民法院提起上诉。</w:t>
            </w:r>
          </w:p>
        </w:tc>
        <w:tc>
          <w:tcPr>
            <w:tcW w:w="1417" w:type="dxa"/>
            <w:vAlign w:val="center"/>
          </w:tcPr>
          <w:p>
            <w:pPr>
              <w:jc w:val="right"/>
            </w:pPr>
            <w:r>
              <w:rPr>
                <w:rFonts w:ascii="宋体" w:hAnsi="宋体" w:hint="eastAsia"/>
              </w:rPr>
              <w:t>24,609.28</w:t>
            </w:r>
          </w:p>
        </w:tc>
        <w:tc>
          <w:tcPr>
            <w:tcW w:w="709" w:type="dxa"/>
            <w:vAlign w:val="center"/>
          </w:tcPr>
          <w:p>
            <w:pPr>
              <w:jc w:val="center"/>
            </w:pPr>
            <w:r>
              <w:rPr>
                <w:rFonts w:ascii="宋体" w:hAnsi="宋体" w:hint="eastAsia"/>
              </w:rPr>
              <w:t>否</w:t>
            </w:r>
          </w:p>
        </w:tc>
        <w:tc>
          <w:tcPr>
            <w:tcW w:w="709" w:type="dxa"/>
            <w:vAlign w:val="center"/>
          </w:tcPr>
          <w:p>
            <w:pPr>
              <w:jc w:val="center"/>
            </w:pPr>
            <w:r>
              <w:rPr>
                <w:rFonts w:ascii="宋体" w:hAnsi="宋体" w:hint="eastAsia"/>
              </w:rPr>
              <w:t>二审程序</w:t>
            </w:r>
          </w:p>
        </w:tc>
        <w:tc>
          <w:tcPr>
            <w:tcW w:w="1276" w:type="dxa"/>
            <w:vAlign w:val="center"/>
          </w:tcPr>
          <w:p>
            <w:pPr>
              <w:pStyle w:val="Style49"/>
            </w:pPr>
            <w:r>
              <w:rPr>
                <w:rFonts w:ascii="宋体" w:hAnsi="宋体" w:hint="eastAsia"/>
              </w:rPr>
              <w:t>本案已收到法院判决，驳回内蒙古金控诉讼请求，内蒙古金控已提起上诉。目前等待开庭通知。</w:t>
            </w:r>
          </w:p>
        </w:tc>
        <w:tc>
          <w:tcPr>
            <w:tcW w:w="1563" w:type="dxa"/>
            <w:vAlign w:val="center"/>
          </w:tcPr>
          <w:p>
            <w:pPr>
              <w:jc w:val="center"/>
            </w:pPr>
            <w:r>
              <w:rPr>
                <w:rFonts w:ascii="宋体" w:hAnsi="宋体" w:hint="eastAsia"/>
                <w:kern w:val="2"/>
              </w:rPr>
              <w:t>-</w:t>
            </w:r>
          </w:p>
        </w:tc>
      </w:tr>
      <w:tr>
        <w:tc>
          <w:tcPr>
            <w:tcW w:w="1271" w:type="dxa"/>
            <w:vAlign w:val="center"/>
          </w:tcPr>
          <w:p>
            <w:pPr>
              <w:pStyle w:val="Style49"/>
            </w:pPr>
            <w:r>
              <w:rPr>
                <w:rFonts w:ascii="宋体" w:hAnsi="宋体" w:hint="eastAsia"/>
              </w:rPr>
              <w:t>兖矿能源</w:t>
            </w:r>
          </w:p>
        </w:tc>
        <w:tc>
          <w:tcPr>
            <w:tcW w:w="1228" w:type="dxa"/>
            <w:vAlign w:val="center"/>
          </w:tcPr>
          <w:p>
            <w:pPr>
              <w:pStyle w:val="Style49"/>
            </w:pPr>
            <w:r>
              <w:rPr>
                <w:rFonts w:ascii="宋体" w:hAnsi="宋体" w:hint="eastAsia"/>
              </w:rPr>
              <w:t>内蒙古久泰新材料科技股份有限公司（“久泰公司”）</w:t>
            </w:r>
          </w:p>
        </w:tc>
        <w:tc>
          <w:tcPr>
            <w:tcW w:w="993" w:type="dxa"/>
            <w:vAlign w:val="center"/>
          </w:tcPr>
          <w:p>
            <w:pPr>
              <w:pStyle w:val="Style49"/>
            </w:pPr>
            <w:r>
              <w:rPr>
                <w:rFonts w:ascii="宋体" w:hAnsi="宋体" w:hint="eastAsia"/>
              </w:rPr>
              <w:t>山东久泰化工科技有限责任公司、鄂尔多斯市满来商务有限公司</w:t>
            </w:r>
          </w:p>
        </w:tc>
        <w:tc>
          <w:tcPr>
            <w:tcW w:w="708" w:type="dxa"/>
            <w:vAlign w:val="center"/>
          </w:tcPr>
          <w:p>
            <w:pPr>
              <w:jc w:val="center"/>
            </w:pPr>
            <w:r>
              <w:rPr>
                <w:rFonts w:ascii="宋体" w:hAnsi="宋体" w:hint="eastAsia"/>
              </w:rPr>
              <w:t>仲裁</w:t>
            </w:r>
          </w:p>
        </w:tc>
        <w:tc>
          <w:tcPr>
            <w:tcW w:w="4820" w:type="dxa"/>
            <w:vAlign w:val="center"/>
          </w:tcPr>
          <w:p>
            <w:pPr>
              <w:rPr>
                <w:rFonts w:ascii="宋体" w:hAnsi="宋体"/>
              </w:rPr>
            </w:pPr>
            <w:r>
              <w:rPr>
                <w:rFonts w:ascii="宋体" w:hAnsi="宋体" w:hint="eastAsia"/>
              </w:rPr>
              <w:t>2024年8月，公司向中国国际经济贸易仲裁委员会（“中国贸仲”）提出仲裁申请，要求久泰公司退还股权转让款、违约金、垫付款等共计约14.38亿元，同时承担本案仲裁费、保全费、保险费、律师费及其他实现债权的费用，要求三名被申请人承担连带责任。</w:t>
            </w:r>
          </w:p>
          <w:p>
            <w:pPr>
              <w:rPr>
                <w:rFonts w:ascii="宋体" w:hAnsi="宋体"/>
                <w:color w:val="000000"/>
              </w:rPr>
            </w:pPr>
            <w:r>
              <w:rPr>
                <w:rFonts w:ascii="宋体" w:hAnsi="宋体" w:hint="eastAsia"/>
                <w:color w:val="000000"/>
              </w:rPr>
              <w:t>2025年7月，公司收到中国贸仲裁决书，裁决久泰公司等三名被申请人退还公司煤矿股权转让款及垫付的部分矿业权出让收益共计68,639.08万元，并承担部分保全费、律师费等。</w:t>
            </w:r>
          </w:p>
          <w:p>
            <w:pPr>
              <w:pStyle w:val="Style49"/>
            </w:pPr>
          </w:p>
        </w:tc>
        <w:tc>
          <w:tcPr>
            <w:tcW w:w="1417" w:type="dxa"/>
            <w:vAlign w:val="center"/>
          </w:tcPr>
          <w:p>
            <w:pPr>
              <w:jc w:val="right"/>
            </w:pPr>
            <w:r>
              <w:rPr>
                <w:rFonts w:ascii="宋体" w:hAnsi="宋体" w:hint="eastAsia"/>
              </w:rPr>
              <w:t>143,816.02</w:t>
            </w:r>
          </w:p>
        </w:tc>
        <w:tc>
          <w:tcPr>
            <w:tcW w:w="709" w:type="dxa"/>
            <w:vAlign w:val="center"/>
          </w:tcPr>
          <w:p>
            <w:pPr>
              <w:jc w:val="center"/>
            </w:pPr>
            <w:r>
              <w:rPr>
                <w:rFonts w:ascii="宋体" w:hAnsi="宋体" w:hint="eastAsia"/>
              </w:rPr>
              <w:t>否</w:t>
            </w:r>
          </w:p>
        </w:tc>
        <w:tc>
          <w:tcPr>
            <w:tcW w:w="709" w:type="dxa"/>
            <w:vAlign w:val="center"/>
          </w:tcPr>
          <w:p>
            <w:pPr>
              <w:jc w:val="center"/>
            </w:pPr>
            <w:r>
              <w:rPr>
                <w:rFonts w:ascii="宋体" w:hAnsi="宋体" w:hint="eastAsia"/>
              </w:rPr>
              <w:t>结案</w:t>
            </w:r>
          </w:p>
        </w:tc>
        <w:tc>
          <w:tcPr>
            <w:tcW w:w="1276" w:type="dxa"/>
            <w:vAlign w:val="center"/>
          </w:tcPr>
          <w:p>
            <w:pPr>
              <w:pStyle w:val="Style49"/>
            </w:pPr>
            <w:r>
              <w:rPr>
                <w:rFonts w:ascii="宋体" w:hAnsi="宋体" w:hint="eastAsia"/>
                <w:color w:val="000000"/>
              </w:rPr>
              <w:t>中国贸仲裁决久泰公司等三名被申请人退还公司煤矿股权转让款及垫付的部分矿业权出让收益共计68,639.08万元，并承</w:t>
            </w:r>
            <w:r>
              <w:rPr>
                <w:rFonts w:ascii="宋体" w:hAnsi="宋体" w:hint="eastAsia"/>
                <w:color w:val="000000"/>
              </w:rPr>
              <w:lastRenderedPageBreak/>
              <w:t>担部分仲裁费、保全费、律师费等。</w:t>
            </w:r>
          </w:p>
        </w:tc>
        <w:tc>
          <w:tcPr>
            <w:tcW w:w="1563" w:type="dxa"/>
            <w:vAlign w:val="center"/>
          </w:tcPr>
          <w:p>
            <w:pPr>
              <w:jc w:val="center"/>
            </w:pPr>
            <w:r>
              <w:rPr>
                <w:rFonts w:ascii="宋体" w:hAnsi="宋体" w:hint="eastAsia"/>
                <w:kern w:val="2"/>
              </w:rPr>
              <w:lastRenderedPageBreak/>
              <w:t>-</w:t>
            </w:r>
          </w:p>
        </w:tc>
      </w:tr>
      <w:tr>
        <w:tc>
          <w:tcPr>
            <w:tcW w:w="1271" w:type="dxa"/>
            <w:vAlign w:val="center"/>
          </w:tcPr>
          <w:p>
            <w:pPr>
              <w:pStyle w:val="Style49"/>
            </w:pPr>
            <w:r>
              <w:rPr>
                <w:rFonts w:ascii="宋体" w:hAnsi="宋体" w:hint="eastAsia"/>
              </w:rPr>
              <w:t>昊盛煤业</w:t>
            </w:r>
          </w:p>
        </w:tc>
        <w:tc>
          <w:tcPr>
            <w:tcW w:w="1228" w:type="dxa"/>
            <w:vAlign w:val="center"/>
          </w:tcPr>
          <w:p>
            <w:pPr>
              <w:pStyle w:val="Style49"/>
            </w:pPr>
            <w:r>
              <w:rPr>
                <w:rFonts w:ascii="宋体" w:hAnsi="宋体" w:hint="eastAsia"/>
              </w:rPr>
              <w:t>西部新时代投资股份有限公司（“西部新时代”）</w:t>
            </w:r>
          </w:p>
        </w:tc>
        <w:tc>
          <w:tcPr>
            <w:tcW w:w="993" w:type="dxa"/>
            <w:vAlign w:val="center"/>
          </w:tcPr>
          <w:p>
            <w:pPr>
              <w:pStyle w:val="Style49"/>
            </w:pPr>
            <w:r>
              <w:rPr>
                <w:rFonts w:ascii="宋体" w:hAnsi="宋体" w:hint="eastAsia"/>
              </w:rPr>
              <w:t>无</w:t>
            </w:r>
          </w:p>
        </w:tc>
        <w:tc>
          <w:tcPr>
            <w:tcW w:w="708" w:type="dxa"/>
            <w:vAlign w:val="center"/>
          </w:tcPr>
          <w:p>
            <w:pPr>
              <w:jc w:val="center"/>
            </w:pPr>
            <w:r>
              <w:rPr>
                <w:rFonts w:ascii="宋体" w:hAnsi="宋体" w:hint="eastAsia"/>
              </w:rPr>
              <w:t>仲裁</w:t>
            </w:r>
          </w:p>
        </w:tc>
        <w:tc>
          <w:tcPr>
            <w:tcW w:w="4820" w:type="dxa"/>
            <w:vAlign w:val="center"/>
          </w:tcPr>
          <w:p>
            <w:pPr>
              <w:rPr>
                <w:rFonts w:ascii="宋体" w:hAnsi="宋体"/>
              </w:rPr>
            </w:pPr>
            <w:r>
              <w:rPr>
                <w:rFonts w:ascii="宋体" w:hAnsi="宋体" w:hint="eastAsia"/>
              </w:rPr>
              <w:t>2024年12月，昊盛煤业向济南仲裁委员会提出仲裁申请，要求西部新时代根据《增资协议》的约定履行增资义务，并承担相应违约责任等共计约12.09亿元。</w:t>
            </w:r>
          </w:p>
          <w:p>
            <w:pPr>
              <w:rPr>
                <w:rFonts w:ascii="宋体" w:hAnsi="宋体"/>
                <w:color w:val="000000"/>
              </w:rPr>
            </w:pPr>
            <w:r>
              <w:rPr>
                <w:rFonts w:ascii="宋体" w:hAnsi="宋体" w:hint="eastAsia"/>
                <w:color w:val="000000"/>
              </w:rPr>
              <w:t>2025年5月，公司收到济南仲裁委员会裁决书，裁决西部新时代向昊盛煤业缴纳增资款共计56,473.89万元，并承担相应的违约金、保全费、仲裁费等。</w:t>
            </w:r>
          </w:p>
          <w:p>
            <w:pPr>
              <w:pStyle w:val="Style49"/>
            </w:pPr>
          </w:p>
        </w:tc>
        <w:tc>
          <w:tcPr>
            <w:tcW w:w="1417" w:type="dxa"/>
            <w:vAlign w:val="center"/>
          </w:tcPr>
          <w:p>
            <w:pPr>
              <w:jc w:val="right"/>
            </w:pPr>
            <w:r>
              <w:rPr>
                <w:rFonts w:ascii="宋体" w:hAnsi="宋体" w:hint="eastAsia"/>
              </w:rPr>
              <w:t>120,866.6</w:t>
            </w:r>
          </w:p>
        </w:tc>
        <w:tc>
          <w:tcPr>
            <w:tcW w:w="709" w:type="dxa"/>
            <w:vAlign w:val="center"/>
          </w:tcPr>
          <w:p>
            <w:pPr>
              <w:jc w:val="center"/>
            </w:pPr>
            <w:r>
              <w:rPr>
                <w:rFonts w:ascii="宋体" w:hAnsi="宋体" w:hint="eastAsia"/>
              </w:rPr>
              <w:t>否</w:t>
            </w:r>
          </w:p>
        </w:tc>
        <w:tc>
          <w:tcPr>
            <w:tcW w:w="709" w:type="dxa"/>
            <w:vAlign w:val="center"/>
          </w:tcPr>
          <w:p>
            <w:pPr>
              <w:jc w:val="center"/>
            </w:pPr>
            <w:r>
              <w:rPr>
                <w:rFonts w:ascii="宋体" w:hAnsi="宋体" w:hint="eastAsia"/>
              </w:rPr>
              <w:t>结案</w:t>
            </w:r>
          </w:p>
        </w:tc>
        <w:tc>
          <w:tcPr>
            <w:tcW w:w="1276" w:type="dxa"/>
            <w:vAlign w:val="center"/>
          </w:tcPr>
          <w:p>
            <w:pPr>
              <w:wordWrap w:val="0"/>
              <w:rPr>
                <w:rFonts w:ascii="宋体" w:hAnsi="宋体"/>
                <w:color w:val="000000"/>
              </w:rPr>
            </w:pPr>
            <w:r>
              <w:rPr>
                <w:rFonts w:ascii="宋体" w:hAnsi="宋体" w:hint="eastAsia"/>
                <w:color w:val="000000"/>
              </w:rPr>
              <w:t>济南仲裁委员会裁决西部新时代向昊盛煤业缴纳增资款共计56,473.89万元，并承担相应的违约金、保全费、仲裁费。</w:t>
            </w:r>
          </w:p>
        </w:tc>
        <w:tc>
          <w:tcPr>
            <w:tcW w:w="1563" w:type="dxa"/>
            <w:vAlign w:val="center"/>
          </w:tcPr>
          <w:p>
            <w:pPr>
              <w:jc w:val="center"/>
            </w:pPr>
            <w:r>
              <w:rPr>
                <w:rFonts w:ascii="宋体" w:hAnsi="宋体" w:hint="eastAsia"/>
                <w:kern w:val="2"/>
              </w:rPr>
              <w:t>-</w:t>
            </w:r>
          </w:p>
        </w:tc>
      </w:tr>
      <w:tr>
        <w:tc>
          <w:tcPr>
            <w:tcW w:w="1271" w:type="dxa"/>
            <w:vAlign w:val="center"/>
          </w:tcPr>
          <w:p>
            <w:pPr>
              <w:rPr>
                <w:highlight w:val="yellow"/>
              </w:rPr>
            </w:pPr>
            <w:r>
              <w:rPr>
                <w:rFonts w:ascii="宋体" w:hAnsi="宋体" w:hint="eastAsia"/>
              </w:rPr>
              <w:t>昊盛煤业</w:t>
            </w:r>
          </w:p>
        </w:tc>
        <w:tc>
          <w:tcPr>
            <w:tcW w:w="1228" w:type="dxa"/>
            <w:vAlign w:val="center"/>
          </w:tcPr>
          <w:p>
            <w:pPr>
              <w:pStyle w:val="Style49"/>
            </w:pPr>
            <w:r>
              <w:rPr>
                <w:rFonts w:ascii="宋体" w:hAnsi="宋体" w:hint="eastAsia"/>
              </w:rPr>
              <w:t>中国金谷国际信托有限责任公司（“金谷信托”）</w:t>
            </w:r>
          </w:p>
        </w:tc>
        <w:tc>
          <w:tcPr>
            <w:tcW w:w="993" w:type="dxa"/>
            <w:vAlign w:val="center"/>
          </w:tcPr>
          <w:p>
            <w:pPr>
              <w:pStyle w:val="Style49"/>
            </w:pPr>
            <w:r>
              <w:rPr>
                <w:rFonts w:ascii="宋体" w:hAnsi="宋体" w:hint="eastAsia"/>
              </w:rPr>
              <w:t>无</w:t>
            </w:r>
          </w:p>
        </w:tc>
        <w:tc>
          <w:tcPr>
            <w:tcW w:w="708" w:type="dxa"/>
            <w:vAlign w:val="center"/>
          </w:tcPr>
          <w:p>
            <w:pPr>
              <w:jc w:val="center"/>
            </w:pPr>
            <w:r>
              <w:rPr>
                <w:rFonts w:ascii="宋体" w:hAnsi="宋体" w:hint="eastAsia"/>
              </w:rPr>
              <w:t>诉讼</w:t>
            </w:r>
          </w:p>
        </w:tc>
        <w:tc>
          <w:tcPr>
            <w:tcW w:w="4820" w:type="dxa"/>
            <w:vAlign w:val="center"/>
          </w:tcPr>
          <w:p>
            <w:pPr>
              <w:rPr>
                <w:rFonts w:ascii="宋体" w:hAnsi="宋体"/>
              </w:rPr>
            </w:pPr>
            <w:r>
              <w:rPr>
                <w:rFonts w:ascii="宋体" w:hAnsi="宋体" w:hint="eastAsia"/>
              </w:rPr>
              <w:t>2025年1月，昊盛煤业向鄂尔多斯市中级人民法院提出诉讼，要求金谷信托承担其继受西部新时代取得的昊盛煤业股权对应的增资义务、违约金等共计约12.09亿元。</w:t>
            </w:r>
          </w:p>
          <w:p>
            <w:pPr>
              <w:rPr>
                <w:rFonts w:ascii="宋体" w:hAnsi="宋体"/>
              </w:rPr>
            </w:pPr>
            <w:r>
              <w:rPr>
                <w:rFonts w:ascii="宋体" w:hAnsi="宋体" w:hint="eastAsia"/>
              </w:rPr>
              <w:t>2026年1月，昊盛煤业收到一审胜诉判决，金谷信托向内蒙古自治区高级人民法院提起上诉。</w:t>
            </w:r>
          </w:p>
          <w:p>
            <w:pPr>
              <w:pStyle w:val="Style49"/>
            </w:pPr>
            <w:r>
              <w:rPr>
                <w:rFonts w:ascii="宋体" w:hAnsi="宋体" w:hint="eastAsia"/>
              </w:rPr>
              <w:t>截至本报告披露日，内蒙古自治区高级人民法院尚未作出裁决。</w:t>
            </w:r>
          </w:p>
        </w:tc>
        <w:tc>
          <w:tcPr>
            <w:tcW w:w="1417" w:type="dxa"/>
            <w:vAlign w:val="center"/>
          </w:tcPr>
          <w:p>
            <w:pPr>
              <w:jc w:val="right"/>
            </w:pPr>
            <w:r>
              <w:rPr>
                <w:rFonts w:ascii="宋体" w:hAnsi="宋体" w:hint="eastAsia"/>
              </w:rPr>
              <w:t>120,866.6</w:t>
            </w:r>
          </w:p>
        </w:tc>
        <w:tc>
          <w:tcPr>
            <w:tcW w:w="709" w:type="dxa"/>
            <w:vAlign w:val="center"/>
          </w:tcPr>
          <w:p>
            <w:pPr>
              <w:jc w:val="center"/>
            </w:pPr>
            <w:r>
              <w:rPr>
                <w:rFonts w:ascii="宋体" w:hAnsi="宋体" w:hint="eastAsia"/>
              </w:rPr>
              <w:t>否</w:t>
            </w:r>
          </w:p>
        </w:tc>
        <w:tc>
          <w:tcPr>
            <w:tcW w:w="709" w:type="dxa"/>
            <w:vAlign w:val="center"/>
          </w:tcPr>
          <w:p>
            <w:pPr>
              <w:jc w:val="center"/>
            </w:pPr>
            <w:r>
              <w:rPr>
                <w:rFonts w:ascii="宋体" w:hAnsi="宋体" w:hint="eastAsia"/>
              </w:rPr>
              <w:t>二审程序</w:t>
            </w:r>
          </w:p>
        </w:tc>
        <w:tc>
          <w:tcPr>
            <w:tcW w:w="1276" w:type="dxa"/>
            <w:vAlign w:val="center"/>
          </w:tcPr>
          <w:p>
            <w:pPr>
              <w:pStyle w:val="Style49"/>
            </w:pPr>
            <w:r>
              <w:rPr>
                <w:rFonts w:ascii="宋体" w:hAnsi="宋体" w:hint="eastAsia"/>
              </w:rPr>
              <w:t>本案目前正在履行二审程序，尚无法判断本次诉讼事项对公司期后利润的影响。</w:t>
            </w:r>
          </w:p>
        </w:tc>
        <w:tc>
          <w:tcPr>
            <w:tcW w:w="1563" w:type="dxa"/>
            <w:vAlign w:val="center"/>
          </w:tcPr>
          <w:p>
            <w:pPr>
              <w:jc w:val="center"/>
            </w:pPr>
            <w:r>
              <w:rPr>
                <w:rFonts w:ascii="宋体" w:hAnsi="宋体" w:hint="eastAsia"/>
                <w:kern w:val="2"/>
              </w:rPr>
              <w:t>-</w:t>
            </w:r>
          </w:p>
        </w:tc>
      </w:tr>
      <w:tr>
        <w:tc>
          <w:tcPr>
            <w:tcW w:w="1271" w:type="dxa"/>
            <w:vAlign w:val="center"/>
          </w:tcPr>
          <w:p>
            <w:pPr>
              <w:pStyle w:val="Style49"/>
            </w:pPr>
            <w:r>
              <w:rPr>
                <w:rFonts w:ascii="宋体" w:hAnsi="宋体" w:hint="eastAsia"/>
              </w:rPr>
              <w:lastRenderedPageBreak/>
              <w:t>内蒙古矿业</w:t>
            </w:r>
          </w:p>
        </w:tc>
        <w:tc>
          <w:tcPr>
            <w:tcW w:w="1228" w:type="dxa"/>
            <w:vAlign w:val="center"/>
          </w:tcPr>
          <w:p>
            <w:pPr>
              <w:pStyle w:val="Style49"/>
            </w:pPr>
            <w:r>
              <w:rPr>
                <w:rFonts w:ascii="宋体" w:hAnsi="宋体" w:hint="eastAsia"/>
              </w:rPr>
              <w:t>鄂尔多斯文化产业投资有限公司、百年树人（集团）有限公司</w:t>
            </w:r>
          </w:p>
        </w:tc>
        <w:tc>
          <w:tcPr>
            <w:tcW w:w="993" w:type="dxa"/>
            <w:vAlign w:val="center"/>
          </w:tcPr>
          <w:p>
            <w:pPr>
              <w:pStyle w:val="Style49"/>
            </w:pPr>
            <w:r>
              <w:rPr>
                <w:rFonts w:ascii="宋体" w:hAnsi="宋体" w:hint="eastAsia"/>
              </w:rPr>
              <w:t>无</w:t>
            </w:r>
          </w:p>
        </w:tc>
        <w:tc>
          <w:tcPr>
            <w:tcW w:w="708" w:type="dxa"/>
            <w:vAlign w:val="center"/>
          </w:tcPr>
          <w:p>
            <w:pPr>
              <w:jc w:val="center"/>
            </w:pPr>
            <w:r>
              <w:rPr>
                <w:rFonts w:ascii="宋体" w:hAnsi="宋体" w:hint="eastAsia"/>
              </w:rPr>
              <w:t>仲裁</w:t>
            </w:r>
          </w:p>
        </w:tc>
        <w:tc>
          <w:tcPr>
            <w:tcW w:w="4820" w:type="dxa"/>
            <w:vAlign w:val="center"/>
          </w:tcPr>
          <w:p>
            <w:pPr>
              <w:rPr>
                <w:rFonts w:ascii="宋体" w:hAnsi="宋体"/>
              </w:rPr>
            </w:pPr>
            <w:r>
              <w:rPr>
                <w:rFonts w:ascii="宋体" w:hAnsi="宋体" w:hint="eastAsia"/>
              </w:rPr>
              <w:t>2024年10月，内蒙古矿业依据签署的《鄂尔多斯文化产业园文化教育有限公司增资协议》，向呼和浩特仲裁委员会申请仲裁。要求鄂尔多斯文化产业投资有限公司、百年树人（集团）有限公司履行回购义务，向内蒙古矿业支付股权转让款、资金占用费、违约金共计34,292.19万元。</w:t>
            </w:r>
          </w:p>
          <w:p>
            <w:pPr>
              <w:pStyle w:val="Style49"/>
            </w:pPr>
            <w:r>
              <w:rPr>
                <w:rFonts w:ascii="宋体" w:hAnsi="宋体" w:hint="eastAsia"/>
              </w:rPr>
              <w:t>截至本报告披露日，呼和浩特仲裁委员会尚未作出裁决。</w:t>
            </w:r>
          </w:p>
        </w:tc>
        <w:tc>
          <w:tcPr>
            <w:tcW w:w="1417" w:type="dxa"/>
            <w:vAlign w:val="center"/>
          </w:tcPr>
          <w:p>
            <w:pPr>
              <w:jc w:val="right"/>
            </w:pPr>
            <w:r>
              <w:rPr>
                <w:rFonts w:ascii="宋体" w:hAnsi="宋体" w:hint="eastAsia"/>
              </w:rPr>
              <w:t>34,292.19</w:t>
            </w:r>
          </w:p>
        </w:tc>
        <w:tc>
          <w:tcPr>
            <w:tcW w:w="709" w:type="dxa"/>
            <w:vAlign w:val="center"/>
          </w:tcPr>
          <w:p>
            <w:pPr>
              <w:jc w:val="center"/>
            </w:pPr>
            <w:r>
              <w:rPr>
                <w:rFonts w:ascii="宋体" w:hAnsi="宋体" w:hint="eastAsia"/>
              </w:rPr>
              <w:t>否</w:t>
            </w:r>
          </w:p>
        </w:tc>
        <w:tc>
          <w:tcPr>
            <w:tcW w:w="709" w:type="dxa"/>
            <w:vAlign w:val="center"/>
          </w:tcPr>
          <w:p>
            <w:pPr>
              <w:jc w:val="center"/>
            </w:pPr>
            <w:r>
              <w:rPr>
                <w:rFonts w:ascii="宋体" w:hAnsi="宋体" w:hint="eastAsia"/>
              </w:rPr>
              <w:t>仲裁程序</w:t>
            </w:r>
          </w:p>
        </w:tc>
        <w:tc>
          <w:tcPr>
            <w:tcW w:w="1276" w:type="dxa"/>
            <w:vAlign w:val="center"/>
          </w:tcPr>
          <w:p>
            <w:pPr>
              <w:pStyle w:val="Style49"/>
            </w:pPr>
            <w:r>
              <w:rPr>
                <w:rFonts w:ascii="宋体" w:hAnsi="宋体" w:hint="eastAsia"/>
              </w:rPr>
              <w:t>本案目前正在履行仲裁程序，尚无法判断本次仲裁事项对公司期后利润的影响。</w:t>
            </w:r>
          </w:p>
        </w:tc>
        <w:tc>
          <w:tcPr>
            <w:tcW w:w="1563" w:type="dxa"/>
            <w:vAlign w:val="center"/>
          </w:tcPr>
          <w:p>
            <w:pPr>
              <w:jc w:val="center"/>
            </w:pPr>
            <w:r>
              <w:rPr>
                <w:rFonts w:ascii="宋体" w:hAnsi="宋体" w:hint="eastAsia"/>
                <w:kern w:val="2"/>
              </w:rPr>
              <w:t>-</w:t>
            </w:r>
          </w:p>
        </w:tc>
      </w:tr>
    </w:tbl>
    <w:p>
      <w:pPr>
        <w:pStyle w:val="Style49"/>
      </w:pPr>
    </w:p>
    <w:p>
      <w:pPr>
        <w:pStyle w:val="Style52"/>
        <w:numPr>
          <w:ilvl w:val="0"/>
          <w:numId w:val="37"/>
        </w:numPr>
      </w:pPr>
      <w:r>
        <w:rPr>
          <w:szCs w:val="21"/>
        </w:rPr>
        <w:t>其他说明</w:t>
      </w:r>
    </w:p>
    <w:sdt>
      <w:sdtPr>
        <w:rPr>
          <w:rFonts w:hint="eastAsia"/>
        </w:rPr>
        <w:alias w:val="是否适用：重大诉讼、仲裁事项其他说明[双击切换]"/>
        <w:tag w:val="_GBC_08b4ed5586904b67b0e5328f25166753"/>
        <w:id w:val="1611462912"/>
        <w:placeholder>
          <w:docPart w:val="GBC22222222222222222222222222222"/>
        </w:placeholder>
      </w:sdtPr>
      <w:sdtContent>
        <w:p>
          <w:pPr>
            <w:rPr>
              <w:rFonts w:ascii="宋体" w:hAnsi="宋体"/>
            </w:rPr>
            <w:sectPr>
              <w:pgSz w:w="16838" w:h="11906" w:orient="landscape"/>
              <w:pgMar w:top="1797" w:right="1525" w:bottom="1276" w:left="1440" w:header="855" w:footer="992" w:gutter="0"/>
              <w:cols w:space="425"/>
              <w:docGrid w:linePitch="312"/>
            </w:sect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p>
          <w:pPr>
            <w:pStyle w:val="Style49"/>
          </w:pPr>
        </w:p>
      </w:sdtContent>
    </w:sdt>
    <w:p>
      <w:pPr>
        <w:pStyle w:val="Style49"/>
      </w:pPr>
    </w:p>
    <w:p>
      <w:pPr>
        <w:pStyle w:val="Style51"/>
        <w:numPr>
          <w:ilvl w:val="0"/>
          <w:numId w:val="33"/>
        </w:numPr>
      </w:pPr>
      <w:r>
        <w:rPr>
          <w:rFonts w:hint="eastAsia"/>
        </w:rPr>
        <w:t>上市公司及其董事、高级管理人员、控股股东、实际控制人涉嫌违法违规、受到处罚及整改情况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39520766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1"/>
        <w:numPr>
          <w:ilvl w:val="0"/>
          <w:numId w:val="33"/>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172857951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ind w:firstLineChars="200" w:firstLine="420"/>
        <w:jc w:val="both"/>
      </w:pPr>
      <w:r>
        <w:rPr>
          <w:rFonts w:hint="eastAsia"/>
        </w:rPr>
        <w:t>报告期内公司及其控股股东、实际控制人不存在未履行法院生效判决、所负数额较大的债务到期未清偿等不诚信的情况。</w:t>
      </w:r>
    </w:p>
    <w:p>
      <w:pPr>
        <w:pStyle w:val="Style49"/>
      </w:pPr>
    </w:p>
    <w:p>
      <w:pPr>
        <w:pStyle w:val="Style51"/>
        <w:numPr>
          <w:ilvl w:val="0"/>
          <w:numId w:val="33"/>
        </w:numPr>
      </w:pPr>
      <w:r>
        <w:rPr>
          <w:rFonts w:hint="eastAsia"/>
        </w:rPr>
        <w:t>重大关联</w:t>
      </w:r>
      <w:r>
        <w:rPr>
          <w:rFonts w:hint="eastAsia"/>
        </w:rPr>
        <w:t>/</w:t>
      </w:r>
      <w:r>
        <w:rPr>
          <w:rFonts w:hint="eastAsia"/>
        </w:rPr>
        <w:t>关连交易</w:t>
      </w:r>
    </w:p>
    <w:p>
      <w:pPr>
        <w:pStyle w:val="Style52"/>
        <w:numPr>
          <w:ilvl w:val="2"/>
          <w:numId w:val="38"/>
        </w:numPr>
        <w:rPr>
          <w:szCs w:val="21"/>
        </w:rPr>
      </w:pPr>
      <w:bookmarkStart w:id="211" w:name="_Toc342491961"/>
      <w:bookmarkStart w:id="212" w:name="_Toc342565953"/>
      <w:r>
        <w:rPr>
          <w:rFonts w:hint="eastAsia"/>
          <w:szCs w:val="21"/>
        </w:rPr>
        <w:t>与日常经营相关的关联</w:t>
      </w:r>
      <w:r>
        <w:rPr>
          <w:rFonts w:hint="eastAsia"/>
        </w:rPr>
        <w:t>/</w:t>
      </w:r>
      <w:r>
        <w:rPr>
          <w:rFonts w:hint="eastAsia"/>
        </w:rPr>
        <w:t>关连</w:t>
      </w:r>
      <w:r>
        <w:rPr>
          <w:rFonts w:hint="eastAsia"/>
          <w:szCs w:val="21"/>
        </w:rPr>
        <w:t>交易</w:t>
      </w:r>
      <w:bookmarkEnd w:id="211"/>
      <w:bookmarkEnd w:id="212"/>
    </w:p>
    <w:p>
      <w:pPr>
        <w:ind w:firstLineChars="200" w:firstLine="420"/>
        <w:jc w:val="both"/>
        <w:rPr>
          <w:rFonts w:ascii="宋体" w:hAnsi="宋体"/>
          <w:bCs/>
        </w:rPr>
      </w:pPr>
      <w:r>
        <w:rPr>
          <w:rFonts w:ascii="宋体" w:hAnsi="宋体" w:hint="eastAsia"/>
          <w:bCs/>
        </w:rPr>
        <w:t>本集团的关联/关连交易主要是本集团与控股股东山东能源及其附属公司（本集团除外）（“山东能源集团”）之间的关联/关连交易。</w:t>
      </w:r>
    </w:p>
    <w:p>
      <w:pPr>
        <w:ind w:firstLineChars="200" w:firstLine="420"/>
        <w:jc w:val="both"/>
        <w:rPr>
          <w:rFonts w:ascii="宋体" w:hAnsi="宋体"/>
          <w:bCs/>
        </w:rPr>
      </w:pPr>
      <w:r>
        <w:rPr>
          <w:rFonts w:ascii="宋体" w:hAnsi="宋体" w:hint="eastAsia"/>
          <w:bCs/>
        </w:rPr>
        <w:t>在香港联交所监管规则项下，除上述关联/关连交易，还包括本集团与Glencore Coal Pty Ltd（“嘉能可”）及其附属公司（“嘉能可集团”）、瑞钢联集团有限公司（“瑞钢联”）（嘉能可、瑞钢联均为本公司重要附属公司之主要股东，因此均是本公司附属公司层面的关联/关连人士），以及与关联/关连附属公司山能财司、鲁西矿业、新疆能化、西北矿业及其各自的附属公司（视情况而定）之间的关联/关连交易。</w:t>
      </w:r>
    </w:p>
    <w:p>
      <w:pPr>
        <w:ind w:firstLineChars="200" w:firstLine="420"/>
        <w:jc w:val="both"/>
        <w:rPr>
          <w:rFonts w:ascii="宋体" w:hAnsi="宋体"/>
          <w:bCs/>
        </w:rPr>
      </w:pPr>
      <w:r>
        <w:rPr>
          <w:rFonts w:ascii="宋体" w:hAnsi="宋体" w:hint="eastAsia"/>
          <w:bCs/>
        </w:rPr>
        <w:t>本公司开展上述关联/关连交易的目的是为更好地实现公司与关联/关连方的资源共享和协同效应，降低交易成本和风险，提高公司盈利能力和核心竞争力。</w:t>
      </w:r>
    </w:p>
    <w:p>
      <w:pPr>
        <w:ind w:firstLineChars="200" w:firstLine="420"/>
      </w:pPr>
    </w:p>
    <w:p>
      <w:pPr>
        <w:pStyle w:val="Style53"/>
        <w:numPr>
          <w:ilvl w:val="2"/>
          <w:numId w:val="39"/>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86818011"/>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3"/>
        <w:numPr>
          <w:ilvl w:val="2"/>
          <w:numId w:val="39"/>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2033528479"/>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与日常经营相关的关联交易事项已在临时报告披露，后续实施的进展或变化"/>
        <w:tag w:val="_GBC_5fbfc287aede44a486960ae219233887"/>
        <w:id w:val="-872229506"/>
        <w:placeholder>
          <w:docPart w:val="GBC22222222222222222222222222222"/>
        </w:placeholder>
      </w:sdtPr>
      <w:sdtEndPr>
        <w:rPr>
          <w:rFonts w:ascii="宋体" w:hAnsi="宋体"/>
        </w:rPr>
      </w:sdtEndPr>
      <w:sdtContent>
        <w:p>
          <w:pPr>
            <w:ind w:firstLineChars="200" w:firstLine="420"/>
            <w:jc w:val="both"/>
            <w:rPr>
              <w:rFonts w:ascii="宋体" w:hAnsi="宋体"/>
              <w:bCs/>
            </w:rPr>
          </w:pPr>
          <w:r>
            <w:rPr>
              <w:rFonts w:ascii="宋体" w:hAnsi="宋体" w:hint="eastAsia"/>
              <w:bCs/>
            </w:rPr>
            <w:t>（1）报告期内与山东能源集团持续性关联/关连交易协议审批及执行情况</w:t>
          </w:r>
        </w:p>
        <w:p>
          <w:pPr>
            <w:ind w:firstLineChars="200" w:firstLine="420"/>
            <w:jc w:val="both"/>
            <w:rPr>
              <w:rFonts w:ascii="宋体" w:hAnsi="宋体"/>
              <w:bCs/>
            </w:rPr>
          </w:pPr>
          <w:r>
            <w:rPr>
              <w:rFonts w:ascii="宋体" w:hAnsi="宋体" w:hint="eastAsia"/>
              <w:bCs/>
            </w:rPr>
            <w:t>①商品和服务供应及保险金持续性关联/关连交易</w:t>
          </w:r>
        </w:p>
        <w:p>
          <w:pPr>
            <w:ind w:firstLineChars="200" w:firstLine="420"/>
            <w:jc w:val="both"/>
            <w:rPr>
              <w:rFonts w:ascii="宋体" w:hAnsi="宋体"/>
              <w:bCs/>
            </w:rPr>
          </w:pPr>
          <w:r>
            <w:rPr>
              <w:rFonts w:ascii="宋体" w:hAnsi="宋体" w:hint="eastAsia"/>
              <w:bCs/>
            </w:rPr>
            <w:t>公司2023年6月30日召开的2022年度股东周年大会，审议批准公司与山东能源签署《材料物资供应协议》《劳务及服务互供协议》《保险金管理协议》以及《产品、材料物资供应及资产租赁协议》，及其所限定交易于2023-2025年度交易上限金额。上述持续性关联/关连交易协议生效后追溯至2023年1月1日起生效。有关详情请见公司日期为2023年4月28日及2023年6月30日的公告以及日期为2023年6月9日的通函。</w:t>
          </w:r>
        </w:p>
        <w:p>
          <w:pPr>
            <w:ind w:firstLineChars="200" w:firstLine="420"/>
            <w:jc w:val="both"/>
            <w:rPr>
              <w:rFonts w:ascii="宋体" w:hAnsi="宋体"/>
              <w:bCs/>
            </w:rPr>
          </w:pPr>
          <w:r>
            <w:rPr>
              <w:rFonts w:ascii="宋体" w:hAnsi="宋体" w:hint="eastAsia"/>
              <w:bCs/>
            </w:rPr>
            <w:t>公司2023年10月27日召开的2023年度第一次临时股东大会，审议批准公司与山东能源签署《大宗商品购销协议》及其所限定交易于2024-2025年度的交易上限金额。有关详情请见公司日期为2023年8月25日及2023年10月27日的公告以及日期为2023年9月28日的通函。</w:t>
          </w:r>
        </w:p>
        <w:p>
          <w:pPr>
            <w:ind w:firstLineChars="200" w:firstLine="420"/>
            <w:jc w:val="both"/>
            <w:rPr>
              <w:rFonts w:ascii="宋体" w:hAnsi="宋体"/>
              <w:bCs/>
            </w:rPr>
          </w:pPr>
          <w:r>
            <w:rPr>
              <w:rFonts w:ascii="宋体" w:hAnsi="宋体" w:hint="eastAsia"/>
              <w:bCs/>
            </w:rPr>
            <w:t>公司2024年10月25日召开的2024年度第一次临时股东大会，审议批准公司与山东能源签署调整后的《劳务及服务互供协议》《保险金管理协议》，重新厘定《劳务及服务互供协议》《保险金管理协议》《大宗商品购销协议》所限定交易于2024-2025年度交易上限金额。调整后的《劳务及服务互供协议》《保险金管理协议》追溯至2024年1月1日起生效。有关详情请见公司日期为2024年8月30日及2024年10月25日的公告以及日期为2024年9月30日的通函。</w:t>
          </w:r>
        </w:p>
        <w:p>
          <w:pPr>
            <w:ind w:firstLineChars="200" w:firstLine="420"/>
            <w:jc w:val="both"/>
            <w:rPr>
              <w:rFonts w:ascii="宋体" w:hAnsi="宋体"/>
              <w:bCs/>
            </w:rPr>
          </w:pPr>
          <w:r>
            <w:rPr>
              <w:rFonts w:ascii="宋体" w:hAnsi="宋体" w:hint="eastAsia"/>
              <w:bCs/>
            </w:rPr>
            <w:t>公司2025年5月30日召开的2024年度股东周年大会，审议批准公司与山东能源签署新《材料物资供应协议》《劳务及服务互供协议》《保险金管理协议》《大宗商品购销协议》《产品、</w:t>
          </w:r>
          <w:r>
            <w:rPr>
              <w:rFonts w:ascii="宋体" w:hAnsi="宋体" w:hint="eastAsia"/>
              <w:bCs/>
            </w:rPr>
            <w:lastRenderedPageBreak/>
            <w:t>材料物资及资产租赁协议》，及上述协议所限定交易于2025-2027年度交易上限金额。上述持续性关联/关连交易协议追溯至2025年1月1日起生效。有关详情请见公司日期为2025年4月8日及2025年5月30日的公告以及日期为2025年5月15日的通函。</w:t>
          </w:r>
        </w:p>
        <w:p>
          <w:pPr>
            <w:ind w:firstLineChars="200" w:firstLine="420"/>
            <w:jc w:val="both"/>
            <w:rPr>
              <w:rFonts w:ascii="宋体" w:hAnsi="宋体"/>
              <w:bCs/>
            </w:rPr>
          </w:pPr>
          <w:r>
            <w:rPr>
              <w:rFonts w:ascii="宋体" w:hAnsi="宋体" w:hint="eastAsia"/>
              <w:bCs/>
            </w:rPr>
            <w:t>本次重新签订持续性关联/关连交易协议是基于公司及附属公司正常的日常经营需要，体现公平合理原则，符合公司及全体股东利益；本次持续性关联/关连交易的签署不会对公司现在及将来的财务状况、经营成果产生不利影响，不会对公司独立性产生影响，公司业务没有因本次持续性关联/关连交易的签署而对控股股东形成依赖。</w:t>
          </w:r>
        </w:p>
        <w:p>
          <w:pPr>
            <w:ind w:firstLineChars="200" w:firstLine="420"/>
            <w:jc w:val="both"/>
            <w:rPr>
              <w:rFonts w:ascii="宋体" w:hAnsi="宋体"/>
              <w:bCs/>
            </w:rPr>
          </w:pPr>
          <w:r>
            <w:rPr>
              <w:rFonts w:ascii="宋体" w:hAnsi="宋体" w:hint="eastAsia"/>
              <w:bCs/>
            </w:rPr>
            <w:t>除《保险金管理协议》外，确定价格的主要方式有：国家规定的价格；市场价格；以实际成本为基础厘定交易价格。交易费用可一次性或分期支付。每个公历月的最后一个营业日就当月到期应支付给另一方或应向另一方收取的有关持续性关联/关连交易款项登记入账。每个公历月发生的持续性关联/关连交易款项应于紧随下一个月度内结算完毕，但不包括当时尚未完成交易所涉及款项和仍有争议的款项。</w:t>
          </w:r>
        </w:p>
        <w:p>
          <w:pPr>
            <w:ind w:firstLineChars="200" w:firstLine="420"/>
            <w:jc w:val="both"/>
            <w:rPr>
              <w:rFonts w:ascii="宋体" w:hAnsi="宋体"/>
              <w:bCs/>
            </w:rPr>
          </w:pPr>
          <w:r>
            <w:rPr>
              <w:rFonts w:ascii="宋体" w:hAnsi="宋体" w:hint="eastAsia"/>
              <w:bCs/>
            </w:rPr>
            <w:t>2025年，本集团向山东能源集团销售商品、提供服务收取的费用总金额为</w:t>
          </w:r>
          <w:bookmarkStart w:id="213" w:name="_Hlk224826219"/>
          <w:r>
            <w:rPr>
              <w:rFonts w:ascii="宋体" w:hAnsi="宋体" w:hint="eastAsia"/>
              <w:bCs/>
            </w:rPr>
            <w:t>166.38</w:t>
          </w:r>
          <w:bookmarkEnd w:id="213"/>
          <w:r>
            <w:rPr>
              <w:rFonts w:ascii="宋体" w:hAnsi="宋体" w:hint="eastAsia"/>
              <w:bCs/>
            </w:rPr>
            <w:t>亿元；山东能源集团向本集团销售商品、提供服务收取的费用总金额为</w:t>
          </w:r>
          <w:bookmarkStart w:id="214" w:name="_Hlk224826225"/>
          <w:r>
            <w:rPr>
              <w:rFonts w:ascii="宋体" w:hAnsi="宋体" w:hint="eastAsia"/>
              <w:bCs/>
            </w:rPr>
            <w:t>145.3</w:t>
          </w:r>
          <w:bookmarkEnd w:id="214"/>
          <w:r>
            <w:rPr>
              <w:rFonts w:ascii="宋体" w:hAnsi="宋体" w:hint="eastAsia"/>
              <w:bCs/>
            </w:rPr>
            <w:t>5亿元。</w:t>
          </w:r>
        </w:p>
        <w:p>
          <w:pPr>
            <w:ind w:firstLineChars="200" w:firstLine="420"/>
            <w:jc w:val="both"/>
            <w:rPr>
              <w:rFonts w:ascii="宋体" w:hAnsi="宋体"/>
              <w:bCs/>
            </w:rPr>
          </w:pPr>
          <w:r>
            <w:rPr>
              <w:rFonts w:ascii="宋体" w:hAnsi="宋体" w:hint="eastAsia"/>
              <w:bCs/>
            </w:rPr>
            <w:t>2025年，本集团与山东能源集团购销商品、提供服务发生的持续性关联/关连交易如下表：</w:t>
          </w:r>
        </w:p>
        <w:tbl>
          <w:tblPr>
            <w:tblStyle w:val="Style63"/>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1417"/>
            <w:gridCol w:w="1559"/>
            <w:gridCol w:w="1276"/>
            <w:gridCol w:w="1315"/>
          </w:tblGrid>
          <w:tr>
            <w:trPr>
              <w:cantSplit/>
              <w:trHeight w:val="135"/>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pPr>
                  <w:rPr>
                    <w:rFonts w:ascii="宋体" w:hAnsi="宋体"/>
                    <w:bCs/>
                  </w:rPr>
                </w:pPr>
              </w:p>
            </w:tc>
            <w:tc>
              <w:tcPr>
                <w:tcW w:w="2977" w:type="dxa"/>
                <w:gridSpan w:val="2"/>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2025年</w:t>
                </w:r>
              </w:p>
            </w:tc>
            <w:tc>
              <w:tcPr>
                <w:tcW w:w="2835" w:type="dxa"/>
                <w:gridSpan w:val="2"/>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2024年</w:t>
                </w:r>
              </w:p>
            </w:tc>
            <w:tc>
              <w:tcPr>
                <w:tcW w:w="1315" w:type="dxa"/>
                <w:vMerge w:val="restart"/>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关联/关连交易额增减（%）</w:t>
                </w:r>
              </w:p>
            </w:tc>
          </w:tr>
          <w:tr>
            <w:trPr>
              <w:cantSplit/>
              <w:jc w:val="center"/>
            </w:trPr>
            <w:tc>
              <w:tcPr>
                <w:tcW w:w="1696" w:type="dxa"/>
                <w:vMerge/>
                <w:tcBorders>
                  <w:top w:val="single" w:sz="4" w:space="0" w:color="auto"/>
                  <w:left w:val="single" w:sz="4" w:space="0" w:color="auto"/>
                  <w:bottom w:val="single" w:sz="4" w:space="0" w:color="auto"/>
                  <w:right w:val="single" w:sz="4" w:space="0" w:color="auto"/>
                </w:tcBorders>
                <w:vAlign w:val="center"/>
              </w:tcPr>
              <w:p>
                <w:pPr>
                  <w:rPr>
                    <w:rFonts w:ascii="宋体" w:hAnsi="宋体"/>
                    <w:bCs/>
                  </w:rPr>
                </w:pPr>
              </w:p>
            </w:tc>
            <w:tc>
              <w:tcPr>
                <w:tcW w:w="1560" w:type="dxa"/>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金额（千元）</w:t>
                </w:r>
              </w:p>
            </w:tc>
            <w:tc>
              <w:tcPr>
                <w:tcW w:w="1417" w:type="dxa"/>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占营业收入比例（%）</w:t>
                </w:r>
              </w:p>
            </w:tc>
            <w:tc>
              <w:tcPr>
                <w:tcW w:w="1559" w:type="dxa"/>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金额（千元）</w:t>
                </w:r>
              </w:p>
            </w:tc>
            <w:tc>
              <w:tcPr>
                <w:tcW w:w="1276" w:type="dxa"/>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占营业收入比例（%）</w:t>
                </w:r>
              </w:p>
            </w:tc>
            <w:tc>
              <w:tcPr>
                <w:tcW w:w="1315" w:type="dxa"/>
                <w:vMerge/>
                <w:tcBorders>
                  <w:top w:val="single" w:sz="4" w:space="0" w:color="auto"/>
                  <w:left w:val="nil"/>
                  <w:bottom w:val="single" w:sz="4" w:space="0" w:color="auto"/>
                  <w:right w:val="single" w:sz="4" w:space="0" w:color="auto"/>
                </w:tcBorders>
                <w:vAlign w:val="center"/>
              </w:tcPr>
              <w:p>
                <w:pPr>
                  <w:jc w:val="center"/>
                  <w:rPr>
                    <w:rFonts w:ascii="宋体" w:hAnsi="宋体"/>
                    <w:bCs/>
                  </w:rPr>
                </w:pPr>
              </w:p>
            </w:tc>
          </w:tr>
          <w:tr>
            <w:trPr>
              <w:jc w:val="center"/>
            </w:trPr>
            <w:tc>
              <w:tcPr>
                <w:tcW w:w="169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bCs/>
                  </w:rPr>
                  <w:t>本集团向山东能源集团销售商品、提供服务</w:t>
                </w:r>
              </w:p>
            </w:tc>
            <w:tc>
              <w:tcPr>
                <w:tcW w:w="1560"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16,637,924</w:t>
                </w:r>
              </w:p>
            </w:tc>
            <w:tc>
              <w:tcPr>
                <w:tcW w:w="1417"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11.48</w:t>
                </w:r>
              </w:p>
            </w:tc>
            <w:tc>
              <w:tcPr>
                <w:tcW w:w="1559"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rPr>
                  <w:t>13,645,710</w:t>
                </w:r>
              </w:p>
            </w:tc>
            <w:tc>
              <w:tcPr>
                <w:tcW w:w="1276"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rPr>
                  <w:t>9.81</w:t>
                </w:r>
              </w:p>
            </w:tc>
            <w:tc>
              <w:tcPr>
                <w:tcW w:w="1315"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21.93</w:t>
                </w:r>
              </w:p>
            </w:tc>
          </w:tr>
          <w:tr>
            <w:trPr>
              <w:jc w:val="center"/>
            </w:trPr>
            <w:tc>
              <w:tcPr>
                <w:tcW w:w="169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bCs/>
                  </w:rPr>
                  <w:t>山东能源集团向本集团销售商品、提供服务</w:t>
                </w:r>
              </w:p>
            </w:tc>
            <w:tc>
              <w:tcPr>
                <w:tcW w:w="1560"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14,535,276</w:t>
                </w:r>
              </w:p>
            </w:tc>
            <w:tc>
              <w:tcPr>
                <w:tcW w:w="1417"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10.03</w:t>
                </w:r>
              </w:p>
            </w:tc>
            <w:tc>
              <w:tcPr>
                <w:tcW w:w="1559"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rPr>
                  <w:t>10,171,660</w:t>
                </w:r>
              </w:p>
            </w:tc>
            <w:tc>
              <w:tcPr>
                <w:tcW w:w="1276"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rPr>
                  <w:t>7.31</w:t>
                </w:r>
              </w:p>
            </w:tc>
            <w:tc>
              <w:tcPr>
                <w:tcW w:w="1315"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42.90</w:t>
                </w:r>
              </w:p>
            </w:tc>
          </w:tr>
        </w:tbl>
        <w:p>
          <w:pPr>
            <w:ind w:firstLineChars="200" w:firstLine="420"/>
            <w:rPr>
              <w:rFonts w:ascii="宋体" w:hAnsi="宋体"/>
              <w:bCs/>
            </w:rPr>
          </w:pPr>
          <w:r>
            <w:rPr>
              <w:rFonts w:ascii="宋体" w:hAnsi="宋体" w:hint="eastAsia"/>
              <w:bCs/>
            </w:rPr>
            <w:t>注：上表关联/关连交易金额及所占营业收入比例，按照西北矿业实际并表日列示，未同口径追溯调整。</w:t>
          </w:r>
        </w:p>
        <w:p>
          <w:pPr>
            <w:ind w:firstLineChars="200" w:firstLine="420"/>
            <w:rPr>
              <w:rFonts w:ascii="宋体" w:hAnsi="宋体"/>
              <w:bCs/>
            </w:rPr>
          </w:pPr>
        </w:p>
        <w:p>
          <w:pPr>
            <w:ind w:firstLineChars="200" w:firstLine="420"/>
            <w:rPr>
              <w:rFonts w:ascii="宋体" w:hAnsi="宋体"/>
              <w:bCs/>
            </w:rPr>
          </w:pPr>
          <w:r>
            <w:rPr>
              <w:rFonts w:ascii="宋体" w:hAnsi="宋体" w:hint="eastAsia"/>
              <w:bCs/>
            </w:rPr>
            <w:t>2025年，本集团向山东能源集团销售煤炭对本集团利润的影响如下表：</w:t>
          </w:r>
        </w:p>
        <w:tbl>
          <w:tblPr>
            <w:tblStyle w:val="Style63"/>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896"/>
            <w:gridCol w:w="1687"/>
          </w:tblGrid>
          <w:tr>
            <w:trPr>
              <w:jc w:val="center"/>
            </w:trPr>
            <w:tc>
              <w:tcPr>
                <w:tcW w:w="3256" w:type="dxa"/>
                <w:tcBorders>
                  <w:top w:val="single" w:sz="4" w:space="0" w:color="auto"/>
                  <w:left w:val="single" w:sz="4" w:space="0" w:color="auto"/>
                  <w:bottom w:val="single" w:sz="4" w:space="0" w:color="auto"/>
                  <w:right w:val="single" w:sz="4" w:space="0" w:color="auto"/>
                </w:tcBorders>
                <w:vAlign w:val="center"/>
              </w:tcPr>
              <w:p>
                <w:pPr>
                  <w:rPr>
                    <w:rFonts w:ascii="宋体" w:hAnsi="宋体"/>
                    <w:bCs/>
                  </w:rPr>
                </w:pPr>
              </w:p>
            </w:tc>
            <w:tc>
              <w:tcPr>
                <w:tcW w:w="1984" w:type="dxa"/>
                <w:tcBorders>
                  <w:top w:val="single" w:sz="4" w:space="0" w:color="auto"/>
                  <w:left w:val="nil"/>
                  <w:bottom w:val="single" w:sz="4" w:space="0" w:color="auto"/>
                  <w:right w:val="single" w:sz="4" w:space="0" w:color="auto"/>
                </w:tcBorders>
                <w:vAlign w:val="center"/>
              </w:tcPr>
              <w:p>
                <w:pPr>
                  <w:rPr>
                    <w:rFonts w:ascii="宋体" w:hAnsi="宋体"/>
                    <w:bCs/>
                  </w:rPr>
                </w:pPr>
                <w:r>
                  <w:rPr>
                    <w:rFonts w:ascii="宋体" w:hAnsi="宋体" w:hint="eastAsia"/>
                    <w:bCs/>
                  </w:rPr>
                  <w:t>营业收入（千元）</w:t>
                </w:r>
              </w:p>
            </w:tc>
            <w:tc>
              <w:tcPr>
                <w:tcW w:w="1896" w:type="dxa"/>
                <w:tcBorders>
                  <w:top w:val="single" w:sz="4" w:space="0" w:color="auto"/>
                  <w:left w:val="nil"/>
                  <w:bottom w:val="single" w:sz="4" w:space="0" w:color="auto"/>
                  <w:right w:val="single" w:sz="4" w:space="0" w:color="auto"/>
                </w:tcBorders>
                <w:vAlign w:val="center"/>
              </w:tcPr>
              <w:p>
                <w:pPr>
                  <w:rPr>
                    <w:rFonts w:ascii="宋体" w:hAnsi="宋体"/>
                    <w:bCs/>
                  </w:rPr>
                </w:pPr>
                <w:r>
                  <w:rPr>
                    <w:rFonts w:ascii="宋体" w:hAnsi="宋体" w:hint="eastAsia"/>
                    <w:bCs/>
                  </w:rPr>
                  <w:t>营业成本（千元）</w:t>
                </w:r>
              </w:p>
            </w:tc>
            <w:tc>
              <w:tcPr>
                <w:tcW w:w="1687" w:type="dxa"/>
                <w:tcBorders>
                  <w:top w:val="single" w:sz="4" w:space="0" w:color="auto"/>
                  <w:left w:val="nil"/>
                  <w:bottom w:val="single" w:sz="4" w:space="0" w:color="auto"/>
                  <w:right w:val="single" w:sz="4" w:space="0" w:color="auto"/>
                </w:tcBorders>
                <w:vAlign w:val="center"/>
              </w:tcPr>
              <w:p>
                <w:pPr>
                  <w:rPr>
                    <w:rFonts w:ascii="宋体" w:hAnsi="宋体"/>
                    <w:bCs/>
                  </w:rPr>
                </w:pPr>
                <w:r>
                  <w:rPr>
                    <w:rFonts w:ascii="宋体" w:hAnsi="宋体" w:hint="eastAsia"/>
                    <w:bCs/>
                  </w:rPr>
                  <w:t>毛利（千元）</w:t>
                </w:r>
              </w:p>
            </w:tc>
          </w:tr>
          <w:tr>
            <w:trPr>
              <w:trHeight w:val="387"/>
              <w:jc w:val="center"/>
            </w:trPr>
            <w:tc>
              <w:tcPr>
                <w:tcW w:w="3256" w:type="dxa"/>
                <w:tcBorders>
                  <w:top w:val="single" w:sz="4" w:space="0" w:color="auto"/>
                  <w:left w:val="single" w:sz="4" w:space="0" w:color="auto"/>
                  <w:bottom w:val="single" w:sz="4" w:space="0" w:color="auto"/>
                  <w:right w:val="single" w:sz="4" w:space="0" w:color="auto"/>
                </w:tcBorders>
                <w:vAlign w:val="center"/>
              </w:tcPr>
              <w:p>
                <w:pPr>
                  <w:rPr>
                    <w:rFonts w:ascii="宋体" w:hAnsi="宋体"/>
                    <w:bCs/>
                  </w:rPr>
                </w:pPr>
                <w:r>
                  <w:rPr>
                    <w:rFonts w:ascii="宋体" w:hAnsi="宋体" w:hint="eastAsia"/>
                    <w:bCs/>
                  </w:rPr>
                  <w:t>向山东能源集团销售煤炭</w:t>
                </w:r>
              </w:p>
            </w:tc>
            <w:tc>
              <w:tcPr>
                <w:tcW w:w="1984"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10,173,490</w:t>
                </w:r>
              </w:p>
            </w:tc>
            <w:tc>
              <w:tcPr>
                <w:tcW w:w="1896"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6,511,033.60</w:t>
                </w:r>
              </w:p>
            </w:tc>
            <w:tc>
              <w:tcPr>
                <w:tcW w:w="1687" w:type="dxa"/>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3,662,456.40</w:t>
                </w:r>
              </w:p>
            </w:tc>
          </w:tr>
        </w:tbl>
        <w:p>
          <w:pPr>
            <w:ind w:firstLineChars="200" w:firstLine="420"/>
            <w:rPr>
              <w:rFonts w:ascii="宋体" w:hAnsi="宋体"/>
              <w:bCs/>
            </w:rPr>
          </w:pPr>
          <w:r>
            <w:rPr>
              <w:rFonts w:ascii="宋体" w:hAnsi="宋体" w:hint="eastAsia"/>
              <w:bCs/>
            </w:rPr>
            <w:t xml:space="preserve"> </w:t>
          </w:r>
        </w:p>
        <w:p>
          <w:pPr>
            <w:ind w:firstLineChars="200" w:firstLine="420"/>
            <w:jc w:val="both"/>
            <w:rPr>
              <w:rFonts w:ascii="宋体" w:hAnsi="宋体"/>
              <w:bCs/>
            </w:rPr>
          </w:pPr>
          <w:r>
            <w:rPr>
              <w:rFonts w:ascii="宋体" w:hAnsi="宋体" w:hint="eastAsia"/>
              <w:bCs/>
            </w:rPr>
            <w:t>根据《保险金管理协议》，山东能源集团和兖矿能源相互为对方无偿提供社会保险、住房公积金、企业年金（“保险金”）管理和费用转缴服务。</w:t>
          </w:r>
        </w:p>
        <w:p>
          <w:pPr>
            <w:ind w:firstLineChars="200" w:firstLine="420"/>
            <w:jc w:val="both"/>
            <w:rPr>
              <w:rFonts w:ascii="宋体" w:hAnsi="宋体"/>
              <w:bCs/>
            </w:rPr>
          </w:pPr>
          <w:r>
            <w:rPr>
              <w:rFonts w:ascii="宋体" w:hAnsi="宋体" w:hint="eastAsia"/>
              <w:bCs/>
            </w:rPr>
            <w:t>②金融服务持续性关联/关连交易</w:t>
          </w:r>
        </w:p>
        <w:p>
          <w:pPr>
            <w:ind w:firstLineChars="200" w:firstLine="420"/>
            <w:jc w:val="both"/>
            <w:rPr>
              <w:rFonts w:ascii="宋体" w:hAnsi="宋体"/>
              <w:bCs/>
            </w:rPr>
          </w:pPr>
          <w:r>
            <w:rPr>
              <w:rFonts w:ascii="宋体" w:hAnsi="宋体" w:hint="eastAsia"/>
              <w:bCs/>
            </w:rPr>
            <w:t>公司2022年10月28日召开的2022年度第二次临时股东大会，审议批准山能财司与山东能源签署《金融服务协议》，约定山能财司向山东能源集团提供存款、综合授信以及其他金融服务及其所限定交易在2023-2025年每年的交易上限金额。相关存款利率、贷款利率及服务费均按照中国人民银行或金融监管机构的有关规定，参照正常商业条款厘定。有关详情请见公司日期为2022年8月26日及2022年10月28日的公告以及日期为2022年10月12日的通函。</w:t>
          </w:r>
        </w:p>
        <w:p>
          <w:pPr>
            <w:ind w:firstLineChars="200" w:firstLine="420"/>
            <w:jc w:val="both"/>
            <w:rPr>
              <w:rFonts w:ascii="宋体" w:hAnsi="宋体"/>
              <w:bCs/>
            </w:rPr>
          </w:pPr>
          <w:r>
            <w:rPr>
              <w:rFonts w:ascii="宋体" w:hAnsi="宋体" w:hint="eastAsia"/>
              <w:bCs/>
            </w:rPr>
            <w:t>公司2025年5月30日召开的2024年度股东周年大会，审议批准山能财司与山东能源签署新《金融服务协议》（“山东能源集团《金融服务协议》”），约定山能财司向山东能源集团提供存款、综合授信、其他金融服务，山能财司认购/申购中泰证券股份有限公司（“中泰证券”）代销的货币基金及相关服务，以及上述服务所限定交易在2025-2027年每年的交易上限金额。相关存款利率、贷款利率及服务费均按照中国人民银行或金融监管机构的有关规定，参照正常商业条款厘定。上述持续性关联/关连交易协议追溯至2025年1月1日起生效。有关详情请见公司日期为2025年4月8日及2025年5月30日的公告以及日期为2025年5月15日的通函。</w:t>
          </w:r>
        </w:p>
        <w:p>
          <w:pPr>
            <w:ind w:firstLineChars="200" w:firstLine="420"/>
            <w:jc w:val="both"/>
            <w:rPr>
              <w:rFonts w:ascii="宋体" w:hAnsi="宋体"/>
              <w:bCs/>
            </w:rPr>
          </w:pPr>
          <w:r>
            <w:rPr>
              <w:rFonts w:ascii="宋体" w:hAnsi="宋体" w:hint="eastAsia"/>
              <w:bCs/>
            </w:rPr>
            <w:t>2025年，山东能源集团在山能财司的存款每日最高余额（含累计利息）为303.27亿元，综合授信每日最高余额（含累计利息）为233.68亿元，发生的金融服务费用为254.34万元。</w:t>
          </w:r>
        </w:p>
        <w:p>
          <w:pPr>
            <w:ind w:firstLineChars="200" w:firstLine="420"/>
            <w:jc w:val="both"/>
            <w:rPr>
              <w:rFonts w:ascii="宋体" w:hAnsi="宋体"/>
              <w:bCs/>
            </w:rPr>
          </w:pPr>
          <w:r>
            <w:rPr>
              <w:rFonts w:ascii="宋体" w:hAnsi="宋体" w:hint="eastAsia"/>
              <w:bCs/>
            </w:rPr>
            <w:t>2025年，山能财司认购/申购中泰证券代销的货币基金每日最高余额(包括认购/申购的货币基金额度和存放于账户中的资金余额)为10亿元，中泰证券向山能财司收取的服务费用为0万元。</w:t>
          </w:r>
        </w:p>
        <w:p>
          <w:pPr>
            <w:ind w:firstLineChars="200" w:firstLine="420"/>
            <w:jc w:val="both"/>
            <w:rPr>
              <w:rFonts w:ascii="宋体" w:hAnsi="宋体"/>
              <w:bCs/>
            </w:rPr>
          </w:pPr>
          <w:r>
            <w:rPr>
              <w:rFonts w:ascii="宋体" w:hAnsi="宋体" w:hint="eastAsia"/>
              <w:bCs/>
            </w:rPr>
            <w:lastRenderedPageBreak/>
            <w:t>公司2022年10月28日召开的2022年度第二次临时股东大会，审议批准山能财司与兖矿能源签署《金融服务协议》，约定山能财司向本集团提供存款、综合授信以及其他金融服务及其所限定交易在2023-2025年每年的交易上限金额。相关存款利率、贷款利率及服务费均按照中国人民银行或金融监管机构的有关规定，参照正常商业条款厘定。有关详情请见公司日期为2022年8月26日及2022年10月28日的公告以及日期为2022年10月12日的通函。</w:t>
          </w:r>
        </w:p>
        <w:p>
          <w:pPr>
            <w:ind w:firstLineChars="200" w:firstLine="420"/>
            <w:jc w:val="both"/>
            <w:rPr>
              <w:rFonts w:ascii="宋体" w:hAnsi="宋体"/>
              <w:bCs/>
            </w:rPr>
          </w:pPr>
          <w:r>
            <w:rPr>
              <w:rFonts w:ascii="宋体" w:hAnsi="宋体" w:hint="eastAsia"/>
              <w:bCs/>
            </w:rPr>
            <w:t>公司2025年5月30日召开的2024年度股东周年大会，审议批准山能财司与兖矿能源签署新《金融服务协议》（“兖矿能源《金融服务协议》”），约定山能财司向本集团提供存款、综合授信以及其他金融服务及其所限定交易在2025-2027年每年的交易上限金额。相关存款利率、贷款利率及服务费均按照中国人民银行或金融监管机构的有关规定，参照正常商业条款厘定。上述持续性关联/关连交易协议追溯至2025年1月1日起生效。有关详情请见公司日期为2025年4月8日及2025年5月30日的公告以及日期为2025年5月15日的通函。</w:t>
          </w:r>
        </w:p>
        <w:p>
          <w:pPr>
            <w:ind w:firstLineChars="200" w:firstLine="420"/>
            <w:jc w:val="both"/>
            <w:rPr>
              <w:rFonts w:ascii="宋体" w:hAnsi="宋体"/>
              <w:bCs/>
            </w:rPr>
          </w:pPr>
          <w:r>
            <w:rPr>
              <w:rFonts w:ascii="宋体" w:hAnsi="宋体" w:hint="eastAsia"/>
              <w:bCs/>
            </w:rPr>
            <w:t>2025年，本集团在山能财司的存款每日最高余额（含累计利息）为132.52亿元，综合授信每日最高余额（含累计利息）为172.02亿元，发生的金融服务费用为314.55万元。</w:t>
          </w:r>
        </w:p>
        <w:p>
          <w:pPr>
            <w:ind w:firstLineChars="200" w:firstLine="420"/>
            <w:jc w:val="both"/>
            <w:rPr>
              <w:rFonts w:ascii="宋体" w:hAnsi="宋体"/>
              <w:bCs/>
            </w:rPr>
          </w:pPr>
          <w:r>
            <w:rPr>
              <w:rFonts w:ascii="宋体" w:hAnsi="宋体" w:hint="eastAsia"/>
              <w:bCs/>
            </w:rPr>
            <w:t>③融资租赁持续性关联/关连交易</w:t>
          </w:r>
        </w:p>
        <w:p>
          <w:pPr>
            <w:ind w:firstLineChars="200" w:firstLine="420"/>
            <w:jc w:val="both"/>
            <w:rPr>
              <w:rFonts w:ascii="宋体" w:hAnsi="宋体"/>
              <w:bCs/>
            </w:rPr>
          </w:pPr>
          <w:r>
            <w:rPr>
              <w:rFonts w:ascii="宋体" w:hAnsi="宋体" w:hint="eastAsia"/>
              <w:bCs/>
            </w:rPr>
            <w:t>公司2023年10月27日召开的2023年度第一次临时股东大会，审议批准公司与山东能源集团签署《融资租赁协议》及其所限定交易于2024-2025年每年的交易上限金额。确定租赁利率的方式为在全国银行间同业拆借中心公布的同期贷款市场报价利率的基础上上浮不低于5%，最高利率不超过7.5%。有关详情请见公司日期为2023年8月25日及2023年10月27日的公告以及日期为2023年9月28日的通函。</w:t>
          </w:r>
        </w:p>
        <w:p>
          <w:pPr>
            <w:ind w:firstLineChars="200" w:firstLine="420"/>
            <w:jc w:val="both"/>
            <w:rPr>
              <w:rFonts w:ascii="宋体" w:hAnsi="宋体"/>
              <w:bCs/>
            </w:rPr>
          </w:pPr>
          <w:r>
            <w:rPr>
              <w:rFonts w:ascii="宋体" w:hAnsi="宋体" w:hint="eastAsia"/>
              <w:bCs/>
            </w:rPr>
            <w:t>公司2025年5月30日召开的2024年度股东周年大会，审议批准公司与山东能源集团签署新《融资租赁协议》及其所限定交易于2025-2027年每年的交易上限金额。公司向山东能源提供保理等服务执行的最低利率为同期限国债收益率，最高利率为在全国银行间同业拆借中心公布的同期贷款市场报价利率基础上上浮1.5%。上述持续性关联/关连交易协议追溯至2025年1月1日起生效。有关详情请见公司日期为2025年4月8日及2025年5月30日的公告以及日期为2025年5月15日的通函。</w:t>
          </w:r>
        </w:p>
        <w:p>
          <w:pPr>
            <w:ind w:firstLineChars="200" w:firstLine="420"/>
            <w:jc w:val="both"/>
            <w:rPr>
              <w:rFonts w:ascii="宋体" w:hAnsi="宋体"/>
              <w:bCs/>
            </w:rPr>
          </w:pPr>
          <w:r>
            <w:rPr>
              <w:rFonts w:ascii="宋体" w:hAnsi="宋体" w:hint="eastAsia"/>
              <w:bCs/>
            </w:rPr>
            <w:t>根据《融资租赁协议》，本公司向山东能源集团提供融资租赁服务，在本公司支付租赁资产转让价款当日或之前一次性收取手续费或咨询费，按季度收取租金。</w:t>
          </w:r>
        </w:p>
        <w:p>
          <w:pPr>
            <w:ind w:firstLineChars="200" w:firstLine="420"/>
            <w:jc w:val="both"/>
            <w:rPr>
              <w:rFonts w:ascii="宋体" w:hAnsi="宋体"/>
              <w:bCs/>
            </w:rPr>
          </w:pPr>
          <w:r>
            <w:rPr>
              <w:rFonts w:ascii="宋体" w:hAnsi="宋体" w:hint="eastAsia"/>
              <w:bCs/>
            </w:rPr>
            <w:t>2025年，发生融资租赁本金余额、租赁利息、手续费和咨询费共计</w:t>
          </w:r>
          <w:bookmarkStart w:id="215" w:name="_Hlk224826357"/>
          <w:r>
            <w:rPr>
              <w:rFonts w:ascii="宋体" w:hAnsi="宋体" w:hint="eastAsia"/>
              <w:bCs/>
            </w:rPr>
            <w:t>56,409</w:t>
          </w:r>
          <w:bookmarkEnd w:id="215"/>
          <w:r>
            <w:rPr>
              <w:rFonts w:ascii="宋体" w:hAnsi="宋体" w:hint="eastAsia"/>
              <w:bCs/>
            </w:rPr>
            <w:t>万元。</w:t>
          </w:r>
        </w:p>
        <w:p>
          <w:pPr>
            <w:ind w:firstLineChars="200" w:firstLine="420"/>
            <w:jc w:val="both"/>
            <w:rPr>
              <w:rFonts w:ascii="宋体" w:hAnsi="宋体"/>
              <w:bCs/>
            </w:rPr>
          </w:pPr>
          <w:r>
            <w:rPr>
              <w:rFonts w:ascii="宋体" w:hAnsi="宋体" w:hint="eastAsia"/>
              <w:bCs/>
            </w:rPr>
            <w:t xml:space="preserve">④委托管理持续性关联/关连交易 </w:t>
          </w:r>
        </w:p>
        <w:p>
          <w:pPr>
            <w:ind w:firstLineChars="200" w:firstLine="420"/>
            <w:jc w:val="both"/>
            <w:rPr>
              <w:rFonts w:ascii="宋体" w:hAnsi="宋体"/>
              <w:bCs/>
            </w:rPr>
          </w:pPr>
          <w:r>
            <w:rPr>
              <w:rFonts w:ascii="宋体" w:hAnsi="宋体" w:hint="eastAsia"/>
              <w:bCs/>
            </w:rPr>
            <w:t>公司2023年10月27日召开的2023年度第一次临时股东大会，审议批准公司与山东能源签署《委托管理服务框架协议》及其所限定交易于2025年度的交易上限金额。</w:t>
          </w:r>
        </w:p>
        <w:p>
          <w:pPr>
            <w:ind w:firstLineChars="200" w:firstLine="420"/>
            <w:jc w:val="both"/>
            <w:rPr>
              <w:rFonts w:ascii="宋体" w:hAnsi="宋体"/>
              <w:bCs/>
            </w:rPr>
          </w:pPr>
          <w:r>
            <w:rPr>
              <w:rFonts w:ascii="宋体" w:hAnsi="宋体" w:hint="eastAsia"/>
              <w:bCs/>
            </w:rPr>
            <w:t>公司2025年5月30日召开的2024年度股东周年大会，审议批准公司与山东能源集团签署新《委托管理服务框架协议》及其所限定交易于2025-2027年每年的交易上限金额。委托管理费用由双方根据具体标的资产的状况、兖矿能源进行委托管理的成本及标的资产的盈利情况确定。上述持续性关联/关连交易协议追溯至2025年1月1日起生效。有关详情请见公司日期为2025年4月8日及2025年5月30日的公告以及日期为2025年5月15日的通函。</w:t>
          </w:r>
        </w:p>
        <w:p>
          <w:pPr>
            <w:ind w:firstLineChars="200" w:firstLine="420"/>
            <w:jc w:val="both"/>
            <w:rPr>
              <w:rFonts w:ascii="宋体" w:hAnsi="宋体"/>
              <w:bCs/>
            </w:rPr>
          </w:pPr>
          <w:r>
            <w:rPr>
              <w:rFonts w:ascii="宋体" w:hAnsi="宋体" w:hint="eastAsia"/>
              <w:bCs/>
            </w:rPr>
            <w:t>2025年，山东能源集团向公司支付委托管理费用</w:t>
          </w:r>
          <w:bookmarkStart w:id="216" w:name="_Hlk224826362"/>
          <w:r>
            <w:rPr>
              <w:rFonts w:ascii="宋体" w:hAnsi="宋体" w:hint="eastAsia"/>
              <w:bCs/>
            </w:rPr>
            <w:t>2,327</w:t>
          </w:r>
          <w:bookmarkEnd w:id="216"/>
          <w:r>
            <w:rPr>
              <w:rFonts w:ascii="宋体" w:hAnsi="宋体" w:hint="eastAsia"/>
              <w:bCs/>
            </w:rPr>
            <w:t>万元。</w:t>
          </w:r>
        </w:p>
        <w:p>
          <w:pPr>
            <w:ind w:firstLineChars="200" w:firstLine="420"/>
            <w:jc w:val="both"/>
            <w:rPr>
              <w:rFonts w:ascii="宋体" w:hAnsi="宋体"/>
              <w:bCs/>
            </w:rPr>
          </w:pPr>
        </w:p>
        <w:p>
          <w:pPr>
            <w:ind w:firstLineChars="200" w:firstLine="420"/>
            <w:jc w:val="both"/>
            <w:rPr>
              <w:rFonts w:ascii="宋体" w:hAnsi="宋体"/>
              <w:bCs/>
            </w:rPr>
          </w:pPr>
          <w:r>
            <w:rPr>
              <w:rFonts w:ascii="宋体" w:hAnsi="宋体" w:hint="eastAsia"/>
              <w:bCs/>
            </w:rPr>
            <w:t>上述持续性关联/关连交易协议限定的2025年交易上限金额及2025年实际交易情况如下：</w:t>
          </w:r>
        </w:p>
        <w:tbl>
          <w:tblPr>
            <w:tblStyle w:val="Style63"/>
            <w:tblW w:w="50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06"/>
            <w:gridCol w:w="1188"/>
            <w:gridCol w:w="2835"/>
            <w:gridCol w:w="1277"/>
            <w:gridCol w:w="1275"/>
          </w:tblGrid>
          <w:tr>
            <w:trPr>
              <w:tblHeader/>
            </w:trPr>
            <w:tc>
              <w:tcPr>
                <w:tcW w:w="476" w:type="pct"/>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bookmarkStart w:id="217" w:name="_Hlk156830398"/>
                <w:r>
                  <w:rPr>
                    <w:rFonts w:ascii="宋体" w:hAnsi="宋体" w:hint="eastAsia"/>
                    <w:bCs/>
                  </w:rPr>
                  <w:t>序号</w:t>
                </w:r>
                <w:bookmarkEnd w:id="217"/>
              </w:p>
            </w:tc>
            <w:tc>
              <w:tcPr>
                <w:tcW w:w="1508" w:type="pct"/>
                <w:gridSpan w:val="2"/>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关联/关连交易类别</w:t>
                </w:r>
              </w:p>
            </w:tc>
            <w:tc>
              <w:tcPr>
                <w:tcW w:w="1587" w:type="pct"/>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执行依据</w:t>
                </w:r>
              </w:p>
            </w:tc>
            <w:tc>
              <w:tcPr>
                <w:tcW w:w="715" w:type="pct"/>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2025年交易上限金额（千元）</w:t>
                </w:r>
              </w:p>
            </w:tc>
            <w:tc>
              <w:tcPr>
                <w:tcW w:w="714" w:type="pct"/>
                <w:tcBorders>
                  <w:top w:val="single" w:sz="4" w:space="0" w:color="auto"/>
                  <w:left w:val="nil"/>
                  <w:bottom w:val="single" w:sz="4" w:space="0" w:color="auto"/>
                  <w:right w:val="single" w:sz="4" w:space="0" w:color="auto"/>
                </w:tcBorders>
                <w:vAlign w:val="center"/>
              </w:tcPr>
              <w:p>
                <w:pPr>
                  <w:jc w:val="center"/>
                  <w:rPr>
                    <w:rFonts w:ascii="宋体" w:hAnsi="宋体"/>
                    <w:bCs/>
                  </w:rPr>
                </w:pPr>
                <w:r>
                  <w:rPr>
                    <w:rFonts w:ascii="宋体" w:hAnsi="宋体" w:hint="eastAsia"/>
                    <w:bCs/>
                  </w:rPr>
                  <w:t>2025年实际执行额（千元）</w:t>
                </w:r>
              </w:p>
            </w:tc>
          </w:tr>
          <w:tr>
            <w:tc>
              <w:tcPr>
                <w:tcW w:w="476" w:type="pct"/>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t>1</w:t>
                </w: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从山东能源集团采购材料物资和设备</w:t>
                </w:r>
              </w:p>
            </w:tc>
            <w:tc>
              <w:tcPr>
                <w:tcW w:w="1587"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《材料物资供应协议》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5,840,000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3,985,238</w:t>
                </w:r>
              </w:p>
            </w:tc>
          </w:tr>
          <w:tr>
            <w:tc>
              <w:tcPr>
                <w:tcW w:w="476" w:type="pct"/>
                <w:vMerge w:val="restart"/>
                <w:tcBorders>
                  <w:top w:val="nil"/>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t>2</w:t>
                </w: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接受山东能源集团劳务及服务</w:t>
                </w:r>
              </w:p>
            </w:tc>
            <w:tc>
              <w:tcPr>
                <w:tcW w:w="1587"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《劳务及服务互供协议》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7,571,000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5,424,562</w:t>
                </w:r>
              </w:p>
            </w:tc>
          </w:tr>
          <w:t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向山东能源集团提供劳务及服务</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1,810,000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1,585,900</w:t>
                </w:r>
              </w:p>
            </w:tc>
          </w:tr>
          <w:tr>
            <w:tc>
              <w:tcPr>
                <w:tcW w:w="476" w:type="pct"/>
                <w:vMerge w:val="restart"/>
                <w:tcBorders>
                  <w:top w:val="nil"/>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lastRenderedPageBreak/>
                  <w:t>3</w:t>
                </w: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山东能源集团无偿向本集团提供保险金管理和费用转缴服务</w:t>
                </w:r>
              </w:p>
            </w:tc>
            <w:tc>
              <w:tcPr>
                <w:tcW w:w="1587"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bCs/>
                  </w:rPr>
                  <w:t>《保险金管理协议》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1,059,000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563,080</w:t>
                </w:r>
              </w:p>
            </w:tc>
          </w:tr>
          <w:t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本集团无偿向山东能源集团提供保险金管理和费用转缴服务</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315,000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205,560</w:t>
                </w:r>
              </w:p>
            </w:tc>
          </w:tr>
          <w:tr>
            <w:tc>
              <w:tcPr>
                <w:tcW w:w="476" w:type="pct"/>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t>4</w:t>
                </w: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向山东能源集团销售产品、材料物资及资产租赁</w:t>
                </w:r>
              </w:p>
            </w:tc>
            <w:tc>
              <w:tcPr>
                <w:tcW w:w="1587"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《产品、材料物资供应及资产租赁协议》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15,261,000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12,261,155</w:t>
                </w:r>
              </w:p>
            </w:tc>
          </w:tr>
          <w:tr>
            <w:tc>
              <w:tcPr>
                <w:tcW w:w="476" w:type="pct"/>
                <w:vMerge w:val="restart"/>
                <w:tcBorders>
                  <w:top w:val="nil"/>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t>5</w:t>
                </w: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向山东能源集团采购大宗商品</w:t>
                </w:r>
              </w:p>
            </w:tc>
            <w:tc>
              <w:tcPr>
                <w:tcW w:w="1587"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《大宗商品购销协议》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11,683,000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4,562,397</w:t>
                </w:r>
              </w:p>
            </w:tc>
          </w:tr>
          <w:t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向山东能源集团销售大宗商品</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8,223,000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2,562,041</w:t>
                </w:r>
              </w:p>
            </w:tc>
          </w:tr>
          <w:tr>
            <w:trPr>
              <w:trHeight w:val="335"/>
            </w:trPr>
            <w:tc>
              <w:tcPr>
                <w:tcW w:w="476" w:type="pct"/>
                <w:vMerge w:val="restart"/>
                <w:tcBorders>
                  <w:top w:val="nil"/>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t>6</w:t>
                </w:r>
              </w:p>
            </w:tc>
            <w:tc>
              <w:tcPr>
                <w:tcW w:w="843"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向山东能源集团提供金融服务</w:t>
                </w: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存款</w:t>
                </w:r>
              </w:p>
            </w:tc>
            <w:tc>
              <w:tcPr>
                <w:tcW w:w="1587"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color w:val="000000"/>
                  </w:rPr>
                  <w:t>山东能源集团《金融服务协议》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62,500,000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30,327,000</w:t>
                </w:r>
              </w:p>
            </w:tc>
          </w:tr>
          <w:tr>
            <w:trPr>
              <w:trHeight w:val="335"/>
            </w:trP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843" w:type="pct"/>
                <w:vMerge/>
                <w:tcBorders>
                  <w:top w:val="nil"/>
                  <w:left w:val="nil"/>
                  <w:bottom w:val="single" w:sz="4" w:space="0" w:color="auto"/>
                  <w:right w:val="single" w:sz="4" w:space="0" w:color="auto"/>
                </w:tcBorders>
                <w:vAlign w:val="center"/>
              </w:tcPr>
              <w:p>
                <w:pPr>
                  <w:jc w:val="both"/>
                  <w:rPr>
                    <w:rFonts w:ascii="宋体" w:hAnsi="宋体"/>
                    <w:bCs/>
                  </w:rPr>
                </w:pP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综合授信</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32,000,000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23,368,000</w:t>
                </w:r>
              </w:p>
            </w:tc>
          </w:tr>
          <w:t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843" w:type="pct"/>
                <w:vMerge/>
                <w:tcBorders>
                  <w:top w:val="nil"/>
                  <w:left w:val="nil"/>
                  <w:bottom w:val="single" w:sz="4" w:space="0" w:color="auto"/>
                  <w:right w:val="single" w:sz="4" w:space="0" w:color="auto"/>
                </w:tcBorders>
                <w:vAlign w:val="center"/>
              </w:tcPr>
              <w:p>
                <w:pPr>
                  <w:jc w:val="both"/>
                  <w:rPr>
                    <w:rFonts w:ascii="宋体" w:hAnsi="宋体"/>
                    <w:bCs/>
                  </w:rPr>
                </w:pP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金融服务费用</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6,000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2,543</w:t>
                </w:r>
              </w:p>
            </w:tc>
          </w:tr>
          <w:tr>
            <w:trPr>
              <w:trHeight w:val="519"/>
            </w:trP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843"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山能财司认购/申购中泰证券代销的货币基金</w:t>
                </w:r>
              </w:p>
              <w:p>
                <w:pPr>
                  <w:jc w:val="both"/>
                  <w:rPr>
                    <w:rFonts w:ascii="宋体" w:hAnsi="宋体"/>
                    <w:bCs/>
                  </w:rPr>
                </w:pP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货币基金余额</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4,000,000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1,000,000</w:t>
                </w:r>
              </w:p>
            </w:tc>
          </w:tr>
          <w:tr>
            <w:trPr>
              <w:trHeight w:val="518"/>
            </w:trP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843" w:type="pct"/>
                <w:vMerge/>
                <w:tcBorders>
                  <w:top w:val="nil"/>
                  <w:left w:val="nil"/>
                  <w:bottom w:val="single" w:sz="4" w:space="0" w:color="auto"/>
                  <w:right w:val="single" w:sz="4" w:space="0" w:color="auto"/>
                </w:tcBorders>
                <w:vAlign w:val="center"/>
              </w:tcPr>
              <w:p>
                <w:pPr>
                  <w:jc w:val="both"/>
                  <w:rPr>
                    <w:rFonts w:ascii="宋体" w:hAnsi="宋体"/>
                    <w:bCs/>
                  </w:rPr>
                </w:pP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服务费用</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3,000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0</w:t>
                </w:r>
              </w:p>
            </w:tc>
          </w:tr>
          <w:tr>
            <w:tc>
              <w:tcPr>
                <w:tcW w:w="476" w:type="pct"/>
                <w:vMerge w:val="restart"/>
                <w:tcBorders>
                  <w:top w:val="nil"/>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t>7</w:t>
                </w:r>
              </w:p>
            </w:tc>
            <w:tc>
              <w:tcPr>
                <w:tcW w:w="843"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向兖矿能源提供金融服务</w:t>
                </w: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存款</w:t>
                </w:r>
              </w:p>
            </w:tc>
            <w:tc>
              <w:tcPr>
                <w:tcW w:w="1587"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color w:val="000000"/>
                  </w:rPr>
                  <w:t>兖矿能源《金融服务协议》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27,000,000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13,252,000</w:t>
                </w:r>
              </w:p>
            </w:tc>
          </w:tr>
          <w:t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843" w:type="pct"/>
                <w:vMerge/>
                <w:tcBorders>
                  <w:top w:val="nil"/>
                  <w:left w:val="nil"/>
                  <w:bottom w:val="single" w:sz="4" w:space="0" w:color="auto"/>
                  <w:right w:val="single" w:sz="4" w:space="0" w:color="auto"/>
                </w:tcBorders>
                <w:vAlign w:val="center"/>
              </w:tcPr>
              <w:p>
                <w:pPr>
                  <w:jc w:val="both"/>
                  <w:rPr>
                    <w:rFonts w:ascii="宋体" w:hAnsi="宋体"/>
                    <w:bCs/>
                  </w:rPr>
                </w:pP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综合授信</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30,000,000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17,202,000</w:t>
                </w:r>
              </w:p>
            </w:tc>
          </w:tr>
          <w:t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843" w:type="pct"/>
                <w:vMerge/>
                <w:tcBorders>
                  <w:top w:val="nil"/>
                  <w:left w:val="nil"/>
                  <w:bottom w:val="single" w:sz="4" w:space="0" w:color="auto"/>
                  <w:right w:val="single" w:sz="4" w:space="0" w:color="auto"/>
                </w:tcBorders>
                <w:vAlign w:val="center"/>
              </w:tcPr>
              <w:p>
                <w:pPr>
                  <w:jc w:val="both"/>
                  <w:rPr>
                    <w:rFonts w:ascii="宋体" w:hAnsi="宋体"/>
                    <w:bCs/>
                  </w:rPr>
                </w:pP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金融服务费用</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10,000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3,146</w:t>
                </w:r>
              </w:p>
            </w:tc>
          </w:tr>
          <w:tr>
            <w:tc>
              <w:tcPr>
                <w:tcW w:w="476" w:type="pct"/>
                <w:vMerge w:val="restart"/>
                <w:tcBorders>
                  <w:top w:val="nil"/>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t>8</w:t>
                </w:r>
              </w:p>
            </w:tc>
            <w:tc>
              <w:tcPr>
                <w:tcW w:w="843"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向山东能源集团提供融资租赁服务</w:t>
                </w: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融资总额</w:t>
                </w:r>
              </w:p>
            </w:tc>
            <w:tc>
              <w:tcPr>
                <w:tcW w:w="1587" w:type="pct"/>
                <w:vMerge w:val="restart"/>
                <w:tcBorders>
                  <w:top w:val="nil"/>
                  <w:left w:val="nil"/>
                  <w:bottom w:val="single" w:sz="4" w:space="0" w:color="auto"/>
                  <w:right w:val="single" w:sz="4" w:space="0" w:color="auto"/>
                </w:tcBorders>
                <w:vAlign w:val="center"/>
              </w:tcPr>
              <w:p>
                <w:pPr>
                  <w:jc w:val="both"/>
                  <w:rPr>
                    <w:rFonts w:ascii="宋体" w:hAnsi="宋体"/>
                    <w:bCs/>
                  </w:rPr>
                </w:pPr>
                <w:r>
                  <w:rPr>
                    <w:rFonts w:ascii="宋体" w:hAnsi="宋体" w:hint="eastAsia"/>
                    <w:color w:val="000000"/>
                  </w:rPr>
                  <w:t>《融资租赁协议》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2,000,000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550,000</w:t>
                </w:r>
              </w:p>
            </w:tc>
          </w:tr>
          <w:tr>
            <w:tc>
              <w:tcPr>
                <w:tcW w:w="476" w:type="pct"/>
                <w:vMerge/>
                <w:tcBorders>
                  <w:top w:val="nil"/>
                  <w:left w:val="single" w:sz="4" w:space="0" w:color="auto"/>
                  <w:bottom w:val="single" w:sz="4" w:space="0" w:color="auto"/>
                  <w:right w:val="single" w:sz="4" w:space="0" w:color="auto"/>
                </w:tcBorders>
                <w:vAlign w:val="center"/>
              </w:tcPr>
              <w:p>
                <w:pPr>
                  <w:jc w:val="center"/>
                  <w:rPr>
                    <w:rFonts w:ascii="宋体" w:hAnsi="宋体"/>
                    <w:bCs/>
                  </w:rPr>
                </w:pPr>
              </w:p>
            </w:tc>
            <w:tc>
              <w:tcPr>
                <w:tcW w:w="843" w:type="pct"/>
                <w:vMerge/>
                <w:tcBorders>
                  <w:top w:val="nil"/>
                  <w:left w:val="nil"/>
                  <w:bottom w:val="single" w:sz="4" w:space="0" w:color="auto"/>
                  <w:right w:val="single" w:sz="4" w:space="0" w:color="auto"/>
                </w:tcBorders>
                <w:vAlign w:val="center"/>
              </w:tcPr>
              <w:p>
                <w:pPr>
                  <w:jc w:val="both"/>
                  <w:rPr>
                    <w:rFonts w:ascii="宋体" w:hAnsi="宋体"/>
                    <w:bCs/>
                  </w:rPr>
                </w:pPr>
              </w:p>
            </w:tc>
            <w:tc>
              <w:tcPr>
                <w:tcW w:w="665"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利息及费用</w:t>
                </w:r>
              </w:p>
            </w:tc>
            <w:tc>
              <w:tcPr>
                <w:tcW w:w="1587" w:type="pct"/>
                <w:vMerge/>
                <w:tcBorders>
                  <w:top w:val="nil"/>
                  <w:left w:val="nil"/>
                  <w:bottom w:val="single" w:sz="4" w:space="0" w:color="auto"/>
                  <w:right w:val="single" w:sz="4" w:space="0" w:color="auto"/>
                </w:tcBorders>
                <w:vAlign w:val="center"/>
              </w:tcPr>
              <w:p>
                <w:pPr>
                  <w:jc w:val="both"/>
                  <w:rPr>
                    <w:rFonts w:ascii="宋体" w:hAnsi="宋体"/>
                    <w:bCs/>
                  </w:rPr>
                </w:pP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170,000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bCs/>
                  </w:rPr>
                  <w:t>14,090</w:t>
                </w:r>
              </w:p>
            </w:tc>
          </w:tr>
          <w:tr>
            <w:tc>
              <w:tcPr>
                <w:tcW w:w="476" w:type="pct"/>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bCs/>
                  </w:rPr>
                  <w:t>9</w:t>
                </w:r>
              </w:p>
            </w:tc>
            <w:tc>
              <w:tcPr>
                <w:tcW w:w="1508" w:type="pct"/>
                <w:gridSpan w:val="2"/>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向山东能源集团提供委托管理服务</w:t>
                </w:r>
              </w:p>
            </w:tc>
            <w:tc>
              <w:tcPr>
                <w:tcW w:w="1587" w:type="pct"/>
                <w:tcBorders>
                  <w:top w:val="single" w:sz="4" w:space="0" w:color="auto"/>
                  <w:left w:val="nil"/>
                  <w:bottom w:val="single" w:sz="4" w:space="0" w:color="auto"/>
                  <w:right w:val="single" w:sz="4" w:space="0" w:color="auto"/>
                </w:tcBorders>
                <w:vAlign w:val="center"/>
              </w:tcPr>
              <w:p>
                <w:pPr>
                  <w:jc w:val="both"/>
                  <w:rPr>
                    <w:rFonts w:ascii="宋体" w:hAnsi="宋体"/>
                    <w:bCs/>
                  </w:rPr>
                </w:pPr>
                <w:r>
                  <w:rPr>
                    <w:rFonts w:ascii="宋体" w:hAnsi="宋体" w:hint="eastAsia"/>
                    <w:bCs/>
                  </w:rPr>
                  <w:t>《委托管理服务框架协议》</w:t>
                </w:r>
              </w:p>
            </w:tc>
            <w:tc>
              <w:tcPr>
                <w:tcW w:w="715"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color w:val="000000"/>
                  </w:rPr>
                  <w:t>60,000</w:t>
                </w:r>
              </w:p>
            </w:tc>
            <w:tc>
              <w:tcPr>
                <w:tcW w:w="714" w:type="pct"/>
                <w:tcBorders>
                  <w:top w:val="single" w:sz="4" w:space="0" w:color="auto"/>
                  <w:left w:val="nil"/>
                  <w:bottom w:val="single" w:sz="4" w:space="0" w:color="auto"/>
                  <w:right w:val="single" w:sz="4" w:space="0" w:color="auto"/>
                </w:tcBorders>
                <w:vAlign w:val="center"/>
              </w:tcPr>
              <w:p>
                <w:pPr>
                  <w:jc w:val="right"/>
                  <w:rPr>
                    <w:rFonts w:ascii="宋体" w:hAnsi="宋体"/>
                    <w:bCs/>
                  </w:rPr>
                </w:pPr>
                <w:r>
                  <w:rPr>
                    <w:rFonts w:ascii="宋体" w:hAnsi="宋体" w:hint="eastAsia"/>
                    <w:color w:val="000000"/>
                  </w:rPr>
                  <w:t>23,267</w:t>
                </w:r>
              </w:p>
            </w:tc>
          </w:tr>
        </w:tbl>
        <w:p>
          <w:pPr>
            <w:rPr>
              <w:rFonts w:ascii="宋体" w:hAnsi="宋体"/>
              <w:bCs/>
            </w:rPr>
          </w:pPr>
        </w:p>
        <w:p>
          <w:pPr>
            <w:ind w:firstLineChars="200" w:firstLine="420"/>
            <w:rPr>
              <w:rFonts w:ascii="宋体" w:hAnsi="宋体"/>
              <w:bCs/>
            </w:rPr>
          </w:pPr>
          <w:r>
            <w:rPr>
              <w:rFonts w:ascii="宋体" w:hAnsi="宋体" w:hint="eastAsia"/>
              <w:bCs/>
            </w:rPr>
            <w:t>（2）报告期内与嘉能可集团持续性关联/关连交易协议审批与执行情况</w:t>
          </w:r>
        </w:p>
        <w:p>
          <w:pPr>
            <w:ind w:firstLineChars="200" w:firstLine="420"/>
            <w:rPr>
              <w:rFonts w:ascii="宋体" w:hAnsi="宋体"/>
              <w:bCs/>
            </w:rPr>
          </w:pPr>
          <w:r>
            <w:rPr>
              <w:rFonts w:ascii="宋体" w:hAnsi="宋体" w:hint="eastAsia"/>
              <w:bCs/>
            </w:rPr>
            <w:t>①煤炭销售持续性关联/关连交易</w:t>
          </w:r>
        </w:p>
        <w:p>
          <w:pPr>
            <w:ind w:firstLineChars="200" w:firstLine="420"/>
            <w:rPr>
              <w:rFonts w:ascii="宋体" w:hAnsi="宋体"/>
              <w:bCs/>
            </w:rPr>
          </w:pPr>
          <w:r>
            <w:rPr>
              <w:rFonts w:ascii="宋体" w:hAnsi="宋体" w:hint="eastAsia"/>
              <w:bCs/>
            </w:rPr>
            <w:t>公司2024年1月15日召开的第九届董事会第四次会议，审议批准兖煤澳洲与嘉能可续期《煤炭销售框架协议》及其所限定交易在2024-2026年每年的交易上限金额。确定价格的主要方式是：以市场价格为基础，并考虑相关行业基准和指数进行调整。交易款项支付时间由双方根据国际惯例及本协议所适用的法律法规来确定，在具体煤炭买卖协议中详细约定。有关详情请见公司日期为2024年1月15日的公告。</w:t>
          </w:r>
        </w:p>
        <w:p>
          <w:pPr>
            <w:ind w:firstLineChars="200" w:firstLine="420"/>
            <w:rPr>
              <w:rFonts w:ascii="宋体" w:hAnsi="宋体"/>
              <w:bCs/>
            </w:rPr>
          </w:pPr>
          <w:r>
            <w:rPr>
              <w:rFonts w:ascii="宋体" w:hAnsi="宋体" w:hint="eastAsia"/>
              <w:bCs/>
            </w:rPr>
            <w:t>2025年本集团向嘉能可集团销售煤炭的年度上限金额为3.5亿美元。2025年，此项关联/关连交易发生金额约1.76亿美元。</w:t>
          </w:r>
        </w:p>
        <w:p>
          <w:pPr>
            <w:ind w:firstLineChars="200" w:firstLine="420"/>
            <w:rPr>
              <w:rFonts w:ascii="宋体" w:hAnsi="宋体"/>
              <w:bCs/>
            </w:rPr>
          </w:pPr>
          <w:r>
            <w:rPr>
              <w:rFonts w:ascii="宋体" w:hAnsi="宋体" w:hint="eastAsia"/>
              <w:bCs/>
            </w:rPr>
            <w:t>②煤炭购买持续性关联/关连交易</w:t>
          </w:r>
        </w:p>
        <w:p>
          <w:pPr>
            <w:ind w:firstLineChars="200" w:firstLine="420"/>
            <w:jc w:val="both"/>
            <w:rPr>
              <w:rFonts w:ascii="宋体" w:hAnsi="宋体"/>
              <w:bCs/>
            </w:rPr>
          </w:pPr>
          <w:r>
            <w:rPr>
              <w:rFonts w:ascii="宋体" w:hAnsi="宋体" w:hint="eastAsia"/>
              <w:bCs/>
            </w:rPr>
            <w:t>公司2024年1月15日召开的第九届董事会第四次会议，审议批准兖煤澳洲与嘉能可续期《HVO销售合约》及其所限定交易在2024-2026年每年的交易上限金额。《HVO销售合约》约定：兖煤澳洲附属公司亨特谷煤炭销售公司根据其与客户订立的每份销售协议收取的总金额及相应的产品配额，分别支付给兖煤澳洲及嘉能可相应的交易款项。亨特谷煤炭销售公司应不迟于在收到</w:t>
          </w:r>
          <w:r>
            <w:rPr>
              <w:rFonts w:ascii="宋体" w:hAnsi="宋体" w:hint="eastAsia"/>
              <w:bCs/>
            </w:rPr>
            <w:lastRenderedPageBreak/>
            <w:t>客户付款后的三个营业日内，向兖煤澳洲及嘉能可支付交易价款。有关详情请见公司日期为2024年1月15日的公告。</w:t>
          </w:r>
        </w:p>
        <w:p>
          <w:pPr>
            <w:ind w:firstLineChars="200" w:firstLine="420"/>
            <w:jc w:val="both"/>
            <w:rPr>
              <w:rFonts w:ascii="宋体" w:hAnsi="宋体"/>
              <w:bCs/>
            </w:rPr>
          </w:pPr>
          <w:r>
            <w:rPr>
              <w:rFonts w:ascii="宋体" w:hAnsi="宋体" w:hint="eastAsia"/>
              <w:bCs/>
            </w:rPr>
            <w:t>2025年本集团向嘉能可购买《HVO销售合约》项下权益煤炭额度的交易上限金额为13亿美元。2025年，此项关联/关连交易发生金额约6.94亿美元。</w:t>
          </w:r>
        </w:p>
        <w:p>
          <w:pPr>
            <w:ind w:firstLineChars="200" w:firstLine="420"/>
            <w:jc w:val="both"/>
            <w:rPr>
              <w:rFonts w:ascii="宋体" w:hAnsi="宋体"/>
              <w:bCs/>
            </w:rPr>
          </w:pPr>
          <w:r>
            <w:rPr>
              <w:rFonts w:ascii="宋体" w:hAnsi="宋体" w:hint="eastAsia"/>
              <w:bCs/>
            </w:rPr>
            <w:t>公司2024年1月15日召开的第九届董事会第四次会议，审议批准兖煤澳洲与嘉能可续期《煤炭购买框架协议》及其所限定交易在2024-2026年每年的交易上限金额。《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有关详情请见公司日期为2024年1月15日的公告。</w:t>
          </w:r>
        </w:p>
        <w:p>
          <w:pPr>
            <w:ind w:firstLineChars="200" w:firstLine="420"/>
            <w:jc w:val="both"/>
            <w:rPr>
              <w:rFonts w:ascii="宋体" w:hAnsi="宋体"/>
              <w:bCs/>
            </w:rPr>
          </w:pPr>
          <w:r>
            <w:rPr>
              <w:rFonts w:ascii="宋体" w:hAnsi="宋体" w:hint="eastAsia"/>
              <w:bCs/>
            </w:rPr>
            <w:t>2025年本集团向嘉能可集团购买《煤炭购买框架协议》项下的煤炭的年度上限金额为2.5亿美元。2025年，此项关联/关连交易发生金额约0.74亿美元。</w:t>
          </w:r>
        </w:p>
        <w:p>
          <w:pPr>
            <w:ind w:firstLineChars="200" w:firstLine="420"/>
            <w:jc w:val="both"/>
            <w:rPr>
              <w:rFonts w:ascii="宋体" w:hAnsi="宋体"/>
              <w:bCs/>
            </w:rPr>
          </w:pPr>
          <w:r>
            <w:rPr>
              <w:rFonts w:ascii="宋体" w:hAnsi="宋体" w:hint="eastAsia"/>
              <w:bCs/>
            </w:rPr>
            <w:t>③柴油燃料供应持续性关联/关连交易</w:t>
          </w:r>
        </w:p>
        <w:p>
          <w:pPr>
            <w:ind w:firstLineChars="200" w:firstLine="420"/>
            <w:jc w:val="both"/>
            <w:rPr>
              <w:rFonts w:ascii="宋体" w:hAnsi="宋体"/>
              <w:bCs/>
            </w:rPr>
          </w:pPr>
          <w:r>
            <w:rPr>
              <w:rFonts w:ascii="宋体" w:hAnsi="宋体" w:hint="eastAsia"/>
              <w:bCs/>
            </w:rPr>
            <w:t>公司2023年11月6日召开的总经理办公会审议批准，亨特谷运营公司与嘉能可附属公司嘉能可澳大利亚石油有限公司（“嘉能可澳洲石油公司”）于2023年12月8日签署《柴油燃料供应协议》及其所限定交易在2024-2026年每年的交易上限金额。《柴油燃料供应协议》约定：（i）亨特谷运营公司将在交货月份之前生成采购订单；（ii）嘉能可澳洲石油公司将在采购订单中指定的日期之前交付采购订单中规定的燃料量，而亨特谷运营公司将在燃料交付后付款；（iii）计算付款的依据是，基于交付量及参考标准普尔全球普氏石油价格报告中公布的新加坡10ppm低硫柴油离岸价格的价格评估，及根据柴油燃料供应协议厘定的价格。有关详情请见公司日期为2023年12月8日的公告。</w:t>
          </w:r>
        </w:p>
        <w:p>
          <w:pPr>
            <w:ind w:firstLineChars="200" w:firstLine="420"/>
            <w:jc w:val="both"/>
            <w:rPr>
              <w:rFonts w:ascii="宋体" w:hAnsi="宋体"/>
              <w:bCs/>
            </w:rPr>
          </w:pPr>
          <w:r>
            <w:rPr>
              <w:rFonts w:ascii="宋体" w:hAnsi="宋体" w:hint="eastAsia"/>
              <w:bCs/>
            </w:rPr>
            <w:t>2025年本集团向嘉能可澳洲石油公司采购柴油燃料的交易上限金额为2.2亿美元。2025年，此项关联/关连交易发生金额约1.41亿美元。</w:t>
          </w:r>
        </w:p>
        <w:p>
          <w:pPr>
            <w:ind w:firstLineChars="200" w:firstLine="420"/>
            <w:jc w:val="both"/>
            <w:rPr>
              <w:rFonts w:ascii="宋体" w:hAnsi="宋体"/>
              <w:bCs/>
            </w:rPr>
          </w:pPr>
          <w:r>
            <w:rPr>
              <w:rFonts w:ascii="宋体" w:hAnsi="宋体" w:hint="eastAsia"/>
              <w:bCs/>
            </w:rPr>
            <w:t>（3）报告期内与瑞钢联持续性关联/关连交易协议审批与执行情况</w:t>
          </w:r>
        </w:p>
        <w:p>
          <w:pPr>
            <w:ind w:firstLineChars="200" w:firstLine="420"/>
            <w:jc w:val="both"/>
            <w:rPr>
              <w:rFonts w:ascii="宋体" w:hAnsi="宋体"/>
              <w:bCs/>
            </w:rPr>
          </w:pPr>
          <w:r>
            <w:rPr>
              <w:rFonts w:ascii="宋体" w:hAnsi="宋体" w:hint="eastAsia"/>
              <w:bCs/>
            </w:rPr>
            <w:t>①运输及货物代理持续性关联/关连交易</w:t>
          </w:r>
        </w:p>
        <w:p>
          <w:pPr>
            <w:ind w:firstLineChars="200" w:firstLine="420"/>
            <w:jc w:val="both"/>
            <w:rPr>
              <w:rFonts w:ascii="宋体" w:hAnsi="宋体"/>
              <w:bCs/>
            </w:rPr>
          </w:pPr>
          <w:r>
            <w:rPr>
              <w:rFonts w:ascii="宋体" w:hAnsi="宋体" w:hint="eastAsia"/>
              <w:bCs/>
            </w:rPr>
            <w:t>为高效利用本公司的现有专业服务经验、拓展本公司物流板块业务规模、提高市场占有率并提升附属公司盈利能力。公司2025年3月28日召开的第九届董事会第十四次会议，审议批准公司与瑞钢联签署《运输及货物代理服务协议》，约定本集团向瑞钢联及其附属公司(“瑞钢联集团”)及/或其联系人提供运输、货物代理(包括预报、港口卸货、通关报验等)等相关服务及其所限定交易在2025-2027年每年的交易上限金额，其中2025年、2026年及2027年三个财政年度的运输服务及货物代理服务费用金额上限分别为20.1亿元、22.2亿元及24.3亿元。货物运输服务及港口代理服务的价格为市场价格。为厘定市场价格，本公司的销售部门及其指定人员主要负责核查其他独立第三方通过获得报价所通常提供的价格，报价是通过电邮、传真或电话问询至少两名独立第三方或通过各种媒体资源（如当地的报刊）发布招标公告而从标书上获得。本公司的销售部门会基于购买要求不定期更新相关信息并将持续监控市场价格以确保运输服务及货物代理服务交易依照上文所载的定价政策进行。税费、港口费用中的政策性收费（港口建设费等）由瑞钢联集团及/或其联系人自行承担，具体金额以实际发生为准。该持续性关联/关连交易协议生效后追溯至2025年1月1日起生效。有关详情请见公司日期为2025年3月28日的公告。</w:t>
          </w:r>
        </w:p>
        <w:p>
          <w:pPr>
            <w:ind w:firstLineChars="200" w:firstLine="420"/>
            <w:jc w:val="both"/>
            <w:rPr>
              <w:rFonts w:ascii="宋体" w:hAnsi="宋体"/>
              <w:bCs/>
            </w:rPr>
          </w:pPr>
          <w:r>
            <w:rPr>
              <w:rFonts w:ascii="宋体" w:hAnsi="宋体" w:hint="eastAsia"/>
              <w:bCs/>
            </w:rPr>
            <w:t>2025年，此项关联/关连交易发生金额约</w:t>
          </w:r>
          <w:bookmarkStart w:id="218" w:name="_Hlk224825780"/>
          <w:r>
            <w:rPr>
              <w:rFonts w:ascii="宋体" w:hAnsi="宋体" w:hint="eastAsia"/>
              <w:bCs/>
            </w:rPr>
            <w:t>11.58</w:t>
          </w:r>
          <w:bookmarkEnd w:id="218"/>
          <w:r>
            <w:rPr>
              <w:rFonts w:ascii="宋体" w:hAnsi="宋体" w:hint="eastAsia"/>
              <w:bCs/>
            </w:rPr>
            <w:t>亿元。</w:t>
          </w:r>
        </w:p>
        <w:p>
          <w:pPr>
            <w:ind w:firstLineChars="200" w:firstLine="420"/>
            <w:jc w:val="both"/>
            <w:rPr>
              <w:rFonts w:ascii="宋体" w:hAnsi="宋体"/>
              <w:bCs/>
            </w:rPr>
          </w:pPr>
          <w:r>
            <w:rPr>
              <w:rFonts w:ascii="宋体" w:hAnsi="宋体" w:hint="eastAsia"/>
              <w:bCs/>
            </w:rPr>
            <w:t>②大宗商品购销持续性关联/关连交易</w:t>
          </w:r>
        </w:p>
        <w:p>
          <w:pPr>
            <w:ind w:firstLineChars="200" w:firstLine="420"/>
            <w:jc w:val="both"/>
            <w:rPr>
              <w:rFonts w:ascii="宋体" w:hAnsi="宋体"/>
              <w:bCs/>
            </w:rPr>
          </w:pPr>
          <w:r>
            <w:rPr>
              <w:rFonts w:ascii="宋体" w:hAnsi="宋体" w:hint="eastAsia"/>
              <w:bCs/>
            </w:rPr>
            <w:t>为充分利用货源及客户资源，促进物流业务的发展，拓展定制化供应链物流配套服务。公司2025年3月28日召开的第九届董事会第十四次会议，审议批准公司与瑞钢联签署《大宗商品购销协议》，约定本集团与瑞钢联集团及/或其联系人根据业务需要互相购买及/或销售煤炭、铁矿石及其他大宗商品及其所限定交易在2025年3月28日至2025年12月31日期间、及2026年及2027年两个财政年度的交易上限金额。其中，2025年3月28日至2025年12月31日期间、及2026年及2027年两个财政年度，本集团根据大宗商品购销协议向瑞钢联集团及/或其联系人购买铁矿石及其他大宗商品应支付的交易金额上限分别为15亿元、15亿元及15亿元；本集团根据大宗商品购销协议向瑞钢联集团及/或其联系人销售煤炭及其他大宗商品应收取的交易金额上限分别为10.1亿元、11.1亿元及12.2亿元。</w:t>
          </w:r>
        </w:p>
        <w:p>
          <w:pPr>
            <w:ind w:firstLineChars="200" w:firstLine="420"/>
            <w:jc w:val="both"/>
            <w:rPr>
              <w:rFonts w:ascii="宋体" w:hAnsi="宋体"/>
              <w:bCs/>
            </w:rPr>
          </w:pPr>
          <w:r>
            <w:rPr>
              <w:rFonts w:ascii="宋体" w:hAnsi="宋体" w:hint="eastAsia"/>
              <w:bCs/>
            </w:rPr>
            <w:t>《大宗商品购销协议》的定价方式是在一般商务条款的基础上，按照以下基准确定:(i)在同类或类似产品的提供地或其附近地区的独立第三方，按照一般商务条款，在其日常业务过程中进</w:t>
          </w:r>
          <w:r>
            <w:rPr>
              <w:rFonts w:ascii="宋体" w:hAnsi="宋体" w:hint="eastAsia"/>
              <w:bCs/>
            </w:rPr>
            <w:lastRenderedPageBreak/>
            <w:t>行同类或类似协定购销当时收取的价格；或(ii)若以上第(i)项不适用时，在中国境内的独立第三方，按照一般商务条款，在其日常业务过程中，进行同类或类似协定购销当时收取的价格。为厘定市场价格，本公司的销售部门及/或采购部门及其指定人员主要负责核查其他独立第三方通过获得报价所通常提供的价格，报价是通过电邮、传真或电话问询至少两名独立第三方或通过各种媒体资源（如当地的报刊）发布招标公告而从标书上获得。本公司的销售部门及/或采购部门会基于购买要求不定期更新相关信息并将持续监控市场价格以确保协定购销交易依照上文所载的定价政策进行。如果在任何时候，国家定价生效并适用于某项协定购销，本集团与瑞钢联集团及/或其联系人同意该项协定购销价格应按国家定价确定。该国家定价是指根据中国境内有关政府机构制定的法律、法规、决定、命令或定价政策对该等协定购销规定的价格（根据具体情况而定）。</w:t>
          </w:r>
        </w:p>
        <w:p>
          <w:pPr>
            <w:ind w:firstLineChars="200" w:firstLine="420"/>
            <w:jc w:val="both"/>
            <w:rPr>
              <w:rFonts w:ascii="宋体" w:hAnsi="宋体"/>
              <w:bCs/>
            </w:rPr>
          </w:pPr>
          <w:r>
            <w:rPr>
              <w:rFonts w:ascii="宋体" w:hAnsi="宋体" w:hint="eastAsia"/>
              <w:bCs/>
            </w:rPr>
            <w:t>大宗商品购销协议有效期自2025年3月28日起至2027年12月31日止。有关详情请见公司日期为2025年3月28日的公告。</w:t>
          </w:r>
        </w:p>
        <w:p>
          <w:pPr>
            <w:ind w:firstLineChars="200" w:firstLine="420"/>
            <w:jc w:val="both"/>
            <w:rPr>
              <w:rFonts w:ascii="宋体" w:hAnsi="宋体"/>
              <w:bCs/>
            </w:rPr>
          </w:pPr>
          <w:r>
            <w:rPr>
              <w:rFonts w:ascii="宋体" w:hAnsi="宋体" w:hint="eastAsia"/>
              <w:bCs/>
            </w:rPr>
            <w:t>2025年3月28日-2025年12月31日，本集团向瑞钢联集团购买大宗商品的发生金额为0亿元，瑞钢联集团向本集团购买大宗商品的发生金额为</w:t>
          </w:r>
          <w:bookmarkStart w:id="219" w:name="_Hlk224825791"/>
          <w:r>
            <w:rPr>
              <w:rFonts w:ascii="宋体" w:hAnsi="宋体" w:hint="eastAsia"/>
              <w:bCs/>
            </w:rPr>
            <w:t>2.05</w:t>
          </w:r>
          <w:bookmarkEnd w:id="219"/>
          <w:r>
            <w:rPr>
              <w:rFonts w:ascii="宋体" w:hAnsi="宋体" w:hint="eastAsia"/>
              <w:bCs/>
            </w:rPr>
            <w:t>亿元。</w:t>
          </w:r>
        </w:p>
        <w:p>
          <w:pPr>
            <w:ind w:firstLineChars="200" w:firstLine="420"/>
            <w:jc w:val="both"/>
            <w:rPr>
              <w:rFonts w:ascii="宋体" w:hAnsi="宋体"/>
              <w:bCs/>
            </w:rPr>
          </w:pPr>
          <w:r>
            <w:rPr>
              <w:rFonts w:ascii="宋体" w:hAnsi="宋体" w:hint="eastAsia"/>
              <w:bCs/>
            </w:rPr>
            <w:t>（4）独立非执行董事的意见</w:t>
          </w:r>
        </w:p>
        <w:p>
          <w:pPr>
            <w:ind w:firstLineChars="200" w:firstLine="420"/>
            <w:jc w:val="both"/>
            <w:rPr>
              <w:rFonts w:ascii="宋体" w:hAnsi="宋体"/>
              <w:bCs/>
            </w:rPr>
          </w:pPr>
          <w:r>
            <w:rPr>
              <w:rFonts w:ascii="宋体" w:hAnsi="宋体" w:hint="eastAsia"/>
              <w:bCs/>
            </w:rPr>
            <w:t>本公司的相关业务部门审核了上述非豁免持续性关联/关连交易及相关内部监控程序并将结果呈交予本公司的独立非执行董事。本公司亦有向独立非执行董事提供主要资料以便开展审核。</w:t>
          </w:r>
        </w:p>
        <w:p>
          <w:pPr>
            <w:ind w:firstLineChars="200" w:firstLine="420"/>
            <w:jc w:val="both"/>
            <w:rPr>
              <w:rFonts w:ascii="宋体" w:hAnsi="宋体"/>
              <w:bCs/>
            </w:rPr>
          </w:pPr>
          <w:r>
            <w:rPr>
              <w:rFonts w:ascii="宋体" w:hAnsi="宋体" w:hint="eastAsia"/>
              <w:bCs/>
            </w:rPr>
            <w:t>公司独立非执行董事确认本集团2025年度发生的持续性关联/关连交易：①各项交易（i）属本集团日常业务；（ii）是按一般商业条款进行，如可供比较的交易不足以判断该等交易的条款是否属一般商业条款，则对本集团而言，该等交易的条款不逊于独立第三方可取得或提供的条款；（iii）是根据有关交易的协议条款进行，而交易条款公平合理，并且符合公司股东的整体利益。②上述“与日常经营相关的关联/关连交易执行情况”所述的关联/关连交易金额均不超过独立股东及董事会批准的年度上限交易金额。</w:t>
          </w:r>
        </w:p>
        <w:p>
          <w:pPr>
            <w:ind w:firstLineChars="200" w:firstLine="420"/>
            <w:jc w:val="both"/>
            <w:rPr>
              <w:rFonts w:ascii="宋体" w:hAnsi="宋体"/>
              <w:bCs/>
            </w:rPr>
          </w:pPr>
          <w:r>
            <w:rPr>
              <w:rFonts w:ascii="宋体" w:hAnsi="宋体" w:hint="eastAsia"/>
              <w:bCs/>
            </w:rPr>
            <w:t>（5）核数师的意见</w:t>
          </w:r>
        </w:p>
        <w:p>
          <w:pPr>
            <w:ind w:firstLineChars="200" w:firstLine="420"/>
            <w:jc w:val="both"/>
            <w:rPr>
              <w:rFonts w:ascii="宋体" w:hAnsi="宋体"/>
              <w:bCs/>
            </w:rPr>
          </w:pPr>
          <w:r>
            <w:rPr>
              <w:rFonts w:ascii="宋体" w:hAnsi="宋体" w:hint="eastAsia"/>
              <w:bCs/>
            </w:rPr>
            <w:t>根据香港上市规则规定，本公司聘用常年H股核数师就公司持续性关联/关连交易是否履行香港上市规则规定的义务向董事会作出报告。</w:t>
          </w:r>
        </w:p>
        <w:p>
          <w:pPr>
            <w:ind w:firstLineChars="200" w:firstLine="420"/>
            <w:jc w:val="both"/>
            <w:rPr>
              <w:rFonts w:ascii="宋体" w:hAnsi="宋体"/>
              <w:bCs/>
            </w:rPr>
          </w:pPr>
          <w:r>
            <w:rPr>
              <w:rFonts w:ascii="宋体" w:hAnsi="宋体" w:hint="eastAsia"/>
              <w:bCs/>
            </w:rPr>
            <w:t>核数师就上述持续性关联/关连交易向董事会报告：①已获本公司董事会批准；②是按照本公司的定价政策而进行；③是根据该等交易协议的有关条款进行；及④并无超出有关年度上限交易金额。</w:t>
          </w:r>
        </w:p>
        <w:p>
          <w:pPr>
            <w:ind w:firstLineChars="200" w:firstLine="420"/>
            <w:jc w:val="both"/>
            <w:rPr>
              <w:rFonts w:ascii="宋体" w:hAnsi="宋体"/>
            </w:rPr>
          </w:pPr>
        </w:p>
      </w:sdtContent>
    </w:sdt>
    <w:p>
      <w:pPr>
        <w:pStyle w:val="Style49"/>
      </w:pPr>
    </w:p>
    <w:p>
      <w:pPr>
        <w:pStyle w:val="Style53"/>
        <w:numPr>
          <w:ilvl w:val="2"/>
          <w:numId w:val="39"/>
        </w:numPr>
      </w:pPr>
      <w:bookmarkStart w:id="220" w:name="_Toc342565956"/>
      <w:bookmarkStart w:id="221" w:name="_Toc342491964"/>
      <w:r>
        <w:rPr>
          <w:rFonts w:hint="eastAsia"/>
        </w:rPr>
        <w:t>临时公告未披露的事</w:t>
      </w:r>
      <w:bookmarkEnd w:id="220"/>
      <w:bookmarkEnd w:id="221"/>
      <w:r>
        <w:rPr>
          <w:rFonts w:hint="eastAsia"/>
        </w:rPr>
        <w:t>项</w:t>
      </w:r>
    </w:p>
    <w:sdt>
      <w:sdtPr>
        <w:alias w:val="是否适用：与日常经营相关的关联交易_临时公告未披露的事项[双击切换]"/>
        <w:tag w:val="_GBC_3f1135e0d6d440e6a4af283441bd65d2"/>
        <w:id w:val="-1368064595"/>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2"/>
          <w:numId w:val="38"/>
        </w:numPr>
        <w:rPr>
          <w:szCs w:val="21"/>
        </w:rPr>
      </w:pPr>
      <w:r>
        <w:rPr>
          <w:rFonts w:hint="eastAsia"/>
          <w:szCs w:val="21"/>
        </w:rPr>
        <w:t>资产或股权收购、出售发生的关联</w:t>
      </w:r>
      <w:r>
        <w:rPr>
          <w:rFonts w:hint="eastAsia"/>
          <w:szCs w:val="21"/>
        </w:rPr>
        <w:t>/</w:t>
      </w:r>
      <w:r>
        <w:rPr>
          <w:rFonts w:hint="eastAsia"/>
          <w:szCs w:val="21"/>
        </w:rPr>
        <w:t>关连交易</w:t>
      </w:r>
    </w:p>
    <w:p>
      <w:pPr>
        <w:pStyle w:val="Style53"/>
        <w:numPr>
          <w:ilvl w:val="0"/>
          <w:numId w:val="40"/>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22357130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3"/>
        <w:numPr>
          <w:ilvl w:val="0"/>
          <w:numId w:val="40"/>
        </w:numPr>
      </w:pPr>
      <w:bookmarkStart w:id="222" w:name="_Hlk90309315"/>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2016610609"/>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资产收购、出售发生的关联交易事项已在临时报告披露，后续实施的进展或变化"/>
        <w:tag w:val="_GBC_8be6819282404c72b37e6b124c015b6a"/>
        <w:id w:val="-630013303"/>
        <w:placeholder>
          <w:docPart w:val="GBC22222222222222222222222222222"/>
        </w:placeholder>
      </w:sdtPr>
      <w:sdtEndPr>
        <w:rPr>
          <w:rFonts w:ascii="宋体" w:hAnsi="宋体"/>
        </w:rPr>
      </w:sdtEndPr>
      <w:sdtContent>
        <w:p>
          <w:pPr>
            <w:ind w:firstLineChars="200" w:firstLine="420"/>
          </w:pPr>
        </w:p>
        <w:p>
          <w:pPr>
            <w:ind w:firstLineChars="200" w:firstLine="422"/>
            <w:rPr>
              <w:rFonts w:ascii="宋体" w:hAnsi="宋体"/>
              <w:b/>
            </w:rPr>
          </w:pPr>
          <w:r>
            <w:rPr>
              <w:rFonts w:ascii="宋体" w:hAnsi="宋体" w:hint="eastAsia"/>
              <w:b/>
            </w:rPr>
            <w:t>新风光科技增资控股东方机电</w:t>
          </w:r>
        </w:p>
        <w:p>
          <w:pPr>
            <w:ind w:firstLineChars="200" w:firstLine="420"/>
            <w:jc w:val="both"/>
            <w:rPr>
              <w:rFonts w:ascii="宋体" w:hAnsi="宋体"/>
              <w:bCs/>
            </w:rPr>
          </w:pPr>
          <w:r>
            <w:rPr>
              <w:rFonts w:ascii="宋体" w:hAnsi="宋体" w:hint="eastAsia"/>
              <w:bCs/>
            </w:rPr>
            <w:t>经公司总经理办公会审议批准，为将山东能源附属公司新风光电子科技股份有限公司（“新风光科技”）的先进电力电子控制技术引入东华重工附属公司兖州东方机电有限公司（“东方机电”），2025年2月14日东华重工与新风光科技及东方机电签署增资协议，新风光科技以现金方式出资人民币约5,592.57万元认缴东方机电新增注册资本。增资完成后，新风光科技持有东方机电50%的股权，东华重工持有东方机电47.168%的股权，东方机电将不再为本公司之附属公司。</w:t>
          </w:r>
        </w:p>
        <w:p>
          <w:pPr>
            <w:ind w:firstLineChars="200" w:firstLine="420"/>
            <w:jc w:val="both"/>
            <w:rPr>
              <w:rFonts w:ascii="宋体" w:hAnsi="宋体"/>
              <w:bCs/>
            </w:rPr>
          </w:pPr>
          <w:r>
            <w:rPr>
              <w:rFonts w:ascii="宋体" w:hAnsi="宋体" w:hint="eastAsia"/>
              <w:bCs/>
            </w:rPr>
            <w:t>截至本报告披露日，上述交易已完成股权交割及工商变更程序。</w:t>
          </w:r>
        </w:p>
        <w:p>
          <w:pPr>
            <w:ind w:firstLineChars="200" w:firstLine="420"/>
            <w:jc w:val="both"/>
            <w:rPr>
              <w:rFonts w:ascii="宋体" w:hAnsi="宋体"/>
              <w:bCs/>
            </w:rPr>
          </w:pPr>
          <w:r>
            <w:rPr>
              <w:rFonts w:ascii="宋体" w:hAnsi="宋体" w:hint="eastAsia"/>
              <w:bCs/>
            </w:rPr>
            <w:lastRenderedPageBreak/>
            <w:t>有关详情请见公司日期为2025年2月14日的关联/关连交易公告，该等资料刊载于上交所网站、香港联交所网站、公司网站及/或《中国证券报》《上海证券报》《证券时报》《证券日报》。</w:t>
          </w:r>
        </w:p>
        <w:p>
          <w:pPr>
            <w:ind w:firstLineChars="200" w:firstLine="420"/>
            <w:rPr>
              <w:rFonts w:ascii="宋体" w:hAnsi="宋体"/>
              <w:bCs/>
            </w:rPr>
          </w:pPr>
          <w:r>
            <w:rPr>
              <w:rFonts w:ascii="宋体" w:hAnsi="宋体" w:hint="eastAsia"/>
              <w:bCs/>
            </w:rPr>
            <w:t xml:space="preserve"> </w:t>
          </w:r>
        </w:p>
        <w:p>
          <w:pPr>
            <w:ind w:firstLineChars="200" w:firstLine="422"/>
            <w:rPr>
              <w:rFonts w:ascii="宋体" w:hAnsi="宋体"/>
              <w:b/>
              <w:bCs/>
            </w:rPr>
          </w:pPr>
          <w:r>
            <w:rPr>
              <w:rFonts w:ascii="宋体" w:hAnsi="宋体" w:hint="eastAsia"/>
              <w:b/>
              <w:bCs/>
            </w:rPr>
            <w:t>以股权收购与增资方式取得西北矿业51%股权</w:t>
          </w:r>
        </w:p>
        <w:p>
          <w:pPr>
            <w:ind w:firstLineChars="200" w:firstLine="420"/>
            <w:jc w:val="both"/>
            <w:rPr>
              <w:rFonts w:ascii="宋体" w:hAnsi="宋体"/>
            </w:rPr>
          </w:pPr>
          <w:r>
            <w:rPr>
              <w:rFonts w:ascii="宋体" w:hAnsi="宋体" w:hint="eastAsia"/>
            </w:rPr>
            <w:t>经2025年5月30日召开的公司2024年度股东周年大会审议批准，公司以现金47.48亿元收购西北矿业26%股权，以现金93.18亿元向西北矿业增资，增资完成后，公司合计持有西北矿业51%的股权。</w:t>
          </w:r>
        </w:p>
        <w:p>
          <w:pPr>
            <w:ind w:firstLineChars="200" w:firstLine="420"/>
            <w:jc w:val="both"/>
            <w:rPr>
              <w:rFonts w:ascii="宋体" w:hAnsi="宋体"/>
            </w:rPr>
          </w:pPr>
          <w:r>
            <w:rPr>
              <w:rFonts w:ascii="宋体" w:hAnsi="宋体" w:hint="eastAsia"/>
            </w:rPr>
            <w:t>截至本报告披露日，上述交易已完成股权交割及工商变更程序。</w:t>
          </w:r>
        </w:p>
        <w:p>
          <w:pPr>
            <w:ind w:firstLineChars="200" w:firstLine="420"/>
            <w:jc w:val="both"/>
            <w:rPr>
              <w:rFonts w:ascii="宋体" w:hAnsi="宋体"/>
            </w:rPr>
          </w:pPr>
          <w:r>
            <w:rPr>
              <w:rFonts w:ascii="宋体" w:hAnsi="宋体" w:hint="eastAsia"/>
            </w:rPr>
            <w:t>有关详情请见公司日期为2025年4月8日的关联/关连交易的公告，日期为2025年5月30日的2024年度股东周年大会决议公告，日期为2025年7月11日的关于关联/关连交易完成交割的公告，该等资料刊载于上交所网站、香港联交所网站、公司网站及/或《中国证券报》《上海证券报》《证券时报》《证券日报》。</w:t>
          </w:r>
        </w:p>
        <w:p>
          <w:pPr>
            <w:rPr>
              <w:rFonts w:ascii="宋体" w:hAnsi="宋体"/>
              <w:bCs/>
            </w:rPr>
          </w:pPr>
        </w:p>
        <w:p>
          <w:pPr>
            <w:ind w:firstLineChars="200" w:firstLine="422"/>
            <w:rPr>
              <w:rFonts w:ascii="宋体" w:hAnsi="宋体"/>
              <w:b/>
            </w:rPr>
          </w:pPr>
          <w:r>
            <w:rPr>
              <w:rFonts w:ascii="宋体" w:hAnsi="宋体" w:hint="eastAsia"/>
              <w:b/>
            </w:rPr>
            <w:t>华聚能源增资售电公司</w:t>
          </w:r>
        </w:p>
        <w:p>
          <w:pPr>
            <w:ind w:firstLineChars="200" w:firstLine="420"/>
            <w:jc w:val="both"/>
            <w:rPr>
              <w:rFonts w:ascii="宋体" w:hAnsi="宋体"/>
              <w:bCs/>
            </w:rPr>
          </w:pPr>
          <w:r>
            <w:rPr>
              <w:rFonts w:ascii="宋体" w:hAnsi="宋体" w:hint="eastAsia"/>
              <w:bCs/>
            </w:rPr>
            <w:t>经公司总经理办公会审议批准，2025年8月29日山东华聚能源股份有限公司（“华聚能源”）与山东能源及其附属公司兖矿售电有限公司（“售电公司”）签署增资协议。华聚能源以现金方式出资人民币25,362.375万元认缴售电公司新增注册资本。增资完成后，华聚能源持有售电公司70%的股权，山东能源持有售电公司30%的股权，售电公司将成为本公司附属公司。</w:t>
          </w:r>
        </w:p>
        <w:p>
          <w:pPr>
            <w:ind w:firstLineChars="200" w:firstLine="420"/>
            <w:jc w:val="both"/>
            <w:rPr>
              <w:rFonts w:ascii="宋体" w:hAnsi="宋体"/>
              <w:bCs/>
            </w:rPr>
          </w:pPr>
          <w:r>
            <w:rPr>
              <w:rFonts w:ascii="宋体" w:hAnsi="宋体" w:hint="eastAsia"/>
              <w:bCs/>
            </w:rPr>
            <w:t>截至本报告披露日，上述交易已完成股权交割及工商变更程序。</w:t>
          </w:r>
        </w:p>
        <w:p>
          <w:pPr>
            <w:ind w:firstLineChars="200" w:firstLine="420"/>
            <w:jc w:val="both"/>
            <w:rPr>
              <w:rFonts w:ascii="宋体" w:hAnsi="宋体"/>
              <w:bCs/>
            </w:rPr>
          </w:pPr>
          <w:r>
            <w:rPr>
              <w:rFonts w:ascii="宋体" w:hAnsi="宋体" w:hint="eastAsia"/>
              <w:bCs/>
            </w:rPr>
            <w:t>有关详情请见公司日期为2025年8月29日的通过增资方式取得售电公司70%股权的关联/关连交易公告，该等资料刊载于上交所网站、香港联交所网站、公司网站及/或《中国证券报》《上海证券报》《证券时报》《证券日报》。</w:t>
          </w:r>
        </w:p>
      </w:sdtContent>
    </w:sdt>
    <w:bookmarkEnd w:id="222"/>
    <w:p>
      <w:pPr>
        <w:pStyle w:val="Style49"/>
      </w:pPr>
    </w:p>
    <w:p>
      <w:pPr>
        <w:pStyle w:val="Style53"/>
        <w:numPr>
          <w:ilvl w:val="0"/>
          <w:numId w:val="40"/>
        </w:numPr>
      </w:pPr>
      <w:r>
        <w:t>临时公告未披露的事项</w:t>
      </w:r>
    </w:p>
    <w:sdt>
      <w:sdtPr>
        <w:alias w:val="是否适用：资产收购、出售发生的关联交易_临时公告未披露的事项[双击切换]"/>
        <w:tag w:val="_GBC_c2403e21caad4498842c2f1cf3384c0d"/>
        <w:id w:val="186825704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49"/>
      </w:pPr>
    </w:p>
    <w:p>
      <w:pPr>
        <w:pStyle w:val="Style53"/>
        <w:numPr>
          <w:ilvl w:val="0"/>
          <w:numId w:val="40"/>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277090645"/>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2"/>
        <w:numPr>
          <w:ilvl w:val="2"/>
          <w:numId w:val="38"/>
        </w:numPr>
        <w:rPr>
          <w:szCs w:val="21"/>
        </w:rPr>
      </w:pPr>
      <w:r>
        <w:rPr>
          <w:rFonts w:hint="eastAsia"/>
          <w:szCs w:val="21"/>
        </w:rPr>
        <w:t>共同对外投资的重大关联</w:t>
      </w:r>
      <w:r>
        <w:rPr>
          <w:rFonts w:hint="eastAsia"/>
          <w:szCs w:val="21"/>
        </w:rPr>
        <w:t>/</w:t>
      </w:r>
      <w:r>
        <w:rPr>
          <w:rFonts w:hint="eastAsia"/>
          <w:szCs w:val="21"/>
        </w:rPr>
        <w:t>关连交易</w:t>
      </w:r>
    </w:p>
    <w:p>
      <w:pPr>
        <w:pStyle w:val="Style53"/>
        <w:numPr>
          <w:ilvl w:val="0"/>
          <w:numId w:val="41"/>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9954961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Style w:val="aff4"/>
        <w:tblW w:w="9048" w:type="dxa"/>
        <w:tblLayout w:type="fixed"/>
        <w:tblLook w:val="04A0" w:firstRow="1" w:lastRow="0" w:firstColumn="1" w:lastColumn="0" w:noHBand="0" w:noVBand="1"/>
      </w:tblPr>
      <w:tblGrid>
        <w:gridCol w:w="4524"/>
        <w:gridCol w:w="4524"/>
      </w:tblGrid>
      <w:tr>
        <w:bookmarkStart w:id="223" w:name="_Hlk225232411" w:displacedByCustomXml="next"/>
        <w:sdt>
          <w:sdtPr>
            <w:tag w:val="_PLD_aaa8429c16f947df8bb3958de8573ffd"/>
            <w:id w:val="-517089133"/>
          </w:sdtPr>
          <w:sdtContent>
            <w:tc>
              <w:tcPr>
                <w:tcW w:w="4524" w:type="dxa"/>
                <w:vAlign w:val="center"/>
              </w:tcPr>
              <w:p>
                <w:pPr>
                  <w:jc w:val="center"/>
                </w:pPr>
                <w:r>
                  <w:t>事项概述</w:t>
                </w:r>
              </w:p>
            </w:tc>
          </w:sdtContent>
        </w:sdt>
        <w:sdt>
          <w:sdtPr>
            <w:tag w:val="_PLD_cf6e4516bf28449d8c20ba66687eaace"/>
            <w:id w:val="-181677889"/>
          </w:sdtPr>
          <w:sdtContent>
            <w:tc>
              <w:tcPr>
                <w:tcW w:w="4524" w:type="dxa"/>
                <w:vAlign w:val="center"/>
              </w:tcPr>
              <w:p>
                <w:pPr>
                  <w:jc w:val="center"/>
                </w:pPr>
                <w:r>
                  <w:t>查询索引</w:t>
                </w:r>
              </w:p>
            </w:tc>
          </w:sdtContent>
        </w:sdt>
      </w:tr>
      <w:tr>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经公司2026年3月27日召开的第九届董事会第二十二次会议审议批准，公司与新汶矿业集团有限责任公司(“新矿集团”)按持股比例共同向新疆能化增加注册资本金60亿元。其中兖矿能源出资30.6亿元，新矿集团出资29.4亿元。其中，首期出资10亿元（兖矿能源按51%持股比例认缴5.1亿元，新矿集团按49%持股比例认缴4.9亿元），剩余增资款将根据项目建设实际资金需求分期注入。</w:t>
            </w:r>
          </w:p>
        </w:tc>
        <w:tc>
          <w:tcPr>
            <w:tcW w:w="4524" w:type="dxa"/>
            <w:vAlign w:val="center"/>
          </w:tcPr>
          <w:p>
            <w:pPr>
              <w:rPr>
                <w:rFonts w:asciiTheme="minorEastAsia" w:eastAsiaTheme="minorEastAsia" w:hAnsiTheme="minorEastAsia"/>
              </w:rPr>
            </w:pPr>
            <w:r>
              <w:rPr>
                <w:rFonts w:asciiTheme="minorEastAsia" w:eastAsiaTheme="minorEastAsia" w:hAnsiTheme="minorEastAsia" w:hint="eastAsia"/>
              </w:rPr>
              <w:t>有关详情请见公司日期为2026年3月27日的第九届董事会第二十二次会议决议公告、关联/关连交易公告，该等资料刊载于上交所网站、香港联交所网站、公司网站及/或《中国证券报》《上海证券报》《证券时报》《证券日报》。</w:t>
            </w:r>
          </w:p>
        </w:tc>
      </w:tr>
      <w:bookmarkEnd w:id="223"/>
    </w:tbl>
    <w:p>
      <w:pPr>
        <w:pStyle w:val="Style49"/>
      </w:pPr>
    </w:p>
    <w:p>
      <w:pPr>
        <w:pStyle w:val="Style53"/>
        <w:numPr>
          <w:ilvl w:val="0"/>
          <w:numId w:val="41"/>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184963809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3"/>
        <w:numPr>
          <w:ilvl w:val="0"/>
          <w:numId w:val="41"/>
        </w:numPr>
      </w:pPr>
      <w:r>
        <w:lastRenderedPageBreak/>
        <w:t>临时公告未披露的事项</w:t>
      </w:r>
    </w:p>
    <w:sdt>
      <w:sdtPr>
        <w:alias w:val="是否适用：共同对外投资的重大关联交易_临时公告未披露的事项[双击切换]"/>
        <w:tag w:val="_GBC_0a8e93fe81464e209d3619d1be6a3349"/>
        <w:id w:val="-808165591"/>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共同对外投资的重大关联交易"/>
          <w:tag w:val="_GBC_74eb25e9a3e54efdaaff92d0e15dbd4f"/>
          <w:id w:val="-2387088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亿元</w:t>
          </w:r>
        </w:sdtContent>
      </w:sdt>
      <w:r>
        <w:rPr>
          <w:rFonts w:hint="eastAsia"/>
        </w:rPr>
        <w:t xml:space="preserve">  </w:t>
      </w:r>
      <w:r>
        <w:rPr>
          <w:rFonts w:hint="eastAsia"/>
        </w:rPr>
        <w:t>币种：</w:t>
      </w:r>
      <w:sdt>
        <w:sdtPr>
          <w:rPr>
            <w:rFonts w:hint="eastAsia"/>
          </w:rPr>
          <w:alias w:val="币种：共同对外投资的重大关联交易"/>
          <w:tag w:val="_GBC_036929fcdf59420985b80cf0a6896a7d"/>
          <w:id w:val="-122853067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7"/>
        <w:tblW w:w="9048" w:type="dxa"/>
        <w:tblLayout w:type="fixed"/>
        <w:tblLook w:val="04A0" w:firstRow="1" w:lastRow="0" w:firstColumn="1" w:lastColumn="0" w:noHBand="0" w:noVBand="1"/>
      </w:tblPr>
      <w:tblGrid>
        <w:gridCol w:w="1005"/>
        <w:gridCol w:w="1005"/>
        <w:gridCol w:w="1005"/>
        <w:gridCol w:w="1005"/>
        <w:gridCol w:w="1005"/>
        <w:gridCol w:w="1005"/>
        <w:gridCol w:w="1006"/>
        <w:gridCol w:w="1006"/>
        <w:gridCol w:w="1006"/>
      </w:tblGrid>
      <w:tr>
        <w:sdt>
          <w:sdtPr>
            <w:tag w:val="_PLD_fcc9f9b96d304e1f95e5032cf03fb2ec"/>
            <w:id w:val="-1997568853"/>
          </w:sdtPr>
          <w:sdtContent>
            <w:tc>
              <w:tcPr>
                <w:tcW w:w="1005" w:type="dxa"/>
                <w:vAlign w:val="center"/>
              </w:tcPr>
              <w:p>
                <w:pPr>
                  <w:jc w:val="center"/>
                </w:pPr>
                <w:r>
                  <w:t>共同投资方</w:t>
                </w:r>
              </w:p>
            </w:tc>
          </w:sdtContent>
        </w:sdt>
        <w:sdt>
          <w:sdtPr>
            <w:tag w:val="_PLD_b9e784a3c80342708a14c5ddd1b2762f"/>
            <w:id w:val="-278031141"/>
          </w:sdtPr>
          <w:sdtContent>
            <w:tc>
              <w:tcPr>
                <w:tcW w:w="1005" w:type="dxa"/>
                <w:vAlign w:val="center"/>
              </w:tcPr>
              <w:p>
                <w:pPr>
                  <w:jc w:val="center"/>
                </w:pPr>
                <w:r>
                  <w:t>关联</w:t>
                </w:r>
              </w:p>
              <w:p>
                <w:pPr>
                  <w:jc w:val="center"/>
                </w:pPr>
                <w:r>
                  <w:t>关系</w:t>
                </w:r>
              </w:p>
            </w:tc>
          </w:sdtContent>
        </w:sdt>
        <w:sdt>
          <w:sdtPr>
            <w:tag w:val="_PLD_581045b6f75043bebcf739873083c81a"/>
            <w:id w:val="29155278"/>
          </w:sdtPr>
          <w:sdtContent>
            <w:tc>
              <w:tcPr>
                <w:tcW w:w="1005" w:type="dxa"/>
                <w:vAlign w:val="center"/>
              </w:tcPr>
              <w:p>
                <w:pPr>
                  <w:jc w:val="center"/>
                </w:pPr>
                <w:r>
                  <w:t>被投资企业的名称</w:t>
                </w:r>
              </w:p>
            </w:tc>
          </w:sdtContent>
        </w:sdt>
        <w:sdt>
          <w:sdtPr>
            <w:tag w:val="_PLD_2dc18c073eb948d390eb147e18dd5760"/>
            <w:id w:val="1569374187"/>
          </w:sdtPr>
          <w:sdtContent>
            <w:tc>
              <w:tcPr>
                <w:tcW w:w="1005" w:type="dxa"/>
                <w:vAlign w:val="center"/>
              </w:tcPr>
              <w:p>
                <w:pPr>
                  <w:jc w:val="center"/>
                </w:pPr>
                <w:r>
                  <w:t>被投资企业的主营业务</w:t>
                </w:r>
              </w:p>
            </w:tc>
          </w:sdtContent>
        </w:sdt>
        <w:sdt>
          <w:sdtPr>
            <w:tag w:val="_PLD_49485274d57342feac0f01ff8b1d7b66"/>
            <w:id w:val="-30799389"/>
          </w:sdtPr>
          <w:sdtContent>
            <w:tc>
              <w:tcPr>
                <w:tcW w:w="1005" w:type="dxa"/>
                <w:vAlign w:val="center"/>
              </w:tcPr>
              <w:p>
                <w:pPr>
                  <w:jc w:val="center"/>
                </w:pPr>
                <w:r>
                  <w:t>被投资企业的注册资本</w:t>
                </w:r>
              </w:p>
            </w:tc>
          </w:sdtContent>
        </w:sdt>
        <w:sdt>
          <w:sdtPr>
            <w:tag w:val="_PLD_910c660ba200492fa8430c1962a85f15"/>
            <w:id w:val="-1823109096"/>
          </w:sdtPr>
          <w:sdtContent>
            <w:tc>
              <w:tcPr>
                <w:tcW w:w="1005" w:type="dxa"/>
                <w:vAlign w:val="center"/>
              </w:tcPr>
              <w:p>
                <w:pPr>
                  <w:jc w:val="center"/>
                </w:pPr>
                <w:r>
                  <w:t>被投资企业的总资产</w:t>
                </w:r>
              </w:p>
            </w:tc>
          </w:sdtContent>
        </w:sdt>
        <w:sdt>
          <w:sdtPr>
            <w:tag w:val="_PLD_405ee1ad41fb4b14b5ec0a4f5fb1d93a"/>
            <w:id w:val="1002857132"/>
          </w:sdtPr>
          <w:sdtContent>
            <w:tc>
              <w:tcPr>
                <w:tcW w:w="1006" w:type="dxa"/>
                <w:vAlign w:val="center"/>
              </w:tcPr>
              <w:p>
                <w:pPr>
                  <w:jc w:val="center"/>
                </w:pPr>
                <w:r>
                  <w:t>被投资企业的净资产</w:t>
                </w:r>
              </w:p>
            </w:tc>
          </w:sdtContent>
        </w:sdt>
        <w:sdt>
          <w:sdtPr>
            <w:tag w:val="_PLD_5976b6cd42c4407e98fc31cfe07b532e"/>
            <w:id w:val="-896741850"/>
          </w:sdtPr>
          <w:sdtContent>
            <w:tc>
              <w:tcPr>
                <w:tcW w:w="1006" w:type="dxa"/>
                <w:vAlign w:val="center"/>
              </w:tcPr>
              <w:p>
                <w:pPr>
                  <w:jc w:val="center"/>
                </w:pPr>
                <w:r>
                  <w:t>被投资企业的净利润</w:t>
                </w:r>
              </w:p>
            </w:tc>
          </w:sdtContent>
        </w:sdt>
        <w:sdt>
          <w:sdtPr>
            <w:tag w:val="_PLD_e4b2c340979a43738897ff07f2870ccb"/>
            <w:id w:val="-546993828"/>
          </w:sdtPr>
          <w:sdtContent>
            <w:tc>
              <w:tcPr>
                <w:tcW w:w="1006" w:type="dxa"/>
                <w:vAlign w:val="center"/>
              </w:tcPr>
              <w:p>
                <w:pPr>
                  <w:jc w:val="center"/>
                </w:pPr>
                <w:r>
                  <w:t>被投资企业的重大在建项目的进展情况</w:t>
                </w:r>
              </w:p>
            </w:tc>
          </w:sdtContent>
        </w:sdt>
      </w:tr>
      <w:tr>
        <w:tc>
          <w:tcPr>
            <w:tcW w:w="1005" w:type="dxa"/>
            <w:vAlign w:val="center"/>
          </w:tcPr>
          <w:p>
            <w:pPr>
              <w:rPr>
                <w:rFonts w:ascii="宋体" w:hAnsi="宋体"/>
              </w:rPr>
            </w:pPr>
            <w:r>
              <w:rPr>
                <w:rFonts w:ascii="宋体" w:hAnsi="宋体" w:hint="eastAsia"/>
              </w:rPr>
              <w:t>山东能源集团新能源集团有限公司（“新能源集团”）</w:t>
            </w:r>
          </w:p>
        </w:tc>
        <w:sdt>
          <w:sdtPr>
            <w:rPr>
              <w:rFonts w:ascii="宋体" w:hAnsi="宋体" w:hint="eastAsia"/>
              <w:sz w:val="20"/>
              <w:szCs w:val="20"/>
            </w:rPr>
            <w:alias w:val="共同对外投资的重大关联交易的关联方关系"/>
            <w:tag w:val="_GBC_97df6b6a34504517ac2b39585016cef9"/>
            <w:id w:val="-214199438"/>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005" w:type="dxa"/>
                <w:vAlign w:val="center"/>
              </w:tcPr>
              <w:p>
                <w:pPr>
                  <w:rPr>
                    <w:rFonts w:ascii="宋体" w:hAnsi="宋体"/>
                  </w:rPr>
                </w:pPr>
                <w:r>
                  <w:rPr>
                    <w:rFonts w:ascii="宋体" w:hAnsi="宋体" w:hint="eastAsia"/>
                  </w:rPr>
                  <w:t>集团兄弟公司</w:t>
                </w:r>
              </w:p>
            </w:tc>
          </w:sdtContent>
        </w:sdt>
        <w:tc>
          <w:tcPr>
            <w:tcW w:w="1005" w:type="dxa"/>
            <w:vAlign w:val="center"/>
          </w:tcPr>
          <w:p>
            <w:pPr>
              <w:rPr>
                <w:rFonts w:ascii="宋体" w:hAnsi="宋体"/>
              </w:rPr>
            </w:pPr>
            <w:r>
              <w:rPr>
                <w:rFonts w:ascii="宋体" w:hAnsi="宋体" w:hint="eastAsia"/>
              </w:rPr>
              <w:t>山东能源新能源集团（邹城）风电有限公司</w:t>
            </w:r>
            <w:r>
              <w:rPr>
                <w:rFonts w:ascii="宋体" w:hAnsi="宋体" w:hint="eastAsia"/>
                <w:bCs/>
              </w:rPr>
              <w:t>（</w:t>
            </w:r>
            <w:r>
              <w:rPr>
                <w:rFonts w:ascii="宋体" w:hAnsi="宋体" w:hint="eastAsia"/>
              </w:rPr>
              <w:t>“风电公司”）</w:t>
            </w:r>
          </w:p>
        </w:tc>
        <w:tc>
          <w:tcPr>
            <w:tcW w:w="1005" w:type="dxa"/>
            <w:vAlign w:val="center"/>
          </w:tcPr>
          <w:p>
            <w:pPr>
              <w:rPr>
                <w:rFonts w:ascii="宋体" w:hAnsi="宋体"/>
              </w:rPr>
            </w:pPr>
            <w:r>
              <w:rPr>
                <w:rFonts w:ascii="宋体" w:hAnsi="宋体" w:hint="eastAsia"/>
              </w:rPr>
              <w:t>风力发电技术服务；太阳能发电技术服务；储能技术服务。</w:t>
            </w:r>
          </w:p>
        </w:tc>
        <w:tc>
          <w:tcPr>
            <w:tcW w:w="1005" w:type="dxa"/>
            <w:vAlign w:val="center"/>
          </w:tcPr>
          <w:p>
            <w:pPr>
              <w:jc w:val="right"/>
              <w:rPr>
                <w:rFonts w:ascii="宋体" w:hAnsi="宋体"/>
              </w:rPr>
            </w:pPr>
            <w:r>
              <w:rPr>
                <w:rFonts w:ascii="宋体" w:hAnsi="宋体" w:hint="eastAsia"/>
              </w:rPr>
              <w:t>2.1</w:t>
            </w:r>
          </w:p>
        </w:tc>
        <w:tc>
          <w:tcPr>
            <w:tcW w:w="1005" w:type="dxa"/>
            <w:vAlign w:val="center"/>
          </w:tcPr>
          <w:p>
            <w:pPr>
              <w:jc w:val="right"/>
              <w:rPr>
                <w:rFonts w:ascii="宋体" w:hAnsi="宋体"/>
              </w:rPr>
            </w:pPr>
            <w:r>
              <w:rPr>
                <w:rFonts w:ascii="宋体" w:hAnsi="宋体" w:hint="eastAsia"/>
              </w:rPr>
              <w:t>2.1</w:t>
            </w:r>
          </w:p>
        </w:tc>
        <w:tc>
          <w:tcPr>
            <w:tcW w:w="1006" w:type="dxa"/>
            <w:vAlign w:val="center"/>
          </w:tcPr>
          <w:p>
            <w:pPr>
              <w:jc w:val="right"/>
              <w:rPr>
                <w:rFonts w:ascii="宋体" w:hAnsi="宋体"/>
              </w:rPr>
            </w:pPr>
            <w:r>
              <w:rPr>
                <w:rFonts w:ascii="宋体" w:hAnsi="宋体" w:hint="eastAsia"/>
              </w:rPr>
              <w:t>2.1</w:t>
            </w:r>
          </w:p>
        </w:tc>
        <w:tc>
          <w:tcPr>
            <w:tcW w:w="1006" w:type="dxa"/>
            <w:vAlign w:val="center"/>
          </w:tcPr>
          <w:p>
            <w:pPr>
              <w:jc w:val="center"/>
              <w:rPr>
                <w:rFonts w:ascii="宋体" w:hAnsi="宋体"/>
              </w:rPr>
            </w:pPr>
            <w:r>
              <w:rPr>
                <w:rFonts w:ascii="宋体" w:hAnsi="宋体" w:hint="eastAsia"/>
              </w:rPr>
              <w:t>/</w:t>
            </w:r>
          </w:p>
        </w:tc>
        <w:tc>
          <w:tcPr>
            <w:tcW w:w="1006" w:type="dxa"/>
            <w:vAlign w:val="center"/>
          </w:tcPr>
          <w:p>
            <w:pPr>
              <w:jc w:val="center"/>
              <w:rPr>
                <w:rFonts w:ascii="宋体" w:hAnsi="宋体"/>
              </w:rPr>
            </w:pPr>
            <w:r>
              <w:rPr>
                <w:rFonts w:ascii="宋体" w:hAnsi="宋体" w:hint="eastAsia"/>
              </w:rPr>
              <w:t>/</w:t>
            </w:r>
          </w:p>
        </w:tc>
      </w:tr>
    </w:tbl>
    <w:p>
      <w:pPr>
        <w:ind w:firstLineChars="200" w:firstLine="420"/>
        <w:rPr>
          <w:rFonts w:ascii="宋体" w:hAnsi="宋体"/>
          <w:bCs/>
        </w:rPr>
      </w:pPr>
      <w:r>
        <w:rPr>
          <w:rFonts w:ascii="宋体" w:hAnsi="宋体" w:hint="eastAsia"/>
          <w:bCs/>
        </w:rPr>
        <w:t>注：风电公司为新设立公司，尚未开展生产经营活动，无净利润和重大在建项目。</w:t>
      </w:r>
    </w:p>
    <w:p>
      <w:pPr>
        <w:ind w:firstLineChars="200" w:firstLine="420"/>
        <w:rPr>
          <w:rFonts w:ascii="宋体" w:hAnsi="宋体"/>
        </w:rPr>
      </w:pPr>
    </w:p>
    <w:p>
      <w:pPr>
        <w:ind w:firstLineChars="200" w:firstLine="420"/>
        <w:rPr>
          <w:rFonts w:ascii="宋体" w:hAnsi="宋体"/>
        </w:rPr>
      </w:pPr>
      <w:r>
        <w:rPr>
          <w:rFonts w:ascii="宋体" w:hAnsi="宋体"/>
        </w:rPr>
        <w:t>共同对外投资的重大关联交易情况说明</w:t>
      </w:r>
    </w:p>
    <w:sdt>
      <w:sdtPr>
        <w:rPr>
          <w:rFonts w:ascii="宋体" w:hAnsi="宋体" w:hint="eastAsia"/>
        </w:rPr>
        <w:alias w:val="共同对外投资的重大关联交易的说明"/>
        <w:tag w:val="_GBC_6bd310e8ea56497592070c4e862ba3a7"/>
        <w:id w:val="-869224368"/>
      </w:sdtPr>
      <w:sdtEndPr>
        <w:rPr>
          <w:rFonts w:ascii="Times New Roman" w:hAnsi="Times New Roman"/>
        </w:rPr>
      </w:sdtEndPr>
      <w:sdtContent>
        <w:p>
          <w:pPr>
            <w:ind w:firstLineChars="200" w:firstLine="420"/>
            <w:rPr>
              <w:rFonts w:ascii="宋体" w:hAnsi="宋体"/>
              <w:bCs/>
            </w:rPr>
          </w:pPr>
          <w:r>
            <w:rPr>
              <w:rFonts w:ascii="宋体" w:hAnsi="宋体" w:hint="eastAsia"/>
              <w:bCs/>
            </w:rPr>
            <w:t>经公司总经理办公会审议批准，公司及公司全资子公司兖煤国际拟与新能源集团签署合资协议，由新能源集团现金出资1.071亿元、持股51%，公司现金出资0.609亿元、持股29%，兖煤国际现金出资等值0.42亿元人民币的美元、持股20%，合资设立风电公司。</w:t>
          </w:r>
        </w:p>
        <w:p>
          <w:pPr>
            <w:ind w:firstLineChars="200" w:firstLine="420"/>
            <w:rPr>
              <w:rFonts w:ascii="宋体" w:hAnsi="宋体"/>
              <w:bCs/>
            </w:rPr>
          </w:pPr>
          <w:r>
            <w:rPr>
              <w:rFonts w:ascii="宋体" w:hAnsi="宋体" w:hint="eastAsia"/>
              <w:bCs/>
            </w:rPr>
            <w:t>按照上交所上市监管规则，该关联/关连交易未达到需要披露临时公告的标准。</w:t>
          </w:r>
        </w:p>
        <w:p>
          <w:pPr>
            <w:ind w:firstLineChars="200" w:firstLine="420"/>
            <w:rPr>
              <w:rFonts w:ascii="宋体" w:hAnsi="宋体"/>
              <w:bCs/>
            </w:rPr>
          </w:pPr>
          <w:r>
            <w:rPr>
              <w:rFonts w:ascii="宋体" w:hAnsi="宋体" w:hint="eastAsia"/>
              <w:bCs/>
            </w:rPr>
            <w:t xml:space="preserve">按照香港联交所上市监管规则，由于该关联/关连交易按照一般商务条款或更佳条款进行，且最高适用百分比率（定义见香港上市规则第14.07条）低于0.1%，因此根据香港上市规则第14A.76（1）（a）条，该关联/关连交易可获得全面豁免。 </w:t>
          </w:r>
        </w:p>
        <w:p>
          <w:pPr>
            <w:ind w:firstLineChars="200" w:firstLine="420"/>
            <w:rPr>
              <w:rFonts w:ascii="宋体" w:hAnsi="宋体"/>
              <w:bCs/>
            </w:rPr>
          </w:pPr>
          <w:r>
            <w:rPr>
              <w:rFonts w:ascii="宋体" w:hAnsi="宋体" w:hint="eastAsia"/>
              <w:bCs/>
            </w:rPr>
            <w:t>截至本报告披露日，风电公司已完成工商设立登记程序。</w:t>
          </w:r>
        </w:p>
        <w:p>
          <w:pPr>
            <w:pStyle w:val="Style49"/>
          </w:pPr>
        </w:p>
      </w:sdtContent>
    </w:sdt>
    <w:p>
      <w:pPr>
        <w:pStyle w:val="Style52"/>
        <w:numPr>
          <w:ilvl w:val="2"/>
          <w:numId w:val="38"/>
        </w:numPr>
        <w:rPr>
          <w:szCs w:val="21"/>
        </w:rPr>
      </w:pPr>
      <w:r>
        <w:rPr>
          <w:rFonts w:hint="eastAsia"/>
          <w:szCs w:val="21"/>
        </w:rPr>
        <w:t>关联债权债务往来</w:t>
      </w:r>
    </w:p>
    <w:p>
      <w:pPr>
        <w:pStyle w:val="Style53"/>
        <w:numPr>
          <w:ilvl w:val="0"/>
          <w:numId w:val="42"/>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21430476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3"/>
        <w:numPr>
          <w:ilvl w:val="0"/>
          <w:numId w:val="42"/>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985773319"/>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3"/>
        <w:numPr>
          <w:ilvl w:val="0"/>
          <w:numId w:val="42"/>
        </w:numPr>
      </w:pPr>
      <w:r>
        <w:rPr>
          <w:rFonts w:hint="eastAsia"/>
        </w:rPr>
        <w:t>临时公告未披露的事项</w:t>
      </w:r>
    </w:p>
    <w:sdt>
      <w:sdtPr>
        <w:alias w:val="是否适用：关联债权债务往来_临时公告未披露的事项[双击切换]"/>
        <w:tag w:val="_GBC_d9a88c6705ef48d49848c2b93cb503f2"/>
        <w:id w:val="198434138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关联债权债务往来"/>
          <w:tag w:val="_GBC_8d4c1abff8924972accec0d4fd37892b"/>
          <w:id w:val="-14536996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亿元</w:t>
          </w:r>
        </w:sdtContent>
      </w:sdt>
      <w:r>
        <w:rPr>
          <w:rFonts w:hint="eastAsia"/>
        </w:rPr>
        <w:t xml:space="preserve">  </w:t>
      </w:r>
      <w:r>
        <w:rPr>
          <w:rFonts w:hint="eastAsia"/>
        </w:rPr>
        <w:t>币种：</w:t>
      </w:r>
      <w:sdt>
        <w:sdtPr>
          <w:rPr>
            <w:rFonts w:hint="eastAsia"/>
          </w:rPr>
          <w:alias w:val="币种：关联债权债务往来"/>
          <w:tag w:val="_GBC_382a3dde730d43ff96e279b4ce31f369"/>
          <w:id w:val="1324777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63"/>
        <w:tblW w:w="88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13"/>
        <w:gridCol w:w="1368"/>
        <w:gridCol w:w="992"/>
        <w:gridCol w:w="994"/>
        <w:gridCol w:w="1078"/>
        <w:gridCol w:w="992"/>
        <w:gridCol w:w="1008"/>
        <w:gridCol w:w="1048"/>
      </w:tblGrid>
      <w:tr>
        <w:sdt>
          <w:sdtPr>
            <w:rPr>
              <w:rFonts w:ascii="宋体" w:hAnsi="宋体"/>
            </w:rPr>
            <w:tag w:val="_PLD_95f2c84adc8441e0ac219e05d6e8d5ba"/>
            <w:id w:val="782223709"/>
          </w:sdtPr>
          <w:sdtContent>
            <w:tc>
              <w:tcPr>
                <w:tcW w:w="1413" w:type="dxa"/>
                <w:vMerge w:val="restart"/>
                <w:vAlign w:val="center"/>
              </w:tcPr>
              <w:p>
                <w:pPr>
                  <w:autoSpaceDE w:val="0"/>
                  <w:autoSpaceDN w:val="0"/>
                  <w:adjustRightInd w:val="0"/>
                  <w:jc w:val="center"/>
                  <w:rPr>
                    <w:rFonts w:ascii="宋体" w:hAnsi="宋体"/>
                  </w:rPr>
                </w:pPr>
                <w:r>
                  <w:rPr>
                    <w:rFonts w:ascii="宋体" w:hAnsi="宋体" w:hint="eastAsia"/>
                  </w:rPr>
                  <w:t>关联方</w:t>
                </w:r>
              </w:p>
            </w:tc>
          </w:sdtContent>
        </w:sdt>
        <w:sdt>
          <w:sdtPr>
            <w:rPr>
              <w:rFonts w:ascii="宋体" w:hAnsi="宋体"/>
            </w:rPr>
            <w:tag w:val="_PLD_09ca5e393bc34d4785c49c7cee6066f5"/>
            <w:id w:val="1510563205"/>
          </w:sdtPr>
          <w:sdtContent>
            <w:tc>
              <w:tcPr>
                <w:tcW w:w="1368" w:type="dxa"/>
                <w:vMerge w:val="restart"/>
                <w:vAlign w:val="center"/>
              </w:tcPr>
              <w:p>
                <w:pPr>
                  <w:autoSpaceDE w:val="0"/>
                  <w:autoSpaceDN w:val="0"/>
                  <w:adjustRightInd w:val="0"/>
                  <w:jc w:val="center"/>
                  <w:rPr>
                    <w:rFonts w:ascii="宋体" w:hAnsi="宋体"/>
                  </w:rPr>
                </w:pPr>
                <w:r>
                  <w:rPr>
                    <w:rFonts w:ascii="宋体" w:hAnsi="宋体" w:hint="eastAsia"/>
                  </w:rPr>
                  <w:t>关联关系</w:t>
                </w:r>
              </w:p>
            </w:tc>
          </w:sdtContent>
        </w:sdt>
        <w:sdt>
          <w:sdtPr>
            <w:rPr>
              <w:rFonts w:ascii="宋体" w:hAnsi="宋体"/>
            </w:rPr>
            <w:tag w:val="_PLD_3e4df3fd6b7247e1a1a853fd2fd19d58"/>
            <w:id w:val="136075766"/>
          </w:sdtPr>
          <w:sdtContent>
            <w:tc>
              <w:tcPr>
                <w:tcW w:w="3064" w:type="dxa"/>
                <w:gridSpan w:val="3"/>
                <w:vAlign w:val="center"/>
              </w:tcPr>
              <w:p>
                <w:pPr>
                  <w:autoSpaceDE w:val="0"/>
                  <w:autoSpaceDN w:val="0"/>
                  <w:adjustRightInd w:val="0"/>
                  <w:jc w:val="center"/>
                  <w:rPr>
                    <w:rFonts w:ascii="宋体" w:hAnsi="宋体"/>
                  </w:rPr>
                </w:pPr>
                <w:r>
                  <w:rPr>
                    <w:rFonts w:ascii="宋体" w:hAnsi="宋体" w:hint="eastAsia"/>
                  </w:rPr>
                  <w:t>向关联方提供资金</w:t>
                </w:r>
              </w:p>
            </w:tc>
          </w:sdtContent>
        </w:sdt>
        <w:sdt>
          <w:sdtPr>
            <w:rPr>
              <w:rFonts w:ascii="宋体" w:hAnsi="宋体"/>
            </w:rPr>
            <w:tag w:val="_PLD_ad0c36b659684f8ea3c5e5bdac148cdc"/>
            <w:id w:val="-1857647241"/>
          </w:sdtPr>
          <w:sdtContent>
            <w:tc>
              <w:tcPr>
                <w:tcW w:w="3048" w:type="dxa"/>
                <w:gridSpan w:val="3"/>
                <w:vAlign w:val="center"/>
              </w:tcPr>
              <w:p>
                <w:pPr>
                  <w:autoSpaceDE w:val="0"/>
                  <w:autoSpaceDN w:val="0"/>
                  <w:adjustRightInd w:val="0"/>
                  <w:jc w:val="center"/>
                  <w:rPr>
                    <w:rFonts w:ascii="宋体" w:hAnsi="宋体"/>
                  </w:rPr>
                </w:pPr>
                <w:r>
                  <w:rPr>
                    <w:rFonts w:ascii="宋体" w:hAnsi="宋体" w:hint="eastAsia"/>
                  </w:rPr>
                  <w:t>关联方向上市公司</w:t>
                </w:r>
              </w:p>
              <w:p>
                <w:pPr>
                  <w:autoSpaceDE w:val="0"/>
                  <w:autoSpaceDN w:val="0"/>
                  <w:adjustRightInd w:val="0"/>
                  <w:jc w:val="center"/>
                  <w:rPr>
                    <w:rFonts w:ascii="宋体" w:hAnsi="宋体"/>
                  </w:rPr>
                </w:pPr>
                <w:r>
                  <w:rPr>
                    <w:rFonts w:ascii="宋体" w:hAnsi="宋体" w:hint="eastAsia"/>
                  </w:rPr>
                  <w:t>提供资金</w:t>
                </w:r>
              </w:p>
            </w:tc>
          </w:sdtContent>
        </w:sdt>
      </w:tr>
      <w:tr>
        <w:tc>
          <w:tcPr>
            <w:tcW w:w="1413" w:type="dxa"/>
            <w:vMerge/>
            <w:vAlign w:val="center"/>
          </w:tcPr>
          <w:p>
            <w:pPr>
              <w:autoSpaceDE w:val="0"/>
              <w:autoSpaceDN w:val="0"/>
              <w:adjustRightInd w:val="0"/>
              <w:jc w:val="center"/>
              <w:rPr>
                <w:rFonts w:ascii="宋体" w:hAnsi="宋体"/>
              </w:rPr>
            </w:pPr>
          </w:p>
        </w:tc>
        <w:tc>
          <w:tcPr>
            <w:tcW w:w="1368" w:type="dxa"/>
            <w:vMerge/>
            <w:vAlign w:val="center"/>
          </w:tcPr>
          <w:p>
            <w:pPr>
              <w:autoSpaceDE w:val="0"/>
              <w:autoSpaceDN w:val="0"/>
              <w:adjustRightInd w:val="0"/>
              <w:jc w:val="center"/>
              <w:rPr>
                <w:rFonts w:ascii="宋体" w:hAnsi="宋体"/>
              </w:rPr>
            </w:pPr>
          </w:p>
        </w:tc>
        <w:sdt>
          <w:sdtPr>
            <w:rPr>
              <w:rFonts w:ascii="宋体" w:hAnsi="宋体"/>
            </w:rPr>
            <w:tag w:val="_PLD_bc90d01618414b799fa4cad9c98b74a6"/>
            <w:id w:val="1762265284"/>
          </w:sdtPr>
          <w:sdtContent>
            <w:tc>
              <w:tcPr>
                <w:tcW w:w="992" w:type="dxa"/>
                <w:vAlign w:val="center"/>
              </w:tcPr>
              <w:p>
                <w:pPr>
                  <w:autoSpaceDE w:val="0"/>
                  <w:autoSpaceDN w:val="0"/>
                  <w:adjustRightInd w:val="0"/>
                  <w:jc w:val="center"/>
                  <w:rPr>
                    <w:rFonts w:ascii="宋体" w:hAnsi="宋体"/>
                  </w:rPr>
                </w:pPr>
                <w:r>
                  <w:rPr>
                    <w:rFonts w:ascii="宋体" w:hAnsi="宋体" w:hint="eastAsia"/>
                  </w:rPr>
                  <w:t>期初余额</w:t>
                </w:r>
              </w:p>
            </w:tc>
          </w:sdtContent>
        </w:sdt>
        <w:sdt>
          <w:sdtPr>
            <w:rPr>
              <w:rFonts w:ascii="宋体" w:hAnsi="宋体"/>
            </w:rPr>
            <w:tag w:val="_PLD_e16dc40d23d64bebbedef23ef5c9d0c1"/>
            <w:id w:val="-1564102904"/>
          </w:sdtPr>
          <w:sdtContent>
            <w:tc>
              <w:tcPr>
                <w:tcW w:w="994" w:type="dxa"/>
                <w:vAlign w:val="center"/>
              </w:tcPr>
              <w:p>
                <w:pPr>
                  <w:autoSpaceDE w:val="0"/>
                  <w:autoSpaceDN w:val="0"/>
                  <w:adjustRightInd w:val="0"/>
                  <w:jc w:val="center"/>
                  <w:rPr>
                    <w:rFonts w:ascii="宋体" w:hAnsi="宋体"/>
                  </w:rPr>
                </w:pPr>
                <w:r>
                  <w:rPr>
                    <w:rFonts w:ascii="宋体" w:hAnsi="宋体" w:hint="eastAsia"/>
                  </w:rPr>
                  <w:t>发生额</w:t>
                </w:r>
              </w:p>
            </w:tc>
          </w:sdtContent>
        </w:sdt>
        <w:sdt>
          <w:sdtPr>
            <w:rPr>
              <w:rFonts w:ascii="宋体" w:hAnsi="宋体"/>
            </w:rPr>
            <w:tag w:val="_PLD_dc98a14d0d3f4efcbab28c24fdffba08"/>
            <w:id w:val="939253053"/>
          </w:sdtPr>
          <w:sdtContent>
            <w:tc>
              <w:tcPr>
                <w:tcW w:w="1078" w:type="dxa"/>
                <w:vAlign w:val="center"/>
              </w:tcPr>
              <w:p>
                <w:pPr>
                  <w:autoSpaceDE w:val="0"/>
                  <w:autoSpaceDN w:val="0"/>
                  <w:adjustRightInd w:val="0"/>
                  <w:jc w:val="center"/>
                  <w:rPr>
                    <w:rFonts w:ascii="宋体" w:hAnsi="宋体"/>
                  </w:rPr>
                </w:pPr>
                <w:r>
                  <w:rPr>
                    <w:rFonts w:ascii="宋体" w:hAnsi="宋体" w:hint="eastAsia"/>
                  </w:rPr>
                  <w:t>期末余额</w:t>
                </w:r>
              </w:p>
            </w:tc>
          </w:sdtContent>
        </w:sdt>
        <w:sdt>
          <w:sdtPr>
            <w:rPr>
              <w:rFonts w:ascii="宋体" w:hAnsi="宋体"/>
            </w:rPr>
            <w:tag w:val="_PLD_b79e4e4eaa1b414ab5065d2b3095a515"/>
            <w:id w:val="-689145400"/>
          </w:sdtPr>
          <w:sdtContent>
            <w:tc>
              <w:tcPr>
                <w:tcW w:w="992" w:type="dxa"/>
                <w:vAlign w:val="center"/>
              </w:tcPr>
              <w:p>
                <w:pPr>
                  <w:autoSpaceDE w:val="0"/>
                  <w:autoSpaceDN w:val="0"/>
                  <w:adjustRightInd w:val="0"/>
                  <w:jc w:val="center"/>
                  <w:rPr>
                    <w:rFonts w:ascii="宋体" w:hAnsi="宋体"/>
                  </w:rPr>
                </w:pPr>
                <w:r>
                  <w:rPr>
                    <w:rFonts w:ascii="宋体" w:hAnsi="宋体" w:hint="eastAsia"/>
                  </w:rPr>
                  <w:t>期初余额</w:t>
                </w:r>
              </w:p>
            </w:tc>
          </w:sdtContent>
        </w:sdt>
        <w:sdt>
          <w:sdtPr>
            <w:rPr>
              <w:rFonts w:ascii="宋体" w:hAnsi="宋体"/>
            </w:rPr>
            <w:tag w:val="_PLD_5a0b8d29aa6b43eba1f17db944949c32"/>
            <w:id w:val="1012494115"/>
          </w:sdtPr>
          <w:sdtContent>
            <w:tc>
              <w:tcPr>
                <w:tcW w:w="1008" w:type="dxa"/>
                <w:vAlign w:val="center"/>
              </w:tcPr>
              <w:p>
                <w:pPr>
                  <w:autoSpaceDE w:val="0"/>
                  <w:autoSpaceDN w:val="0"/>
                  <w:adjustRightInd w:val="0"/>
                  <w:jc w:val="center"/>
                  <w:rPr>
                    <w:rFonts w:ascii="宋体" w:hAnsi="宋体"/>
                  </w:rPr>
                </w:pPr>
                <w:r>
                  <w:rPr>
                    <w:rFonts w:ascii="宋体" w:hAnsi="宋体" w:hint="eastAsia"/>
                  </w:rPr>
                  <w:t>发生额</w:t>
                </w:r>
              </w:p>
            </w:tc>
          </w:sdtContent>
        </w:sdt>
        <w:sdt>
          <w:sdtPr>
            <w:rPr>
              <w:rFonts w:ascii="宋体" w:hAnsi="宋体"/>
            </w:rPr>
            <w:tag w:val="_PLD_703f2ac3dbfc48e986849e07e3e11448"/>
            <w:id w:val="-579829243"/>
          </w:sdtPr>
          <w:sdtContent>
            <w:tc>
              <w:tcPr>
                <w:tcW w:w="1048" w:type="dxa"/>
                <w:vAlign w:val="center"/>
              </w:tcPr>
              <w:p>
                <w:pPr>
                  <w:autoSpaceDE w:val="0"/>
                  <w:autoSpaceDN w:val="0"/>
                  <w:adjustRightInd w:val="0"/>
                  <w:jc w:val="center"/>
                  <w:rPr>
                    <w:rFonts w:ascii="宋体" w:hAnsi="宋体"/>
                  </w:rPr>
                </w:pPr>
                <w:r>
                  <w:rPr>
                    <w:rFonts w:ascii="宋体" w:hAnsi="宋体" w:hint="eastAsia"/>
                  </w:rPr>
                  <w:t>期末余额</w:t>
                </w:r>
              </w:p>
            </w:tc>
          </w:sdtContent>
        </w:sdt>
      </w:tr>
      <w:tr>
        <w:tc>
          <w:tcPr>
            <w:tcW w:w="1413" w:type="dxa"/>
            <w:vAlign w:val="center"/>
          </w:tcPr>
          <w:p>
            <w:pPr>
              <w:autoSpaceDE w:val="0"/>
              <w:autoSpaceDN w:val="0"/>
              <w:adjustRightInd w:val="0"/>
              <w:rPr>
                <w:rFonts w:ascii="宋体" w:hAnsi="宋体"/>
              </w:rPr>
            </w:pPr>
            <w:r>
              <w:rPr>
                <w:rFonts w:ascii="宋体" w:hAnsi="宋体" w:hint="eastAsia"/>
              </w:rPr>
              <w:t>山东能源集团</w:t>
            </w:r>
          </w:p>
        </w:tc>
        <w:sdt>
          <w:sdtPr>
            <w:rPr>
              <w:rFonts w:ascii="宋体" w:hAnsi="宋体"/>
            </w:rPr>
            <w:alias w:val="关联债权债务往来的关联方关系"/>
            <w:tag w:val="_GBC_8f67ef005f224f5caa48a28757043bc8"/>
            <w:id w:val="1590196592"/>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1368" w:type="dxa"/>
                <w:vAlign w:val="center"/>
              </w:tcPr>
              <w:p>
                <w:pPr>
                  <w:autoSpaceDE w:val="0"/>
                  <w:autoSpaceDN w:val="0"/>
                  <w:adjustRightInd w:val="0"/>
                  <w:jc w:val="center"/>
                  <w:rPr>
                    <w:rFonts w:ascii="宋体" w:hAnsi="宋体"/>
                    <w:color w:val="FFC000"/>
                  </w:rPr>
                </w:pPr>
                <w:r>
                  <w:rPr>
                    <w:rFonts w:ascii="宋体" w:hAnsi="宋体"/>
                  </w:rPr>
                  <w:t>控股股东</w:t>
                </w:r>
              </w:p>
            </w:tc>
          </w:sdtContent>
        </w:sdt>
        <w:tc>
          <w:tcPr>
            <w:tcW w:w="992" w:type="dxa"/>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185.07</w:t>
            </w:r>
          </w:p>
        </w:tc>
        <w:tc>
          <w:tcPr>
            <w:tcW w:w="994" w:type="dxa"/>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161.15</w:t>
            </w:r>
          </w:p>
        </w:tc>
        <w:tc>
          <w:tcPr>
            <w:tcW w:w="1078" w:type="dxa"/>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346.21</w:t>
            </w:r>
          </w:p>
        </w:tc>
        <w:tc>
          <w:tcPr>
            <w:tcW w:w="992" w:type="dxa"/>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409.32</w:t>
            </w:r>
          </w:p>
        </w:tc>
        <w:tc>
          <w:tcPr>
            <w:tcW w:w="1008" w:type="dxa"/>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-221.57</w:t>
            </w:r>
          </w:p>
        </w:tc>
        <w:tc>
          <w:tcPr>
            <w:tcW w:w="1048" w:type="dxa"/>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187.76</w:t>
            </w:r>
          </w:p>
        </w:tc>
      </w:tr>
      <w:tr>
        <w:tc>
          <w:tcPr>
            <w:tcW w:w="2781" w:type="dxa"/>
            <w:gridSpan w:val="2"/>
            <w:vAlign w:val="center"/>
          </w:tcPr>
          <w:p>
            <w:pPr>
              <w:pStyle w:val="Style61"/>
              <w:autoSpaceDE w:val="0"/>
              <w:autoSpaceDN w:val="0"/>
              <w:adjustRightInd w:val="0"/>
              <w:jc w:val="center"/>
              <w:rPr>
                <w:rFonts w:ascii="宋体" w:hAnsi="宋体"/>
              </w:rPr>
            </w:pPr>
            <w:r>
              <w:rPr>
                <w:rFonts w:ascii="宋体" w:hAnsi="宋体" w:hint="eastAsia"/>
              </w:rPr>
              <w:t>合计</w:t>
            </w:r>
          </w:p>
        </w:tc>
        <w:tc>
          <w:tcPr>
            <w:tcW w:w="992" w:type="dxa"/>
            <w:tcBorders>
              <w:bottom w:val="nil"/>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rPr>
              <w:t>185.07</w:t>
            </w:r>
          </w:p>
        </w:tc>
        <w:tc>
          <w:tcPr>
            <w:tcW w:w="994" w:type="dxa"/>
            <w:tcBorders>
              <w:bottom w:val="nil"/>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161.15</w:t>
            </w:r>
          </w:p>
        </w:tc>
        <w:tc>
          <w:tcPr>
            <w:tcW w:w="1078" w:type="dxa"/>
            <w:tcBorders>
              <w:bottom w:val="nil"/>
            </w:tcBorders>
            <w:vAlign w:val="center"/>
          </w:tcPr>
          <w:p>
            <w:pPr>
              <w:ind w:rightChars="40" w:right="84"/>
              <w:jc w:val="right"/>
              <w:rPr>
                <w:rFonts w:asciiTheme="minorEastAsia" w:eastAsiaTheme="minorEastAsia" w:hAnsiTheme="minorEastAsia"/>
              </w:rPr>
            </w:pPr>
            <w:r>
              <w:rPr>
                <w:rFonts w:asciiTheme="minorEastAsia" w:eastAsiaTheme="minorEastAsia" w:hAnsiTheme="minorEastAsia" w:hint="eastAsia"/>
                <w:color w:val="000000"/>
              </w:rPr>
              <w:t>346.21</w:t>
            </w:r>
          </w:p>
        </w:tc>
        <w:tc>
          <w:tcPr>
            <w:tcW w:w="992" w:type="dxa"/>
            <w:tcBorders>
              <w:bottom w:val="nil"/>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409.32</w:t>
            </w:r>
          </w:p>
        </w:tc>
        <w:tc>
          <w:tcPr>
            <w:tcW w:w="1008" w:type="dxa"/>
            <w:tcBorders>
              <w:bottom w:val="nil"/>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-221.57</w:t>
            </w:r>
          </w:p>
        </w:tc>
        <w:tc>
          <w:tcPr>
            <w:tcW w:w="1048" w:type="dxa"/>
            <w:tcBorders>
              <w:bottom w:val="nil"/>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color w:val="000000"/>
              </w:rPr>
              <w:t>187.76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81" w:type="dxa"/>
            <w:gridSpan w:val="2"/>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rFonts w:ascii="宋体" w:hAnsi="宋体"/>
              </w:rPr>
            </w:pPr>
            <w:r>
              <w:rPr>
                <w:rFonts w:ascii="宋体" w:hAnsi="宋体" w:hint="eastAsia"/>
              </w:rPr>
              <w:t>关联债权债务形成原因</w:t>
            </w:r>
          </w:p>
        </w:tc>
        <w:tc>
          <w:tcPr>
            <w:tcW w:w="6112" w:type="dxa"/>
            <w:gridSpan w:val="6"/>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双方互相销售商品、提供服务等</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81" w:type="dxa"/>
            <w:gridSpan w:val="2"/>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rFonts w:ascii="宋体" w:hAnsi="宋体"/>
              </w:rPr>
            </w:pPr>
            <w:r>
              <w:rPr>
                <w:rFonts w:ascii="宋体" w:hAnsi="宋体" w:hint="eastAsia"/>
              </w:rPr>
              <w:t>关联债权债务对公司的影响</w:t>
            </w:r>
          </w:p>
        </w:tc>
        <w:tc>
          <w:tcPr>
            <w:tcW w:w="6112" w:type="dxa"/>
            <w:gridSpan w:val="6"/>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无重大影响</w:t>
            </w:r>
          </w:p>
        </w:tc>
      </w:tr>
    </w:tbl>
    <w:p>
      <w:pPr>
        <w:rPr>
          <w:rFonts w:ascii="宋体" w:hAnsi="宋体"/>
        </w:rPr>
      </w:pPr>
    </w:p>
    <w:p>
      <w:pPr>
        <w:pStyle w:val="Style52"/>
        <w:numPr>
          <w:ilvl w:val="2"/>
          <w:numId w:val="38"/>
        </w:numPr>
        <w:rPr>
          <w:szCs w:val="21"/>
        </w:rPr>
      </w:pPr>
      <w:bookmarkStart w:id="224" w:name="_Hlk89953756"/>
      <w:bookmarkStart w:id="225" w:name="_Hlk89346519"/>
      <w:r>
        <w:rPr>
          <w:rFonts w:hint="eastAsia"/>
          <w:szCs w:val="21"/>
        </w:rPr>
        <w:lastRenderedPageBreak/>
        <w:t>公司与存在关联关系的财务公司、公司控股财务公司与关联方之间的金融业务</w:t>
      </w:r>
    </w:p>
    <w:sdt>
      <w:sdtPr>
        <w:rPr>
          <w:rFonts w:ascii="宋体" w:hAnsi="宋体"/>
        </w:rPr>
        <w:alias w:val="是否适用：公司与存在关联关系的财务公司、公司控股财务公司与关联方之间的金融业务 [双击切换]"/>
        <w:tag w:val="_GBC_5a345568387542318c17a9fa2dcc2dbc"/>
        <w:id w:val="316163138"/>
        <w:lock w:val="contentLocked"/>
        <w:placeholder>
          <w:docPart w:val="GBC22222222222222222222222222222"/>
        </w:placeholder>
      </w:sdtPr>
      <w:sdtContent>
        <w:p>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53"/>
        <w:numPr>
          <w:ilvl w:val="0"/>
          <w:numId w:val="43"/>
        </w:numPr>
        <w:rPr>
          <w:rFonts w:ascii="宋体" w:eastAsia="宋体" w:hAnsi="宋体"/>
        </w:rPr>
      </w:pPr>
      <w:r>
        <w:rPr>
          <w:rFonts w:ascii="宋体" w:eastAsia="宋体" w:hAnsi="宋体" w:hint="eastAsia"/>
        </w:rPr>
        <w:t>存款业务</w:t>
      </w:r>
    </w:p>
    <w:sdt>
      <w:sdtPr>
        <w:rPr>
          <w:rFonts w:ascii="宋体" w:hAnsi="宋体"/>
        </w:rPr>
        <w:alias w:val="是否适用：存款业务[双击切换]"/>
        <w:tag w:val="_GBC_f91d5ba8911645af92109a1b977343e2"/>
        <w:id w:val="-601114691"/>
        <w:placeholder>
          <w:docPart w:val="GBC22222222222222222222222222222"/>
        </w:placeholder>
      </w:sdtPr>
      <w:sdtContent>
        <w:p>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jc w:val="right"/>
        <w:rPr>
          <w:rFonts w:ascii="宋体" w:hAnsi="宋体"/>
        </w:rPr>
      </w:pPr>
      <w:r>
        <w:rPr>
          <w:rFonts w:ascii="宋体" w:hAnsi="宋体" w:hint="eastAsia"/>
        </w:rPr>
        <w:t>单位：</w:t>
      </w:r>
      <w:sdt>
        <w:sdtPr>
          <w:rPr>
            <w:rFonts w:ascii="宋体" w:hAnsi="宋体" w:hint="eastAsia"/>
          </w:rPr>
          <w:alias w:val="单位：存款业务情况"/>
          <w:tag w:val="_GBC_3c39941625c0404dacda9210d5f10426"/>
          <w:id w:val="90527064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亿元</w:t>
          </w:r>
        </w:sdtContent>
      </w:sdt>
      <w:r>
        <w:rPr>
          <w:rFonts w:ascii="宋体" w:hAnsi="宋体" w:hint="eastAsia"/>
        </w:rPr>
        <w:t xml:space="preserve">  币种：</w:t>
      </w:r>
      <w:sdt>
        <w:sdtPr>
          <w:rPr>
            <w:rFonts w:ascii="宋体" w:hAnsi="宋体" w:hint="eastAsia"/>
          </w:rPr>
          <w:alias w:val="币种：存款业务情况"/>
          <w:tag w:val="_GBC_f9cda9c00cdf40b5a544fdcc0e086854"/>
          <w:id w:val="-5255566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Style63"/>
        <w:tblW w:w="90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91"/>
        <w:gridCol w:w="1077"/>
        <w:gridCol w:w="992"/>
        <w:gridCol w:w="850"/>
        <w:gridCol w:w="1276"/>
        <w:gridCol w:w="1243"/>
        <w:gridCol w:w="861"/>
      </w:tblGrid>
      <w:tr>
        <w:sdt>
          <w:sdtPr>
            <w:rPr>
              <w:rFonts w:ascii="宋体" w:hAnsi="宋体"/>
            </w:rPr>
            <w:tag w:val="_PLD_e6f8a0bf4fa44cc6a5830ca60560c631"/>
            <w:id w:val="491994168"/>
          </w:sdtPr>
          <w:sdtContent>
            <w:tc>
              <w:tcPr>
                <w:tcW w:w="1555" w:type="dxa"/>
                <w:vMerge w:val="restart"/>
                <w:vAlign w:val="center"/>
              </w:tcPr>
              <w:p>
                <w:pPr>
                  <w:widowControl w:val="0"/>
                  <w:autoSpaceDE w:val="0"/>
                  <w:autoSpaceDN w:val="0"/>
                  <w:adjustRightInd w:val="0"/>
                  <w:jc w:val="center"/>
                  <w:rPr>
                    <w:rFonts w:ascii="宋体" w:hAnsi="宋体"/>
                  </w:rPr>
                </w:pPr>
                <w:r>
                  <w:rPr>
                    <w:rFonts w:ascii="宋体" w:hAnsi="宋体" w:hint="eastAsia"/>
                  </w:rPr>
                  <w:t>关联方</w:t>
                </w:r>
              </w:p>
            </w:tc>
          </w:sdtContent>
        </w:sdt>
        <w:sdt>
          <w:sdtPr>
            <w:rPr>
              <w:rFonts w:ascii="宋体" w:hAnsi="宋体"/>
            </w:rPr>
            <w:tag w:val="_PLD_8aebf5d34bff4522b47150e7ac619932"/>
            <w:id w:val="-2122068287"/>
          </w:sdtPr>
          <w:sdtContent>
            <w:tc>
              <w:tcPr>
                <w:tcW w:w="1191" w:type="dxa"/>
                <w:vMerge w:val="restart"/>
                <w:vAlign w:val="center"/>
              </w:tcPr>
              <w:p>
                <w:pPr>
                  <w:widowControl w:val="0"/>
                  <w:autoSpaceDE w:val="0"/>
                  <w:autoSpaceDN w:val="0"/>
                  <w:adjustRightInd w:val="0"/>
                  <w:jc w:val="center"/>
                  <w:rPr>
                    <w:rFonts w:ascii="宋体" w:hAnsi="宋体"/>
                  </w:rPr>
                </w:pPr>
                <w:r>
                  <w:rPr>
                    <w:rFonts w:ascii="宋体" w:hAnsi="宋体" w:hint="eastAsia"/>
                  </w:rPr>
                  <w:t>关联关系</w:t>
                </w:r>
              </w:p>
            </w:tc>
          </w:sdtContent>
        </w:sdt>
        <w:sdt>
          <w:sdtPr>
            <w:rPr>
              <w:rFonts w:ascii="宋体" w:hAnsi="宋体"/>
            </w:rPr>
            <w:tag w:val="_PLD_6926102d22164a98841f060797e60bdf"/>
            <w:id w:val="597673944"/>
          </w:sdtPr>
          <w:sdtContent>
            <w:tc>
              <w:tcPr>
                <w:tcW w:w="1077" w:type="dxa"/>
                <w:vMerge w:val="restart"/>
                <w:vAlign w:val="center"/>
              </w:tcPr>
              <w:p>
                <w:pPr>
                  <w:widowControl w:val="0"/>
                  <w:autoSpaceDE w:val="0"/>
                  <w:autoSpaceDN w:val="0"/>
                  <w:adjustRightInd w:val="0"/>
                  <w:jc w:val="center"/>
                  <w:rPr>
                    <w:rFonts w:ascii="宋体" w:hAnsi="宋体"/>
                  </w:rPr>
                </w:pPr>
                <w:r>
                  <w:rPr>
                    <w:rFonts w:ascii="宋体" w:hAnsi="宋体"/>
                  </w:rPr>
                  <w:t>每日最高存款限额</w:t>
                </w:r>
              </w:p>
            </w:tc>
          </w:sdtContent>
        </w:sdt>
        <w:sdt>
          <w:sdtPr>
            <w:rPr>
              <w:rFonts w:ascii="宋体" w:hAnsi="宋体"/>
            </w:rPr>
            <w:tag w:val="_PLD_35120e1d137a49a58b458aa55e4b9d03"/>
            <w:id w:val="518892190"/>
          </w:sdtPr>
          <w:sdtContent>
            <w:tc>
              <w:tcPr>
                <w:tcW w:w="992" w:type="dxa"/>
                <w:vMerge w:val="restart"/>
                <w:vAlign w:val="center"/>
              </w:tcPr>
              <w:p>
                <w:pPr>
                  <w:widowControl w:val="0"/>
                  <w:autoSpaceDE w:val="0"/>
                  <w:autoSpaceDN w:val="0"/>
                  <w:adjustRightInd w:val="0"/>
                  <w:jc w:val="center"/>
                  <w:rPr>
                    <w:rFonts w:ascii="宋体" w:hAnsi="宋体"/>
                  </w:rPr>
                </w:pPr>
                <w:r>
                  <w:rPr>
                    <w:rFonts w:ascii="宋体" w:hAnsi="宋体"/>
                  </w:rPr>
                  <w:t>存款利率范围</w:t>
                </w:r>
              </w:p>
            </w:tc>
          </w:sdtContent>
        </w:sdt>
        <w:sdt>
          <w:sdtPr>
            <w:rPr>
              <w:rFonts w:ascii="宋体" w:hAnsi="宋体"/>
            </w:rPr>
            <w:tag w:val="_PLD_3f62fc64d6bc4210a25dd2bd7c73a3b2"/>
            <w:id w:val="-656689478"/>
          </w:sdtPr>
          <w:sdtContent>
            <w:tc>
              <w:tcPr>
                <w:tcW w:w="850" w:type="dxa"/>
                <w:vMerge w:val="restart"/>
                <w:vAlign w:val="center"/>
              </w:tcPr>
              <w:p>
                <w:pPr>
                  <w:widowControl w:val="0"/>
                  <w:autoSpaceDE w:val="0"/>
                  <w:autoSpaceDN w:val="0"/>
                  <w:adjustRightInd w:val="0"/>
                  <w:jc w:val="center"/>
                  <w:rPr>
                    <w:rFonts w:ascii="宋体" w:hAnsi="宋体"/>
                  </w:rPr>
                </w:pPr>
                <w:r>
                  <w:rPr>
                    <w:rFonts w:ascii="宋体" w:hAnsi="宋体"/>
                  </w:rPr>
                  <w:t>期初余额</w:t>
                </w:r>
              </w:p>
            </w:tc>
          </w:sdtContent>
        </w:sdt>
        <w:sdt>
          <w:sdtPr>
            <w:rPr>
              <w:rFonts w:ascii="宋体" w:hAnsi="宋体"/>
            </w:rPr>
            <w:tag w:val="_PLD_2c020463045344b1a08898f249b93e22"/>
            <w:id w:val="1566921088"/>
          </w:sdtPr>
          <w:sdtContent>
            <w:tc>
              <w:tcPr>
                <w:tcW w:w="2519" w:type="dxa"/>
                <w:gridSpan w:val="2"/>
                <w:vAlign w:val="center"/>
              </w:tcPr>
              <w:p>
                <w:pPr>
                  <w:widowControl w:val="0"/>
                  <w:autoSpaceDE w:val="0"/>
                  <w:autoSpaceDN w:val="0"/>
                  <w:adjustRightInd w:val="0"/>
                  <w:jc w:val="center"/>
                  <w:rPr>
                    <w:rFonts w:ascii="宋体" w:hAnsi="宋体"/>
                  </w:rPr>
                </w:pPr>
                <w:r>
                  <w:rPr>
                    <w:rFonts w:ascii="宋体" w:hAnsi="宋体"/>
                  </w:rPr>
                  <w:t>本期发生额</w:t>
                </w:r>
              </w:p>
            </w:tc>
          </w:sdtContent>
        </w:sdt>
        <w:sdt>
          <w:sdtPr>
            <w:rPr>
              <w:rFonts w:ascii="宋体" w:hAnsi="宋体"/>
            </w:rPr>
            <w:tag w:val="_PLD_7256a341c00d4ea9bfda5df6a6c75070"/>
            <w:id w:val="-312951236"/>
          </w:sdtPr>
          <w:sdtContent>
            <w:tc>
              <w:tcPr>
                <w:tcW w:w="861" w:type="dxa"/>
                <w:vMerge w:val="restart"/>
                <w:vAlign w:val="center"/>
              </w:tcPr>
              <w:p>
                <w:pPr>
                  <w:widowControl w:val="0"/>
                  <w:autoSpaceDE w:val="0"/>
                  <w:autoSpaceDN w:val="0"/>
                  <w:adjustRightInd w:val="0"/>
                  <w:jc w:val="center"/>
                  <w:rPr>
                    <w:rFonts w:ascii="宋体" w:hAnsi="宋体"/>
                  </w:rPr>
                </w:pPr>
                <w:r>
                  <w:rPr>
                    <w:rFonts w:ascii="宋体" w:hAnsi="宋体"/>
                  </w:rPr>
                  <w:t>期末余额</w:t>
                </w:r>
              </w:p>
            </w:tc>
          </w:sdtContent>
        </w:sdt>
      </w:tr>
      <w:tr>
        <w:tc>
          <w:tcPr>
            <w:tcW w:w="1555" w:type="dxa"/>
            <w:vMerge/>
            <w:vAlign w:val="center"/>
          </w:tcPr>
          <w:p>
            <w:pPr>
              <w:widowControl w:val="0"/>
              <w:autoSpaceDE w:val="0"/>
              <w:autoSpaceDN w:val="0"/>
              <w:adjustRightInd w:val="0"/>
              <w:jc w:val="center"/>
              <w:rPr>
                <w:rFonts w:ascii="宋体" w:hAnsi="宋体"/>
              </w:rPr>
            </w:pPr>
          </w:p>
        </w:tc>
        <w:tc>
          <w:tcPr>
            <w:tcW w:w="1191" w:type="dxa"/>
            <w:vMerge/>
            <w:vAlign w:val="center"/>
          </w:tcPr>
          <w:p>
            <w:pPr>
              <w:widowControl w:val="0"/>
              <w:autoSpaceDE w:val="0"/>
              <w:autoSpaceDN w:val="0"/>
              <w:adjustRightInd w:val="0"/>
              <w:jc w:val="center"/>
              <w:rPr>
                <w:rFonts w:ascii="宋体" w:hAnsi="宋体"/>
              </w:rPr>
            </w:pPr>
          </w:p>
        </w:tc>
        <w:tc>
          <w:tcPr>
            <w:tcW w:w="1077" w:type="dxa"/>
            <w:vMerge/>
            <w:vAlign w:val="center"/>
          </w:tcPr>
          <w:p>
            <w:pPr>
              <w:widowControl w:val="0"/>
              <w:autoSpaceDE w:val="0"/>
              <w:autoSpaceDN w:val="0"/>
              <w:adjustRightInd w:val="0"/>
              <w:jc w:val="center"/>
              <w:rPr>
                <w:rFonts w:ascii="宋体" w:hAnsi="宋体"/>
              </w:rPr>
            </w:pPr>
          </w:p>
        </w:tc>
        <w:tc>
          <w:tcPr>
            <w:tcW w:w="992" w:type="dxa"/>
            <w:vMerge/>
            <w:vAlign w:val="center"/>
          </w:tcPr>
          <w:p>
            <w:pPr>
              <w:widowControl w:val="0"/>
              <w:autoSpaceDE w:val="0"/>
              <w:autoSpaceDN w:val="0"/>
              <w:adjustRightInd w:val="0"/>
              <w:jc w:val="center"/>
              <w:rPr>
                <w:rFonts w:ascii="宋体" w:hAnsi="宋体"/>
              </w:rPr>
            </w:pPr>
          </w:p>
        </w:tc>
        <w:tc>
          <w:tcPr>
            <w:tcW w:w="850" w:type="dxa"/>
            <w:vMerge/>
            <w:vAlign w:val="center"/>
          </w:tcPr>
          <w:p>
            <w:pPr>
              <w:widowControl w:val="0"/>
              <w:autoSpaceDE w:val="0"/>
              <w:autoSpaceDN w:val="0"/>
              <w:adjustRightInd w:val="0"/>
              <w:jc w:val="center"/>
              <w:rPr>
                <w:rFonts w:ascii="宋体" w:hAnsi="宋体"/>
              </w:rPr>
            </w:pPr>
          </w:p>
        </w:tc>
        <w:sdt>
          <w:sdtPr>
            <w:rPr>
              <w:rFonts w:ascii="宋体" w:hAnsi="宋体"/>
            </w:rPr>
            <w:tag w:val="_PLD_a7c089b9b9c848cda9c2d0d39ffd15d1"/>
            <w:id w:val="1528141414"/>
          </w:sdtPr>
          <w:sdtContent>
            <w:tc>
              <w:tcPr>
                <w:tcW w:w="1276" w:type="dxa"/>
                <w:vAlign w:val="center"/>
              </w:tcPr>
              <w:p>
                <w:pPr>
                  <w:widowControl w:val="0"/>
                  <w:autoSpaceDE w:val="0"/>
                  <w:autoSpaceDN w:val="0"/>
                  <w:adjustRightInd w:val="0"/>
                  <w:jc w:val="center"/>
                  <w:rPr>
                    <w:rFonts w:ascii="宋体" w:hAnsi="宋体"/>
                  </w:rPr>
                </w:pPr>
                <w:r>
                  <w:rPr>
                    <w:rFonts w:ascii="宋体" w:hAnsi="宋体" w:hint="eastAsia"/>
                  </w:rPr>
                  <w:t>本期合计存入金额</w:t>
                </w:r>
              </w:p>
            </w:tc>
          </w:sdtContent>
        </w:sdt>
        <w:sdt>
          <w:sdtPr>
            <w:rPr>
              <w:rFonts w:ascii="宋体" w:hAnsi="宋体"/>
            </w:rPr>
            <w:tag w:val="_PLD_d5c42deb4e87457db7957c53e44d1d9b"/>
            <w:id w:val="551351076"/>
          </w:sdtPr>
          <w:sdtContent>
            <w:tc>
              <w:tcPr>
                <w:tcW w:w="1243" w:type="dxa"/>
                <w:vAlign w:val="center"/>
              </w:tcPr>
              <w:p>
                <w:pPr>
                  <w:widowControl w:val="0"/>
                  <w:autoSpaceDE w:val="0"/>
                  <w:autoSpaceDN w:val="0"/>
                  <w:adjustRightInd w:val="0"/>
                  <w:jc w:val="center"/>
                  <w:rPr>
                    <w:rFonts w:ascii="宋体" w:hAnsi="宋体"/>
                  </w:rPr>
                </w:pPr>
                <w:r>
                  <w:rPr>
                    <w:rFonts w:ascii="宋体" w:hAnsi="宋体" w:hint="eastAsia"/>
                  </w:rPr>
                  <w:t>本期合计取出金额</w:t>
                </w:r>
              </w:p>
            </w:tc>
          </w:sdtContent>
        </w:sdt>
        <w:tc>
          <w:tcPr>
            <w:tcW w:w="861" w:type="dxa"/>
            <w:vMerge/>
            <w:vAlign w:val="center"/>
          </w:tcPr>
          <w:p>
            <w:pPr>
              <w:widowControl w:val="0"/>
              <w:autoSpaceDE w:val="0"/>
              <w:autoSpaceDN w:val="0"/>
              <w:adjustRightInd w:val="0"/>
              <w:jc w:val="center"/>
              <w:rPr>
                <w:rFonts w:ascii="宋体" w:hAnsi="宋体"/>
              </w:rPr>
            </w:pPr>
          </w:p>
        </w:tc>
      </w:tr>
      <w:tr>
        <w:tc>
          <w:tcPr>
            <w:tcW w:w="1555" w:type="dxa"/>
            <w:vAlign w:val="center"/>
          </w:tcPr>
          <w:p>
            <w:pPr>
              <w:widowControl w:val="0"/>
              <w:autoSpaceDE w:val="0"/>
              <w:autoSpaceDN w:val="0"/>
              <w:adjustRightInd w:val="0"/>
              <w:jc w:val="center"/>
              <w:rPr>
                <w:rFonts w:ascii="宋体" w:hAnsi="宋体"/>
              </w:rPr>
            </w:pPr>
            <w:bookmarkStart w:id="226" w:name="_Hlk218679704"/>
            <w:r>
              <w:rPr>
                <w:rFonts w:ascii="宋体" w:hAnsi="宋体" w:hint="eastAsia"/>
              </w:rPr>
              <w:t>山东能源集团</w:t>
            </w:r>
          </w:p>
        </w:tc>
        <w:tc>
          <w:tcPr>
            <w:tcW w:w="1191" w:type="dxa"/>
            <w:vAlign w:val="center"/>
          </w:tcPr>
          <w:p>
            <w:pPr>
              <w:widowControl w:val="0"/>
              <w:autoSpaceDE w:val="0"/>
              <w:autoSpaceDN w:val="0"/>
              <w:adjustRightInd w:val="0"/>
              <w:jc w:val="center"/>
              <w:rPr>
                <w:rFonts w:ascii="宋体" w:hAnsi="宋体"/>
              </w:rPr>
            </w:pPr>
            <w:r>
              <w:rPr>
                <w:rFonts w:ascii="宋体" w:hAnsi="宋体" w:hint="eastAsia"/>
              </w:rPr>
              <w:t>控股股东</w:t>
            </w:r>
          </w:p>
        </w:tc>
        <w:tc>
          <w:tcPr>
            <w:tcW w:w="1077" w:type="dxa"/>
            <w:vAlign w:val="center"/>
          </w:tcPr>
          <w:p>
            <w:pPr>
              <w:widowControl w:val="0"/>
              <w:autoSpaceDE w:val="0"/>
              <w:autoSpaceDN w:val="0"/>
              <w:adjustRightInd w:val="0"/>
              <w:jc w:val="right"/>
              <w:rPr>
                <w:rFonts w:ascii="宋体" w:hAnsi="宋体"/>
              </w:rPr>
            </w:pPr>
            <w:r>
              <w:rPr>
                <w:rFonts w:ascii="宋体" w:hAnsi="宋体"/>
              </w:rPr>
              <w:t>625</w:t>
            </w:r>
          </w:p>
        </w:tc>
        <w:tc>
          <w:tcPr>
            <w:tcW w:w="992" w:type="dxa"/>
            <w:vAlign w:val="center"/>
          </w:tcPr>
          <w:p>
            <w:pPr>
              <w:widowControl w:val="0"/>
              <w:autoSpaceDE w:val="0"/>
              <w:autoSpaceDN w:val="0"/>
              <w:adjustRightInd w:val="0"/>
              <w:jc w:val="right"/>
              <w:rPr>
                <w:rFonts w:ascii="宋体" w:hAnsi="宋体"/>
              </w:rPr>
            </w:pPr>
            <w:r>
              <w:rPr>
                <w:rFonts w:ascii="宋体" w:hAnsi="宋体" w:hint="eastAsia"/>
              </w:rPr>
              <w:t>0.335%-1.35%</w:t>
            </w:r>
          </w:p>
        </w:tc>
        <w:tc>
          <w:tcPr>
            <w:tcW w:w="850" w:type="dxa"/>
            <w:vAlign w:val="center"/>
          </w:tcPr>
          <w:p>
            <w:pPr>
              <w:widowControl w:val="0"/>
              <w:autoSpaceDE w:val="0"/>
              <w:autoSpaceDN w:val="0"/>
              <w:adjustRightInd w:val="0"/>
              <w:jc w:val="right"/>
              <w:rPr>
                <w:rFonts w:ascii="宋体" w:hAnsi="宋体"/>
              </w:rPr>
            </w:pPr>
            <w:r>
              <w:rPr>
                <w:rFonts w:ascii="宋体" w:hAnsi="宋体" w:hint="eastAsia"/>
              </w:rPr>
              <w:t>225.25</w:t>
            </w:r>
          </w:p>
        </w:tc>
        <w:tc>
          <w:tcPr>
            <w:tcW w:w="1276" w:type="dxa"/>
            <w:vAlign w:val="center"/>
          </w:tcPr>
          <w:p>
            <w:pPr>
              <w:widowControl w:val="0"/>
              <w:autoSpaceDE w:val="0"/>
              <w:autoSpaceDN w:val="0"/>
              <w:adjustRightInd w:val="0"/>
              <w:jc w:val="right"/>
              <w:rPr>
                <w:rFonts w:ascii="宋体" w:hAnsi="宋体"/>
              </w:rPr>
            </w:pPr>
            <w:r>
              <w:rPr>
                <w:rFonts w:ascii="宋体" w:hAnsi="宋体" w:hint="eastAsia"/>
              </w:rPr>
              <w:t>11,631.68</w:t>
            </w:r>
          </w:p>
        </w:tc>
        <w:tc>
          <w:tcPr>
            <w:tcW w:w="1243" w:type="dxa"/>
            <w:vAlign w:val="center"/>
          </w:tcPr>
          <w:p>
            <w:pPr>
              <w:widowControl w:val="0"/>
              <w:autoSpaceDE w:val="0"/>
              <w:autoSpaceDN w:val="0"/>
              <w:adjustRightInd w:val="0"/>
              <w:jc w:val="right"/>
              <w:rPr>
                <w:rFonts w:ascii="宋体" w:hAnsi="宋体"/>
              </w:rPr>
            </w:pPr>
            <w:r>
              <w:rPr>
                <w:rFonts w:ascii="宋体" w:hAnsi="宋体" w:hint="eastAsia"/>
              </w:rPr>
              <w:t>11,614.92</w:t>
            </w:r>
          </w:p>
        </w:tc>
        <w:tc>
          <w:tcPr>
            <w:tcW w:w="861" w:type="dxa"/>
            <w:vAlign w:val="center"/>
          </w:tcPr>
          <w:p>
            <w:pPr>
              <w:widowControl w:val="0"/>
              <w:autoSpaceDE w:val="0"/>
              <w:autoSpaceDN w:val="0"/>
              <w:adjustRightInd w:val="0"/>
              <w:jc w:val="right"/>
              <w:rPr>
                <w:rFonts w:ascii="宋体" w:hAnsi="宋体"/>
              </w:rPr>
            </w:pPr>
            <w:r>
              <w:rPr>
                <w:rFonts w:ascii="宋体" w:hAnsi="宋体" w:hint="eastAsia"/>
              </w:rPr>
              <w:t>242.01</w:t>
            </w:r>
          </w:p>
        </w:tc>
      </w:tr>
      <w:bookmarkEnd w:id="226"/>
      <w:tr>
        <w:tc>
          <w:tcPr>
            <w:tcW w:w="1555" w:type="dxa"/>
            <w:vAlign w:val="center"/>
          </w:tcPr>
          <w:p>
            <w:pPr>
              <w:widowControl w:val="0"/>
              <w:autoSpaceDE w:val="0"/>
              <w:autoSpaceDN w:val="0"/>
              <w:adjustRightInd w:val="0"/>
              <w:jc w:val="center"/>
              <w:rPr>
                <w:rFonts w:ascii="宋体" w:hAnsi="宋体"/>
              </w:rPr>
            </w:pPr>
            <w:r>
              <w:rPr>
                <w:rFonts w:ascii="宋体" w:hAnsi="宋体"/>
              </w:rPr>
              <w:t>合计</w:t>
            </w:r>
          </w:p>
        </w:tc>
        <w:tc>
          <w:tcPr>
            <w:tcW w:w="1191" w:type="dxa"/>
            <w:vAlign w:val="center"/>
          </w:tcPr>
          <w:p>
            <w:pPr>
              <w:widowControl w:val="0"/>
              <w:autoSpaceDE w:val="0"/>
              <w:autoSpaceDN w:val="0"/>
              <w:adjustRightInd w:val="0"/>
              <w:jc w:val="center"/>
              <w:rPr>
                <w:rFonts w:ascii="宋体" w:hAnsi="宋体"/>
              </w:rPr>
            </w:pPr>
            <w:r>
              <w:rPr>
                <w:rFonts w:ascii="宋体" w:hAnsi="宋体" w:hint="eastAsia"/>
              </w:rPr>
              <w:t>/</w:t>
            </w:r>
          </w:p>
        </w:tc>
        <w:tc>
          <w:tcPr>
            <w:tcW w:w="1077" w:type="dxa"/>
            <w:vAlign w:val="center"/>
          </w:tcPr>
          <w:p>
            <w:pPr>
              <w:widowControl w:val="0"/>
              <w:autoSpaceDE w:val="0"/>
              <w:autoSpaceDN w:val="0"/>
              <w:adjustRightInd w:val="0"/>
              <w:jc w:val="right"/>
              <w:rPr>
                <w:rFonts w:ascii="宋体" w:hAnsi="宋体"/>
              </w:rPr>
            </w:pPr>
            <w:r>
              <w:rPr>
                <w:rFonts w:ascii="宋体" w:hAnsi="宋体" w:hint="eastAsia"/>
              </w:rPr>
              <w:t>/</w:t>
            </w:r>
          </w:p>
        </w:tc>
        <w:tc>
          <w:tcPr>
            <w:tcW w:w="992" w:type="dxa"/>
            <w:vAlign w:val="center"/>
          </w:tcPr>
          <w:p>
            <w:pPr>
              <w:widowControl w:val="0"/>
              <w:autoSpaceDE w:val="0"/>
              <w:autoSpaceDN w:val="0"/>
              <w:adjustRightInd w:val="0"/>
              <w:jc w:val="right"/>
              <w:rPr>
                <w:rFonts w:ascii="宋体" w:hAnsi="宋体"/>
              </w:rPr>
            </w:pPr>
            <w:r>
              <w:rPr>
                <w:rFonts w:ascii="宋体" w:hAnsi="宋体" w:hint="eastAsia"/>
              </w:rPr>
              <w:t>/</w:t>
            </w:r>
          </w:p>
        </w:tc>
        <w:tc>
          <w:tcPr>
            <w:tcW w:w="850" w:type="dxa"/>
          </w:tcPr>
          <w:p>
            <w:pPr>
              <w:widowControl w:val="0"/>
              <w:autoSpaceDE w:val="0"/>
              <w:autoSpaceDN w:val="0"/>
              <w:adjustRightInd w:val="0"/>
              <w:jc w:val="right"/>
              <w:rPr>
                <w:rFonts w:ascii="宋体" w:hAnsi="宋体"/>
              </w:rPr>
            </w:pPr>
            <w:r>
              <w:rPr>
                <w:rFonts w:ascii="宋体" w:hAnsi="宋体"/>
              </w:rPr>
              <w:t>225.25</w:t>
            </w:r>
          </w:p>
        </w:tc>
        <w:tc>
          <w:tcPr>
            <w:tcW w:w="1276" w:type="dxa"/>
          </w:tcPr>
          <w:p>
            <w:pPr>
              <w:widowControl w:val="0"/>
              <w:autoSpaceDE w:val="0"/>
              <w:autoSpaceDN w:val="0"/>
              <w:adjustRightInd w:val="0"/>
              <w:jc w:val="right"/>
              <w:rPr>
                <w:rFonts w:ascii="宋体" w:hAnsi="宋体"/>
              </w:rPr>
            </w:pPr>
            <w:r>
              <w:rPr>
                <w:rFonts w:ascii="宋体" w:hAnsi="宋体" w:hint="eastAsia"/>
              </w:rPr>
              <w:t>11,631.68</w:t>
            </w:r>
          </w:p>
        </w:tc>
        <w:tc>
          <w:tcPr>
            <w:tcW w:w="1243" w:type="dxa"/>
          </w:tcPr>
          <w:p>
            <w:pPr>
              <w:widowControl w:val="0"/>
              <w:autoSpaceDE w:val="0"/>
              <w:autoSpaceDN w:val="0"/>
              <w:adjustRightInd w:val="0"/>
              <w:jc w:val="right"/>
              <w:rPr>
                <w:rFonts w:ascii="宋体" w:hAnsi="宋体"/>
              </w:rPr>
            </w:pPr>
            <w:r>
              <w:rPr>
                <w:rFonts w:ascii="宋体" w:hAnsi="宋体" w:hint="eastAsia"/>
              </w:rPr>
              <w:t>11,614.92</w:t>
            </w:r>
          </w:p>
        </w:tc>
        <w:tc>
          <w:tcPr>
            <w:tcW w:w="861" w:type="dxa"/>
          </w:tcPr>
          <w:p>
            <w:pPr>
              <w:widowControl w:val="0"/>
              <w:autoSpaceDE w:val="0"/>
              <w:autoSpaceDN w:val="0"/>
              <w:adjustRightInd w:val="0"/>
              <w:jc w:val="right"/>
              <w:rPr>
                <w:rFonts w:ascii="宋体" w:hAnsi="宋体"/>
              </w:rPr>
            </w:pPr>
            <w:r>
              <w:rPr>
                <w:rFonts w:ascii="宋体" w:hAnsi="宋体" w:hint="eastAsia"/>
              </w:rPr>
              <w:t>242.01</w:t>
            </w:r>
          </w:p>
        </w:tc>
      </w:tr>
    </w:tbl>
    <w:p>
      <w:pPr>
        <w:pStyle w:val="Style49"/>
      </w:pPr>
    </w:p>
    <w:p>
      <w:pPr>
        <w:pStyle w:val="Style53"/>
        <w:numPr>
          <w:ilvl w:val="0"/>
          <w:numId w:val="43"/>
        </w:numPr>
        <w:rPr>
          <w:rFonts w:ascii="宋体" w:eastAsia="宋体" w:hAnsi="宋体"/>
        </w:rPr>
      </w:pPr>
      <w:r>
        <w:rPr>
          <w:rFonts w:ascii="宋体" w:eastAsia="宋体" w:hAnsi="宋体" w:hint="eastAsia"/>
        </w:rPr>
        <w:t>贷款业务</w:t>
      </w:r>
    </w:p>
    <w:sdt>
      <w:sdtPr>
        <w:alias w:val="是否适用：贷款业务[双击切换]"/>
        <w:tag w:val="_GBC_c6196556cf0343eb8e53770deb1ab020"/>
        <w:id w:val="43834471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贷款业务情况"/>
          <w:tag w:val="_GBC_059b0d773c3540e0abdacc61557d8505"/>
          <w:id w:val="-91284758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亿元</w:t>
          </w:r>
        </w:sdtContent>
      </w:sdt>
      <w:r>
        <w:rPr>
          <w:rFonts w:hint="eastAsia"/>
        </w:rPr>
        <w:t xml:space="preserve">  </w:t>
      </w:r>
      <w:r>
        <w:rPr>
          <w:rFonts w:hint="eastAsia"/>
        </w:rPr>
        <w:t>币种：</w:t>
      </w:r>
      <w:sdt>
        <w:sdtPr>
          <w:rPr>
            <w:rFonts w:hint="eastAsia"/>
          </w:rPr>
          <w:alias w:val="币种：贷款业务情况"/>
          <w:tag w:val="_GBC_5b5266ae817f40d4806dbf08530678d1"/>
          <w:id w:val="13477526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63"/>
        <w:tblW w:w="90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91"/>
        <w:gridCol w:w="1134"/>
        <w:gridCol w:w="932"/>
        <w:gridCol w:w="1085"/>
        <w:gridCol w:w="1134"/>
        <w:gridCol w:w="1153"/>
        <w:gridCol w:w="861"/>
      </w:tblGrid>
      <w:tr>
        <w:sdt>
          <w:sdtPr>
            <w:tag w:val="_PLD_8e0965e43d7c4fd298089615ced0e338"/>
            <w:id w:val="668522598"/>
          </w:sdtPr>
          <w:sdtContent>
            <w:tc>
              <w:tcPr>
                <w:tcW w:w="1555" w:type="dxa"/>
                <w:vMerge w:val="restart"/>
                <w:vAlign w:val="center"/>
              </w:tcPr>
              <w:p>
                <w:pPr>
                  <w:widowControl w:val="0"/>
                  <w:autoSpaceDE w:val="0"/>
                  <w:autoSpaceDN w:val="0"/>
                  <w:adjustRightInd w:val="0"/>
                  <w:jc w:val="center"/>
                </w:pPr>
                <w:r>
                  <w:rPr>
                    <w:rFonts w:hint="eastAsia"/>
                  </w:rPr>
                  <w:t>关联方</w:t>
                </w:r>
              </w:p>
            </w:tc>
          </w:sdtContent>
        </w:sdt>
        <w:sdt>
          <w:sdtPr>
            <w:tag w:val="_PLD_eac1c86765c94374a80d2720ad60bec4"/>
            <w:id w:val="1022833223"/>
          </w:sdtPr>
          <w:sdtContent>
            <w:tc>
              <w:tcPr>
                <w:tcW w:w="1191" w:type="dxa"/>
                <w:vMerge w:val="restart"/>
                <w:vAlign w:val="center"/>
              </w:tcPr>
              <w:p>
                <w:pPr>
                  <w:widowControl w:val="0"/>
                  <w:autoSpaceDE w:val="0"/>
                  <w:autoSpaceDN w:val="0"/>
                  <w:adjustRightInd w:val="0"/>
                  <w:jc w:val="center"/>
                </w:pPr>
                <w:r>
                  <w:rPr>
                    <w:rFonts w:hint="eastAsia"/>
                  </w:rPr>
                  <w:t>关联关系</w:t>
                </w:r>
              </w:p>
            </w:tc>
          </w:sdtContent>
        </w:sdt>
        <w:sdt>
          <w:sdtPr>
            <w:tag w:val="_PLD_a268114f151e4f0ab213565705be616c"/>
            <w:id w:val="524684872"/>
          </w:sdtPr>
          <w:sdtContent>
            <w:tc>
              <w:tcPr>
                <w:tcW w:w="1134" w:type="dxa"/>
                <w:vMerge w:val="restart"/>
                <w:vAlign w:val="center"/>
              </w:tcPr>
              <w:p>
                <w:pPr>
                  <w:widowControl w:val="0"/>
                  <w:autoSpaceDE w:val="0"/>
                  <w:autoSpaceDN w:val="0"/>
                  <w:adjustRightInd w:val="0"/>
                  <w:jc w:val="center"/>
                </w:pPr>
                <w:r>
                  <w:t>贷款额度</w:t>
                </w:r>
              </w:p>
            </w:tc>
          </w:sdtContent>
        </w:sdt>
        <w:sdt>
          <w:sdtPr>
            <w:tag w:val="_PLD_3132c7cff09d4f0aa6ead8932727bb98"/>
            <w:id w:val="956457583"/>
          </w:sdtPr>
          <w:sdtContent>
            <w:tc>
              <w:tcPr>
                <w:tcW w:w="932" w:type="dxa"/>
                <w:vMerge w:val="restart"/>
                <w:vAlign w:val="center"/>
              </w:tcPr>
              <w:p>
                <w:pPr>
                  <w:widowControl w:val="0"/>
                  <w:autoSpaceDE w:val="0"/>
                  <w:autoSpaceDN w:val="0"/>
                  <w:adjustRightInd w:val="0"/>
                  <w:jc w:val="center"/>
                </w:pPr>
                <w:r>
                  <w:t>贷款利率范围</w:t>
                </w:r>
              </w:p>
            </w:tc>
          </w:sdtContent>
        </w:sdt>
        <w:sdt>
          <w:sdtPr>
            <w:tag w:val="_PLD_aafcde0121d84987a5a4dbade5f61506"/>
            <w:id w:val="-1986158857"/>
          </w:sdtPr>
          <w:sdtContent>
            <w:tc>
              <w:tcPr>
                <w:tcW w:w="1085" w:type="dxa"/>
                <w:vMerge w:val="restart"/>
                <w:vAlign w:val="center"/>
              </w:tcPr>
              <w:p>
                <w:pPr>
                  <w:widowControl w:val="0"/>
                  <w:autoSpaceDE w:val="0"/>
                  <w:autoSpaceDN w:val="0"/>
                  <w:adjustRightInd w:val="0"/>
                  <w:jc w:val="center"/>
                </w:pPr>
                <w:r>
                  <w:t>期初余额</w:t>
                </w:r>
              </w:p>
            </w:tc>
          </w:sdtContent>
        </w:sdt>
        <w:sdt>
          <w:sdtPr>
            <w:tag w:val="_PLD_b166840bc9fd4c459f0e2b8d5ffc812f"/>
            <w:id w:val="-1181964272"/>
          </w:sdtPr>
          <w:sdtContent>
            <w:tc>
              <w:tcPr>
                <w:tcW w:w="2287" w:type="dxa"/>
                <w:gridSpan w:val="2"/>
                <w:vAlign w:val="center"/>
              </w:tcPr>
              <w:p>
                <w:pPr>
                  <w:widowControl w:val="0"/>
                  <w:autoSpaceDE w:val="0"/>
                  <w:autoSpaceDN w:val="0"/>
                  <w:adjustRightInd w:val="0"/>
                  <w:jc w:val="center"/>
                </w:pPr>
                <w:r>
                  <w:t>本期发生额</w:t>
                </w:r>
              </w:p>
            </w:tc>
          </w:sdtContent>
        </w:sdt>
        <w:sdt>
          <w:sdtPr>
            <w:tag w:val="_PLD_8c8a0cecf8874d8e910b7f608531fd2a"/>
            <w:id w:val="-1046518759"/>
          </w:sdtPr>
          <w:sdtContent>
            <w:tc>
              <w:tcPr>
                <w:tcW w:w="861" w:type="dxa"/>
                <w:vMerge w:val="restart"/>
                <w:vAlign w:val="center"/>
              </w:tcPr>
              <w:p>
                <w:pPr>
                  <w:widowControl w:val="0"/>
                  <w:autoSpaceDE w:val="0"/>
                  <w:autoSpaceDN w:val="0"/>
                  <w:adjustRightInd w:val="0"/>
                  <w:jc w:val="center"/>
                </w:pPr>
                <w:r>
                  <w:t>期末余额</w:t>
                </w:r>
              </w:p>
            </w:tc>
          </w:sdtContent>
        </w:sdt>
      </w:tr>
      <w:tr>
        <w:tc>
          <w:tcPr>
            <w:tcW w:w="1555" w:type="dxa"/>
            <w:vMerge/>
            <w:vAlign w:val="center"/>
          </w:tcPr>
          <w:p>
            <w:pPr>
              <w:widowControl w:val="0"/>
              <w:autoSpaceDE w:val="0"/>
              <w:autoSpaceDN w:val="0"/>
              <w:adjustRightInd w:val="0"/>
              <w:jc w:val="center"/>
            </w:pPr>
          </w:p>
        </w:tc>
        <w:tc>
          <w:tcPr>
            <w:tcW w:w="1191" w:type="dxa"/>
            <w:vMerge/>
            <w:vAlign w:val="center"/>
          </w:tcPr>
          <w:p>
            <w:pPr>
              <w:widowControl w:val="0"/>
              <w:autoSpaceDE w:val="0"/>
              <w:autoSpaceDN w:val="0"/>
              <w:adjustRightInd w:val="0"/>
              <w:jc w:val="center"/>
            </w:pPr>
          </w:p>
        </w:tc>
        <w:tc>
          <w:tcPr>
            <w:tcW w:w="1134" w:type="dxa"/>
            <w:vMerge/>
            <w:vAlign w:val="center"/>
          </w:tcPr>
          <w:p>
            <w:pPr>
              <w:widowControl w:val="0"/>
              <w:autoSpaceDE w:val="0"/>
              <w:autoSpaceDN w:val="0"/>
              <w:adjustRightInd w:val="0"/>
              <w:jc w:val="center"/>
            </w:pPr>
          </w:p>
        </w:tc>
        <w:tc>
          <w:tcPr>
            <w:tcW w:w="932" w:type="dxa"/>
            <w:vMerge/>
            <w:vAlign w:val="center"/>
          </w:tcPr>
          <w:p>
            <w:pPr>
              <w:widowControl w:val="0"/>
              <w:autoSpaceDE w:val="0"/>
              <w:autoSpaceDN w:val="0"/>
              <w:adjustRightInd w:val="0"/>
              <w:jc w:val="center"/>
            </w:pPr>
          </w:p>
        </w:tc>
        <w:tc>
          <w:tcPr>
            <w:tcW w:w="1085" w:type="dxa"/>
            <w:vMerge/>
            <w:vAlign w:val="center"/>
          </w:tcPr>
          <w:p>
            <w:pPr>
              <w:widowControl w:val="0"/>
              <w:autoSpaceDE w:val="0"/>
              <w:autoSpaceDN w:val="0"/>
              <w:adjustRightInd w:val="0"/>
              <w:jc w:val="center"/>
            </w:pPr>
          </w:p>
        </w:tc>
        <w:sdt>
          <w:sdtPr>
            <w:tag w:val="_PLD_613437c37275454bac9cd4fef8554e83"/>
            <w:id w:val="1566533216"/>
          </w:sdtPr>
          <w:sdtContent>
            <w:tc>
              <w:tcPr>
                <w:tcW w:w="1134" w:type="dxa"/>
                <w:vAlign w:val="center"/>
              </w:tcPr>
              <w:p>
                <w:pPr>
                  <w:widowControl w:val="0"/>
                  <w:autoSpaceDE w:val="0"/>
                  <w:autoSpaceDN w:val="0"/>
                  <w:adjustRightInd w:val="0"/>
                  <w:jc w:val="center"/>
                </w:pPr>
                <w:r>
                  <w:rPr>
                    <w:rFonts w:hint="eastAsia"/>
                  </w:rPr>
                  <w:t>本期合计贷款金额</w:t>
                </w:r>
              </w:p>
            </w:tc>
          </w:sdtContent>
        </w:sdt>
        <w:sdt>
          <w:sdtPr>
            <w:tag w:val="_PLD_44007c6914b54d34922841d5153c0b52"/>
            <w:id w:val="-780497984"/>
          </w:sdtPr>
          <w:sdtContent>
            <w:tc>
              <w:tcPr>
                <w:tcW w:w="1153" w:type="dxa"/>
                <w:vAlign w:val="center"/>
              </w:tcPr>
              <w:p>
                <w:pPr>
                  <w:widowControl w:val="0"/>
                  <w:autoSpaceDE w:val="0"/>
                  <w:autoSpaceDN w:val="0"/>
                  <w:adjustRightInd w:val="0"/>
                  <w:jc w:val="center"/>
                </w:pPr>
                <w:r>
                  <w:rPr>
                    <w:rFonts w:hint="eastAsia"/>
                  </w:rPr>
                  <w:t>本期合计还款金额</w:t>
                </w:r>
              </w:p>
            </w:tc>
          </w:sdtContent>
        </w:sdt>
        <w:tc>
          <w:tcPr>
            <w:tcW w:w="861" w:type="dxa"/>
            <w:vMerge/>
            <w:vAlign w:val="center"/>
          </w:tcPr>
          <w:p>
            <w:pPr>
              <w:widowControl w:val="0"/>
              <w:autoSpaceDE w:val="0"/>
              <w:autoSpaceDN w:val="0"/>
              <w:adjustRightInd w:val="0"/>
              <w:jc w:val="center"/>
            </w:pPr>
          </w:p>
        </w:tc>
      </w:tr>
      <w:tr>
        <w:tc>
          <w:tcPr>
            <w:tcW w:w="1555" w:type="dxa"/>
            <w:vAlign w:val="center"/>
          </w:tcPr>
          <w:p>
            <w:pPr>
              <w:widowControl w:val="0"/>
              <w:autoSpaceDE w:val="0"/>
              <w:autoSpaceDN w:val="0"/>
              <w:adjustRightInd w:val="0"/>
              <w:jc w:val="center"/>
            </w:pPr>
            <w:r>
              <w:rPr>
                <w:rFonts w:hint="eastAsia"/>
              </w:rPr>
              <w:t>山东能源集团</w:t>
            </w:r>
          </w:p>
        </w:tc>
        <w:tc>
          <w:tcPr>
            <w:tcW w:w="1191" w:type="dxa"/>
            <w:vAlign w:val="center"/>
          </w:tcPr>
          <w:p>
            <w:pPr>
              <w:widowControl w:val="0"/>
              <w:autoSpaceDE w:val="0"/>
              <w:autoSpaceDN w:val="0"/>
              <w:adjustRightInd w:val="0"/>
              <w:jc w:val="center"/>
            </w:pPr>
            <w:r>
              <w:rPr>
                <w:rFonts w:hint="eastAsia"/>
              </w:rPr>
              <w:t>控股股东</w:t>
            </w:r>
          </w:p>
        </w:tc>
        <w:tc>
          <w:tcPr>
            <w:tcW w:w="1134" w:type="dxa"/>
            <w:vAlign w:val="center"/>
          </w:tcPr>
          <w:p>
            <w:pPr>
              <w:widowControl w:val="0"/>
              <w:autoSpaceDE w:val="0"/>
              <w:autoSpaceDN w:val="0"/>
              <w:adjustRightInd w:val="0"/>
              <w:jc w:val="right"/>
            </w:pPr>
            <w:r>
              <w:rPr>
                <w:rFonts w:ascii="宋体" w:hAnsi="宋体" w:hint="eastAsia"/>
              </w:rPr>
              <w:t>220</w:t>
            </w:r>
          </w:p>
        </w:tc>
        <w:tc>
          <w:tcPr>
            <w:tcW w:w="932" w:type="dxa"/>
            <w:vAlign w:val="center"/>
          </w:tcPr>
          <w:p>
            <w:pPr>
              <w:widowControl w:val="0"/>
              <w:autoSpaceDE w:val="0"/>
              <w:autoSpaceDN w:val="0"/>
              <w:adjustRightInd w:val="0"/>
              <w:jc w:val="right"/>
            </w:pPr>
            <w:r>
              <w:rPr>
                <w:rFonts w:ascii="宋体" w:hAnsi="宋体" w:hint="eastAsia"/>
              </w:rPr>
              <w:t>2.11%-2.8%</w:t>
            </w:r>
          </w:p>
        </w:tc>
        <w:tc>
          <w:tcPr>
            <w:tcW w:w="1085" w:type="dxa"/>
            <w:vAlign w:val="center"/>
          </w:tcPr>
          <w:p>
            <w:pPr>
              <w:widowControl w:val="0"/>
              <w:autoSpaceDE w:val="0"/>
              <w:autoSpaceDN w:val="0"/>
              <w:adjustRightInd w:val="0"/>
              <w:jc w:val="right"/>
              <w:rPr>
                <w:rFonts w:ascii="宋体" w:hAnsi="宋体"/>
              </w:rPr>
            </w:pPr>
            <w:r>
              <w:rPr>
                <w:rFonts w:ascii="宋体" w:hAnsi="宋体" w:hint="eastAsia"/>
              </w:rPr>
              <w:t>140.85</w:t>
            </w:r>
          </w:p>
        </w:tc>
        <w:tc>
          <w:tcPr>
            <w:tcW w:w="1134" w:type="dxa"/>
            <w:vAlign w:val="center"/>
          </w:tcPr>
          <w:p>
            <w:pPr>
              <w:widowControl w:val="0"/>
              <w:autoSpaceDE w:val="0"/>
              <w:autoSpaceDN w:val="0"/>
              <w:adjustRightInd w:val="0"/>
              <w:jc w:val="right"/>
            </w:pPr>
            <w:r>
              <w:rPr>
                <w:rFonts w:ascii="宋体" w:hAnsi="宋体" w:hint="eastAsia"/>
              </w:rPr>
              <w:t>241.82</w:t>
            </w:r>
          </w:p>
        </w:tc>
        <w:tc>
          <w:tcPr>
            <w:tcW w:w="1153" w:type="dxa"/>
            <w:vAlign w:val="center"/>
          </w:tcPr>
          <w:p>
            <w:pPr>
              <w:widowControl w:val="0"/>
              <w:autoSpaceDE w:val="0"/>
              <w:autoSpaceDN w:val="0"/>
              <w:adjustRightInd w:val="0"/>
              <w:jc w:val="right"/>
            </w:pPr>
            <w:r>
              <w:rPr>
                <w:rFonts w:ascii="宋体" w:hAnsi="宋体" w:hint="eastAsia"/>
              </w:rPr>
              <w:t>193.41</w:t>
            </w:r>
          </w:p>
        </w:tc>
        <w:tc>
          <w:tcPr>
            <w:tcW w:w="861" w:type="dxa"/>
            <w:vAlign w:val="center"/>
          </w:tcPr>
          <w:p>
            <w:pPr>
              <w:widowControl w:val="0"/>
              <w:autoSpaceDE w:val="0"/>
              <w:autoSpaceDN w:val="0"/>
              <w:adjustRightInd w:val="0"/>
              <w:jc w:val="right"/>
            </w:pPr>
            <w:r>
              <w:rPr>
                <w:rFonts w:ascii="宋体" w:hAnsi="宋体" w:hint="eastAsia"/>
              </w:rPr>
              <w:t>189.26</w:t>
            </w:r>
          </w:p>
        </w:tc>
      </w:tr>
      <w:tr>
        <w:tc>
          <w:tcPr>
            <w:tcW w:w="1555" w:type="dxa"/>
            <w:vAlign w:val="center"/>
          </w:tcPr>
          <w:p>
            <w:pPr>
              <w:widowControl w:val="0"/>
              <w:autoSpaceDE w:val="0"/>
              <w:autoSpaceDN w:val="0"/>
              <w:adjustRightInd w:val="0"/>
              <w:jc w:val="center"/>
            </w:pPr>
            <w:r>
              <w:t>合计</w:t>
            </w:r>
          </w:p>
        </w:tc>
        <w:tc>
          <w:tcPr>
            <w:tcW w:w="1191" w:type="dxa"/>
            <w:vAlign w:val="center"/>
          </w:tcPr>
          <w:p>
            <w:pPr>
              <w:widowControl w:val="0"/>
              <w:autoSpaceDE w:val="0"/>
              <w:autoSpaceDN w:val="0"/>
              <w:adjustRightInd w:val="0"/>
              <w:jc w:val="center"/>
            </w:pPr>
            <w:r>
              <w:rPr>
                <w:rFonts w:hint="eastAsia"/>
              </w:rPr>
              <w:t>/</w:t>
            </w:r>
          </w:p>
        </w:tc>
        <w:tc>
          <w:tcPr>
            <w:tcW w:w="1134" w:type="dxa"/>
            <w:vAlign w:val="center"/>
          </w:tcPr>
          <w:p>
            <w:pPr>
              <w:widowControl w:val="0"/>
              <w:autoSpaceDE w:val="0"/>
              <w:autoSpaceDN w:val="0"/>
              <w:adjustRightInd w:val="0"/>
              <w:jc w:val="right"/>
            </w:pPr>
            <w:r>
              <w:rPr>
                <w:rFonts w:hint="eastAsia"/>
              </w:rPr>
              <w:t>/</w:t>
            </w:r>
          </w:p>
        </w:tc>
        <w:tc>
          <w:tcPr>
            <w:tcW w:w="932" w:type="dxa"/>
            <w:vAlign w:val="center"/>
          </w:tcPr>
          <w:p>
            <w:pPr>
              <w:widowControl w:val="0"/>
              <w:autoSpaceDE w:val="0"/>
              <w:autoSpaceDN w:val="0"/>
              <w:adjustRightInd w:val="0"/>
              <w:jc w:val="right"/>
            </w:pPr>
            <w:r>
              <w:rPr>
                <w:rFonts w:hint="eastAsia"/>
              </w:rPr>
              <w:t>/</w:t>
            </w:r>
          </w:p>
        </w:tc>
        <w:tc>
          <w:tcPr>
            <w:tcW w:w="1085" w:type="dxa"/>
          </w:tcPr>
          <w:p>
            <w:pPr>
              <w:widowControl w:val="0"/>
              <w:autoSpaceDE w:val="0"/>
              <w:autoSpaceDN w:val="0"/>
              <w:adjustRightInd w:val="0"/>
              <w:jc w:val="right"/>
              <w:rPr>
                <w:rFonts w:ascii="宋体" w:hAnsi="宋体"/>
              </w:rPr>
            </w:pPr>
            <w:r>
              <w:rPr>
                <w:rFonts w:ascii="宋体" w:hAnsi="宋体"/>
              </w:rPr>
              <w:t>140.85</w:t>
            </w:r>
          </w:p>
        </w:tc>
        <w:tc>
          <w:tcPr>
            <w:tcW w:w="1134" w:type="dxa"/>
            <w:vAlign w:val="center"/>
          </w:tcPr>
          <w:p>
            <w:pPr>
              <w:widowControl w:val="0"/>
              <w:autoSpaceDE w:val="0"/>
              <w:autoSpaceDN w:val="0"/>
              <w:adjustRightInd w:val="0"/>
              <w:jc w:val="right"/>
            </w:pPr>
            <w:r>
              <w:rPr>
                <w:rFonts w:ascii="宋体" w:hAnsi="宋体" w:hint="eastAsia"/>
              </w:rPr>
              <w:t>241.82</w:t>
            </w:r>
          </w:p>
        </w:tc>
        <w:tc>
          <w:tcPr>
            <w:tcW w:w="1153" w:type="dxa"/>
            <w:vAlign w:val="center"/>
          </w:tcPr>
          <w:p>
            <w:pPr>
              <w:widowControl w:val="0"/>
              <w:autoSpaceDE w:val="0"/>
              <w:autoSpaceDN w:val="0"/>
              <w:adjustRightInd w:val="0"/>
              <w:jc w:val="right"/>
            </w:pPr>
            <w:r>
              <w:rPr>
                <w:rFonts w:ascii="宋体" w:hAnsi="宋体" w:hint="eastAsia"/>
              </w:rPr>
              <w:t>193.41</w:t>
            </w:r>
          </w:p>
        </w:tc>
        <w:tc>
          <w:tcPr>
            <w:tcW w:w="861" w:type="dxa"/>
            <w:vAlign w:val="center"/>
          </w:tcPr>
          <w:p>
            <w:pPr>
              <w:widowControl w:val="0"/>
              <w:autoSpaceDE w:val="0"/>
              <w:autoSpaceDN w:val="0"/>
              <w:adjustRightInd w:val="0"/>
              <w:jc w:val="right"/>
            </w:pPr>
            <w:r>
              <w:rPr>
                <w:rFonts w:ascii="宋体" w:hAnsi="宋体" w:hint="eastAsia"/>
              </w:rPr>
              <w:t>189.26</w:t>
            </w:r>
          </w:p>
        </w:tc>
      </w:tr>
    </w:tbl>
    <w:p>
      <w:pPr>
        <w:pStyle w:val="Style49"/>
      </w:pPr>
    </w:p>
    <w:p>
      <w:pPr>
        <w:pStyle w:val="Style53"/>
        <w:numPr>
          <w:ilvl w:val="0"/>
          <w:numId w:val="43"/>
        </w:numPr>
        <w:rPr>
          <w:rFonts w:ascii="宋体" w:eastAsia="宋体" w:hAnsi="宋体"/>
        </w:rPr>
      </w:pPr>
      <w:bookmarkStart w:id="227" w:name="_Hlk41316014"/>
      <w:r>
        <w:rPr>
          <w:rFonts w:ascii="宋体" w:eastAsia="宋体" w:hAnsi="宋体" w:hint="eastAsia"/>
        </w:rPr>
        <w:t>授信业务或其他金融业务</w:t>
      </w:r>
    </w:p>
    <w:sdt>
      <w:sdtPr>
        <w:rPr>
          <w:rFonts w:hint="eastAsia"/>
        </w:rPr>
        <w:alias w:val="是否适用：授信业务或其他金融业务[双击切换]"/>
        <w:tag w:val="_GBC_2f9c3833f7e34ead9932532e40fbb1b9"/>
        <w:id w:val="-1466654995"/>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授信业务或其他金融业务"/>
          <w:tag w:val="_GBC_bd084ea580fc4d9d9e4958d6be5b126d"/>
          <w:id w:val="129787999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亿元</w:t>
          </w:r>
        </w:sdtContent>
      </w:sdt>
      <w:r>
        <w:rPr>
          <w:rFonts w:hint="eastAsia"/>
        </w:rPr>
        <w:t xml:space="preserve">  </w:t>
      </w:r>
      <w:r>
        <w:rPr>
          <w:rFonts w:hint="eastAsia"/>
        </w:rPr>
        <w:t>币种：</w:t>
      </w:r>
      <w:sdt>
        <w:sdtPr>
          <w:rPr>
            <w:rFonts w:hint="eastAsia"/>
          </w:rPr>
          <w:alias w:val="币种：授信业务或其他金融业务"/>
          <w:tag w:val="_GBC_57fcdc4bec904580bf2207f3850b4bfc"/>
          <w:id w:val="-430549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63"/>
        <w:tblW w:w="903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293"/>
        <w:gridCol w:w="1429"/>
        <w:gridCol w:w="1661"/>
      </w:tblGrid>
      <w:tr>
        <w:sdt>
          <w:sdtPr>
            <w:tag w:val="_PLD_da5529c13904408187ba2be3414cbaec"/>
            <w:id w:val="-778944295"/>
          </w:sdtPr>
          <w:sdtContent>
            <w:tc>
              <w:tcPr>
                <w:tcW w:w="1668" w:type="dxa"/>
                <w:vAlign w:val="center"/>
              </w:tcPr>
              <w:p>
                <w:pPr>
                  <w:pStyle w:val="Style56"/>
                  <w:jc w:val="center"/>
                  <w:rPr>
                    <w:rFonts w:ascii="宋体" w:hAnsi="宋体"/>
                  </w:rPr>
                </w:pPr>
                <w:r>
                  <w:rPr>
                    <w:rFonts w:ascii="宋体" w:hAnsi="宋体" w:hint="eastAsia"/>
                  </w:rPr>
                  <w:t>关联方</w:t>
                </w:r>
              </w:p>
            </w:tc>
          </w:sdtContent>
        </w:sdt>
        <w:sdt>
          <w:sdtPr>
            <w:tag w:val="_PLD_07e3bda8d1ae484d9c9d6729c395dea4"/>
            <w:id w:val="123271594"/>
          </w:sdtPr>
          <w:sdtContent>
            <w:tc>
              <w:tcPr>
                <w:tcW w:w="1984" w:type="dxa"/>
                <w:vAlign w:val="center"/>
              </w:tcPr>
              <w:p>
                <w:pPr>
                  <w:pStyle w:val="Style56"/>
                  <w:jc w:val="center"/>
                  <w:rPr>
                    <w:rFonts w:ascii="宋体" w:hAnsi="宋体"/>
                  </w:rPr>
                </w:pPr>
                <w:r>
                  <w:rPr>
                    <w:rFonts w:ascii="宋体" w:hAnsi="宋体" w:hint="eastAsia"/>
                  </w:rPr>
                  <w:t>关联关系</w:t>
                </w:r>
              </w:p>
            </w:tc>
          </w:sdtContent>
        </w:sdt>
        <w:sdt>
          <w:sdtPr>
            <w:tag w:val="_PLD_6646e1edc0584c58b833d3c8a2c0c141"/>
            <w:id w:val="1810201837"/>
          </w:sdtPr>
          <w:sdtContent>
            <w:tc>
              <w:tcPr>
                <w:tcW w:w="2293" w:type="dxa"/>
                <w:vAlign w:val="center"/>
              </w:tcPr>
              <w:p>
                <w:pPr>
                  <w:pStyle w:val="Style56"/>
                  <w:jc w:val="center"/>
                  <w:rPr>
                    <w:rFonts w:ascii="宋体" w:hAnsi="宋体"/>
                  </w:rPr>
                </w:pPr>
                <w:r>
                  <w:rPr>
                    <w:rFonts w:ascii="宋体" w:hAnsi="宋体" w:hint="eastAsia"/>
                  </w:rPr>
                  <w:t>业务类型</w:t>
                </w:r>
              </w:p>
            </w:tc>
          </w:sdtContent>
        </w:sdt>
        <w:sdt>
          <w:sdtPr>
            <w:tag w:val="_PLD_4f2f5ad60a7546ccbfd337b0becc5f0e"/>
            <w:id w:val="-337008024"/>
          </w:sdtPr>
          <w:sdtContent>
            <w:tc>
              <w:tcPr>
                <w:tcW w:w="1429" w:type="dxa"/>
                <w:vAlign w:val="center"/>
              </w:tcPr>
              <w:p>
                <w:pPr>
                  <w:pStyle w:val="Style56"/>
                  <w:jc w:val="center"/>
                  <w:rPr>
                    <w:rFonts w:ascii="宋体" w:hAnsi="宋体"/>
                  </w:rPr>
                </w:pPr>
                <w:r>
                  <w:rPr>
                    <w:rFonts w:ascii="宋体" w:hAnsi="宋体" w:hint="eastAsia"/>
                  </w:rPr>
                  <w:t>总额</w:t>
                </w:r>
              </w:p>
            </w:tc>
          </w:sdtContent>
        </w:sdt>
        <w:sdt>
          <w:sdtPr>
            <w:tag w:val="_PLD_e085245bbfaf447fa9513040555f64e9"/>
            <w:id w:val="-1401284766"/>
          </w:sdtPr>
          <w:sdtContent>
            <w:tc>
              <w:tcPr>
                <w:tcW w:w="1661" w:type="dxa"/>
                <w:vAlign w:val="center"/>
              </w:tcPr>
              <w:p>
                <w:pPr>
                  <w:pStyle w:val="Style56"/>
                  <w:jc w:val="center"/>
                  <w:rPr>
                    <w:rFonts w:ascii="宋体" w:hAnsi="宋体"/>
                  </w:rPr>
                </w:pPr>
                <w:r>
                  <w:rPr>
                    <w:rFonts w:ascii="宋体" w:hAnsi="宋体" w:hint="eastAsia"/>
                  </w:rPr>
                  <w:t>实际发生额</w:t>
                </w:r>
              </w:p>
            </w:tc>
          </w:sdtContent>
        </w:sdt>
      </w:tr>
      <w:tr>
        <w:tc>
          <w:tcPr>
            <w:tcW w:w="1668" w:type="dxa"/>
            <w:vAlign w:val="center"/>
          </w:tcPr>
          <w:p>
            <w:pPr>
              <w:widowControl w:val="0"/>
              <w:autoSpaceDE w:val="0"/>
              <w:autoSpaceDN w:val="0"/>
              <w:adjustRightInd w:val="0"/>
              <w:jc w:val="center"/>
            </w:pPr>
            <w:r>
              <w:rPr>
                <w:rFonts w:hint="eastAsia"/>
              </w:rPr>
              <w:t>山东能源集团</w:t>
            </w:r>
          </w:p>
        </w:tc>
        <w:tc>
          <w:tcPr>
            <w:tcW w:w="1984" w:type="dxa"/>
            <w:vAlign w:val="center"/>
          </w:tcPr>
          <w:p>
            <w:pPr>
              <w:widowControl w:val="0"/>
              <w:autoSpaceDE w:val="0"/>
              <w:autoSpaceDN w:val="0"/>
              <w:adjustRightInd w:val="0"/>
              <w:jc w:val="center"/>
            </w:pPr>
            <w:r>
              <w:rPr>
                <w:rFonts w:hint="eastAsia"/>
              </w:rPr>
              <w:t>控股股东</w:t>
            </w:r>
          </w:p>
        </w:tc>
        <w:tc>
          <w:tcPr>
            <w:tcW w:w="2293" w:type="dxa"/>
            <w:vAlign w:val="center"/>
          </w:tcPr>
          <w:p>
            <w:pPr>
              <w:widowControl w:val="0"/>
              <w:autoSpaceDE w:val="0"/>
              <w:autoSpaceDN w:val="0"/>
              <w:adjustRightInd w:val="0"/>
              <w:jc w:val="center"/>
            </w:pPr>
            <w:r>
              <w:rPr>
                <w:rFonts w:hint="eastAsia"/>
              </w:rPr>
              <w:t>承兑、保函</w:t>
            </w:r>
          </w:p>
        </w:tc>
        <w:tc>
          <w:tcPr>
            <w:tcW w:w="1429" w:type="dxa"/>
            <w:vAlign w:val="center"/>
          </w:tcPr>
          <w:p>
            <w:pPr>
              <w:widowControl w:val="0"/>
              <w:autoSpaceDE w:val="0"/>
              <w:autoSpaceDN w:val="0"/>
              <w:adjustRightInd w:val="0"/>
              <w:jc w:val="right"/>
              <w:rPr>
                <w:rFonts w:ascii="宋体" w:hAnsi="宋体"/>
              </w:rPr>
            </w:pPr>
            <w:r>
              <w:rPr>
                <w:rFonts w:ascii="宋体" w:hAnsi="宋体"/>
              </w:rPr>
              <w:t>100</w:t>
            </w:r>
          </w:p>
        </w:tc>
        <w:tc>
          <w:tcPr>
            <w:tcW w:w="1661" w:type="dxa"/>
            <w:vAlign w:val="center"/>
          </w:tcPr>
          <w:p>
            <w:pPr>
              <w:widowControl w:val="0"/>
              <w:autoSpaceDE w:val="0"/>
              <w:autoSpaceDN w:val="0"/>
              <w:adjustRightInd w:val="0"/>
              <w:jc w:val="right"/>
              <w:rPr>
                <w:rFonts w:asciiTheme="minorEastAsia" w:eastAsiaTheme="minorEastAsia" w:hAnsiTheme="minorEastAsia"/>
              </w:rPr>
            </w:pPr>
            <w:r>
              <w:rPr>
                <w:rFonts w:asciiTheme="minorEastAsia" w:eastAsiaTheme="minorEastAsia" w:hAnsiTheme="minorEastAsia"/>
              </w:rPr>
              <w:t>38.94</w:t>
            </w:r>
          </w:p>
        </w:tc>
      </w:tr>
    </w:tbl>
    <w:p>
      <w:pPr>
        <w:pStyle w:val="Style49"/>
      </w:pPr>
    </w:p>
    <w:p>
      <w:pPr>
        <w:pStyle w:val="Style53"/>
        <w:numPr>
          <w:ilvl w:val="0"/>
          <w:numId w:val="43"/>
        </w:numPr>
        <w:rPr>
          <w:rFonts w:ascii="宋体" w:eastAsia="宋体" w:hAnsi="宋体"/>
        </w:rPr>
      </w:pPr>
      <w:bookmarkStart w:id="228" w:name="_Hlk41316022"/>
      <w:bookmarkEnd w:id="227"/>
      <w:r>
        <w:rPr>
          <w:rFonts w:ascii="宋体" w:eastAsia="宋体" w:hAnsi="宋体" w:hint="eastAsia"/>
        </w:rPr>
        <w:t>其他说明</w:t>
      </w:r>
    </w:p>
    <w:sdt>
      <w:sdtPr>
        <w:rPr>
          <w:color w:val="000000" w:themeColor="text1"/>
        </w:rPr>
        <w:alias w:val="是否适用：公司与存在关联关系的财务公司、公司控股财务公司与关联方之间的金融业务的其他说明[双击切换]"/>
        <w:tag w:val="_GBC_ff93404f5d40495f9fc89732d74edc89"/>
        <w:id w:val="1360624991"/>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公司与存在关联关系的财务公司、公司控股财务公司与关联方之间的金融业务的其他说明"/>
        <w:tag w:val="_GBC_4d44517eb6c34963a20f2b2224aa1fa3"/>
        <w:id w:val="33171831"/>
        <w:placeholder>
          <w:docPart w:val="GBC22222222222222222222222222222"/>
        </w:placeholder>
      </w:sdtPr>
      <w:sdtContent>
        <w:p>
          <w:pPr>
            <w:ind w:firstLineChars="200" w:firstLine="420"/>
            <w:rPr>
              <w:bCs/>
              <w:color w:val="000000" w:themeColor="text1"/>
            </w:rPr>
          </w:pPr>
          <w:r>
            <w:rPr>
              <w:rFonts w:hint="eastAsia"/>
              <w:bCs/>
              <w:color w:val="000000" w:themeColor="text1"/>
            </w:rPr>
            <w:t>截至本报告期末，山能财司为关联方提供的金融服务收取的保证金余额为</w:t>
          </w:r>
          <w:r>
            <w:rPr>
              <w:rFonts w:asciiTheme="minorEastAsia" w:eastAsiaTheme="minorEastAsia" w:hAnsiTheme="minorEastAsia" w:hint="eastAsia"/>
              <w:bCs/>
              <w:color w:val="000000" w:themeColor="text1"/>
            </w:rPr>
            <w:t>0.74</w:t>
          </w:r>
          <w:r>
            <w:rPr>
              <w:rFonts w:hint="eastAsia"/>
              <w:bCs/>
              <w:color w:val="000000" w:themeColor="text1"/>
            </w:rPr>
            <w:t>亿元，保证金部分不占授信额度。</w:t>
          </w:r>
        </w:p>
        <w:p>
          <w:pPr>
            <w:ind w:firstLineChars="200" w:firstLine="420"/>
            <w:rPr>
              <w:color w:val="000000" w:themeColor="text1"/>
            </w:rPr>
          </w:pPr>
          <w:r>
            <w:rPr>
              <w:rFonts w:hint="eastAsia"/>
              <w:bCs/>
              <w:color w:val="000000" w:themeColor="text1"/>
            </w:rPr>
            <w:t>根据上交所《上市公司自律监管指引第</w:t>
          </w:r>
          <w:r>
            <w:rPr>
              <w:rFonts w:ascii="宋体" w:hAnsi="宋体" w:hint="eastAsia"/>
              <w:bCs/>
              <w:color w:val="000000" w:themeColor="text1"/>
            </w:rPr>
            <w:t>5</w:t>
          </w:r>
          <w:r>
            <w:rPr>
              <w:rFonts w:hint="eastAsia"/>
              <w:bCs/>
              <w:color w:val="000000" w:themeColor="text1"/>
            </w:rPr>
            <w:t>号——交易与关联交易》，公司出具了关于山能财司的风险评估报告。</w:t>
          </w:r>
        </w:p>
      </w:sdtContent>
    </w:sdt>
    <w:p>
      <w:pPr>
        <w:rPr>
          <w:color w:val="000000" w:themeColor="text1"/>
        </w:rPr>
      </w:pPr>
    </w:p>
    <w:bookmarkEnd w:id="224"/>
    <w:bookmarkEnd w:id="225"/>
    <w:bookmarkEnd w:id="228"/>
    <w:p>
      <w:pPr>
        <w:pStyle w:val="Style52"/>
        <w:numPr>
          <w:ilvl w:val="2"/>
          <w:numId w:val="38"/>
        </w:numPr>
        <w:rPr>
          <w:szCs w:val="21"/>
        </w:rPr>
      </w:pPr>
      <w:r>
        <w:rPr>
          <w:rFonts w:hint="eastAsia"/>
          <w:szCs w:val="21"/>
        </w:rPr>
        <w:t>其他</w:t>
      </w:r>
    </w:p>
    <w:sdt>
      <w:sdtPr>
        <w:rPr>
          <w:rFonts w:asciiTheme="minorEastAsia" w:eastAsiaTheme="minorEastAsia" w:hAnsiTheme="minorEastAsia" w:hint="eastAsia"/>
        </w:rPr>
        <w:alias w:val="是否适用：重大关联交易其他说明[双击切换]"/>
        <w:tag w:val="_GBC_49b04883b7a84a83b6a8bfec05cbb445"/>
        <w:id w:val="-65577949"/>
        <w:placeholder>
          <w:docPart w:val="GBC22222222222222222222222222222"/>
        </w:placeholder>
      </w:sdtPr>
      <w:sdtContent>
        <w:p>
          <w:pPr>
            <w:rPr>
              <w:rFonts w:ascii="宋体" w:hAnsi="宋体"/>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p>
          <w:pPr>
            <w:rPr>
              <w:rFonts w:asciiTheme="minorEastAsia" w:eastAsiaTheme="minorEastAsia" w:hAnsiTheme="minorEastAsia"/>
            </w:rPr>
          </w:pPr>
        </w:p>
      </w:sdtContent>
    </w:sdt>
    <w:sdt>
      <w:sdtPr>
        <w:rPr>
          <w:rFonts w:asciiTheme="minorEastAsia" w:eastAsiaTheme="minorEastAsia" w:hAnsiTheme="minorEastAsia"/>
        </w:rPr>
        <w:alias w:val="其他重要关联交易"/>
        <w:tag w:val="_GBC_f3502a4ed252419e89a26cbe8fb3bee4"/>
        <w:id w:val="303436975"/>
        <w:placeholder>
          <w:docPart w:val="GBC22222222222222222222222222222"/>
        </w:placeholder>
      </w:sdtPr>
      <w:sdtEndPr>
        <w:rPr>
          <w:rFonts w:hint="eastAsia"/>
          <w:b/>
          <w:bCs/>
        </w:rPr>
      </w:sdtEndPr>
      <w:sdtContent>
        <w:p>
          <w:pPr>
            <w:ind w:firstLineChars="200" w:firstLine="420"/>
            <w:jc w:val="both"/>
            <w:rPr>
              <w:rFonts w:asciiTheme="minorEastAsia" w:eastAsiaTheme="minorEastAsia" w:hAnsiTheme="minorEastAsia"/>
              <w:b/>
            </w:rPr>
          </w:pPr>
          <w:r>
            <w:rPr>
              <w:rFonts w:asciiTheme="minorEastAsia" w:eastAsiaTheme="minorEastAsia" w:hAnsiTheme="minorEastAsia" w:hint="eastAsia"/>
              <w:b/>
            </w:rPr>
            <w:t>鲁西矿业附属公司统筹外费用相关安排</w:t>
          </w:r>
        </w:p>
        <w:p>
          <w:pPr>
            <w:ind w:firstLineChars="200" w:firstLine="420"/>
            <w:jc w:val="both"/>
            <w:rPr>
              <w:rFonts w:asciiTheme="minorEastAsia" w:eastAsiaTheme="minorEastAsia" w:hAnsiTheme="minorEastAsia"/>
              <w:bCs/>
            </w:rPr>
          </w:pPr>
          <w:r>
            <w:rPr>
              <w:rFonts w:asciiTheme="minorEastAsia" w:eastAsiaTheme="minorEastAsia" w:hAnsiTheme="minorEastAsia" w:hint="eastAsia"/>
              <w:bCs/>
            </w:rPr>
            <w:t>经公司2025年3月28日召开的第九届董事会第十四次会议审议批准，为进一步优化现有离退休、工病亡遗属等人员统筹外费用安排，鲁西矿业及其权属单位--肥城矿业集团梁宝寺能源有限责任公司（“梁宝寺能源”）、山东新巨龙能源有限责任公司（“新巨龙能源”）、临沂矿业集团菏泽煤电有限公司郭屯煤矿（“菏泽煤电郭屯煤矿”）（合称“鲁西矿业权属单位”）分别与公司关联/关连方临沂矿业集团有限责任公司（“临矿集团”）签订《离退休人员、遗属等各类统筹外费用发放安排协议》。根据该协议，现由鲁西矿业权属单位分别各自全额承担的统筹外费用，将自协议生效日起调整为由鲁西矿业、临矿集团按比例共同承担。根据梁宝寺能源安排协议，</w:t>
          </w:r>
          <w:r>
            <w:rPr>
              <w:rFonts w:asciiTheme="minorEastAsia" w:eastAsiaTheme="minorEastAsia" w:hAnsiTheme="minorEastAsia" w:hint="eastAsia"/>
              <w:bCs/>
            </w:rPr>
            <w:lastRenderedPageBreak/>
            <w:t>鲁西矿业及临矿集团同意按照85%（即共计8.63亿元）及15%（即共计1.52亿元）的比例承担原由梁宝寺能源承担的统筹外费用；根据新巨龙能源安排协议，鲁西矿业及临矿集团同意按照60%（即共计10.73亿元）及40%（即共计7.16亿元）的比例承担原由新巨龙能源承担的统筹外费用；根据菏泽煤电安排协议，鲁西矿业及临矿集团同意按照83.5931%（即共计8.64亿元）及16.4069%（即共计1.69亿元）的比例承担原由菏泽煤电郭屯煤矿承担的统筹外费用。本次交易不涉及统筹外费用金额的调整，仅涉及对于统筹外费用分担和支付相关安排，对公司财务状况、经营成果不产生负面影响，不存在损害公司及中小股东合法权益的情形。</w:t>
          </w:r>
        </w:p>
        <w:p>
          <w:pPr>
            <w:ind w:firstLineChars="200" w:firstLine="420"/>
            <w:jc w:val="both"/>
            <w:rPr>
              <w:rFonts w:asciiTheme="minorEastAsia" w:eastAsiaTheme="minorEastAsia" w:hAnsiTheme="minorEastAsia"/>
              <w:bCs/>
            </w:rPr>
          </w:pPr>
          <w:r>
            <w:rPr>
              <w:rFonts w:asciiTheme="minorEastAsia" w:eastAsiaTheme="minorEastAsia" w:hAnsiTheme="minorEastAsia" w:hint="eastAsia"/>
              <w:bCs/>
            </w:rPr>
            <w:t>有关详情请见日期为2025年3月28日的关联/关连交易公告，该等资料刊载于上交所网站、香港联交所网站、公司网站及/或《中国证券报》《上海证券报》《证券时报》《证券日报》。</w:t>
          </w:r>
        </w:p>
        <w:p>
          <w:pPr>
            <w:ind w:firstLineChars="200" w:firstLine="422"/>
            <w:jc w:val="both"/>
            <w:rPr>
              <w:rFonts w:asciiTheme="minorEastAsia" w:eastAsiaTheme="minorEastAsia" w:hAnsiTheme="minorEastAsia"/>
              <w:b/>
            </w:rPr>
          </w:pPr>
        </w:p>
        <w:p>
          <w:pPr>
            <w:ind w:firstLineChars="200" w:firstLine="422"/>
            <w:jc w:val="both"/>
            <w:rPr>
              <w:rFonts w:asciiTheme="minorEastAsia" w:eastAsiaTheme="minorEastAsia" w:hAnsiTheme="minorEastAsia"/>
              <w:b/>
            </w:rPr>
          </w:pPr>
          <w:r>
            <w:rPr>
              <w:rFonts w:asciiTheme="minorEastAsia" w:eastAsiaTheme="minorEastAsia" w:hAnsiTheme="minorEastAsia" w:hint="eastAsia"/>
              <w:b/>
            </w:rPr>
            <w:t>鲁西矿业向菏泽煤电提供内部借款</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经公司2025年5月30日召开的第九届董事会第十七次会议审议批准，为满足临沂矿业集团菏泽煤电有限公司（“菏泽煤电”）生产经营的资金需求，鲁西矿业向菏泽煤电提供10亿元内部借款。</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根据上交所上市规则，本次内部借款事项不构成关联交易，构成需董事会审批的财务资助。</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根据香港联交所上市规则，本次内部借款事项构成关连附属公司之间的关联/关连交易。根据交易金额测算，属公司董事会审批权限，关联/关连董事需回避表决。</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有关详情请见公司日期为2025年5月30日的第九届董事会第十七次会议决议公告、向控股子公司提供财务资助的公告以及关联/关连交易公告，该等资料刊载于上交所网站、香港联交所网站、公司网站及/或《中国证券报》《上海证券报》《证券时报》《证券日报》。</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根据香港上市规则，载于按国际财务报告准则编制的财务报表附注“关联方结余及交易”的若干关联方交易亦构成香港上市规则第14A章定义的持续关连交易，且本公司确认该等交易已遵守香港上市规则第14A章下的披露规定。</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除本节所披露重大关连交易事项外，报告期内本集团概无其他根据香港上市规则须于本报告中披露之重大关连交易。</w:t>
          </w:r>
        </w:p>
        <w:p>
          <w:pPr>
            <w:ind w:firstLineChars="200" w:firstLine="422"/>
            <w:rPr>
              <w:rFonts w:asciiTheme="minorEastAsia" w:eastAsiaTheme="minorEastAsia" w:hAnsiTheme="minorEastAsia"/>
              <w:b/>
              <w:bCs/>
            </w:rPr>
          </w:pPr>
        </w:p>
      </w:sdtContent>
    </w:sdt>
    <w:p>
      <w:pPr>
        <w:pStyle w:val="Style51"/>
        <w:numPr>
          <w:ilvl w:val="0"/>
          <w:numId w:val="33"/>
        </w:numPr>
      </w:pPr>
      <w:bookmarkStart w:id="229" w:name="_Hlk223948354"/>
      <w:r>
        <w:rPr>
          <w:rFonts w:hint="eastAsia"/>
        </w:rPr>
        <w:t>重大合同及其履行情况</w:t>
      </w:r>
    </w:p>
    <w:p>
      <w:pPr>
        <w:pStyle w:val="Style52"/>
        <w:numPr>
          <w:ilvl w:val="0"/>
          <w:numId w:val="44"/>
        </w:numPr>
        <w:rPr>
          <w:szCs w:val="21"/>
        </w:rPr>
      </w:pPr>
      <w:r>
        <w:rPr>
          <w:szCs w:val="21"/>
        </w:rPr>
        <w:t>托管、承包、租赁事项</w:t>
      </w:r>
    </w:p>
    <w:p>
      <w:pPr>
        <w:pStyle w:val="Style53"/>
        <w:numPr>
          <w:ilvl w:val="0"/>
          <w:numId w:val="45"/>
        </w:numPr>
      </w:pPr>
      <w:r>
        <w:rPr>
          <w:rFonts w:hint="eastAsia"/>
        </w:rPr>
        <w:t>托管情况</w:t>
      </w:r>
    </w:p>
    <w:sdt>
      <w:sdtPr>
        <w:alias w:val="是否适用：托管情况[双击切换]"/>
        <w:tag w:val="_GBC_f528f5eedb9346f6b0fbdbe3967882e7"/>
        <w:id w:val="-1048609438"/>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49"/>
      </w:pPr>
    </w:p>
    <w:p>
      <w:pPr>
        <w:pStyle w:val="Style53"/>
        <w:numPr>
          <w:ilvl w:val="0"/>
          <w:numId w:val="45"/>
        </w:numPr>
      </w:pPr>
      <w:r>
        <w:rPr>
          <w:rFonts w:hint="eastAsia"/>
        </w:rPr>
        <w:t>承包情况</w:t>
      </w:r>
    </w:p>
    <w:sdt>
      <w:sdtPr>
        <w:alias w:val="是否适用：承包情况[双击切换]"/>
        <w:tag w:val="_GBC_ef45025eb2d84c78907511abec2bd222"/>
        <w:id w:val="203999738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49"/>
      </w:pPr>
    </w:p>
    <w:p>
      <w:pPr>
        <w:pStyle w:val="Style53"/>
        <w:numPr>
          <w:ilvl w:val="0"/>
          <w:numId w:val="45"/>
        </w:numPr>
      </w:pPr>
      <w:r>
        <w:rPr>
          <w:rFonts w:hint="eastAsia"/>
        </w:rPr>
        <w:t>租赁情况</w:t>
      </w:r>
    </w:p>
    <w:sdt>
      <w:sdtPr>
        <w:alias w:val="是否适用：租赁情况[双击切换]"/>
        <w:tag w:val="_GBC_c1d0d78a63af4d48a7427277c2db3ac5"/>
        <w:id w:val="-90189933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49"/>
      </w:pPr>
    </w:p>
    <w:p>
      <w:pPr>
        <w:pStyle w:val="Style49"/>
      </w:pPr>
      <w:r>
        <w:br w:type="page"/>
      </w:r>
    </w:p>
    <w:p>
      <w:pPr>
        <w:sectPr>
          <w:pgSz w:w="11906" w:h="16838"/>
          <w:pgMar w:top="1525" w:right="1276" w:bottom="1440" w:left="1797" w:header="855" w:footer="992" w:gutter="0"/>
          <w:cols w:space="425"/>
          <w:docGrid w:linePitch="312"/>
        </w:sectPr>
      </w:pPr>
    </w:p>
    <w:p>
      <w:pPr>
        <w:pStyle w:val="Style52"/>
        <w:numPr>
          <w:ilvl w:val="0"/>
          <w:numId w:val="44"/>
        </w:numPr>
        <w:rPr>
          <w:szCs w:val="21"/>
        </w:rPr>
      </w:pPr>
      <w:bookmarkStart w:id="230" w:name="_Toc342491982"/>
      <w:bookmarkStart w:id="231" w:name="_Toc342565974"/>
      <w:bookmarkStart w:id="232" w:name="OLE_LINK3"/>
      <w:bookmarkStart w:id="233" w:name="OLE_LINK2"/>
      <w:r>
        <w:rPr>
          <w:szCs w:val="21"/>
        </w:rPr>
        <w:lastRenderedPageBreak/>
        <w:t>担保情况</w:t>
      </w:r>
      <w:bookmarkEnd w:id="230"/>
      <w:bookmarkEnd w:id="231"/>
    </w:p>
    <w:bookmarkEnd w:id="233" w:displacedByCustomXml="next"/>
    <w:bookmarkEnd w:id="232" w:displacedByCustomXml="next"/>
    <w:sdt>
      <w:sdtPr>
        <w:alias w:val="是否适用：担保情况[双击切换]"/>
        <w:tag w:val="_GBC_b799a3ac65f846e088fcfb2dd2591ede"/>
        <w:id w:val="73913832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jc w:val="right"/>
      </w:pPr>
      <w:r>
        <w:rPr>
          <w:rFonts w:hint="eastAsia"/>
        </w:rPr>
        <w:t>单位</w:t>
      </w:r>
      <w:r>
        <w:t>：</w:t>
      </w:r>
      <w:sdt>
        <w:sdtPr>
          <w:alias w:val="单位：担保情况"/>
          <w:tag w:val="_GBC_c5b429695c6d4556a9d11f55a5e736d3"/>
          <w:id w:val="-6238491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亿元</w:t>
          </w:r>
        </w:sdtContent>
      </w:sdt>
      <w:r>
        <w:rPr>
          <w:rFonts w:hint="eastAsia"/>
        </w:rPr>
        <w:t xml:space="preserve">  </w:t>
      </w:r>
      <w:r>
        <w:rPr>
          <w:rFonts w:hint="eastAsia"/>
        </w:rPr>
        <w:t>币种</w:t>
      </w:r>
      <w:r>
        <w:t>：</w:t>
      </w:r>
      <w:sdt>
        <w:sdtPr>
          <w:alias w:val="币种：担保情况"/>
          <w:tag w:val="_GBC_bbefcb25022447d5a0413d1c31ffdf65"/>
          <w:id w:val="-21180517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Style63"/>
        <w:tblW w:w="13933" w:type="dxa"/>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883"/>
        <w:gridCol w:w="922"/>
        <w:gridCol w:w="916"/>
        <w:gridCol w:w="1022"/>
        <w:gridCol w:w="919"/>
        <w:gridCol w:w="919"/>
        <w:gridCol w:w="396"/>
        <w:gridCol w:w="518"/>
        <w:gridCol w:w="919"/>
        <w:gridCol w:w="919"/>
        <w:gridCol w:w="919"/>
        <w:gridCol w:w="916"/>
        <w:gridCol w:w="1022"/>
        <w:gridCol w:w="916"/>
        <w:gridCol w:w="919"/>
        <w:gridCol w:w="908"/>
      </w:tblGrid>
      <w:tr>
        <w:trPr>
          <w:trHeight w:val="293"/>
        </w:trPr>
        <w:bookmarkStart w:id="234" w:name="_Hlk89953992" w:displacedByCustomXml="next"/>
        <w:sdt>
          <w:sdtPr>
            <w:tag w:val="_PLD_47382e1239d84f6f9f6c6d4b5423c108"/>
            <w:id w:val="1151638513"/>
          </w:sdtPr>
          <w:sdtContent>
            <w:tc>
              <w:tcPr>
                <w:tcW w:w="13933" w:type="dxa"/>
                <w:gridSpan w:val="16"/>
                <w:tcBorders>
                  <w:top w:val="single" w:sz="4" w:space="0" w:color="auto"/>
                  <w:bottom w:val="single" w:sz="4" w:space="0" w:color="auto"/>
                </w:tcBorders>
                <w:vAlign w:val="center"/>
              </w:tcPr>
              <w:p>
                <w:pPr>
                  <w:autoSpaceDE w:val="0"/>
                  <w:autoSpaceDN w:val="0"/>
                  <w:adjustRightInd w:val="0"/>
                  <w:jc w:val="center"/>
                </w:pPr>
                <w:r>
                  <w:rPr>
                    <w:rFonts w:hint="eastAsia"/>
                  </w:rPr>
                  <w:t>公司对外担保情况（不包括对子公司的担保）</w:t>
                </w:r>
              </w:p>
            </w:tc>
          </w:sdtContent>
        </w:sdt>
      </w:tr>
      <w:tr>
        <w:trPr>
          <w:trHeight w:val="293"/>
        </w:trPr>
        <w:sdt>
          <w:sdtPr>
            <w:tag w:val="_PLD_09b2f27e560e48058fd68a7522d4a21e"/>
            <w:id w:val="-869067235"/>
          </w:sdtPr>
          <w:sdtContent>
            <w:tc>
              <w:tcPr>
                <w:tcW w:w="883" w:type="dxa"/>
                <w:tcBorders>
                  <w:top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担保方</w:t>
                </w:r>
              </w:p>
            </w:tc>
          </w:sdtContent>
        </w:sdt>
        <w:sdt>
          <w:sdtPr>
            <w:tag w:val="_PLD_3052f673b3b345d3a7af649302ea170a"/>
            <w:id w:val="-1856265578"/>
          </w:sdtPr>
          <w:sdtContent>
            <w:tc>
              <w:tcPr>
                <w:tcW w:w="92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担保方与上市公司的关系</w:t>
                </w:r>
              </w:p>
            </w:tc>
          </w:sdtContent>
        </w:sdt>
        <w:sdt>
          <w:sdtPr>
            <w:tag w:val="_PLD_fb4029fae7cf48a79a41443b882f9109"/>
            <w:id w:val="-1040203771"/>
          </w:sdtPr>
          <w:sdtContent>
            <w:tc>
              <w:tcPr>
                <w:tcW w:w="9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被担保方</w:t>
                </w:r>
              </w:p>
            </w:tc>
          </w:sdtContent>
        </w:sdt>
        <w:sdt>
          <w:sdtPr>
            <w:tag w:val="_PLD_f9cf7e1836e34488ac32b6e51fd66dc5"/>
            <w:id w:val="-604505098"/>
          </w:sdtPr>
          <w:sdtContent>
            <w:tc>
              <w:tcPr>
                <w:tcW w:w="102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担保金额</w:t>
                </w:r>
              </w:p>
            </w:tc>
          </w:sdtContent>
        </w:sdt>
        <w:sdt>
          <w:sdtPr>
            <w:tag w:val="_PLD_2605894e64924e1c948143543497b30d"/>
            <w:id w:val="1907338878"/>
          </w:sdtPr>
          <w:sdtContent>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担保发生日期</w:t>
                </w:r>
                <w:r>
                  <w:t>(</w:t>
                </w:r>
                <w:r>
                  <w:rPr>
                    <w:rFonts w:hint="eastAsia"/>
                  </w:rPr>
                  <w:t>协议签署日</w:t>
                </w:r>
                <w:r>
                  <w:t>)</w:t>
                </w:r>
              </w:p>
            </w:tc>
          </w:sdtContent>
        </w:sdt>
        <w:sdt>
          <w:sdtPr>
            <w:tag w:val="_PLD_360b2c68827a4d0ca9316c3726b16cc0"/>
            <w:id w:val="1872574957"/>
          </w:sdtPr>
          <w:sdtContent>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w:t>
                </w:r>
              </w:p>
              <w:p>
                <w:pPr>
                  <w:autoSpaceDE w:val="0"/>
                  <w:autoSpaceDN w:val="0"/>
                  <w:adjustRightInd w:val="0"/>
                  <w:jc w:val="center"/>
                </w:pPr>
                <w:r>
                  <w:rPr>
                    <w:rFonts w:hint="eastAsia"/>
                  </w:rPr>
                  <w:t>起始日</w:t>
                </w:r>
              </w:p>
            </w:tc>
          </w:sdtContent>
        </w:sdt>
        <w:sdt>
          <w:sdtPr>
            <w:tag w:val="_PLD_6e343c1dd4c74b69b0e199f26aa0fc9a"/>
            <w:id w:val="-1673797642"/>
          </w:sdtPr>
          <w:sdtContent>
            <w:tc>
              <w:tcPr>
                <w:tcW w:w="914" w:type="dxa"/>
                <w:gridSpan w:val="2"/>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w:t>
                </w:r>
              </w:p>
              <w:p>
                <w:pPr>
                  <w:autoSpaceDE w:val="0"/>
                  <w:autoSpaceDN w:val="0"/>
                  <w:adjustRightInd w:val="0"/>
                  <w:jc w:val="center"/>
                </w:pPr>
                <w:r>
                  <w:rPr>
                    <w:rFonts w:hint="eastAsia"/>
                  </w:rPr>
                  <w:t>到期日</w:t>
                </w:r>
              </w:p>
            </w:tc>
          </w:sdtContent>
        </w:sdt>
        <w:sdt>
          <w:sdtPr>
            <w:tag w:val="_PLD_85aaff970e8f4025937e66f170fc0506"/>
            <w:id w:val="1003087827"/>
          </w:sdtPr>
          <w:sdtContent>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担保类型</w:t>
                </w:r>
              </w:p>
            </w:tc>
          </w:sdtContent>
        </w:sdt>
        <w:tc>
          <w:tcPr>
            <w:tcW w:w="919" w:type="dxa"/>
            <w:tcBorders>
              <w:top w:val="single" w:sz="4" w:space="0" w:color="auto"/>
              <w:left w:val="single" w:sz="4" w:space="0" w:color="auto"/>
              <w:bottom w:val="single" w:sz="4" w:space="0" w:color="auto"/>
              <w:right w:val="single" w:sz="4" w:space="0" w:color="auto"/>
            </w:tcBorders>
            <w:vAlign w:val="center"/>
          </w:tcPr>
          <w:sdt>
            <w:sdtPr>
              <w:tag w:val="_PLD_d3fba9513b1742aeaf3cc03df939c3a6"/>
              <w:id w:val="-152920514"/>
            </w:sdtPr>
            <w:sdtContent>
              <w:p>
                <w:pPr>
                  <w:autoSpaceDE w:val="0"/>
                  <w:autoSpaceDN w:val="0"/>
                  <w:adjustRightInd w:val="0"/>
                  <w:jc w:val="center"/>
                </w:pPr>
                <w:r>
                  <w:rPr>
                    <w:rFonts w:hint="eastAsia"/>
                  </w:rPr>
                  <w:t>担保物（如有）</w:t>
                </w:r>
              </w:p>
            </w:sdtContent>
          </w:sdt>
        </w:tc>
        <w:sdt>
          <w:sdtPr>
            <w:tag w:val="_PLD_fad806f6aed64969a9f500fc55be69bf"/>
            <w:id w:val="554818333"/>
          </w:sdtPr>
          <w:sdtContent>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担保是否已经履行完毕</w:t>
                </w:r>
              </w:p>
            </w:tc>
          </w:sdtContent>
        </w:sdt>
        <w:sdt>
          <w:sdtPr>
            <w:tag w:val="_PLD_355a8c82bc68409495d9bf25a926ed62"/>
            <w:id w:val="1370797819"/>
          </w:sdtPr>
          <w:sdtContent>
            <w:tc>
              <w:tcPr>
                <w:tcW w:w="9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担保是否逾期</w:t>
                </w:r>
              </w:p>
            </w:tc>
          </w:sdtContent>
        </w:sdt>
        <w:sdt>
          <w:sdtPr>
            <w:tag w:val="_PLD_e8056176e7db49139234d1df564f5c3a"/>
            <w:id w:val="231284767"/>
          </w:sdtPr>
          <w:sdtContent>
            <w:tc>
              <w:tcPr>
                <w:tcW w:w="102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担保逾期金额</w:t>
                </w:r>
              </w:p>
            </w:tc>
          </w:sdtContent>
        </w:sdt>
        <w:sdt>
          <w:sdtPr>
            <w:tag w:val="_PLD_5c3b131124fe44f69e4b80cf09f7c755"/>
            <w:id w:val="-2029626955"/>
          </w:sdtPr>
          <w:sdtContent>
            <w:tc>
              <w:tcPr>
                <w:tcW w:w="9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反担保情况</w:t>
                </w:r>
              </w:p>
            </w:tc>
          </w:sdtContent>
        </w:sdt>
        <w:sdt>
          <w:sdtPr>
            <w:tag w:val="_PLD_5a6bd2cf94e8411b88105a2190c5b4fb"/>
            <w:id w:val="-713509234"/>
          </w:sdtPr>
          <w:sdtContent>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是否为关联方担保</w:t>
                </w:r>
              </w:p>
            </w:tc>
          </w:sdtContent>
        </w:sdt>
        <w:sdt>
          <w:sdtPr>
            <w:tag w:val="_PLD_70390fe8c4804a7da41d8a62ace59586"/>
            <w:id w:val="-730921945"/>
          </w:sdtPr>
          <w:sdtContent>
            <w:tc>
              <w:tcPr>
                <w:tcW w:w="908" w:type="dxa"/>
                <w:tcBorders>
                  <w:top w:val="single" w:sz="4" w:space="0" w:color="auto"/>
                  <w:left w:val="single" w:sz="4" w:space="0" w:color="auto"/>
                  <w:bottom w:val="single" w:sz="4" w:space="0" w:color="auto"/>
                </w:tcBorders>
                <w:vAlign w:val="center"/>
              </w:tcPr>
              <w:p>
                <w:pPr>
                  <w:autoSpaceDE w:val="0"/>
                  <w:autoSpaceDN w:val="0"/>
                  <w:adjustRightInd w:val="0"/>
                  <w:jc w:val="center"/>
                </w:pPr>
                <w:r>
                  <w:rPr>
                    <w:rFonts w:hint="eastAsia"/>
                  </w:rPr>
                  <w:t>关联</w:t>
                </w:r>
              </w:p>
              <w:p>
                <w:pPr>
                  <w:autoSpaceDE w:val="0"/>
                  <w:autoSpaceDN w:val="0"/>
                  <w:adjustRightInd w:val="0"/>
                  <w:jc w:val="center"/>
                </w:pPr>
                <w:r>
                  <w:rPr>
                    <w:rFonts w:hint="eastAsia"/>
                  </w:rPr>
                  <w:t>关系</w:t>
                </w:r>
              </w:p>
            </w:tc>
          </w:sdtContent>
        </w:sdt>
      </w:tr>
      <w:tr>
        <w:trPr>
          <w:trHeight w:val="293"/>
        </w:trPr>
        <w:tc>
          <w:tcPr>
            <w:tcW w:w="883" w:type="dxa"/>
            <w:tcBorders>
              <w:top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兖矿能源集团股份有限公司</w:t>
            </w:r>
          </w:p>
        </w:tc>
        <w:sdt>
          <w:sdtPr>
            <w:rPr>
              <w:rFonts w:asciiTheme="minorEastAsia" w:eastAsiaTheme="minorEastAsia" w:hAnsiTheme="minorEastAsia" w:hint="eastAsia"/>
              <w:bCs/>
            </w:rPr>
            <w:alias w:val="担保方与上市公司的关联关系"/>
            <w:tag w:val="_GBC_2e446bc7579a4b2db650f2a8defc57b7"/>
            <w:id w:val="-2010046568"/>
            <w:comboBox>
              <w:listItem w:displayText="公司本部" w:value="公司本部"/>
              <w:listItem w:displayText="控股子公司" w:value="控股子公司"/>
              <w:listItem w:displayText="全资子公司" w:value="全资子公司"/>
            </w:comboBox>
          </w:sdtPr>
          <w:sdtContent>
            <w:tc>
              <w:tcPr>
                <w:tcW w:w="92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color w:val="FFC000"/>
                  </w:rPr>
                </w:pPr>
                <w:r>
                  <w:rPr>
                    <w:rFonts w:asciiTheme="minorEastAsia" w:eastAsiaTheme="minorEastAsia" w:hAnsiTheme="minorEastAsia" w:hint="eastAsia"/>
                    <w:bCs/>
                  </w:rPr>
                  <w:t>公司本部</w:t>
                </w:r>
              </w:p>
            </w:tc>
          </w:sdtContent>
        </w:sdt>
        <w:tc>
          <w:tcPr>
            <w:tcW w:w="9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烟台金正环保科技有限公司</w:t>
            </w:r>
          </w:p>
        </w:tc>
        <w:tc>
          <w:tcPr>
            <w:tcW w:w="102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ind w:rightChars="40" w:right="84"/>
              <w:jc w:val="center"/>
              <w:rPr>
                <w:rFonts w:asciiTheme="minorEastAsia" w:eastAsiaTheme="minorEastAsia" w:hAnsiTheme="minorEastAsia"/>
              </w:rPr>
            </w:pPr>
            <w:r>
              <w:rPr>
                <w:rFonts w:asciiTheme="minorEastAsia" w:eastAsiaTheme="minorEastAsia" w:hAnsiTheme="minorEastAsia" w:hint="eastAsia"/>
              </w:rPr>
              <w:t>1.37</w:t>
            </w:r>
          </w:p>
        </w:tc>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2023年3月10日</w:t>
            </w:r>
          </w:p>
        </w:tc>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2023年3月10日</w:t>
            </w:r>
          </w:p>
        </w:tc>
        <w:tc>
          <w:tcPr>
            <w:tcW w:w="914" w:type="dxa"/>
            <w:gridSpan w:val="2"/>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2026年5月9日</w:t>
            </w:r>
          </w:p>
        </w:tc>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color w:val="FFC000"/>
              </w:rPr>
            </w:pPr>
            <w:r>
              <w:rPr>
                <w:rFonts w:asciiTheme="minorEastAsia" w:eastAsiaTheme="minorEastAsia" w:hAnsiTheme="minorEastAsia" w:hint="eastAsia"/>
                <w:color w:val="000000"/>
              </w:rPr>
              <w:t>连带责任担保</w:t>
            </w:r>
          </w:p>
        </w:tc>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bCs/>
              </w:rPr>
            </w:pPr>
            <w:r>
              <w:rPr>
                <w:rFonts w:asciiTheme="minorEastAsia" w:eastAsiaTheme="minorEastAsia" w:hAnsiTheme="minorEastAsia" w:hint="eastAsia"/>
              </w:rPr>
              <w:t>/</w:t>
            </w:r>
          </w:p>
        </w:tc>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color w:val="FFC000"/>
              </w:rPr>
            </w:pPr>
            <w:r>
              <w:rPr>
                <w:rFonts w:asciiTheme="minorEastAsia" w:eastAsiaTheme="minorEastAsia" w:hAnsiTheme="minorEastAsia" w:hint="eastAsia"/>
              </w:rPr>
              <w:t>否</w:t>
            </w:r>
          </w:p>
        </w:tc>
        <w:tc>
          <w:tcPr>
            <w:tcW w:w="9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color w:val="FFC000"/>
              </w:rPr>
            </w:pPr>
            <w:r>
              <w:rPr>
                <w:rFonts w:asciiTheme="minorEastAsia" w:eastAsiaTheme="minorEastAsia" w:hAnsiTheme="minorEastAsia" w:hint="eastAsia"/>
                <w:color w:val="000000"/>
              </w:rPr>
              <w:t>否</w:t>
            </w:r>
          </w:p>
        </w:tc>
        <w:tc>
          <w:tcPr>
            <w:tcW w:w="102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ind w:rightChars="40" w:right="84"/>
              <w:jc w:val="center"/>
              <w:rPr>
                <w:rFonts w:asciiTheme="minorEastAsia" w:eastAsiaTheme="minorEastAsia" w:hAnsiTheme="minorEastAsia"/>
                <w:bCs/>
              </w:rPr>
            </w:pPr>
            <w:r>
              <w:rPr>
                <w:rFonts w:asciiTheme="minorEastAsia" w:eastAsiaTheme="minorEastAsia" w:hAnsiTheme="minorEastAsia" w:hint="eastAsia"/>
                <w:color w:val="000000"/>
              </w:rPr>
              <w:t>0</w:t>
            </w:r>
          </w:p>
        </w:tc>
        <w:tc>
          <w:tcPr>
            <w:tcW w:w="9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其他股东提供连带责任保证</w:t>
            </w:r>
          </w:p>
        </w:tc>
        <w:sdt>
          <w:sdtPr>
            <w:rPr>
              <w:rFonts w:asciiTheme="minorEastAsia" w:eastAsiaTheme="minorEastAsia" w:hAnsiTheme="minorEastAsia" w:hint="eastAsia"/>
              <w:bCs/>
            </w:rPr>
            <w:alias w:val="是否为关联方担保"/>
            <w:tag w:val="_GBC_44554d74636543a7b143039de86b7494"/>
            <w:id w:val="1395163743"/>
            <w:comboBox>
              <w:listItem w:displayText="是" w:value="true"/>
              <w:listItem w:displayText="否" w:value="false"/>
            </w:comboBox>
          </w:sdtPr>
          <w:sdtContent>
            <w:tc>
              <w:tcPr>
                <w:tcW w:w="91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heme="minorEastAsia" w:eastAsiaTheme="minorEastAsia" w:hAnsiTheme="minorEastAsia"/>
                    <w:color w:val="FFC000"/>
                  </w:rPr>
                </w:pPr>
                <w:r>
                  <w:rPr>
                    <w:rFonts w:asciiTheme="minorEastAsia" w:eastAsiaTheme="minorEastAsia" w:hAnsiTheme="minorEastAsia" w:hint="eastAsia"/>
                    <w:bCs/>
                  </w:rPr>
                  <w:t>否</w:t>
                </w:r>
              </w:p>
            </w:tc>
          </w:sdtContent>
        </w:sdt>
        <w:sdt>
          <w:sdtPr>
            <w:alias w:val="担保中关联方与本公司关系"/>
            <w:tag w:val="_GBC_e5957983376e4a2f82b346d338d10f40"/>
            <w:id w:val="-605270269"/>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08" w:type="dxa"/>
                <w:tcBorders>
                  <w:top w:val="single" w:sz="4" w:space="0" w:color="auto"/>
                  <w:left w:val="single" w:sz="4" w:space="0" w:color="auto"/>
                  <w:bottom w:val="single" w:sz="4" w:space="0" w:color="auto"/>
                </w:tcBorders>
                <w:vAlign w:val="center"/>
              </w:tcPr>
              <w:p>
                <w:pPr>
                  <w:autoSpaceDE w:val="0"/>
                  <w:autoSpaceDN w:val="0"/>
                  <w:adjustRightInd w:val="0"/>
                  <w:jc w:val="center"/>
                  <w:rPr>
                    <w:color w:val="FFC000"/>
                  </w:rPr>
                </w:pPr>
                <w:r>
                  <w:rPr>
                    <w:rFonts w:hint="eastAsia"/>
                  </w:rPr>
                  <w:t>/</w:t>
                </w:r>
              </w:p>
            </w:tc>
          </w:sdtContent>
        </w:sdt>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pPr>
            <w:r>
              <w:rPr>
                <w:rFonts w:hint="eastAsia"/>
              </w:rPr>
              <w:t>报告期内担保发生额合计（不包括对子公司的担保）</w:t>
            </w:r>
          </w:p>
        </w:tc>
        <w:tc>
          <w:tcPr>
            <w:tcW w:w="7956" w:type="dxa"/>
            <w:gridSpan w:val="9"/>
            <w:tcBorders>
              <w:top w:val="single" w:sz="4" w:space="0" w:color="auto"/>
              <w:left w:val="single" w:sz="4" w:space="0" w:color="auto"/>
              <w:bottom w:val="single" w:sz="4" w:space="0" w:color="auto"/>
            </w:tcBorders>
            <w:vAlign w:val="center"/>
          </w:tcPr>
          <w:p>
            <w:pPr>
              <w:ind w:rightChars="40" w:right="84"/>
              <w:jc w:val="right"/>
              <w:rPr>
                <w:rFonts w:asciiTheme="minorEastAsia" w:eastAsiaTheme="minorEastAsia" w:hAnsiTheme="minorEastAsia"/>
              </w:rPr>
            </w:pPr>
            <w:r>
              <w:rPr>
                <w:rFonts w:asciiTheme="minorEastAsia" w:eastAsiaTheme="minorEastAsia" w:hAnsiTheme="minorEastAsia" w:hint="eastAsia"/>
              </w:rPr>
              <w:t>0</w:t>
            </w:r>
          </w:p>
        </w:tc>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pPr>
            <w:r>
              <w:rPr>
                <w:rFonts w:hint="eastAsia"/>
              </w:rPr>
              <w:t>报告期末担保余额合计（</w:t>
            </w:r>
            <w:r>
              <w:t>A</w:t>
            </w:r>
            <w:r>
              <w:rPr>
                <w:rFonts w:hint="eastAsia"/>
              </w:rPr>
              <w:t>）（不包括对子公司的担保）</w:t>
            </w:r>
          </w:p>
        </w:tc>
        <w:tc>
          <w:tcPr>
            <w:tcW w:w="7956" w:type="dxa"/>
            <w:gridSpan w:val="9"/>
            <w:tcBorders>
              <w:top w:val="single" w:sz="4" w:space="0" w:color="auto"/>
              <w:left w:val="single" w:sz="4" w:space="0" w:color="auto"/>
              <w:bottom w:val="single" w:sz="4" w:space="0" w:color="auto"/>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rPr>
              <w:t>0.77</w:t>
            </w:r>
          </w:p>
        </w:tc>
      </w:tr>
      <w:tr>
        <w:trPr>
          <w:trHeight w:val="308"/>
        </w:trPr>
        <w:sdt>
          <w:sdtPr>
            <w:rPr>
              <w:rFonts w:asciiTheme="minorEastAsia" w:eastAsiaTheme="minorEastAsia" w:hAnsiTheme="minorEastAsia"/>
            </w:rPr>
            <w:tag w:val="_PLD_0209e1df4d9c45da9415f0566332a134"/>
            <w:id w:val="2002929153"/>
          </w:sdtPr>
          <w:sdtContent>
            <w:tc>
              <w:tcPr>
                <w:tcW w:w="13933" w:type="dxa"/>
                <w:gridSpan w:val="16"/>
                <w:tcBorders>
                  <w:top w:val="single" w:sz="4" w:space="0" w:color="auto"/>
                  <w:bottom w:val="single" w:sz="4" w:space="0" w:color="auto"/>
                </w:tcBorders>
                <w:vAlign w:val="center"/>
              </w:tcPr>
              <w:p>
                <w:pPr>
                  <w:autoSpaceDE w:val="0"/>
                  <w:autoSpaceDN w:val="0"/>
                  <w:adjustRightInd w:val="0"/>
                  <w:ind w:rightChars="40" w:right="84"/>
                  <w:jc w:val="center"/>
                  <w:rPr>
                    <w:rFonts w:asciiTheme="minorEastAsia" w:eastAsiaTheme="minorEastAsia" w:hAnsiTheme="minorEastAsia"/>
                  </w:rPr>
                </w:pPr>
                <w:r>
                  <w:rPr>
                    <w:rFonts w:asciiTheme="minorEastAsia" w:eastAsiaTheme="minorEastAsia" w:hAnsiTheme="minorEastAsia" w:hint="eastAsia"/>
                  </w:rPr>
                  <w:t>公司及其子公司对子公司的担保情况</w:t>
                </w:r>
              </w:p>
            </w:tc>
          </w:sdtContent>
        </w:sdt>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ind w:rightChars="40" w:right="84"/>
              <w:rPr>
                <w:color w:val="FF0000"/>
              </w:rPr>
            </w:pPr>
            <w:r>
              <w:rPr>
                <w:rFonts w:hint="eastAsia"/>
              </w:rPr>
              <w:t>报告期内对子公司担保发生额合计</w:t>
            </w:r>
          </w:p>
        </w:tc>
        <w:tc>
          <w:tcPr>
            <w:tcW w:w="7956" w:type="dxa"/>
            <w:gridSpan w:val="9"/>
            <w:tcBorders>
              <w:top w:val="single" w:sz="4" w:space="0" w:color="auto"/>
              <w:left w:val="single" w:sz="4" w:space="0" w:color="auto"/>
              <w:bottom w:val="single" w:sz="4" w:space="0" w:color="auto"/>
            </w:tcBorders>
            <w:vAlign w:val="center"/>
          </w:tcPr>
          <w:p>
            <w:pPr>
              <w:ind w:rightChars="40" w:right="84"/>
              <w:jc w:val="right"/>
              <w:rPr>
                <w:rFonts w:asciiTheme="minorEastAsia" w:eastAsiaTheme="minorEastAsia" w:hAnsiTheme="minorEastAsia"/>
              </w:rPr>
            </w:pPr>
            <w:r>
              <w:rPr>
                <w:rFonts w:asciiTheme="minorEastAsia" w:eastAsiaTheme="minorEastAsia" w:hAnsiTheme="minorEastAsia" w:hint="eastAsia"/>
              </w:rPr>
              <w:t>20.5</w:t>
            </w:r>
          </w:p>
        </w:tc>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ind w:rightChars="40" w:right="84"/>
              <w:rPr>
                <w:color w:val="FF0000"/>
              </w:rPr>
            </w:pPr>
            <w:r>
              <w:rPr>
                <w:rFonts w:hint="eastAsia"/>
              </w:rPr>
              <w:t>报告期末对子公司担保余额合计（</w:t>
            </w:r>
            <w:r>
              <w:t>B</w:t>
            </w:r>
            <w:r>
              <w:rPr>
                <w:rFonts w:hint="eastAsia"/>
              </w:rPr>
              <w:t>）</w:t>
            </w:r>
          </w:p>
        </w:tc>
        <w:tc>
          <w:tcPr>
            <w:tcW w:w="7956" w:type="dxa"/>
            <w:gridSpan w:val="9"/>
            <w:tcBorders>
              <w:top w:val="single" w:sz="4" w:space="0" w:color="auto"/>
              <w:left w:val="single" w:sz="4" w:space="0" w:color="auto"/>
              <w:bottom w:val="single" w:sz="4" w:space="0" w:color="auto"/>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rPr>
              <w:t>91.69</w:t>
            </w:r>
          </w:p>
        </w:tc>
      </w:tr>
      <w:tr>
        <w:trPr>
          <w:trHeight w:val="308"/>
        </w:trPr>
        <w:sdt>
          <w:sdtPr>
            <w:rPr>
              <w:rFonts w:asciiTheme="minorEastAsia" w:eastAsiaTheme="minorEastAsia" w:hAnsiTheme="minorEastAsia"/>
            </w:rPr>
            <w:tag w:val="_PLD_b5d1fceb6fbd4fadb84d698d3eb35967"/>
            <w:id w:val="-322815382"/>
          </w:sdtPr>
          <w:sdtContent>
            <w:tc>
              <w:tcPr>
                <w:tcW w:w="13933" w:type="dxa"/>
                <w:gridSpan w:val="16"/>
                <w:tcBorders>
                  <w:top w:val="single" w:sz="4" w:space="0" w:color="auto"/>
                  <w:bottom w:val="single" w:sz="4" w:space="0" w:color="auto"/>
                </w:tcBorders>
                <w:vAlign w:val="center"/>
              </w:tcPr>
              <w:p>
                <w:pPr>
                  <w:autoSpaceDE w:val="0"/>
                  <w:autoSpaceDN w:val="0"/>
                  <w:adjustRightInd w:val="0"/>
                  <w:ind w:rightChars="40" w:right="84"/>
                  <w:jc w:val="center"/>
                  <w:rPr>
                    <w:rFonts w:asciiTheme="minorEastAsia" w:eastAsiaTheme="minorEastAsia" w:hAnsiTheme="minorEastAsia"/>
                  </w:rPr>
                </w:pPr>
                <w:r>
                  <w:rPr>
                    <w:rFonts w:asciiTheme="minorEastAsia" w:eastAsiaTheme="minorEastAsia" w:hAnsiTheme="minorEastAsia" w:hint="eastAsia"/>
                  </w:rPr>
                  <w:t>公司担保总额情况（包括对子公司的担保）</w:t>
                </w:r>
              </w:p>
            </w:tc>
          </w:sdtContent>
        </w:sdt>
      </w:tr>
      <w:tr>
        <w:trPr>
          <w:trHeight w:val="470"/>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ind w:rightChars="40" w:right="84"/>
            </w:pPr>
            <w:r>
              <w:rPr>
                <w:rFonts w:hint="eastAsia"/>
              </w:rPr>
              <w:t>担保总额（</w:t>
            </w:r>
            <w:r>
              <w:t>A+B</w:t>
            </w:r>
            <w:r>
              <w:rPr>
                <w:rFonts w:hint="eastAsia"/>
              </w:rPr>
              <w:t>）</w:t>
            </w:r>
          </w:p>
        </w:tc>
        <w:tc>
          <w:tcPr>
            <w:tcW w:w="7956" w:type="dxa"/>
            <w:gridSpan w:val="9"/>
            <w:tcBorders>
              <w:top w:val="single" w:sz="4" w:space="0" w:color="auto"/>
              <w:left w:val="single" w:sz="4" w:space="0" w:color="auto"/>
              <w:bottom w:val="single" w:sz="4" w:space="0" w:color="auto"/>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rPr>
              <w:t>92.47</w:t>
            </w:r>
          </w:p>
        </w:tc>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ind w:rightChars="40" w:right="84"/>
            </w:pPr>
            <w:r>
              <w:rPr>
                <w:rFonts w:hint="eastAsia"/>
              </w:rPr>
              <w:t>担保总额占公司净资产的比例</w:t>
            </w:r>
            <w:r>
              <w:t>(%)</w:t>
            </w:r>
          </w:p>
        </w:tc>
        <w:tc>
          <w:tcPr>
            <w:tcW w:w="7956" w:type="dxa"/>
            <w:gridSpan w:val="9"/>
            <w:tcBorders>
              <w:top w:val="single" w:sz="4" w:space="0" w:color="auto"/>
              <w:left w:val="single" w:sz="4" w:space="0" w:color="auto"/>
              <w:bottom w:val="single" w:sz="4" w:space="0" w:color="auto"/>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hint="eastAsia"/>
              </w:rPr>
              <w:t>9.20</w:t>
            </w:r>
          </w:p>
        </w:tc>
      </w:tr>
      <w:tr>
        <w:trPr>
          <w:trHeight w:val="308"/>
        </w:trPr>
        <w:sdt>
          <w:sdtPr>
            <w:rPr>
              <w:rFonts w:asciiTheme="minorEastAsia" w:eastAsiaTheme="minorEastAsia" w:hAnsiTheme="minorEastAsia"/>
            </w:rPr>
            <w:tag w:val="_PLD_5975855d5ef9445cb4cf0cccb044de3a"/>
            <w:id w:val="1223719293"/>
          </w:sdtPr>
          <w:sdtContent>
            <w:tc>
              <w:tcPr>
                <w:tcW w:w="13933" w:type="dxa"/>
                <w:gridSpan w:val="16"/>
                <w:tcBorders>
                  <w:top w:val="single" w:sz="4" w:space="0" w:color="auto"/>
                  <w:bottom w:val="single" w:sz="4" w:space="0" w:color="auto"/>
                </w:tcBorders>
                <w:vAlign w:val="center"/>
              </w:tcPr>
              <w:p>
                <w:pPr>
                  <w:pStyle w:val="Style61"/>
                  <w:autoSpaceDE w:val="0"/>
                  <w:autoSpaceDN w:val="0"/>
                  <w:adjustRightInd w:val="0"/>
                  <w:ind w:rightChars="40" w:right="84"/>
                  <w:rPr>
                    <w:rFonts w:asciiTheme="minorEastAsia" w:eastAsiaTheme="minorEastAsia" w:hAnsiTheme="minorEastAsia"/>
                  </w:rPr>
                </w:pPr>
                <w:r>
                  <w:rPr>
                    <w:rFonts w:asciiTheme="minorEastAsia" w:eastAsiaTheme="minorEastAsia" w:hAnsiTheme="minorEastAsia" w:hint="eastAsia"/>
                  </w:rPr>
                  <w:t>其中：</w:t>
                </w:r>
              </w:p>
            </w:tc>
          </w:sdtContent>
        </w:sdt>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pPr>
            <w:r>
              <w:rPr>
                <w:rFonts w:hint="eastAsia"/>
              </w:rPr>
              <w:t>为股东、实际控制人及其关联方提供担保的金额（</w:t>
            </w:r>
            <w:r>
              <w:t>C</w:t>
            </w:r>
            <w:r>
              <w:rPr>
                <w:rFonts w:hint="eastAsia"/>
              </w:rPr>
              <w:t>）</w:t>
            </w:r>
          </w:p>
        </w:tc>
        <w:tc>
          <w:tcPr>
            <w:tcW w:w="7956" w:type="dxa"/>
            <w:gridSpan w:val="9"/>
            <w:tcBorders>
              <w:top w:val="single" w:sz="4" w:space="0" w:color="auto"/>
              <w:left w:val="single" w:sz="4" w:space="0" w:color="auto"/>
              <w:bottom w:val="single" w:sz="4" w:space="0" w:color="auto"/>
            </w:tcBorders>
            <w:vAlign w:val="center"/>
          </w:tcPr>
          <w:p>
            <w:pPr>
              <w:ind w:rightChars="40" w:right="84"/>
              <w:jc w:val="right"/>
              <w:rPr>
                <w:rFonts w:asciiTheme="minorEastAsia" w:eastAsiaTheme="minorEastAsia" w:hAnsiTheme="minorEastAsia"/>
              </w:rPr>
            </w:pPr>
            <w:r>
              <w:rPr>
                <w:rFonts w:asciiTheme="minorEastAsia" w:eastAsiaTheme="minorEastAsia" w:hAnsiTheme="minorEastAsia" w:hint="eastAsia"/>
              </w:rPr>
              <w:t>0</w:t>
            </w:r>
          </w:p>
        </w:tc>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pPr>
            <w:r>
              <w:rPr>
                <w:rFonts w:hint="eastAsia"/>
              </w:rPr>
              <w:t>直接或间接为资产负债率超过</w:t>
            </w:r>
            <w:r>
              <w:t>70</w:t>
            </w:r>
            <w:r>
              <w:rPr>
                <w:rFonts w:hint="eastAsia"/>
              </w:rPr>
              <w:t>%</w:t>
            </w:r>
            <w:r>
              <w:rPr>
                <w:rFonts w:hint="eastAsia"/>
              </w:rPr>
              <w:t>的被担保对象提供的债务担保金额（</w:t>
            </w:r>
            <w:r>
              <w:t>D</w:t>
            </w:r>
            <w:r>
              <w:rPr>
                <w:rFonts w:hint="eastAsia"/>
              </w:rPr>
              <w:t>）</w:t>
            </w:r>
          </w:p>
        </w:tc>
        <w:tc>
          <w:tcPr>
            <w:tcW w:w="7956" w:type="dxa"/>
            <w:gridSpan w:val="9"/>
            <w:tcBorders>
              <w:top w:val="single" w:sz="4" w:space="0" w:color="auto"/>
              <w:left w:val="single" w:sz="4" w:space="0" w:color="auto"/>
              <w:bottom w:val="single" w:sz="4" w:space="0" w:color="auto"/>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rPr>
              <w:t>33.79</w:t>
            </w:r>
          </w:p>
        </w:tc>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pPr>
            <w:r>
              <w:rPr>
                <w:rFonts w:hint="eastAsia"/>
              </w:rPr>
              <w:t>担保总额超过净资产</w:t>
            </w:r>
            <w:r>
              <w:t>50</w:t>
            </w:r>
            <w:r>
              <w:rPr>
                <w:rFonts w:hint="eastAsia"/>
              </w:rPr>
              <w:t>%</w:t>
            </w:r>
            <w:r>
              <w:rPr>
                <w:rFonts w:hint="eastAsia"/>
              </w:rPr>
              <w:t>部分的金额（</w:t>
            </w:r>
            <w:r>
              <w:t>E</w:t>
            </w:r>
            <w:r>
              <w:rPr>
                <w:rFonts w:hint="eastAsia"/>
              </w:rPr>
              <w:t>）</w:t>
            </w:r>
          </w:p>
        </w:tc>
        <w:tc>
          <w:tcPr>
            <w:tcW w:w="7956" w:type="dxa"/>
            <w:gridSpan w:val="9"/>
            <w:tcBorders>
              <w:top w:val="single" w:sz="4" w:space="0" w:color="auto"/>
              <w:left w:val="single" w:sz="4" w:space="0" w:color="auto"/>
              <w:bottom w:val="single" w:sz="4" w:space="0" w:color="auto"/>
            </w:tcBorders>
            <w:vAlign w:val="center"/>
          </w:tcPr>
          <w:p>
            <w:pPr>
              <w:ind w:rightChars="40" w:right="84"/>
              <w:jc w:val="right"/>
              <w:rPr>
                <w:rFonts w:asciiTheme="minorEastAsia" w:eastAsiaTheme="minorEastAsia" w:hAnsiTheme="minorEastAsia"/>
              </w:rPr>
            </w:pPr>
            <w:r>
              <w:rPr>
                <w:rFonts w:asciiTheme="minorEastAsia" w:eastAsiaTheme="minorEastAsia" w:hAnsiTheme="minorEastAsia" w:hint="eastAsia"/>
              </w:rPr>
              <w:t>0</w:t>
            </w:r>
          </w:p>
        </w:tc>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pPr>
            <w:r>
              <w:rPr>
                <w:rFonts w:hint="eastAsia"/>
              </w:rPr>
              <w:t>上述三项担保金额合计（</w:t>
            </w:r>
            <w:r>
              <w:t>C+D+E</w:t>
            </w:r>
            <w:r>
              <w:rPr>
                <w:rFonts w:hint="eastAsia"/>
              </w:rPr>
              <w:t>）</w:t>
            </w:r>
          </w:p>
        </w:tc>
        <w:tc>
          <w:tcPr>
            <w:tcW w:w="7956" w:type="dxa"/>
            <w:gridSpan w:val="9"/>
            <w:tcBorders>
              <w:top w:val="single" w:sz="4" w:space="0" w:color="auto"/>
              <w:left w:val="single" w:sz="4" w:space="0" w:color="auto"/>
              <w:bottom w:val="single" w:sz="4" w:space="0" w:color="auto"/>
            </w:tcBorders>
            <w:vAlign w:val="center"/>
          </w:tcPr>
          <w:p>
            <w:pPr>
              <w:autoSpaceDE w:val="0"/>
              <w:autoSpaceDN w:val="0"/>
              <w:adjustRightInd w:val="0"/>
              <w:ind w:rightChars="40" w:right="84"/>
              <w:jc w:val="right"/>
              <w:rPr>
                <w:rFonts w:asciiTheme="minorEastAsia" w:eastAsiaTheme="minorEastAsia" w:hAnsiTheme="minorEastAsia"/>
              </w:rPr>
            </w:pPr>
            <w:r>
              <w:rPr>
                <w:rFonts w:asciiTheme="minorEastAsia" w:eastAsiaTheme="minorEastAsia" w:hAnsiTheme="minorEastAsia"/>
              </w:rPr>
              <w:t>33.79</w:t>
            </w:r>
          </w:p>
        </w:tc>
      </w:tr>
      <w:tr>
        <w:trPr>
          <w:trHeight w:val="308"/>
        </w:trPr>
        <w:tc>
          <w:tcPr>
            <w:tcW w:w="5977" w:type="dxa"/>
            <w:gridSpan w:val="7"/>
            <w:tcBorders>
              <w:top w:val="single" w:sz="4" w:space="0" w:color="auto"/>
              <w:bottom w:val="single" w:sz="4" w:space="0" w:color="auto"/>
              <w:right w:val="single" w:sz="4" w:space="0" w:color="auto"/>
            </w:tcBorders>
            <w:vAlign w:val="center"/>
          </w:tcPr>
          <w:p>
            <w:pPr>
              <w:pStyle w:val="Style61"/>
              <w:autoSpaceDE w:val="0"/>
              <w:autoSpaceDN w:val="0"/>
              <w:adjustRightInd w:val="0"/>
              <w:rPr>
                <w:rFonts w:ascii="宋体" w:hAnsi="宋体"/>
              </w:rPr>
            </w:pPr>
            <w:r>
              <w:rPr>
                <w:rFonts w:ascii="宋体" w:hAnsi="宋体" w:hint="eastAsia"/>
              </w:rPr>
              <w:t>未到期担保可能承担连带清偿责任说明</w:t>
            </w:r>
          </w:p>
        </w:tc>
        <w:tc>
          <w:tcPr>
            <w:tcW w:w="7956" w:type="dxa"/>
            <w:gridSpan w:val="9"/>
            <w:tcBorders>
              <w:top w:val="single" w:sz="4" w:space="0" w:color="auto"/>
              <w:left w:val="single" w:sz="4" w:space="0" w:color="auto"/>
              <w:bottom w:val="single" w:sz="4" w:space="0" w:color="auto"/>
            </w:tcBorders>
            <w:vAlign w:val="center"/>
          </w:tcPr>
          <w:p>
            <w:pPr>
              <w:autoSpaceDE w:val="0"/>
              <w:autoSpaceDN w:val="0"/>
              <w:adjustRightInd w:val="0"/>
              <w:jc w:val="right"/>
            </w:pPr>
            <w:r>
              <w:rPr>
                <w:rFonts w:hint="eastAsia"/>
              </w:rPr>
              <w:t>无</w:t>
            </w:r>
          </w:p>
        </w:tc>
      </w:tr>
      <w:tr>
        <w:trPr>
          <w:trHeight w:val="308"/>
        </w:trPr>
        <w:tc>
          <w:tcPr>
            <w:tcW w:w="5977" w:type="dxa"/>
            <w:gridSpan w:val="7"/>
            <w:tcBorders>
              <w:top w:val="single" w:sz="4" w:space="0" w:color="auto"/>
              <w:bottom w:val="single" w:sz="4" w:space="0" w:color="auto"/>
              <w:right w:val="single" w:sz="4" w:space="0" w:color="auto"/>
            </w:tcBorders>
            <w:vAlign w:val="center"/>
          </w:tcPr>
          <w:p>
            <w:pPr>
              <w:autoSpaceDE w:val="0"/>
              <w:autoSpaceDN w:val="0"/>
              <w:adjustRightInd w:val="0"/>
            </w:pPr>
            <w:r>
              <w:rPr>
                <w:rFonts w:hint="eastAsia"/>
              </w:rPr>
              <w:lastRenderedPageBreak/>
              <w:t>担保情况说明</w:t>
            </w:r>
          </w:p>
        </w:tc>
        <w:tc>
          <w:tcPr>
            <w:tcW w:w="7956" w:type="dxa"/>
            <w:gridSpan w:val="9"/>
            <w:tcBorders>
              <w:top w:val="single" w:sz="4" w:space="0" w:color="auto"/>
              <w:left w:val="single" w:sz="4" w:space="0" w:color="auto"/>
              <w:bottom w:val="single" w:sz="4" w:space="0" w:color="auto"/>
            </w:tcBorders>
            <w:vAlign w:val="center"/>
          </w:tcPr>
          <w:p>
            <w:pPr>
              <w:autoSpaceDE w:val="0"/>
              <w:autoSpaceDN w:val="0"/>
              <w:adjustRightInd w:val="0"/>
              <w:rPr>
                <w:rFonts w:asciiTheme="minorEastAsia" w:eastAsiaTheme="minorEastAsia" w:hAnsiTheme="minorEastAsia"/>
                <w:bCs/>
              </w:rPr>
            </w:pPr>
            <w:r>
              <w:rPr>
                <w:rFonts w:asciiTheme="minorEastAsia" w:eastAsiaTheme="minorEastAsia" w:hAnsiTheme="minorEastAsia" w:hint="eastAsia"/>
                <w:bCs/>
              </w:rPr>
              <w:t>1.以前期间发生并延续至本报告期的对外担保情况</w:t>
            </w:r>
          </w:p>
          <w:p>
            <w:pPr>
              <w:autoSpaceDE w:val="0"/>
              <w:autoSpaceDN w:val="0"/>
              <w:adjustRightInd w:val="0"/>
              <w:rPr>
                <w:rFonts w:asciiTheme="minorEastAsia" w:eastAsiaTheme="minorEastAsia" w:hAnsiTheme="minorEastAsia"/>
                <w:bCs/>
              </w:rPr>
            </w:pPr>
            <w:r>
              <w:rPr>
                <w:rFonts w:asciiTheme="minorEastAsia" w:eastAsiaTheme="minorEastAsia" w:hAnsiTheme="minorEastAsia" w:hint="eastAsia"/>
                <w:bCs/>
              </w:rPr>
              <w:t>经2021年度第一次临时股东大会审议批准，未来能源为陕西靖神铁路有限责任公司提供4亿元担保。截至2025年12月31日，上述担保余额为2.74亿元。</w:t>
            </w:r>
          </w:p>
          <w:p>
            <w:pPr>
              <w:autoSpaceDE w:val="0"/>
              <w:autoSpaceDN w:val="0"/>
              <w:adjustRightInd w:val="0"/>
              <w:rPr>
                <w:rFonts w:asciiTheme="minorEastAsia" w:eastAsiaTheme="minorEastAsia" w:hAnsiTheme="minorEastAsia"/>
                <w:bCs/>
              </w:rPr>
            </w:pPr>
            <w:r>
              <w:rPr>
                <w:rFonts w:asciiTheme="minorEastAsia" w:eastAsiaTheme="minorEastAsia" w:hAnsiTheme="minorEastAsia" w:hint="eastAsia"/>
                <w:bCs/>
              </w:rPr>
              <w:t>经2021年度股东周年大会审议批准，公司为烟台金正环保科技有限公司提供1.37亿元担保。</w:t>
            </w:r>
          </w:p>
          <w:p>
            <w:pPr>
              <w:autoSpaceDE w:val="0"/>
              <w:autoSpaceDN w:val="0"/>
              <w:adjustRightInd w:val="0"/>
              <w:rPr>
                <w:rFonts w:asciiTheme="minorEastAsia" w:eastAsiaTheme="minorEastAsia" w:hAnsiTheme="minorEastAsia"/>
                <w:bCs/>
              </w:rPr>
            </w:pPr>
            <w:r>
              <w:rPr>
                <w:rFonts w:asciiTheme="minorEastAsia" w:eastAsiaTheme="minorEastAsia" w:hAnsiTheme="minorEastAsia" w:hint="eastAsia"/>
                <w:bCs/>
              </w:rPr>
              <w:t>经2023年度股东周年大会审议批准，鲁西矿业为全资子公司山东李楼煤业有限公司提供2亿元担保。截至2025年12月31日，上述担保余额为1.28亿元。</w:t>
            </w:r>
          </w:p>
          <w:p>
            <w:pPr>
              <w:autoSpaceDE w:val="0"/>
              <w:autoSpaceDN w:val="0"/>
              <w:adjustRightInd w:val="0"/>
              <w:rPr>
                <w:rFonts w:asciiTheme="minorEastAsia" w:eastAsiaTheme="minorEastAsia" w:hAnsiTheme="minorEastAsia"/>
                <w:bCs/>
              </w:rPr>
            </w:pPr>
            <w:r>
              <w:rPr>
                <w:rFonts w:asciiTheme="minorEastAsia" w:eastAsiaTheme="minorEastAsia" w:hAnsiTheme="minorEastAsia" w:hint="eastAsia"/>
                <w:bCs/>
              </w:rPr>
              <w:t>经2024年度第一次临时股东大会审议批准，公司延续为金正环保提供因转让其股权而被动形成的对外担保1.37亿元。截至2025年12月31日，上述担保余额为0.77亿元。</w:t>
            </w:r>
          </w:p>
          <w:p>
            <w:pPr>
              <w:autoSpaceDE w:val="0"/>
              <w:autoSpaceDN w:val="0"/>
              <w:adjustRightInd w:val="0"/>
              <w:rPr>
                <w:rFonts w:asciiTheme="minorEastAsia" w:eastAsiaTheme="minorEastAsia" w:hAnsiTheme="minorEastAsia"/>
                <w:bCs/>
              </w:rPr>
            </w:pPr>
            <w:r>
              <w:rPr>
                <w:rFonts w:asciiTheme="minorEastAsia" w:eastAsiaTheme="minorEastAsia" w:hAnsiTheme="minorEastAsia" w:hint="eastAsia"/>
                <w:bCs/>
              </w:rPr>
              <w:t>截至2025年12月31日，兖煤澳洲及其子公司因经营必需共有履约押金和保函11.503亿澳元。</w:t>
            </w:r>
          </w:p>
          <w:p>
            <w:pPr>
              <w:autoSpaceDE w:val="0"/>
              <w:autoSpaceDN w:val="0"/>
              <w:adjustRightInd w:val="0"/>
              <w:rPr>
                <w:rFonts w:asciiTheme="minorEastAsia" w:eastAsiaTheme="minorEastAsia" w:hAnsiTheme="minorEastAsia"/>
                <w:bCs/>
              </w:rPr>
            </w:pPr>
            <w:r>
              <w:rPr>
                <w:rFonts w:asciiTheme="minorEastAsia" w:eastAsiaTheme="minorEastAsia" w:hAnsiTheme="minorEastAsia" w:hint="eastAsia"/>
                <w:bCs/>
              </w:rPr>
              <w:t>2.报告期内发生的担保情况</w:t>
            </w:r>
          </w:p>
          <w:p>
            <w:pPr>
              <w:autoSpaceDE w:val="0"/>
              <w:autoSpaceDN w:val="0"/>
              <w:adjustRightInd w:val="0"/>
              <w:rPr>
                <w:rFonts w:asciiTheme="minorEastAsia" w:eastAsiaTheme="minorEastAsia" w:hAnsiTheme="minorEastAsia"/>
                <w:bCs/>
              </w:rPr>
            </w:pPr>
            <w:r>
              <w:rPr>
                <w:rFonts w:asciiTheme="minorEastAsia" w:eastAsiaTheme="minorEastAsia" w:hAnsiTheme="minorEastAsia" w:hint="eastAsia"/>
                <w:bCs/>
              </w:rPr>
              <w:t>经2023年度股东周年大会审议批准，公司为兖矿瑞丰国际贸易有限公司提供0.5亿元担保。2025年4月8日和2025年4月21日，新疆能化为全资子公司新汶矿业集团（伊犁）能源开发有限责任公司分别提供6亿元和14亿元担保。截至2025年12月31日，上述担保余额为5.7亿元和13.2亿元。</w:t>
            </w:r>
          </w:p>
          <w:p>
            <w:pPr>
              <w:autoSpaceDE w:val="0"/>
              <w:autoSpaceDN w:val="0"/>
              <w:adjustRightInd w:val="0"/>
            </w:pPr>
            <w:r>
              <w:rPr>
                <w:rFonts w:asciiTheme="minorEastAsia" w:eastAsiaTheme="minorEastAsia" w:hAnsiTheme="minorEastAsia" w:hint="eastAsia"/>
                <w:bCs/>
              </w:rPr>
              <w:t>经2024年度股东周年大会审议批准，兖煤澳洲及其子公司每年向兖矿能源澳洲附属公司提供不超过15亿澳元日常经营担保。报告期内，兖煤澳洲及其子公司因经营必需共发生履约押金和保函6.226亿澳元。</w:t>
            </w:r>
          </w:p>
        </w:tc>
      </w:tr>
    </w:tbl>
    <w:p>
      <w:pPr>
        <w:pStyle w:val="Style49"/>
        <w:ind w:firstLineChars="200" w:firstLine="420"/>
        <w:rPr>
          <w:rFonts w:asciiTheme="minorEastAsia" w:eastAsiaTheme="minorEastAsia" w:hAnsiTheme="minorEastAsia"/>
        </w:rPr>
        <w:sectPr>
          <w:pgSz w:w="16838" w:h="11906" w:orient="landscape"/>
          <w:pgMar w:top="1797" w:right="1525" w:bottom="1276" w:left="1440" w:header="855" w:footer="992" w:gutter="0"/>
          <w:cols w:space="425"/>
          <w:docGrid w:linePitch="312"/>
        </w:sectPr>
      </w:pPr>
      <w:bookmarkStart w:id="235" w:name="_Hlk224749163"/>
      <w:bookmarkEnd w:id="234"/>
      <w:r>
        <w:rPr>
          <w:rFonts w:asciiTheme="minorEastAsia" w:eastAsiaTheme="minorEastAsia" w:hAnsiTheme="minorEastAsia" w:hint="eastAsia"/>
        </w:rPr>
        <w:t>注：上表乃按中国会计准则编制，并按照1澳元=</w:t>
      </w:r>
      <w:r>
        <w:rPr>
          <w:rFonts w:asciiTheme="minorEastAsia" w:eastAsiaTheme="minorEastAsia" w:hAnsiTheme="minorEastAsia"/>
        </w:rPr>
        <w:t>4.6892</w:t>
      </w:r>
      <w:r>
        <w:rPr>
          <w:rFonts w:asciiTheme="minorEastAsia" w:eastAsiaTheme="minorEastAsia" w:hAnsiTheme="minorEastAsia" w:hint="eastAsia"/>
        </w:rPr>
        <w:t>元人民币汇率进行计算。除上述披露外，公司不存在报告期内履行的及尚未履行完毕的担保合同</w:t>
      </w:r>
      <w:bookmarkEnd w:id="235"/>
    </w:p>
    <w:p>
      <w:pPr>
        <w:rPr>
          <w:rFonts w:asciiTheme="minorEastAsia" w:eastAsiaTheme="minorEastAsia" w:hAnsiTheme="minorEastAsia"/>
        </w:rPr>
      </w:pPr>
    </w:p>
    <w:p>
      <w:pPr>
        <w:pStyle w:val="Style52"/>
        <w:numPr>
          <w:ilvl w:val="0"/>
          <w:numId w:val="44"/>
        </w:numPr>
        <w:rPr>
          <w:szCs w:val="21"/>
        </w:rPr>
      </w:pPr>
      <w:r>
        <w:rPr>
          <w:szCs w:val="21"/>
        </w:rPr>
        <w:t>委托他人进行现金资产管理的情况</w:t>
      </w:r>
    </w:p>
    <w:p>
      <w:pPr>
        <w:pStyle w:val="Style53"/>
        <w:numPr>
          <w:ilvl w:val="0"/>
          <w:numId w:val="46"/>
        </w:numPr>
      </w:pPr>
      <w:r>
        <w:rPr>
          <w:rFonts w:hint="eastAsia"/>
        </w:rPr>
        <w:t>委托理财情况</w:t>
      </w:r>
    </w:p>
    <w:p>
      <w:pPr>
        <w:pStyle w:val="Style54"/>
        <w:numPr>
          <w:ilvl w:val="0"/>
          <w:numId w:val="47"/>
        </w:numPr>
        <w:ind w:leftChars="0" w:left="357" w:hanging="357"/>
      </w:pPr>
      <w:r>
        <w:t>委托理财总体情况</w:t>
      </w:r>
    </w:p>
    <w:sdt>
      <w:sdtPr>
        <w:rPr>
          <w:rFonts w:hint="eastAsia"/>
        </w:rPr>
        <w:alias w:val="是否适用：委托理财总体情况[双击切换]"/>
        <w:tag w:val="_GBC_939edce711f74cc3bede852019388a3e"/>
        <w:id w:val="196216905"/>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rPr>
          <w:bCs/>
        </w:rPr>
      </w:pPr>
      <w:r>
        <w:rPr>
          <w:rFonts w:hint="eastAsia"/>
          <w:bCs/>
        </w:rPr>
        <w:t>其他情况</w:t>
      </w:r>
    </w:p>
    <w:sdt>
      <w:sdtPr>
        <w:rPr>
          <w:rFonts w:hint="eastAsia"/>
        </w:rPr>
        <w:alias w:val="是否适用：委托理财总体其他情况[双击切换]"/>
        <w:tag w:val="_GBC_4fb72032e5bd4642bf5eb2d83d5ca874"/>
        <w:id w:val="40188045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4"/>
        <w:numPr>
          <w:ilvl w:val="0"/>
          <w:numId w:val="47"/>
        </w:numPr>
        <w:ind w:leftChars="0" w:left="357" w:hanging="357"/>
      </w:pPr>
      <w:r>
        <w:t>单项委托理财情况</w:t>
      </w:r>
    </w:p>
    <w:sdt>
      <w:sdtPr>
        <w:rPr>
          <w:rFonts w:hint="eastAsia"/>
        </w:rPr>
        <w:alias w:val="是否适用：单项委托理财情况[双击切换]"/>
        <w:tag w:val="_GBC_049960b74e79480d8781c2d7d6a997dc"/>
        <w:id w:val="581109464"/>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rPr>
          <w:bCs/>
        </w:rPr>
      </w:pPr>
      <w:r>
        <w:rPr>
          <w:rFonts w:hint="eastAsia"/>
          <w:bCs/>
        </w:rPr>
        <w:t>其他情况</w:t>
      </w:r>
    </w:p>
    <w:sdt>
      <w:sdtPr>
        <w:rPr>
          <w:rFonts w:hint="eastAsia"/>
        </w:rPr>
        <w:alias w:val="是否适用：单项委托理财其他情况[双击切换]"/>
        <w:tag w:val="_GBC_627c77e5ab674442a3b768741f653602"/>
        <w:id w:val="-976603197"/>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4"/>
        <w:numPr>
          <w:ilvl w:val="0"/>
          <w:numId w:val="47"/>
        </w:numPr>
        <w:ind w:leftChars="0" w:left="357" w:hanging="357"/>
      </w:pPr>
      <w:r>
        <w:t>委托理财减值准备</w:t>
      </w:r>
    </w:p>
    <w:sdt>
      <w:sdtPr>
        <w:rPr>
          <w:rFonts w:hint="eastAsia"/>
        </w:rPr>
        <w:alias w:val="是否适用：委托理财减值准备[双击切换]"/>
        <w:tag w:val="_GBC_8db4f6600a6746739610ffaaa34abeac"/>
        <w:id w:val="-183644111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3"/>
        <w:numPr>
          <w:ilvl w:val="0"/>
          <w:numId w:val="46"/>
        </w:numPr>
      </w:pPr>
      <w:r>
        <w:rPr>
          <w:rFonts w:hint="eastAsia"/>
        </w:rPr>
        <w:t>委托贷款情况</w:t>
      </w:r>
    </w:p>
    <w:p>
      <w:pPr>
        <w:pStyle w:val="Style54"/>
        <w:numPr>
          <w:ilvl w:val="0"/>
          <w:numId w:val="48"/>
        </w:numPr>
        <w:ind w:leftChars="0"/>
        <w:rPr>
          <w:rFonts w:ascii="宋体" w:hAnsi="宋体" w:cs="宋体"/>
          <w:kern w:val="0"/>
          <w:szCs w:val="24"/>
        </w:rPr>
      </w:pPr>
      <w:r>
        <w:rPr>
          <w:rFonts w:ascii="宋体" w:hAnsi="宋体" w:cs="宋体"/>
          <w:kern w:val="0"/>
          <w:szCs w:val="24"/>
        </w:rPr>
        <w:t>委托贷款总体情况</w:t>
      </w:r>
    </w:p>
    <w:sdt>
      <w:sdtPr>
        <w:rPr>
          <w:rFonts w:hint="eastAsia"/>
        </w:rPr>
        <w:alias w:val="是否适用：委托贷款总体情况[双击切换]"/>
        <w:tag w:val="_GBC_6f663504a9e74d5c978e23554b4b84e4"/>
        <w:id w:val="-5987142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rPr>
          <w:bCs/>
        </w:rPr>
      </w:pPr>
      <w:r>
        <w:rPr>
          <w:rFonts w:hint="eastAsia"/>
          <w:bCs/>
        </w:rPr>
        <w:t>其他情况</w:t>
      </w:r>
    </w:p>
    <w:sdt>
      <w:sdtPr>
        <w:rPr>
          <w:rFonts w:hint="eastAsia"/>
        </w:rPr>
        <w:alias w:val="是否适用：委托贷款总体其他情况[双击切换]"/>
        <w:tag w:val="_GBC_a071e3ce40374c6bb1b2f2dc2158413e"/>
        <w:id w:val="-1804449320"/>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4"/>
        <w:numPr>
          <w:ilvl w:val="0"/>
          <w:numId w:val="48"/>
        </w:numPr>
        <w:ind w:leftChars="0"/>
        <w:rPr>
          <w:rFonts w:ascii="宋体" w:hAnsi="宋体" w:cs="宋体"/>
          <w:kern w:val="0"/>
          <w:szCs w:val="24"/>
        </w:rPr>
      </w:pPr>
      <w:r>
        <w:rPr>
          <w:rFonts w:ascii="宋体" w:hAnsi="宋体" w:cs="宋体"/>
          <w:kern w:val="0"/>
          <w:szCs w:val="24"/>
        </w:rPr>
        <w:t>单项委托贷款情况</w:t>
      </w:r>
    </w:p>
    <w:sdt>
      <w:sdtPr>
        <w:rPr>
          <w:rFonts w:hint="eastAsia"/>
        </w:rPr>
        <w:alias w:val="是否适用：单项委托贷款情况[双击切换]"/>
        <w:tag w:val="_GBC_30b7c4837f704dff80c05190f23d6f3e"/>
        <w:id w:val="1085814053"/>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rPr>
          <w:bCs/>
        </w:rPr>
      </w:pPr>
      <w:r>
        <w:rPr>
          <w:rFonts w:hint="eastAsia"/>
          <w:bCs/>
        </w:rPr>
        <w:t>其他情况</w:t>
      </w:r>
    </w:p>
    <w:sdt>
      <w:sdtPr>
        <w:rPr>
          <w:rFonts w:hint="eastAsia"/>
        </w:rPr>
        <w:alias w:val="是否适用：单项委托贷款其他情况[双击切换]"/>
        <w:tag w:val="_GBC_7fbd63dcaf8a4899bcd830951796a261"/>
        <w:id w:val="56530466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4"/>
        <w:numPr>
          <w:ilvl w:val="0"/>
          <w:numId w:val="48"/>
        </w:numPr>
        <w:ind w:leftChars="0"/>
        <w:rPr>
          <w:rFonts w:ascii="宋体" w:hAnsi="宋体" w:cs="宋体"/>
          <w:kern w:val="0"/>
          <w:szCs w:val="24"/>
        </w:rPr>
      </w:pPr>
      <w:r>
        <w:rPr>
          <w:rFonts w:ascii="宋体" w:hAnsi="宋体" w:cs="宋体"/>
          <w:kern w:val="0"/>
          <w:szCs w:val="24"/>
        </w:rPr>
        <w:t>委托贷款减值准备</w:t>
      </w:r>
    </w:p>
    <w:sdt>
      <w:sdtPr>
        <w:rPr>
          <w:rFonts w:hint="eastAsia"/>
        </w:rPr>
        <w:alias w:val="是否适用：委托贷款减值准备[双击切换]"/>
        <w:tag w:val="_GBC_72dc10eff44f4851bd80447a1199a033"/>
        <w:id w:val="908735259"/>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p>
      <w:pPr>
        <w:pStyle w:val="Style53"/>
        <w:numPr>
          <w:ilvl w:val="0"/>
          <w:numId w:val="46"/>
        </w:numPr>
      </w:pPr>
      <w:r>
        <w:rPr>
          <w:rFonts w:hint="eastAsia"/>
        </w:rPr>
        <w:t>其他情况</w:t>
      </w:r>
    </w:p>
    <w:sdt>
      <w:sdtPr>
        <w:rPr>
          <w:rFonts w:hint="eastAsia"/>
        </w:rPr>
        <w:alias w:val="是否适用：委托他人进行现金资产管理的其他情况[双击切换]"/>
        <w:tag w:val="_GBC_c408f1ecbaff4ed08e4dcfbbac8e0ccd"/>
        <w:id w:val="-270482592"/>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49"/>
      </w:pPr>
    </w:p>
    <w:bookmarkEnd w:id="229"/>
    <w:p>
      <w:pPr>
        <w:pStyle w:val="Style52"/>
        <w:numPr>
          <w:ilvl w:val="0"/>
          <w:numId w:val="44"/>
        </w:numPr>
        <w:rPr>
          <w:szCs w:val="21"/>
        </w:rPr>
      </w:pPr>
      <w:r>
        <w:rPr>
          <w:szCs w:val="21"/>
        </w:rPr>
        <w:t>其他重大合同</w:t>
      </w:r>
    </w:p>
    <w:sdt>
      <w:sdtPr>
        <w:rPr>
          <w:rFonts w:hint="eastAsia"/>
        </w:rPr>
        <w:alias w:val="是否适用：其他重大合同[双击切换]"/>
        <w:tag w:val="_GBC_541dd80939ae4bafb641675f942c4c14"/>
        <w:id w:val="-1558859845"/>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b/>
          <w:bCs/>
        </w:rPr>
      </w:pPr>
      <w:r>
        <w:rPr>
          <w:rFonts w:hint="eastAsia"/>
          <w:b/>
          <w:bCs/>
        </w:rPr>
        <w:t>（五）其他重大事项</w:t>
      </w:r>
    </w:p>
    <w:p>
      <w:pPr>
        <w:ind w:firstLineChars="200" w:firstLine="422"/>
        <w:jc w:val="both"/>
        <w:rPr>
          <w:rFonts w:ascii="宋体" w:hAnsi="宋体"/>
          <w:b/>
          <w:bCs/>
        </w:rPr>
      </w:pPr>
    </w:p>
    <w:p>
      <w:pPr>
        <w:ind w:firstLineChars="200" w:firstLine="422"/>
        <w:jc w:val="both"/>
        <w:rPr>
          <w:rFonts w:ascii="宋体" w:hAnsi="宋体"/>
          <w:bCs/>
        </w:rPr>
      </w:pPr>
      <w:r>
        <w:rPr>
          <w:rFonts w:ascii="宋体" w:hAnsi="宋体" w:hint="eastAsia"/>
          <w:b/>
        </w:rPr>
        <w:t>昊盛煤业增资事项</w:t>
      </w:r>
    </w:p>
    <w:p>
      <w:pPr>
        <w:ind w:firstLineChars="200" w:firstLine="420"/>
        <w:jc w:val="both"/>
        <w:rPr>
          <w:rFonts w:ascii="宋体" w:hAnsi="宋体"/>
          <w:bCs/>
        </w:rPr>
      </w:pPr>
      <w:r>
        <w:rPr>
          <w:rFonts w:ascii="宋体" w:hAnsi="宋体" w:hint="eastAsia"/>
          <w:bCs/>
        </w:rPr>
        <w:t>经公司总经理办公会审议批准，昊盛煤业拟通过在山东产权交易中心公开挂牌的方式征集配置石拉乌素井田煤炭资源的主体对其增资。本次增资拟挂牌底价为214,732万元，其中46,533.82</w:t>
      </w:r>
      <w:r>
        <w:rPr>
          <w:rFonts w:ascii="宋体" w:hAnsi="宋体" w:hint="eastAsia"/>
          <w:bCs/>
        </w:rPr>
        <w:lastRenderedPageBreak/>
        <w:t>万元计入昊盛煤业注册资本，其余168,198.18万元计入资本公积。配置石拉乌素井田煤炭资源的主体通过本次增资全部入股昊盛煤业后，公司持股昊盛煤业42.64%，为第一大股东并合并财务报表。</w:t>
      </w:r>
    </w:p>
    <w:p>
      <w:pPr>
        <w:ind w:firstLineChars="200" w:firstLine="420"/>
        <w:jc w:val="both"/>
        <w:rPr>
          <w:rFonts w:ascii="宋体" w:hAnsi="宋体"/>
          <w:bCs/>
        </w:rPr>
      </w:pPr>
      <w:r>
        <w:rPr>
          <w:rFonts w:ascii="宋体" w:hAnsi="宋体" w:hint="eastAsia"/>
          <w:bCs/>
        </w:rPr>
        <w:t>截至本报告披露日，上述增资事项已完成工商变更程序。</w:t>
      </w:r>
    </w:p>
    <w:p>
      <w:pPr>
        <w:ind w:firstLineChars="200" w:firstLine="420"/>
        <w:jc w:val="both"/>
        <w:rPr>
          <w:rFonts w:ascii="宋体" w:hAnsi="宋体"/>
        </w:rPr>
      </w:pPr>
    </w:p>
    <w:p>
      <w:pPr>
        <w:ind w:firstLineChars="200" w:firstLine="422"/>
        <w:jc w:val="both"/>
        <w:rPr>
          <w:rFonts w:ascii="宋体" w:hAnsi="宋体"/>
          <w:b/>
          <w:bCs/>
        </w:rPr>
      </w:pPr>
      <w:r>
        <w:rPr>
          <w:rFonts w:ascii="宋体" w:hAnsi="宋体" w:hint="eastAsia"/>
          <w:b/>
          <w:bCs/>
        </w:rPr>
        <w:t>收购莫拉本煤矿股权</w:t>
      </w:r>
    </w:p>
    <w:p>
      <w:pPr>
        <w:ind w:firstLineChars="200" w:firstLine="420"/>
        <w:jc w:val="both"/>
        <w:rPr>
          <w:rFonts w:ascii="宋体" w:hAnsi="宋体"/>
        </w:rPr>
      </w:pPr>
      <w:r>
        <w:rPr>
          <w:rFonts w:ascii="宋体" w:hAnsi="宋体" w:hint="eastAsia"/>
        </w:rPr>
        <w:t>经公司总经理办公会审议批准，公司控股子公司兖煤澳洲以不超过1.105亿澳元的价格收购韩国电力集团所持莫拉本煤矿3.75%股权，交易完成后兖煤澳洲持有莫拉本煤矿98.75%股权。</w:t>
      </w:r>
    </w:p>
    <w:p>
      <w:pPr>
        <w:ind w:firstLineChars="200" w:firstLine="420"/>
        <w:jc w:val="both"/>
        <w:rPr>
          <w:rFonts w:ascii="宋体" w:hAnsi="宋体"/>
        </w:rPr>
      </w:pPr>
      <w:r>
        <w:rPr>
          <w:rFonts w:ascii="宋体" w:hAnsi="宋体" w:hint="eastAsia"/>
        </w:rPr>
        <w:t>截至本报告披露日，上述交易已完成股权交割及工商变更程序。</w:t>
      </w:r>
    </w:p>
    <w:p>
      <w:pPr>
        <w:ind w:firstLineChars="200" w:firstLine="420"/>
        <w:rPr>
          <w:rFonts w:ascii="宋体" w:hAnsi="宋体"/>
        </w:rPr>
      </w:pPr>
    </w:p>
    <w:p>
      <w:pPr>
        <w:ind w:firstLineChars="200" w:firstLine="422"/>
        <w:jc w:val="both"/>
        <w:rPr>
          <w:rFonts w:ascii="宋体" w:hAnsi="宋体"/>
          <w:b/>
        </w:rPr>
      </w:pPr>
      <w:r>
        <w:rPr>
          <w:rFonts w:ascii="宋体" w:hAnsi="宋体" w:hint="eastAsia"/>
          <w:b/>
        </w:rPr>
        <w:t>控股股东部分股份解除质押</w:t>
      </w:r>
    </w:p>
    <w:p>
      <w:pPr>
        <w:ind w:firstLineChars="200" w:firstLine="420"/>
        <w:jc w:val="both"/>
        <w:rPr>
          <w:rFonts w:ascii="宋体" w:hAnsi="宋体"/>
          <w:bCs/>
        </w:rPr>
      </w:pPr>
      <w:r>
        <w:rPr>
          <w:rFonts w:ascii="宋体" w:hAnsi="宋体" w:hint="eastAsia"/>
          <w:bCs/>
        </w:rPr>
        <w:t>2022年4月11日，山东能源质押了部分公司A股股份，为其可交换公司债券换股和本息偿付提供担保。2025年5月9日山东能源通过质押专户持有的公司209,803,279股A股股份全部解除质押。</w:t>
      </w:r>
    </w:p>
    <w:p>
      <w:pPr>
        <w:ind w:firstLineChars="200" w:firstLine="420"/>
        <w:jc w:val="both"/>
        <w:rPr>
          <w:rFonts w:ascii="宋体" w:hAnsi="宋体"/>
          <w:bCs/>
        </w:rPr>
      </w:pPr>
      <w:r>
        <w:rPr>
          <w:rFonts w:ascii="宋体" w:hAnsi="宋体" w:hint="eastAsia"/>
          <w:bCs/>
        </w:rPr>
        <w:t>有关详情请见公司日期为2025年5月12日的关于控股股东部分股份解除质押的公告，该等资料刊载于上交所网站、香港联交所网站、公司网站及/或《中国证券报》《上海证券报》《证券时报》《证券日报》</w:t>
      </w:r>
    </w:p>
    <w:p>
      <w:pPr>
        <w:ind w:firstLineChars="200" w:firstLine="420"/>
        <w:jc w:val="both"/>
        <w:rPr>
          <w:rFonts w:ascii="宋体" w:hAnsi="宋体"/>
        </w:rPr>
      </w:pPr>
    </w:p>
    <w:p>
      <w:pPr>
        <w:ind w:firstLineChars="200" w:firstLine="422"/>
        <w:jc w:val="both"/>
        <w:rPr>
          <w:rFonts w:ascii="宋体" w:hAnsi="宋体"/>
          <w:b/>
          <w:bCs/>
        </w:rPr>
      </w:pPr>
      <w:r>
        <w:rPr>
          <w:rFonts w:ascii="宋体" w:hAnsi="宋体" w:hint="eastAsia"/>
          <w:b/>
          <w:bCs/>
        </w:rPr>
        <w:t>终止并购高地资源</w:t>
      </w:r>
    </w:p>
    <w:p>
      <w:pPr>
        <w:ind w:firstLineChars="200" w:firstLine="420"/>
        <w:jc w:val="both"/>
        <w:rPr>
          <w:rFonts w:ascii="宋体" w:hAnsi="宋体"/>
        </w:rPr>
      </w:pPr>
      <w:r>
        <w:rPr>
          <w:rFonts w:ascii="宋体" w:hAnsi="宋体" w:hint="eastAsia"/>
        </w:rPr>
        <w:t>经公司总经理办公会审议批准，2024年9月23日，公司与Highfield Resources Limited（“高地资源”）签署《实施协议》及《股份认购协议》（合称“原协议”），拟通过资产注入及现金出资方式认购高地资源定向增发的股份，成为高地资源第一大股东并取得控制权。</w:t>
      </w:r>
    </w:p>
    <w:p>
      <w:pPr>
        <w:ind w:firstLineChars="200" w:firstLine="420"/>
        <w:jc w:val="both"/>
        <w:rPr>
          <w:rFonts w:ascii="宋体" w:hAnsi="宋体"/>
        </w:rPr>
      </w:pPr>
      <w:r>
        <w:rPr>
          <w:rFonts w:ascii="宋体" w:hAnsi="宋体" w:hint="eastAsia"/>
        </w:rPr>
        <w:t>2025年9月，因原协议约定的先决条件未能在最后截止日当日或之前全部满足或被豁免，公司向高地资源发出了终止原协议的书面通知。书面通知发出后，原协议立即终止。</w:t>
      </w:r>
    </w:p>
    <w:p>
      <w:pPr>
        <w:ind w:firstLineChars="200" w:firstLine="420"/>
        <w:jc w:val="both"/>
        <w:rPr>
          <w:rFonts w:ascii="宋体" w:hAnsi="宋体"/>
        </w:rPr>
      </w:pPr>
      <w:r>
        <w:rPr>
          <w:rFonts w:ascii="宋体" w:hAnsi="宋体" w:hint="eastAsia"/>
        </w:rPr>
        <w:t>下一步，兖矿能源将从维护公司整体利益出发，按照市场化原则推动加拿大钾矿开发项目后续工作。</w:t>
      </w:r>
    </w:p>
    <w:p>
      <w:pPr>
        <w:ind w:firstLineChars="200" w:firstLine="420"/>
        <w:jc w:val="both"/>
        <w:rPr>
          <w:rFonts w:ascii="宋体" w:hAnsi="宋体"/>
        </w:rPr>
      </w:pPr>
      <w:r>
        <w:rPr>
          <w:rFonts w:ascii="宋体" w:hAnsi="宋体" w:hint="eastAsia"/>
        </w:rPr>
        <w:t>有关详情请见公司日期为2024年7月19日的关于筹划与高地资源战略合作的公告，日期为2024年9月23日的关于并购高地资源的公告，</w:t>
      </w:r>
      <w:bookmarkStart w:id="236" w:name="_Hlk223369729"/>
      <w:r>
        <w:rPr>
          <w:rFonts w:ascii="宋体" w:hAnsi="宋体" w:hint="eastAsia"/>
        </w:rPr>
        <w:t>日期为2025年5月12日的关于并购高地资源的进展公告、日期为2025年8月18日的关于并购高地资源的最新资料以及日期为2025年9月15日的关于终止并购高地资源的公告</w:t>
      </w:r>
      <w:bookmarkEnd w:id="236"/>
      <w:r>
        <w:rPr>
          <w:rFonts w:ascii="宋体" w:hAnsi="宋体" w:hint="eastAsia"/>
        </w:rPr>
        <w:t>，该等资料刊载于上交所网站、香港联交所网站、公司网站及/或《中国证券报》《上海证券报》《证券时报》《证券日报》。</w:t>
      </w:r>
    </w:p>
    <w:p>
      <w:pPr>
        <w:rPr>
          <w:rFonts w:ascii="宋体" w:hAnsi="宋体"/>
          <w:b/>
          <w:bCs/>
        </w:rPr>
      </w:pPr>
    </w:p>
    <w:p>
      <w:pPr>
        <w:ind w:firstLineChars="200" w:firstLine="422"/>
        <w:rPr>
          <w:rFonts w:ascii="宋体" w:hAnsi="宋体"/>
          <w:b/>
          <w:bCs/>
        </w:rPr>
      </w:pPr>
      <w:r>
        <w:rPr>
          <w:rFonts w:ascii="宋体" w:hAnsi="宋体" w:hint="eastAsia"/>
          <w:b/>
          <w:bCs/>
        </w:rPr>
        <w:t>卡松科技获准于新三板挂牌</w:t>
      </w:r>
    </w:p>
    <w:p>
      <w:pPr>
        <w:ind w:firstLineChars="200" w:firstLine="420"/>
        <w:jc w:val="both"/>
        <w:rPr>
          <w:rFonts w:ascii="宋体" w:hAnsi="宋体"/>
        </w:rPr>
      </w:pPr>
      <w:bookmarkStart w:id="237" w:name="OLE_LINK20"/>
      <w:r>
        <w:rPr>
          <w:rFonts w:ascii="宋体" w:hAnsi="宋体" w:hint="eastAsia"/>
        </w:rPr>
        <w:t>经公司总经理办公会审议批准，</w:t>
      </w:r>
      <w:bookmarkEnd w:id="237"/>
      <w:r>
        <w:rPr>
          <w:rFonts w:ascii="宋体" w:hAnsi="宋体" w:hint="eastAsia"/>
        </w:rPr>
        <w:t>2025年9月22日本公司控股附属公司卡松科技股份有限公司（“卡松科技”）向全国中小企业股份转让系统（“新三板”）提交挂牌申请。卡松科技于新三板挂牌后，本公司所持有卡松科技的股权份额不变，卡松科技仍为本公司的控股附属公司。</w:t>
      </w:r>
    </w:p>
    <w:p>
      <w:pPr>
        <w:ind w:firstLineChars="200" w:firstLine="420"/>
        <w:jc w:val="both"/>
        <w:rPr>
          <w:rFonts w:ascii="宋体" w:hAnsi="宋体"/>
        </w:rPr>
      </w:pPr>
      <w:r>
        <w:rPr>
          <w:rFonts w:ascii="宋体" w:hAnsi="宋体" w:hint="eastAsia"/>
        </w:rPr>
        <w:t>截至本报告披露日，卡松科技已获准于新三板挂牌。</w:t>
      </w:r>
    </w:p>
    <w:p>
      <w:pPr>
        <w:ind w:firstLineChars="200" w:firstLine="420"/>
        <w:jc w:val="both"/>
        <w:rPr>
          <w:rFonts w:ascii="宋体" w:hAnsi="宋体"/>
        </w:rPr>
      </w:pPr>
      <w:r>
        <w:rPr>
          <w:rFonts w:ascii="宋体" w:hAnsi="宋体" w:hint="eastAsia"/>
        </w:rPr>
        <w:t>有关详情请见公司日期为2025年9月22日的建议分拆卡松科技于全国中小企业股份转让系统挂牌的公告</w:t>
      </w:r>
      <w:bookmarkStart w:id="238" w:name="_Hlk224665711"/>
      <w:r>
        <w:rPr>
          <w:rFonts w:ascii="宋体" w:hAnsi="宋体" w:hint="eastAsia"/>
        </w:rPr>
        <w:t>以及2026年2月13日的建议分拆卡松科技于全国中小企业股份转让系统挂牌之进展公告</w:t>
      </w:r>
      <w:bookmarkEnd w:id="238"/>
      <w:r>
        <w:rPr>
          <w:rFonts w:ascii="宋体" w:hAnsi="宋体" w:hint="eastAsia"/>
        </w:rPr>
        <w:t>，该等资料刊载于上交所网站、香港联交所网站、公司网站及/或《中国证券报》《上海证券报》《证券时报》《证券日报》。</w:t>
      </w:r>
    </w:p>
    <w:p>
      <w:pPr>
        <w:ind w:firstLineChars="200" w:firstLine="420"/>
        <w:jc w:val="both"/>
        <w:rPr>
          <w:rFonts w:ascii="宋体" w:hAnsi="宋体"/>
        </w:rPr>
      </w:pPr>
    </w:p>
    <w:p>
      <w:pPr>
        <w:ind w:firstLineChars="200" w:firstLine="422"/>
        <w:rPr>
          <w:rFonts w:ascii="宋体" w:hAnsi="宋体"/>
          <w:b/>
          <w:bCs/>
        </w:rPr>
      </w:pPr>
      <w:r>
        <w:rPr>
          <w:rFonts w:ascii="宋体" w:hAnsi="宋体" w:hint="eastAsia"/>
          <w:b/>
          <w:bCs/>
        </w:rPr>
        <w:t>物泊科技分拆上市</w:t>
      </w:r>
    </w:p>
    <w:p>
      <w:pPr>
        <w:ind w:firstLineChars="200" w:firstLine="420"/>
        <w:jc w:val="both"/>
        <w:rPr>
          <w:rFonts w:ascii="宋体" w:hAnsi="宋体"/>
        </w:rPr>
      </w:pPr>
      <w:bookmarkStart w:id="239" w:name="_Hlk224718915"/>
      <w:r>
        <w:rPr>
          <w:rFonts w:ascii="宋体" w:hAnsi="宋体" w:hint="eastAsia"/>
        </w:rPr>
        <w:t>经公</w:t>
      </w:r>
      <w:r>
        <w:rPr>
          <w:rFonts w:ascii="宋体" w:hAnsi="宋体"/>
        </w:rPr>
        <w:t>司202</w:t>
      </w:r>
      <w:r>
        <w:rPr>
          <w:rFonts w:ascii="宋体" w:hAnsi="宋体" w:hint="eastAsia"/>
        </w:rPr>
        <w:t>6</w:t>
      </w:r>
      <w:r>
        <w:rPr>
          <w:rFonts w:ascii="宋体" w:hAnsi="宋体"/>
        </w:rPr>
        <w:t>年3月2</w:t>
      </w:r>
      <w:r>
        <w:rPr>
          <w:rFonts w:ascii="宋体" w:hAnsi="宋体" w:hint="eastAsia"/>
        </w:rPr>
        <w:t>7</w:t>
      </w:r>
      <w:r>
        <w:rPr>
          <w:rFonts w:ascii="宋体" w:hAnsi="宋体"/>
        </w:rPr>
        <w:t>日召开的第</w:t>
      </w:r>
      <w:r>
        <w:rPr>
          <w:rFonts w:ascii="宋体" w:hAnsi="宋体" w:hint="eastAsia"/>
        </w:rPr>
        <w:t>九</w:t>
      </w:r>
      <w:r>
        <w:rPr>
          <w:rFonts w:ascii="宋体" w:hAnsi="宋体"/>
        </w:rPr>
        <w:t>届董事会第二十</w:t>
      </w:r>
      <w:r>
        <w:rPr>
          <w:rFonts w:ascii="宋体" w:hAnsi="宋体" w:hint="eastAsia"/>
        </w:rPr>
        <w:t>二</w:t>
      </w:r>
      <w:r>
        <w:rPr>
          <w:rFonts w:ascii="宋体" w:hAnsi="宋体"/>
        </w:rPr>
        <w:t>次会议讨论审议，</w:t>
      </w:r>
      <w:r>
        <w:rPr>
          <w:rFonts w:ascii="宋体" w:hAnsi="宋体" w:hint="eastAsia"/>
        </w:rPr>
        <w:t>同意分拆物泊科技于香港联交所主板上市，本次分拆发行的股票为在香港联交所主板挂牌上市的境外上市外资股（H股），均为普通股；以人民币标明面值，以外币认购，每股面值为人民币1.00元。本次发行的H股股数（行使超额配售选择权前）占物泊科技发行后总股本的比例不超过25%。</w:t>
      </w:r>
    </w:p>
    <w:p>
      <w:pPr>
        <w:ind w:firstLineChars="200" w:firstLine="420"/>
        <w:jc w:val="both"/>
        <w:rPr>
          <w:rFonts w:ascii="宋体" w:hAnsi="宋体"/>
        </w:rPr>
      </w:pPr>
      <w:r>
        <w:rPr>
          <w:rFonts w:ascii="宋体" w:hAnsi="宋体"/>
        </w:rPr>
        <w:t>上述</w:t>
      </w:r>
      <w:r>
        <w:rPr>
          <w:rFonts w:ascii="宋体" w:hAnsi="宋体" w:hint="eastAsia"/>
        </w:rPr>
        <w:t>分拆</w:t>
      </w:r>
      <w:r>
        <w:rPr>
          <w:rFonts w:ascii="宋体" w:hAnsi="宋体"/>
        </w:rPr>
        <w:t>事项尚需提交公司股东会审议批准。</w:t>
      </w:r>
    </w:p>
    <w:p>
      <w:pPr>
        <w:ind w:firstLineChars="200" w:firstLine="420"/>
        <w:rPr>
          <w:rFonts w:ascii="宋体" w:hAnsi="宋体"/>
        </w:rPr>
      </w:pPr>
      <w:r>
        <w:rPr>
          <w:rFonts w:ascii="宋体" w:hAnsi="宋体"/>
        </w:rPr>
        <w:t>有关详情请见</w:t>
      </w:r>
      <w:r>
        <w:rPr>
          <w:rFonts w:ascii="宋体" w:hAnsi="宋体" w:hint="eastAsia"/>
        </w:rPr>
        <w:t>公司</w:t>
      </w:r>
      <w:r>
        <w:rPr>
          <w:rFonts w:ascii="宋体" w:hAnsi="宋体"/>
        </w:rPr>
        <w:t>日期为202</w:t>
      </w:r>
      <w:r>
        <w:rPr>
          <w:rFonts w:ascii="宋体" w:hAnsi="宋体" w:hint="eastAsia"/>
        </w:rPr>
        <w:t>6</w:t>
      </w:r>
      <w:r>
        <w:rPr>
          <w:rFonts w:ascii="宋体" w:hAnsi="宋体"/>
        </w:rPr>
        <w:t>年3月2</w:t>
      </w:r>
      <w:r>
        <w:rPr>
          <w:rFonts w:ascii="宋体" w:hAnsi="宋体" w:hint="eastAsia"/>
        </w:rPr>
        <w:t>7</w:t>
      </w:r>
      <w:r>
        <w:rPr>
          <w:rFonts w:ascii="宋体" w:hAnsi="宋体"/>
        </w:rPr>
        <w:t>日的公司第</w:t>
      </w:r>
      <w:r>
        <w:rPr>
          <w:rFonts w:ascii="宋体" w:hAnsi="宋体" w:hint="eastAsia"/>
        </w:rPr>
        <w:t>九</w:t>
      </w:r>
      <w:r>
        <w:rPr>
          <w:rFonts w:ascii="宋体" w:hAnsi="宋体"/>
        </w:rPr>
        <w:t>届董事会第二十</w:t>
      </w:r>
      <w:r>
        <w:rPr>
          <w:rFonts w:ascii="宋体" w:hAnsi="宋体" w:hint="eastAsia"/>
        </w:rPr>
        <w:t>二</w:t>
      </w:r>
      <w:r>
        <w:rPr>
          <w:rFonts w:ascii="宋体" w:hAnsi="宋体"/>
        </w:rPr>
        <w:t>次会议决议公告、</w:t>
      </w:r>
      <w:r>
        <w:rPr>
          <w:rFonts w:ascii="宋体" w:hAnsi="宋体"/>
          <w:bCs/>
        </w:rPr>
        <w:t>建议分拆物泊科技于香港联合交易所有限公司主板上市</w:t>
      </w:r>
      <w:r>
        <w:rPr>
          <w:rFonts w:ascii="宋体" w:hAnsi="宋体" w:hint="eastAsia"/>
          <w:bCs/>
        </w:rPr>
        <w:t>的公告以及</w:t>
      </w:r>
      <w:r>
        <w:rPr>
          <w:rFonts w:ascii="宋体" w:hAnsi="宋体" w:hint="eastAsia"/>
        </w:rPr>
        <w:t>关于分拆子公司上市的一般风</w:t>
      </w:r>
      <w:r>
        <w:rPr>
          <w:rFonts w:ascii="宋体" w:hAnsi="宋体" w:hint="eastAsia"/>
        </w:rPr>
        <w:lastRenderedPageBreak/>
        <w:t>险提示性公告</w:t>
      </w:r>
      <w:bookmarkStart w:id="240" w:name="_Hlk225364977"/>
      <w:r>
        <w:rPr>
          <w:rFonts w:ascii="宋体" w:hAnsi="宋体" w:hint="eastAsia"/>
        </w:rPr>
        <w:t>以及内幕消息公告</w:t>
      </w:r>
      <w:bookmarkEnd w:id="240"/>
      <w:r>
        <w:rPr>
          <w:rFonts w:ascii="宋体" w:hAnsi="宋体"/>
        </w:rPr>
        <w:t>。该等资料载于上交所网站、香港联交所网站、公司网站及/或《中国证券报》《上海证券报》《证券时报》《证券日报》。</w:t>
      </w:r>
    </w:p>
    <w:bookmarkEnd w:id="239"/>
    <w:p>
      <w:pPr>
        <w:rPr>
          <w:rFonts w:ascii="宋体" w:hAnsi="宋体"/>
        </w:rPr>
      </w:pPr>
    </w:p>
    <w:p>
      <w:pPr>
        <w:ind w:firstLineChars="200" w:firstLine="422"/>
        <w:rPr>
          <w:rFonts w:ascii="宋体" w:hAnsi="宋体"/>
          <w:b/>
          <w:bCs/>
        </w:rPr>
      </w:pPr>
      <w:r>
        <w:rPr>
          <w:rFonts w:ascii="宋体" w:hAnsi="宋体" w:hint="eastAsia"/>
          <w:b/>
          <w:bCs/>
        </w:rPr>
        <w:t>2026-2028年度股东回报规划</w:t>
      </w:r>
    </w:p>
    <w:p>
      <w:pPr>
        <w:ind w:firstLineChars="200" w:firstLine="420"/>
        <w:jc w:val="both"/>
        <w:rPr>
          <w:rFonts w:ascii="宋体" w:hAnsi="宋体"/>
        </w:rPr>
      </w:pPr>
      <w:r>
        <w:rPr>
          <w:rFonts w:ascii="宋体" w:hAnsi="宋体" w:hint="eastAsia"/>
        </w:rPr>
        <w:t>经公司</w:t>
      </w:r>
      <w:r>
        <w:rPr>
          <w:rFonts w:ascii="宋体" w:hAnsi="宋体"/>
        </w:rPr>
        <w:t>2026年3月27日召开的第九届董事会第二十</w:t>
      </w:r>
      <w:r>
        <w:rPr>
          <w:rFonts w:ascii="宋体" w:hAnsi="宋体" w:hint="eastAsia"/>
        </w:rPr>
        <w:t>二次会议讨论审议，公司拟将2026-2028年度利润分配政策确定为根据公司在各会计年度分配的现金股利总额，以中国会计准则和国际财务报告准则财务报表税后利润数较少者为准，应占公司该年度扣除法定储备后净利润的约百分之五十。</w:t>
      </w:r>
    </w:p>
    <w:p>
      <w:pPr>
        <w:ind w:firstLineChars="200" w:firstLine="420"/>
        <w:rPr>
          <w:rFonts w:ascii="宋体" w:hAnsi="宋体"/>
        </w:rPr>
      </w:pPr>
      <w:r>
        <w:rPr>
          <w:rFonts w:ascii="宋体" w:hAnsi="宋体" w:hint="eastAsia"/>
        </w:rPr>
        <w:t>该事项尚需提交公司股东会审议</w:t>
      </w:r>
      <w:r>
        <w:rPr>
          <w:rFonts w:ascii="宋体" w:hAnsi="宋体"/>
        </w:rPr>
        <w:t>批准</w:t>
      </w:r>
      <w:r>
        <w:rPr>
          <w:rFonts w:ascii="宋体" w:hAnsi="宋体" w:hint="eastAsia"/>
        </w:rPr>
        <w:t>。</w:t>
      </w:r>
    </w:p>
    <w:p>
      <w:pPr>
        <w:ind w:firstLineChars="200" w:firstLine="420"/>
        <w:rPr>
          <w:rFonts w:ascii="宋体" w:hAnsi="宋体"/>
        </w:rPr>
      </w:pPr>
      <w:bookmarkStart w:id="241" w:name="_Hlk225278616"/>
      <w:r>
        <w:rPr>
          <w:rFonts w:ascii="宋体" w:hAnsi="宋体" w:hint="eastAsia"/>
        </w:rPr>
        <w:t>有关详情请见公司日期为2026年3月27日的公司第九届董事会第二十二次会议决议公告、关于2026-2028年度股东回报规划的公告。该等资料载于上交所网站、香港联交所网站、公司网站及/或《中国证券报》《上海证券报》《证券时报》《证券日报》。</w:t>
      </w:r>
    </w:p>
    <w:bookmarkEnd w:id="241"/>
    <w:p>
      <w:pPr>
        <w:ind w:firstLineChars="200" w:firstLine="422"/>
        <w:rPr>
          <w:rFonts w:ascii="宋体" w:hAnsi="宋体"/>
          <w:b/>
          <w:bCs/>
        </w:rPr>
      </w:pPr>
    </w:p>
    <w:p>
      <w:pPr>
        <w:ind w:firstLineChars="200" w:firstLine="422"/>
        <w:rPr>
          <w:rFonts w:ascii="宋体" w:hAnsi="宋体"/>
          <w:b/>
          <w:bCs/>
        </w:rPr>
      </w:pPr>
      <w:r>
        <w:rPr>
          <w:rFonts w:ascii="宋体" w:hAnsi="宋体" w:hint="eastAsia"/>
          <w:b/>
          <w:bCs/>
        </w:rPr>
        <w:t>挂牌转让</w:t>
      </w:r>
      <w:r>
        <w:rPr>
          <w:rFonts w:ascii="宋体" w:hAnsi="宋体"/>
          <w:b/>
          <w:bCs/>
        </w:rPr>
        <w:t>鑫泰</w:t>
      </w:r>
      <w:r>
        <w:rPr>
          <w:rFonts w:ascii="宋体" w:hAnsi="宋体" w:hint="eastAsia"/>
          <w:b/>
          <w:bCs/>
        </w:rPr>
        <w:t>公司100%股权</w:t>
      </w:r>
    </w:p>
    <w:p>
      <w:pPr>
        <w:ind w:firstLineChars="200" w:firstLine="420"/>
        <w:jc w:val="both"/>
        <w:rPr>
          <w:rFonts w:ascii="宋体" w:hAnsi="宋体"/>
        </w:rPr>
      </w:pPr>
      <w:r>
        <w:rPr>
          <w:rFonts w:ascii="宋体" w:hAnsi="宋体"/>
        </w:rPr>
        <w:t>经总经理办公会审议批准，公司全资子公司鄂尔多斯公司在山东产权交易中心公开挂牌转让内蒙古鑫泰煤炭有限公司（“</w:t>
      </w:r>
      <w:bookmarkStart w:id="242" w:name="_Hlk225280197"/>
      <w:r>
        <w:rPr>
          <w:rFonts w:ascii="宋体" w:hAnsi="宋体"/>
        </w:rPr>
        <w:t>鑫泰</w:t>
      </w:r>
      <w:r>
        <w:rPr>
          <w:rFonts w:ascii="宋体" w:hAnsi="宋体" w:hint="eastAsia"/>
        </w:rPr>
        <w:t>公司</w:t>
      </w:r>
      <w:bookmarkEnd w:id="242"/>
      <w:r>
        <w:rPr>
          <w:rFonts w:ascii="宋体" w:hAnsi="宋体"/>
        </w:rPr>
        <w:t>”）100%股权（“本次股权</w:t>
      </w:r>
      <w:r>
        <w:rPr>
          <w:rFonts w:ascii="宋体" w:hAnsi="宋体" w:hint="eastAsia"/>
        </w:rPr>
        <w:t>转让</w:t>
      </w:r>
      <w:r>
        <w:rPr>
          <w:rFonts w:ascii="宋体" w:hAnsi="宋体"/>
        </w:rPr>
        <w:t>”），根据山东产权交易中心出具的本次股权转让《结果通知单》，受让方为鄂尔多斯市乌兰煤炭（集团）有限责任公司，交易价格为305,001万元。2026年3月6日，</w:t>
      </w:r>
      <w:r>
        <w:rPr>
          <w:rFonts w:ascii="宋体" w:hAnsi="宋体" w:hint="eastAsia"/>
        </w:rPr>
        <w:t>双方</w:t>
      </w:r>
      <w:r>
        <w:rPr>
          <w:rFonts w:ascii="宋体" w:hAnsi="宋体"/>
        </w:rPr>
        <w:t>正式签署《产权交易合同》。</w:t>
      </w:r>
    </w:p>
    <w:p>
      <w:pPr>
        <w:ind w:firstLineChars="200" w:firstLine="420"/>
        <w:jc w:val="both"/>
        <w:rPr>
          <w:rFonts w:ascii="宋体" w:hAnsi="宋体"/>
        </w:rPr>
      </w:pPr>
      <w:bookmarkStart w:id="243" w:name="_Hlk225010504"/>
      <w:r>
        <w:rPr>
          <w:rFonts w:ascii="宋体" w:hAnsi="宋体" w:hint="eastAsia"/>
        </w:rPr>
        <w:t>截至本报告披露日，公司已收到交易价款，本次股权转让正在推进工商变更等程序，</w:t>
      </w:r>
      <w:bookmarkStart w:id="244" w:name="_Hlk225234385"/>
      <w:r>
        <w:rPr>
          <w:rFonts w:ascii="宋体" w:hAnsi="宋体" w:hint="eastAsia"/>
        </w:rPr>
        <w:t>预计可产生收益约27亿元</w:t>
      </w:r>
      <w:bookmarkEnd w:id="244"/>
      <w:r>
        <w:rPr>
          <w:rFonts w:ascii="宋体" w:hAnsi="宋体" w:hint="eastAsia"/>
        </w:rPr>
        <w:t>。</w:t>
      </w:r>
    </w:p>
    <w:bookmarkEnd w:id="243"/>
    <w:p>
      <w:pPr>
        <w:ind w:firstLineChars="200" w:firstLine="420"/>
        <w:jc w:val="both"/>
        <w:rPr>
          <w:rFonts w:ascii="宋体" w:hAnsi="宋体"/>
        </w:rPr>
      </w:pPr>
      <w:r>
        <w:rPr>
          <w:rFonts w:ascii="宋体" w:hAnsi="宋体" w:hint="eastAsia"/>
        </w:rPr>
        <w:t>有关详情请见公司日期为</w:t>
      </w:r>
      <w:bookmarkStart w:id="245" w:name="_Hlk224665733"/>
      <w:r>
        <w:rPr>
          <w:rFonts w:ascii="宋体" w:hAnsi="宋体" w:hint="eastAsia"/>
        </w:rPr>
        <w:t>2026年2月1日的关</w:t>
      </w:r>
      <w:r>
        <w:rPr>
          <w:rFonts w:ascii="宋体" w:hAnsi="宋体"/>
        </w:rPr>
        <w:t>于挂牌转让全资子公司100%股权的公告</w:t>
      </w:r>
      <w:bookmarkEnd w:id="245"/>
      <w:r>
        <w:rPr>
          <w:rFonts w:ascii="宋体" w:hAnsi="宋体" w:hint="eastAsia"/>
        </w:rPr>
        <w:t>以及2026年3月6日的</w:t>
      </w:r>
      <w:r>
        <w:rPr>
          <w:rFonts w:ascii="宋体" w:hAnsi="宋体"/>
        </w:rPr>
        <w:t>关于挂牌转让全资子公司100%股权交易结果的公告</w:t>
      </w:r>
      <w:r>
        <w:rPr>
          <w:rFonts w:ascii="宋体" w:hAnsi="宋体" w:hint="eastAsia"/>
        </w:rPr>
        <w:t>，该等资料刊载于上交所网站、香港联交所网站、公司网站及/或《中国证券报》《上海证券报》《证券时报》《证券日报》。</w:t>
      </w:r>
    </w:p>
    <w:p>
      <w:pPr>
        <w:ind w:firstLineChars="200" w:firstLine="420"/>
        <w:jc w:val="both"/>
        <w:rPr>
          <w:rFonts w:ascii="宋体" w:hAnsi="宋体"/>
        </w:rPr>
      </w:pPr>
    </w:p>
    <w:p>
      <w:pPr>
        <w:ind w:firstLineChars="200" w:firstLine="422"/>
        <w:rPr>
          <w:rFonts w:ascii="宋体" w:hAnsi="宋体"/>
          <w:b/>
          <w:bCs/>
        </w:rPr>
      </w:pPr>
      <w:bookmarkStart w:id="246" w:name="_Hlk225168446"/>
      <w:r>
        <w:rPr>
          <w:rFonts w:ascii="宋体" w:hAnsi="宋体" w:hint="eastAsia"/>
          <w:b/>
          <w:bCs/>
        </w:rPr>
        <w:t>曹四夭钼矿收到自然资源部下发采矿许可证领取通知</w:t>
      </w:r>
    </w:p>
    <w:p>
      <w:pPr>
        <w:ind w:firstLineChars="200" w:firstLine="420"/>
        <w:jc w:val="both"/>
        <w:rPr>
          <w:rFonts w:ascii="宋体" w:hAnsi="宋体"/>
        </w:rPr>
      </w:pPr>
      <w:r>
        <w:rPr>
          <w:rFonts w:ascii="宋体" w:hAnsi="宋体" w:hint="eastAsia"/>
        </w:rPr>
        <w:t>内蒙古矿业于2026年2月11日收到自然资源部下发采矿许可证领取通知（202600453号），通知称内蒙古矿业兴和县曹四夭矿区钼矿（“曹四夭钼矿”）登记、许可申请符合《矿产资源法》的有关规定，准予登记、许可。</w:t>
      </w:r>
    </w:p>
    <w:p>
      <w:pPr>
        <w:ind w:firstLineChars="200" w:firstLine="420"/>
        <w:jc w:val="both"/>
        <w:rPr>
          <w:rFonts w:ascii="宋体" w:hAnsi="宋体"/>
        </w:rPr>
      </w:pPr>
      <w:r>
        <w:rPr>
          <w:rFonts w:ascii="宋体" w:hAnsi="宋体" w:hint="eastAsia"/>
        </w:rPr>
        <w:t>曹四夭钼矿地处内蒙古自治区乌兰察布市兴和县，根据2025年12月编制的《曹四夭矿区钼矿采选工程可行性研究说明书》，拥有钼矿石资源量10.4亿吨，金属量108.9万吨，平均品位钼0.105％，并伴生有钨、锌等金属，设计产能为原矿1,650万吨/年，达产年钼精矿产量3.08万吨/年。</w:t>
      </w:r>
    </w:p>
    <w:p>
      <w:pPr>
        <w:pStyle w:val="Style51"/>
        <w:numPr>
          <w:ilvl w:val="0"/>
          <w:numId w:val="33"/>
        </w:numPr>
      </w:pPr>
      <w:bookmarkStart w:id="247" w:name="_Hlk170206295"/>
      <w:bookmarkStart w:id="248" w:name="_Hlk170215658"/>
      <w:bookmarkStart w:id="249" w:name="_Hlk182989663"/>
      <w:bookmarkStart w:id="250" w:name="_Hlk72846301"/>
      <w:bookmarkEnd w:id="246"/>
      <w:r>
        <w:rPr>
          <w:rFonts w:hint="eastAsia"/>
        </w:rPr>
        <w:t>募集资金使用进展说明</w:t>
      </w:r>
    </w:p>
    <w:sdt>
      <w:sdtPr>
        <w:rPr>
          <w:color w:val="000000" w:themeColor="text1"/>
        </w:rPr>
        <w:alias w:val="是否适用：募集资金使用进展说明[双击切换]"/>
        <w:tag w:val="_GBC_4a9b3f05f0c443b28b4863d3686af0a7"/>
        <w:id w:val="-355427642"/>
        <w:placeholder>
          <w:docPart w:val="GBC22222222222222222222222222222"/>
        </w:placeholder>
      </w:sdtPr>
      <w:sdtContent>
        <w:p>
          <w:pPr>
            <w:pStyle w:val="Style49"/>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pStyle w:val="Style49"/>
      </w:pPr>
      <w:bookmarkStart w:id="251" w:name="_Hlk190697760"/>
      <w:bookmarkStart w:id="252" w:name="_Hlk190354057"/>
      <w:bookmarkEnd w:id="247"/>
      <w:bookmarkEnd w:id="248"/>
      <w:bookmarkEnd w:id="249"/>
      <w:bookmarkEnd w:id="250"/>
    </w:p>
    <w:bookmarkEnd w:id="251"/>
    <w:bookmarkEnd w:id="252"/>
    <w:p>
      <w:pPr>
        <w:pStyle w:val="Style51"/>
        <w:numPr>
          <w:ilvl w:val="0"/>
          <w:numId w:val="33"/>
        </w:numPr>
      </w:pPr>
      <w:r>
        <w:rPr>
          <w:rFonts w:hint="eastAsia"/>
        </w:rPr>
        <w:t>其他对投资者作出价值判断和投资决策有重大影响的重大事项的说明</w:t>
      </w:r>
    </w:p>
    <w:sdt>
      <w:sdtPr>
        <w:alias w:val="是否适用：其他对投资者作出价值判断和投资决策有重大影响的重大事项的说明[双击切换]"/>
        <w:tag w:val="_GBC_a560f17fa4c7429db7d87dca59f4df08"/>
        <w:id w:val="-291362286"/>
        <w:placeholder>
          <w:docPart w:val="GBC22222222222222222222222222222"/>
        </w:placeholder>
      </w:sdtPr>
      <w:sdtContent>
        <w:p>
          <w:pPr>
            <w:pStyle w:val="Style49"/>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其他对投资者作出价值判断和投资决策有重大影响的重大事项的说明"/>
        <w:tag w:val="_GBC_d3135053067b425697673c629341fac1"/>
        <w:id w:val="1177383804"/>
        <w:placeholder>
          <w:docPart w:val="GBC22222222222222222222222222222"/>
        </w:placeholder>
      </w:sdtPr>
      <w:sdtEndPr>
        <w:rPr>
          <w:szCs w:val="20"/>
        </w:rPr>
      </w:sdtEndPr>
      <w:sdtContent>
        <w:p>
          <w:pPr>
            <w:ind w:firstLineChars="200" w:firstLine="420"/>
          </w:pPr>
          <w:r>
            <w:rPr>
              <w:rFonts w:hint="eastAsia"/>
            </w:rPr>
            <w:t>（按香港上市监管规定编制）</w:t>
          </w:r>
        </w:p>
        <w:p>
          <w:pPr>
            <w:ind w:firstLineChars="200" w:firstLine="420"/>
          </w:pPr>
        </w:p>
        <w:p>
          <w:pPr>
            <w:ind w:firstLineChars="200" w:firstLine="422"/>
            <w:rPr>
              <w:rFonts w:ascii="宋体" w:hAnsi="宋体"/>
              <w:b/>
              <w:bCs/>
            </w:rPr>
          </w:pPr>
          <w:r>
            <w:rPr>
              <w:rFonts w:ascii="宋体" w:hAnsi="宋体" w:hint="eastAsia"/>
              <w:b/>
              <w:bCs/>
            </w:rPr>
            <w:t>（一）购回、出售或赎回公司之上市证券</w:t>
          </w:r>
        </w:p>
        <w:p>
          <w:pPr>
            <w:ind w:firstLineChars="200" w:firstLine="422"/>
            <w:rPr>
              <w:rFonts w:ascii="宋体" w:hAnsi="宋体"/>
              <w:b/>
            </w:rPr>
          </w:pPr>
          <w:r>
            <w:rPr>
              <w:rFonts w:ascii="宋体" w:hAnsi="宋体" w:hint="eastAsia"/>
              <w:b/>
            </w:rPr>
            <w:t>获得2024年度股东周年大会增发股份及回购H股股份授权</w:t>
          </w:r>
        </w:p>
        <w:p>
          <w:pPr>
            <w:ind w:firstLineChars="200" w:firstLine="420"/>
            <w:jc w:val="both"/>
            <w:rPr>
              <w:rFonts w:ascii="宋体" w:hAnsi="宋体"/>
            </w:rPr>
          </w:pPr>
          <w:r>
            <w:rPr>
              <w:rFonts w:ascii="宋体" w:hAnsi="宋体" w:hint="eastAsia"/>
            </w:rPr>
            <w:t>经2025年5月30日召开的公司2024年度股东周年大会审议批准，授予董事会一般性授权，由董事会根据需要和市场情况，在获得有关监管机构批准以及符合法律、行政法规及《公司章程》的情况下，在相关授权期间适时决定是否增发不超过有关决议案通过之日已发行股份总额（不包括任何库存股份）20%的股份。</w:t>
          </w:r>
        </w:p>
        <w:p>
          <w:pPr>
            <w:ind w:firstLineChars="200" w:firstLine="420"/>
            <w:jc w:val="both"/>
            <w:rPr>
              <w:rFonts w:ascii="宋体" w:hAnsi="宋体"/>
            </w:rPr>
          </w:pPr>
          <w:r>
            <w:rPr>
              <w:rFonts w:ascii="宋体" w:hAnsi="宋体" w:hint="eastAsia"/>
            </w:rPr>
            <w:t>经2025年5月30日召开的公司2024年度股东周年大会审议批准，授予董事会一般性授权，由董事会根据需要和市场情况，在获得有关监管机构批准以及符合法律、行政法规及《公司章程》的情况下，在相关授权期间适时决定回购不超过有关决议案通过之日已发行H股总额（不包括任何库存股份）10%的H股股份。</w:t>
          </w:r>
        </w:p>
        <w:p>
          <w:pPr>
            <w:ind w:firstLineChars="200" w:firstLine="420"/>
            <w:rPr>
              <w:rFonts w:ascii="宋体" w:hAnsi="宋体"/>
            </w:rPr>
          </w:pPr>
          <w:r>
            <w:rPr>
              <w:rFonts w:ascii="宋体" w:hAnsi="宋体" w:hint="eastAsia"/>
            </w:rPr>
            <w:lastRenderedPageBreak/>
            <w:t xml:space="preserve"> </w:t>
          </w:r>
        </w:p>
        <w:p>
          <w:pPr>
            <w:ind w:firstLineChars="200" w:firstLine="422"/>
            <w:rPr>
              <w:rFonts w:ascii="宋体" w:hAnsi="宋体"/>
              <w:b/>
              <w:bCs/>
            </w:rPr>
          </w:pPr>
          <w:r>
            <w:rPr>
              <w:rFonts w:ascii="宋体" w:hAnsi="宋体" w:hint="eastAsia"/>
              <w:b/>
              <w:bCs/>
            </w:rPr>
            <w:t>行使2024年度股东周年大会回购H股股份授权及批准回购A股股份</w:t>
          </w:r>
        </w:p>
        <w:p>
          <w:pPr>
            <w:ind w:firstLineChars="200" w:firstLine="420"/>
            <w:jc w:val="both"/>
            <w:rPr>
              <w:rFonts w:ascii="宋体" w:hAnsi="宋体"/>
              <w:bCs/>
            </w:rPr>
          </w:pPr>
          <w:r>
            <w:rPr>
              <w:rFonts w:ascii="宋体" w:hAnsi="宋体" w:hint="eastAsia"/>
              <w:bCs/>
            </w:rPr>
            <w:t>经公司2025年8月29日召开的第九届董事会第十八次会议审议批准，决定由被授权人士在董事会决议范围内，根据2024年度股东周年大会的一般性授权办理H股回购具体事宜。回购资金总额不低于人民币1.5亿元且不超过人民币4亿元，回购价格不高于回购前5个交易日本公司H股股份在香港联交所的平均收市价的105%。</w:t>
          </w:r>
        </w:p>
        <w:p>
          <w:pPr>
            <w:ind w:firstLineChars="200" w:firstLine="420"/>
            <w:jc w:val="both"/>
            <w:rPr>
              <w:rFonts w:ascii="宋体" w:hAnsi="宋体"/>
              <w:bCs/>
            </w:rPr>
          </w:pPr>
          <w:r>
            <w:rPr>
              <w:rFonts w:ascii="宋体" w:hAnsi="宋体" w:hint="eastAsia"/>
              <w:bCs/>
            </w:rPr>
            <w:t>经公司2025年8月29日召开的第九届董事会第十八次会议审议批准，通过《关于回购公司A股股份的议案》，回购的A股股份拟作为库存股，用于公司股权激励，期限3年；若3年内上述股份未用于股权激励，则予以注销。回购资金总额不低于人民币0.5亿元且不超过人民币1亿元，回购价格不超过17.08元/股。</w:t>
          </w:r>
          <w:r>
            <w:rPr>
              <w:rFonts w:ascii="宋体" w:hAnsi="宋体" w:hint="eastAsia"/>
            </w:rPr>
            <w:t>由于公司实施2025年半年度利润分配，回购A股股份价格上限由不超过17.08元/股调整为不超过16.90元/股，调整后的回购价格上限于2025年9月16日生效。</w:t>
          </w:r>
        </w:p>
        <w:p>
          <w:pPr>
            <w:ind w:firstLineChars="200" w:firstLine="420"/>
            <w:jc w:val="both"/>
            <w:rPr>
              <w:rFonts w:ascii="宋体" w:hAnsi="宋体"/>
            </w:rPr>
          </w:pPr>
          <w:r>
            <w:rPr>
              <w:rFonts w:ascii="宋体" w:hAnsi="宋体" w:hint="eastAsia"/>
            </w:rPr>
            <w:t>经公司2026年2月11日召开的第九届董事会第二十一次会议审议批准，通过《关于变更回购公司A股股份资金来源的议案》，资金来源由“自有资金”调整为“自有资金与自筹资金相结合”。</w:t>
          </w:r>
        </w:p>
        <w:p>
          <w:pPr>
            <w:ind w:firstLineChars="200" w:firstLine="420"/>
            <w:jc w:val="both"/>
            <w:rPr>
              <w:rFonts w:ascii="宋体" w:hAnsi="宋体"/>
            </w:rPr>
          </w:pPr>
          <w:r>
            <w:rPr>
              <w:rFonts w:ascii="宋体" w:hAnsi="宋体" w:hint="eastAsia"/>
            </w:rPr>
            <w:t>本次回购A股、H股股份可能存在股票价格持续超出经批准的回购价格上限，导致回购方案无法实施或只能部分实施的风险；公司将在回购期限内根据市场情况择机回购，并根据进展情况及时履行信息披露义务。</w:t>
          </w:r>
        </w:p>
        <w:p>
          <w:pPr>
            <w:ind w:firstLineChars="200" w:firstLine="420"/>
            <w:jc w:val="both"/>
            <w:rPr>
              <w:rFonts w:ascii="宋体" w:hAnsi="宋体"/>
            </w:rPr>
          </w:pPr>
          <w:r>
            <w:rPr>
              <w:rFonts w:ascii="宋体" w:hAnsi="宋体" w:hint="eastAsia"/>
            </w:rPr>
            <w:t>截至本报告披露日，公司尚未回购A股、H股股份。</w:t>
          </w:r>
        </w:p>
        <w:p>
          <w:pPr>
            <w:ind w:firstLineChars="200" w:firstLine="420"/>
            <w:jc w:val="both"/>
            <w:rPr>
              <w:rFonts w:ascii="宋体" w:hAnsi="宋体"/>
            </w:rPr>
          </w:pPr>
          <w:r>
            <w:rPr>
              <w:rFonts w:ascii="宋体" w:hAnsi="宋体" w:hint="eastAsia"/>
            </w:rPr>
            <w:t>有关详情请见公司日期为2025年8月29日的第九届董事会第十八次会议决议公告、关于以集中竞价交易方式回购股份的回购报告书以及关于以集中竞价交易方式回购股份方案的公告，日期为2025年9月16日的关于2025年半年度权益分派实施后调整A股回购价格上限的公告，日期为2026年2月11日的第九届董事会第二十一次会议决议公告、关于增加股份回购资金来源暨收到回购专项贷款承诺函的公告，该等资料刊载于上交所网站、香港联交所网站、公司网站及/或《中国证券报》《上海证券报》《证券时报》《证券日报》。</w:t>
          </w:r>
        </w:p>
        <w:p>
          <w:pPr>
            <w:ind w:firstLineChars="200" w:firstLine="422"/>
            <w:jc w:val="both"/>
            <w:rPr>
              <w:rFonts w:ascii="宋体" w:hAnsi="宋体"/>
              <w:b/>
              <w:bCs/>
            </w:rPr>
          </w:pPr>
        </w:p>
        <w:p>
          <w:pPr>
            <w:ind w:firstLineChars="200" w:firstLine="422"/>
            <w:jc w:val="both"/>
            <w:rPr>
              <w:rFonts w:ascii="宋体" w:hAnsi="宋体"/>
              <w:b/>
              <w:bCs/>
            </w:rPr>
          </w:pPr>
          <w:r>
            <w:rPr>
              <w:rFonts w:ascii="宋体" w:hAnsi="宋体" w:hint="eastAsia"/>
              <w:b/>
              <w:bCs/>
            </w:rPr>
            <w:t>（二）薪酬政策</w:t>
          </w:r>
        </w:p>
        <w:p>
          <w:pPr>
            <w:ind w:firstLineChars="200" w:firstLine="420"/>
            <w:jc w:val="both"/>
            <w:rPr>
              <w:rFonts w:ascii="宋体" w:hAnsi="宋体"/>
            </w:rPr>
          </w:pPr>
          <w:r>
            <w:rPr>
              <w:rFonts w:ascii="宋体" w:hAnsi="宋体" w:hint="eastAsia"/>
            </w:rPr>
            <w:t>详情请见“第五节公司治理、环境和社会”之“现任及报告期内离任董事和高级管理人员持股变动及薪酬情况”、“薪酬政策”相关内容。</w:t>
          </w:r>
        </w:p>
        <w:p>
          <w:pPr>
            <w:ind w:firstLineChars="200" w:firstLine="422"/>
            <w:jc w:val="both"/>
            <w:rPr>
              <w:rFonts w:ascii="宋体" w:hAnsi="宋体"/>
              <w:b/>
              <w:bCs/>
            </w:rPr>
          </w:pPr>
          <w:r>
            <w:rPr>
              <w:rFonts w:ascii="宋体" w:hAnsi="宋体" w:hint="eastAsia"/>
              <w:b/>
              <w:bCs/>
            </w:rPr>
            <w:t xml:space="preserve"> </w:t>
          </w:r>
        </w:p>
        <w:p>
          <w:pPr>
            <w:numPr>
              <w:ilvl w:val="0"/>
              <w:numId w:val="49"/>
            </w:numPr>
            <w:ind w:firstLineChars="200" w:firstLine="422"/>
            <w:jc w:val="both"/>
            <w:rPr>
              <w:rFonts w:ascii="宋体" w:hAnsi="宋体"/>
              <w:b/>
              <w:bCs/>
            </w:rPr>
          </w:pPr>
          <w:r>
            <w:rPr>
              <w:rFonts w:ascii="宋体" w:hAnsi="宋体" w:hint="eastAsia"/>
              <w:b/>
              <w:bCs/>
            </w:rPr>
            <w:t>核数师</w:t>
          </w:r>
        </w:p>
        <w:p>
          <w:pPr>
            <w:ind w:firstLineChars="200" w:firstLine="420"/>
            <w:jc w:val="both"/>
            <w:rPr>
              <w:rFonts w:ascii="宋体" w:hAnsi="宋体"/>
            </w:rPr>
          </w:pPr>
          <w:r>
            <w:rPr>
              <w:rFonts w:ascii="宋体" w:hAnsi="宋体" w:hint="eastAsia"/>
            </w:rPr>
            <w:t>详情请见“第六节重要事项”之“聘任、解聘会计师事务所情况”相关内容。</w:t>
          </w:r>
        </w:p>
        <w:p>
          <w:pPr>
            <w:ind w:firstLineChars="200" w:firstLine="422"/>
            <w:rPr>
              <w:rFonts w:ascii="宋体" w:hAnsi="宋体"/>
              <w:b/>
              <w:bCs/>
            </w:rPr>
          </w:pPr>
        </w:p>
        <w:p>
          <w:pPr>
            <w:pStyle w:val="Style49"/>
          </w:pPr>
        </w:p>
      </w:sdtContent>
    </w:sdt>
    <w:p>
      <w:pPr>
        <w:pStyle w:val="Style49"/>
      </w:pPr>
    </w:p>
    <w:p>
      <w:pPr>
        <w:pStyle w:val="Style49"/>
      </w:pPr>
      <w:r>
        <w:br w:type="page"/>
      </w:r>
    </w:p>
    <w:p>
      <w:pPr>
        <w:sectPr>
          <w:pgSz w:w="11906" w:h="16838"/>
          <w:pgMar w:top="1525" w:right="1276" w:bottom="1440" w:left="1797" w:header="855" w:footer="992" w:gutter="0"/>
          <w:cols w:space="425"/>
          <w:docGrid w:linePitch="312"/>
        </w:sectPr>
      </w:pPr>
    </w:p>
    <w:bookmarkEnd w:id="195"/>
    <w:p>
      <w:pPr>
        <w:pStyle w:val="Style49"/>
      </w:pPr>
    </w:p>
    <w:p>
      <w:pPr>
        <w:numPr>
          <w:ilvl w:val="0"/>
          <w:numId w:val="10"/>
        </w:numPr>
        <w:jc w:val="center"/>
        <w:outlineLvl w:val="0"/>
        <w:rPr>
          <w:rFonts w:ascii="黑体" w:eastAsia="黑体" w:hAnsi="黑体"/>
          <w:b/>
          <w:bCs/>
          <w:sz w:val="28"/>
          <w:szCs w:val="28"/>
        </w:rPr>
      </w:pPr>
      <w:bookmarkStart w:id="253" w:name="_Toc225175015"/>
      <w:bookmarkStart w:id="254" w:name="_Toc437440713"/>
      <w:bookmarkStart w:id="255" w:name="_Toc409437607"/>
      <w:r>
        <w:rPr>
          <w:rFonts w:ascii="黑体" w:eastAsia="黑体" w:hAnsi="黑体" w:hint="eastAsia"/>
          <w:b/>
          <w:bCs/>
          <w:sz w:val="28"/>
          <w:szCs w:val="28"/>
        </w:rPr>
        <w:t>股份变动及股东情况</w:t>
      </w:r>
      <w:bookmarkEnd w:id="253"/>
    </w:p>
    <w:bookmarkEnd w:id="254"/>
    <w:bookmarkEnd w:id="255"/>
    <w:p>
      <w:pPr>
        <w:pStyle w:val="Style49"/>
      </w:pPr>
    </w:p>
    <w:p>
      <w:pPr>
        <w:pStyle w:val="2"/>
        <w:numPr>
          <w:ilvl w:val="0"/>
          <w:numId w:val="50"/>
        </w:numPr>
      </w:pPr>
      <w:bookmarkStart w:id="256" w:name="_Toc342565989"/>
      <w:bookmarkStart w:id="257" w:name="_Toc342059476"/>
      <w:r>
        <w:t>股</w:t>
      </w:r>
      <w:r>
        <w:rPr>
          <w:rFonts w:hint="eastAsia"/>
        </w:rPr>
        <w:t>本变动情况</w:t>
      </w:r>
      <w:bookmarkEnd w:id="256"/>
      <w:bookmarkEnd w:id="257"/>
    </w:p>
    <w:p>
      <w:pPr>
        <w:pStyle w:val="3"/>
        <w:numPr>
          <w:ilvl w:val="1"/>
          <w:numId w:val="51"/>
        </w:numPr>
        <w:rPr>
          <w:szCs w:val="21"/>
        </w:rPr>
      </w:pPr>
      <w:bookmarkStart w:id="258" w:name="_Toc342059477"/>
      <w:bookmarkStart w:id="259" w:name="_Toc342565990"/>
      <w:r>
        <w:rPr>
          <w:rFonts w:hint="eastAsia"/>
          <w:szCs w:val="21"/>
        </w:rPr>
        <w:t>股份变动情况表</w:t>
      </w:r>
      <w:bookmarkEnd w:id="258"/>
      <w:bookmarkEnd w:id="259"/>
    </w:p>
    <w:p>
      <w:pPr>
        <w:pStyle w:val="4"/>
        <w:numPr>
          <w:ilvl w:val="2"/>
          <w:numId w:val="52"/>
        </w:numPr>
      </w:pPr>
      <w:r>
        <w:rPr>
          <w:rFonts w:hint="eastAsia"/>
        </w:rPr>
        <w:t>股份变动情况表</w:t>
      </w:r>
    </w:p>
    <w:p>
      <w:pPr>
        <w:jc w:val="right"/>
      </w:pPr>
      <w:r>
        <w:t>单位：</w:t>
      </w:r>
      <w:sdt>
        <w:sdtPr>
          <w:rPr>
            <w:rFonts w:hint="eastAsia"/>
          </w:rPr>
          <w:alias w:val="单位：股份变动情况表"/>
          <w:tag w:val="_GBC_852d31b746dd490d9366194fca5e9598"/>
          <w:id w:val="-125204396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Style63"/>
        <w:tblW w:w="1063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701"/>
        <w:gridCol w:w="855"/>
        <w:gridCol w:w="1417"/>
        <w:gridCol w:w="1418"/>
        <w:gridCol w:w="1701"/>
        <w:gridCol w:w="992"/>
      </w:tblGrid>
      <w:tr>
        <w:trPr>
          <w:jc w:val="center"/>
        </w:trPr>
        <w:tc>
          <w:tcPr>
            <w:tcW w:w="2547" w:type="dxa"/>
            <w:vMerge w:val="restart"/>
            <w:vAlign w:val="center"/>
          </w:tcPr>
          <w:p>
            <w:pPr>
              <w:jc w:val="center"/>
              <w:rPr>
                <w:rFonts w:ascii="宋体" w:hAnsi="宋体"/>
              </w:rPr>
            </w:pPr>
          </w:p>
        </w:tc>
        <w:sdt>
          <w:sdtPr>
            <w:rPr>
              <w:rFonts w:ascii="宋体" w:hAnsi="宋体"/>
            </w:rPr>
            <w:tag w:val="_PLD_b9527a064e50418b9212da4d2a1d0df3"/>
            <w:id w:val="15966847"/>
          </w:sdtPr>
          <w:sdtContent>
            <w:tc>
              <w:tcPr>
                <w:tcW w:w="2556" w:type="dxa"/>
                <w:gridSpan w:val="2"/>
                <w:vAlign w:val="center"/>
              </w:tcPr>
              <w:p>
                <w:pPr>
                  <w:pStyle w:val="af0"/>
                  <w:jc w:val="center"/>
                  <w:rPr>
                    <w:rFonts w:ascii="宋体" w:hAnsi="宋体"/>
                  </w:rPr>
                </w:pPr>
                <w:r>
                  <w:rPr>
                    <w:rFonts w:ascii="宋体" w:hAnsi="宋体"/>
                  </w:rPr>
                  <w:t>本次变动前</w:t>
                </w:r>
              </w:p>
            </w:tc>
          </w:sdtContent>
        </w:sdt>
        <w:sdt>
          <w:sdtPr>
            <w:rPr>
              <w:rFonts w:ascii="宋体" w:hAnsi="宋体"/>
            </w:rPr>
            <w:tag w:val="_PLD_ca58bf210de644a080d50250f302f3c8"/>
            <w:id w:val="1028679775"/>
          </w:sdtPr>
          <w:sdtContent>
            <w:tc>
              <w:tcPr>
                <w:tcW w:w="2835" w:type="dxa"/>
                <w:gridSpan w:val="2"/>
                <w:vAlign w:val="center"/>
              </w:tcPr>
              <w:p>
                <w:pPr>
                  <w:jc w:val="center"/>
                  <w:rPr>
                    <w:rFonts w:ascii="宋体" w:hAnsi="宋体"/>
                  </w:rPr>
                </w:pPr>
                <w:r>
                  <w:rPr>
                    <w:rFonts w:ascii="宋体" w:hAnsi="宋体"/>
                  </w:rPr>
                  <w:t>本次变动增减（</w:t>
                </w:r>
                <w:r>
                  <w:rPr>
                    <w:rFonts w:ascii="宋体" w:hAnsi="宋体" w:hint="eastAsia"/>
                  </w:rPr>
                  <w:t>+，-</w:t>
                </w:r>
                <w:r>
                  <w:rPr>
                    <w:rFonts w:ascii="宋体" w:hAnsi="宋体"/>
                  </w:rPr>
                  <w:t>）</w:t>
                </w:r>
              </w:p>
            </w:tc>
          </w:sdtContent>
        </w:sdt>
        <w:sdt>
          <w:sdtPr>
            <w:rPr>
              <w:rFonts w:ascii="宋体" w:hAnsi="宋体"/>
            </w:rPr>
            <w:tag w:val="_PLD_257b6e7d34b34e838617d3ec2e88c450"/>
            <w:id w:val="1526900292"/>
          </w:sdtPr>
          <w:sdtContent>
            <w:tc>
              <w:tcPr>
                <w:tcW w:w="2693" w:type="dxa"/>
                <w:gridSpan w:val="2"/>
                <w:vAlign w:val="center"/>
              </w:tcPr>
              <w:p>
                <w:pPr>
                  <w:jc w:val="center"/>
                  <w:rPr>
                    <w:rFonts w:ascii="宋体" w:hAnsi="宋体"/>
                  </w:rPr>
                </w:pPr>
                <w:r>
                  <w:rPr>
                    <w:rFonts w:ascii="宋体" w:hAnsi="宋体"/>
                  </w:rPr>
                  <w:t>本次变动后</w:t>
                </w:r>
              </w:p>
            </w:tc>
          </w:sdtContent>
        </w:sdt>
      </w:tr>
      <w:tr>
        <w:trPr>
          <w:trHeight w:val="273"/>
          <w:jc w:val="center"/>
        </w:trPr>
        <w:tc>
          <w:tcPr>
            <w:tcW w:w="2547" w:type="dxa"/>
            <w:vMerge/>
            <w:vAlign w:val="center"/>
          </w:tcPr>
          <w:p>
            <w:pPr>
              <w:jc w:val="center"/>
              <w:rPr>
                <w:rFonts w:ascii="宋体" w:hAnsi="宋体"/>
              </w:rPr>
            </w:pPr>
          </w:p>
        </w:tc>
        <w:sdt>
          <w:sdtPr>
            <w:rPr>
              <w:rFonts w:ascii="宋体" w:hAnsi="宋体"/>
            </w:rPr>
            <w:tag w:val="_PLD_795b6515b9ff4e1db17e1116ff60e13f"/>
            <w:id w:val="-375396821"/>
          </w:sdtPr>
          <w:sdtContent>
            <w:tc>
              <w:tcPr>
                <w:tcW w:w="1701" w:type="dxa"/>
                <w:vAlign w:val="center"/>
              </w:tcPr>
              <w:p>
                <w:pPr>
                  <w:pStyle w:val="af0"/>
                  <w:jc w:val="center"/>
                  <w:rPr>
                    <w:rFonts w:ascii="宋体" w:hAnsi="宋体"/>
                  </w:rPr>
                </w:pPr>
                <w:r>
                  <w:rPr>
                    <w:rFonts w:ascii="宋体" w:hAnsi="宋体"/>
                  </w:rPr>
                  <w:t>数量</w:t>
                </w:r>
              </w:p>
            </w:tc>
          </w:sdtContent>
        </w:sdt>
        <w:sdt>
          <w:sdtPr>
            <w:rPr>
              <w:rFonts w:ascii="宋体" w:hAnsi="宋体"/>
            </w:rPr>
            <w:tag w:val="_PLD_73d5343b919442adb141c63d11c2cfe3"/>
            <w:id w:val="2062751638"/>
          </w:sdtPr>
          <w:sdtContent>
            <w:tc>
              <w:tcPr>
                <w:tcW w:w="855" w:type="dxa"/>
                <w:vAlign w:val="center"/>
              </w:tcPr>
              <w:p>
                <w:pPr>
                  <w:pStyle w:val="af0"/>
                  <w:jc w:val="center"/>
                  <w:rPr>
                    <w:rFonts w:ascii="宋体" w:hAnsi="宋体"/>
                  </w:rPr>
                </w:pPr>
                <w:r>
                  <w:rPr>
                    <w:rFonts w:ascii="宋体" w:hAnsi="宋体"/>
                  </w:rPr>
                  <w:t>比例(%)</w:t>
                </w:r>
              </w:p>
            </w:tc>
          </w:sdtContent>
        </w:sdt>
        <w:sdt>
          <w:sdtPr>
            <w:rPr>
              <w:rFonts w:ascii="宋体" w:hAnsi="宋体"/>
            </w:rPr>
            <w:tag w:val="_PLD_8ec878ba584746ca9ce366f5c50b97db"/>
            <w:id w:val="814456663"/>
          </w:sdtPr>
          <w:sdtContent>
            <w:tc>
              <w:tcPr>
                <w:tcW w:w="1417" w:type="dxa"/>
                <w:vAlign w:val="center"/>
              </w:tcPr>
              <w:p>
                <w:pPr>
                  <w:pStyle w:val="af0"/>
                  <w:jc w:val="center"/>
                  <w:rPr>
                    <w:rFonts w:ascii="宋体" w:hAnsi="宋体"/>
                  </w:rPr>
                </w:pPr>
                <w:r>
                  <w:rPr>
                    <w:rFonts w:ascii="宋体" w:hAnsi="宋体"/>
                  </w:rPr>
                  <w:t>其他</w:t>
                </w:r>
              </w:p>
            </w:tc>
          </w:sdtContent>
        </w:sdt>
        <w:sdt>
          <w:sdtPr>
            <w:rPr>
              <w:rFonts w:ascii="宋体" w:hAnsi="宋体"/>
            </w:rPr>
            <w:tag w:val="_PLD_0597d73f82274779afc0a06c1888e731"/>
            <w:id w:val="774524105"/>
          </w:sdtPr>
          <w:sdtContent>
            <w:tc>
              <w:tcPr>
                <w:tcW w:w="1418" w:type="dxa"/>
                <w:vAlign w:val="center"/>
              </w:tcPr>
              <w:p>
                <w:pPr>
                  <w:pStyle w:val="af0"/>
                  <w:jc w:val="center"/>
                  <w:rPr>
                    <w:rFonts w:ascii="宋体" w:hAnsi="宋体"/>
                  </w:rPr>
                </w:pPr>
                <w:r>
                  <w:rPr>
                    <w:rFonts w:ascii="宋体" w:hAnsi="宋体"/>
                  </w:rPr>
                  <w:t>小计</w:t>
                </w:r>
              </w:p>
            </w:tc>
          </w:sdtContent>
        </w:sdt>
        <w:sdt>
          <w:sdtPr>
            <w:rPr>
              <w:rFonts w:ascii="宋体" w:hAnsi="宋体"/>
            </w:rPr>
            <w:tag w:val="_PLD_95f452be51ff468b8cac4a86637d7617"/>
            <w:id w:val="274143435"/>
          </w:sdtPr>
          <w:sdtContent>
            <w:tc>
              <w:tcPr>
                <w:tcW w:w="1701" w:type="dxa"/>
                <w:vAlign w:val="center"/>
              </w:tcPr>
              <w:p>
                <w:pPr>
                  <w:pStyle w:val="af0"/>
                  <w:jc w:val="center"/>
                  <w:rPr>
                    <w:rFonts w:ascii="宋体" w:hAnsi="宋体"/>
                  </w:rPr>
                </w:pPr>
                <w:r>
                  <w:rPr>
                    <w:rFonts w:ascii="宋体" w:hAnsi="宋体"/>
                  </w:rPr>
                  <w:t>数量</w:t>
                </w:r>
              </w:p>
            </w:tc>
          </w:sdtContent>
        </w:sdt>
        <w:sdt>
          <w:sdtPr>
            <w:rPr>
              <w:rFonts w:ascii="宋体" w:hAnsi="宋体"/>
            </w:rPr>
            <w:tag w:val="_PLD_27544b89219e425da5c77cd21408a3b6"/>
            <w:id w:val="1772811628"/>
          </w:sdtPr>
          <w:sdtContent>
            <w:tc>
              <w:tcPr>
                <w:tcW w:w="992" w:type="dxa"/>
                <w:vAlign w:val="center"/>
              </w:tcPr>
              <w:p>
                <w:pPr>
                  <w:pStyle w:val="af0"/>
                  <w:jc w:val="center"/>
                  <w:rPr>
                    <w:rFonts w:ascii="宋体" w:hAnsi="宋体"/>
                  </w:rPr>
                </w:pPr>
                <w:r>
                  <w:rPr>
                    <w:rFonts w:ascii="宋体" w:hAnsi="宋体"/>
                  </w:rPr>
                  <w:t>比例(%)</w:t>
                </w:r>
              </w:p>
            </w:tc>
          </w:sdtContent>
        </w:sdt>
      </w:tr>
      <w:tr>
        <w:trPr>
          <w:jc w:val="center"/>
        </w:trPr>
        <w:tc>
          <w:tcPr>
            <w:tcW w:w="2547" w:type="dxa"/>
            <w:vAlign w:val="center"/>
          </w:tcPr>
          <w:p>
            <w:pPr>
              <w:rPr>
                <w:rFonts w:ascii="宋体" w:hAnsi="宋体"/>
              </w:rPr>
            </w:pPr>
            <w:r>
              <w:rPr>
                <w:rFonts w:ascii="宋体" w:hAnsi="宋体"/>
              </w:rPr>
              <w:t>一、有限售条件股份</w:t>
            </w:r>
          </w:p>
        </w:tc>
        <w:tc>
          <w:tcPr>
            <w:tcW w:w="1701" w:type="dxa"/>
            <w:vAlign w:val="center"/>
          </w:tcPr>
          <w:p>
            <w:pPr>
              <w:jc w:val="right"/>
              <w:rPr>
                <w:rFonts w:ascii="宋体" w:hAnsi="宋体"/>
              </w:rPr>
            </w:pPr>
            <w:r>
              <w:rPr>
                <w:rFonts w:ascii="宋体" w:hAnsi="宋体"/>
              </w:rPr>
              <w:t xml:space="preserve">77,188,020 </w:t>
            </w:r>
          </w:p>
        </w:tc>
        <w:tc>
          <w:tcPr>
            <w:tcW w:w="855" w:type="dxa"/>
            <w:vAlign w:val="center"/>
          </w:tcPr>
          <w:p>
            <w:pPr>
              <w:jc w:val="right"/>
              <w:rPr>
                <w:rFonts w:ascii="宋体" w:hAnsi="宋体"/>
              </w:rPr>
            </w:pPr>
            <w:r>
              <w:rPr>
                <w:rFonts w:ascii="宋体" w:hAnsi="宋体"/>
              </w:rPr>
              <w:t xml:space="preserve">0.77 </w:t>
            </w:r>
          </w:p>
        </w:tc>
        <w:tc>
          <w:tcPr>
            <w:tcW w:w="1417" w:type="dxa"/>
            <w:vAlign w:val="center"/>
          </w:tcPr>
          <w:p>
            <w:pPr>
              <w:jc w:val="right"/>
              <w:rPr>
                <w:rFonts w:ascii="宋体" w:hAnsi="宋体"/>
              </w:rPr>
            </w:pPr>
            <w:r>
              <w:rPr>
                <w:rFonts w:ascii="宋体" w:hAnsi="宋体"/>
              </w:rPr>
              <w:t xml:space="preserve">-39,118,560 </w:t>
            </w:r>
          </w:p>
        </w:tc>
        <w:tc>
          <w:tcPr>
            <w:tcW w:w="1418" w:type="dxa"/>
            <w:vAlign w:val="center"/>
          </w:tcPr>
          <w:p>
            <w:pPr>
              <w:jc w:val="right"/>
              <w:rPr>
                <w:rFonts w:ascii="宋体" w:hAnsi="宋体"/>
              </w:rPr>
            </w:pPr>
            <w:r>
              <w:rPr>
                <w:rFonts w:ascii="宋体" w:hAnsi="宋体"/>
              </w:rPr>
              <w:t xml:space="preserve">-39,118,560 </w:t>
            </w:r>
          </w:p>
        </w:tc>
        <w:tc>
          <w:tcPr>
            <w:tcW w:w="1701" w:type="dxa"/>
            <w:vAlign w:val="center"/>
          </w:tcPr>
          <w:p>
            <w:pPr>
              <w:jc w:val="right"/>
              <w:rPr>
                <w:rFonts w:ascii="宋体" w:hAnsi="宋体"/>
              </w:rPr>
            </w:pPr>
            <w:r>
              <w:rPr>
                <w:rFonts w:ascii="宋体" w:hAnsi="宋体"/>
              </w:rPr>
              <w:t xml:space="preserve">38,069,460 </w:t>
            </w:r>
          </w:p>
        </w:tc>
        <w:tc>
          <w:tcPr>
            <w:tcW w:w="992" w:type="dxa"/>
            <w:vAlign w:val="center"/>
          </w:tcPr>
          <w:p>
            <w:pPr>
              <w:jc w:val="right"/>
              <w:rPr>
                <w:rFonts w:ascii="宋体" w:hAnsi="宋体"/>
              </w:rPr>
            </w:pPr>
            <w:r>
              <w:rPr>
                <w:rFonts w:ascii="宋体" w:hAnsi="宋体"/>
              </w:rPr>
              <w:t xml:space="preserve">0.38 </w:t>
            </w:r>
          </w:p>
        </w:tc>
      </w:tr>
      <w:tr>
        <w:trPr>
          <w:jc w:val="center"/>
        </w:trPr>
        <w:tc>
          <w:tcPr>
            <w:tcW w:w="2547" w:type="dxa"/>
            <w:vAlign w:val="center"/>
          </w:tcPr>
          <w:p>
            <w:pPr>
              <w:rPr>
                <w:rFonts w:ascii="宋体" w:hAnsi="宋体"/>
              </w:rPr>
            </w:pPr>
            <w:r>
              <w:rPr>
                <w:rFonts w:ascii="宋体" w:hAnsi="宋体"/>
              </w:rPr>
              <w:t>1、国家持股</w:t>
            </w:r>
          </w:p>
        </w:tc>
        <w:tc>
          <w:tcPr>
            <w:tcW w:w="1701" w:type="dxa"/>
            <w:vAlign w:val="center"/>
          </w:tcPr>
          <w:p>
            <w:pPr>
              <w:jc w:val="right"/>
              <w:rPr>
                <w:rFonts w:ascii="宋体" w:hAnsi="宋体"/>
              </w:rPr>
            </w:pPr>
            <w:r>
              <w:rPr>
                <w:rFonts w:ascii="宋体" w:hAnsi="宋体"/>
              </w:rPr>
              <w:t>0</w:t>
            </w:r>
          </w:p>
        </w:tc>
        <w:tc>
          <w:tcPr>
            <w:tcW w:w="855" w:type="dxa"/>
            <w:vAlign w:val="center"/>
          </w:tcPr>
          <w:p>
            <w:pPr>
              <w:jc w:val="right"/>
              <w:rPr>
                <w:rFonts w:ascii="宋体" w:hAnsi="宋体"/>
              </w:rPr>
            </w:pPr>
            <w:r>
              <w:rPr>
                <w:rFonts w:ascii="宋体" w:hAnsi="宋体"/>
              </w:rPr>
              <w:t>0</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0</w:t>
            </w:r>
          </w:p>
        </w:tc>
        <w:tc>
          <w:tcPr>
            <w:tcW w:w="992" w:type="dxa"/>
            <w:vAlign w:val="center"/>
          </w:tcPr>
          <w:p>
            <w:pPr>
              <w:jc w:val="right"/>
              <w:rPr>
                <w:rFonts w:ascii="宋体" w:hAnsi="宋体"/>
              </w:rPr>
            </w:pPr>
            <w:r>
              <w:rPr>
                <w:rFonts w:ascii="宋体" w:hAnsi="宋体"/>
              </w:rPr>
              <w:t>0</w:t>
            </w:r>
          </w:p>
        </w:tc>
      </w:tr>
      <w:tr>
        <w:trPr>
          <w:jc w:val="center"/>
        </w:trPr>
        <w:tc>
          <w:tcPr>
            <w:tcW w:w="2547" w:type="dxa"/>
            <w:vAlign w:val="center"/>
          </w:tcPr>
          <w:p>
            <w:pPr>
              <w:rPr>
                <w:rFonts w:ascii="宋体" w:hAnsi="宋体"/>
              </w:rPr>
            </w:pPr>
            <w:r>
              <w:rPr>
                <w:rFonts w:ascii="宋体" w:hAnsi="宋体"/>
              </w:rPr>
              <w:t>2、国有法人持股</w:t>
            </w:r>
          </w:p>
        </w:tc>
        <w:tc>
          <w:tcPr>
            <w:tcW w:w="1701" w:type="dxa"/>
            <w:vAlign w:val="center"/>
          </w:tcPr>
          <w:p>
            <w:pPr>
              <w:jc w:val="right"/>
              <w:rPr>
                <w:rFonts w:ascii="宋体" w:hAnsi="宋体"/>
              </w:rPr>
            </w:pPr>
            <w:r>
              <w:rPr>
                <w:rFonts w:ascii="宋体" w:hAnsi="宋体"/>
              </w:rPr>
              <w:t>0</w:t>
            </w:r>
          </w:p>
        </w:tc>
        <w:tc>
          <w:tcPr>
            <w:tcW w:w="855" w:type="dxa"/>
            <w:vAlign w:val="center"/>
          </w:tcPr>
          <w:p>
            <w:pPr>
              <w:jc w:val="right"/>
              <w:rPr>
                <w:rFonts w:ascii="宋体" w:hAnsi="宋体"/>
              </w:rPr>
            </w:pPr>
            <w:r>
              <w:rPr>
                <w:rFonts w:ascii="宋体" w:hAnsi="宋体"/>
              </w:rPr>
              <w:t>0</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0</w:t>
            </w:r>
          </w:p>
        </w:tc>
        <w:tc>
          <w:tcPr>
            <w:tcW w:w="992" w:type="dxa"/>
            <w:vAlign w:val="center"/>
          </w:tcPr>
          <w:p>
            <w:pPr>
              <w:jc w:val="right"/>
              <w:rPr>
                <w:rFonts w:ascii="宋体" w:hAnsi="宋体"/>
              </w:rPr>
            </w:pPr>
            <w:r>
              <w:rPr>
                <w:rFonts w:ascii="宋体" w:hAnsi="宋体"/>
              </w:rPr>
              <w:t>0</w:t>
            </w:r>
          </w:p>
        </w:tc>
      </w:tr>
      <w:tr>
        <w:trPr>
          <w:jc w:val="center"/>
        </w:trPr>
        <w:tc>
          <w:tcPr>
            <w:tcW w:w="2547" w:type="dxa"/>
            <w:vAlign w:val="center"/>
          </w:tcPr>
          <w:p>
            <w:pPr>
              <w:rPr>
                <w:rFonts w:ascii="宋体" w:hAnsi="宋体"/>
              </w:rPr>
            </w:pPr>
            <w:r>
              <w:rPr>
                <w:rFonts w:ascii="宋体" w:hAnsi="宋体"/>
              </w:rPr>
              <w:t>3、其他内资持股</w:t>
            </w:r>
          </w:p>
        </w:tc>
        <w:tc>
          <w:tcPr>
            <w:tcW w:w="1701" w:type="dxa"/>
            <w:vAlign w:val="center"/>
          </w:tcPr>
          <w:p>
            <w:pPr>
              <w:jc w:val="right"/>
              <w:rPr>
                <w:rFonts w:ascii="宋体" w:hAnsi="宋体"/>
              </w:rPr>
            </w:pPr>
            <w:r>
              <w:rPr>
                <w:rFonts w:ascii="宋体" w:hAnsi="宋体"/>
              </w:rPr>
              <w:t xml:space="preserve">77,188,020 </w:t>
            </w:r>
          </w:p>
        </w:tc>
        <w:tc>
          <w:tcPr>
            <w:tcW w:w="855" w:type="dxa"/>
            <w:vAlign w:val="center"/>
          </w:tcPr>
          <w:p>
            <w:pPr>
              <w:jc w:val="right"/>
              <w:rPr>
                <w:rFonts w:ascii="宋体" w:hAnsi="宋体"/>
              </w:rPr>
            </w:pPr>
            <w:r>
              <w:rPr>
                <w:rFonts w:ascii="宋体" w:hAnsi="宋体"/>
              </w:rPr>
              <w:t xml:space="preserve">0.77 </w:t>
            </w:r>
          </w:p>
        </w:tc>
        <w:tc>
          <w:tcPr>
            <w:tcW w:w="1417" w:type="dxa"/>
            <w:vAlign w:val="center"/>
          </w:tcPr>
          <w:p>
            <w:pPr>
              <w:jc w:val="right"/>
              <w:rPr>
                <w:rFonts w:ascii="宋体" w:hAnsi="宋体"/>
              </w:rPr>
            </w:pPr>
            <w:r>
              <w:rPr>
                <w:rFonts w:ascii="宋体" w:hAnsi="宋体"/>
              </w:rPr>
              <w:t xml:space="preserve">-39,118,560 </w:t>
            </w:r>
          </w:p>
        </w:tc>
        <w:tc>
          <w:tcPr>
            <w:tcW w:w="1418" w:type="dxa"/>
            <w:vAlign w:val="center"/>
          </w:tcPr>
          <w:p>
            <w:pPr>
              <w:jc w:val="right"/>
              <w:rPr>
                <w:rFonts w:ascii="宋体" w:hAnsi="宋体"/>
              </w:rPr>
            </w:pPr>
            <w:r>
              <w:rPr>
                <w:rFonts w:ascii="宋体" w:hAnsi="宋体"/>
              </w:rPr>
              <w:t xml:space="preserve">-39,118,560 </w:t>
            </w:r>
          </w:p>
        </w:tc>
        <w:tc>
          <w:tcPr>
            <w:tcW w:w="1701" w:type="dxa"/>
            <w:vAlign w:val="center"/>
          </w:tcPr>
          <w:p>
            <w:pPr>
              <w:jc w:val="right"/>
              <w:rPr>
                <w:rFonts w:ascii="宋体" w:hAnsi="宋体"/>
              </w:rPr>
            </w:pPr>
            <w:r>
              <w:rPr>
                <w:rFonts w:ascii="宋体" w:hAnsi="宋体"/>
              </w:rPr>
              <w:t xml:space="preserve">38,069,460 </w:t>
            </w:r>
          </w:p>
        </w:tc>
        <w:tc>
          <w:tcPr>
            <w:tcW w:w="992" w:type="dxa"/>
            <w:vAlign w:val="center"/>
          </w:tcPr>
          <w:p>
            <w:pPr>
              <w:jc w:val="right"/>
              <w:rPr>
                <w:rFonts w:ascii="宋体" w:hAnsi="宋体"/>
              </w:rPr>
            </w:pPr>
            <w:r>
              <w:rPr>
                <w:rFonts w:ascii="宋体" w:hAnsi="宋体"/>
              </w:rPr>
              <w:t xml:space="preserve">0.38 </w:t>
            </w:r>
          </w:p>
        </w:tc>
      </w:tr>
      <w:tr>
        <w:trPr>
          <w:jc w:val="center"/>
        </w:trPr>
        <w:tc>
          <w:tcPr>
            <w:tcW w:w="2547" w:type="dxa"/>
            <w:vAlign w:val="center"/>
          </w:tcPr>
          <w:p>
            <w:pPr>
              <w:rPr>
                <w:rFonts w:ascii="宋体" w:hAnsi="宋体"/>
              </w:rPr>
            </w:pPr>
            <w:r>
              <w:rPr>
                <w:rFonts w:ascii="宋体" w:hAnsi="宋体"/>
              </w:rPr>
              <w:t>其中：境内非国有法人</w:t>
            </w:r>
          </w:p>
          <w:p>
            <w:pPr>
              <w:rPr>
                <w:rFonts w:ascii="宋体" w:hAnsi="宋体"/>
              </w:rPr>
            </w:pPr>
            <w:r>
              <w:rPr>
                <w:rFonts w:ascii="宋体" w:hAnsi="宋体"/>
              </w:rPr>
              <w:t>持股</w:t>
            </w:r>
          </w:p>
        </w:tc>
        <w:tc>
          <w:tcPr>
            <w:tcW w:w="1701" w:type="dxa"/>
            <w:vAlign w:val="center"/>
          </w:tcPr>
          <w:p>
            <w:pPr>
              <w:jc w:val="right"/>
              <w:rPr>
                <w:rFonts w:ascii="宋体" w:hAnsi="宋体"/>
              </w:rPr>
            </w:pPr>
            <w:r>
              <w:rPr>
                <w:rFonts w:ascii="宋体" w:hAnsi="宋体"/>
              </w:rPr>
              <w:t>0</w:t>
            </w:r>
          </w:p>
        </w:tc>
        <w:tc>
          <w:tcPr>
            <w:tcW w:w="855" w:type="dxa"/>
            <w:vAlign w:val="center"/>
          </w:tcPr>
          <w:p>
            <w:pPr>
              <w:jc w:val="right"/>
              <w:rPr>
                <w:rFonts w:ascii="宋体" w:hAnsi="宋体"/>
              </w:rPr>
            </w:pPr>
            <w:r>
              <w:rPr>
                <w:rFonts w:ascii="宋体" w:hAnsi="宋体"/>
              </w:rPr>
              <w:t>0</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0</w:t>
            </w:r>
          </w:p>
        </w:tc>
        <w:tc>
          <w:tcPr>
            <w:tcW w:w="992" w:type="dxa"/>
            <w:vAlign w:val="center"/>
          </w:tcPr>
          <w:p>
            <w:pPr>
              <w:jc w:val="right"/>
              <w:rPr>
                <w:rFonts w:ascii="宋体" w:hAnsi="宋体"/>
              </w:rPr>
            </w:pPr>
            <w:r>
              <w:rPr>
                <w:rFonts w:ascii="宋体" w:hAnsi="宋体"/>
              </w:rPr>
              <w:t>0</w:t>
            </w:r>
          </w:p>
        </w:tc>
      </w:tr>
      <w:tr>
        <w:trPr>
          <w:jc w:val="center"/>
        </w:trPr>
        <w:tc>
          <w:tcPr>
            <w:tcW w:w="2547" w:type="dxa"/>
            <w:vAlign w:val="center"/>
          </w:tcPr>
          <w:p>
            <w:pPr>
              <w:ind w:firstLineChars="300" w:firstLine="630"/>
              <w:rPr>
                <w:rFonts w:ascii="宋体" w:hAnsi="宋体"/>
              </w:rPr>
            </w:pPr>
            <w:r>
              <w:rPr>
                <w:rFonts w:ascii="宋体" w:hAnsi="宋体"/>
              </w:rPr>
              <w:t>境内自然人持股</w:t>
            </w:r>
          </w:p>
        </w:tc>
        <w:tc>
          <w:tcPr>
            <w:tcW w:w="1701" w:type="dxa"/>
            <w:vAlign w:val="center"/>
          </w:tcPr>
          <w:p>
            <w:pPr>
              <w:jc w:val="right"/>
              <w:rPr>
                <w:rFonts w:ascii="宋体" w:hAnsi="宋体"/>
              </w:rPr>
            </w:pPr>
            <w:r>
              <w:rPr>
                <w:rFonts w:ascii="宋体" w:hAnsi="宋体"/>
              </w:rPr>
              <w:t xml:space="preserve">77,188,020 </w:t>
            </w:r>
          </w:p>
        </w:tc>
        <w:tc>
          <w:tcPr>
            <w:tcW w:w="855" w:type="dxa"/>
            <w:vAlign w:val="center"/>
          </w:tcPr>
          <w:p>
            <w:pPr>
              <w:jc w:val="right"/>
              <w:rPr>
                <w:rFonts w:ascii="宋体" w:hAnsi="宋体"/>
              </w:rPr>
            </w:pPr>
            <w:r>
              <w:rPr>
                <w:rFonts w:ascii="宋体" w:hAnsi="宋体"/>
              </w:rPr>
              <w:t xml:space="preserve">0.77 </w:t>
            </w:r>
          </w:p>
        </w:tc>
        <w:tc>
          <w:tcPr>
            <w:tcW w:w="1417" w:type="dxa"/>
            <w:vAlign w:val="center"/>
          </w:tcPr>
          <w:p>
            <w:pPr>
              <w:jc w:val="right"/>
              <w:rPr>
                <w:rFonts w:ascii="宋体" w:hAnsi="宋体"/>
              </w:rPr>
            </w:pPr>
            <w:r>
              <w:rPr>
                <w:rFonts w:ascii="宋体" w:hAnsi="宋体"/>
              </w:rPr>
              <w:t xml:space="preserve">-39,118,560 </w:t>
            </w:r>
          </w:p>
        </w:tc>
        <w:tc>
          <w:tcPr>
            <w:tcW w:w="1418" w:type="dxa"/>
            <w:vAlign w:val="center"/>
          </w:tcPr>
          <w:p>
            <w:pPr>
              <w:jc w:val="right"/>
              <w:rPr>
                <w:rFonts w:ascii="宋体" w:hAnsi="宋体"/>
              </w:rPr>
            </w:pPr>
            <w:r>
              <w:rPr>
                <w:rFonts w:ascii="宋体" w:hAnsi="宋体"/>
              </w:rPr>
              <w:t xml:space="preserve">-39,118,560 </w:t>
            </w:r>
          </w:p>
        </w:tc>
        <w:tc>
          <w:tcPr>
            <w:tcW w:w="1701" w:type="dxa"/>
            <w:vAlign w:val="center"/>
          </w:tcPr>
          <w:p>
            <w:pPr>
              <w:jc w:val="right"/>
              <w:rPr>
                <w:rFonts w:ascii="宋体" w:hAnsi="宋体"/>
              </w:rPr>
            </w:pPr>
            <w:r>
              <w:rPr>
                <w:rFonts w:ascii="宋体" w:hAnsi="宋体"/>
              </w:rPr>
              <w:t xml:space="preserve">38,069,460 </w:t>
            </w:r>
          </w:p>
        </w:tc>
        <w:tc>
          <w:tcPr>
            <w:tcW w:w="992" w:type="dxa"/>
            <w:vAlign w:val="center"/>
          </w:tcPr>
          <w:p>
            <w:pPr>
              <w:jc w:val="right"/>
              <w:rPr>
                <w:rFonts w:ascii="宋体" w:hAnsi="宋体"/>
              </w:rPr>
            </w:pPr>
            <w:r>
              <w:rPr>
                <w:rFonts w:ascii="宋体" w:hAnsi="宋体"/>
              </w:rPr>
              <w:t xml:space="preserve">0.38 </w:t>
            </w:r>
          </w:p>
        </w:tc>
      </w:tr>
      <w:tr>
        <w:trPr>
          <w:jc w:val="center"/>
        </w:trPr>
        <w:tc>
          <w:tcPr>
            <w:tcW w:w="2547" w:type="dxa"/>
            <w:vAlign w:val="center"/>
          </w:tcPr>
          <w:p>
            <w:pPr>
              <w:rPr>
                <w:rFonts w:ascii="宋体" w:hAnsi="宋体"/>
              </w:rPr>
            </w:pPr>
            <w:r>
              <w:rPr>
                <w:rFonts w:ascii="宋体" w:hAnsi="宋体" w:hint="eastAsia"/>
              </w:rPr>
              <w:t>4、</w:t>
            </w:r>
            <w:r>
              <w:rPr>
                <w:rFonts w:ascii="宋体" w:hAnsi="宋体"/>
              </w:rPr>
              <w:t>外资持股</w:t>
            </w:r>
          </w:p>
        </w:tc>
        <w:tc>
          <w:tcPr>
            <w:tcW w:w="1701" w:type="dxa"/>
            <w:vAlign w:val="center"/>
          </w:tcPr>
          <w:p>
            <w:pPr>
              <w:jc w:val="right"/>
              <w:rPr>
                <w:rFonts w:ascii="宋体" w:hAnsi="宋体"/>
              </w:rPr>
            </w:pPr>
            <w:r>
              <w:rPr>
                <w:rFonts w:ascii="宋体" w:hAnsi="宋体"/>
              </w:rPr>
              <w:t>0</w:t>
            </w:r>
          </w:p>
        </w:tc>
        <w:tc>
          <w:tcPr>
            <w:tcW w:w="855" w:type="dxa"/>
            <w:vAlign w:val="center"/>
          </w:tcPr>
          <w:p>
            <w:pPr>
              <w:jc w:val="right"/>
              <w:rPr>
                <w:rFonts w:ascii="宋体" w:hAnsi="宋体"/>
              </w:rPr>
            </w:pPr>
            <w:r>
              <w:rPr>
                <w:rFonts w:ascii="宋体" w:hAnsi="宋体"/>
              </w:rPr>
              <w:t>0</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0</w:t>
            </w:r>
          </w:p>
        </w:tc>
        <w:tc>
          <w:tcPr>
            <w:tcW w:w="992" w:type="dxa"/>
            <w:vAlign w:val="center"/>
          </w:tcPr>
          <w:p>
            <w:pPr>
              <w:jc w:val="right"/>
              <w:rPr>
                <w:rFonts w:ascii="宋体" w:hAnsi="宋体"/>
              </w:rPr>
            </w:pPr>
            <w:r>
              <w:rPr>
                <w:rFonts w:ascii="宋体" w:hAnsi="宋体"/>
              </w:rPr>
              <w:t>0</w:t>
            </w:r>
          </w:p>
        </w:tc>
      </w:tr>
      <w:tr>
        <w:trPr>
          <w:jc w:val="center"/>
        </w:trPr>
        <w:tc>
          <w:tcPr>
            <w:tcW w:w="2547" w:type="dxa"/>
            <w:vAlign w:val="center"/>
          </w:tcPr>
          <w:p>
            <w:pPr>
              <w:rPr>
                <w:rFonts w:ascii="宋体" w:hAnsi="宋体"/>
              </w:rPr>
            </w:pPr>
            <w:r>
              <w:rPr>
                <w:rFonts w:ascii="宋体" w:hAnsi="宋体"/>
              </w:rPr>
              <w:t>其中：境外法人持股</w:t>
            </w:r>
          </w:p>
        </w:tc>
        <w:tc>
          <w:tcPr>
            <w:tcW w:w="1701" w:type="dxa"/>
            <w:vAlign w:val="center"/>
          </w:tcPr>
          <w:p>
            <w:pPr>
              <w:jc w:val="right"/>
              <w:rPr>
                <w:rFonts w:ascii="宋体" w:hAnsi="宋体"/>
              </w:rPr>
            </w:pPr>
            <w:r>
              <w:rPr>
                <w:rFonts w:ascii="宋体" w:hAnsi="宋体"/>
              </w:rPr>
              <w:t>0</w:t>
            </w:r>
          </w:p>
        </w:tc>
        <w:tc>
          <w:tcPr>
            <w:tcW w:w="855" w:type="dxa"/>
            <w:vAlign w:val="center"/>
          </w:tcPr>
          <w:p>
            <w:pPr>
              <w:jc w:val="right"/>
              <w:rPr>
                <w:rFonts w:ascii="宋体" w:hAnsi="宋体"/>
              </w:rPr>
            </w:pPr>
            <w:r>
              <w:rPr>
                <w:rFonts w:ascii="宋体" w:hAnsi="宋体"/>
              </w:rPr>
              <w:t>0</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0</w:t>
            </w:r>
          </w:p>
        </w:tc>
        <w:tc>
          <w:tcPr>
            <w:tcW w:w="992" w:type="dxa"/>
            <w:vAlign w:val="center"/>
          </w:tcPr>
          <w:p>
            <w:pPr>
              <w:jc w:val="right"/>
              <w:rPr>
                <w:rFonts w:ascii="宋体" w:hAnsi="宋体"/>
              </w:rPr>
            </w:pPr>
            <w:r>
              <w:rPr>
                <w:rFonts w:ascii="宋体" w:hAnsi="宋体"/>
              </w:rPr>
              <w:t>0</w:t>
            </w:r>
          </w:p>
        </w:tc>
      </w:tr>
      <w:tr>
        <w:trPr>
          <w:jc w:val="center"/>
        </w:trPr>
        <w:tc>
          <w:tcPr>
            <w:tcW w:w="2547" w:type="dxa"/>
            <w:vAlign w:val="center"/>
          </w:tcPr>
          <w:p>
            <w:pPr>
              <w:ind w:firstLineChars="300" w:firstLine="630"/>
              <w:rPr>
                <w:rFonts w:ascii="宋体" w:hAnsi="宋体"/>
              </w:rPr>
            </w:pPr>
            <w:r>
              <w:rPr>
                <w:rFonts w:ascii="宋体" w:hAnsi="宋体"/>
              </w:rPr>
              <w:t>境外自然人持股</w:t>
            </w:r>
          </w:p>
        </w:tc>
        <w:tc>
          <w:tcPr>
            <w:tcW w:w="1701" w:type="dxa"/>
            <w:vAlign w:val="center"/>
          </w:tcPr>
          <w:p>
            <w:pPr>
              <w:jc w:val="right"/>
              <w:rPr>
                <w:rFonts w:ascii="宋体" w:hAnsi="宋体"/>
              </w:rPr>
            </w:pPr>
            <w:r>
              <w:rPr>
                <w:rFonts w:ascii="宋体" w:hAnsi="宋体"/>
              </w:rPr>
              <w:t>0</w:t>
            </w:r>
          </w:p>
        </w:tc>
        <w:tc>
          <w:tcPr>
            <w:tcW w:w="855" w:type="dxa"/>
            <w:vAlign w:val="center"/>
          </w:tcPr>
          <w:p>
            <w:pPr>
              <w:jc w:val="right"/>
              <w:rPr>
                <w:rFonts w:ascii="宋体" w:hAnsi="宋体"/>
              </w:rPr>
            </w:pPr>
            <w:r>
              <w:rPr>
                <w:rFonts w:ascii="宋体" w:hAnsi="宋体"/>
              </w:rPr>
              <w:t>0</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0</w:t>
            </w:r>
          </w:p>
        </w:tc>
        <w:tc>
          <w:tcPr>
            <w:tcW w:w="992" w:type="dxa"/>
            <w:vAlign w:val="center"/>
          </w:tcPr>
          <w:p>
            <w:pPr>
              <w:jc w:val="right"/>
              <w:rPr>
                <w:rFonts w:ascii="宋体" w:hAnsi="宋体"/>
              </w:rPr>
            </w:pPr>
            <w:r>
              <w:rPr>
                <w:rFonts w:ascii="宋体" w:hAnsi="宋体"/>
              </w:rPr>
              <w:t>0</w:t>
            </w:r>
          </w:p>
        </w:tc>
      </w:tr>
      <w:tr>
        <w:trPr>
          <w:jc w:val="center"/>
        </w:trPr>
        <w:tc>
          <w:tcPr>
            <w:tcW w:w="2547" w:type="dxa"/>
            <w:vAlign w:val="center"/>
          </w:tcPr>
          <w:p>
            <w:pPr>
              <w:pStyle w:val="ac"/>
              <w:rPr>
                <w:rFonts w:ascii="宋体" w:hAnsi="宋体"/>
              </w:rPr>
            </w:pPr>
            <w:r>
              <w:rPr>
                <w:rFonts w:ascii="宋体" w:hAnsi="宋体"/>
              </w:rPr>
              <w:t>二、无限售条件流通股份</w:t>
            </w:r>
          </w:p>
        </w:tc>
        <w:tc>
          <w:tcPr>
            <w:tcW w:w="1701" w:type="dxa"/>
            <w:vAlign w:val="center"/>
          </w:tcPr>
          <w:p>
            <w:pPr>
              <w:jc w:val="right"/>
              <w:rPr>
                <w:rFonts w:ascii="宋体" w:hAnsi="宋体"/>
              </w:rPr>
            </w:pPr>
            <w:r>
              <w:rPr>
                <w:rFonts w:ascii="宋体" w:hAnsi="宋体"/>
              </w:rPr>
              <w:t xml:space="preserve">9,962,672,382 </w:t>
            </w:r>
          </w:p>
        </w:tc>
        <w:tc>
          <w:tcPr>
            <w:tcW w:w="855" w:type="dxa"/>
            <w:vAlign w:val="center"/>
          </w:tcPr>
          <w:p>
            <w:pPr>
              <w:jc w:val="right"/>
              <w:rPr>
                <w:rFonts w:ascii="宋体" w:hAnsi="宋体"/>
              </w:rPr>
            </w:pPr>
            <w:r>
              <w:rPr>
                <w:rFonts w:ascii="宋体" w:hAnsi="宋体"/>
              </w:rPr>
              <w:t xml:space="preserve">99.23 </w:t>
            </w:r>
          </w:p>
        </w:tc>
        <w:tc>
          <w:tcPr>
            <w:tcW w:w="1417" w:type="dxa"/>
            <w:vAlign w:val="center"/>
          </w:tcPr>
          <w:p>
            <w:pPr>
              <w:jc w:val="right"/>
              <w:rPr>
                <w:rFonts w:ascii="宋体" w:hAnsi="宋体"/>
              </w:rPr>
            </w:pPr>
            <w:r>
              <w:rPr>
                <w:rFonts w:ascii="宋体" w:hAnsi="宋体"/>
              </w:rPr>
              <w:t>36,738,702</w:t>
            </w:r>
          </w:p>
        </w:tc>
        <w:tc>
          <w:tcPr>
            <w:tcW w:w="1418" w:type="dxa"/>
            <w:vAlign w:val="center"/>
          </w:tcPr>
          <w:p>
            <w:pPr>
              <w:jc w:val="right"/>
              <w:rPr>
                <w:rFonts w:ascii="宋体" w:hAnsi="宋体"/>
              </w:rPr>
            </w:pPr>
            <w:r>
              <w:rPr>
                <w:rFonts w:ascii="宋体" w:hAnsi="宋体"/>
              </w:rPr>
              <w:t xml:space="preserve">36,738,702 </w:t>
            </w:r>
          </w:p>
        </w:tc>
        <w:tc>
          <w:tcPr>
            <w:tcW w:w="1701" w:type="dxa"/>
            <w:vAlign w:val="center"/>
          </w:tcPr>
          <w:p>
            <w:pPr>
              <w:jc w:val="right"/>
              <w:rPr>
                <w:rFonts w:ascii="宋体" w:hAnsi="宋体"/>
              </w:rPr>
            </w:pPr>
            <w:r>
              <w:rPr>
                <w:rFonts w:ascii="宋体" w:hAnsi="宋体"/>
              </w:rPr>
              <w:t xml:space="preserve">9,999,411,084 </w:t>
            </w:r>
          </w:p>
        </w:tc>
        <w:tc>
          <w:tcPr>
            <w:tcW w:w="992" w:type="dxa"/>
            <w:vAlign w:val="center"/>
          </w:tcPr>
          <w:p>
            <w:pPr>
              <w:jc w:val="right"/>
              <w:rPr>
                <w:rFonts w:ascii="宋体" w:hAnsi="宋体"/>
              </w:rPr>
            </w:pPr>
            <w:r>
              <w:rPr>
                <w:rFonts w:ascii="宋体" w:hAnsi="宋体"/>
              </w:rPr>
              <w:t xml:space="preserve">99.62 </w:t>
            </w:r>
          </w:p>
        </w:tc>
      </w:tr>
      <w:tr>
        <w:trPr>
          <w:jc w:val="center"/>
        </w:trPr>
        <w:tc>
          <w:tcPr>
            <w:tcW w:w="2547" w:type="dxa"/>
            <w:vAlign w:val="center"/>
          </w:tcPr>
          <w:p>
            <w:pPr>
              <w:rPr>
                <w:rFonts w:ascii="宋体" w:hAnsi="宋体"/>
              </w:rPr>
            </w:pPr>
            <w:r>
              <w:rPr>
                <w:rFonts w:ascii="宋体" w:hAnsi="宋体"/>
              </w:rPr>
              <w:t>1、人民币普通股</w:t>
            </w:r>
          </w:p>
        </w:tc>
        <w:tc>
          <w:tcPr>
            <w:tcW w:w="1701" w:type="dxa"/>
            <w:vAlign w:val="center"/>
          </w:tcPr>
          <w:p>
            <w:pPr>
              <w:jc w:val="right"/>
              <w:rPr>
                <w:rFonts w:ascii="宋体" w:hAnsi="宋体"/>
              </w:rPr>
            </w:pPr>
            <w:r>
              <w:rPr>
                <w:rFonts w:ascii="宋体" w:hAnsi="宋体"/>
              </w:rPr>
              <w:t xml:space="preserve">5,887,172,382 </w:t>
            </w:r>
          </w:p>
        </w:tc>
        <w:tc>
          <w:tcPr>
            <w:tcW w:w="855" w:type="dxa"/>
            <w:vAlign w:val="center"/>
          </w:tcPr>
          <w:p>
            <w:pPr>
              <w:jc w:val="right"/>
              <w:rPr>
                <w:rFonts w:ascii="宋体" w:hAnsi="宋体"/>
              </w:rPr>
            </w:pPr>
            <w:r>
              <w:rPr>
                <w:rFonts w:ascii="宋体" w:hAnsi="宋体"/>
              </w:rPr>
              <w:t xml:space="preserve">58.64 </w:t>
            </w:r>
          </w:p>
        </w:tc>
        <w:tc>
          <w:tcPr>
            <w:tcW w:w="1417" w:type="dxa"/>
            <w:vAlign w:val="center"/>
          </w:tcPr>
          <w:p>
            <w:pPr>
              <w:jc w:val="right"/>
              <w:rPr>
                <w:rFonts w:ascii="宋体" w:hAnsi="宋体"/>
              </w:rPr>
            </w:pPr>
            <w:r>
              <w:rPr>
                <w:rFonts w:ascii="宋体" w:hAnsi="宋体"/>
              </w:rPr>
              <w:t>36,738,702</w:t>
            </w:r>
          </w:p>
        </w:tc>
        <w:tc>
          <w:tcPr>
            <w:tcW w:w="1418" w:type="dxa"/>
            <w:vAlign w:val="center"/>
          </w:tcPr>
          <w:p>
            <w:pPr>
              <w:jc w:val="right"/>
              <w:rPr>
                <w:rFonts w:ascii="宋体" w:hAnsi="宋体"/>
              </w:rPr>
            </w:pPr>
            <w:r>
              <w:rPr>
                <w:rFonts w:ascii="宋体" w:hAnsi="宋体"/>
              </w:rPr>
              <w:t xml:space="preserve">36,738,702 </w:t>
            </w:r>
          </w:p>
        </w:tc>
        <w:tc>
          <w:tcPr>
            <w:tcW w:w="1701" w:type="dxa"/>
            <w:vAlign w:val="center"/>
          </w:tcPr>
          <w:p>
            <w:pPr>
              <w:jc w:val="right"/>
              <w:rPr>
                <w:rFonts w:ascii="宋体" w:hAnsi="宋体"/>
              </w:rPr>
            </w:pPr>
            <w:r>
              <w:rPr>
                <w:rFonts w:ascii="宋体" w:hAnsi="宋体"/>
              </w:rPr>
              <w:t xml:space="preserve">5,923,911,084 </w:t>
            </w:r>
          </w:p>
        </w:tc>
        <w:tc>
          <w:tcPr>
            <w:tcW w:w="992" w:type="dxa"/>
            <w:vAlign w:val="center"/>
          </w:tcPr>
          <w:p>
            <w:pPr>
              <w:jc w:val="right"/>
              <w:rPr>
                <w:rFonts w:ascii="宋体" w:hAnsi="宋体"/>
              </w:rPr>
            </w:pPr>
            <w:r>
              <w:rPr>
                <w:rFonts w:ascii="宋体" w:hAnsi="宋体"/>
              </w:rPr>
              <w:t xml:space="preserve">59.02 </w:t>
            </w:r>
          </w:p>
        </w:tc>
      </w:tr>
      <w:tr>
        <w:trPr>
          <w:jc w:val="center"/>
        </w:trPr>
        <w:tc>
          <w:tcPr>
            <w:tcW w:w="2547" w:type="dxa"/>
            <w:vAlign w:val="center"/>
          </w:tcPr>
          <w:p>
            <w:pPr>
              <w:rPr>
                <w:rFonts w:ascii="宋体" w:hAnsi="宋体"/>
              </w:rPr>
            </w:pPr>
            <w:r>
              <w:rPr>
                <w:rFonts w:ascii="宋体" w:hAnsi="宋体"/>
              </w:rPr>
              <w:t>2、境内上市的外资股</w:t>
            </w:r>
          </w:p>
        </w:tc>
        <w:tc>
          <w:tcPr>
            <w:tcW w:w="1701" w:type="dxa"/>
            <w:vAlign w:val="center"/>
          </w:tcPr>
          <w:p>
            <w:pPr>
              <w:jc w:val="right"/>
              <w:rPr>
                <w:rFonts w:ascii="宋体" w:hAnsi="宋体"/>
              </w:rPr>
            </w:pPr>
            <w:r>
              <w:rPr>
                <w:rFonts w:ascii="宋体" w:hAnsi="宋体"/>
              </w:rPr>
              <w:t>0</w:t>
            </w:r>
          </w:p>
        </w:tc>
        <w:tc>
          <w:tcPr>
            <w:tcW w:w="855" w:type="dxa"/>
            <w:vAlign w:val="center"/>
          </w:tcPr>
          <w:p>
            <w:pPr>
              <w:jc w:val="right"/>
              <w:rPr>
                <w:rFonts w:ascii="宋体" w:hAnsi="宋体"/>
              </w:rPr>
            </w:pPr>
            <w:r>
              <w:rPr>
                <w:rFonts w:ascii="宋体" w:hAnsi="宋体"/>
              </w:rPr>
              <w:t>0</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0</w:t>
            </w:r>
          </w:p>
        </w:tc>
        <w:tc>
          <w:tcPr>
            <w:tcW w:w="992" w:type="dxa"/>
            <w:vAlign w:val="center"/>
          </w:tcPr>
          <w:p>
            <w:pPr>
              <w:jc w:val="right"/>
              <w:rPr>
                <w:rFonts w:ascii="宋体" w:hAnsi="宋体"/>
              </w:rPr>
            </w:pPr>
            <w:r>
              <w:rPr>
                <w:rFonts w:ascii="宋体" w:hAnsi="宋体"/>
              </w:rPr>
              <w:t>0</w:t>
            </w:r>
          </w:p>
        </w:tc>
      </w:tr>
      <w:tr>
        <w:trPr>
          <w:jc w:val="center"/>
        </w:trPr>
        <w:tc>
          <w:tcPr>
            <w:tcW w:w="2547" w:type="dxa"/>
            <w:vAlign w:val="center"/>
          </w:tcPr>
          <w:p>
            <w:pPr>
              <w:rPr>
                <w:rFonts w:ascii="宋体" w:hAnsi="宋体"/>
              </w:rPr>
            </w:pPr>
            <w:r>
              <w:rPr>
                <w:rFonts w:ascii="宋体" w:hAnsi="宋体"/>
              </w:rPr>
              <w:t>3、境外上市的外资股</w:t>
            </w:r>
          </w:p>
        </w:tc>
        <w:tc>
          <w:tcPr>
            <w:tcW w:w="1701" w:type="dxa"/>
            <w:vAlign w:val="center"/>
          </w:tcPr>
          <w:p>
            <w:pPr>
              <w:jc w:val="right"/>
              <w:rPr>
                <w:rFonts w:ascii="宋体" w:hAnsi="宋体"/>
              </w:rPr>
            </w:pPr>
            <w:r>
              <w:rPr>
                <w:rFonts w:ascii="宋体" w:hAnsi="宋体"/>
              </w:rPr>
              <w:t xml:space="preserve">4,075,500,000 </w:t>
            </w:r>
          </w:p>
        </w:tc>
        <w:tc>
          <w:tcPr>
            <w:tcW w:w="855" w:type="dxa"/>
            <w:vAlign w:val="center"/>
          </w:tcPr>
          <w:p>
            <w:pPr>
              <w:jc w:val="right"/>
              <w:rPr>
                <w:rFonts w:ascii="宋体" w:hAnsi="宋体"/>
              </w:rPr>
            </w:pPr>
            <w:r>
              <w:rPr>
                <w:rFonts w:ascii="宋体" w:hAnsi="宋体"/>
              </w:rPr>
              <w:t xml:space="preserve">40.59 </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 xml:space="preserve">4,075,500,000 </w:t>
            </w:r>
          </w:p>
        </w:tc>
        <w:tc>
          <w:tcPr>
            <w:tcW w:w="992" w:type="dxa"/>
            <w:vAlign w:val="center"/>
          </w:tcPr>
          <w:p>
            <w:pPr>
              <w:jc w:val="right"/>
              <w:rPr>
                <w:rFonts w:ascii="宋体" w:hAnsi="宋体"/>
              </w:rPr>
            </w:pPr>
            <w:r>
              <w:rPr>
                <w:rFonts w:ascii="宋体" w:hAnsi="宋体"/>
              </w:rPr>
              <w:t xml:space="preserve">40.60 </w:t>
            </w:r>
          </w:p>
        </w:tc>
      </w:tr>
      <w:tr>
        <w:trPr>
          <w:jc w:val="center"/>
        </w:trPr>
        <w:tc>
          <w:tcPr>
            <w:tcW w:w="2547" w:type="dxa"/>
            <w:vAlign w:val="center"/>
          </w:tcPr>
          <w:p>
            <w:pPr>
              <w:rPr>
                <w:rFonts w:ascii="宋体" w:hAnsi="宋体"/>
              </w:rPr>
            </w:pPr>
            <w:r>
              <w:rPr>
                <w:rFonts w:ascii="宋体" w:hAnsi="宋体"/>
              </w:rPr>
              <w:t>4、其他</w:t>
            </w:r>
          </w:p>
        </w:tc>
        <w:tc>
          <w:tcPr>
            <w:tcW w:w="1701" w:type="dxa"/>
            <w:vAlign w:val="center"/>
          </w:tcPr>
          <w:p>
            <w:pPr>
              <w:jc w:val="right"/>
              <w:rPr>
                <w:rFonts w:ascii="宋体" w:hAnsi="宋体"/>
              </w:rPr>
            </w:pPr>
            <w:r>
              <w:rPr>
                <w:rFonts w:ascii="宋体" w:hAnsi="宋体"/>
              </w:rPr>
              <w:t>0</w:t>
            </w:r>
          </w:p>
        </w:tc>
        <w:tc>
          <w:tcPr>
            <w:tcW w:w="855" w:type="dxa"/>
            <w:vAlign w:val="center"/>
          </w:tcPr>
          <w:p>
            <w:pPr>
              <w:jc w:val="right"/>
              <w:rPr>
                <w:rFonts w:ascii="宋体" w:hAnsi="宋体"/>
              </w:rPr>
            </w:pPr>
            <w:r>
              <w:rPr>
                <w:rFonts w:ascii="宋体" w:hAnsi="宋体"/>
              </w:rPr>
              <w:t>0</w:t>
            </w:r>
          </w:p>
        </w:tc>
        <w:tc>
          <w:tcPr>
            <w:tcW w:w="1417" w:type="dxa"/>
            <w:vAlign w:val="center"/>
          </w:tcPr>
          <w:p>
            <w:pPr>
              <w:jc w:val="right"/>
              <w:rPr>
                <w:rFonts w:ascii="宋体" w:hAnsi="宋体"/>
              </w:rPr>
            </w:pPr>
            <w:r>
              <w:rPr>
                <w:rFonts w:ascii="宋体" w:hAnsi="宋体"/>
              </w:rPr>
              <w:t>0</w:t>
            </w:r>
          </w:p>
        </w:tc>
        <w:tc>
          <w:tcPr>
            <w:tcW w:w="1418" w:type="dxa"/>
            <w:vAlign w:val="center"/>
          </w:tcPr>
          <w:p>
            <w:pPr>
              <w:jc w:val="right"/>
              <w:rPr>
                <w:rFonts w:ascii="宋体" w:hAnsi="宋体"/>
              </w:rPr>
            </w:pPr>
            <w:r>
              <w:rPr>
                <w:rFonts w:ascii="宋体" w:hAnsi="宋体"/>
              </w:rPr>
              <w:t>0</w:t>
            </w:r>
          </w:p>
        </w:tc>
        <w:tc>
          <w:tcPr>
            <w:tcW w:w="1701" w:type="dxa"/>
            <w:vAlign w:val="center"/>
          </w:tcPr>
          <w:p>
            <w:pPr>
              <w:jc w:val="right"/>
              <w:rPr>
                <w:rFonts w:ascii="宋体" w:hAnsi="宋体"/>
              </w:rPr>
            </w:pPr>
            <w:r>
              <w:rPr>
                <w:rFonts w:ascii="宋体" w:hAnsi="宋体"/>
              </w:rPr>
              <w:t>0</w:t>
            </w:r>
          </w:p>
        </w:tc>
        <w:tc>
          <w:tcPr>
            <w:tcW w:w="992" w:type="dxa"/>
            <w:vAlign w:val="center"/>
          </w:tcPr>
          <w:p>
            <w:pPr>
              <w:jc w:val="right"/>
              <w:rPr>
                <w:rFonts w:ascii="宋体" w:hAnsi="宋体"/>
              </w:rPr>
            </w:pPr>
            <w:r>
              <w:rPr>
                <w:rFonts w:ascii="宋体" w:hAnsi="宋体"/>
              </w:rPr>
              <w:t>0</w:t>
            </w:r>
          </w:p>
        </w:tc>
      </w:tr>
      <w:tr>
        <w:trPr>
          <w:jc w:val="center"/>
        </w:trPr>
        <w:tc>
          <w:tcPr>
            <w:tcW w:w="2547" w:type="dxa"/>
            <w:vAlign w:val="center"/>
          </w:tcPr>
          <w:p>
            <w:pPr>
              <w:rPr>
                <w:rFonts w:ascii="宋体" w:hAnsi="宋体"/>
              </w:rPr>
            </w:pPr>
            <w:r>
              <w:rPr>
                <w:rFonts w:ascii="宋体" w:hAnsi="宋体"/>
              </w:rPr>
              <w:t>三、股份</w:t>
            </w:r>
            <w:r>
              <w:rPr>
                <w:rFonts w:ascii="宋体" w:hAnsi="宋体" w:hint="eastAsia"/>
              </w:rPr>
              <w:t>总数</w:t>
            </w:r>
          </w:p>
        </w:tc>
        <w:tc>
          <w:tcPr>
            <w:tcW w:w="1701" w:type="dxa"/>
            <w:vAlign w:val="center"/>
          </w:tcPr>
          <w:p>
            <w:pPr>
              <w:jc w:val="right"/>
              <w:rPr>
                <w:rFonts w:ascii="宋体" w:hAnsi="宋体"/>
              </w:rPr>
            </w:pPr>
            <w:r>
              <w:rPr>
                <w:rFonts w:ascii="宋体" w:hAnsi="宋体"/>
              </w:rPr>
              <w:t xml:space="preserve">10,039,860,402 </w:t>
            </w:r>
          </w:p>
        </w:tc>
        <w:tc>
          <w:tcPr>
            <w:tcW w:w="855" w:type="dxa"/>
            <w:vAlign w:val="center"/>
          </w:tcPr>
          <w:p>
            <w:pPr>
              <w:jc w:val="right"/>
              <w:rPr>
                <w:rFonts w:ascii="宋体" w:hAnsi="宋体"/>
              </w:rPr>
            </w:pPr>
            <w:r>
              <w:rPr>
                <w:rFonts w:ascii="宋体" w:hAnsi="宋体"/>
              </w:rPr>
              <w:t xml:space="preserve">100 </w:t>
            </w:r>
          </w:p>
        </w:tc>
        <w:tc>
          <w:tcPr>
            <w:tcW w:w="1417" w:type="dxa"/>
            <w:vAlign w:val="center"/>
          </w:tcPr>
          <w:p>
            <w:pPr>
              <w:jc w:val="right"/>
              <w:rPr>
                <w:rFonts w:ascii="宋体" w:hAnsi="宋体"/>
              </w:rPr>
            </w:pPr>
            <w:r>
              <w:rPr>
                <w:rFonts w:ascii="宋体" w:hAnsi="宋体"/>
              </w:rPr>
              <w:t>-2,379,858</w:t>
            </w:r>
          </w:p>
        </w:tc>
        <w:tc>
          <w:tcPr>
            <w:tcW w:w="1418" w:type="dxa"/>
            <w:vAlign w:val="center"/>
          </w:tcPr>
          <w:p>
            <w:pPr>
              <w:jc w:val="right"/>
              <w:rPr>
                <w:rFonts w:ascii="宋体" w:hAnsi="宋体"/>
              </w:rPr>
            </w:pPr>
            <w:r>
              <w:rPr>
                <w:rFonts w:ascii="宋体" w:hAnsi="宋体"/>
              </w:rPr>
              <w:t xml:space="preserve">-2,379,858 </w:t>
            </w:r>
          </w:p>
        </w:tc>
        <w:tc>
          <w:tcPr>
            <w:tcW w:w="1701" w:type="dxa"/>
            <w:vAlign w:val="center"/>
          </w:tcPr>
          <w:p>
            <w:pPr>
              <w:jc w:val="right"/>
              <w:rPr>
                <w:rFonts w:ascii="宋体" w:hAnsi="宋体"/>
              </w:rPr>
            </w:pPr>
            <w:r>
              <w:rPr>
                <w:rFonts w:ascii="宋体" w:hAnsi="宋体"/>
              </w:rPr>
              <w:t xml:space="preserve">10,037,480,544 </w:t>
            </w:r>
          </w:p>
        </w:tc>
        <w:tc>
          <w:tcPr>
            <w:tcW w:w="992" w:type="dxa"/>
            <w:vAlign w:val="center"/>
          </w:tcPr>
          <w:p>
            <w:pPr>
              <w:jc w:val="right"/>
              <w:rPr>
                <w:rFonts w:ascii="宋体" w:hAnsi="宋体"/>
              </w:rPr>
            </w:pPr>
            <w:r>
              <w:rPr>
                <w:rFonts w:ascii="宋体" w:hAnsi="宋体"/>
              </w:rPr>
              <w:t xml:space="preserve">100 </w:t>
            </w:r>
          </w:p>
        </w:tc>
      </w:tr>
    </w:tbl>
    <w:p>
      <w:pPr>
        <w:pStyle w:val="Style49"/>
      </w:pPr>
    </w:p>
    <w:p>
      <w:pPr>
        <w:pStyle w:val="4"/>
        <w:numPr>
          <w:ilvl w:val="2"/>
          <w:numId w:val="52"/>
        </w:numPr>
      </w:pPr>
      <w:r>
        <w:rPr>
          <w:rFonts w:hint="eastAsia"/>
        </w:rPr>
        <w:t>股份变动情况说明</w:t>
      </w:r>
    </w:p>
    <w:sdt>
      <w:sdtPr>
        <w:rPr>
          <w:rFonts w:hint="eastAsia"/>
        </w:rPr>
        <w:alias w:val="是否适用：普通股股份变动情况说明[双击切换]"/>
        <w:tag w:val="_GBC_b52413c1d37b456ba72aa8b8840cb9d8"/>
        <w:id w:val="-1641332677"/>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股份变动情况说明"/>
        <w:tag w:val="_GBC_0049817ff5b44e28a8751c37cab3f894"/>
        <w:id w:val="1977956811"/>
        <w:placeholder>
          <w:docPart w:val="GBC22222222222222222222222222222"/>
        </w:placeholder>
      </w:sdtPr>
      <w:sdtContent>
        <w:p>
          <w:pPr>
            <w:ind w:firstLineChars="200" w:firstLine="420"/>
            <w:jc w:val="both"/>
            <w:rPr>
              <w:rFonts w:ascii="宋体" w:hAnsi="宋体"/>
            </w:rPr>
          </w:pPr>
          <w:r>
            <w:rPr>
              <w:rFonts w:ascii="宋体" w:hAnsi="宋体" w:hint="eastAsia"/>
            </w:rPr>
            <w:t>经202</w:t>
          </w:r>
          <w:r>
            <w:rPr>
              <w:rFonts w:ascii="宋体" w:hAnsi="宋体"/>
            </w:rPr>
            <w:t>5</w:t>
          </w:r>
          <w:r>
            <w:rPr>
              <w:rFonts w:ascii="宋体" w:hAnsi="宋体" w:hint="eastAsia"/>
            </w:rPr>
            <w:t>年2月2</w:t>
          </w:r>
          <w:r>
            <w:rPr>
              <w:rFonts w:ascii="宋体" w:hAnsi="宋体"/>
            </w:rPr>
            <w:t>4</w:t>
          </w:r>
          <w:r>
            <w:rPr>
              <w:rFonts w:ascii="宋体" w:hAnsi="宋体" w:hint="eastAsia"/>
            </w:rPr>
            <w:t>日召开的公司第九届董事会第十三次会议审议批准，对部分已不符合激励条件的限制性股票进行回购注销，同时确认公司2021年A股限制性股票激励计划第二个解除限售期解除限售条件达成。截至报告期末，公司已回购并注销</w:t>
          </w:r>
          <w:r>
            <w:rPr>
              <w:rFonts w:ascii="宋体" w:hAnsi="宋体"/>
            </w:rPr>
            <w:t>2,379,858</w:t>
          </w:r>
          <w:r>
            <w:rPr>
              <w:rFonts w:ascii="宋体" w:hAnsi="宋体" w:hint="eastAsia"/>
            </w:rPr>
            <w:t>股限制性股票，</w:t>
          </w:r>
          <w:r>
            <w:rPr>
              <w:rFonts w:ascii="宋体" w:hAnsi="宋体"/>
            </w:rPr>
            <w:t>36,738,702</w:t>
          </w:r>
          <w:r>
            <w:rPr>
              <w:rFonts w:ascii="宋体" w:hAnsi="宋体" w:hint="eastAsia"/>
            </w:rPr>
            <w:t>股限制性股票已解除限售并上市流通。</w:t>
          </w:r>
        </w:p>
        <w:p>
          <w:pPr>
            <w:ind w:firstLineChars="200" w:firstLine="420"/>
            <w:jc w:val="both"/>
            <w:rPr>
              <w:rFonts w:ascii="宋体" w:hAnsi="宋体"/>
            </w:rPr>
          </w:pPr>
          <w:r>
            <w:rPr>
              <w:rFonts w:ascii="宋体" w:hAnsi="宋体" w:hint="eastAsia"/>
            </w:rPr>
            <w:t>有关详情请见公司日期为202</w:t>
          </w:r>
          <w:r>
            <w:rPr>
              <w:rFonts w:ascii="宋体" w:hAnsi="宋体"/>
            </w:rPr>
            <w:t>5</w:t>
          </w:r>
          <w:r>
            <w:rPr>
              <w:rFonts w:ascii="宋体" w:hAnsi="宋体" w:hint="eastAsia"/>
            </w:rPr>
            <w:t>年2月2</w:t>
          </w:r>
          <w:r>
            <w:rPr>
              <w:rFonts w:ascii="宋体" w:hAnsi="宋体"/>
            </w:rPr>
            <w:t>4</w:t>
          </w:r>
          <w:r>
            <w:rPr>
              <w:rFonts w:ascii="宋体" w:hAnsi="宋体" w:hint="eastAsia"/>
            </w:rPr>
            <w:t>日回购注销部分限制性股票的公告、限售期解除条件达成的公告，日期为202</w:t>
          </w:r>
          <w:r>
            <w:rPr>
              <w:rFonts w:ascii="宋体" w:hAnsi="宋体"/>
            </w:rPr>
            <w:t>5</w:t>
          </w:r>
          <w:r>
            <w:rPr>
              <w:rFonts w:ascii="宋体" w:hAnsi="宋体" w:hint="eastAsia"/>
            </w:rPr>
            <w:t>年3月</w:t>
          </w:r>
          <w:r>
            <w:rPr>
              <w:rFonts w:ascii="宋体" w:hAnsi="宋体"/>
            </w:rPr>
            <w:t>3</w:t>
          </w:r>
          <w:r>
            <w:rPr>
              <w:rFonts w:ascii="宋体" w:hAnsi="宋体" w:hint="eastAsia"/>
            </w:rPr>
            <w:t>日的限制性股票解除限售暨上市的公告，日期为202</w:t>
          </w:r>
          <w:r>
            <w:rPr>
              <w:rFonts w:ascii="宋体" w:hAnsi="宋体"/>
            </w:rPr>
            <w:t>5</w:t>
          </w:r>
          <w:r>
            <w:rPr>
              <w:rFonts w:ascii="宋体" w:hAnsi="宋体" w:hint="eastAsia"/>
            </w:rPr>
            <w:t>年</w:t>
          </w:r>
          <w:r>
            <w:rPr>
              <w:rFonts w:ascii="宋体" w:hAnsi="宋体"/>
            </w:rPr>
            <w:t>4</w:t>
          </w:r>
          <w:r>
            <w:rPr>
              <w:rFonts w:ascii="宋体" w:hAnsi="宋体" w:hint="eastAsia"/>
            </w:rPr>
            <w:t>月</w:t>
          </w:r>
          <w:r>
            <w:rPr>
              <w:rFonts w:ascii="宋体" w:hAnsi="宋体"/>
            </w:rPr>
            <w:t>24</w:t>
          </w:r>
          <w:r>
            <w:rPr>
              <w:rFonts w:ascii="宋体" w:hAnsi="宋体" w:hint="eastAsia"/>
            </w:rPr>
            <w:t>日的部分限制性股票注销实施的公告。该等资料载于上交所网站、香港联交所网站、公司网站及/或《中国证券报》《上海证券报》《证券时报》《证券日报》。</w:t>
          </w:r>
        </w:p>
        <w:p>
          <w:pPr>
            <w:rPr>
              <w:rFonts w:ascii="宋体" w:hAnsi="宋体"/>
            </w:rPr>
          </w:pPr>
        </w:p>
      </w:sdtContent>
    </w:sdt>
    <w:p>
      <w:pPr>
        <w:pStyle w:val="4"/>
        <w:numPr>
          <w:ilvl w:val="2"/>
          <w:numId w:val="52"/>
        </w:numPr>
      </w:pPr>
      <w:r>
        <w:rPr>
          <w:rFonts w:hint="eastAsia"/>
        </w:rPr>
        <w:t>股份变动对最近一年和最近一期每股收益、每股净资产等财务指标的影响（如有）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1627659784"/>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股份变动对最近一年和最近一期财务指标的影响"/>
        <w:tag w:val="_GBC_18dc915b15db45f9ad252a23be29055d"/>
        <w:id w:val="1598204952"/>
        <w:placeholder>
          <w:docPart w:val="GBC22222222222222222222222222222"/>
        </w:placeholder>
      </w:sdtPr>
      <w:sdtContent>
        <w:p>
          <w:pPr>
            <w:ind w:firstLineChars="200" w:firstLine="420"/>
            <w:rPr>
              <w:rFonts w:ascii="宋体" w:hAnsi="宋体"/>
            </w:rPr>
          </w:pPr>
          <w:r>
            <w:rPr>
              <w:rFonts w:hint="eastAsia"/>
            </w:rPr>
            <w:t>报告期内，</w:t>
          </w:r>
          <w:r>
            <w:rPr>
              <w:rFonts w:ascii="宋体" w:hAnsi="宋体" w:hint="eastAsia"/>
            </w:rPr>
            <w:t>本公司总股本由</w:t>
          </w:r>
          <w:r>
            <w:rPr>
              <w:rFonts w:ascii="宋体" w:hAnsi="宋体"/>
            </w:rPr>
            <w:t>10,039,860,402</w:t>
          </w:r>
          <w:r>
            <w:rPr>
              <w:rFonts w:ascii="宋体" w:hAnsi="宋体" w:hint="eastAsia"/>
            </w:rPr>
            <w:t>股减少至</w:t>
          </w:r>
          <w:r>
            <w:rPr>
              <w:rFonts w:ascii="宋体" w:hAnsi="宋体"/>
            </w:rPr>
            <w:t>10,037,480,544</w:t>
          </w:r>
          <w:r>
            <w:rPr>
              <w:rFonts w:ascii="宋体" w:hAnsi="宋体" w:hint="eastAsia"/>
            </w:rPr>
            <w:t>股，对最近一年和最近一期的财务指标未产生重大影响。</w:t>
          </w:r>
        </w:p>
        <w:p>
          <w:pPr>
            <w:pStyle w:val="Style49"/>
          </w:pPr>
        </w:p>
      </w:sdtContent>
    </w:sdt>
    <w:p>
      <w:pPr>
        <w:pStyle w:val="4"/>
        <w:numPr>
          <w:ilvl w:val="2"/>
          <w:numId w:val="52"/>
        </w:numPr>
      </w:pPr>
      <w:r>
        <w:rPr>
          <w:rFonts w:hint="eastAsia"/>
        </w:rP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197166387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股份变动公司认为必要或证券监管机构要求披露的其他内容"/>
        <w:tag w:val="_GBC_fd25312e52714c36869754949176de99"/>
        <w:id w:val="-427417548"/>
        <w:placeholder>
          <w:docPart w:val="GBC22222222222222222222222222222"/>
        </w:placeholder>
      </w:sdtPr>
      <w:sdtContent>
        <w:p>
          <w:pPr>
            <w:ind w:firstLineChars="200" w:firstLine="420"/>
            <w:rPr>
              <w:rFonts w:ascii="宋体" w:hAnsi="宋体"/>
            </w:rPr>
          </w:pPr>
          <w:r>
            <w:rPr>
              <w:rFonts w:ascii="宋体" w:hAnsi="宋体" w:hint="eastAsia"/>
            </w:rPr>
            <w:t>本公司根据可公开所得的资料以及就董事所知，在本报告披露日，董事相信于报告期内本公司公众持股量占总股本的比例超过25%，符合香港上市规则的规定。</w:t>
          </w:r>
        </w:p>
        <w:p>
          <w:pPr>
            <w:pStyle w:val="Style49"/>
          </w:pPr>
        </w:p>
      </w:sdtContent>
    </w:sdt>
    <w:p>
      <w:pPr>
        <w:pStyle w:val="3"/>
        <w:numPr>
          <w:ilvl w:val="1"/>
          <w:numId w:val="51"/>
        </w:numPr>
        <w:rPr>
          <w:szCs w:val="21"/>
        </w:rPr>
      </w:pPr>
      <w:r>
        <w:rPr>
          <w:rFonts w:hint="eastAsia"/>
          <w:szCs w:val="21"/>
        </w:rPr>
        <w:t>限售股份变动情况</w:t>
      </w:r>
    </w:p>
    <w:sdt>
      <w:sdtPr>
        <w:alias w:val="是否适用：限售股份变动情况表[双击切换]"/>
        <w:tag w:val="_GBC_c7cc39830d364bf68db1ac8777908a9e"/>
        <w:id w:val="-1482381402"/>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限售股份变动情况表"/>
          <w:tag w:val="_GBC_78c7b80e74ad408295df799b1fb4f5cd"/>
          <w:id w:val="-542744696"/>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ff4"/>
        <w:tblW w:w="10344" w:type="dxa"/>
        <w:jc w:val="center"/>
        <w:tblLayout w:type="fixed"/>
        <w:tblLook w:val="04A0" w:firstRow="1" w:lastRow="0" w:firstColumn="1" w:lastColumn="0" w:noHBand="0" w:noVBand="1"/>
      </w:tblPr>
      <w:tblGrid>
        <w:gridCol w:w="1290"/>
        <w:gridCol w:w="1292"/>
        <w:gridCol w:w="1292"/>
        <w:gridCol w:w="1294"/>
        <w:gridCol w:w="1294"/>
        <w:gridCol w:w="1294"/>
        <w:gridCol w:w="1294"/>
        <w:gridCol w:w="1294"/>
      </w:tblGrid>
      <w:tr>
        <w:trPr>
          <w:jc w:val="center"/>
        </w:trPr>
        <w:sdt>
          <w:sdtPr>
            <w:tag w:val="_PLD_c7a1e2914e714458adc9ffc59c440205"/>
            <w:id w:val="711845957"/>
          </w:sdtPr>
          <w:sdtContent>
            <w:tc>
              <w:tcPr>
                <w:tcW w:w="1290" w:type="dxa"/>
                <w:vAlign w:val="center"/>
              </w:tcPr>
              <w:p>
                <w:pPr>
                  <w:jc w:val="center"/>
                </w:pPr>
                <w:r>
                  <w:t>股东名称</w:t>
                </w:r>
              </w:p>
            </w:tc>
          </w:sdtContent>
        </w:sdt>
        <w:sdt>
          <w:sdtPr>
            <w:tag w:val="_PLD_bb0180621bd444d18234e236bd4fa08b"/>
            <w:id w:val="310680335"/>
          </w:sdtPr>
          <w:sdtContent>
            <w:tc>
              <w:tcPr>
                <w:tcW w:w="1292" w:type="dxa"/>
                <w:vAlign w:val="center"/>
              </w:tcPr>
              <w:p>
                <w:pPr>
                  <w:jc w:val="center"/>
                </w:pPr>
                <w:r>
                  <w:rPr>
                    <w:rFonts w:hint="eastAsia"/>
                  </w:rPr>
                  <w:t>年</w:t>
                </w:r>
                <w:r>
                  <w:t>初</w:t>
                </w:r>
              </w:p>
              <w:p>
                <w:pPr>
                  <w:jc w:val="center"/>
                </w:pPr>
                <w:r>
                  <w:t>限售股数</w:t>
                </w:r>
              </w:p>
            </w:tc>
          </w:sdtContent>
        </w:sdt>
        <w:sdt>
          <w:sdtPr>
            <w:tag w:val="_PLD_7b8d307040e34fe88a61e345f5c229e7"/>
            <w:id w:val="-280025555"/>
          </w:sdtPr>
          <w:sdtContent>
            <w:tc>
              <w:tcPr>
                <w:tcW w:w="1292" w:type="dxa"/>
                <w:vAlign w:val="center"/>
              </w:tcPr>
              <w:p>
                <w:pPr>
                  <w:jc w:val="center"/>
                </w:pPr>
                <w:r>
                  <w:rPr>
                    <w:rFonts w:hint="eastAsia"/>
                  </w:rPr>
                  <w:t>本年</w:t>
                </w:r>
                <w:r>
                  <w:t>解除</w:t>
                </w:r>
              </w:p>
              <w:p>
                <w:pPr>
                  <w:jc w:val="center"/>
                </w:pPr>
                <w:r>
                  <w:t>限售股数</w:t>
                </w:r>
              </w:p>
            </w:tc>
          </w:sdtContent>
        </w:sdt>
        <w:sdt>
          <w:sdtPr>
            <w:tag w:val="_PLD_f494b239f14f47d2818db9a79506f1ae"/>
            <w:id w:val="-347484963"/>
          </w:sdtPr>
          <w:sdtContent>
            <w:tc>
              <w:tcPr>
                <w:tcW w:w="1294" w:type="dxa"/>
                <w:vAlign w:val="center"/>
              </w:tcPr>
              <w:p>
                <w:pPr>
                  <w:jc w:val="center"/>
                </w:pPr>
                <w:r>
                  <w:rPr>
                    <w:rFonts w:hint="eastAsia"/>
                  </w:rPr>
                  <w:t>本年</w:t>
                </w:r>
                <w:r>
                  <w:t>增加</w:t>
                </w:r>
              </w:p>
              <w:p>
                <w:pPr>
                  <w:jc w:val="center"/>
                </w:pPr>
                <w:r>
                  <w:t>限售股数</w:t>
                </w:r>
              </w:p>
            </w:tc>
          </w:sdtContent>
        </w:sdt>
        <w:tc>
          <w:tcPr>
            <w:tcW w:w="1294" w:type="dxa"/>
            <w:vAlign w:val="center"/>
          </w:tcPr>
          <w:p>
            <w:pPr>
              <w:jc w:val="center"/>
            </w:pPr>
            <w:r>
              <w:rPr>
                <w:rFonts w:hint="eastAsia"/>
              </w:rPr>
              <w:t>本年减少</w:t>
            </w:r>
          </w:p>
          <w:p>
            <w:pPr>
              <w:jc w:val="center"/>
            </w:pPr>
            <w:r>
              <w:rPr>
                <w:rFonts w:hint="eastAsia"/>
              </w:rPr>
              <w:t>限售股数</w:t>
            </w:r>
          </w:p>
        </w:tc>
        <w:sdt>
          <w:sdtPr>
            <w:tag w:val="_PLD_7f6e541d006347e7a584639c7f427833"/>
            <w:id w:val="1771898956"/>
          </w:sdtPr>
          <w:sdtContent>
            <w:tc>
              <w:tcPr>
                <w:tcW w:w="1294" w:type="dxa"/>
                <w:vAlign w:val="center"/>
              </w:tcPr>
              <w:p>
                <w:pPr>
                  <w:jc w:val="center"/>
                </w:pPr>
                <w:r>
                  <w:rPr>
                    <w:rFonts w:hint="eastAsia"/>
                  </w:rPr>
                  <w:t>年</w:t>
                </w:r>
                <w:r>
                  <w:t>末</w:t>
                </w:r>
              </w:p>
              <w:p>
                <w:pPr>
                  <w:jc w:val="center"/>
                </w:pPr>
                <w:r>
                  <w:t>限售股数</w:t>
                </w:r>
              </w:p>
            </w:tc>
          </w:sdtContent>
        </w:sdt>
        <w:sdt>
          <w:sdtPr>
            <w:tag w:val="_PLD_d37fee9a3155489fbf6351ef4190eda4"/>
            <w:id w:val="-1964192914"/>
          </w:sdtPr>
          <w:sdtContent>
            <w:tc>
              <w:tcPr>
                <w:tcW w:w="1294" w:type="dxa"/>
                <w:vAlign w:val="center"/>
              </w:tcPr>
              <w:p>
                <w:pPr>
                  <w:jc w:val="center"/>
                </w:pPr>
                <w:r>
                  <w:t>限售原因</w:t>
                </w:r>
              </w:p>
            </w:tc>
          </w:sdtContent>
        </w:sdt>
        <w:sdt>
          <w:sdtPr>
            <w:tag w:val="_PLD_ca5e79dfa7e44389b18b3a663f85094b"/>
            <w:id w:val="-1363817690"/>
          </w:sdtPr>
          <w:sdtContent>
            <w:tc>
              <w:tcPr>
                <w:tcW w:w="1294" w:type="dxa"/>
                <w:vAlign w:val="center"/>
              </w:tcPr>
              <w:p>
                <w:pPr>
                  <w:jc w:val="center"/>
                </w:pPr>
                <w:r>
                  <w:t>解除</w:t>
                </w:r>
              </w:p>
              <w:p>
                <w:pPr>
                  <w:jc w:val="center"/>
                </w:pPr>
                <w:r>
                  <w:t>限售日期</w:t>
                </w:r>
              </w:p>
            </w:tc>
          </w:sdtContent>
        </w:sdt>
      </w:tr>
      <w:tr>
        <w:trPr>
          <w:jc w:val="center"/>
        </w:trPr>
        <w:tc>
          <w:tcPr>
            <w:tcW w:w="1290" w:type="dxa"/>
            <w:vAlign w:val="center"/>
          </w:tcPr>
          <w:p>
            <w:pPr>
              <w:pStyle w:val="Style49"/>
            </w:pPr>
            <w:r>
              <w:rPr>
                <w:rFonts w:hint="eastAsia"/>
              </w:rPr>
              <w:t>限制性股票激励对象（第二个解除限售期）</w:t>
            </w:r>
          </w:p>
        </w:tc>
        <w:tc>
          <w:tcPr>
            <w:tcW w:w="1292" w:type="dxa"/>
            <w:vAlign w:val="center"/>
          </w:tcPr>
          <w:p>
            <w:pPr>
              <w:ind w:left="422" w:hanging="422"/>
              <w:jc w:val="right"/>
              <w:rPr>
                <w:rFonts w:ascii="宋体" w:hAnsi="宋体"/>
              </w:rPr>
            </w:pPr>
            <w:r>
              <w:rPr>
                <w:rFonts w:ascii="宋体" w:hAnsi="宋体"/>
              </w:rPr>
              <w:t xml:space="preserve">38,017,980 </w:t>
            </w:r>
          </w:p>
        </w:tc>
        <w:tc>
          <w:tcPr>
            <w:tcW w:w="1292" w:type="dxa"/>
            <w:vAlign w:val="center"/>
          </w:tcPr>
          <w:p>
            <w:pPr>
              <w:jc w:val="right"/>
              <w:rPr>
                <w:rFonts w:ascii="宋体" w:hAnsi="宋体"/>
              </w:rPr>
            </w:pPr>
            <w:r>
              <w:rPr>
                <w:rFonts w:ascii="宋体" w:hAnsi="宋体"/>
              </w:rPr>
              <w:t>36,738,702</w:t>
            </w:r>
          </w:p>
        </w:tc>
        <w:tc>
          <w:tcPr>
            <w:tcW w:w="1294" w:type="dxa"/>
            <w:vAlign w:val="center"/>
          </w:tcPr>
          <w:p>
            <w:pPr>
              <w:jc w:val="right"/>
              <w:rPr>
                <w:rFonts w:ascii="宋体" w:hAnsi="宋体"/>
              </w:rPr>
            </w:pPr>
            <w:r>
              <w:rPr>
                <w:rFonts w:ascii="宋体" w:hAnsi="宋体"/>
              </w:rPr>
              <w:t>0</w:t>
            </w:r>
          </w:p>
        </w:tc>
        <w:tc>
          <w:tcPr>
            <w:tcW w:w="1294" w:type="dxa"/>
            <w:vAlign w:val="center"/>
          </w:tcPr>
          <w:p>
            <w:pPr>
              <w:jc w:val="right"/>
              <w:rPr>
                <w:rFonts w:ascii="宋体" w:hAnsi="宋体"/>
              </w:rPr>
            </w:pPr>
            <w:r>
              <w:rPr>
                <w:rFonts w:ascii="宋体" w:hAnsi="宋体"/>
              </w:rPr>
              <w:t>1,279,278</w:t>
            </w:r>
          </w:p>
        </w:tc>
        <w:tc>
          <w:tcPr>
            <w:tcW w:w="1294" w:type="dxa"/>
            <w:vAlign w:val="center"/>
          </w:tcPr>
          <w:p>
            <w:pPr>
              <w:jc w:val="right"/>
              <w:rPr>
                <w:rFonts w:ascii="宋体" w:hAnsi="宋体"/>
              </w:rPr>
            </w:pPr>
            <w:r>
              <w:rPr>
                <w:rFonts w:ascii="宋体" w:hAnsi="宋体"/>
              </w:rPr>
              <w:t>0</w:t>
            </w:r>
          </w:p>
        </w:tc>
        <w:tc>
          <w:tcPr>
            <w:tcW w:w="1294" w:type="dxa"/>
            <w:vAlign w:val="center"/>
          </w:tcPr>
          <w:p>
            <w:pPr>
              <w:jc w:val="left"/>
              <w:rPr>
                <w:rFonts w:ascii="宋体" w:hAnsi="宋体"/>
              </w:rPr>
            </w:pPr>
            <w:r>
              <w:rPr>
                <w:rFonts w:ascii="宋体" w:hAnsi="宋体" w:hint="eastAsia"/>
              </w:rPr>
              <w:t>股权激励</w:t>
            </w:r>
          </w:p>
          <w:p>
            <w:pPr>
              <w:jc w:val="left"/>
              <w:rPr>
                <w:rFonts w:ascii="宋体" w:hAnsi="宋体"/>
              </w:rPr>
            </w:pPr>
            <w:r>
              <w:rPr>
                <w:rFonts w:ascii="宋体" w:hAnsi="宋体" w:hint="eastAsia"/>
              </w:rPr>
              <w:t>限售</w:t>
            </w:r>
          </w:p>
        </w:tc>
        <w:tc>
          <w:tcPr>
            <w:tcW w:w="1294" w:type="dxa"/>
            <w:vMerge w:val="restart"/>
            <w:vAlign w:val="center"/>
          </w:tcPr>
          <w:p>
            <w:pPr>
              <w:pStyle w:val="Style49"/>
            </w:pPr>
            <w:r>
              <w:rPr>
                <w:rFonts w:hint="eastAsia"/>
              </w:rPr>
              <w:t>股份变动及解除限售日期详见本报告“第五节</w:t>
            </w:r>
            <w:r>
              <w:rPr>
                <w:rFonts w:hint="eastAsia"/>
              </w:rPr>
              <w:t xml:space="preserve"> </w:t>
            </w:r>
            <w:r>
              <w:rPr>
                <w:rFonts w:hint="eastAsia"/>
              </w:rPr>
              <w:t>公司治理、环境和社会”之股权激励相关内容</w:t>
            </w:r>
          </w:p>
        </w:tc>
      </w:tr>
      <w:tr>
        <w:trPr>
          <w:jc w:val="center"/>
        </w:trPr>
        <w:tc>
          <w:tcPr>
            <w:tcW w:w="1290" w:type="dxa"/>
            <w:vAlign w:val="center"/>
          </w:tcPr>
          <w:p>
            <w:pPr>
              <w:pStyle w:val="Style49"/>
            </w:pPr>
            <w:r>
              <w:rPr>
                <w:rFonts w:hint="eastAsia"/>
              </w:rPr>
              <w:t>限制性股票激励对象（第三个解除限售期）</w:t>
            </w:r>
          </w:p>
        </w:tc>
        <w:tc>
          <w:tcPr>
            <w:tcW w:w="1292" w:type="dxa"/>
            <w:vAlign w:val="center"/>
          </w:tcPr>
          <w:p>
            <w:pPr>
              <w:ind w:left="422" w:hanging="422"/>
              <w:jc w:val="right"/>
              <w:rPr>
                <w:rFonts w:ascii="宋体" w:hAnsi="宋体"/>
              </w:rPr>
            </w:pPr>
            <w:r>
              <w:rPr>
                <w:rFonts w:ascii="宋体" w:hAnsi="宋体"/>
              </w:rPr>
              <w:t xml:space="preserve">39,170,040 </w:t>
            </w:r>
          </w:p>
        </w:tc>
        <w:tc>
          <w:tcPr>
            <w:tcW w:w="1292" w:type="dxa"/>
            <w:vAlign w:val="center"/>
          </w:tcPr>
          <w:p>
            <w:pPr>
              <w:jc w:val="right"/>
              <w:rPr>
                <w:rFonts w:ascii="宋体" w:hAnsi="宋体"/>
              </w:rPr>
            </w:pPr>
            <w:r>
              <w:rPr>
                <w:rFonts w:ascii="宋体" w:hAnsi="宋体"/>
              </w:rPr>
              <w:t>0</w:t>
            </w:r>
          </w:p>
        </w:tc>
        <w:tc>
          <w:tcPr>
            <w:tcW w:w="1294" w:type="dxa"/>
            <w:vAlign w:val="center"/>
          </w:tcPr>
          <w:p>
            <w:pPr>
              <w:jc w:val="right"/>
              <w:rPr>
                <w:rFonts w:ascii="宋体" w:hAnsi="宋体"/>
              </w:rPr>
            </w:pPr>
            <w:r>
              <w:rPr>
                <w:rFonts w:ascii="宋体" w:hAnsi="宋体"/>
              </w:rPr>
              <w:t>0</w:t>
            </w:r>
          </w:p>
        </w:tc>
        <w:tc>
          <w:tcPr>
            <w:tcW w:w="1294" w:type="dxa"/>
            <w:vAlign w:val="center"/>
          </w:tcPr>
          <w:p>
            <w:pPr>
              <w:jc w:val="right"/>
              <w:rPr>
                <w:rFonts w:ascii="宋体" w:hAnsi="宋体"/>
              </w:rPr>
            </w:pPr>
            <w:r>
              <w:rPr>
                <w:rFonts w:ascii="宋体" w:hAnsi="宋体"/>
              </w:rPr>
              <w:t>1,100,580</w:t>
            </w:r>
          </w:p>
        </w:tc>
        <w:tc>
          <w:tcPr>
            <w:tcW w:w="1294" w:type="dxa"/>
            <w:vAlign w:val="center"/>
          </w:tcPr>
          <w:p>
            <w:pPr>
              <w:jc w:val="right"/>
              <w:rPr>
                <w:rFonts w:ascii="宋体" w:hAnsi="宋体"/>
              </w:rPr>
            </w:pPr>
            <w:r>
              <w:rPr>
                <w:rFonts w:ascii="宋体" w:hAnsi="宋体"/>
              </w:rPr>
              <w:t>38,069,460</w:t>
            </w:r>
          </w:p>
        </w:tc>
        <w:tc>
          <w:tcPr>
            <w:tcW w:w="1294" w:type="dxa"/>
            <w:vAlign w:val="center"/>
          </w:tcPr>
          <w:p>
            <w:pPr>
              <w:jc w:val="left"/>
              <w:rPr>
                <w:rFonts w:ascii="宋体" w:hAnsi="宋体"/>
              </w:rPr>
            </w:pPr>
            <w:r>
              <w:rPr>
                <w:rFonts w:ascii="宋体" w:hAnsi="宋体" w:hint="eastAsia"/>
              </w:rPr>
              <w:t>股权激励</w:t>
            </w:r>
          </w:p>
          <w:p>
            <w:pPr>
              <w:jc w:val="left"/>
              <w:rPr>
                <w:rFonts w:ascii="宋体" w:hAnsi="宋体"/>
              </w:rPr>
            </w:pPr>
            <w:r>
              <w:rPr>
                <w:rFonts w:ascii="宋体" w:hAnsi="宋体" w:hint="eastAsia"/>
              </w:rPr>
              <w:t>限售</w:t>
            </w:r>
          </w:p>
        </w:tc>
        <w:tc>
          <w:tcPr>
            <w:tcW w:w="1294" w:type="dxa"/>
            <w:vMerge/>
            <w:vAlign w:val="center"/>
          </w:tcPr>
          <w:p>
            <w:pPr>
              <w:pStyle w:val="Style49"/>
            </w:pPr>
          </w:p>
        </w:tc>
      </w:tr>
      <w:tr>
        <w:trPr>
          <w:jc w:val="center"/>
        </w:trPr>
        <w:tc>
          <w:tcPr>
            <w:tcW w:w="1290" w:type="dxa"/>
            <w:vAlign w:val="center"/>
          </w:tcPr>
          <w:p>
            <w:pPr>
              <w:jc w:val="center"/>
            </w:pPr>
            <w:r>
              <w:t>合计</w:t>
            </w:r>
          </w:p>
        </w:tc>
        <w:tc>
          <w:tcPr>
            <w:tcW w:w="1292" w:type="dxa"/>
            <w:vAlign w:val="center"/>
          </w:tcPr>
          <w:p>
            <w:pPr>
              <w:ind w:left="422" w:hanging="422"/>
              <w:jc w:val="right"/>
              <w:rPr>
                <w:rFonts w:ascii="宋体" w:hAnsi="宋体"/>
              </w:rPr>
            </w:pPr>
            <w:r>
              <w:rPr>
                <w:rFonts w:ascii="宋体" w:hAnsi="宋体"/>
              </w:rPr>
              <w:t xml:space="preserve">77,188,020 </w:t>
            </w:r>
          </w:p>
        </w:tc>
        <w:tc>
          <w:tcPr>
            <w:tcW w:w="1292" w:type="dxa"/>
            <w:vAlign w:val="center"/>
          </w:tcPr>
          <w:p>
            <w:pPr>
              <w:jc w:val="right"/>
              <w:rPr>
                <w:rFonts w:ascii="宋体" w:hAnsi="宋体"/>
              </w:rPr>
            </w:pPr>
            <w:r>
              <w:rPr>
                <w:rFonts w:ascii="宋体" w:hAnsi="宋体"/>
              </w:rPr>
              <w:t>36,738,702</w:t>
            </w:r>
          </w:p>
        </w:tc>
        <w:tc>
          <w:tcPr>
            <w:tcW w:w="1294" w:type="dxa"/>
            <w:vAlign w:val="center"/>
          </w:tcPr>
          <w:p>
            <w:pPr>
              <w:jc w:val="right"/>
              <w:rPr>
                <w:rFonts w:ascii="宋体" w:hAnsi="宋体"/>
              </w:rPr>
            </w:pPr>
            <w:r>
              <w:rPr>
                <w:rFonts w:ascii="宋体" w:hAnsi="宋体"/>
              </w:rPr>
              <w:t>0</w:t>
            </w:r>
          </w:p>
        </w:tc>
        <w:tc>
          <w:tcPr>
            <w:tcW w:w="1294" w:type="dxa"/>
            <w:vAlign w:val="center"/>
          </w:tcPr>
          <w:p>
            <w:pPr>
              <w:jc w:val="right"/>
              <w:rPr>
                <w:rFonts w:ascii="宋体" w:hAnsi="宋体"/>
              </w:rPr>
            </w:pPr>
            <w:r>
              <w:rPr>
                <w:rFonts w:ascii="宋体" w:hAnsi="宋体"/>
              </w:rPr>
              <w:t>2,379,858</w:t>
            </w:r>
          </w:p>
        </w:tc>
        <w:tc>
          <w:tcPr>
            <w:tcW w:w="1294" w:type="dxa"/>
            <w:vAlign w:val="center"/>
          </w:tcPr>
          <w:p>
            <w:pPr>
              <w:jc w:val="right"/>
              <w:rPr>
                <w:rFonts w:ascii="宋体" w:hAnsi="宋体"/>
              </w:rPr>
            </w:pPr>
            <w:r>
              <w:rPr>
                <w:rFonts w:ascii="宋体" w:hAnsi="宋体"/>
              </w:rPr>
              <w:t>38,069,460</w:t>
            </w:r>
          </w:p>
        </w:tc>
        <w:tc>
          <w:tcPr>
            <w:tcW w:w="1294" w:type="dxa"/>
            <w:vAlign w:val="center"/>
          </w:tcPr>
          <w:p>
            <w:pPr>
              <w:jc w:val="center"/>
            </w:pPr>
            <w:r>
              <w:rPr>
                <w:rFonts w:hint="eastAsia"/>
              </w:rPr>
              <w:t>/</w:t>
            </w:r>
          </w:p>
        </w:tc>
        <w:tc>
          <w:tcPr>
            <w:tcW w:w="1294" w:type="dxa"/>
            <w:vAlign w:val="center"/>
          </w:tcPr>
          <w:p>
            <w:pPr>
              <w:jc w:val="center"/>
            </w:pPr>
            <w:r>
              <w:rPr>
                <w:rFonts w:hint="eastAsia"/>
              </w:rPr>
              <w:t>/</w:t>
            </w:r>
          </w:p>
        </w:tc>
      </w:tr>
    </w:tbl>
    <w:p>
      <w:pPr>
        <w:rPr>
          <w:rFonts w:asciiTheme="minorEastAsia" w:eastAsiaTheme="minorEastAsia" w:hAnsiTheme="minorEastAsia"/>
        </w:rPr>
      </w:pPr>
    </w:p>
    <w:p>
      <w:pPr>
        <w:pStyle w:val="2"/>
        <w:numPr>
          <w:ilvl w:val="0"/>
          <w:numId w:val="50"/>
        </w:numPr>
      </w:pPr>
      <w:r>
        <w:t>证券发行与上市情况</w:t>
      </w:r>
    </w:p>
    <w:p>
      <w:pPr>
        <w:pStyle w:val="3"/>
        <w:numPr>
          <w:ilvl w:val="0"/>
          <w:numId w:val="53"/>
        </w:numPr>
      </w:pPr>
      <w:bookmarkStart w:id="260" w:name="_Hlk89954403"/>
      <w:r>
        <w:t>截至</w:t>
      </w:r>
      <w:r>
        <w:rPr>
          <w:rFonts w:hint="eastAsia"/>
        </w:rPr>
        <w:t>报告期内</w:t>
      </w:r>
      <w:r>
        <w:t>证券发行情况</w:t>
      </w:r>
    </w:p>
    <w:sdt>
      <w:sdtPr>
        <w:alias w:val="是否适用：截至报告期内证券发行情况[双击切换]"/>
        <w:tag w:val="_GBC_a9b53137ff4442baa307fbc68ebc8cbc"/>
        <w:id w:val="-725068869"/>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bookmarkStart w:id="261" w:name="_Hlk224574025"/>
      <w:r>
        <w:rPr>
          <w:rFonts w:hint="eastAsia"/>
        </w:rPr>
        <w:t>单位：</w:t>
      </w:r>
      <w:sdt>
        <w:sdtPr>
          <w:rPr>
            <w:rFonts w:hint="eastAsia"/>
          </w:rPr>
          <w:alias w:val="单位：报告期内证券发行情况"/>
          <w:tag w:val="_GBC_97a55af02d71449cafe4112d94324193"/>
          <w:id w:val="-205214458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r>
        <w:rPr>
          <w:rFonts w:hint="eastAsia"/>
        </w:rPr>
        <w:t xml:space="preserve">  </w:t>
      </w:r>
      <w:r>
        <w:rPr>
          <w:rFonts w:hint="eastAsia"/>
        </w:rPr>
        <w:t>币种：</w:t>
      </w:r>
      <w:sdt>
        <w:sdtPr>
          <w:rPr>
            <w:rFonts w:hint="eastAsia"/>
          </w:rPr>
          <w:alias w:val="币种：报告期内证券发行情况"/>
          <w:tag w:val="_GBC_aa3ad9c328164ecba8b95d532a53b4a9"/>
          <w:id w:val="18410404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4"/>
        <w:tblW w:w="9209" w:type="dxa"/>
        <w:tblLayout w:type="fixed"/>
        <w:tblLook w:val="04A0" w:firstRow="1" w:lastRow="0" w:firstColumn="1" w:lastColumn="0" w:noHBand="0" w:noVBand="1"/>
      </w:tblPr>
      <w:tblGrid>
        <w:gridCol w:w="1831"/>
        <w:gridCol w:w="1283"/>
        <w:gridCol w:w="1146"/>
        <w:gridCol w:w="1208"/>
        <w:gridCol w:w="1331"/>
        <w:gridCol w:w="1039"/>
        <w:gridCol w:w="1371"/>
      </w:tblGrid>
      <w:tr>
        <w:trPr>
          <w:trHeight w:val="165"/>
        </w:trPr>
        <w:bookmarkEnd w:id="261" w:displacedByCustomXml="next"/>
        <w:bookmarkStart w:id="262" w:name="_Hlk224573997" w:displacedByCustomXml="next"/>
        <w:sdt>
          <w:sdtPr>
            <w:tag w:val="_PLD_213a92a011c84e099a816a5336a450cc"/>
            <w:id w:val="-871149777"/>
          </w:sdtPr>
          <w:sdtContent>
            <w:tc>
              <w:tcPr>
                <w:tcW w:w="1831" w:type="dxa"/>
                <w:vAlign w:val="center"/>
              </w:tcPr>
              <w:p>
                <w:pPr>
                  <w:pStyle w:val="Style49"/>
                </w:pPr>
                <w:r>
                  <w:rPr>
                    <w:rFonts w:hint="eastAsia"/>
                  </w:rPr>
                  <w:t>股票及其衍生</w:t>
                </w:r>
              </w:p>
              <w:p>
                <w:pPr>
                  <w:pStyle w:val="Style49"/>
                </w:pPr>
                <w:r>
                  <w:rPr>
                    <w:rFonts w:hint="eastAsia"/>
                  </w:rPr>
                  <w:t>证券的种类</w:t>
                </w:r>
              </w:p>
            </w:tc>
          </w:sdtContent>
        </w:sdt>
        <w:sdt>
          <w:sdtPr>
            <w:tag w:val="_PLD_076b37c9bd304e8d8d919720dff5d117"/>
            <w:id w:val="272753193"/>
          </w:sdtPr>
          <w:sdtContent>
            <w:tc>
              <w:tcPr>
                <w:tcW w:w="1283" w:type="dxa"/>
                <w:vAlign w:val="center"/>
              </w:tcPr>
              <w:p>
                <w:pPr>
                  <w:pStyle w:val="Style49"/>
                </w:pPr>
                <w:r>
                  <w:rPr>
                    <w:rFonts w:hint="eastAsia"/>
                  </w:rPr>
                  <w:t>发行日期</w:t>
                </w:r>
              </w:p>
            </w:tc>
          </w:sdtContent>
        </w:sdt>
        <w:sdt>
          <w:sdtPr>
            <w:tag w:val="_PLD_83017f683fe744abb419c10516cae3b8"/>
            <w:id w:val="-1269300638"/>
          </w:sdtPr>
          <w:sdtContent>
            <w:tc>
              <w:tcPr>
                <w:tcW w:w="1146" w:type="dxa"/>
                <w:vAlign w:val="center"/>
              </w:tcPr>
              <w:p>
                <w:pPr>
                  <w:pStyle w:val="Style49"/>
                </w:pPr>
                <w:r>
                  <w:rPr>
                    <w:rFonts w:hint="eastAsia"/>
                  </w:rPr>
                  <w:t>发行价格（或利率）</w:t>
                </w:r>
              </w:p>
            </w:tc>
          </w:sdtContent>
        </w:sdt>
        <w:sdt>
          <w:sdtPr>
            <w:tag w:val="_PLD_a83f10a8fa0e4c71a8a8294cfa2f9ed7"/>
            <w:id w:val="-987469497"/>
          </w:sdtPr>
          <w:sdtContent>
            <w:tc>
              <w:tcPr>
                <w:tcW w:w="1208" w:type="dxa"/>
                <w:vAlign w:val="center"/>
              </w:tcPr>
              <w:p>
                <w:pPr>
                  <w:pStyle w:val="Style49"/>
                </w:pPr>
                <w:r>
                  <w:rPr>
                    <w:rFonts w:hint="eastAsia"/>
                  </w:rPr>
                  <w:t>发行数量</w:t>
                </w:r>
              </w:p>
            </w:tc>
          </w:sdtContent>
        </w:sdt>
        <w:sdt>
          <w:sdtPr>
            <w:tag w:val="_PLD_0fd8e16104e242e3a87233e9722789bc"/>
            <w:id w:val="488447460"/>
          </w:sdtPr>
          <w:sdtContent>
            <w:tc>
              <w:tcPr>
                <w:tcW w:w="1331" w:type="dxa"/>
                <w:vAlign w:val="center"/>
              </w:tcPr>
              <w:p>
                <w:pPr>
                  <w:pStyle w:val="Style49"/>
                </w:pPr>
                <w:r>
                  <w:rPr>
                    <w:rFonts w:hint="eastAsia"/>
                  </w:rPr>
                  <w:t>上市日期</w:t>
                </w:r>
              </w:p>
            </w:tc>
          </w:sdtContent>
        </w:sdt>
        <w:sdt>
          <w:sdtPr>
            <w:tag w:val="_PLD_83d2debad46441f6b48f45f45ef2c978"/>
            <w:id w:val="-277257969"/>
          </w:sdtPr>
          <w:sdtContent>
            <w:tc>
              <w:tcPr>
                <w:tcW w:w="1039" w:type="dxa"/>
                <w:vAlign w:val="center"/>
              </w:tcPr>
              <w:p>
                <w:pPr>
                  <w:pStyle w:val="Style49"/>
                </w:pPr>
                <w:r>
                  <w:rPr>
                    <w:rFonts w:hint="eastAsia"/>
                  </w:rPr>
                  <w:t>获准上市交易数量</w:t>
                </w:r>
              </w:p>
            </w:tc>
          </w:sdtContent>
        </w:sdt>
        <w:sdt>
          <w:sdtPr>
            <w:tag w:val="_PLD_9129fdf6c81e4e5cba32093c9e2901e5"/>
            <w:id w:val="-907605601"/>
          </w:sdtPr>
          <w:sdtContent>
            <w:tc>
              <w:tcPr>
                <w:tcW w:w="1371" w:type="dxa"/>
                <w:vAlign w:val="center"/>
              </w:tcPr>
              <w:p>
                <w:pPr>
                  <w:pStyle w:val="Style49"/>
                </w:pPr>
                <w:r>
                  <w:rPr>
                    <w:rFonts w:hint="eastAsia"/>
                  </w:rPr>
                  <w:t>交易终止日期</w:t>
                </w:r>
              </w:p>
            </w:tc>
          </w:sdtContent>
        </w:sdt>
      </w:tr>
      <w:tr>
        <w:trPr>
          <w:trHeight w:val="120"/>
        </w:trPr>
        <w:tc>
          <w:tcPr>
            <w:tcW w:w="9209" w:type="dxa"/>
            <w:gridSpan w:val="7"/>
            <w:vAlign w:val="center"/>
          </w:tcPr>
          <w:p>
            <w:pPr>
              <w:pStyle w:val="Style49"/>
            </w:pPr>
            <w:sdt>
              <w:sdtPr>
                <w:tag w:val="_PLD_1c6bcdb1eb604452a59144bc9389b40f"/>
                <w:id w:val="1348291564"/>
              </w:sdtPr>
              <w:sdtContent>
                <w:r>
                  <w:rPr>
                    <w:rFonts w:hint="eastAsia"/>
                  </w:rPr>
                  <w:t>债券（包括企业债券、公司债券以及非金融企业债务融资工具）</w:t>
                </w:r>
              </w:sdtContent>
            </w:sdt>
          </w:p>
        </w:tc>
      </w:tr>
      <w:tr>
        <w:trPr>
          <w:trHeight w:val="120"/>
        </w:trPr>
        <w:tc>
          <w:tcPr>
            <w:tcW w:w="1831" w:type="dxa"/>
            <w:vAlign w:val="center"/>
          </w:tcPr>
          <w:p>
            <w:pPr>
              <w:jc w:val="left"/>
            </w:pPr>
            <w:r>
              <w:rPr>
                <w:rFonts w:ascii="宋体" w:hAnsi="宋体" w:cs="Arial"/>
                <w:color w:val="000000"/>
              </w:rPr>
              <w:t>公司债</w:t>
            </w:r>
          </w:p>
        </w:tc>
        <w:tc>
          <w:tcPr>
            <w:tcW w:w="1283" w:type="dxa"/>
            <w:vAlign w:val="center"/>
          </w:tcPr>
          <w:p>
            <w:pPr>
              <w:jc w:val="right"/>
            </w:pPr>
            <w:r>
              <w:rPr>
                <w:rFonts w:ascii="宋体" w:hAnsi="宋体" w:cs="Arial"/>
                <w:color w:val="000000"/>
              </w:rPr>
              <w:t>2025/6/4</w:t>
            </w:r>
          </w:p>
        </w:tc>
        <w:tc>
          <w:tcPr>
            <w:tcW w:w="1146" w:type="dxa"/>
            <w:vAlign w:val="center"/>
          </w:tcPr>
          <w:p>
            <w:pPr>
              <w:jc w:val="right"/>
            </w:pPr>
            <w:r>
              <w:rPr>
                <w:rFonts w:ascii="宋体" w:hAnsi="宋体" w:cs="Arial"/>
                <w:color w:val="000000"/>
              </w:rPr>
              <w:t>2.02%</w:t>
            </w:r>
          </w:p>
        </w:tc>
        <w:tc>
          <w:tcPr>
            <w:tcW w:w="1208" w:type="dxa"/>
            <w:vAlign w:val="center"/>
          </w:tcPr>
          <w:p>
            <w:pPr>
              <w:jc w:val="right"/>
            </w:pPr>
            <w:r>
              <w:rPr>
                <w:rFonts w:ascii="宋体" w:hAnsi="宋体" w:cs="Arial"/>
                <w:color w:val="000000"/>
              </w:rPr>
              <w:t>30亿元</w:t>
            </w:r>
          </w:p>
        </w:tc>
        <w:tc>
          <w:tcPr>
            <w:tcW w:w="1331" w:type="dxa"/>
            <w:vAlign w:val="center"/>
          </w:tcPr>
          <w:p>
            <w:pPr>
              <w:jc w:val="right"/>
            </w:pPr>
            <w:r>
              <w:rPr>
                <w:rFonts w:ascii="宋体" w:hAnsi="宋体" w:cs="Arial"/>
                <w:color w:val="000000"/>
              </w:rPr>
              <w:t>2025/6/6</w:t>
            </w:r>
          </w:p>
        </w:tc>
        <w:tc>
          <w:tcPr>
            <w:tcW w:w="1039" w:type="dxa"/>
            <w:vAlign w:val="center"/>
          </w:tcPr>
          <w:p>
            <w:pPr>
              <w:jc w:val="right"/>
            </w:pPr>
            <w:r>
              <w:rPr>
                <w:rFonts w:ascii="宋体" w:hAnsi="宋体" w:cs="Arial"/>
                <w:color w:val="000000"/>
              </w:rPr>
              <w:t>30亿元</w:t>
            </w:r>
          </w:p>
        </w:tc>
        <w:tc>
          <w:tcPr>
            <w:tcW w:w="1371" w:type="dxa"/>
            <w:vAlign w:val="center"/>
          </w:tcPr>
          <w:p>
            <w:pPr>
              <w:jc w:val="right"/>
            </w:pPr>
            <w:r>
              <w:rPr>
                <w:rFonts w:ascii="宋体" w:hAnsi="宋体" w:cs="Arial"/>
                <w:color w:val="000000"/>
              </w:rPr>
              <w:t>2030/6/6</w:t>
            </w:r>
          </w:p>
        </w:tc>
      </w:tr>
      <w:tr>
        <w:trPr>
          <w:trHeight w:val="120"/>
        </w:trPr>
        <w:tc>
          <w:tcPr>
            <w:tcW w:w="1831" w:type="dxa"/>
            <w:vAlign w:val="center"/>
          </w:tcPr>
          <w:p>
            <w:pPr>
              <w:jc w:val="left"/>
            </w:pPr>
            <w:r>
              <w:rPr>
                <w:rFonts w:ascii="宋体" w:hAnsi="宋体" w:cs="Arial"/>
                <w:color w:val="000000"/>
              </w:rPr>
              <w:t>公司债</w:t>
            </w:r>
          </w:p>
        </w:tc>
        <w:tc>
          <w:tcPr>
            <w:tcW w:w="1283" w:type="dxa"/>
            <w:vAlign w:val="center"/>
          </w:tcPr>
          <w:p>
            <w:pPr>
              <w:jc w:val="right"/>
            </w:pPr>
            <w:r>
              <w:rPr>
                <w:rFonts w:ascii="宋体" w:hAnsi="宋体" w:cs="Arial"/>
                <w:color w:val="000000"/>
              </w:rPr>
              <w:t>2025/6/20</w:t>
            </w:r>
          </w:p>
        </w:tc>
        <w:tc>
          <w:tcPr>
            <w:tcW w:w="1146" w:type="dxa"/>
            <w:vAlign w:val="center"/>
          </w:tcPr>
          <w:p>
            <w:pPr>
              <w:jc w:val="right"/>
            </w:pPr>
            <w:r>
              <w:rPr>
                <w:rFonts w:ascii="宋体" w:hAnsi="宋体" w:cs="Arial"/>
                <w:color w:val="000000"/>
              </w:rPr>
              <w:t>1.86%</w:t>
            </w:r>
          </w:p>
        </w:tc>
        <w:tc>
          <w:tcPr>
            <w:tcW w:w="1208" w:type="dxa"/>
            <w:vAlign w:val="center"/>
          </w:tcPr>
          <w:p>
            <w:pPr>
              <w:jc w:val="right"/>
            </w:pPr>
            <w:r>
              <w:rPr>
                <w:rFonts w:ascii="宋体" w:hAnsi="宋体" w:cs="Arial"/>
                <w:color w:val="000000"/>
              </w:rPr>
              <w:t>30亿元</w:t>
            </w:r>
          </w:p>
        </w:tc>
        <w:tc>
          <w:tcPr>
            <w:tcW w:w="1331" w:type="dxa"/>
            <w:vAlign w:val="center"/>
          </w:tcPr>
          <w:p>
            <w:pPr>
              <w:jc w:val="right"/>
            </w:pPr>
            <w:r>
              <w:rPr>
                <w:rFonts w:ascii="宋体" w:hAnsi="宋体" w:cs="Arial"/>
                <w:color w:val="000000"/>
              </w:rPr>
              <w:t>2025/6/23</w:t>
            </w:r>
          </w:p>
        </w:tc>
        <w:tc>
          <w:tcPr>
            <w:tcW w:w="1039" w:type="dxa"/>
            <w:vAlign w:val="center"/>
          </w:tcPr>
          <w:p>
            <w:pPr>
              <w:jc w:val="right"/>
            </w:pPr>
            <w:r>
              <w:rPr>
                <w:rFonts w:ascii="宋体" w:hAnsi="宋体" w:cs="Arial"/>
                <w:color w:val="000000"/>
              </w:rPr>
              <w:t>30亿元</w:t>
            </w:r>
          </w:p>
        </w:tc>
        <w:tc>
          <w:tcPr>
            <w:tcW w:w="1371" w:type="dxa"/>
            <w:vAlign w:val="center"/>
          </w:tcPr>
          <w:p>
            <w:pPr>
              <w:jc w:val="right"/>
            </w:pPr>
            <w:r>
              <w:rPr>
                <w:rFonts w:ascii="宋体" w:hAnsi="宋体" w:cs="Arial"/>
                <w:color w:val="000000"/>
              </w:rPr>
              <w:t>2027/6/23</w:t>
            </w:r>
          </w:p>
        </w:tc>
      </w:tr>
      <w:tr>
        <w:trPr>
          <w:trHeight w:val="120"/>
        </w:trPr>
        <w:tc>
          <w:tcPr>
            <w:tcW w:w="1831" w:type="dxa"/>
            <w:vAlign w:val="center"/>
          </w:tcPr>
          <w:p>
            <w:pPr>
              <w:pStyle w:val="Style61"/>
            </w:pPr>
            <w:r>
              <w:rPr>
                <w:rFonts w:ascii="宋体" w:hAnsi="宋体" w:cs="Arial"/>
                <w:color w:val="000000"/>
              </w:rPr>
              <w:t>公司债</w:t>
            </w:r>
          </w:p>
        </w:tc>
        <w:tc>
          <w:tcPr>
            <w:tcW w:w="1283" w:type="dxa"/>
            <w:vAlign w:val="center"/>
          </w:tcPr>
          <w:p>
            <w:pPr>
              <w:jc w:val="right"/>
            </w:pPr>
            <w:r>
              <w:rPr>
                <w:rFonts w:ascii="宋体" w:hAnsi="宋体" w:cs="Arial"/>
                <w:color w:val="000000"/>
              </w:rPr>
              <w:t>2025/9/8</w:t>
            </w:r>
          </w:p>
        </w:tc>
        <w:tc>
          <w:tcPr>
            <w:tcW w:w="1146" w:type="dxa"/>
            <w:vAlign w:val="center"/>
          </w:tcPr>
          <w:p>
            <w:pPr>
              <w:jc w:val="right"/>
            </w:pPr>
            <w:r>
              <w:rPr>
                <w:rFonts w:ascii="宋体" w:hAnsi="宋体" w:cs="Arial"/>
                <w:color w:val="000000"/>
              </w:rPr>
              <w:t>1.94%</w:t>
            </w:r>
          </w:p>
        </w:tc>
        <w:tc>
          <w:tcPr>
            <w:tcW w:w="1208" w:type="dxa"/>
            <w:vAlign w:val="center"/>
          </w:tcPr>
          <w:p>
            <w:pPr>
              <w:jc w:val="right"/>
            </w:pPr>
            <w:r>
              <w:rPr>
                <w:rFonts w:ascii="宋体" w:hAnsi="宋体" w:cs="Arial"/>
                <w:color w:val="000000"/>
              </w:rPr>
              <w:t>20亿元</w:t>
            </w:r>
          </w:p>
        </w:tc>
        <w:tc>
          <w:tcPr>
            <w:tcW w:w="1331" w:type="dxa"/>
            <w:vAlign w:val="center"/>
          </w:tcPr>
          <w:p>
            <w:pPr>
              <w:jc w:val="right"/>
            </w:pPr>
            <w:r>
              <w:rPr>
                <w:rFonts w:ascii="宋体" w:hAnsi="宋体" w:cs="Arial"/>
                <w:color w:val="000000"/>
              </w:rPr>
              <w:t>2025/9/9</w:t>
            </w:r>
          </w:p>
        </w:tc>
        <w:tc>
          <w:tcPr>
            <w:tcW w:w="1039" w:type="dxa"/>
            <w:vAlign w:val="center"/>
          </w:tcPr>
          <w:p>
            <w:pPr>
              <w:jc w:val="right"/>
            </w:pPr>
            <w:r>
              <w:rPr>
                <w:rFonts w:ascii="宋体" w:hAnsi="宋体" w:cs="Arial"/>
                <w:color w:val="000000"/>
              </w:rPr>
              <w:t>20亿元</w:t>
            </w:r>
          </w:p>
        </w:tc>
        <w:tc>
          <w:tcPr>
            <w:tcW w:w="1371" w:type="dxa"/>
            <w:vAlign w:val="center"/>
          </w:tcPr>
          <w:p>
            <w:pPr>
              <w:jc w:val="right"/>
            </w:pPr>
            <w:r>
              <w:rPr>
                <w:rFonts w:ascii="宋体" w:hAnsi="宋体" w:cs="Arial"/>
                <w:color w:val="000000"/>
              </w:rPr>
              <w:t>2030/9/9</w:t>
            </w:r>
          </w:p>
        </w:tc>
      </w:tr>
      <w:tr>
        <w:trPr>
          <w:trHeight w:val="120"/>
        </w:trPr>
        <w:tc>
          <w:tcPr>
            <w:tcW w:w="1831" w:type="dxa"/>
            <w:vAlign w:val="center"/>
          </w:tcPr>
          <w:p>
            <w:pPr>
              <w:pStyle w:val="Style61"/>
            </w:pPr>
            <w:r>
              <w:rPr>
                <w:rFonts w:ascii="宋体" w:hAnsi="宋体" w:cs="Arial"/>
                <w:color w:val="000000"/>
              </w:rPr>
              <w:t>公司债</w:t>
            </w:r>
          </w:p>
        </w:tc>
        <w:tc>
          <w:tcPr>
            <w:tcW w:w="1283" w:type="dxa"/>
            <w:vAlign w:val="center"/>
          </w:tcPr>
          <w:p>
            <w:pPr>
              <w:jc w:val="right"/>
            </w:pPr>
            <w:r>
              <w:rPr>
                <w:rFonts w:ascii="宋体" w:hAnsi="宋体" w:cs="Arial"/>
                <w:color w:val="000000"/>
              </w:rPr>
              <w:t>2025/10/17</w:t>
            </w:r>
          </w:p>
        </w:tc>
        <w:tc>
          <w:tcPr>
            <w:tcW w:w="1146" w:type="dxa"/>
            <w:vAlign w:val="center"/>
          </w:tcPr>
          <w:p>
            <w:pPr>
              <w:jc w:val="right"/>
            </w:pPr>
            <w:r>
              <w:rPr>
                <w:rFonts w:ascii="宋体" w:hAnsi="宋体" w:cs="Arial"/>
                <w:color w:val="000000"/>
              </w:rPr>
              <w:t>2.15%</w:t>
            </w:r>
          </w:p>
        </w:tc>
        <w:tc>
          <w:tcPr>
            <w:tcW w:w="1208" w:type="dxa"/>
            <w:vAlign w:val="center"/>
          </w:tcPr>
          <w:p>
            <w:pPr>
              <w:jc w:val="right"/>
            </w:pPr>
            <w:r>
              <w:rPr>
                <w:rFonts w:ascii="宋体" w:hAnsi="宋体" w:cs="Arial"/>
                <w:color w:val="000000"/>
              </w:rPr>
              <w:t>30亿元</w:t>
            </w:r>
          </w:p>
        </w:tc>
        <w:tc>
          <w:tcPr>
            <w:tcW w:w="1331" w:type="dxa"/>
            <w:vAlign w:val="center"/>
          </w:tcPr>
          <w:p>
            <w:pPr>
              <w:jc w:val="right"/>
            </w:pPr>
            <w:r>
              <w:rPr>
                <w:rFonts w:ascii="宋体" w:hAnsi="宋体" w:cs="Arial"/>
                <w:color w:val="000000"/>
              </w:rPr>
              <w:t>2025/10/20</w:t>
            </w:r>
          </w:p>
        </w:tc>
        <w:tc>
          <w:tcPr>
            <w:tcW w:w="1039" w:type="dxa"/>
            <w:vAlign w:val="center"/>
          </w:tcPr>
          <w:p>
            <w:pPr>
              <w:jc w:val="right"/>
            </w:pPr>
            <w:r>
              <w:rPr>
                <w:rFonts w:ascii="宋体" w:hAnsi="宋体" w:cs="Arial"/>
                <w:color w:val="000000"/>
              </w:rPr>
              <w:t>30亿元</w:t>
            </w:r>
          </w:p>
        </w:tc>
        <w:tc>
          <w:tcPr>
            <w:tcW w:w="1371" w:type="dxa"/>
            <w:vAlign w:val="center"/>
          </w:tcPr>
          <w:p>
            <w:pPr>
              <w:jc w:val="right"/>
            </w:pPr>
            <w:r>
              <w:rPr>
                <w:rFonts w:ascii="宋体" w:hAnsi="宋体" w:cs="Arial"/>
                <w:color w:val="000000"/>
              </w:rPr>
              <w:t>2028/10/20</w:t>
            </w:r>
          </w:p>
        </w:tc>
      </w:tr>
      <w:tr>
        <w:trPr>
          <w:trHeight w:val="120"/>
        </w:trPr>
        <w:tc>
          <w:tcPr>
            <w:tcW w:w="1831" w:type="dxa"/>
            <w:vAlign w:val="center"/>
          </w:tcPr>
          <w:p>
            <w:pPr>
              <w:pStyle w:val="Style61"/>
            </w:pPr>
            <w:r>
              <w:rPr>
                <w:rFonts w:ascii="宋体" w:hAnsi="宋体" w:cs="Arial"/>
                <w:color w:val="000000"/>
              </w:rPr>
              <w:t>公司债</w:t>
            </w:r>
          </w:p>
        </w:tc>
        <w:tc>
          <w:tcPr>
            <w:tcW w:w="1283" w:type="dxa"/>
            <w:vAlign w:val="center"/>
          </w:tcPr>
          <w:p>
            <w:pPr>
              <w:jc w:val="right"/>
            </w:pPr>
            <w:r>
              <w:rPr>
                <w:rFonts w:ascii="宋体" w:hAnsi="宋体" w:cs="Arial"/>
                <w:color w:val="000000"/>
              </w:rPr>
              <w:t>2025/11/24</w:t>
            </w:r>
          </w:p>
        </w:tc>
        <w:tc>
          <w:tcPr>
            <w:tcW w:w="1146" w:type="dxa"/>
            <w:vAlign w:val="center"/>
          </w:tcPr>
          <w:p>
            <w:pPr>
              <w:jc w:val="right"/>
            </w:pPr>
            <w:r>
              <w:rPr>
                <w:rFonts w:ascii="宋体" w:hAnsi="宋体" w:cs="Arial"/>
                <w:color w:val="000000"/>
              </w:rPr>
              <w:t>2.00%</w:t>
            </w:r>
          </w:p>
        </w:tc>
        <w:tc>
          <w:tcPr>
            <w:tcW w:w="1208" w:type="dxa"/>
            <w:vAlign w:val="center"/>
          </w:tcPr>
          <w:p>
            <w:pPr>
              <w:jc w:val="right"/>
            </w:pPr>
            <w:r>
              <w:rPr>
                <w:rFonts w:ascii="宋体" w:hAnsi="宋体" w:cs="Arial"/>
                <w:color w:val="000000"/>
              </w:rPr>
              <w:t>30亿元</w:t>
            </w:r>
          </w:p>
        </w:tc>
        <w:tc>
          <w:tcPr>
            <w:tcW w:w="1331" w:type="dxa"/>
            <w:vAlign w:val="center"/>
          </w:tcPr>
          <w:p>
            <w:pPr>
              <w:jc w:val="right"/>
            </w:pPr>
            <w:r>
              <w:rPr>
                <w:rFonts w:ascii="宋体" w:hAnsi="宋体" w:cs="Arial"/>
                <w:color w:val="000000"/>
              </w:rPr>
              <w:t>2025/11/24</w:t>
            </w:r>
          </w:p>
        </w:tc>
        <w:tc>
          <w:tcPr>
            <w:tcW w:w="1039" w:type="dxa"/>
            <w:vAlign w:val="center"/>
          </w:tcPr>
          <w:p>
            <w:pPr>
              <w:jc w:val="right"/>
            </w:pPr>
            <w:r>
              <w:rPr>
                <w:rFonts w:ascii="宋体" w:hAnsi="宋体" w:cs="Arial"/>
                <w:color w:val="000000"/>
              </w:rPr>
              <w:t>30亿元</w:t>
            </w:r>
          </w:p>
        </w:tc>
        <w:tc>
          <w:tcPr>
            <w:tcW w:w="1371" w:type="dxa"/>
            <w:vAlign w:val="center"/>
          </w:tcPr>
          <w:p>
            <w:pPr>
              <w:jc w:val="right"/>
            </w:pPr>
            <w:r>
              <w:rPr>
                <w:rFonts w:ascii="宋体" w:hAnsi="宋体" w:cs="Arial"/>
                <w:color w:val="000000"/>
              </w:rPr>
              <w:t>2030/11/24</w:t>
            </w:r>
          </w:p>
        </w:tc>
      </w:tr>
      <w:tr>
        <w:trPr>
          <w:trHeight w:val="120"/>
        </w:trPr>
        <w:tc>
          <w:tcPr>
            <w:tcW w:w="1831" w:type="dxa"/>
            <w:vAlign w:val="center"/>
          </w:tcPr>
          <w:p>
            <w:pPr>
              <w:pStyle w:val="Style61"/>
            </w:pPr>
            <w:r>
              <w:rPr>
                <w:rFonts w:ascii="宋体" w:hAnsi="宋体" w:cs="Arial"/>
                <w:color w:val="000000"/>
              </w:rPr>
              <w:t>中期票据</w:t>
            </w:r>
          </w:p>
        </w:tc>
        <w:tc>
          <w:tcPr>
            <w:tcW w:w="1283" w:type="dxa"/>
            <w:vAlign w:val="center"/>
          </w:tcPr>
          <w:p>
            <w:pPr>
              <w:jc w:val="right"/>
            </w:pPr>
            <w:r>
              <w:rPr>
                <w:rFonts w:ascii="宋体" w:hAnsi="宋体" w:cs="Arial"/>
                <w:color w:val="000000"/>
              </w:rPr>
              <w:t>2025/4/28</w:t>
            </w:r>
          </w:p>
        </w:tc>
        <w:tc>
          <w:tcPr>
            <w:tcW w:w="1146" w:type="dxa"/>
            <w:vAlign w:val="center"/>
          </w:tcPr>
          <w:p>
            <w:pPr>
              <w:jc w:val="right"/>
            </w:pPr>
            <w:r>
              <w:rPr>
                <w:rFonts w:ascii="宋体" w:hAnsi="宋体" w:cs="Arial"/>
                <w:color w:val="000000"/>
              </w:rPr>
              <w:t>2.09%</w:t>
            </w:r>
          </w:p>
        </w:tc>
        <w:tc>
          <w:tcPr>
            <w:tcW w:w="1208" w:type="dxa"/>
            <w:vAlign w:val="center"/>
          </w:tcPr>
          <w:p>
            <w:pPr>
              <w:jc w:val="right"/>
            </w:pPr>
            <w:r>
              <w:rPr>
                <w:rFonts w:ascii="宋体" w:hAnsi="宋体" w:cs="Arial"/>
                <w:color w:val="000000"/>
              </w:rPr>
              <w:t>30亿元</w:t>
            </w:r>
          </w:p>
        </w:tc>
        <w:tc>
          <w:tcPr>
            <w:tcW w:w="1331" w:type="dxa"/>
            <w:vAlign w:val="center"/>
          </w:tcPr>
          <w:p>
            <w:pPr>
              <w:jc w:val="right"/>
            </w:pPr>
            <w:r>
              <w:rPr>
                <w:rFonts w:ascii="宋体" w:hAnsi="宋体" w:cs="Arial"/>
                <w:color w:val="000000"/>
              </w:rPr>
              <w:t>2025/4/29</w:t>
            </w:r>
          </w:p>
        </w:tc>
        <w:tc>
          <w:tcPr>
            <w:tcW w:w="1039" w:type="dxa"/>
            <w:vAlign w:val="center"/>
          </w:tcPr>
          <w:p>
            <w:pPr>
              <w:jc w:val="right"/>
            </w:pPr>
            <w:r>
              <w:rPr>
                <w:rFonts w:ascii="宋体" w:hAnsi="宋体" w:cs="Arial"/>
                <w:color w:val="000000"/>
              </w:rPr>
              <w:t>30亿元</w:t>
            </w:r>
          </w:p>
        </w:tc>
        <w:tc>
          <w:tcPr>
            <w:tcW w:w="1371" w:type="dxa"/>
            <w:vAlign w:val="center"/>
          </w:tcPr>
          <w:p>
            <w:pPr>
              <w:jc w:val="right"/>
            </w:pPr>
            <w:r>
              <w:rPr>
                <w:rFonts w:ascii="宋体" w:hAnsi="宋体" w:cs="Arial"/>
                <w:color w:val="000000"/>
              </w:rPr>
              <w:t>2027/4/29</w:t>
            </w:r>
          </w:p>
        </w:tc>
      </w:tr>
      <w:tr>
        <w:trPr>
          <w:trHeight w:val="120"/>
        </w:trPr>
        <w:tc>
          <w:tcPr>
            <w:tcW w:w="1831" w:type="dxa"/>
            <w:vAlign w:val="center"/>
          </w:tcPr>
          <w:p>
            <w:pPr>
              <w:pStyle w:val="Style61"/>
            </w:pPr>
            <w:r>
              <w:rPr>
                <w:rFonts w:ascii="宋体" w:hAnsi="宋体" w:cs="Arial"/>
                <w:color w:val="000000"/>
              </w:rPr>
              <w:t>中期票据</w:t>
            </w:r>
          </w:p>
        </w:tc>
        <w:tc>
          <w:tcPr>
            <w:tcW w:w="1283" w:type="dxa"/>
            <w:vAlign w:val="center"/>
          </w:tcPr>
          <w:p>
            <w:pPr>
              <w:jc w:val="right"/>
            </w:pPr>
            <w:r>
              <w:rPr>
                <w:rFonts w:ascii="宋体" w:hAnsi="宋体" w:cs="Arial"/>
                <w:color w:val="000000"/>
              </w:rPr>
              <w:t>2025/10/27</w:t>
            </w:r>
          </w:p>
        </w:tc>
        <w:tc>
          <w:tcPr>
            <w:tcW w:w="1146" w:type="dxa"/>
            <w:vAlign w:val="center"/>
          </w:tcPr>
          <w:p>
            <w:pPr>
              <w:jc w:val="right"/>
            </w:pPr>
            <w:r>
              <w:rPr>
                <w:rFonts w:ascii="宋体" w:hAnsi="宋体" w:cs="Arial"/>
                <w:color w:val="000000"/>
              </w:rPr>
              <w:t>1.96%</w:t>
            </w:r>
          </w:p>
        </w:tc>
        <w:tc>
          <w:tcPr>
            <w:tcW w:w="1208" w:type="dxa"/>
            <w:vAlign w:val="center"/>
          </w:tcPr>
          <w:p>
            <w:pPr>
              <w:jc w:val="right"/>
            </w:pPr>
            <w:r>
              <w:rPr>
                <w:rFonts w:ascii="宋体" w:hAnsi="宋体" w:cs="Arial"/>
                <w:color w:val="000000"/>
              </w:rPr>
              <w:t>30亿元</w:t>
            </w:r>
          </w:p>
        </w:tc>
        <w:tc>
          <w:tcPr>
            <w:tcW w:w="1331" w:type="dxa"/>
            <w:vAlign w:val="center"/>
          </w:tcPr>
          <w:p>
            <w:pPr>
              <w:jc w:val="right"/>
            </w:pPr>
            <w:r>
              <w:rPr>
                <w:rFonts w:ascii="宋体" w:hAnsi="宋体" w:cs="Arial"/>
                <w:color w:val="000000"/>
              </w:rPr>
              <w:t>2025/10/29</w:t>
            </w:r>
          </w:p>
        </w:tc>
        <w:tc>
          <w:tcPr>
            <w:tcW w:w="1039" w:type="dxa"/>
            <w:vAlign w:val="center"/>
          </w:tcPr>
          <w:p>
            <w:pPr>
              <w:jc w:val="right"/>
            </w:pPr>
            <w:r>
              <w:rPr>
                <w:rFonts w:ascii="宋体" w:hAnsi="宋体" w:cs="Arial"/>
                <w:color w:val="000000"/>
              </w:rPr>
              <w:t>30亿元</w:t>
            </w:r>
          </w:p>
        </w:tc>
        <w:tc>
          <w:tcPr>
            <w:tcW w:w="1371" w:type="dxa"/>
            <w:vAlign w:val="center"/>
          </w:tcPr>
          <w:p>
            <w:pPr>
              <w:jc w:val="right"/>
            </w:pPr>
            <w:r>
              <w:rPr>
                <w:rFonts w:ascii="宋体" w:hAnsi="宋体" w:cs="Arial"/>
                <w:color w:val="000000"/>
              </w:rPr>
              <w:t>2027/10/29</w:t>
            </w:r>
          </w:p>
        </w:tc>
      </w:tr>
      <w:tr>
        <w:trPr>
          <w:trHeight w:val="120"/>
        </w:trPr>
        <w:tc>
          <w:tcPr>
            <w:tcW w:w="1831" w:type="dxa"/>
            <w:vAlign w:val="center"/>
          </w:tcPr>
          <w:p>
            <w:pPr>
              <w:pStyle w:val="Style61"/>
            </w:pPr>
            <w:r>
              <w:rPr>
                <w:rFonts w:ascii="宋体" w:hAnsi="宋体" w:cs="Arial"/>
                <w:color w:val="000000"/>
              </w:rPr>
              <w:t>中期票据</w:t>
            </w:r>
          </w:p>
        </w:tc>
        <w:tc>
          <w:tcPr>
            <w:tcW w:w="1283" w:type="dxa"/>
            <w:vAlign w:val="center"/>
          </w:tcPr>
          <w:p>
            <w:pPr>
              <w:jc w:val="right"/>
            </w:pPr>
            <w:r>
              <w:rPr>
                <w:rFonts w:ascii="宋体" w:hAnsi="宋体" w:cs="Arial"/>
                <w:color w:val="000000"/>
              </w:rPr>
              <w:t>2025/11/12</w:t>
            </w:r>
          </w:p>
        </w:tc>
        <w:tc>
          <w:tcPr>
            <w:tcW w:w="1146" w:type="dxa"/>
            <w:vAlign w:val="center"/>
          </w:tcPr>
          <w:p>
            <w:pPr>
              <w:jc w:val="right"/>
            </w:pPr>
            <w:r>
              <w:rPr>
                <w:rFonts w:ascii="宋体" w:hAnsi="宋体" w:cs="Arial"/>
                <w:color w:val="000000"/>
              </w:rPr>
              <w:t>2.06%</w:t>
            </w:r>
          </w:p>
        </w:tc>
        <w:tc>
          <w:tcPr>
            <w:tcW w:w="1208" w:type="dxa"/>
            <w:vAlign w:val="center"/>
          </w:tcPr>
          <w:p>
            <w:pPr>
              <w:jc w:val="right"/>
            </w:pPr>
            <w:r>
              <w:rPr>
                <w:rFonts w:ascii="宋体" w:hAnsi="宋体" w:cs="Arial"/>
                <w:color w:val="000000"/>
              </w:rPr>
              <w:t>30亿元</w:t>
            </w:r>
          </w:p>
        </w:tc>
        <w:tc>
          <w:tcPr>
            <w:tcW w:w="1331" w:type="dxa"/>
            <w:vAlign w:val="center"/>
          </w:tcPr>
          <w:p>
            <w:pPr>
              <w:jc w:val="right"/>
            </w:pPr>
            <w:r>
              <w:rPr>
                <w:rFonts w:ascii="宋体" w:hAnsi="宋体" w:cs="Arial"/>
                <w:color w:val="000000"/>
              </w:rPr>
              <w:t>2025/11/14</w:t>
            </w:r>
          </w:p>
        </w:tc>
        <w:tc>
          <w:tcPr>
            <w:tcW w:w="1039" w:type="dxa"/>
            <w:vAlign w:val="center"/>
          </w:tcPr>
          <w:p>
            <w:pPr>
              <w:jc w:val="right"/>
            </w:pPr>
            <w:r>
              <w:rPr>
                <w:rFonts w:ascii="宋体" w:hAnsi="宋体" w:cs="Arial"/>
                <w:color w:val="000000"/>
              </w:rPr>
              <w:t>30亿元</w:t>
            </w:r>
          </w:p>
        </w:tc>
        <w:tc>
          <w:tcPr>
            <w:tcW w:w="1371" w:type="dxa"/>
            <w:vAlign w:val="center"/>
          </w:tcPr>
          <w:p>
            <w:pPr>
              <w:jc w:val="right"/>
            </w:pPr>
            <w:r>
              <w:rPr>
                <w:rFonts w:ascii="宋体" w:hAnsi="宋体" w:cs="Arial"/>
                <w:color w:val="000000"/>
              </w:rPr>
              <w:t>2028/11/14</w:t>
            </w:r>
          </w:p>
        </w:tc>
      </w:tr>
      <w:tr>
        <w:trPr>
          <w:trHeight w:val="120"/>
        </w:trPr>
        <w:tc>
          <w:tcPr>
            <w:tcW w:w="1831" w:type="dxa"/>
            <w:vAlign w:val="center"/>
          </w:tcPr>
          <w:p>
            <w:pPr>
              <w:rPr>
                <w:rFonts w:ascii="宋体" w:hAnsi="宋体" w:cs="Arial"/>
                <w:color w:val="000000"/>
              </w:rPr>
            </w:pPr>
            <w:r>
              <w:rPr>
                <w:rFonts w:ascii="Arial" w:hAnsi="Arial" w:cs="Arial"/>
                <w:color w:val="000000"/>
              </w:rPr>
              <w:t>超短期融资债券</w:t>
            </w:r>
          </w:p>
        </w:tc>
        <w:tc>
          <w:tcPr>
            <w:tcW w:w="1283" w:type="dxa"/>
            <w:vAlign w:val="center"/>
          </w:tcPr>
          <w:p>
            <w:pPr>
              <w:jc w:val="right"/>
              <w:rPr>
                <w:rFonts w:ascii="宋体" w:hAnsi="宋体" w:cs="Arial"/>
                <w:color w:val="000000"/>
              </w:rPr>
            </w:pPr>
            <w:r>
              <w:rPr>
                <w:rFonts w:ascii="宋体" w:hAnsi="宋体" w:cs="Arial"/>
                <w:color w:val="000000"/>
              </w:rPr>
              <w:t>2025/7/23</w:t>
            </w:r>
          </w:p>
        </w:tc>
        <w:tc>
          <w:tcPr>
            <w:tcW w:w="1146" w:type="dxa"/>
            <w:vAlign w:val="center"/>
          </w:tcPr>
          <w:p>
            <w:pPr>
              <w:jc w:val="right"/>
              <w:rPr>
                <w:rFonts w:ascii="宋体" w:hAnsi="宋体" w:cs="Arial"/>
                <w:color w:val="000000"/>
              </w:rPr>
            </w:pPr>
            <w:r>
              <w:rPr>
                <w:rFonts w:ascii="宋体" w:hAnsi="宋体" w:cs="Arial"/>
                <w:color w:val="000000"/>
              </w:rPr>
              <w:t>1.56%</w:t>
            </w:r>
          </w:p>
        </w:tc>
        <w:tc>
          <w:tcPr>
            <w:tcW w:w="1208" w:type="dxa"/>
            <w:vAlign w:val="center"/>
          </w:tcPr>
          <w:p>
            <w:pPr>
              <w:jc w:val="right"/>
              <w:rPr>
                <w:rFonts w:ascii="宋体" w:hAnsi="宋体" w:cs="Arial"/>
                <w:color w:val="000000"/>
              </w:rPr>
            </w:pPr>
            <w:r>
              <w:rPr>
                <w:rFonts w:ascii="宋体" w:hAnsi="宋体" w:cs="Arial"/>
                <w:color w:val="000000"/>
              </w:rPr>
              <w:t>20亿元</w:t>
            </w:r>
          </w:p>
        </w:tc>
        <w:tc>
          <w:tcPr>
            <w:tcW w:w="1331" w:type="dxa"/>
            <w:vAlign w:val="center"/>
          </w:tcPr>
          <w:p>
            <w:pPr>
              <w:jc w:val="right"/>
              <w:rPr>
                <w:rFonts w:ascii="宋体" w:hAnsi="宋体" w:cs="Arial"/>
                <w:color w:val="000000"/>
              </w:rPr>
            </w:pPr>
            <w:r>
              <w:rPr>
                <w:rFonts w:ascii="宋体" w:hAnsi="宋体" w:cs="Arial"/>
                <w:color w:val="000000"/>
              </w:rPr>
              <w:t>2025/7/24</w:t>
            </w:r>
          </w:p>
        </w:tc>
        <w:tc>
          <w:tcPr>
            <w:tcW w:w="1039" w:type="dxa"/>
            <w:vAlign w:val="center"/>
          </w:tcPr>
          <w:p>
            <w:pPr>
              <w:jc w:val="right"/>
              <w:rPr>
                <w:rFonts w:ascii="宋体" w:hAnsi="宋体" w:cs="Arial"/>
                <w:color w:val="000000"/>
              </w:rPr>
            </w:pPr>
            <w:r>
              <w:rPr>
                <w:rFonts w:ascii="宋体" w:hAnsi="宋体" w:cs="Arial"/>
                <w:color w:val="000000"/>
              </w:rPr>
              <w:t>20亿元</w:t>
            </w:r>
          </w:p>
        </w:tc>
        <w:tc>
          <w:tcPr>
            <w:tcW w:w="1371" w:type="dxa"/>
            <w:vAlign w:val="center"/>
          </w:tcPr>
          <w:p>
            <w:pPr>
              <w:jc w:val="right"/>
              <w:rPr>
                <w:rFonts w:ascii="宋体" w:hAnsi="宋体" w:cs="Arial"/>
                <w:color w:val="000000"/>
              </w:rPr>
            </w:pPr>
            <w:r>
              <w:rPr>
                <w:rFonts w:ascii="宋体" w:hAnsi="宋体" w:cs="Arial"/>
                <w:color w:val="000000"/>
              </w:rPr>
              <w:t>2025/12/11</w:t>
            </w:r>
          </w:p>
        </w:tc>
      </w:tr>
      <w:tr>
        <w:trPr>
          <w:trHeight w:val="120"/>
        </w:trPr>
        <w:tc>
          <w:tcPr>
            <w:tcW w:w="1831" w:type="dxa"/>
            <w:vAlign w:val="center"/>
          </w:tcPr>
          <w:p>
            <w:pPr>
              <w:rPr>
                <w:rFonts w:ascii="宋体" w:hAnsi="宋体" w:cs="Arial"/>
                <w:color w:val="000000"/>
              </w:rPr>
            </w:pPr>
            <w:r>
              <w:rPr>
                <w:rFonts w:ascii="Arial" w:hAnsi="Arial" w:cs="Arial"/>
                <w:color w:val="000000"/>
              </w:rPr>
              <w:t>超短期融资债券</w:t>
            </w:r>
          </w:p>
        </w:tc>
        <w:tc>
          <w:tcPr>
            <w:tcW w:w="1283" w:type="dxa"/>
            <w:vAlign w:val="center"/>
          </w:tcPr>
          <w:p>
            <w:pPr>
              <w:jc w:val="right"/>
              <w:rPr>
                <w:rFonts w:ascii="宋体" w:hAnsi="宋体" w:cs="Arial"/>
                <w:color w:val="000000"/>
              </w:rPr>
            </w:pPr>
            <w:r>
              <w:rPr>
                <w:rFonts w:ascii="宋体" w:hAnsi="宋体" w:cs="Arial"/>
                <w:color w:val="000000"/>
              </w:rPr>
              <w:t>2025/12/8</w:t>
            </w:r>
          </w:p>
        </w:tc>
        <w:tc>
          <w:tcPr>
            <w:tcW w:w="1146" w:type="dxa"/>
            <w:vAlign w:val="center"/>
          </w:tcPr>
          <w:p>
            <w:pPr>
              <w:jc w:val="right"/>
              <w:rPr>
                <w:rFonts w:ascii="宋体" w:hAnsi="宋体" w:cs="Arial"/>
                <w:color w:val="000000"/>
              </w:rPr>
            </w:pPr>
            <w:r>
              <w:rPr>
                <w:rFonts w:ascii="宋体" w:hAnsi="宋体" w:cs="Arial"/>
                <w:color w:val="000000"/>
              </w:rPr>
              <w:t>1.65%</w:t>
            </w:r>
          </w:p>
        </w:tc>
        <w:tc>
          <w:tcPr>
            <w:tcW w:w="1208" w:type="dxa"/>
            <w:vAlign w:val="center"/>
          </w:tcPr>
          <w:p>
            <w:pPr>
              <w:jc w:val="right"/>
              <w:rPr>
                <w:rFonts w:ascii="宋体" w:hAnsi="宋体" w:cs="Arial"/>
                <w:color w:val="000000"/>
              </w:rPr>
            </w:pPr>
            <w:r>
              <w:rPr>
                <w:rFonts w:ascii="宋体" w:hAnsi="宋体" w:cs="Arial"/>
                <w:color w:val="000000"/>
              </w:rPr>
              <w:t>30亿元</w:t>
            </w:r>
          </w:p>
        </w:tc>
        <w:tc>
          <w:tcPr>
            <w:tcW w:w="1331" w:type="dxa"/>
            <w:vAlign w:val="center"/>
          </w:tcPr>
          <w:p>
            <w:pPr>
              <w:jc w:val="right"/>
              <w:rPr>
                <w:rFonts w:ascii="宋体" w:hAnsi="宋体" w:cs="Arial"/>
                <w:color w:val="000000"/>
              </w:rPr>
            </w:pPr>
            <w:r>
              <w:rPr>
                <w:rFonts w:ascii="宋体" w:hAnsi="宋体" w:cs="Arial"/>
                <w:color w:val="000000"/>
              </w:rPr>
              <w:t>2025/12/9</w:t>
            </w:r>
          </w:p>
        </w:tc>
        <w:tc>
          <w:tcPr>
            <w:tcW w:w="1039" w:type="dxa"/>
            <w:vAlign w:val="center"/>
          </w:tcPr>
          <w:p>
            <w:pPr>
              <w:jc w:val="right"/>
              <w:rPr>
                <w:rFonts w:ascii="宋体" w:hAnsi="宋体" w:cs="Arial"/>
                <w:color w:val="000000"/>
              </w:rPr>
            </w:pPr>
            <w:r>
              <w:rPr>
                <w:rFonts w:ascii="宋体" w:hAnsi="宋体" w:cs="Arial"/>
                <w:color w:val="000000"/>
              </w:rPr>
              <w:t>30亿元</w:t>
            </w:r>
          </w:p>
        </w:tc>
        <w:tc>
          <w:tcPr>
            <w:tcW w:w="1371" w:type="dxa"/>
            <w:vAlign w:val="center"/>
          </w:tcPr>
          <w:p>
            <w:pPr>
              <w:jc w:val="right"/>
              <w:rPr>
                <w:rFonts w:ascii="宋体" w:hAnsi="宋体" w:cs="Arial"/>
                <w:color w:val="000000"/>
              </w:rPr>
            </w:pPr>
            <w:r>
              <w:rPr>
                <w:rFonts w:ascii="宋体" w:hAnsi="宋体" w:cs="Arial"/>
                <w:color w:val="000000"/>
              </w:rPr>
              <w:t>2026/9/5</w:t>
            </w:r>
          </w:p>
        </w:tc>
      </w:tr>
      <w:bookmarkEnd w:id="262"/>
    </w:tbl>
    <w:p>
      <w:pPr>
        <w:pStyle w:val="Style49"/>
      </w:pPr>
    </w:p>
    <w:p>
      <w:pPr>
        <w:pStyle w:val="Style49"/>
      </w:pPr>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144983488"/>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证券发行情况的说明"/>
        <w:tag w:val="_GBC_554181dc253a4fa496d2a732435f9c84"/>
        <w:id w:val="-1934731895"/>
        <w:placeholder>
          <w:docPart w:val="GBC22222222222222222222222222222"/>
        </w:placeholder>
      </w:sdtPr>
      <w:sdtContent>
        <w:p>
          <w:pPr>
            <w:ind w:firstLineChars="200" w:firstLine="420"/>
          </w:pPr>
          <w:r>
            <w:rPr>
              <w:rFonts w:hint="eastAsia"/>
            </w:rPr>
            <w:t>有关本年度发行公司债券详情请见本年报“第八节</w:t>
          </w:r>
          <w:r>
            <w:rPr>
              <w:rFonts w:hint="eastAsia"/>
            </w:rPr>
            <w:t xml:space="preserve"> </w:t>
          </w:r>
          <w:r>
            <w:rPr>
              <w:rFonts w:hint="eastAsia"/>
            </w:rPr>
            <w:t>债券相关情况”相关内容。</w:t>
          </w:r>
        </w:p>
      </w:sdtContent>
    </w:sdt>
    <w:bookmarkEnd w:id="260"/>
    <w:p>
      <w:pPr>
        <w:pStyle w:val="Style49"/>
      </w:pPr>
    </w:p>
    <w:p>
      <w:pPr>
        <w:pStyle w:val="3"/>
        <w:numPr>
          <w:ilvl w:val="0"/>
          <w:numId w:val="53"/>
        </w:numPr>
      </w:pPr>
      <w:r>
        <w:rPr>
          <w:rFonts w:hint="eastAsia"/>
          <w:szCs w:val="21"/>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1239248010"/>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公司股份总数及结构的变动的说明"/>
        <w:tag w:val="_GBC_f052eac1038944c191b4dbc4a4fa7ea9"/>
        <w:id w:val="1704826303"/>
        <w:placeholder>
          <w:docPart w:val="GBC22222222222222222222222222222"/>
        </w:placeholder>
      </w:sdtPr>
      <w:sdtContent>
        <w:p>
          <w:pPr>
            <w:ind w:firstLineChars="200" w:firstLine="420"/>
            <w:rPr>
              <w:rFonts w:ascii="宋体" w:hAnsi="宋体"/>
            </w:rPr>
          </w:pPr>
          <w:r>
            <w:rPr>
              <w:rFonts w:ascii="宋体" w:hAnsi="宋体" w:hint="eastAsia"/>
            </w:rPr>
            <w:t>报告期内，公司完成了部分限制性股票回购注销，本公司总股本由10,039,860,402股减少至10,037,480,544股，对公司资产和负债结构并未产生重大影响。</w:t>
          </w:r>
        </w:p>
      </w:sdtContent>
    </w:sdt>
    <w:p>
      <w:pPr>
        <w:pStyle w:val="Style49"/>
      </w:pPr>
    </w:p>
    <w:p>
      <w:pPr>
        <w:pStyle w:val="3"/>
        <w:numPr>
          <w:ilvl w:val="0"/>
          <w:numId w:val="53"/>
        </w:numPr>
      </w:pPr>
      <w:r>
        <w:rPr>
          <w:rFonts w:hint="eastAsia"/>
          <w:szCs w:val="21"/>
        </w:rPr>
        <w:lastRenderedPageBreak/>
        <w:t>现存的内部职工股情况</w:t>
      </w:r>
    </w:p>
    <w:sdt>
      <w:sdtPr>
        <w:alias w:val="是否适用：现存的内部职工股情况[双击切换]"/>
        <w:tag w:val="_GBC_fa5e90226e14408b891f1c5a9dbbf2c5"/>
        <w:id w:val="666986185"/>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2"/>
        <w:numPr>
          <w:ilvl w:val="0"/>
          <w:numId w:val="50"/>
        </w:numPr>
      </w:pPr>
      <w:r>
        <w:t>股东</w:t>
      </w:r>
      <w:r>
        <w:rPr>
          <w:rFonts w:hint="eastAsia"/>
        </w:rPr>
        <w:t>和实际控制人</w:t>
      </w:r>
      <w:r>
        <w:t>情况</w:t>
      </w:r>
    </w:p>
    <w:p>
      <w:pPr>
        <w:pStyle w:val="3"/>
        <w:numPr>
          <w:ilvl w:val="1"/>
          <w:numId w:val="54"/>
        </w:numPr>
        <w:tabs>
          <w:tab w:val="left" w:pos="851"/>
        </w:tabs>
        <w:ind w:left="426" w:hanging="426"/>
        <w:rPr>
          <w:szCs w:val="21"/>
        </w:rPr>
      </w:pPr>
      <w:r>
        <w:rPr>
          <w:rFonts w:hint="eastAsia"/>
          <w:szCs w:val="21"/>
        </w:rPr>
        <w:t>股东总数</w:t>
      </w:r>
    </w:p>
    <w:tbl>
      <w:tblPr>
        <w:tblStyle w:val="aff4"/>
        <w:tblW w:w="0" w:type="auto"/>
        <w:tblLayout w:type="fixed"/>
        <w:tblLook w:val="04A0" w:firstRow="1" w:lastRow="0" w:firstColumn="1" w:lastColumn="0" w:noHBand="0" w:noVBand="1"/>
      </w:tblPr>
      <w:tblGrid>
        <w:gridCol w:w="4524"/>
        <w:gridCol w:w="4524"/>
      </w:tblGrid>
      <w:tr>
        <w:sdt>
          <w:sdtPr>
            <w:rPr>
              <w:rFonts w:ascii="宋体" w:hAnsi="宋体"/>
              <w:sz w:val="20"/>
              <w:szCs w:val="20"/>
            </w:rPr>
            <w:tag w:val="_PLD_34738880649c43ac9597effd663adc10"/>
            <w:id w:val="-1781022167"/>
          </w:sdtPr>
          <w:sdtContent>
            <w:tc>
              <w:tcPr>
                <w:tcW w:w="4524" w:type="dxa"/>
                <w:vAlign w:val="center"/>
              </w:tcPr>
              <w:p>
                <w:pPr>
                  <w:rPr>
                    <w:rFonts w:ascii="宋体" w:hAnsi="宋体"/>
                  </w:rPr>
                </w:pPr>
                <w:r>
                  <w:rPr>
                    <w:rFonts w:ascii="宋体" w:hAnsi="宋体"/>
                  </w:rPr>
                  <w:t>截</w:t>
                </w:r>
                <w:r>
                  <w:rPr>
                    <w:rFonts w:ascii="宋体" w:hAnsi="宋体" w:hint="eastAsia"/>
                  </w:rPr>
                  <w:t>至</w:t>
                </w:r>
                <w:r>
                  <w:rPr>
                    <w:rFonts w:ascii="宋体" w:hAnsi="宋体"/>
                  </w:rPr>
                  <w:t>报告期末</w:t>
                </w:r>
                <w:r>
                  <w:rPr>
                    <w:rFonts w:ascii="宋体" w:hAnsi="宋体" w:hint="eastAsia"/>
                  </w:rPr>
                  <w:t>普通股</w:t>
                </w:r>
                <w:r>
                  <w:rPr>
                    <w:rFonts w:ascii="宋体" w:hAnsi="宋体"/>
                  </w:rPr>
                  <w:t>股东总数(户)</w:t>
                </w:r>
              </w:p>
            </w:tc>
          </w:sdtContent>
        </w:sdt>
        <w:sdt>
          <w:sdtPr>
            <w:rPr>
              <w:rFonts w:ascii="宋体" w:hAnsi="宋体"/>
              <w:sz w:val="20"/>
              <w:szCs w:val="20"/>
            </w:rPr>
            <w:alias w:val="报告期末股东总数"/>
            <w:tag w:val="_GBC_510087fb1e024fb293d32127713e45f8"/>
            <w:id w:val="314690418"/>
          </w:sdtPr>
          <w:sdtContent>
            <w:tc>
              <w:tcPr>
                <w:tcW w:w="4524" w:type="dxa"/>
                <w:vAlign w:val="center"/>
              </w:tcPr>
              <w:p>
                <w:pPr>
                  <w:jc w:val="right"/>
                  <w:rPr>
                    <w:rFonts w:ascii="宋体" w:hAnsi="宋体"/>
                  </w:rPr>
                </w:pPr>
                <w:r>
                  <w:rPr>
                    <w:rFonts w:ascii="宋体" w:hAnsi="宋体"/>
                  </w:rPr>
                  <w:t>125,708</w:t>
                </w:r>
              </w:p>
            </w:tc>
          </w:sdtContent>
        </w:sdt>
      </w:tr>
      <w:tr>
        <w:tc>
          <w:tcPr>
            <w:tcW w:w="4524" w:type="dxa"/>
            <w:vAlign w:val="center"/>
          </w:tcPr>
          <w:p>
            <w:pPr>
              <w:rPr>
                <w:rFonts w:ascii="宋体" w:hAnsi="宋体"/>
              </w:rPr>
            </w:pPr>
            <w:r>
              <w:rPr>
                <w:rFonts w:ascii="宋体" w:hAnsi="宋体" w:hint="eastAsia"/>
              </w:rPr>
              <w:t>年度报告披露日前上一月末的普通股股东总数</w:t>
            </w:r>
            <w:r>
              <w:rPr>
                <w:rFonts w:ascii="宋体" w:hAnsi="宋体"/>
              </w:rPr>
              <w:t>(户)</w:t>
            </w:r>
          </w:p>
        </w:tc>
        <w:tc>
          <w:tcPr>
            <w:tcW w:w="4524" w:type="dxa"/>
            <w:vAlign w:val="center"/>
          </w:tcPr>
          <w:p>
            <w:pPr>
              <w:jc w:val="right"/>
              <w:rPr>
                <w:rFonts w:ascii="宋体" w:hAnsi="宋体"/>
              </w:rPr>
            </w:pPr>
            <w:r>
              <w:rPr>
                <w:rFonts w:ascii="宋体" w:hAnsi="宋体"/>
              </w:rPr>
              <w:t>91,559</w:t>
            </w:r>
          </w:p>
        </w:tc>
      </w:tr>
      <w:tr>
        <w:tc>
          <w:tcPr>
            <w:tcW w:w="4524" w:type="dxa"/>
            <w:vAlign w:val="center"/>
          </w:tcPr>
          <w:p>
            <w:pPr>
              <w:rPr>
                <w:rFonts w:ascii="宋体" w:hAnsi="宋体"/>
              </w:rPr>
            </w:pPr>
            <w:r>
              <w:rPr>
                <w:rFonts w:ascii="宋体" w:hAnsi="宋体" w:hint="eastAsia"/>
              </w:rPr>
              <w:t>截至报告期末表决权恢复的优先股股东总数（户）</w:t>
            </w:r>
          </w:p>
        </w:tc>
        <w:tc>
          <w:tcPr>
            <w:tcW w:w="4524" w:type="dxa"/>
            <w:vAlign w:val="center"/>
          </w:tcPr>
          <w:p>
            <w:pPr>
              <w:jc w:val="right"/>
              <w:rPr>
                <w:rFonts w:ascii="宋体" w:hAnsi="宋体"/>
              </w:rPr>
            </w:pPr>
            <w:r>
              <w:rPr>
                <w:rFonts w:ascii="宋体" w:hAnsi="宋体" w:hint="eastAsia"/>
              </w:rPr>
              <w:t>0</w:t>
            </w:r>
          </w:p>
        </w:tc>
      </w:tr>
      <w:tr>
        <w:tc>
          <w:tcPr>
            <w:tcW w:w="4524" w:type="dxa"/>
            <w:vAlign w:val="center"/>
          </w:tcPr>
          <w:p>
            <w:pPr>
              <w:rPr>
                <w:rFonts w:ascii="宋体" w:hAnsi="宋体"/>
              </w:rPr>
            </w:pPr>
            <w:r>
              <w:rPr>
                <w:rFonts w:ascii="宋体" w:hAnsi="宋体" w:hint="eastAsia"/>
              </w:rPr>
              <w:t>年度报告披露日前上一月末表决权恢复的优先股股东总数（户）</w:t>
            </w:r>
          </w:p>
        </w:tc>
        <w:tc>
          <w:tcPr>
            <w:tcW w:w="4524" w:type="dxa"/>
            <w:vAlign w:val="center"/>
          </w:tcPr>
          <w:p>
            <w:pPr>
              <w:jc w:val="right"/>
              <w:rPr>
                <w:rFonts w:ascii="宋体" w:hAnsi="宋体"/>
              </w:rPr>
            </w:pPr>
            <w:r>
              <w:rPr>
                <w:rFonts w:ascii="宋体" w:hAnsi="宋体" w:hint="eastAsia"/>
              </w:rPr>
              <w:t>0</w:t>
            </w:r>
          </w:p>
        </w:tc>
      </w:tr>
    </w:tbl>
    <w:p>
      <w:pPr>
        <w:sectPr>
          <w:pgSz w:w="11906" w:h="16838"/>
          <w:pgMar w:top="1525" w:right="1276" w:bottom="1440" w:left="1797" w:header="855" w:footer="992" w:gutter="0"/>
          <w:cols w:space="425"/>
          <w:docGrid w:linePitch="312"/>
        </w:sectPr>
      </w:pPr>
    </w:p>
    <w:p>
      <w:pPr>
        <w:pStyle w:val="3"/>
        <w:numPr>
          <w:ilvl w:val="1"/>
          <w:numId w:val="54"/>
        </w:numPr>
        <w:tabs>
          <w:tab w:val="left" w:pos="851"/>
        </w:tabs>
        <w:ind w:left="426" w:hanging="426"/>
        <w:rPr>
          <w:szCs w:val="21"/>
        </w:rPr>
      </w:pPr>
      <w:bookmarkStart w:id="263" w:name="_Toc342565998"/>
      <w:bookmarkStart w:id="264" w:name="_Toc342059485"/>
      <w:r>
        <w:rPr>
          <w:rFonts w:hint="eastAsia"/>
          <w:szCs w:val="21"/>
        </w:rPr>
        <w:lastRenderedPageBreak/>
        <w:t>截至报告期末前十名股东、前十名流通股东（或无限售条件股东）持股情况表</w:t>
      </w:r>
    </w:p>
    <w:p>
      <w:pPr>
        <w:jc w:val="right"/>
      </w:pPr>
      <w:bookmarkStart w:id="265" w:name="_Hlk27487213"/>
      <w:bookmarkEnd w:id="263"/>
      <w:bookmarkEnd w:id="264"/>
      <w:r>
        <w:rPr>
          <w:bCs/>
        </w:rPr>
        <w:t>单位：</w:t>
      </w:r>
      <w:sdt>
        <w:sdtPr>
          <w:rPr>
            <w:bCs/>
          </w:rPr>
          <w:alias w:val="单位：前十名股东持股情况"/>
          <w:tag w:val="_GBC_b59e95c09d914c83b42ae5b68d0d6987"/>
          <w:id w:val="103538336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rPr>
            <w:t>股</w:t>
          </w:r>
        </w:sdtContent>
      </w:sdt>
    </w:p>
    <w:tbl>
      <w:tblPr>
        <w:tblStyle w:val="Style63"/>
        <w:tblW w:w="1417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1"/>
        <w:gridCol w:w="1471"/>
        <w:gridCol w:w="1687"/>
        <w:gridCol w:w="850"/>
        <w:gridCol w:w="1134"/>
        <w:gridCol w:w="709"/>
        <w:gridCol w:w="1134"/>
        <w:gridCol w:w="709"/>
        <w:gridCol w:w="1275"/>
      </w:tblGrid>
      <w:tr>
        <w:trPr>
          <w:cantSplit/>
          <w:jc w:val="center"/>
        </w:trPr>
        <w:sdt>
          <w:sdtPr>
            <w:rPr>
              <w:rFonts w:ascii="宋体" w:hAnsi="宋体"/>
            </w:rPr>
            <w:tag w:val="_PLD_12180439b5ff4b00a01ff1f87b70f1de"/>
            <w:id w:val="-1169784635"/>
          </w:sdtPr>
          <w:sdtContent>
            <w:tc>
              <w:tcPr>
                <w:tcW w:w="14170" w:type="dxa"/>
                <w:gridSpan w:val="9"/>
                <w:vAlign w:val="center"/>
              </w:tcPr>
              <w:p>
                <w:pPr>
                  <w:pStyle w:val="ac"/>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trPr>
          <w:cantSplit/>
          <w:jc w:val="center"/>
        </w:trPr>
        <w:sdt>
          <w:sdtPr>
            <w:rPr>
              <w:rFonts w:ascii="宋体" w:hAnsi="宋体"/>
            </w:rPr>
            <w:tag w:val="_PLD_4e40ad86e5ee4c0cb28f819aa3924fb2"/>
            <w:id w:val="1843280394"/>
          </w:sdtPr>
          <w:sdtContent>
            <w:tc>
              <w:tcPr>
                <w:tcW w:w="5201" w:type="dxa"/>
                <w:vMerge w:val="restart"/>
                <w:vAlign w:val="center"/>
              </w:tcPr>
              <w:p>
                <w:pPr>
                  <w:jc w:val="center"/>
                  <w:rPr>
                    <w:rFonts w:ascii="宋体" w:hAnsi="宋体"/>
                  </w:rPr>
                </w:pPr>
                <w:r>
                  <w:rPr>
                    <w:rFonts w:ascii="宋体" w:hAnsi="宋体"/>
                  </w:rPr>
                  <w:t>股东名称</w:t>
                </w:r>
              </w:p>
              <w:p>
                <w:pPr>
                  <w:jc w:val="center"/>
                  <w:rPr>
                    <w:rFonts w:ascii="宋体" w:hAnsi="宋体"/>
                  </w:rPr>
                </w:pPr>
                <w:r>
                  <w:rPr>
                    <w:rFonts w:ascii="宋体" w:hAnsi="宋体" w:hint="eastAsia"/>
                  </w:rPr>
                  <w:t>（全称）</w:t>
                </w:r>
              </w:p>
            </w:tc>
          </w:sdtContent>
        </w:sdt>
        <w:sdt>
          <w:sdtPr>
            <w:rPr>
              <w:rFonts w:ascii="宋体" w:hAnsi="宋体"/>
            </w:rPr>
            <w:tag w:val="_PLD_587b672a54ed4481b14f0963f010aefb"/>
            <w:id w:val="-469523598"/>
          </w:sdtPr>
          <w:sdtContent>
            <w:tc>
              <w:tcPr>
                <w:tcW w:w="1471" w:type="dxa"/>
                <w:vMerge w:val="restart"/>
                <w:vAlign w:val="center"/>
              </w:tcPr>
              <w:p>
                <w:pPr>
                  <w:jc w:val="center"/>
                  <w:rPr>
                    <w:rFonts w:ascii="宋体" w:hAnsi="宋体"/>
                  </w:rPr>
                </w:pPr>
                <w:r>
                  <w:rPr>
                    <w:rFonts w:ascii="宋体" w:hAnsi="宋体"/>
                  </w:rPr>
                  <w:t>报告期内增减</w:t>
                </w:r>
              </w:p>
            </w:tc>
          </w:sdtContent>
        </w:sdt>
        <w:sdt>
          <w:sdtPr>
            <w:rPr>
              <w:rFonts w:ascii="宋体" w:hAnsi="宋体"/>
            </w:rPr>
            <w:tag w:val="_PLD_580f25e9dfa24c1d91f3845b6a6a42e5"/>
            <w:id w:val="-1124226003"/>
          </w:sdtPr>
          <w:sdtContent>
            <w:tc>
              <w:tcPr>
                <w:tcW w:w="1687" w:type="dxa"/>
                <w:vMerge w:val="restart"/>
                <w:vAlign w:val="center"/>
              </w:tcPr>
              <w:p>
                <w:pPr>
                  <w:jc w:val="center"/>
                  <w:rPr>
                    <w:rFonts w:ascii="宋体" w:hAnsi="宋体"/>
                  </w:rPr>
                </w:pPr>
                <w:r>
                  <w:rPr>
                    <w:rFonts w:ascii="宋体" w:hAnsi="宋体"/>
                  </w:rPr>
                  <w:t>期末持股数量</w:t>
                </w:r>
              </w:p>
            </w:tc>
          </w:sdtContent>
        </w:sdt>
        <w:sdt>
          <w:sdtPr>
            <w:rPr>
              <w:rFonts w:ascii="宋体" w:hAnsi="宋体"/>
            </w:rPr>
            <w:tag w:val="_PLD_e80658c5388c4bb0871489372e62334d"/>
            <w:id w:val="-1819495753"/>
          </w:sdtPr>
          <w:sdtContent>
            <w:tc>
              <w:tcPr>
                <w:tcW w:w="850" w:type="dxa"/>
                <w:vMerge w:val="restart"/>
                <w:vAlign w:val="center"/>
              </w:tcPr>
              <w:p>
                <w:pPr>
                  <w:jc w:val="center"/>
                  <w:rPr>
                    <w:rFonts w:ascii="宋体" w:hAnsi="宋体"/>
                  </w:rPr>
                </w:pPr>
                <w:r>
                  <w:rPr>
                    <w:rFonts w:ascii="宋体" w:hAnsi="宋体"/>
                  </w:rPr>
                  <w:t>比例(%)</w:t>
                </w:r>
              </w:p>
            </w:tc>
          </w:sdtContent>
        </w:sdt>
        <w:sdt>
          <w:sdtPr>
            <w:rPr>
              <w:rFonts w:ascii="宋体" w:hAnsi="宋体"/>
            </w:rPr>
            <w:tag w:val="_PLD_0ed52eb839784cb0ab83b1692dc8b283"/>
            <w:id w:val="-2074347446"/>
          </w:sdtPr>
          <w:sdtContent>
            <w:tc>
              <w:tcPr>
                <w:tcW w:w="1134" w:type="dxa"/>
                <w:vMerge w:val="restart"/>
                <w:vAlign w:val="center"/>
              </w:tcPr>
              <w:p>
                <w:pPr>
                  <w:pStyle w:val="a3"/>
                  <w:rPr>
                    <w:rFonts w:ascii="宋体" w:hAnsi="宋体"/>
                    <w:bCs/>
                    <w:color w:val="00B050"/>
                  </w:rPr>
                </w:pPr>
                <w:r>
                  <w:rPr>
                    <w:rFonts w:ascii="宋体" w:hAnsi="宋体"/>
                    <w:bCs/>
                  </w:rPr>
                  <w:t>持有有限售条件股份数量</w:t>
                </w:r>
              </w:p>
            </w:tc>
          </w:sdtContent>
        </w:sdt>
        <w:sdt>
          <w:sdtPr>
            <w:rPr>
              <w:rFonts w:ascii="宋体" w:hAnsi="宋体"/>
            </w:rPr>
            <w:tag w:val="_PLD_6d0fce9e7c914a578f4702348340f346"/>
            <w:id w:val="-1619904024"/>
          </w:sdtPr>
          <w:sdtContent>
            <w:tc>
              <w:tcPr>
                <w:tcW w:w="2552" w:type="dxa"/>
                <w:gridSpan w:val="3"/>
                <w:vAlign w:val="center"/>
              </w:tcPr>
              <w:p>
                <w:pPr>
                  <w:jc w:val="center"/>
                  <w:rPr>
                    <w:rFonts w:ascii="宋体" w:hAnsi="宋体"/>
                  </w:rPr>
                </w:pPr>
                <w:r>
                  <w:rPr>
                    <w:rFonts w:ascii="宋体" w:hAnsi="宋体"/>
                  </w:rPr>
                  <w:t>质押</w:t>
                </w:r>
                <w:r>
                  <w:rPr>
                    <w:rFonts w:ascii="宋体" w:hAnsi="宋体" w:hint="eastAsia"/>
                  </w:rPr>
                  <w:t>、标记</w:t>
                </w:r>
                <w:r>
                  <w:rPr>
                    <w:rFonts w:ascii="宋体" w:hAnsi="宋体"/>
                  </w:rPr>
                  <w:t>或冻结情况</w:t>
                </w:r>
              </w:p>
            </w:tc>
          </w:sdtContent>
        </w:sdt>
        <w:sdt>
          <w:sdtPr>
            <w:rPr>
              <w:rFonts w:ascii="宋体" w:hAnsi="宋体"/>
            </w:rPr>
            <w:tag w:val="_PLD_57b1e0d0ab2d4113aada0c0394d1589d"/>
            <w:id w:val="-1012606819"/>
          </w:sdtPr>
          <w:sdtContent>
            <w:tc>
              <w:tcPr>
                <w:tcW w:w="1275" w:type="dxa"/>
                <w:vMerge w:val="restart"/>
                <w:vAlign w:val="center"/>
              </w:tcPr>
              <w:p>
                <w:pPr>
                  <w:jc w:val="center"/>
                  <w:rPr>
                    <w:rFonts w:ascii="宋体" w:hAnsi="宋体"/>
                  </w:rPr>
                </w:pPr>
                <w:r>
                  <w:rPr>
                    <w:rFonts w:ascii="宋体" w:hAnsi="宋体"/>
                  </w:rPr>
                  <w:t>股东性质</w:t>
                </w:r>
              </w:p>
            </w:tc>
          </w:sdtContent>
        </w:sdt>
      </w:tr>
      <w:tr>
        <w:trPr>
          <w:cantSplit/>
          <w:jc w:val="center"/>
        </w:trPr>
        <w:tc>
          <w:tcPr>
            <w:tcW w:w="5201" w:type="dxa"/>
            <w:vMerge/>
            <w:tcBorders>
              <w:bottom w:val="single" w:sz="4" w:space="0" w:color="auto"/>
            </w:tcBorders>
            <w:vAlign w:val="center"/>
          </w:tcPr>
          <w:p>
            <w:pPr>
              <w:jc w:val="center"/>
              <w:rPr>
                <w:rFonts w:ascii="宋体" w:hAnsi="宋体"/>
              </w:rPr>
            </w:pPr>
          </w:p>
        </w:tc>
        <w:tc>
          <w:tcPr>
            <w:tcW w:w="1471" w:type="dxa"/>
            <w:vMerge/>
            <w:tcBorders>
              <w:bottom w:val="single" w:sz="4" w:space="0" w:color="auto"/>
            </w:tcBorders>
            <w:vAlign w:val="center"/>
          </w:tcPr>
          <w:p>
            <w:pPr>
              <w:jc w:val="center"/>
              <w:rPr>
                <w:rFonts w:ascii="宋体" w:hAnsi="宋体"/>
              </w:rPr>
            </w:pPr>
          </w:p>
        </w:tc>
        <w:tc>
          <w:tcPr>
            <w:tcW w:w="1687" w:type="dxa"/>
            <w:vMerge/>
            <w:tcBorders>
              <w:bottom w:val="single" w:sz="4" w:space="0" w:color="auto"/>
            </w:tcBorders>
            <w:vAlign w:val="center"/>
          </w:tcPr>
          <w:p>
            <w:pPr>
              <w:jc w:val="center"/>
              <w:rPr>
                <w:rFonts w:ascii="宋体" w:hAnsi="宋体"/>
              </w:rPr>
            </w:pPr>
          </w:p>
        </w:tc>
        <w:tc>
          <w:tcPr>
            <w:tcW w:w="850" w:type="dxa"/>
            <w:vMerge/>
            <w:tcBorders>
              <w:bottom w:val="single" w:sz="4" w:space="0" w:color="auto"/>
            </w:tcBorders>
            <w:vAlign w:val="center"/>
          </w:tcPr>
          <w:p>
            <w:pPr>
              <w:jc w:val="center"/>
              <w:rPr>
                <w:rFonts w:ascii="宋体" w:hAnsi="宋体"/>
              </w:rPr>
            </w:pPr>
          </w:p>
        </w:tc>
        <w:tc>
          <w:tcPr>
            <w:tcW w:w="1134" w:type="dxa"/>
            <w:vMerge/>
            <w:tcBorders>
              <w:bottom w:val="single" w:sz="4" w:space="0" w:color="auto"/>
            </w:tcBorders>
            <w:vAlign w:val="center"/>
          </w:tcPr>
          <w:p>
            <w:pPr>
              <w:jc w:val="center"/>
              <w:rPr>
                <w:rFonts w:ascii="宋体" w:hAnsi="宋体"/>
              </w:rPr>
            </w:pPr>
          </w:p>
        </w:tc>
        <w:sdt>
          <w:sdtPr>
            <w:rPr>
              <w:rFonts w:ascii="宋体" w:hAnsi="宋体"/>
            </w:rPr>
            <w:tag w:val="_PLD_72b090b1925c46349c7beb3ca6c0032f"/>
            <w:id w:val="1823001906"/>
          </w:sdtPr>
          <w:sdtContent>
            <w:tc>
              <w:tcPr>
                <w:tcW w:w="709" w:type="dxa"/>
                <w:tcBorders>
                  <w:bottom w:val="single" w:sz="4" w:space="0" w:color="auto"/>
                </w:tcBorders>
                <w:vAlign w:val="center"/>
              </w:tcPr>
              <w:p>
                <w:pPr>
                  <w:jc w:val="center"/>
                  <w:rPr>
                    <w:rFonts w:ascii="宋体" w:hAnsi="宋体"/>
                  </w:rPr>
                </w:pPr>
                <w:r>
                  <w:rPr>
                    <w:rFonts w:ascii="宋体" w:hAnsi="宋体"/>
                  </w:rPr>
                  <w:t>股份状态</w:t>
                </w:r>
              </w:p>
            </w:tc>
          </w:sdtContent>
        </w:sdt>
        <w:sdt>
          <w:sdtPr>
            <w:rPr>
              <w:rFonts w:ascii="宋体" w:hAnsi="宋体"/>
            </w:rPr>
            <w:tag w:val="_PLD_76e0ca0392384ff795b7613d764041da"/>
            <w:id w:val="1295561753"/>
          </w:sdtPr>
          <w:sdtContent>
            <w:tc>
              <w:tcPr>
                <w:tcW w:w="1843" w:type="dxa"/>
                <w:gridSpan w:val="2"/>
                <w:tcBorders>
                  <w:bottom w:val="single" w:sz="4" w:space="0" w:color="auto"/>
                </w:tcBorders>
                <w:vAlign w:val="center"/>
              </w:tcPr>
              <w:p>
                <w:pPr>
                  <w:jc w:val="center"/>
                  <w:rPr>
                    <w:rFonts w:ascii="宋体" w:hAnsi="宋体"/>
                  </w:rPr>
                </w:pPr>
                <w:r>
                  <w:rPr>
                    <w:rFonts w:ascii="宋体" w:hAnsi="宋体"/>
                  </w:rPr>
                  <w:t>数量</w:t>
                </w:r>
              </w:p>
            </w:tc>
          </w:sdtContent>
        </w:sdt>
        <w:tc>
          <w:tcPr>
            <w:tcW w:w="1275" w:type="dxa"/>
            <w:vMerge/>
            <w:vAlign w:val="center"/>
          </w:tcPr>
          <w:p>
            <w:pPr>
              <w:jc w:val="center"/>
              <w:rPr>
                <w:rFonts w:ascii="宋体" w:hAnsi="宋体"/>
              </w:rPr>
            </w:pPr>
          </w:p>
        </w:tc>
      </w:tr>
      <w:tr>
        <w:trPr>
          <w:cantSplit/>
          <w:jc w:val="center"/>
        </w:trPr>
        <w:tc>
          <w:tcPr>
            <w:tcW w:w="5201" w:type="dxa"/>
            <w:vAlign w:val="center"/>
          </w:tcPr>
          <w:p>
            <w:pPr>
              <w:jc w:val="both"/>
              <w:rPr>
                <w:rFonts w:ascii="宋体" w:hAnsi="宋体"/>
              </w:rPr>
            </w:pPr>
            <w:r>
              <w:rPr>
                <w:rFonts w:ascii="宋体" w:hAnsi="宋体" w:hint="eastAsia"/>
              </w:rPr>
              <w:t>山东能源集团有限公司</w:t>
            </w:r>
            <w:r>
              <w:rPr>
                <w:rFonts w:ascii="宋体" w:hAnsi="宋体" w:hint="eastAsia"/>
                <w:vertAlign w:val="superscript"/>
              </w:rPr>
              <w:t>①</w:t>
            </w:r>
          </w:p>
        </w:tc>
        <w:tc>
          <w:tcPr>
            <w:tcW w:w="1471" w:type="dxa"/>
            <w:vAlign w:val="center"/>
          </w:tcPr>
          <w:p>
            <w:pPr>
              <w:jc w:val="right"/>
              <w:rPr>
                <w:rFonts w:ascii="宋体" w:hAnsi="宋体"/>
              </w:rPr>
            </w:pPr>
            <w:r>
              <w:rPr>
                <w:rFonts w:ascii="宋体" w:hAnsi="宋体"/>
              </w:rPr>
              <w:t xml:space="preserve">0 </w:t>
            </w:r>
          </w:p>
        </w:tc>
        <w:tc>
          <w:tcPr>
            <w:tcW w:w="1687" w:type="dxa"/>
            <w:vAlign w:val="center"/>
          </w:tcPr>
          <w:p>
            <w:pPr>
              <w:jc w:val="right"/>
              <w:rPr>
                <w:rFonts w:ascii="宋体" w:hAnsi="宋体"/>
              </w:rPr>
            </w:pPr>
            <w:r>
              <w:rPr>
                <w:rFonts w:ascii="宋体" w:hAnsi="宋体"/>
              </w:rPr>
              <w:t xml:space="preserve">5,303,899,421 </w:t>
            </w:r>
          </w:p>
        </w:tc>
        <w:tc>
          <w:tcPr>
            <w:tcW w:w="850" w:type="dxa"/>
            <w:vAlign w:val="center"/>
          </w:tcPr>
          <w:p>
            <w:pPr>
              <w:jc w:val="right"/>
              <w:rPr>
                <w:rFonts w:ascii="宋体" w:hAnsi="宋体"/>
              </w:rPr>
            </w:pPr>
            <w:r>
              <w:rPr>
                <w:rFonts w:ascii="宋体" w:hAnsi="宋体"/>
              </w:rPr>
              <w:t xml:space="preserve">52.84 </w:t>
            </w:r>
          </w:p>
        </w:tc>
        <w:tc>
          <w:tcPr>
            <w:tcW w:w="1134" w:type="dxa"/>
            <w:vAlign w:val="center"/>
          </w:tcPr>
          <w:p>
            <w:pPr>
              <w:jc w:val="right"/>
              <w:rPr>
                <w:rFonts w:ascii="宋体" w:hAnsi="宋体"/>
              </w:rPr>
            </w:pPr>
            <w:r>
              <w:rPr>
                <w:rFonts w:ascii="宋体" w:hAnsi="宋体" w:hint="eastAsia"/>
              </w:rPr>
              <w:t>0</w:t>
            </w:r>
          </w:p>
        </w:tc>
        <w:sdt>
          <w:sdtPr>
            <w:rPr>
              <w:rFonts w:ascii="宋体" w:hAnsi="宋体"/>
            </w:rPr>
            <w:alias w:val="前十名股东持有股份状态"/>
            <w:tag w:val="_GBC_46a2e2b7fded452b84eec75a5e47296b"/>
            <w:id w:val="-1920320775"/>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质押</w:t>
                </w:r>
              </w:p>
            </w:tc>
          </w:sdtContent>
        </w:sdt>
        <w:tc>
          <w:tcPr>
            <w:tcW w:w="1843" w:type="dxa"/>
            <w:gridSpan w:val="2"/>
            <w:vAlign w:val="center"/>
          </w:tcPr>
          <w:p>
            <w:pPr>
              <w:jc w:val="right"/>
              <w:rPr>
                <w:rFonts w:ascii="宋体" w:hAnsi="宋体"/>
              </w:rPr>
            </w:pPr>
            <w:r>
              <w:rPr>
                <w:rFonts w:ascii="宋体" w:hAnsi="宋体"/>
              </w:rPr>
              <w:t>302,232,142</w:t>
            </w:r>
          </w:p>
        </w:tc>
        <w:sdt>
          <w:sdtPr>
            <w:rPr>
              <w:rFonts w:ascii="宋体" w:hAnsi="宋体"/>
            </w:rPr>
            <w:alias w:val="前十名股东的股东性质"/>
            <w:tag w:val="_GBC_84391eccdbd14aa7bbd07a260ff9d747"/>
            <w:id w:val="-101307047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国有法人</w:t>
                </w:r>
              </w:p>
            </w:tc>
          </w:sdtContent>
        </w:sdt>
      </w:tr>
      <w:tr>
        <w:trPr>
          <w:cantSplit/>
          <w:jc w:val="center"/>
        </w:trPr>
        <w:tc>
          <w:tcPr>
            <w:tcW w:w="5201" w:type="dxa"/>
            <w:vAlign w:val="center"/>
          </w:tcPr>
          <w:p>
            <w:pPr>
              <w:jc w:val="both"/>
              <w:rPr>
                <w:rFonts w:ascii="宋体" w:hAnsi="宋体"/>
              </w:rPr>
            </w:pPr>
            <w:r>
              <w:rPr>
                <w:rFonts w:ascii="宋体" w:hAnsi="宋体" w:hint="eastAsia"/>
              </w:rPr>
              <w:t xml:space="preserve">香港中央结算（代理人）有限公司 </w:t>
            </w:r>
          </w:p>
        </w:tc>
        <w:tc>
          <w:tcPr>
            <w:tcW w:w="1471" w:type="dxa"/>
            <w:vAlign w:val="center"/>
          </w:tcPr>
          <w:p>
            <w:pPr>
              <w:jc w:val="right"/>
              <w:rPr>
                <w:rFonts w:ascii="宋体" w:hAnsi="宋体"/>
              </w:rPr>
            </w:pPr>
            <w:r>
              <w:rPr>
                <w:rFonts w:ascii="宋体" w:hAnsi="宋体"/>
              </w:rPr>
              <w:t xml:space="preserve">-608,860 </w:t>
            </w:r>
          </w:p>
        </w:tc>
        <w:tc>
          <w:tcPr>
            <w:tcW w:w="1687" w:type="dxa"/>
            <w:vAlign w:val="center"/>
          </w:tcPr>
          <w:p>
            <w:pPr>
              <w:jc w:val="right"/>
              <w:rPr>
                <w:rFonts w:ascii="宋体" w:hAnsi="宋体"/>
              </w:rPr>
            </w:pPr>
            <w:r>
              <w:rPr>
                <w:rFonts w:ascii="宋体" w:hAnsi="宋体"/>
              </w:rPr>
              <w:t xml:space="preserve">3,161,549,058 </w:t>
            </w:r>
          </w:p>
        </w:tc>
        <w:tc>
          <w:tcPr>
            <w:tcW w:w="850" w:type="dxa"/>
            <w:vAlign w:val="center"/>
          </w:tcPr>
          <w:p>
            <w:pPr>
              <w:jc w:val="right"/>
              <w:rPr>
                <w:rFonts w:ascii="宋体" w:hAnsi="宋体"/>
              </w:rPr>
            </w:pPr>
            <w:r>
              <w:rPr>
                <w:rFonts w:ascii="宋体" w:hAnsi="宋体"/>
              </w:rPr>
              <w:t xml:space="preserve">31.50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474653485"/>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未知</w:t>
                </w:r>
              </w:p>
            </w:tc>
          </w:sdtContent>
        </w:sdt>
        <w:tc>
          <w:tcPr>
            <w:tcW w:w="1843" w:type="dxa"/>
            <w:gridSpan w:val="2"/>
            <w:vAlign w:val="center"/>
          </w:tcPr>
          <w:p>
            <w:pPr>
              <w:jc w:val="right"/>
              <w:rPr>
                <w:rFonts w:ascii="宋体" w:hAnsi="宋体"/>
              </w:rPr>
            </w:pPr>
            <w:r>
              <w:rPr>
                <w:rFonts w:ascii="宋体" w:hAnsi="宋体" w:hint="eastAsia"/>
              </w:rPr>
              <w:t>-</w:t>
            </w:r>
          </w:p>
        </w:tc>
        <w:sdt>
          <w:sdtPr>
            <w:rPr>
              <w:rFonts w:ascii="宋体" w:hAnsi="宋体"/>
            </w:rPr>
            <w:alias w:val="前十名股东的股东性质"/>
            <w:tag w:val="_GBC_84391eccdbd14aa7bbd07a260ff9d747"/>
            <w:id w:val="114655536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境外法人</w:t>
                </w:r>
              </w:p>
            </w:tc>
          </w:sdtContent>
        </w:sdt>
      </w:tr>
      <w:tr>
        <w:trPr>
          <w:cantSplit/>
          <w:jc w:val="center"/>
        </w:trPr>
        <w:tc>
          <w:tcPr>
            <w:tcW w:w="5201" w:type="dxa"/>
            <w:vAlign w:val="center"/>
          </w:tcPr>
          <w:p>
            <w:pPr>
              <w:jc w:val="both"/>
              <w:rPr>
                <w:rFonts w:ascii="宋体" w:hAnsi="宋体"/>
              </w:rPr>
            </w:pPr>
            <w:r>
              <w:rPr>
                <w:rFonts w:ascii="宋体" w:hAnsi="宋体" w:hint="eastAsia"/>
              </w:rPr>
              <w:t>香港中央结算有限公司</w:t>
            </w:r>
          </w:p>
        </w:tc>
        <w:tc>
          <w:tcPr>
            <w:tcW w:w="1471" w:type="dxa"/>
            <w:vAlign w:val="center"/>
          </w:tcPr>
          <w:p>
            <w:pPr>
              <w:jc w:val="right"/>
              <w:rPr>
                <w:rFonts w:ascii="宋体" w:hAnsi="宋体"/>
              </w:rPr>
            </w:pPr>
            <w:r>
              <w:rPr>
                <w:rFonts w:ascii="宋体" w:hAnsi="宋体"/>
              </w:rPr>
              <w:t xml:space="preserve">-13,332,860 </w:t>
            </w:r>
          </w:p>
        </w:tc>
        <w:tc>
          <w:tcPr>
            <w:tcW w:w="1687" w:type="dxa"/>
            <w:vAlign w:val="center"/>
          </w:tcPr>
          <w:p>
            <w:pPr>
              <w:jc w:val="right"/>
              <w:rPr>
                <w:rFonts w:ascii="宋体" w:hAnsi="宋体"/>
              </w:rPr>
            </w:pPr>
            <w:r>
              <w:rPr>
                <w:rFonts w:ascii="宋体" w:hAnsi="宋体"/>
              </w:rPr>
              <w:t xml:space="preserve">75,170,788 </w:t>
            </w:r>
          </w:p>
        </w:tc>
        <w:tc>
          <w:tcPr>
            <w:tcW w:w="850" w:type="dxa"/>
            <w:vAlign w:val="center"/>
          </w:tcPr>
          <w:p>
            <w:pPr>
              <w:jc w:val="right"/>
              <w:rPr>
                <w:rFonts w:ascii="宋体" w:hAnsi="宋体"/>
              </w:rPr>
            </w:pPr>
            <w:r>
              <w:rPr>
                <w:rFonts w:ascii="宋体" w:hAnsi="宋体"/>
              </w:rPr>
              <w:t xml:space="preserve">0.75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1831857423"/>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无</w:t>
                </w:r>
              </w:p>
            </w:tc>
          </w:sdtContent>
        </w:sdt>
        <w:tc>
          <w:tcPr>
            <w:tcW w:w="1843" w:type="dxa"/>
            <w:gridSpan w:val="2"/>
            <w:vAlign w:val="center"/>
          </w:tcPr>
          <w:p>
            <w:pPr>
              <w:jc w:val="right"/>
              <w:rPr>
                <w:rFonts w:ascii="宋体" w:hAnsi="宋体"/>
              </w:rPr>
            </w:pPr>
            <w:r>
              <w:rPr>
                <w:rFonts w:ascii="宋体" w:hAnsi="宋体" w:hint="eastAsia"/>
              </w:rPr>
              <w:t>0</w:t>
            </w:r>
          </w:p>
        </w:tc>
        <w:sdt>
          <w:sdtPr>
            <w:rPr>
              <w:rFonts w:ascii="宋体" w:hAnsi="宋体"/>
            </w:rPr>
            <w:alias w:val="前十名股东的股东性质"/>
            <w:tag w:val="_GBC_84391eccdbd14aa7bbd07a260ff9d747"/>
            <w:id w:val="-72960570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境外法人</w:t>
                </w:r>
              </w:p>
            </w:tc>
          </w:sdtContent>
        </w:sdt>
      </w:tr>
      <w:tr>
        <w:trPr>
          <w:cantSplit/>
          <w:jc w:val="center"/>
        </w:trPr>
        <w:tc>
          <w:tcPr>
            <w:tcW w:w="5201" w:type="dxa"/>
            <w:vAlign w:val="center"/>
          </w:tcPr>
          <w:p>
            <w:pPr>
              <w:jc w:val="both"/>
              <w:rPr>
                <w:rFonts w:ascii="宋体" w:hAnsi="宋体"/>
              </w:rPr>
            </w:pPr>
            <w:r>
              <w:rPr>
                <w:rFonts w:ascii="宋体" w:hAnsi="宋体" w:hint="eastAsia"/>
              </w:rPr>
              <w:t>中国工商银行股份有限公司－国泰中证煤炭交易型开放式指数证券投资基金</w:t>
            </w:r>
          </w:p>
        </w:tc>
        <w:tc>
          <w:tcPr>
            <w:tcW w:w="1471" w:type="dxa"/>
            <w:vAlign w:val="center"/>
          </w:tcPr>
          <w:p>
            <w:pPr>
              <w:jc w:val="right"/>
              <w:rPr>
                <w:rFonts w:ascii="宋体" w:hAnsi="宋体"/>
              </w:rPr>
            </w:pPr>
            <w:r>
              <w:rPr>
                <w:rFonts w:ascii="宋体" w:hAnsi="宋体"/>
              </w:rPr>
              <w:t xml:space="preserve">39,723,716 </w:t>
            </w:r>
          </w:p>
        </w:tc>
        <w:tc>
          <w:tcPr>
            <w:tcW w:w="1687" w:type="dxa"/>
            <w:vAlign w:val="center"/>
          </w:tcPr>
          <w:p>
            <w:pPr>
              <w:jc w:val="right"/>
              <w:rPr>
                <w:rFonts w:ascii="宋体" w:hAnsi="宋体"/>
              </w:rPr>
            </w:pPr>
            <w:r>
              <w:rPr>
                <w:rFonts w:ascii="宋体" w:hAnsi="宋体"/>
              </w:rPr>
              <w:t xml:space="preserve">53,541,973 </w:t>
            </w:r>
          </w:p>
        </w:tc>
        <w:tc>
          <w:tcPr>
            <w:tcW w:w="850" w:type="dxa"/>
            <w:vAlign w:val="center"/>
          </w:tcPr>
          <w:p>
            <w:pPr>
              <w:jc w:val="right"/>
              <w:rPr>
                <w:rFonts w:ascii="宋体" w:hAnsi="宋体"/>
              </w:rPr>
            </w:pPr>
            <w:r>
              <w:rPr>
                <w:rFonts w:ascii="宋体" w:hAnsi="宋体"/>
              </w:rPr>
              <w:t xml:space="preserve">0.53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1863938982"/>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无</w:t>
                </w:r>
              </w:p>
            </w:tc>
          </w:sdtContent>
        </w:sdt>
        <w:tc>
          <w:tcPr>
            <w:tcW w:w="1843" w:type="dxa"/>
            <w:gridSpan w:val="2"/>
            <w:vAlign w:val="center"/>
          </w:tcPr>
          <w:p>
            <w:pPr>
              <w:jc w:val="right"/>
            </w:pPr>
            <w:r>
              <w:rPr>
                <w:rFonts w:ascii="宋体" w:hAnsi="宋体" w:hint="eastAsia"/>
              </w:rPr>
              <w:t>0</w:t>
            </w:r>
          </w:p>
        </w:tc>
        <w:sdt>
          <w:sdtPr>
            <w:rPr>
              <w:rFonts w:ascii="宋体" w:hAnsi="宋体"/>
            </w:rPr>
            <w:alias w:val="前十名股东的股东性质"/>
            <w:tag w:val="_GBC_84391eccdbd14aa7bbd07a260ff9d747"/>
            <w:id w:val="12058962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其他</w:t>
                </w:r>
              </w:p>
            </w:tc>
          </w:sdtContent>
        </w:sdt>
      </w:tr>
      <w:tr>
        <w:trPr>
          <w:cantSplit/>
          <w:jc w:val="center"/>
        </w:trPr>
        <w:tc>
          <w:tcPr>
            <w:tcW w:w="5201" w:type="dxa"/>
            <w:vAlign w:val="center"/>
          </w:tcPr>
          <w:p>
            <w:pPr>
              <w:jc w:val="both"/>
              <w:rPr>
                <w:rFonts w:ascii="宋体" w:hAnsi="宋体"/>
              </w:rPr>
            </w:pPr>
            <w:r>
              <w:rPr>
                <w:rFonts w:ascii="宋体" w:hAnsi="宋体" w:hint="eastAsia"/>
              </w:rPr>
              <w:t>中国工商银行股份有限公司－景顺长城景盛双息收益债券型证券投资基金</w:t>
            </w:r>
          </w:p>
        </w:tc>
        <w:tc>
          <w:tcPr>
            <w:tcW w:w="1471" w:type="dxa"/>
            <w:vAlign w:val="center"/>
          </w:tcPr>
          <w:p>
            <w:pPr>
              <w:jc w:val="right"/>
              <w:rPr>
                <w:rFonts w:ascii="宋体" w:hAnsi="宋体"/>
              </w:rPr>
            </w:pPr>
            <w:r>
              <w:rPr>
                <w:rFonts w:ascii="宋体" w:hAnsi="宋体"/>
              </w:rPr>
              <w:t xml:space="preserve">39,557,766 </w:t>
            </w:r>
          </w:p>
        </w:tc>
        <w:tc>
          <w:tcPr>
            <w:tcW w:w="1687" w:type="dxa"/>
            <w:vAlign w:val="center"/>
          </w:tcPr>
          <w:p>
            <w:pPr>
              <w:jc w:val="right"/>
              <w:rPr>
                <w:rFonts w:ascii="宋体" w:hAnsi="宋体"/>
              </w:rPr>
            </w:pPr>
            <w:r>
              <w:rPr>
                <w:rFonts w:ascii="宋体" w:hAnsi="宋体"/>
              </w:rPr>
              <w:t xml:space="preserve">39,557,766 </w:t>
            </w:r>
          </w:p>
        </w:tc>
        <w:tc>
          <w:tcPr>
            <w:tcW w:w="850" w:type="dxa"/>
            <w:vAlign w:val="center"/>
          </w:tcPr>
          <w:p>
            <w:pPr>
              <w:jc w:val="right"/>
              <w:rPr>
                <w:rFonts w:ascii="宋体" w:hAnsi="宋体"/>
              </w:rPr>
            </w:pPr>
            <w:r>
              <w:rPr>
                <w:rFonts w:ascii="宋体" w:hAnsi="宋体"/>
              </w:rPr>
              <w:t xml:space="preserve">0.39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663295086"/>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无</w:t>
                </w:r>
              </w:p>
            </w:tc>
          </w:sdtContent>
        </w:sdt>
        <w:tc>
          <w:tcPr>
            <w:tcW w:w="1843" w:type="dxa"/>
            <w:gridSpan w:val="2"/>
            <w:vAlign w:val="center"/>
          </w:tcPr>
          <w:p>
            <w:pPr>
              <w:jc w:val="right"/>
            </w:pPr>
            <w:r>
              <w:rPr>
                <w:rFonts w:ascii="宋体" w:hAnsi="宋体" w:hint="eastAsia"/>
              </w:rPr>
              <w:t>0</w:t>
            </w:r>
          </w:p>
        </w:tc>
        <w:sdt>
          <w:sdtPr>
            <w:rPr>
              <w:rFonts w:ascii="宋体" w:hAnsi="宋体"/>
            </w:rPr>
            <w:alias w:val="前十名股东的股东性质"/>
            <w:tag w:val="_GBC_84391eccdbd14aa7bbd07a260ff9d747"/>
            <w:id w:val="21963722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其他</w:t>
                </w:r>
              </w:p>
            </w:tc>
          </w:sdtContent>
        </w:sdt>
      </w:tr>
      <w:tr>
        <w:trPr>
          <w:cantSplit/>
          <w:jc w:val="center"/>
        </w:trPr>
        <w:tc>
          <w:tcPr>
            <w:tcW w:w="5201" w:type="dxa"/>
            <w:vAlign w:val="center"/>
          </w:tcPr>
          <w:p>
            <w:pPr>
              <w:jc w:val="both"/>
              <w:rPr>
                <w:rFonts w:ascii="宋体" w:hAnsi="宋体"/>
              </w:rPr>
            </w:pPr>
            <w:r>
              <w:rPr>
                <w:rFonts w:ascii="宋体" w:hAnsi="宋体" w:hint="eastAsia"/>
              </w:rPr>
              <w:t>招商银行股份有限公司－上证红利交易型开放式指数证券投资基金</w:t>
            </w:r>
          </w:p>
        </w:tc>
        <w:tc>
          <w:tcPr>
            <w:tcW w:w="1471" w:type="dxa"/>
            <w:vAlign w:val="center"/>
          </w:tcPr>
          <w:p>
            <w:pPr>
              <w:jc w:val="right"/>
              <w:rPr>
                <w:rFonts w:ascii="宋体" w:hAnsi="宋体"/>
              </w:rPr>
            </w:pPr>
            <w:r>
              <w:rPr>
                <w:rFonts w:ascii="宋体" w:hAnsi="宋体"/>
              </w:rPr>
              <w:t xml:space="preserve">2,105,604 </w:t>
            </w:r>
          </w:p>
        </w:tc>
        <w:tc>
          <w:tcPr>
            <w:tcW w:w="1687" w:type="dxa"/>
            <w:vAlign w:val="center"/>
          </w:tcPr>
          <w:p>
            <w:pPr>
              <w:jc w:val="right"/>
              <w:rPr>
                <w:rFonts w:ascii="宋体" w:hAnsi="宋体"/>
              </w:rPr>
            </w:pPr>
            <w:r>
              <w:rPr>
                <w:rFonts w:ascii="宋体" w:hAnsi="宋体"/>
              </w:rPr>
              <w:t xml:space="preserve">33,710,529 </w:t>
            </w:r>
          </w:p>
        </w:tc>
        <w:tc>
          <w:tcPr>
            <w:tcW w:w="850" w:type="dxa"/>
            <w:vAlign w:val="center"/>
          </w:tcPr>
          <w:p>
            <w:pPr>
              <w:jc w:val="right"/>
              <w:rPr>
                <w:rFonts w:ascii="宋体" w:hAnsi="宋体"/>
              </w:rPr>
            </w:pPr>
            <w:r>
              <w:rPr>
                <w:rFonts w:ascii="宋体" w:hAnsi="宋体"/>
              </w:rPr>
              <w:t xml:space="preserve">0.34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1398281960"/>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无</w:t>
                </w:r>
              </w:p>
            </w:tc>
          </w:sdtContent>
        </w:sdt>
        <w:tc>
          <w:tcPr>
            <w:tcW w:w="1843" w:type="dxa"/>
            <w:gridSpan w:val="2"/>
            <w:vAlign w:val="center"/>
          </w:tcPr>
          <w:p>
            <w:pPr>
              <w:jc w:val="right"/>
            </w:pPr>
            <w:r>
              <w:rPr>
                <w:rFonts w:ascii="宋体" w:hAnsi="宋体" w:hint="eastAsia"/>
              </w:rPr>
              <w:t>0</w:t>
            </w:r>
          </w:p>
        </w:tc>
        <w:sdt>
          <w:sdtPr>
            <w:rPr>
              <w:rFonts w:ascii="宋体" w:hAnsi="宋体"/>
            </w:rPr>
            <w:alias w:val="前十名股东的股东性质"/>
            <w:tag w:val="_GBC_84391eccdbd14aa7bbd07a260ff9d747"/>
            <w:id w:val="-148107309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其他</w:t>
                </w:r>
              </w:p>
            </w:tc>
          </w:sdtContent>
        </w:sdt>
      </w:tr>
      <w:tr>
        <w:trPr>
          <w:cantSplit/>
          <w:jc w:val="center"/>
        </w:trPr>
        <w:tc>
          <w:tcPr>
            <w:tcW w:w="5201" w:type="dxa"/>
            <w:vAlign w:val="center"/>
          </w:tcPr>
          <w:p>
            <w:pPr>
              <w:jc w:val="both"/>
              <w:rPr>
                <w:rFonts w:ascii="宋体" w:hAnsi="宋体"/>
              </w:rPr>
            </w:pPr>
            <w:r>
              <w:rPr>
                <w:rFonts w:ascii="宋体" w:hAnsi="宋体" w:hint="eastAsia"/>
              </w:rPr>
              <w:t>中国工商银行股份有限公司－华泰柏瑞沪深300交易型开放式指数证券投资基金</w:t>
            </w:r>
          </w:p>
        </w:tc>
        <w:tc>
          <w:tcPr>
            <w:tcW w:w="1471" w:type="dxa"/>
            <w:vAlign w:val="center"/>
          </w:tcPr>
          <w:p>
            <w:pPr>
              <w:jc w:val="right"/>
              <w:rPr>
                <w:rFonts w:ascii="宋体" w:hAnsi="宋体"/>
              </w:rPr>
            </w:pPr>
            <w:r>
              <w:rPr>
                <w:rFonts w:ascii="宋体" w:hAnsi="宋体"/>
              </w:rPr>
              <w:t xml:space="preserve">-1,225,670 </w:t>
            </w:r>
          </w:p>
        </w:tc>
        <w:tc>
          <w:tcPr>
            <w:tcW w:w="1687" w:type="dxa"/>
            <w:vAlign w:val="center"/>
          </w:tcPr>
          <w:p>
            <w:pPr>
              <w:jc w:val="right"/>
              <w:rPr>
                <w:rFonts w:ascii="宋体" w:hAnsi="宋体"/>
              </w:rPr>
            </w:pPr>
            <w:r>
              <w:rPr>
                <w:rFonts w:ascii="宋体" w:hAnsi="宋体"/>
              </w:rPr>
              <w:t xml:space="preserve">29,691,504 </w:t>
            </w:r>
          </w:p>
        </w:tc>
        <w:tc>
          <w:tcPr>
            <w:tcW w:w="850" w:type="dxa"/>
            <w:vAlign w:val="center"/>
          </w:tcPr>
          <w:p>
            <w:pPr>
              <w:jc w:val="right"/>
              <w:rPr>
                <w:rFonts w:ascii="宋体" w:hAnsi="宋体"/>
              </w:rPr>
            </w:pPr>
            <w:r>
              <w:rPr>
                <w:rFonts w:ascii="宋体" w:hAnsi="宋体"/>
              </w:rPr>
              <w:t xml:space="preserve">0.30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104655533"/>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无</w:t>
                </w:r>
              </w:p>
            </w:tc>
          </w:sdtContent>
        </w:sdt>
        <w:tc>
          <w:tcPr>
            <w:tcW w:w="1843" w:type="dxa"/>
            <w:gridSpan w:val="2"/>
            <w:vAlign w:val="center"/>
          </w:tcPr>
          <w:p>
            <w:pPr>
              <w:jc w:val="right"/>
            </w:pPr>
            <w:r>
              <w:rPr>
                <w:rFonts w:ascii="宋体" w:hAnsi="宋体" w:hint="eastAsia"/>
              </w:rPr>
              <w:t>0</w:t>
            </w:r>
          </w:p>
        </w:tc>
        <w:sdt>
          <w:sdtPr>
            <w:rPr>
              <w:rFonts w:ascii="宋体" w:hAnsi="宋体"/>
            </w:rPr>
            <w:alias w:val="前十名股东的股东性质"/>
            <w:tag w:val="_GBC_84391eccdbd14aa7bbd07a260ff9d747"/>
            <w:id w:val="158348041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其他</w:t>
                </w:r>
              </w:p>
            </w:tc>
          </w:sdtContent>
        </w:sdt>
      </w:tr>
      <w:tr>
        <w:trPr>
          <w:cantSplit/>
          <w:jc w:val="center"/>
        </w:trPr>
        <w:tc>
          <w:tcPr>
            <w:tcW w:w="5201" w:type="dxa"/>
            <w:vAlign w:val="center"/>
          </w:tcPr>
          <w:p>
            <w:pPr>
              <w:jc w:val="both"/>
              <w:rPr>
                <w:rFonts w:ascii="宋体" w:hAnsi="宋体"/>
              </w:rPr>
            </w:pPr>
            <w:r>
              <w:rPr>
                <w:rFonts w:ascii="宋体" w:hAnsi="宋体" w:hint="eastAsia"/>
              </w:rPr>
              <w:t>中国建设银行股份有限公司－易方达沪深300交易型开放式指数发起式证券投资基金</w:t>
            </w:r>
          </w:p>
        </w:tc>
        <w:tc>
          <w:tcPr>
            <w:tcW w:w="1471" w:type="dxa"/>
            <w:vAlign w:val="center"/>
          </w:tcPr>
          <w:p>
            <w:pPr>
              <w:jc w:val="right"/>
              <w:rPr>
                <w:rFonts w:ascii="宋体" w:hAnsi="宋体"/>
              </w:rPr>
            </w:pPr>
            <w:r>
              <w:rPr>
                <w:rFonts w:ascii="宋体" w:hAnsi="宋体"/>
              </w:rPr>
              <w:t xml:space="preserve">-241,485 </w:t>
            </w:r>
          </w:p>
        </w:tc>
        <w:tc>
          <w:tcPr>
            <w:tcW w:w="1687" w:type="dxa"/>
            <w:vAlign w:val="center"/>
          </w:tcPr>
          <w:p>
            <w:pPr>
              <w:jc w:val="right"/>
              <w:rPr>
                <w:rFonts w:ascii="宋体" w:hAnsi="宋体"/>
              </w:rPr>
            </w:pPr>
            <w:r>
              <w:rPr>
                <w:rFonts w:ascii="宋体" w:hAnsi="宋体"/>
              </w:rPr>
              <w:t xml:space="preserve">21,070,535 </w:t>
            </w:r>
          </w:p>
        </w:tc>
        <w:tc>
          <w:tcPr>
            <w:tcW w:w="850" w:type="dxa"/>
            <w:vAlign w:val="center"/>
          </w:tcPr>
          <w:p>
            <w:pPr>
              <w:jc w:val="right"/>
              <w:rPr>
                <w:rFonts w:ascii="宋体" w:hAnsi="宋体"/>
              </w:rPr>
            </w:pPr>
            <w:r>
              <w:rPr>
                <w:rFonts w:ascii="宋体" w:hAnsi="宋体"/>
              </w:rPr>
              <w:t xml:space="preserve">0.21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1819879892"/>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无</w:t>
                </w:r>
              </w:p>
            </w:tc>
          </w:sdtContent>
        </w:sdt>
        <w:tc>
          <w:tcPr>
            <w:tcW w:w="1843" w:type="dxa"/>
            <w:gridSpan w:val="2"/>
            <w:vAlign w:val="center"/>
          </w:tcPr>
          <w:p>
            <w:pPr>
              <w:jc w:val="right"/>
            </w:pPr>
            <w:r>
              <w:rPr>
                <w:rFonts w:ascii="宋体" w:hAnsi="宋体" w:hint="eastAsia"/>
              </w:rPr>
              <w:t>0</w:t>
            </w:r>
          </w:p>
        </w:tc>
        <w:sdt>
          <w:sdtPr>
            <w:rPr>
              <w:rFonts w:ascii="宋体" w:hAnsi="宋体"/>
            </w:rPr>
            <w:alias w:val="前十名股东的股东性质"/>
            <w:tag w:val="_GBC_84391eccdbd14aa7bbd07a260ff9d747"/>
            <w:id w:val="-124611228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其他</w:t>
                </w:r>
              </w:p>
            </w:tc>
          </w:sdtContent>
        </w:sdt>
      </w:tr>
      <w:tr>
        <w:trPr>
          <w:cantSplit/>
          <w:jc w:val="center"/>
        </w:trPr>
        <w:tc>
          <w:tcPr>
            <w:tcW w:w="5201" w:type="dxa"/>
            <w:vAlign w:val="center"/>
          </w:tcPr>
          <w:p>
            <w:pPr>
              <w:jc w:val="both"/>
              <w:rPr>
                <w:rFonts w:ascii="宋体" w:hAnsi="宋体"/>
              </w:rPr>
            </w:pPr>
            <w:r>
              <w:rPr>
                <w:rFonts w:ascii="宋体" w:hAnsi="宋体" w:hint="eastAsia"/>
              </w:rPr>
              <w:t>前海人寿保险股份有限公司－分红保险产品</w:t>
            </w:r>
          </w:p>
        </w:tc>
        <w:tc>
          <w:tcPr>
            <w:tcW w:w="1471" w:type="dxa"/>
            <w:vAlign w:val="center"/>
          </w:tcPr>
          <w:p>
            <w:pPr>
              <w:jc w:val="right"/>
              <w:rPr>
                <w:rFonts w:ascii="宋体" w:hAnsi="宋体"/>
              </w:rPr>
            </w:pPr>
            <w:r>
              <w:rPr>
                <w:rFonts w:ascii="宋体" w:hAnsi="宋体"/>
              </w:rPr>
              <w:t xml:space="preserve">-2,495,930 </w:t>
            </w:r>
          </w:p>
        </w:tc>
        <w:tc>
          <w:tcPr>
            <w:tcW w:w="1687" w:type="dxa"/>
            <w:vAlign w:val="center"/>
          </w:tcPr>
          <w:p>
            <w:pPr>
              <w:jc w:val="right"/>
              <w:rPr>
                <w:rFonts w:ascii="宋体" w:hAnsi="宋体"/>
              </w:rPr>
            </w:pPr>
            <w:r>
              <w:rPr>
                <w:rFonts w:ascii="宋体" w:hAnsi="宋体"/>
              </w:rPr>
              <w:t xml:space="preserve">18,363,844 </w:t>
            </w:r>
          </w:p>
        </w:tc>
        <w:tc>
          <w:tcPr>
            <w:tcW w:w="850" w:type="dxa"/>
            <w:vAlign w:val="center"/>
          </w:tcPr>
          <w:p>
            <w:pPr>
              <w:jc w:val="right"/>
              <w:rPr>
                <w:rFonts w:ascii="宋体" w:hAnsi="宋体"/>
              </w:rPr>
            </w:pPr>
            <w:r>
              <w:rPr>
                <w:rFonts w:ascii="宋体" w:hAnsi="宋体"/>
              </w:rPr>
              <w:t xml:space="preserve">0.18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1147865145"/>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无</w:t>
                </w:r>
              </w:p>
            </w:tc>
          </w:sdtContent>
        </w:sdt>
        <w:tc>
          <w:tcPr>
            <w:tcW w:w="1843" w:type="dxa"/>
            <w:gridSpan w:val="2"/>
            <w:vAlign w:val="center"/>
          </w:tcPr>
          <w:p>
            <w:pPr>
              <w:jc w:val="right"/>
            </w:pPr>
            <w:r>
              <w:rPr>
                <w:rFonts w:ascii="宋体" w:hAnsi="宋体" w:hint="eastAsia"/>
              </w:rPr>
              <w:t>0</w:t>
            </w:r>
          </w:p>
        </w:tc>
        <w:sdt>
          <w:sdtPr>
            <w:rPr>
              <w:rFonts w:ascii="宋体" w:hAnsi="宋体"/>
            </w:rPr>
            <w:alias w:val="前十名股东的股东性质"/>
            <w:tag w:val="_GBC_84391eccdbd14aa7bbd07a260ff9d747"/>
            <w:id w:val="-104629172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其他</w:t>
                </w:r>
              </w:p>
            </w:tc>
          </w:sdtContent>
        </w:sdt>
      </w:tr>
      <w:tr>
        <w:trPr>
          <w:cantSplit/>
          <w:jc w:val="center"/>
        </w:trPr>
        <w:tc>
          <w:tcPr>
            <w:tcW w:w="5201" w:type="dxa"/>
            <w:vAlign w:val="center"/>
          </w:tcPr>
          <w:p>
            <w:pPr>
              <w:jc w:val="both"/>
              <w:rPr>
                <w:rFonts w:ascii="宋体" w:hAnsi="宋体"/>
              </w:rPr>
            </w:pPr>
            <w:r>
              <w:rPr>
                <w:rFonts w:ascii="宋体" w:hAnsi="宋体" w:hint="eastAsia"/>
              </w:rPr>
              <w:t>中国人寿保险股份有限公司－传统－普通保险产品－005L－CT001沪</w:t>
            </w:r>
          </w:p>
        </w:tc>
        <w:tc>
          <w:tcPr>
            <w:tcW w:w="1471" w:type="dxa"/>
            <w:vAlign w:val="center"/>
          </w:tcPr>
          <w:p>
            <w:pPr>
              <w:jc w:val="right"/>
              <w:rPr>
                <w:rFonts w:ascii="宋体" w:hAnsi="宋体"/>
              </w:rPr>
            </w:pPr>
            <w:r>
              <w:rPr>
                <w:rFonts w:ascii="宋体" w:hAnsi="宋体"/>
              </w:rPr>
              <w:t xml:space="preserve">11,339,527 </w:t>
            </w:r>
          </w:p>
        </w:tc>
        <w:tc>
          <w:tcPr>
            <w:tcW w:w="1687" w:type="dxa"/>
            <w:vAlign w:val="center"/>
          </w:tcPr>
          <w:p>
            <w:pPr>
              <w:jc w:val="right"/>
              <w:rPr>
                <w:rFonts w:ascii="宋体" w:hAnsi="宋体"/>
              </w:rPr>
            </w:pPr>
            <w:r>
              <w:rPr>
                <w:rFonts w:ascii="宋体" w:hAnsi="宋体"/>
              </w:rPr>
              <w:t xml:space="preserve">18,294,855 </w:t>
            </w:r>
          </w:p>
        </w:tc>
        <w:tc>
          <w:tcPr>
            <w:tcW w:w="850" w:type="dxa"/>
            <w:vAlign w:val="center"/>
          </w:tcPr>
          <w:p>
            <w:pPr>
              <w:jc w:val="right"/>
              <w:rPr>
                <w:rFonts w:ascii="宋体" w:hAnsi="宋体"/>
              </w:rPr>
            </w:pPr>
            <w:r>
              <w:rPr>
                <w:rFonts w:ascii="宋体" w:hAnsi="宋体"/>
              </w:rPr>
              <w:t xml:space="preserve">0.18 </w:t>
            </w:r>
          </w:p>
        </w:tc>
        <w:tc>
          <w:tcPr>
            <w:tcW w:w="1134" w:type="dxa"/>
            <w:vAlign w:val="center"/>
          </w:tcPr>
          <w:p>
            <w:pPr>
              <w:jc w:val="right"/>
            </w:pPr>
            <w:r>
              <w:rPr>
                <w:rFonts w:ascii="宋体" w:hAnsi="宋体" w:hint="eastAsia"/>
              </w:rPr>
              <w:t>0</w:t>
            </w:r>
          </w:p>
        </w:tc>
        <w:sdt>
          <w:sdtPr>
            <w:rPr>
              <w:rFonts w:ascii="宋体" w:hAnsi="宋体"/>
            </w:rPr>
            <w:alias w:val="前十名股东持有股份状态"/>
            <w:tag w:val="_GBC_46a2e2b7fded452b84eec75a5e47296b"/>
            <w:id w:val="-1504589575"/>
            <w:comboBox>
              <w:listItem w:displayText="无" w:value="无"/>
              <w:listItem w:displayText="质押" w:value="质押"/>
              <w:listItem w:displayText="标记" w:value="标记"/>
              <w:listItem w:displayText="冻结" w:value="冻结"/>
              <w:listItem w:displayText="未知" w:value="未知"/>
            </w:comboBox>
          </w:sdtPr>
          <w:sdtContent>
            <w:tc>
              <w:tcPr>
                <w:tcW w:w="709" w:type="dxa"/>
                <w:vAlign w:val="center"/>
              </w:tcPr>
              <w:p>
                <w:pPr>
                  <w:jc w:val="both"/>
                  <w:rPr>
                    <w:rFonts w:ascii="宋体" w:hAnsi="宋体"/>
                    <w:color w:val="FF9900"/>
                  </w:rPr>
                </w:pPr>
                <w:r>
                  <w:rPr>
                    <w:rFonts w:ascii="宋体" w:hAnsi="宋体"/>
                  </w:rPr>
                  <w:t>无</w:t>
                </w:r>
              </w:p>
            </w:tc>
          </w:sdtContent>
        </w:sdt>
        <w:tc>
          <w:tcPr>
            <w:tcW w:w="1843" w:type="dxa"/>
            <w:gridSpan w:val="2"/>
            <w:vAlign w:val="center"/>
          </w:tcPr>
          <w:p>
            <w:pPr>
              <w:jc w:val="right"/>
            </w:pPr>
            <w:r>
              <w:rPr>
                <w:rFonts w:ascii="宋体" w:hAnsi="宋体" w:hint="eastAsia"/>
              </w:rPr>
              <w:t>0</w:t>
            </w:r>
          </w:p>
        </w:tc>
        <w:sdt>
          <w:sdtPr>
            <w:rPr>
              <w:rFonts w:ascii="宋体" w:hAnsi="宋体"/>
            </w:rPr>
            <w:alias w:val="前十名股东的股东性质"/>
            <w:tag w:val="_GBC_84391eccdbd14aa7bbd07a260ff9d747"/>
            <w:id w:val="187388778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vAlign w:val="center"/>
              </w:tcPr>
              <w:p>
                <w:pPr>
                  <w:jc w:val="both"/>
                  <w:rPr>
                    <w:rFonts w:ascii="宋体" w:hAnsi="宋体"/>
                    <w:color w:val="FF9900"/>
                  </w:rPr>
                </w:pPr>
                <w:r>
                  <w:rPr>
                    <w:rFonts w:ascii="宋体" w:hAnsi="宋体"/>
                  </w:rPr>
                  <w:t>其他</w:t>
                </w:r>
              </w:p>
            </w:tc>
          </w:sdtContent>
        </w:sdt>
      </w:tr>
      <w:tr>
        <w:trPr>
          <w:cantSplit/>
          <w:jc w:val="center"/>
        </w:trPr>
        <w:sdt>
          <w:sdtPr>
            <w:rPr>
              <w:rFonts w:ascii="宋体" w:hAnsi="宋体"/>
            </w:rPr>
            <w:tag w:val="_PLD_7f241e5dc05a4ae7b61268f4f1627ca0"/>
            <w:id w:val="-1616522978"/>
          </w:sdtPr>
          <w:sdtContent>
            <w:tc>
              <w:tcPr>
                <w:tcW w:w="14170" w:type="dxa"/>
                <w:gridSpan w:val="9"/>
                <w:vAlign w:val="center"/>
              </w:tcPr>
              <w:p>
                <w:pPr>
                  <w:jc w:val="center"/>
                  <w:rPr>
                    <w:rFonts w:ascii="宋体" w:hAnsi="宋体"/>
                    <w:color w:val="FF9900"/>
                  </w:rPr>
                </w:pPr>
                <w:r>
                  <w:rPr>
                    <w:rFonts w:ascii="宋体" w:hAnsi="宋体"/>
                  </w:rPr>
                  <w:t>前十名无限售条件股东持股情况</w:t>
                </w:r>
                <w:r>
                  <w:rPr>
                    <w:rFonts w:ascii="宋体" w:hAnsi="宋体" w:hint="eastAsia"/>
                  </w:rPr>
                  <w:t>（不含通过转融通出借股份）</w:t>
                </w:r>
              </w:p>
            </w:tc>
          </w:sdtContent>
        </w:sdt>
      </w:tr>
      <w:tr>
        <w:trPr>
          <w:cantSplit/>
          <w:jc w:val="center"/>
        </w:trPr>
        <w:sdt>
          <w:sdtPr>
            <w:rPr>
              <w:rFonts w:ascii="宋体" w:hAnsi="宋体"/>
            </w:rPr>
            <w:tag w:val="_PLD_0443ad39720a4d59be87cdf7b0bc4970"/>
            <w:id w:val="-1028711372"/>
          </w:sdtPr>
          <w:sdtContent>
            <w:tc>
              <w:tcPr>
                <w:tcW w:w="6672" w:type="dxa"/>
                <w:gridSpan w:val="2"/>
                <w:vMerge w:val="restart"/>
                <w:vAlign w:val="center"/>
              </w:tcPr>
              <w:p>
                <w:pPr>
                  <w:jc w:val="center"/>
                  <w:rPr>
                    <w:rFonts w:ascii="宋体" w:hAnsi="宋体"/>
                    <w:color w:val="FF9900"/>
                  </w:rPr>
                </w:pPr>
                <w:r>
                  <w:rPr>
                    <w:rFonts w:ascii="宋体" w:hAnsi="宋体"/>
                  </w:rPr>
                  <w:t>股东名称</w:t>
                </w:r>
              </w:p>
            </w:tc>
          </w:sdtContent>
        </w:sdt>
        <w:sdt>
          <w:sdtPr>
            <w:rPr>
              <w:rFonts w:ascii="宋体" w:hAnsi="宋体"/>
            </w:rPr>
            <w:tag w:val="_PLD_a7f143afa2b94466a44af03e770016b0"/>
            <w:id w:val="1269433788"/>
          </w:sdtPr>
          <w:sdtContent>
            <w:tc>
              <w:tcPr>
                <w:tcW w:w="3671" w:type="dxa"/>
                <w:gridSpan w:val="3"/>
                <w:vMerge w:val="restart"/>
                <w:vAlign w:val="center"/>
              </w:tcPr>
              <w:p>
                <w:pPr>
                  <w:jc w:val="center"/>
                  <w:rPr>
                    <w:rFonts w:ascii="宋体" w:hAnsi="宋体"/>
                    <w:color w:val="FF9900"/>
                  </w:rPr>
                </w:pPr>
                <w:r>
                  <w:rPr>
                    <w:rFonts w:ascii="宋体" w:hAnsi="宋体"/>
                  </w:rPr>
                  <w:t>持有无限售条件流通股的数量</w:t>
                </w:r>
              </w:p>
            </w:tc>
          </w:sdtContent>
        </w:sdt>
        <w:sdt>
          <w:sdtPr>
            <w:rPr>
              <w:rFonts w:ascii="宋体" w:hAnsi="宋体"/>
            </w:rPr>
            <w:tag w:val="_PLD_fa97ca004a544042af7e1d7463bea345"/>
            <w:id w:val="1139921673"/>
          </w:sdtPr>
          <w:sdtContent>
            <w:tc>
              <w:tcPr>
                <w:tcW w:w="3827" w:type="dxa"/>
                <w:gridSpan w:val="4"/>
                <w:tcBorders>
                  <w:bottom w:val="single" w:sz="4" w:space="0" w:color="auto"/>
                </w:tcBorders>
                <w:vAlign w:val="center"/>
              </w:tcPr>
              <w:p>
                <w:pPr>
                  <w:jc w:val="center"/>
                  <w:rPr>
                    <w:rFonts w:ascii="宋体" w:hAnsi="宋体"/>
                    <w:color w:val="FF9900"/>
                  </w:rPr>
                </w:pPr>
                <w:r>
                  <w:rPr>
                    <w:rFonts w:ascii="宋体" w:hAnsi="宋体"/>
                  </w:rPr>
                  <w:t>股份种类</w:t>
                </w:r>
                <w:r>
                  <w:rPr>
                    <w:rFonts w:ascii="宋体" w:hAnsi="宋体" w:hint="eastAsia"/>
                  </w:rPr>
                  <w:t>及数量</w:t>
                </w:r>
              </w:p>
            </w:tc>
          </w:sdtContent>
        </w:sdt>
      </w:tr>
      <w:tr>
        <w:trPr>
          <w:cantSplit/>
          <w:jc w:val="center"/>
        </w:trPr>
        <w:tc>
          <w:tcPr>
            <w:tcW w:w="6672" w:type="dxa"/>
            <w:gridSpan w:val="2"/>
            <w:vMerge/>
            <w:vAlign w:val="center"/>
          </w:tcPr>
          <w:p>
            <w:pPr>
              <w:jc w:val="center"/>
              <w:rPr>
                <w:rFonts w:ascii="宋体" w:hAnsi="宋体"/>
                <w:color w:val="FF9900"/>
              </w:rPr>
            </w:pPr>
          </w:p>
        </w:tc>
        <w:tc>
          <w:tcPr>
            <w:tcW w:w="3671" w:type="dxa"/>
            <w:gridSpan w:val="3"/>
            <w:vMerge/>
            <w:vAlign w:val="center"/>
          </w:tcPr>
          <w:p>
            <w:pPr>
              <w:jc w:val="center"/>
              <w:rPr>
                <w:rFonts w:ascii="宋体" w:hAnsi="宋体"/>
                <w:color w:val="FF9900"/>
              </w:rPr>
            </w:pPr>
          </w:p>
        </w:tc>
        <w:sdt>
          <w:sdtPr>
            <w:rPr>
              <w:rFonts w:ascii="宋体" w:hAnsi="宋体"/>
            </w:rPr>
            <w:tag w:val="_PLD_e67773187f2f4233a6666596947248e8"/>
            <w:id w:val="1599980688"/>
          </w:sdtPr>
          <w:sdtContent>
            <w:tc>
              <w:tcPr>
                <w:tcW w:w="1843" w:type="dxa"/>
                <w:gridSpan w:val="2"/>
                <w:vAlign w:val="center"/>
              </w:tcPr>
              <w:p>
                <w:pPr>
                  <w:jc w:val="center"/>
                  <w:rPr>
                    <w:rFonts w:ascii="宋体" w:hAnsi="宋体"/>
                    <w:color w:val="008000"/>
                  </w:rPr>
                </w:pPr>
                <w:r>
                  <w:rPr>
                    <w:rFonts w:ascii="宋体" w:hAnsi="宋体" w:hint="eastAsia"/>
                  </w:rPr>
                  <w:t>种类</w:t>
                </w:r>
              </w:p>
            </w:tc>
          </w:sdtContent>
        </w:sdt>
        <w:sdt>
          <w:sdtPr>
            <w:rPr>
              <w:rFonts w:ascii="宋体" w:hAnsi="宋体"/>
            </w:rPr>
            <w:tag w:val="_PLD_2f2fd5088a82440f9265e00f4e298be0"/>
            <w:id w:val="865175400"/>
          </w:sdtPr>
          <w:sdtContent>
            <w:tc>
              <w:tcPr>
                <w:tcW w:w="1984" w:type="dxa"/>
                <w:gridSpan w:val="2"/>
                <w:vAlign w:val="center"/>
              </w:tcPr>
              <w:p>
                <w:pPr>
                  <w:jc w:val="center"/>
                  <w:rPr>
                    <w:rFonts w:ascii="宋体" w:hAnsi="宋体"/>
                    <w:color w:val="008000"/>
                  </w:rPr>
                </w:pPr>
                <w:r>
                  <w:rPr>
                    <w:rFonts w:ascii="宋体" w:hAnsi="宋体" w:hint="eastAsia"/>
                  </w:rPr>
                  <w:t>数量</w:t>
                </w:r>
              </w:p>
            </w:tc>
          </w:sdtContent>
        </w:sdt>
      </w:tr>
      <w:tr>
        <w:trPr>
          <w:cantSplit/>
          <w:jc w:val="center"/>
        </w:trPr>
        <w:tc>
          <w:tcPr>
            <w:tcW w:w="6672" w:type="dxa"/>
            <w:gridSpan w:val="2"/>
            <w:vMerge w:val="restart"/>
            <w:vAlign w:val="center"/>
          </w:tcPr>
          <w:p>
            <w:pPr>
              <w:rPr>
                <w:rFonts w:ascii="宋体" w:hAnsi="宋体"/>
                <w:color w:val="FF9900"/>
              </w:rPr>
            </w:pPr>
            <w:r>
              <w:rPr>
                <w:rFonts w:ascii="宋体" w:hAnsi="宋体" w:hint="eastAsia"/>
              </w:rPr>
              <w:t>山东能源集团有限公司</w:t>
            </w:r>
          </w:p>
        </w:tc>
        <w:tc>
          <w:tcPr>
            <w:tcW w:w="3671" w:type="dxa"/>
            <w:gridSpan w:val="3"/>
            <w:vAlign w:val="center"/>
          </w:tcPr>
          <w:p>
            <w:pPr>
              <w:jc w:val="right"/>
              <w:rPr>
                <w:rFonts w:ascii="宋体" w:hAnsi="宋体"/>
              </w:rPr>
            </w:pPr>
            <w:r>
              <w:rPr>
                <w:rFonts w:ascii="宋体" w:hAnsi="宋体"/>
              </w:rPr>
              <w:t xml:space="preserve">4,395,142,871 </w:t>
            </w:r>
          </w:p>
        </w:tc>
        <w:sdt>
          <w:sdtPr>
            <w:rPr>
              <w:rFonts w:ascii="宋体" w:hAnsi="宋体"/>
              <w:bCs/>
            </w:rPr>
            <w:alias w:val="前十名无限售条件股东期末持有流通股的种类"/>
            <w:tag w:val="_GBC_b35ef493948141e0b9d0c3fd14aad59a"/>
            <w:id w:val="21386493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4,395,142,871 </w:t>
            </w:r>
          </w:p>
        </w:tc>
      </w:tr>
      <w:tr>
        <w:trPr>
          <w:cantSplit/>
          <w:jc w:val="center"/>
        </w:trPr>
        <w:tc>
          <w:tcPr>
            <w:tcW w:w="6672" w:type="dxa"/>
            <w:gridSpan w:val="2"/>
            <w:vMerge/>
            <w:vAlign w:val="center"/>
          </w:tcPr>
          <w:p>
            <w:pPr>
              <w:rPr>
                <w:rFonts w:ascii="宋体" w:hAnsi="宋体"/>
              </w:rPr>
            </w:pPr>
          </w:p>
        </w:tc>
        <w:tc>
          <w:tcPr>
            <w:tcW w:w="3671" w:type="dxa"/>
            <w:gridSpan w:val="3"/>
            <w:vAlign w:val="center"/>
          </w:tcPr>
          <w:p>
            <w:pPr>
              <w:jc w:val="right"/>
              <w:rPr>
                <w:rFonts w:ascii="宋体" w:hAnsi="宋体"/>
              </w:rPr>
            </w:pPr>
            <w:r>
              <w:rPr>
                <w:rFonts w:ascii="宋体" w:hAnsi="宋体"/>
              </w:rPr>
              <w:t xml:space="preserve">908,756,550 </w:t>
            </w:r>
          </w:p>
        </w:tc>
        <w:tc>
          <w:tcPr>
            <w:tcW w:w="1843" w:type="dxa"/>
            <w:gridSpan w:val="2"/>
            <w:vAlign w:val="center"/>
          </w:tcPr>
          <w:p>
            <w:pPr>
              <w:jc w:val="center"/>
              <w:rPr>
                <w:rFonts w:ascii="宋体" w:hAnsi="宋体"/>
                <w:bCs/>
              </w:rPr>
            </w:pPr>
            <w:r>
              <w:rPr>
                <w:rFonts w:ascii="宋体" w:hAnsi="宋体" w:hint="eastAsia"/>
                <w:bCs/>
              </w:rPr>
              <w:t>境外上市外资股</w:t>
            </w:r>
          </w:p>
        </w:tc>
        <w:tc>
          <w:tcPr>
            <w:tcW w:w="1984" w:type="dxa"/>
            <w:gridSpan w:val="2"/>
            <w:vAlign w:val="center"/>
          </w:tcPr>
          <w:p>
            <w:pPr>
              <w:jc w:val="right"/>
              <w:rPr>
                <w:rFonts w:ascii="宋体" w:hAnsi="宋体"/>
              </w:rPr>
            </w:pPr>
            <w:r>
              <w:rPr>
                <w:rFonts w:ascii="宋体" w:hAnsi="宋体"/>
              </w:rPr>
              <w:t xml:space="preserve">908,756,550 </w:t>
            </w:r>
          </w:p>
        </w:tc>
      </w:tr>
      <w:tr>
        <w:trPr>
          <w:cantSplit/>
          <w:jc w:val="center"/>
        </w:trPr>
        <w:tc>
          <w:tcPr>
            <w:tcW w:w="6672" w:type="dxa"/>
            <w:gridSpan w:val="2"/>
            <w:vAlign w:val="center"/>
          </w:tcPr>
          <w:p>
            <w:pPr>
              <w:jc w:val="both"/>
              <w:rPr>
                <w:rFonts w:ascii="宋体" w:hAnsi="宋体"/>
              </w:rPr>
            </w:pPr>
            <w:r>
              <w:rPr>
                <w:rFonts w:ascii="宋体" w:hAnsi="宋体" w:hint="eastAsia"/>
              </w:rPr>
              <w:t xml:space="preserve">香港中央结算（代理人）有限公司 </w:t>
            </w:r>
          </w:p>
        </w:tc>
        <w:tc>
          <w:tcPr>
            <w:tcW w:w="3671" w:type="dxa"/>
            <w:gridSpan w:val="3"/>
            <w:vAlign w:val="center"/>
          </w:tcPr>
          <w:p>
            <w:pPr>
              <w:jc w:val="right"/>
              <w:rPr>
                <w:rFonts w:ascii="宋体" w:hAnsi="宋体"/>
              </w:rPr>
            </w:pPr>
            <w:r>
              <w:rPr>
                <w:rFonts w:ascii="宋体" w:hAnsi="宋体"/>
              </w:rPr>
              <w:t xml:space="preserve">3,161,549,058 </w:t>
            </w:r>
          </w:p>
        </w:tc>
        <w:sdt>
          <w:sdtPr>
            <w:rPr>
              <w:rFonts w:ascii="宋体" w:hAnsi="宋体"/>
              <w:bCs/>
            </w:rPr>
            <w:alias w:val="前十名无限售条件股东期末持有流通股的种类"/>
            <w:tag w:val="_GBC_b35ef493948141e0b9d0c3fd14aad59a"/>
            <w:id w:val="174598399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境外上市外资股</w:t>
                </w:r>
              </w:p>
            </w:tc>
          </w:sdtContent>
        </w:sdt>
        <w:tc>
          <w:tcPr>
            <w:tcW w:w="1984" w:type="dxa"/>
            <w:gridSpan w:val="2"/>
            <w:vAlign w:val="center"/>
          </w:tcPr>
          <w:p>
            <w:pPr>
              <w:jc w:val="right"/>
              <w:rPr>
                <w:rFonts w:ascii="宋体" w:hAnsi="宋体"/>
              </w:rPr>
            </w:pPr>
            <w:r>
              <w:rPr>
                <w:rFonts w:ascii="宋体" w:hAnsi="宋体"/>
              </w:rPr>
              <w:t xml:space="preserve">3,161,549,058 </w:t>
            </w:r>
          </w:p>
        </w:tc>
      </w:tr>
      <w:tr>
        <w:trPr>
          <w:cantSplit/>
          <w:jc w:val="center"/>
        </w:trPr>
        <w:tc>
          <w:tcPr>
            <w:tcW w:w="6672" w:type="dxa"/>
            <w:gridSpan w:val="2"/>
            <w:vAlign w:val="center"/>
          </w:tcPr>
          <w:p>
            <w:pPr>
              <w:jc w:val="both"/>
              <w:rPr>
                <w:rFonts w:ascii="宋体" w:hAnsi="宋体"/>
              </w:rPr>
            </w:pPr>
            <w:r>
              <w:rPr>
                <w:rFonts w:ascii="宋体" w:hAnsi="宋体" w:hint="eastAsia"/>
              </w:rPr>
              <w:t>香港中央结算有限公司</w:t>
            </w:r>
          </w:p>
        </w:tc>
        <w:tc>
          <w:tcPr>
            <w:tcW w:w="3671" w:type="dxa"/>
            <w:gridSpan w:val="3"/>
            <w:vAlign w:val="center"/>
          </w:tcPr>
          <w:p>
            <w:pPr>
              <w:jc w:val="right"/>
              <w:rPr>
                <w:rFonts w:ascii="宋体" w:hAnsi="宋体"/>
              </w:rPr>
            </w:pPr>
            <w:r>
              <w:rPr>
                <w:rFonts w:ascii="宋体" w:hAnsi="宋体"/>
              </w:rPr>
              <w:t xml:space="preserve">75,170,788 </w:t>
            </w:r>
          </w:p>
        </w:tc>
        <w:sdt>
          <w:sdtPr>
            <w:rPr>
              <w:rFonts w:ascii="宋体" w:hAnsi="宋体"/>
              <w:bCs/>
            </w:rPr>
            <w:alias w:val="前十名无限售条件股东期末持有流通股的种类"/>
            <w:tag w:val="_GBC_b35ef493948141e0b9d0c3fd14aad59a"/>
            <w:id w:val="65295920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75,170,788 </w:t>
            </w:r>
          </w:p>
        </w:tc>
      </w:tr>
      <w:tr>
        <w:trPr>
          <w:cantSplit/>
          <w:jc w:val="center"/>
        </w:trPr>
        <w:tc>
          <w:tcPr>
            <w:tcW w:w="6672" w:type="dxa"/>
            <w:gridSpan w:val="2"/>
            <w:vAlign w:val="center"/>
          </w:tcPr>
          <w:p>
            <w:pPr>
              <w:jc w:val="both"/>
              <w:rPr>
                <w:rFonts w:ascii="宋体" w:hAnsi="宋体"/>
              </w:rPr>
            </w:pPr>
            <w:r>
              <w:rPr>
                <w:rFonts w:ascii="宋体" w:hAnsi="宋体" w:hint="eastAsia"/>
              </w:rPr>
              <w:lastRenderedPageBreak/>
              <w:t>中国工商银行股份有限公司－国泰中证煤炭交易型开放式指数证券投资基金</w:t>
            </w:r>
          </w:p>
        </w:tc>
        <w:tc>
          <w:tcPr>
            <w:tcW w:w="3671" w:type="dxa"/>
            <w:gridSpan w:val="3"/>
            <w:vAlign w:val="center"/>
          </w:tcPr>
          <w:p>
            <w:pPr>
              <w:jc w:val="right"/>
              <w:rPr>
                <w:rFonts w:ascii="宋体" w:hAnsi="宋体"/>
              </w:rPr>
            </w:pPr>
            <w:r>
              <w:rPr>
                <w:rFonts w:ascii="宋体" w:hAnsi="宋体"/>
              </w:rPr>
              <w:t xml:space="preserve">53,541,973 </w:t>
            </w:r>
          </w:p>
        </w:tc>
        <w:sdt>
          <w:sdtPr>
            <w:rPr>
              <w:rFonts w:ascii="宋体" w:hAnsi="宋体"/>
              <w:bCs/>
            </w:rPr>
            <w:alias w:val="前十名无限售条件股东期末持有流通股的种类"/>
            <w:tag w:val="_GBC_b35ef493948141e0b9d0c3fd14aad59a"/>
            <w:id w:val="4681596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53,541,973 </w:t>
            </w:r>
          </w:p>
        </w:tc>
      </w:tr>
      <w:tr>
        <w:trPr>
          <w:cantSplit/>
          <w:jc w:val="center"/>
        </w:trPr>
        <w:tc>
          <w:tcPr>
            <w:tcW w:w="6672" w:type="dxa"/>
            <w:gridSpan w:val="2"/>
            <w:vAlign w:val="center"/>
          </w:tcPr>
          <w:p>
            <w:pPr>
              <w:jc w:val="both"/>
              <w:rPr>
                <w:rFonts w:ascii="宋体" w:hAnsi="宋体"/>
              </w:rPr>
            </w:pPr>
            <w:r>
              <w:rPr>
                <w:rFonts w:ascii="宋体" w:hAnsi="宋体" w:hint="eastAsia"/>
              </w:rPr>
              <w:t>中国工商银行股份有限公司－景顺长城景盛双息收益债券型证券投资基金</w:t>
            </w:r>
          </w:p>
        </w:tc>
        <w:tc>
          <w:tcPr>
            <w:tcW w:w="3671" w:type="dxa"/>
            <w:gridSpan w:val="3"/>
            <w:vAlign w:val="center"/>
          </w:tcPr>
          <w:p>
            <w:pPr>
              <w:jc w:val="right"/>
              <w:rPr>
                <w:rFonts w:ascii="宋体" w:hAnsi="宋体"/>
              </w:rPr>
            </w:pPr>
            <w:r>
              <w:rPr>
                <w:rFonts w:ascii="宋体" w:hAnsi="宋体"/>
              </w:rPr>
              <w:t xml:space="preserve">39,557,766 </w:t>
            </w:r>
          </w:p>
        </w:tc>
        <w:sdt>
          <w:sdtPr>
            <w:rPr>
              <w:rFonts w:ascii="宋体" w:hAnsi="宋体"/>
              <w:bCs/>
            </w:rPr>
            <w:alias w:val="前十名无限售条件股东期末持有流通股的种类"/>
            <w:tag w:val="_GBC_b35ef493948141e0b9d0c3fd14aad59a"/>
            <w:id w:val="-73709629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39,557,766 </w:t>
            </w:r>
          </w:p>
        </w:tc>
      </w:tr>
      <w:tr>
        <w:trPr>
          <w:cantSplit/>
          <w:jc w:val="center"/>
        </w:trPr>
        <w:tc>
          <w:tcPr>
            <w:tcW w:w="6672" w:type="dxa"/>
            <w:gridSpan w:val="2"/>
            <w:vAlign w:val="center"/>
          </w:tcPr>
          <w:p>
            <w:pPr>
              <w:jc w:val="both"/>
              <w:rPr>
                <w:rFonts w:ascii="宋体" w:hAnsi="宋体"/>
              </w:rPr>
            </w:pPr>
            <w:r>
              <w:rPr>
                <w:rFonts w:ascii="宋体" w:hAnsi="宋体" w:hint="eastAsia"/>
              </w:rPr>
              <w:t>招商银行股份有限公司－上证红利交易型开放式指数证券投资基金</w:t>
            </w:r>
          </w:p>
        </w:tc>
        <w:tc>
          <w:tcPr>
            <w:tcW w:w="3671" w:type="dxa"/>
            <w:gridSpan w:val="3"/>
            <w:vAlign w:val="center"/>
          </w:tcPr>
          <w:p>
            <w:pPr>
              <w:jc w:val="right"/>
              <w:rPr>
                <w:rFonts w:ascii="宋体" w:hAnsi="宋体"/>
              </w:rPr>
            </w:pPr>
            <w:r>
              <w:rPr>
                <w:rFonts w:ascii="宋体" w:hAnsi="宋体"/>
              </w:rPr>
              <w:t xml:space="preserve">33,710,529 </w:t>
            </w:r>
          </w:p>
        </w:tc>
        <w:sdt>
          <w:sdtPr>
            <w:rPr>
              <w:rFonts w:ascii="宋体" w:hAnsi="宋体"/>
              <w:bCs/>
            </w:rPr>
            <w:alias w:val="前十名无限售条件股东期末持有流通股的种类"/>
            <w:tag w:val="_GBC_b35ef493948141e0b9d0c3fd14aad59a"/>
            <w:id w:val="86417523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33,710,529 </w:t>
            </w:r>
          </w:p>
        </w:tc>
      </w:tr>
      <w:tr>
        <w:trPr>
          <w:cantSplit/>
          <w:jc w:val="center"/>
        </w:trPr>
        <w:tc>
          <w:tcPr>
            <w:tcW w:w="6672" w:type="dxa"/>
            <w:gridSpan w:val="2"/>
            <w:vAlign w:val="center"/>
          </w:tcPr>
          <w:p>
            <w:pPr>
              <w:jc w:val="both"/>
              <w:rPr>
                <w:rFonts w:ascii="宋体" w:hAnsi="宋体"/>
              </w:rPr>
            </w:pPr>
            <w:r>
              <w:rPr>
                <w:rFonts w:ascii="宋体" w:hAnsi="宋体" w:hint="eastAsia"/>
              </w:rPr>
              <w:t>中国工商银行股份有限公司－华泰柏瑞沪深300交易型开放式指数证券投资基金</w:t>
            </w:r>
          </w:p>
        </w:tc>
        <w:tc>
          <w:tcPr>
            <w:tcW w:w="3671" w:type="dxa"/>
            <w:gridSpan w:val="3"/>
            <w:vAlign w:val="center"/>
          </w:tcPr>
          <w:p>
            <w:pPr>
              <w:jc w:val="right"/>
              <w:rPr>
                <w:rFonts w:ascii="宋体" w:hAnsi="宋体"/>
              </w:rPr>
            </w:pPr>
            <w:r>
              <w:rPr>
                <w:rFonts w:ascii="宋体" w:hAnsi="宋体"/>
              </w:rPr>
              <w:t xml:space="preserve">29,691,504 </w:t>
            </w:r>
          </w:p>
        </w:tc>
        <w:sdt>
          <w:sdtPr>
            <w:rPr>
              <w:rFonts w:ascii="宋体" w:hAnsi="宋体"/>
              <w:bCs/>
            </w:rPr>
            <w:alias w:val="前十名无限售条件股东期末持有流通股的种类"/>
            <w:tag w:val="_GBC_b35ef493948141e0b9d0c3fd14aad59a"/>
            <w:id w:val="-32598749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29,691,504 </w:t>
            </w:r>
          </w:p>
        </w:tc>
      </w:tr>
      <w:tr>
        <w:trPr>
          <w:cantSplit/>
          <w:jc w:val="center"/>
        </w:trPr>
        <w:tc>
          <w:tcPr>
            <w:tcW w:w="6672" w:type="dxa"/>
            <w:gridSpan w:val="2"/>
            <w:vAlign w:val="center"/>
          </w:tcPr>
          <w:p>
            <w:pPr>
              <w:jc w:val="both"/>
              <w:rPr>
                <w:rFonts w:ascii="宋体" w:hAnsi="宋体"/>
              </w:rPr>
            </w:pPr>
            <w:r>
              <w:rPr>
                <w:rFonts w:ascii="宋体" w:hAnsi="宋体" w:hint="eastAsia"/>
              </w:rPr>
              <w:t>中国建设银行股份有限公司－易方达沪深300交易型开放式指数发起式证券投资基金</w:t>
            </w:r>
          </w:p>
        </w:tc>
        <w:tc>
          <w:tcPr>
            <w:tcW w:w="3671" w:type="dxa"/>
            <w:gridSpan w:val="3"/>
            <w:vAlign w:val="center"/>
          </w:tcPr>
          <w:p>
            <w:pPr>
              <w:jc w:val="right"/>
              <w:rPr>
                <w:rFonts w:ascii="宋体" w:hAnsi="宋体"/>
              </w:rPr>
            </w:pPr>
            <w:r>
              <w:rPr>
                <w:rFonts w:ascii="宋体" w:hAnsi="宋体"/>
              </w:rPr>
              <w:t xml:space="preserve">21,070,535 </w:t>
            </w:r>
          </w:p>
        </w:tc>
        <w:sdt>
          <w:sdtPr>
            <w:rPr>
              <w:rFonts w:ascii="宋体" w:hAnsi="宋体"/>
              <w:bCs/>
            </w:rPr>
            <w:alias w:val="前十名无限售条件股东期末持有流通股的种类"/>
            <w:tag w:val="_GBC_b35ef493948141e0b9d0c3fd14aad59a"/>
            <w:id w:val="78932545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21,070,535 </w:t>
            </w:r>
          </w:p>
        </w:tc>
      </w:tr>
      <w:tr>
        <w:trPr>
          <w:cantSplit/>
          <w:jc w:val="center"/>
        </w:trPr>
        <w:tc>
          <w:tcPr>
            <w:tcW w:w="6672" w:type="dxa"/>
            <w:gridSpan w:val="2"/>
            <w:vAlign w:val="center"/>
          </w:tcPr>
          <w:p>
            <w:pPr>
              <w:jc w:val="both"/>
              <w:rPr>
                <w:rFonts w:ascii="宋体" w:hAnsi="宋体"/>
              </w:rPr>
            </w:pPr>
            <w:r>
              <w:rPr>
                <w:rFonts w:ascii="宋体" w:hAnsi="宋体" w:hint="eastAsia"/>
              </w:rPr>
              <w:t>前海人寿保险股份有限公司－分红保险产品</w:t>
            </w:r>
          </w:p>
        </w:tc>
        <w:tc>
          <w:tcPr>
            <w:tcW w:w="3671" w:type="dxa"/>
            <w:gridSpan w:val="3"/>
            <w:vAlign w:val="center"/>
          </w:tcPr>
          <w:p>
            <w:pPr>
              <w:jc w:val="right"/>
              <w:rPr>
                <w:rFonts w:ascii="宋体" w:hAnsi="宋体"/>
              </w:rPr>
            </w:pPr>
            <w:r>
              <w:rPr>
                <w:rFonts w:ascii="宋体" w:hAnsi="宋体"/>
              </w:rPr>
              <w:t xml:space="preserve">18,363,844 </w:t>
            </w:r>
          </w:p>
        </w:tc>
        <w:sdt>
          <w:sdtPr>
            <w:rPr>
              <w:rFonts w:ascii="宋体" w:hAnsi="宋体"/>
              <w:bCs/>
            </w:rPr>
            <w:alias w:val="前十名无限售条件股东期末持有流通股的种类"/>
            <w:tag w:val="_GBC_b35ef493948141e0b9d0c3fd14aad59a"/>
            <w:id w:val="-93412605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18,363,844 </w:t>
            </w:r>
          </w:p>
        </w:tc>
      </w:tr>
      <w:tr>
        <w:trPr>
          <w:cantSplit/>
          <w:jc w:val="center"/>
        </w:trPr>
        <w:tc>
          <w:tcPr>
            <w:tcW w:w="6672" w:type="dxa"/>
            <w:gridSpan w:val="2"/>
            <w:vAlign w:val="center"/>
          </w:tcPr>
          <w:p>
            <w:pPr>
              <w:jc w:val="both"/>
              <w:rPr>
                <w:rFonts w:ascii="宋体" w:hAnsi="宋体"/>
              </w:rPr>
            </w:pPr>
            <w:r>
              <w:rPr>
                <w:rFonts w:ascii="宋体" w:hAnsi="宋体" w:hint="eastAsia"/>
              </w:rPr>
              <w:t>中国人寿保险股份有限公司－传统－普通保险产品－005L－CT001沪</w:t>
            </w:r>
          </w:p>
        </w:tc>
        <w:tc>
          <w:tcPr>
            <w:tcW w:w="3671" w:type="dxa"/>
            <w:gridSpan w:val="3"/>
            <w:vAlign w:val="center"/>
          </w:tcPr>
          <w:p>
            <w:pPr>
              <w:jc w:val="right"/>
              <w:rPr>
                <w:rFonts w:ascii="宋体" w:hAnsi="宋体"/>
              </w:rPr>
            </w:pPr>
            <w:r>
              <w:rPr>
                <w:rFonts w:ascii="宋体" w:hAnsi="宋体"/>
              </w:rPr>
              <w:t xml:space="preserve">18,294,855 </w:t>
            </w:r>
          </w:p>
        </w:tc>
        <w:sdt>
          <w:sdtPr>
            <w:rPr>
              <w:rFonts w:ascii="宋体" w:hAnsi="宋体"/>
              <w:bCs/>
            </w:rPr>
            <w:alias w:val="前十名无限售条件股东期末持有流通股的种类"/>
            <w:tag w:val="_GBC_b35ef493948141e0b9d0c3fd14aad59a"/>
            <w:id w:val="-135842431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843" w:type="dxa"/>
                <w:gridSpan w:val="2"/>
                <w:vAlign w:val="center"/>
              </w:tcPr>
              <w:p>
                <w:pPr>
                  <w:jc w:val="center"/>
                  <w:rPr>
                    <w:rFonts w:ascii="宋体" w:hAnsi="宋体"/>
                    <w:bCs/>
                  </w:rPr>
                </w:pPr>
                <w:r>
                  <w:rPr>
                    <w:rFonts w:ascii="宋体" w:hAnsi="宋体"/>
                    <w:bCs/>
                  </w:rPr>
                  <w:t>人民币普通股</w:t>
                </w:r>
              </w:p>
            </w:tc>
          </w:sdtContent>
        </w:sdt>
        <w:tc>
          <w:tcPr>
            <w:tcW w:w="1984" w:type="dxa"/>
            <w:gridSpan w:val="2"/>
            <w:vAlign w:val="center"/>
          </w:tcPr>
          <w:p>
            <w:pPr>
              <w:jc w:val="right"/>
              <w:rPr>
                <w:rFonts w:ascii="宋体" w:hAnsi="宋体"/>
              </w:rPr>
            </w:pPr>
            <w:r>
              <w:rPr>
                <w:rFonts w:ascii="宋体" w:hAnsi="宋体"/>
              </w:rPr>
              <w:t xml:space="preserve">18,294,855 </w:t>
            </w:r>
          </w:p>
        </w:tc>
      </w:tr>
      <w:tr>
        <w:trPr>
          <w:cantSplit/>
          <w:jc w:val="center"/>
        </w:trPr>
        <w:tc>
          <w:tcPr>
            <w:tcW w:w="6672" w:type="dxa"/>
            <w:gridSpan w:val="2"/>
            <w:vAlign w:val="center"/>
          </w:tcPr>
          <w:p>
            <w:pPr>
              <w:rPr>
                <w:rFonts w:ascii="宋体" w:hAnsi="宋体"/>
              </w:rPr>
            </w:pPr>
            <w:r>
              <w:rPr>
                <w:rFonts w:ascii="宋体" w:hAnsi="宋体" w:hint="eastAsia"/>
              </w:rPr>
              <w:t>前十名股东中回购专户情况说明</w:t>
            </w:r>
          </w:p>
        </w:tc>
        <w:tc>
          <w:tcPr>
            <w:tcW w:w="7498" w:type="dxa"/>
            <w:gridSpan w:val="7"/>
            <w:vAlign w:val="center"/>
          </w:tcPr>
          <w:p>
            <w:pPr>
              <w:ind w:firstLineChars="200" w:firstLine="420"/>
              <w:rPr>
                <w:rFonts w:ascii="宋体" w:hAnsi="宋体"/>
              </w:rPr>
            </w:pPr>
            <w:r>
              <w:rPr>
                <w:rFonts w:ascii="宋体" w:hAnsi="宋体" w:hint="eastAsia"/>
              </w:rPr>
              <w:t>不适用。</w:t>
            </w:r>
          </w:p>
        </w:tc>
      </w:tr>
      <w:tr>
        <w:trPr>
          <w:cantSplit/>
          <w:jc w:val="center"/>
        </w:trPr>
        <w:tc>
          <w:tcPr>
            <w:tcW w:w="6672" w:type="dxa"/>
            <w:gridSpan w:val="2"/>
            <w:vAlign w:val="center"/>
          </w:tcPr>
          <w:p>
            <w:pPr>
              <w:rPr>
                <w:rFonts w:ascii="宋体" w:hAnsi="宋体"/>
              </w:rPr>
            </w:pPr>
            <w:r>
              <w:rPr>
                <w:rFonts w:ascii="宋体" w:hAnsi="宋体"/>
              </w:rPr>
              <w:t>上述股东</w:t>
            </w:r>
            <w:r>
              <w:rPr>
                <w:rFonts w:ascii="宋体" w:hAnsi="宋体" w:hint="eastAsia"/>
              </w:rPr>
              <w:t>委托表决权、受托表决权、放弃表决权</w:t>
            </w:r>
            <w:r>
              <w:rPr>
                <w:rFonts w:ascii="宋体" w:hAnsi="宋体"/>
              </w:rPr>
              <w:t>的说明</w:t>
            </w:r>
          </w:p>
        </w:tc>
        <w:tc>
          <w:tcPr>
            <w:tcW w:w="7498" w:type="dxa"/>
            <w:gridSpan w:val="7"/>
            <w:vAlign w:val="center"/>
          </w:tcPr>
          <w:p>
            <w:pPr>
              <w:ind w:firstLineChars="200" w:firstLine="420"/>
              <w:rPr>
                <w:rFonts w:ascii="宋体" w:hAnsi="宋体"/>
              </w:rPr>
            </w:pPr>
            <w:r>
              <w:rPr>
                <w:rFonts w:ascii="宋体" w:hAnsi="宋体"/>
              </w:rPr>
              <w:t>不适用</w:t>
            </w:r>
            <w:r>
              <w:rPr>
                <w:rFonts w:ascii="宋体" w:hAnsi="宋体" w:hint="eastAsia"/>
              </w:rPr>
              <w:t>。</w:t>
            </w:r>
          </w:p>
        </w:tc>
      </w:tr>
      <w:tr>
        <w:trPr>
          <w:cantSplit/>
          <w:jc w:val="center"/>
        </w:trPr>
        <w:tc>
          <w:tcPr>
            <w:tcW w:w="6672" w:type="dxa"/>
            <w:gridSpan w:val="2"/>
            <w:vAlign w:val="center"/>
          </w:tcPr>
          <w:p>
            <w:pPr>
              <w:rPr>
                <w:rFonts w:ascii="宋体" w:hAnsi="宋体"/>
              </w:rPr>
            </w:pPr>
            <w:r>
              <w:rPr>
                <w:rFonts w:ascii="宋体" w:hAnsi="宋体"/>
              </w:rPr>
              <w:t>上述股东关联关系或一致行动的说明</w:t>
            </w:r>
          </w:p>
        </w:tc>
        <w:tc>
          <w:tcPr>
            <w:tcW w:w="7498" w:type="dxa"/>
            <w:gridSpan w:val="7"/>
            <w:vAlign w:val="center"/>
          </w:tcPr>
          <w:p>
            <w:pPr>
              <w:ind w:firstLineChars="200" w:firstLine="420"/>
              <w:rPr>
                <w:rFonts w:ascii="宋体" w:hAnsi="宋体"/>
              </w:rPr>
            </w:pPr>
            <w:r>
              <w:rPr>
                <w:rFonts w:ascii="宋体" w:hAnsi="宋体" w:hint="eastAsia"/>
              </w:rPr>
              <w:t>“招商银行股份有限公司－上证红利交易型开放式指数证券投资基金”和“中国工商银行股份有限公司－华泰柏瑞沪深300交易型开放式指数证券投资基金”的基金管理人均为华泰柏瑞基金管理有限公司。</w:t>
            </w:r>
          </w:p>
          <w:p>
            <w:pPr>
              <w:ind w:firstLineChars="200" w:firstLine="420"/>
              <w:rPr>
                <w:rFonts w:ascii="宋体" w:hAnsi="宋体"/>
              </w:rPr>
            </w:pPr>
            <w:r>
              <w:rPr>
                <w:rFonts w:ascii="宋体" w:hAnsi="宋体" w:hint="eastAsia"/>
              </w:rPr>
              <w:t>除此之外，其他股东的关联关系和一致行动关系不详。</w:t>
            </w:r>
          </w:p>
        </w:tc>
      </w:tr>
      <w:tr>
        <w:trPr>
          <w:cantSplit/>
          <w:jc w:val="center"/>
        </w:trPr>
        <w:tc>
          <w:tcPr>
            <w:tcW w:w="6672" w:type="dxa"/>
            <w:gridSpan w:val="2"/>
            <w:vAlign w:val="center"/>
          </w:tcPr>
          <w:p>
            <w:pPr>
              <w:rPr>
                <w:rFonts w:ascii="宋体" w:hAnsi="宋体"/>
              </w:rPr>
            </w:pPr>
            <w:r>
              <w:rPr>
                <w:rFonts w:ascii="宋体" w:hAnsi="宋体" w:hint="eastAsia"/>
              </w:rPr>
              <w:t>表决权恢复的优先股股东及持股数量的说明</w:t>
            </w:r>
          </w:p>
        </w:tc>
        <w:tc>
          <w:tcPr>
            <w:tcW w:w="7498" w:type="dxa"/>
            <w:gridSpan w:val="7"/>
            <w:vAlign w:val="center"/>
          </w:tcPr>
          <w:p>
            <w:pPr>
              <w:ind w:firstLineChars="200" w:firstLine="420"/>
              <w:rPr>
                <w:rFonts w:ascii="宋体" w:hAnsi="宋体"/>
              </w:rPr>
            </w:pPr>
            <w:r>
              <w:rPr>
                <w:rFonts w:ascii="宋体" w:hAnsi="宋体"/>
              </w:rPr>
              <w:t>不适用</w:t>
            </w:r>
            <w:r>
              <w:rPr>
                <w:rFonts w:ascii="宋体" w:hAnsi="宋体" w:hint="eastAsia"/>
              </w:rPr>
              <w:t>。</w:t>
            </w:r>
          </w:p>
        </w:tc>
      </w:tr>
    </w:tbl>
    <w:p>
      <w:pPr>
        <w:ind w:firstLineChars="200" w:firstLine="420"/>
        <w:jc w:val="both"/>
        <w:rPr>
          <w:rFonts w:ascii="宋体" w:hAnsi="宋体"/>
        </w:rPr>
      </w:pPr>
      <w:r>
        <w:rPr>
          <w:rFonts w:ascii="宋体" w:hAnsi="宋体" w:hint="eastAsia"/>
        </w:rPr>
        <w:t>注：</w:t>
      </w:r>
    </w:p>
    <w:p>
      <w:pPr>
        <w:ind w:firstLineChars="200" w:firstLine="420"/>
        <w:jc w:val="both"/>
        <w:rPr>
          <w:rFonts w:ascii="宋体" w:hAnsi="宋体"/>
        </w:rPr>
      </w:pPr>
      <w:r>
        <w:rPr>
          <w:rFonts w:ascii="宋体" w:hAnsi="宋体" w:hint="eastAsia"/>
        </w:rPr>
        <w:t>①截至</w:t>
      </w:r>
      <w:r>
        <w:rPr>
          <w:rFonts w:ascii="宋体" w:hAnsi="宋体"/>
        </w:rPr>
        <w:t>2025年12月31日，</w:t>
      </w:r>
      <w:r>
        <w:rPr>
          <w:rFonts w:ascii="宋体" w:hAnsi="宋体" w:hint="eastAsia"/>
        </w:rPr>
        <w:t>山东能源</w:t>
      </w:r>
      <w:r>
        <w:rPr>
          <w:rFonts w:ascii="宋体" w:hAnsi="宋体"/>
        </w:rPr>
        <w:t>直接和间接持有本公司股份共5,303,899,421股，占本公司总股本的52.84%。包括：（i）</w:t>
      </w:r>
      <w:r>
        <w:rPr>
          <w:rFonts w:ascii="宋体" w:hAnsi="宋体" w:hint="eastAsia"/>
        </w:rPr>
        <w:t>通过自身账号持有公司A股4,395,142,871股</w:t>
      </w:r>
      <w:r>
        <w:rPr>
          <w:rFonts w:ascii="宋体" w:hAnsi="宋体"/>
        </w:rPr>
        <w:t>；（ii）通过</w:t>
      </w:r>
      <w:r>
        <w:rPr>
          <w:rFonts w:ascii="宋体" w:hAnsi="宋体" w:hint="eastAsia"/>
        </w:rPr>
        <w:t>兖矿集团</w:t>
      </w:r>
      <w:r>
        <w:rPr>
          <w:rFonts w:ascii="宋体" w:hAnsi="宋体"/>
        </w:rPr>
        <w:t>(香港)有限公司（“兖矿香港公司”）自身账户持有公司H股606,524,408股；（iii）通过兖矿香港公司质押专户持有公司H股302,232,142股。</w:t>
      </w:r>
    </w:p>
    <w:p>
      <w:pPr>
        <w:ind w:firstLineChars="200" w:firstLine="420"/>
        <w:jc w:val="both"/>
        <w:rPr>
          <w:rFonts w:ascii="宋体" w:hAnsi="宋体"/>
        </w:rPr>
      </w:pPr>
      <w:r>
        <w:rPr>
          <w:rFonts w:ascii="宋体" w:hAnsi="宋体" w:hint="eastAsia"/>
        </w:rPr>
        <w:t>②报告期内，因可交换债券换股价调整，山东能源通过</w:t>
      </w:r>
      <w:r>
        <w:rPr>
          <w:rFonts w:ascii="宋体" w:hAnsi="宋体"/>
        </w:rPr>
        <w:t>兖矿香港公司质押专户持有</w:t>
      </w:r>
      <w:r>
        <w:rPr>
          <w:rFonts w:ascii="宋体" w:hAnsi="宋体" w:hint="eastAsia"/>
        </w:rPr>
        <w:t>的</w:t>
      </w:r>
      <w:r>
        <w:rPr>
          <w:rFonts w:ascii="宋体" w:hAnsi="宋体"/>
        </w:rPr>
        <w:t>公司H股</w:t>
      </w:r>
      <w:r>
        <w:rPr>
          <w:rFonts w:ascii="宋体" w:hAnsi="宋体" w:hint="eastAsia"/>
        </w:rPr>
        <w:t>增加至</w:t>
      </w:r>
      <w:r>
        <w:rPr>
          <w:rFonts w:ascii="宋体" w:hAnsi="宋体"/>
        </w:rPr>
        <w:t>302,232,142股</w:t>
      </w:r>
      <w:r>
        <w:rPr>
          <w:rFonts w:ascii="宋体" w:hAnsi="宋体" w:hint="eastAsia"/>
        </w:rPr>
        <w:t>。</w:t>
      </w:r>
    </w:p>
    <w:p>
      <w:pPr>
        <w:ind w:firstLineChars="200" w:firstLine="420"/>
        <w:jc w:val="both"/>
        <w:rPr>
          <w:rFonts w:ascii="宋体" w:hAnsi="宋体"/>
        </w:rPr>
      </w:pPr>
      <w:r>
        <w:rPr>
          <w:rFonts w:ascii="宋体" w:hAnsi="宋体" w:hint="eastAsia"/>
        </w:rPr>
        <w:t>③以上“报告期末普通股股东总数”及“前</w:t>
      </w:r>
      <w:r>
        <w:rPr>
          <w:rFonts w:ascii="宋体" w:hAnsi="宋体"/>
        </w:rPr>
        <w:t>10名股东持股情况、前10名无限售条件股东持股情况”资料，是根据中国证券登记结算有限责任公司上海分公司、香港中央证券登记有限公司提供的公司股东名册编制。</w:t>
      </w:r>
    </w:p>
    <w:p>
      <w:pPr>
        <w:pStyle w:val="Style49"/>
      </w:pPr>
    </w:p>
    <w:p>
      <w:pPr>
        <w:rPr>
          <w:rFonts w:ascii="宋体" w:hAnsi="宋体"/>
        </w:rPr>
      </w:pPr>
      <w:bookmarkStart w:id="266" w:name="_Hlk155094173"/>
      <w:r>
        <w:rPr>
          <w:rFonts w:ascii="宋体" w:hAnsi="宋体"/>
        </w:rPr>
        <w:t>持</w:t>
      </w:r>
      <w:r>
        <w:rPr>
          <w:rFonts w:ascii="宋体" w:hAnsi="宋体" w:hint="eastAsia"/>
        </w:rPr>
        <w:t>股</w:t>
      </w:r>
      <w:r>
        <w:rPr>
          <w:rFonts w:ascii="宋体" w:hAnsi="宋体"/>
        </w:rPr>
        <w:t>5%以上股东、前十名股东及前十名无限售流通股股东参与转融通业务出借股份情</w:t>
      </w:r>
      <w:r>
        <w:rPr>
          <w:rFonts w:ascii="宋体" w:hAnsi="宋体" w:hint="eastAsia"/>
        </w:rPr>
        <w:t>况</w:t>
      </w:r>
    </w:p>
    <w:sdt>
      <w:sdtPr>
        <w:rPr>
          <w:rFonts w:ascii="宋体" w:hAnsi="宋体"/>
          <w:bCs/>
        </w:rPr>
        <w:alias w:val="是否适用：前十名股东参与转融通业务出借股份情况[双击切换]"/>
        <w:tag w:val="_GBC_2d74b1abb153475cb0679c2ab4305c0d"/>
        <w:id w:val="-271476938"/>
        <w:placeholder>
          <w:docPart w:val="GBC22222222222222222222222222222"/>
        </w:placeholder>
      </w:sdtPr>
      <w:sdtContent>
        <w:p>
          <w:pPr>
            <w:rPr>
              <w:rFonts w:ascii="宋体" w:hAnsi="宋体"/>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rPr>
          <w:rFonts w:ascii="宋体" w:hAnsi="宋体"/>
        </w:rPr>
      </w:pPr>
    </w:p>
    <w:p>
      <w:pPr>
        <w:rPr>
          <w:rFonts w:ascii="宋体" w:hAnsi="宋体"/>
        </w:rPr>
      </w:pPr>
      <w:bookmarkStart w:id="267" w:name="_Hlk155094189"/>
      <w:bookmarkEnd w:id="266"/>
      <w:r>
        <w:rPr>
          <w:rFonts w:ascii="宋体" w:hAnsi="宋体"/>
        </w:rPr>
        <w:t>前十名股东及前</w:t>
      </w:r>
      <w:r>
        <w:rPr>
          <w:rFonts w:ascii="宋体" w:hAnsi="宋体" w:hint="eastAsia"/>
        </w:rPr>
        <w:t>十</w:t>
      </w:r>
      <w:r>
        <w:rPr>
          <w:rFonts w:ascii="宋体" w:hAnsi="宋体"/>
        </w:rPr>
        <w:t>名无限售流通股股东因转融通出借/归还原因导致较上期发生变化</w:t>
      </w:r>
    </w:p>
    <w:sdt>
      <w:sdtPr>
        <w:rPr>
          <w:rFonts w:ascii="宋体" w:hAnsi="宋体" w:hint="eastAsia"/>
        </w:rPr>
        <w:alias w:val="是否适用：前十名股东较上期发生变化[双击切换]"/>
        <w:tag w:val="_GBC_610830f75bf04d59a67019ded47646e5"/>
        <w:id w:val="1635910136"/>
        <w:placeholder>
          <w:docPart w:val="GBC22222222222222222222222222222"/>
        </w:placeholder>
      </w:sdtPr>
      <w:sdtContent>
        <w:p>
          <w:pPr>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bookmarkEnd w:id="267"/>
    <w:p>
      <w:pPr>
        <w:pStyle w:val="Style49"/>
      </w:pPr>
      <w:r>
        <w:t>前十名有限售条件股东持股数量及限售条件</w:t>
      </w:r>
    </w:p>
    <w:sdt>
      <w:sdtPr>
        <w:rPr>
          <w:bCs/>
        </w:rPr>
        <w:alias w:val="是否适用：前十名有限售条件股东持股数量及限售条件[双击切换]"/>
        <w:tag w:val="_GBC_99ceff37849a42f4b21400880589fbc1"/>
        <w:id w:val="-591772442"/>
        <w:placeholder>
          <w:docPart w:val="GBC22222222222222222222222222222"/>
        </w:placeholder>
      </w:sdtPr>
      <w:sdtContent>
        <w:p>
          <w:pPr>
            <w:rPr>
              <w:bCs/>
            </w:rPr>
          </w:pPr>
          <w:r>
            <w:rPr>
              <w:rFonts w:ascii="宋体" w:hAnsi="宋体"/>
              <w:bCs/>
            </w:rPr>
            <w:fldChar w:fldCharType="begin"/>
          </w:r>
          <w:r>
            <w:rPr>
              <w:rFonts w:ascii="宋体" w:hAnsi="宋体"/>
              <w:bCs/>
            </w:rPr>
            <w:instrText xml:space="preserve">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pPr>
        <w:pStyle w:val="Style49"/>
      </w:pPr>
    </w:p>
    <w:p>
      <w:pPr>
        <w:pStyle w:val="3"/>
        <w:numPr>
          <w:ilvl w:val="1"/>
          <w:numId w:val="54"/>
        </w:numPr>
        <w:tabs>
          <w:tab w:val="left" w:pos="851"/>
        </w:tabs>
        <w:ind w:left="426" w:hanging="426"/>
        <w:rPr>
          <w:szCs w:val="21"/>
        </w:rPr>
      </w:pPr>
      <w:bookmarkStart w:id="268" w:name="_Hlk89352705"/>
      <w:bookmarkEnd w:id="265"/>
      <w:bookmarkEnd w:id="268"/>
      <w:r>
        <w:rPr>
          <w:rFonts w:hint="eastAsia"/>
          <w:szCs w:val="21"/>
        </w:rPr>
        <w:t>战略投资者或一般法人因配售新股成为前</w:t>
      </w:r>
      <w:r>
        <w:rPr>
          <w:rFonts w:hint="eastAsia"/>
          <w:szCs w:val="21"/>
        </w:rPr>
        <w:t>10</w:t>
      </w:r>
      <w:r>
        <w:rPr>
          <w:rFonts w:hint="eastAsia"/>
          <w:szCs w:val="21"/>
        </w:rPr>
        <w:t>名股东</w:t>
      </w:r>
    </w:p>
    <w:sdt>
      <w:sdtPr>
        <w:alias w:val="是否适用：战略投资者或一般法人因配售新股成为前10名股东[双击切换]"/>
        <w:tag w:val="_GBC_f3c63aafb8134fdcbdeb39fd33c2cd8d"/>
        <w:id w:val="1938938254"/>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ectPr>
          <w:pgSz w:w="16838" w:h="11906" w:orient="landscape"/>
          <w:pgMar w:top="1797" w:right="1525" w:bottom="1276" w:left="1440" w:header="855" w:footer="992" w:gutter="0"/>
          <w:cols w:space="425"/>
          <w:docGrid w:linePitch="312"/>
        </w:sectPr>
      </w:pPr>
    </w:p>
    <w:p>
      <w:pPr>
        <w:pStyle w:val="3"/>
        <w:numPr>
          <w:ilvl w:val="1"/>
          <w:numId w:val="54"/>
        </w:numPr>
        <w:tabs>
          <w:tab w:val="left" w:pos="851"/>
        </w:tabs>
        <w:ind w:left="426" w:hanging="426"/>
        <w:rPr>
          <w:szCs w:val="21"/>
        </w:rPr>
      </w:pPr>
      <w:r>
        <w:rPr>
          <w:rFonts w:hint="eastAsia"/>
          <w:szCs w:val="21"/>
        </w:rPr>
        <w:lastRenderedPageBreak/>
        <w:t>主要股东持有公司的股份或相关股份及</w:t>
      </w:r>
      <w:r>
        <w:rPr>
          <w:rFonts w:hint="eastAsia"/>
          <w:szCs w:val="21"/>
        </w:rPr>
        <w:t>/</w:t>
      </w:r>
      <w:r>
        <w:rPr>
          <w:rFonts w:hint="eastAsia"/>
          <w:szCs w:val="21"/>
        </w:rPr>
        <w:t>或淡仓情况</w:t>
      </w:r>
    </w:p>
    <w:p>
      <w:pPr>
        <w:ind w:firstLineChars="200" w:firstLine="420"/>
        <w:jc w:val="both"/>
        <w:rPr>
          <w:rFonts w:ascii="宋体" w:hAnsi="宋体" w:cs="宋体"/>
          <w:szCs w:val="24"/>
        </w:rPr>
      </w:pPr>
      <w:r>
        <w:rPr>
          <w:rFonts w:ascii="宋体" w:hAnsi="宋体" w:cs="宋体" w:hint="eastAsia"/>
          <w:szCs w:val="24"/>
        </w:rPr>
        <w:t>除下述披露外，据董事所知，截至</w:t>
      </w:r>
      <w:r>
        <w:rPr>
          <w:rFonts w:ascii="宋体" w:hAnsi="宋体" w:cs="宋体"/>
          <w:szCs w:val="24"/>
        </w:rPr>
        <w:t>2025</w:t>
      </w:r>
      <w:r>
        <w:rPr>
          <w:rFonts w:ascii="宋体" w:hAnsi="宋体" w:cs="宋体" w:hint="eastAsia"/>
          <w:szCs w:val="24"/>
        </w:rPr>
        <w:t>年</w:t>
      </w:r>
      <w:r>
        <w:rPr>
          <w:rFonts w:ascii="宋体" w:hAnsi="宋体" w:cs="宋体"/>
          <w:szCs w:val="24"/>
        </w:rPr>
        <w:t>12</w:t>
      </w:r>
      <w:r>
        <w:rPr>
          <w:rFonts w:ascii="宋体" w:hAnsi="宋体" w:cs="宋体" w:hint="eastAsia"/>
          <w:szCs w:val="24"/>
        </w:rPr>
        <w:t>月</w:t>
      </w:r>
      <w:r>
        <w:rPr>
          <w:rFonts w:ascii="宋体" w:hAnsi="宋体" w:cs="宋体"/>
          <w:szCs w:val="24"/>
        </w:rPr>
        <w:t>31</w:t>
      </w:r>
      <w:r>
        <w:rPr>
          <w:rFonts w:ascii="宋体" w:hAnsi="宋体" w:cs="宋体" w:hint="eastAsia"/>
          <w:szCs w:val="24"/>
        </w:rPr>
        <w:t>日，除本公司董事或最高行政人员以外，并无任何其他人士是本公司主要股东，或者在本公司的股份或相关股份中拥有符合以下条件的权益或淡仓：</w:t>
      </w:r>
      <w:r>
        <w:rPr>
          <w:rFonts w:ascii="宋体" w:hAnsi="宋体" w:cs="宋体"/>
          <w:szCs w:val="24"/>
        </w:rPr>
        <w:t>(1)</w:t>
      </w:r>
      <w:r>
        <w:rPr>
          <w:rFonts w:ascii="宋体" w:hAnsi="宋体" w:cs="宋体" w:hint="eastAsia"/>
          <w:szCs w:val="24"/>
        </w:rPr>
        <w:t>根据《证券及期货条例》第</w:t>
      </w:r>
      <w:r>
        <w:rPr>
          <w:rFonts w:ascii="宋体" w:hAnsi="宋体" w:cs="宋体"/>
          <w:szCs w:val="24"/>
        </w:rPr>
        <w:t>XV</w:t>
      </w:r>
      <w:r>
        <w:rPr>
          <w:rFonts w:ascii="宋体" w:hAnsi="宋体" w:cs="宋体" w:hint="eastAsia"/>
          <w:szCs w:val="24"/>
        </w:rPr>
        <w:t>部第</w:t>
      </w:r>
      <w:r>
        <w:rPr>
          <w:rFonts w:ascii="宋体" w:hAnsi="宋体" w:cs="宋体"/>
          <w:szCs w:val="24"/>
        </w:rPr>
        <w:t>2</w:t>
      </w:r>
      <w:r>
        <w:rPr>
          <w:rFonts w:ascii="宋体" w:hAnsi="宋体" w:cs="宋体" w:hint="eastAsia"/>
          <w:szCs w:val="24"/>
        </w:rPr>
        <w:t>及</w:t>
      </w:r>
      <w:r>
        <w:rPr>
          <w:rFonts w:ascii="宋体" w:hAnsi="宋体" w:cs="宋体"/>
          <w:szCs w:val="24"/>
        </w:rPr>
        <w:t>3</w:t>
      </w:r>
      <w:r>
        <w:rPr>
          <w:rFonts w:ascii="宋体" w:hAnsi="宋体" w:cs="宋体" w:hint="eastAsia"/>
          <w:szCs w:val="24"/>
        </w:rPr>
        <w:t>分部规定应做出披露；</w:t>
      </w:r>
      <w:r>
        <w:rPr>
          <w:rFonts w:ascii="宋体" w:hAnsi="宋体" w:cs="宋体"/>
          <w:szCs w:val="24"/>
        </w:rPr>
        <w:t>(2)</w:t>
      </w:r>
      <w:r>
        <w:rPr>
          <w:rFonts w:ascii="宋体" w:hAnsi="宋体" w:cs="宋体" w:hint="eastAsia"/>
          <w:szCs w:val="24"/>
        </w:rPr>
        <w:t>记录于本公司根据《证券及期货条例》第</w:t>
      </w:r>
      <w:r>
        <w:rPr>
          <w:rFonts w:ascii="宋体" w:hAnsi="宋体" w:cs="宋体"/>
          <w:szCs w:val="24"/>
        </w:rPr>
        <w:t>336</w:t>
      </w:r>
      <w:r>
        <w:rPr>
          <w:rFonts w:ascii="宋体" w:hAnsi="宋体" w:cs="宋体" w:hint="eastAsia"/>
          <w:szCs w:val="24"/>
        </w:rPr>
        <w:t>条而备存的登记册；或</w:t>
      </w:r>
      <w:r>
        <w:rPr>
          <w:rFonts w:ascii="宋体" w:hAnsi="宋体" w:cs="宋体"/>
          <w:szCs w:val="24"/>
        </w:rPr>
        <w:t>(3)</w:t>
      </w:r>
      <w:r>
        <w:rPr>
          <w:rFonts w:ascii="宋体" w:hAnsi="宋体" w:cs="宋体" w:hint="eastAsia"/>
          <w:szCs w:val="24"/>
        </w:rPr>
        <w:t>以其他方式知会本公司及香港联交所。</w:t>
      </w:r>
    </w:p>
    <w:tbl>
      <w:tblPr>
        <w:tblStyle w:val="111"/>
        <w:tblW w:w="9493" w:type="dxa"/>
        <w:jc w:val="center"/>
        <w:tblLayout w:type="fixed"/>
        <w:tblLook w:val="04A0" w:firstRow="1" w:lastRow="0" w:firstColumn="1" w:lastColumn="0" w:noHBand="0" w:noVBand="1"/>
      </w:tblPr>
      <w:tblGrid>
        <w:gridCol w:w="1287"/>
        <w:gridCol w:w="1695"/>
        <w:gridCol w:w="1555"/>
        <w:gridCol w:w="1695"/>
        <w:gridCol w:w="709"/>
        <w:gridCol w:w="1134"/>
        <w:gridCol w:w="1418"/>
      </w:tblGrid>
      <w:tr>
        <w:trPr>
          <w:jc w:val="center"/>
        </w:trPr>
        <w:tc>
          <w:tcPr>
            <w:tcW w:w="1287" w:type="dxa"/>
            <w:vAlign w:val="center"/>
          </w:tcPr>
          <w:p>
            <w:pPr>
              <w:jc w:val="center"/>
              <w:rPr>
                <w:rFonts w:ascii="宋体" w:hAnsi="宋体"/>
                <w:b/>
                <w:color w:val="000000"/>
              </w:rPr>
            </w:pPr>
            <w:bookmarkStart w:id="269" w:name="_Hlk100158446"/>
            <w:r>
              <w:rPr>
                <w:rFonts w:ascii="宋体" w:hAnsi="宋体" w:hint="eastAsia"/>
                <w:b/>
                <w:color w:val="000000"/>
              </w:rPr>
              <w:t>主要股东</w:t>
            </w:r>
          </w:p>
          <w:p>
            <w:pPr>
              <w:jc w:val="center"/>
              <w:rPr>
                <w:rFonts w:ascii="宋体" w:hAnsi="宋体"/>
                <w:b/>
                <w:color w:val="000000"/>
              </w:rPr>
            </w:pPr>
            <w:r>
              <w:rPr>
                <w:rFonts w:ascii="宋体" w:hAnsi="宋体" w:hint="eastAsia"/>
                <w:b/>
                <w:color w:val="000000"/>
              </w:rPr>
              <w:t>名称</w:t>
            </w:r>
          </w:p>
        </w:tc>
        <w:tc>
          <w:tcPr>
            <w:tcW w:w="1695" w:type="dxa"/>
            <w:vAlign w:val="center"/>
          </w:tcPr>
          <w:p>
            <w:pPr>
              <w:jc w:val="center"/>
              <w:rPr>
                <w:rFonts w:ascii="宋体" w:hAnsi="宋体"/>
                <w:b/>
                <w:color w:val="000000"/>
              </w:rPr>
            </w:pPr>
            <w:r>
              <w:rPr>
                <w:rFonts w:ascii="宋体" w:hAnsi="宋体" w:hint="eastAsia"/>
                <w:b/>
                <w:color w:val="000000"/>
              </w:rPr>
              <w:t>股份类别</w:t>
            </w:r>
          </w:p>
        </w:tc>
        <w:tc>
          <w:tcPr>
            <w:tcW w:w="1555" w:type="dxa"/>
            <w:vAlign w:val="center"/>
          </w:tcPr>
          <w:p>
            <w:pPr>
              <w:jc w:val="center"/>
              <w:rPr>
                <w:rFonts w:ascii="宋体" w:hAnsi="宋体"/>
                <w:b/>
                <w:color w:val="000000"/>
              </w:rPr>
            </w:pPr>
            <w:r>
              <w:rPr>
                <w:rFonts w:ascii="宋体" w:hAnsi="宋体" w:hint="eastAsia"/>
                <w:b/>
                <w:color w:val="000000"/>
              </w:rPr>
              <w:t>身份</w:t>
            </w:r>
          </w:p>
        </w:tc>
        <w:tc>
          <w:tcPr>
            <w:tcW w:w="1695" w:type="dxa"/>
            <w:vAlign w:val="center"/>
          </w:tcPr>
          <w:p>
            <w:pPr>
              <w:jc w:val="center"/>
              <w:rPr>
                <w:rFonts w:ascii="宋体" w:hAnsi="宋体"/>
                <w:b/>
                <w:color w:val="000000"/>
              </w:rPr>
            </w:pPr>
            <w:r>
              <w:rPr>
                <w:rFonts w:ascii="宋体" w:hAnsi="宋体" w:hint="eastAsia"/>
                <w:b/>
                <w:color w:val="000000"/>
              </w:rPr>
              <w:t>持有股份</w:t>
            </w:r>
          </w:p>
          <w:p>
            <w:pPr>
              <w:jc w:val="center"/>
              <w:rPr>
                <w:rFonts w:ascii="宋体" w:hAnsi="宋体"/>
                <w:b/>
                <w:color w:val="000000"/>
              </w:rPr>
            </w:pPr>
            <w:r>
              <w:rPr>
                <w:rFonts w:ascii="宋体" w:hAnsi="宋体" w:hint="eastAsia"/>
                <w:b/>
                <w:color w:val="000000"/>
              </w:rPr>
              <w:t>数目（股）</w:t>
            </w:r>
          </w:p>
        </w:tc>
        <w:tc>
          <w:tcPr>
            <w:tcW w:w="709" w:type="dxa"/>
            <w:vAlign w:val="center"/>
          </w:tcPr>
          <w:p>
            <w:pPr>
              <w:jc w:val="center"/>
              <w:rPr>
                <w:rFonts w:ascii="宋体" w:hAnsi="宋体"/>
                <w:b/>
                <w:color w:val="000000"/>
              </w:rPr>
            </w:pPr>
            <w:r>
              <w:rPr>
                <w:rFonts w:ascii="宋体" w:hAnsi="宋体" w:hint="eastAsia"/>
                <w:b/>
                <w:color w:val="000000"/>
              </w:rPr>
              <w:t>权益</w:t>
            </w:r>
          </w:p>
          <w:p>
            <w:pPr>
              <w:jc w:val="center"/>
              <w:rPr>
                <w:rFonts w:ascii="宋体" w:hAnsi="宋体"/>
                <w:b/>
                <w:color w:val="000000"/>
              </w:rPr>
            </w:pPr>
            <w:r>
              <w:rPr>
                <w:rFonts w:ascii="宋体" w:hAnsi="宋体" w:hint="eastAsia"/>
                <w:b/>
                <w:color w:val="000000"/>
              </w:rPr>
              <w:t>性质</w:t>
            </w:r>
          </w:p>
        </w:tc>
        <w:tc>
          <w:tcPr>
            <w:tcW w:w="1134" w:type="dxa"/>
            <w:vAlign w:val="center"/>
          </w:tcPr>
          <w:p>
            <w:pPr>
              <w:jc w:val="center"/>
              <w:rPr>
                <w:rFonts w:ascii="宋体" w:hAnsi="宋体"/>
                <w:b/>
                <w:color w:val="000000"/>
              </w:rPr>
            </w:pPr>
            <w:r>
              <w:rPr>
                <w:rFonts w:ascii="宋体" w:hAnsi="宋体" w:hint="eastAsia"/>
                <w:b/>
                <w:color w:val="000000"/>
              </w:rPr>
              <w:t>占公司</w:t>
            </w:r>
            <w:r>
              <w:rPr>
                <w:rFonts w:ascii="宋体" w:hAnsi="宋体"/>
                <w:b/>
                <w:color w:val="000000"/>
              </w:rPr>
              <w:t>H</w:t>
            </w:r>
            <w:r>
              <w:rPr>
                <w:rFonts w:ascii="宋体" w:hAnsi="宋体" w:hint="eastAsia"/>
                <w:b/>
                <w:color w:val="000000"/>
              </w:rPr>
              <w:t>股类别之百分比</w:t>
            </w:r>
          </w:p>
        </w:tc>
        <w:tc>
          <w:tcPr>
            <w:tcW w:w="1418" w:type="dxa"/>
            <w:vAlign w:val="center"/>
          </w:tcPr>
          <w:p>
            <w:pPr>
              <w:jc w:val="center"/>
              <w:rPr>
                <w:rFonts w:ascii="宋体" w:hAnsi="宋体"/>
                <w:b/>
                <w:color w:val="000000"/>
              </w:rPr>
            </w:pPr>
            <w:r>
              <w:rPr>
                <w:rFonts w:ascii="宋体" w:hAnsi="宋体" w:hint="eastAsia"/>
                <w:b/>
                <w:color w:val="000000"/>
              </w:rPr>
              <w:t>占公司已发行股本总数之百分比</w:t>
            </w:r>
          </w:p>
        </w:tc>
      </w:tr>
      <w:tr>
        <w:trPr>
          <w:jc w:val="center"/>
        </w:trPr>
        <w:tc>
          <w:tcPr>
            <w:tcW w:w="1287" w:type="dxa"/>
            <w:vAlign w:val="center"/>
          </w:tcPr>
          <w:p>
            <w:pPr>
              <w:jc w:val="center"/>
              <w:rPr>
                <w:rFonts w:ascii="宋体" w:hAnsi="宋体"/>
                <w:bCs/>
                <w:color w:val="000000"/>
              </w:rPr>
            </w:pPr>
            <w:r>
              <w:rPr>
                <w:rFonts w:ascii="宋体" w:hAnsi="宋体" w:hint="eastAsia"/>
                <w:color w:val="000000"/>
              </w:rPr>
              <w:t>山东能源</w:t>
            </w:r>
          </w:p>
        </w:tc>
        <w:tc>
          <w:tcPr>
            <w:tcW w:w="1695" w:type="dxa"/>
            <w:vAlign w:val="center"/>
          </w:tcPr>
          <w:p>
            <w:pPr>
              <w:jc w:val="center"/>
              <w:rPr>
                <w:rFonts w:ascii="宋体" w:hAnsi="宋体"/>
                <w:color w:val="000000"/>
              </w:rPr>
            </w:pPr>
            <w:r>
              <w:rPr>
                <w:rFonts w:ascii="宋体" w:hAnsi="宋体"/>
                <w:color w:val="000000"/>
              </w:rPr>
              <w:t>A</w:t>
            </w:r>
            <w:r>
              <w:rPr>
                <w:rFonts w:ascii="宋体" w:hAnsi="宋体" w:hint="eastAsia"/>
                <w:color w:val="000000"/>
              </w:rPr>
              <w:t>股</w:t>
            </w:r>
          </w:p>
          <w:p>
            <w:pPr>
              <w:jc w:val="center"/>
              <w:rPr>
                <w:rFonts w:ascii="宋体" w:hAnsi="宋体"/>
                <w:bCs/>
                <w:color w:val="000000"/>
              </w:rPr>
            </w:pPr>
            <w:r>
              <w:rPr>
                <w:rFonts w:ascii="宋体" w:hAnsi="宋体" w:hint="eastAsia"/>
                <w:color w:val="000000"/>
              </w:rPr>
              <w:t>（国有法人股）</w:t>
            </w:r>
          </w:p>
        </w:tc>
        <w:tc>
          <w:tcPr>
            <w:tcW w:w="1555" w:type="dxa"/>
            <w:vAlign w:val="center"/>
          </w:tcPr>
          <w:p>
            <w:pPr>
              <w:jc w:val="center"/>
              <w:rPr>
                <w:rFonts w:ascii="宋体" w:hAnsi="宋体"/>
                <w:bCs/>
                <w:color w:val="000000"/>
              </w:rPr>
            </w:pPr>
            <w:r>
              <w:rPr>
                <w:rFonts w:ascii="宋体" w:hAnsi="宋体" w:hint="eastAsia"/>
                <w:color w:val="000000"/>
              </w:rPr>
              <w:t>实益拥有人</w:t>
            </w:r>
          </w:p>
        </w:tc>
        <w:tc>
          <w:tcPr>
            <w:tcW w:w="1695" w:type="dxa"/>
            <w:vAlign w:val="center"/>
          </w:tcPr>
          <w:p>
            <w:pPr>
              <w:jc w:val="right"/>
              <w:rPr>
                <w:rFonts w:ascii="宋体" w:hAnsi="宋体"/>
              </w:rPr>
            </w:pPr>
            <w:r>
              <w:rPr>
                <w:rFonts w:ascii="宋体" w:hAnsi="宋体" w:hint="eastAsia"/>
              </w:rPr>
              <w:t>4,395,142,871</w:t>
            </w:r>
          </w:p>
        </w:tc>
        <w:tc>
          <w:tcPr>
            <w:tcW w:w="709" w:type="dxa"/>
            <w:vAlign w:val="center"/>
          </w:tcPr>
          <w:p>
            <w:pPr>
              <w:jc w:val="center"/>
              <w:rPr>
                <w:rFonts w:ascii="宋体" w:hAnsi="宋体"/>
              </w:rPr>
            </w:pPr>
            <w:r>
              <w:rPr>
                <w:rFonts w:ascii="宋体" w:hAnsi="宋体" w:hint="eastAsia"/>
              </w:rPr>
              <w:t>好仓</w:t>
            </w:r>
          </w:p>
        </w:tc>
        <w:tc>
          <w:tcPr>
            <w:tcW w:w="1134" w:type="dxa"/>
            <w:vAlign w:val="center"/>
          </w:tcPr>
          <w:p>
            <w:pPr>
              <w:jc w:val="right"/>
              <w:rPr>
                <w:rFonts w:ascii="宋体" w:hAnsi="宋体"/>
              </w:rPr>
            </w:pPr>
            <w:r>
              <w:rPr>
                <w:rFonts w:ascii="宋体" w:hAnsi="宋体" w:hint="eastAsia"/>
              </w:rPr>
              <w:t>–</w:t>
            </w:r>
          </w:p>
        </w:tc>
        <w:tc>
          <w:tcPr>
            <w:tcW w:w="1418" w:type="dxa"/>
            <w:vAlign w:val="center"/>
          </w:tcPr>
          <w:p>
            <w:pPr>
              <w:jc w:val="right"/>
              <w:rPr>
                <w:rFonts w:ascii="宋体" w:hAnsi="宋体"/>
              </w:rPr>
            </w:pPr>
            <w:r>
              <w:rPr>
                <w:rFonts w:ascii="宋体" w:hAnsi="宋体" w:hint="eastAsia"/>
              </w:rPr>
              <w:t>43.79%</w:t>
            </w:r>
          </w:p>
        </w:tc>
      </w:tr>
      <w:tr>
        <w:trPr>
          <w:jc w:val="center"/>
        </w:trPr>
        <w:tc>
          <w:tcPr>
            <w:tcW w:w="1287" w:type="dxa"/>
            <w:vMerge w:val="restart"/>
            <w:vAlign w:val="center"/>
          </w:tcPr>
          <w:p>
            <w:pPr>
              <w:jc w:val="center"/>
              <w:rPr>
                <w:rFonts w:ascii="宋体" w:hAnsi="宋体"/>
                <w:bCs/>
                <w:color w:val="000000"/>
              </w:rPr>
            </w:pPr>
            <w:r>
              <w:rPr>
                <w:rFonts w:ascii="宋体" w:hAnsi="宋体" w:hint="eastAsia"/>
                <w:color w:val="000000"/>
              </w:rPr>
              <w:t>山东能源</w:t>
            </w:r>
            <w:r>
              <w:rPr>
                <w:rFonts w:ascii="宋体" w:hAnsi="宋体" w:hint="eastAsia"/>
                <w:color w:val="000000"/>
                <w:vertAlign w:val="superscript"/>
              </w:rPr>
              <w:t>①</w:t>
            </w:r>
          </w:p>
        </w:tc>
        <w:tc>
          <w:tcPr>
            <w:tcW w:w="1695" w:type="dxa"/>
            <w:vMerge w:val="restart"/>
            <w:vAlign w:val="center"/>
          </w:tcPr>
          <w:p>
            <w:pPr>
              <w:jc w:val="center"/>
              <w:rPr>
                <w:rFonts w:ascii="宋体" w:hAnsi="宋体"/>
                <w:bCs/>
                <w:color w:val="000000"/>
              </w:rPr>
            </w:pPr>
            <w:r>
              <w:rPr>
                <w:rFonts w:ascii="宋体" w:hAnsi="宋体"/>
                <w:color w:val="000000"/>
              </w:rPr>
              <w:t>H</w:t>
            </w:r>
            <w:r>
              <w:rPr>
                <w:rFonts w:ascii="宋体" w:hAnsi="宋体" w:hint="eastAsia"/>
                <w:color w:val="000000"/>
              </w:rPr>
              <w:t>股</w:t>
            </w:r>
          </w:p>
        </w:tc>
        <w:tc>
          <w:tcPr>
            <w:tcW w:w="1555" w:type="dxa"/>
            <w:vMerge w:val="restart"/>
            <w:vAlign w:val="center"/>
          </w:tcPr>
          <w:p>
            <w:pPr>
              <w:jc w:val="center"/>
              <w:rPr>
                <w:rFonts w:ascii="宋体" w:hAnsi="宋体"/>
                <w:color w:val="000000"/>
              </w:rPr>
            </w:pPr>
            <w:r>
              <w:rPr>
                <w:rFonts w:ascii="宋体" w:hAnsi="宋体" w:hint="eastAsia"/>
                <w:color w:val="000000"/>
              </w:rPr>
              <w:t>所控制法团</w:t>
            </w:r>
          </w:p>
          <w:p>
            <w:pPr>
              <w:jc w:val="center"/>
              <w:rPr>
                <w:rFonts w:ascii="宋体" w:hAnsi="宋体"/>
                <w:bCs/>
                <w:color w:val="000000"/>
              </w:rPr>
            </w:pPr>
            <w:r>
              <w:rPr>
                <w:rFonts w:ascii="宋体" w:hAnsi="宋体" w:hint="eastAsia"/>
                <w:color w:val="000000"/>
              </w:rPr>
              <w:t>的权益</w:t>
            </w:r>
          </w:p>
        </w:tc>
        <w:tc>
          <w:tcPr>
            <w:tcW w:w="1695" w:type="dxa"/>
            <w:vAlign w:val="center"/>
          </w:tcPr>
          <w:p>
            <w:pPr>
              <w:jc w:val="right"/>
              <w:rPr>
                <w:rFonts w:ascii="宋体" w:hAnsi="宋体"/>
              </w:rPr>
            </w:pPr>
            <w:r>
              <w:rPr>
                <w:rFonts w:ascii="宋体" w:hAnsi="宋体" w:hint="eastAsia"/>
              </w:rPr>
              <w:t>908,756,550</w:t>
            </w:r>
          </w:p>
        </w:tc>
        <w:tc>
          <w:tcPr>
            <w:tcW w:w="709" w:type="dxa"/>
            <w:vAlign w:val="center"/>
          </w:tcPr>
          <w:p>
            <w:pPr>
              <w:jc w:val="center"/>
              <w:rPr>
                <w:rFonts w:ascii="宋体" w:hAnsi="宋体"/>
              </w:rPr>
            </w:pPr>
            <w:r>
              <w:rPr>
                <w:rFonts w:ascii="宋体" w:hAnsi="宋体" w:hint="eastAsia"/>
              </w:rPr>
              <w:t>好仓</w:t>
            </w:r>
          </w:p>
        </w:tc>
        <w:tc>
          <w:tcPr>
            <w:tcW w:w="1134" w:type="dxa"/>
            <w:vAlign w:val="center"/>
          </w:tcPr>
          <w:p>
            <w:pPr>
              <w:jc w:val="right"/>
              <w:rPr>
                <w:rFonts w:ascii="宋体" w:hAnsi="宋体"/>
              </w:rPr>
            </w:pPr>
            <w:r>
              <w:rPr>
                <w:rFonts w:ascii="宋体" w:hAnsi="宋体" w:hint="eastAsia"/>
              </w:rPr>
              <w:t>22.30%</w:t>
            </w:r>
          </w:p>
        </w:tc>
        <w:tc>
          <w:tcPr>
            <w:tcW w:w="1418" w:type="dxa"/>
            <w:vAlign w:val="center"/>
          </w:tcPr>
          <w:p>
            <w:pPr>
              <w:jc w:val="right"/>
              <w:rPr>
                <w:rFonts w:ascii="宋体" w:hAnsi="宋体"/>
              </w:rPr>
            </w:pPr>
            <w:r>
              <w:rPr>
                <w:rFonts w:ascii="宋体" w:hAnsi="宋体" w:hint="eastAsia"/>
              </w:rPr>
              <w:t>9.05%</w:t>
            </w:r>
          </w:p>
        </w:tc>
      </w:tr>
      <w:tr>
        <w:trPr>
          <w:jc w:val="center"/>
        </w:trPr>
        <w:tc>
          <w:tcPr>
            <w:tcW w:w="1287" w:type="dxa"/>
            <w:vMerge/>
            <w:vAlign w:val="center"/>
          </w:tcPr>
          <w:p>
            <w:pPr>
              <w:jc w:val="center"/>
              <w:rPr>
                <w:rFonts w:ascii="宋体" w:hAnsi="宋体"/>
                <w:color w:val="000000"/>
              </w:rPr>
            </w:pPr>
          </w:p>
        </w:tc>
        <w:tc>
          <w:tcPr>
            <w:tcW w:w="1695" w:type="dxa"/>
            <w:vMerge/>
            <w:vAlign w:val="center"/>
          </w:tcPr>
          <w:p>
            <w:pPr>
              <w:jc w:val="center"/>
              <w:rPr>
                <w:rFonts w:ascii="宋体" w:hAnsi="宋体"/>
                <w:color w:val="000000"/>
              </w:rPr>
            </w:pPr>
          </w:p>
        </w:tc>
        <w:tc>
          <w:tcPr>
            <w:tcW w:w="1555" w:type="dxa"/>
            <w:vMerge/>
            <w:vAlign w:val="center"/>
          </w:tcPr>
          <w:p>
            <w:pPr>
              <w:jc w:val="center"/>
              <w:rPr>
                <w:rFonts w:ascii="宋体" w:hAnsi="宋体"/>
                <w:color w:val="000000"/>
              </w:rPr>
            </w:pPr>
          </w:p>
        </w:tc>
        <w:tc>
          <w:tcPr>
            <w:tcW w:w="1695" w:type="dxa"/>
            <w:vAlign w:val="center"/>
          </w:tcPr>
          <w:p>
            <w:pPr>
              <w:jc w:val="right"/>
              <w:rPr>
                <w:rFonts w:ascii="宋体" w:hAnsi="宋体"/>
              </w:rPr>
            </w:pPr>
            <w:r>
              <w:rPr>
                <w:rFonts w:ascii="宋体" w:hAnsi="宋体" w:hint="eastAsia"/>
              </w:rPr>
              <w:t>302,232,142</w:t>
            </w:r>
          </w:p>
        </w:tc>
        <w:tc>
          <w:tcPr>
            <w:tcW w:w="709" w:type="dxa"/>
            <w:vAlign w:val="center"/>
          </w:tcPr>
          <w:p>
            <w:pPr>
              <w:jc w:val="center"/>
              <w:rPr>
                <w:rFonts w:ascii="宋体" w:hAnsi="宋体"/>
              </w:rPr>
            </w:pPr>
            <w:r>
              <w:rPr>
                <w:rFonts w:ascii="宋体" w:hAnsi="宋体" w:hint="eastAsia"/>
              </w:rPr>
              <w:t>淡仓</w:t>
            </w:r>
          </w:p>
        </w:tc>
        <w:tc>
          <w:tcPr>
            <w:tcW w:w="1134" w:type="dxa"/>
            <w:vAlign w:val="center"/>
          </w:tcPr>
          <w:p>
            <w:pPr>
              <w:jc w:val="right"/>
              <w:rPr>
                <w:rFonts w:ascii="宋体" w:hAnsi="宋体"/>
              </w:rPr>
            </w:pPr>
            <w:r>
              <w:rPr>
                <w:rFonts w:ascii="宋体" w:hAnsi="宋体" w:hint="eastAsia"/>
              </w:rPr>
              <w:t>7.42%</w:t>
            </w:r>
          </w:p>
        </w:tc>
        <w:tc>
          <w:tcPr>
            <w:tcW w:w="1418" w:type="dxa"/>
            <w:vAlign w:val="center"/>
          </w:tcPr>
          <w:p>
            <w:pPr>
              <w:jc w:val="right"/>
              <w:rPr>
                <w:rFonts w:ascii="宋体" w:hAnsi="宋体"/>
              </w:rPr>
            </w:pPr>
            <w:r>
              <w:rPr>
                <w:rFonts w:ascii="宋体" w:hAnsi="宋体" w:hint="eastAsia"/>
              </w:rPr>
              <w:t>3.01%</w:t>
            </w:r>
          </w:p>
        </w:tc>
      </w:tr>
    </w:tbl>
    <w:bookmarkEnd w:id="269"/>
    <w:p>
      <w:pPr>
        <w:ind w:firstLineChars="200" w:firstLine="420"/>
        <w:jc w:val="both"/>
        <w:rPr>
          <w:rFonts w:ascii="宋体" w:hAnsi="宋体" w:cs="宋体"/>
          <w:szCs w:val="24"/>
        </w:rPr>
      </w:pPr>
      <w:r>
        <w:rPr>
          <w:rFonts w:ascii="宋体" w:hAnsi="宋体" w:cs="宋体" w:hint="eastAsia"/>
          <w:szCs w:val="24"/>
        </w:rPr>
        <w:t>注：</w:t>
      </w:r>
    </w:p>
    <w:p>
      <w:pPr>
        <w:ind w:firstLineChars="200" w:firstLine="420"/>
        <w:jc w:val="both"/>
        <w:rPr>
          <w:rFonts w:ascii="宋体" w:hAnsi="宋体" w:cs="宋体"/>
          <w:szCs w:val="24"/>
        </w:rPr>
      </w:pPr>
      <w:r>
        <w:rPr>
          <w:rFonts w:ascii="宋体" w:hAnsi="宋体" w:cs="宋体" w:hint="eastAsia"/>
          <w:szCs w:val="24"/>
        </w:rPr>
        <w:t>①该等</w:t>
      </w:r>
      <w:r>
        <w:rPr>
          <w:rFonts w:ascii="宋体" w:hAnsi="宋体" w:cs="宋体"/>
          <w:szCs w:val="24"/>
        </w:rPr>
        <w:t>H</w:t>
      </w:r>
      <w:r>
        <w:rPr>
          <w:rFonts w:ascii="宋体" w:hAnsi="宋体" w:cs="宋体" w:hint="eastAsia"/>
          <w:szCs w:val="24"/>
        </w:rPr>
        <w:t>股是由兖矿香港公司以实益拥有人的身份持有。</w:t>
      </w:r>
    </w:p>
    <w:p>
      <w:pPr>
        <w:ind w:firstLineChars="200" w:firstLine="420"/>
        <w:jc w:val="both"/>
        <w:rPr>
          <w:rFonts w:ascii="宋体" w:hAnsi="宋体" w:cs="宋体"/>
          <w:szCs w:val="24"/>
        </w:rPr>
      </w:pPr>
      <w:r>
        <w:rPr>
          <w:rFonts w:ascii="宋体" w:hAnsi="宋体" w:cs="宋体" w:hint="eastAsia"/>
          <w:szCs w:val="24"/>
        </w:rPr>
        <w:t>②百分比数据保留至小数点后两位。</w:t>
      </w:r>
    </w:p>
    <w:p>
      <w:pPr>
        <w:ind w:firstLineChars="200" w:firstLine="420"/>
        <w:rPr>
          <w:rFonts w:ascii="宋体" w:hAnsi="宋体" w:cs="宋体"/>
          <w:szCs w:val="24"/>
        </w:rPr>
      </w:pPr>
      <w:r>
        <w:rPr>
          <w:rFonts w:ascii="宋体" w:hAnsi="宋体" w:cs="宋体" w:hint="eastAsia"/>
          <w:szCs w:val="24"/>
        </w:rPr>
        <w:t>③所披露的信息乃是基于香港联交所网站</w:t>
      </w:r>
      <w:r>
        <w:rPr>
          <w:rFonts w:ascii="宋体" w:hAnsi="宋体" w:cs="宋体"/>
          <w:szCs w:val="24"/>
        </w:rPr>
        <w:t>(www.hkexnews.hk)</w:t>
      </w:r>
      <w:bookmarkStart w:id="270" w:name="_Hlk133085934"/>
      <w:r>
        <w:rPr>
          <w:rFonts w:ascii="宋体" w:hAnsi="宋体" w:cs="宋体" w:hint="eastAsia"/>
          <w:szCs w:val="24"/>
        </w:rPr>
        <w:t>及中国证券登记结算有限责任公司上海分公司</w:t>
      </w:r>
      <w:bookmarkEnd w:id="270"/>
      <w:r>
        <w:rPr>
          <w:rFonts w:ascii="宋体" w:hAnsi="宋体" w:cs="宋体" w:hint="eastAsia"/>
          <w:szCs w:val="24"/>
        </w:rPr>
        <w:t>所提供的信息作出。</w:t>
      </w:r>
    </w:p>
    <w:p>
      <w:pPr>
        <w:pStyle w:val="Style49"/>
      </w:pPr>
    </w:p>
    <w:p>
      <w:pPr>
        <w:pStyle w:val="2"/>
        <w:numPr>
          <w:ilvl w:val="0"/>
          <w:numId w:val="50"/>
        </w:numPr>
      </w:pPr>
      <w:r>
        <w:rPr>
          <w:rFonts w:hint="eastAsia"/>
        </w:rPr>
        <w:t>控股股东及实际控制人情况</w:t>
      </w:r>
    </w:p>
    <w:p>
      <w:pPr>
        <w:pStyle w:val="3"/>
        <w:numPr>
          <w:ilvl w:val="0"/>
          <w:numId w:val="55"/>
        </w:numPr>
      </w:pPr>
      <w:r>
        <w:t>控股股东情况</w:t>
      </w:r>
    </w:p>
    <w:p>
      <w:pPr>
        <w:pStyle w:val="4"/>
        <w:ind w:left="420"/>
      </w:pPr>
      <w:r>
        <w:t>法人</w:t>
      </w:r>
    </w:p>
    <w:sdt>
      <w:sdtPr>
        <w:alias w:val="是否适用：法人_控股股东情况[双击切换]"/>
        <w:tag w:val="_GBC_eab2d7c8478645dbae996b49d203b0d9"/>
        <w:id w:val="-1931117261"/>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4"/>
        <w:tblW w:w="9049" w:type="dxa"/>
        <w:tblLayout w:type="fixed"/>
        <w:tblLook w:val="04A0" w:firstRow="1" w:lastRow="0" w:firstColumn="1" w:lastColumn="0" w:noHBand="0" w:noVBand="1"/>
      </w:tblPr>
      <w:tblGrid>
        <w:gridCol w:w="3369"/>
        <w:gridCol w:w="5680"/>
      </w:tblGrid>
      <w:tr>
        <w:trPr>
          <w:trHeight w:val="117"/>
        </w:trPr>
        <w:sdt>
          <w:sdtPr>
            <w:tag w:val="_PLD_e1d45d230e0e4c06bc451af63b51d4e2"/>
            <w:id w:val="1781135234"/>
          </w:sdtPr>
          <w:sdtContent>
            <w:tc>
              <w:tcPr>
                <w:tcW w:w="3369" w:type="dxa"/>
                <w:vAlign w:val="center"/>
              </w:tcPr>
              <w:p>
                <w:pPr>
                  <w:pStyle w:val="Style49"/>
                </w:pPr>
                <w:r>
                  <w:rPr>
                    <w:rFonts w:hint="eastAsia"/>
                  </w:rPr>
                  <w:t>名称</w:t>
                </w:r>
              </w:p>
            </w:tc>
          </w:sdtContent>
        </w:sdt>
        <w:sdt>
          <w:sdtPr>
            <w:rPr>
              <w:rFonts w:hint="eastAsia"/>
              <w:sz w:val="20"/>
              <w:szCs w:val="20"/>
            </w:rPr>
            <w:alias w:val="法人控股股东名称"/>
            <w:tag w:val="_GBC_b9697fb9b1e247b58382e6e5a1fdba0f"/>
            <w:id w:val="-1792116850"/>
          </w:sdtPr>
          <w:sdtContent>
            <w:tc>
              <w:tcPr>
                <w:tcW w:w="5680" w:type="dxa"/>
                <w:vAlign w:val="center"/>
              </w:tcPr>
              <w:p>
                <w:pPr>
                  <w:pStyle w:val="Style49"/>
                </w:pPr>
                <w:r>
                  <w:rPr>
                    <w:rFonts w:hint="eastAsia"/>
                  </w:rPr>
                  <w:t>山东能源集团有限公司</w:t>
                </w:r>
              </w:p>
            </w:tc>
          </w:sdtContent>
        </w:sdt>
      </w:tr>
      <w:tr>
        <w:trPr>
          <w:trHeight w:val="75"/>
        </w:trPr>
        <w:tc>
          <w:tcPr>
            <w:tcW w:w="3369" w:type="dxa"/>
            <w:vAlign w:val="center"/>
          </w:tcPr>
          <w:p>
            <w:pPr>
              <w:pStyle w:val="Style49"/>
            </w:pPr>
            <w:r>
              <w:rPr>
                <w:rFonts w:hint="eastAsia"/>
              </w:rPr>
              <w:t>单位负责人或法定代表人</w:t>
            </w:r>
          </w:p>
        </w:tc>
        <w:tc>
          <w:tcPr>
            <w:tcW w:w="5680"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李伟</w:t>
            </w:r>
          </w:p>
        </w:tc>
      </w:tr>
      <w:tr>
        <w:trPr>
          <w:trHeight w:val="225"/>
        </w:trPr>
        <w:tc>
          <w:tcPr>
            <w:tcW w:w="3369" w:type="dxa"/>
            <w:vAlign w:val="center"/>
          </w:tcPr>
          <w:p>
            <w:pPr>
              <w:pStyle w:val="Style49"/>
            </w:pPr>
            <w:r>
              <w:rPr>
                <w:rFonts w:hint="eastAsia"/>
              </w:rPr>
              <w:t>成立日期</w:t>
            </w:r>
          </w:p>
        </w:tc>
        <w:tc>
          <w:tcPr>
            <w:tcW w:w="5680"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1996年3月12日</w:t>
            </w:r>
          </w:p>
        </w:tc>
      </w:tr>
      <w:tr>
        <w:trPr>
          <w:trHeight w:val="150"/>
        </w:trPr>
        <w:tc>
          <w:tcPr>
            <w:tcW w:w="3369" w:type="dxa"/>
            <w:vAlign w:val="center"/>
          </w:tcPr>
          <w:p>
            <w:pPr>
              <w:pStyle w:val="Style49"/>
            </w:pPr>
            <w:r>
              <w:rPr>
                <w:rFonts w:hint="eastAsia"/>
              </w:rPr>
              <w:t>主要经营业务</w:t>
            </w:r>
          </w:p>
        </w:tc>
        <w:tc>
          <w:tcPr>
            <w:tcW w:w="5680"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矿业、电力、高端化工、高端装备制造、新能源新材料、现代物流贸易等业务。</w:t>
            </w:r>
          </w:p>
        </w:tc>
      </w:tr>
      <w:tr>
        <w:trPr>
          <w:trHeight w:val="132"/>
        </w:trPr>
        <w:tc>
          <w:tcPr>
            <w:tcW w:w="3369" w:type="dxa"/>
            <w:vAlign w:val="center"/>
          </w:tcPr>
          <w:p>
            <w:pPr>
              <w:pStyle w:val="Style49"/>
            </w:pPr>
            <w:r>
              <w:rPr>
                <w:rFonts w:hint="eastAsia"/>
              </w:rPr>
              <w:t>报告期内控股和参股的其他境内外上市公司的股权情况</w:t>
            </w:r>
          </w:p>
        </w:tc>
        <w:tc>
          <w:tcPr>
            <w:tcW w:w="5680"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请见下表。</w:t>
            </w:r>
          </w:p>
        </w:tc>
      </w:tr>
      <w:tr>
        <w:trPr>
          <w:trHeight w:val="147"/>
        </w:trPr>
        <w:tc>
          <w:tcPr>
            <w:tcW w:w="3369" w:type="dxa"/>
            <w:vAlign w:val="center"/>
          </w:tcPr>
          <w:p>
            <w:pPr>
              <w:pStyle w:val="Style49"/>
            </w:pPr>
            <w:r>
              <w:rPr>
                <w:rFonts w:hint="eastAsia"/>
              </w:rPr>
              <w:t>其他情况说明</w:t>
            </w:r>
          </w:p>
        </w:tc>
        <w:tc>
          <w:tcPr>
            <w:tcW w:w="5680"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w:t>
            </w:r>
          </w:p>
        </w:tc>
      </w:tr>
    </w:tbl>
    <w:p>
      <w:pPr>
        <w:pStyle w:val="Style49"/>
      </w:pPr>
    </w:p>
    <w:p>
      <w:pPr>
        <w:ind w:firstLineChars="200" w:firstLine="420"/>
        <w:rPr>
          <w:rFonts w:ascii="宋体" w:hAnsi="宋体" w:cs="宋体"/>
          <w:szCs w:val="24"/>
        </w:rPr>
      </w:pPr>
      <w:r>
        <w:rPr>
          <w:rFonts w:ascii="宋体" w:hAnsi="宋体" w:cs="宋体" w:hint="eastAsia"/>
          <w:szCs w:val="24"/>
        </w:rPr>
        <w:t>截至</w:t>
      </w:r>
      <w:r>
        <w:rPr>
          <w:rFonts w:ascii="宋体" w:hAnsi="宋体" w:cs="宋体"/>
          <w:szCs w:val="24"/>
        </w:rPr>
        <w:t>2025年12月31日，山东能源控股及参股的其他境内外上市公司的股权情况如下：</w:t>
      </w:r>
    </w:p>
    <w:tbl>
      <w:tblPr>
        <w:tblStyle w:val="g26111"/>
        <w:tblW w:w="7938" w:type="dxa"/>
        <w:jc w:val="center"/>
        <w:tblInd w:w="0" w:type="dxa"/>
        <w:tblLayout w:type="fixed"/>
        <w:tblLook w:val="04A0" w:firstRow="1" w:lastRow="0" w:firstColumn="1" w:lastColumn="0" w:noHBand="0" w:noVBand="1"/>
      </w:tblPr>
      <w:tblGrid>
        <w:gridCol w:w="567"/>
        <w:gridCol w:w="1701"/>
        <w:gridCol w:w="1843"/>
        <w:gridCol w:w="1417"/>
        <w:gridCol w:w="1134"/>
        <w:gridCol w:w="1276"/>
      </w:tblGrid>
      <w:tr>
        <w:trPr>
          <w:trHeight w:val="799"/>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序号</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上市公司简称</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上市交易所</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股票代码</w:t>
            </w:r>
          </w:p>
        </w:tc>
        <w:tc>
          <w:tcPr>
            <w:tcW w:w="1134"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持有量（万股）</w:t>
            </w:r>
          </w:p>
        </w:tc>
        <w:tc>
          <w:tcPr>
            <w:tcW w:w="1276"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持股比例（%）</w:t>
            </w:r>
          </w:p>
        </w:tc>
      </w:tr>
      <w:tr>
        <w:trPr>
          <w:trHeight w:val="799"/>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1</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云鼎科技</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深圳证券交易所</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cs="宋体" w:hint="eastAsia"/>
                <w:szCs w:val="28"/>
              </w:rPr>
              <w:t>000409.SZ</w:t>
            </w:r>
          </w:p>
        </w:tc>
        <w:tc>
          <w:tcPr>
            <w:tcW w:w="1134"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t>23,864</w:t>
            </w:r>
          </w:p>
        </w:tc>
        <w:tc>
          <w:tcPr>
            <w:tcW w:w="1276"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t>35.</w:t>
            </w:r>
            <w:r>
              <w:rPr>
                <w:rFonts w:hint="eastAsia"/>
              </w:rPr>
              <w:t>20</w:t>
            </w:r>
          </w:p>
        </w:tc>
      </w:tr>
      <w:tr>
        <w:trPr>
          <w:trHeight w:val="799"/>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2</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山东玻纤</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上海证券交易所</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cs="宋体" w:hint="eastAsia"/>
                <w:szCs w:val="28"/>
              </w:rPr>
              <w:t>605006.SH</w:t>
            </w:r>
          </w:p>
        </w:tc>
        <w:tc>
          <w:tcPr>
            <w:tcW w:w="1134"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hint="eastAsia"/>
              </w:rPr>
              <w:t>31</w:t>
            </w:r>
            <w:r>
              <w:t>,</w:t>
            </w:r>
            <w:r>
              <w:rPr>
                <w:rFonts w:hint="eastAsia"/>
              </w:rPr>
              <w:t>644</w:t>
            </w:r>
          </w:p>
        </w:tc>
        <w:tc>
          <w:tcPr>
            <w:tcW w:w="1276"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t>52.74</w:t>
            </w:r>
          </w:p>
        </w:tc>
      </w:tr>
      <w:tr>
        <w:trPr>
          <w:trHeight w:hRule="exact" w:val="533"/>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3</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齐翔腾达</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深圳证券交易所</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cs="宋体" w:hint="eastAsia"/>
                <w:szCs w:val="28"/>
              </w:rPr>
              <w:t>002408.SZ</w:t>
            </w:r>
          </w:p>
        </w:tc>
        <w:tc>
          <w:tcPr>
            <w:tcW w:w="1134"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rPr>
                <w:rFonts w:hint="eastAsia"/>
              </w:rPr>
              <w:t>151</w:t>
            </w:r>
            <w:r>
              <w:t>,</w:t>
            </w:r>
            <w:r>
              <w:rPr>
                <w:rFonts w:hint="eastAsia"/>
              </w:rPr>
              <w:t>196</w:t>
            </w:r>
            <w: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t>53.1</w:t>
            </w:r>
            <w:r>
              <w:rPr>
                <w:rFonts w:hint="eastAsia"/>
              </w:rPr>
              <w:t>8</w:t>
            </w:r>
          </w:p>
        </w:tc>
      </w:tr>
      <w:tr>
        <w:trPr>
          <w:trHeight w:hRule="exact" w:val="530"/>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4</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新风光</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上海证券交易所</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cs="宋体" w:hint="eastAsia"/>
                <w:szCs w:val="28"/>
              </w:rPr>
              <w:t>688663.SH</w:t>
            </w:r>
          </w:p>
        </w:tc>
        <w:tc>
          <w:tcPr>
            <w:tcW w:w="1134"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rPr>
                <w:rFonts w:hint="eastAsia"/>
              </w:rPr>
              <w:t>5</w:t>
            </w:r>
            <w:r>
              <w:t>,</w:t>
            </w:r>
            <w:r>
              <w:rPr>
                <w:rFonts w:hint="eastAsia"/>
              </w:rPr>
              <w:t>35</w:t>
            </w:r>
            <w:r>
              <w:t>3</w:t>
            </w:r>
          </w:p>
        </w:tc>
        <w:tc>
          <w:tcPr>
            <w:tcW w:w="1276"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rPr>
                <w:rFonts w:hint="eastAsia"/>
              </w:rPr>
              <w:t>37.86</w:t>
            </w:r>
          </w:p>
        </w:tc>
      </w:tr>
      <w:tr>
        <w:trPr>
          <w:trHeight w:hRule="exact" w:val="530"/>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5</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中泰证券</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上海证券交易所</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cs="宋体" w:hint="eastAsia"/>
                <w:szCs w:val="28"/>
              </w:rPr>
              <w:t>600918.SH</w:t>
            </w:r>
          </w:p>
        </w:tc>
        <w:tc>
          <w:tcPr>
            <w:tcW w:w="1134"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rPr>
                <w:rFonts w:hint="eastAsia"/>
              </w:rPr>
              <w:t xml:space="preserve"> 287</w:t>
            </w:r>
            <w:r>
              <w:t>,</w:t>
            </w:r>
            <w:r>
              <w:rPr>
                <w:rFonts w:hint="eastAsia"/>
              </w:rPr>
              <w:t>478</w:t>
            </w:r>
          </w:p>
        </w:tc>
        <w:tc>
          <w:tcPr>
            <w:tcW w:w="1276"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t>36.</w:t>
            </w:r>
            <w:r>
              <w:rPr>
                <w:rFonts w:hint="eastAsia"/>
              </w:rPr>
              <w:t>31</w:t>
            </w:r>
          </w:p>
        </w:tc>
      </w:tr>
      <w:tr>
        <w:trPr>
          <w:trHeight w:hRule="exact" w:val="530"/>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lastRenderedPageBreak/>
              <w:t>6</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日照港</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上海证券交易所</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cs="宋体" w:hint="eastAsia"/>
                <w:szCs w:val="28"/>
              </w:rPr>
              <w:t>600017.SH</w:t>
            </w:r>
          </w:p>
        </w:tc>
        <w:tc>
          <w:tcPr>
            <w:tcW w:w="1134"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rPr>
                <w:rFonts w:hint="eastAsia"/>
              </w:rPr>
              <w:t>13</w:t>
            </w:r>
            <w:r>
              <w:t>,</w:t>
            </w:r>
            <w:r>
              <w:rPr>
                <w:rFonts w:hint="eastAsia"/>
              </w:rPr>
              <w:t>850</w:t>
            </w:r>
            <w: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t>4.50</w:t>
            </w:r>
          </w:p>
        </w:tc>
      </w:tr>
      <w:tr>
        <w:trPr>
          <w:trHeight w:hRule="exact" w:val="530"/>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szCs w:val="28"/>
              </w:rPr>
              <w:t>7</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日照港裕廊</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香港联合交易所有限公司</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cs="宋体" w:hint="eastAsia"/>
                <w:szCs w:val="28"/>
              </w:rPr>
              <w:t>06117.HK</w:t>
            </w:r>
          </w:p>
        </w:tc>
        <w:tc>
          <w:tcPr>
            <w:tcW w:w="1134"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rPr>
                <w:rFonts w:hint="eastAsia"/>
              </w:rPr>
              <w:t>5,000</w:t>
            </w:r>
          </w:p>
        </w:tc>
        <w:tc>
          <w:tcPr>
            <w:tcW w:w="1276"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rPr>
                <w:rFonts w:hint="eastAsia"/>
              </w:rPr>
              <w:t>3.01</w:t>
            </w:r>
          </w:p>
        </w:tc>
      </w:tr>
      <w:tr>
        <w:trPr>
          <w:trHeight w:hRule="exact" w:val="530"/>
          <w:jc w:val="center"/>
        </w:trPr>
        <w:tc>
          <w:tcPr>
            <w:tcW w:w="567"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szCs w:val="28"/>
              </w:rPr>
              <w:t>8</w:t>
            </w:r>
          </w:p>
        </w:tc>
        <w:tc>
          <w:tcPr>
            <w:tcW w:w="1701"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齐鲁高速</w:t>
            </w:r>
          </w:p>
        </w:tc>
        <w:tc>
          <w:tcPr>
            <w:tcW w:w="1843" w:type="dxa"/>
            <w:tcBorders>
              <w:top w:val="single" w:sz="4" w:space="0" w:color="000000"/>
              <w:left w:val="single" w:sz="4" w:space="0" w:color="000000"/>
              <w:bottom w:val="single" w:sz="4" w:space="0" w:color="000000"/>
              <w:right w:val="single" w:sz="4" w:space="0" w:color="000000"/>
            </w:tcBorders>
            <w:vAlign w:val="center"/>
          </w:tcPr>
          <w:p>
            <w:pPr>
              <w:jc w:val="center"/>
              <w:rPr>
                <w:rFonts w:cs="宋体"/>
                <w:szCs w:val="28"/>
              </w:rPr>
            </w:pPr>
            <w:r>
              <w:rPr>
                <w:rFonts w:cs="宋体" w:hint="eastAsia"/>
                <w:szCs w:val="28"/>
              </w:rPr>
              <w:t>香港联合交易所有限公司</w:t>
            </w:r>
          </w:p>
        </w:tc>
        <w:tc>
          <w:tcPr>
            <w:tcW w:w="1417" w:type="dxa"/>
            <w:tcBorders>
              <w:top w:val="single" w:sz="4" w:space="0" w:color="000000"/>
              <w:left w:val="single" w:sz="4" w:space="0" w:color="000000"/>
              <w:bottom w:val="single" w:sz="4" w:space="0" w:color="000000"/>
              <w:right w:val="single" w:sz="4" w:space="0" w:color="000000"/>
            </w:tcBorders>
            <w:vAlign w:val="center"/>
          </w:tcPr>
          <w:p>
            <w:pPr>
              <w:jc w:val="right"/>
              <w:rPr>
                <w:rFonts w:cs="宋体"/>
                <w:szCs w:val="28"/>
              </w:rPr>
            </w:pPr>
            <w:r>
              <w:rPr>
                <w:rFonts w:cs="宋体" w:hint="eastAsia"/>
                <w:szCs w:val="28"/>
              </w:rPr>
              <w:t>01576.HK</w:t>
            </w:r>
          </w:p>
        </w:tc>
        <w:tc>
          <w:tcPr>
            <w:tcW w:w="1134"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t xml:space="preserve">4,051 </w:t>
            </w:r>
          </w:p>
        </w:tc>
        <w:tc>
          <w:tcPr>
            <w:tcW w:w="1276" w:type="dxa"/>
            <w:tcBorders>
              <w:top w:val="single" w:sz="4" w:space="0" w:color="000000"/>
              <w:left w:val="single" w:sz="4" w:space="0" w:color="000000"/>
              <w:bottom w:val="single" w:sz="4" w:space="0" w:color="000000"/>
              <w:right w:val="single" w:sz="4" w:space="0" w:color="000000"/>
            </w:tcBorders>
            <w:vAlign w:val="center"/>
          </w:tcPr>
          <w:p>
            <w:pPr>
              <w:autoSpaceDE w:val="0"/>
              <w:autoSpaceDN w:val="0"/>
              <w:adjustRightInd w:val="0"/>
              <w:snapToGrid w:val="0"/>
              <w:jc w:val="right"/>
            </w:pPr>
            <w:r>
              <w:t>2.03</w:t>
            </w:r>
          </w:p>
        </w:tc>
      </w:tr>
    </w:tbl>
    <w:p>
      <w:pPr>
        <w:pStyle w:val="Style49"/>
      </w:pPr>
    </w:p>
    <w:p>
      <w:pPr>
        <w:pStyle w:val="3"/>
        <w:numPr>
          <w:ilvl w:val="0"/>
          <w:numId w:val="55"/>
        </w:numPr>
      </w:pPr>
      <w:r>
        <w:rPr>
          <w:rFonts w:hint="eastAsia"/>
        </w:rPr>
        <w:t>实际控制人情况</w:t>
      </w:r>
    </w:p>
    <w:p>
      <w:pPr>
        <w:pStyle w:val="4"/>
        <w:numPr>
          <w:ilvl w:val="0"/>
          <w:numId w:val="56"/>
        </w:numPr>
      </w:pPr>
      <w:r>
        <w:rPr>
          <w:rFonts w:hint="eastAsia"/>
        </w:rPr>
        <w:t>法人</w:t>
      </w:r>
    </w:p>
    <w:sdt>
      <w:sdtPr>
        <w:alias w:val="是否适用：法人_实际控制人情况[双击切换]"/>
        <w:tag w:val="_GBC_6cb3195cd6c545489bd6151d0ee57d58"/>
        <w:id w:val="-663081726"/>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4"/>
      </w:tblGrid>
      <w:tr>
        <w:trPr>
          <w:trHeight w:val="90"/>
        </w:trPr>
        <w:sdt>
          <w:sdtPr>
            <w:rPr>
              <w:rFonts w:hint="eastAsia"/>
              <w:sz w:val="20"/>
              <w:szCs w:val="20"/>
            </w:rPr>
            <w:alias w:val="法人实际控制人名称"/>
            <w:tag w:val="_GBC_09078fe67bb948e3b338136f227f90f6"/>
            <w:id w:val="-47003134"/>
          </w:sdtPr>
          <w:sdtContent>
            <w:tc>
              <w:tcPr>
                <w:tcW w:w="5644" w:type="dxa"/>
                <w:vAlign w:val="center"/>
              </w:tcPr>
              <w:p>
                <w:pPr>
                  <w:pStyle w:val="Style49"/>
                </w:pPr>
                <w:r>
                  <w:rPr>
                    <w:rFonts w:hint="eastAsia"/>
                  </w:rPr>
                  <w:t>山东省人民政府国有资产监督管理委员会</w:t>
                </w:r>
              </w:p>
            </w:tc>
          </w:sdtContent>
        </w:sdt>
      </w:tr>
    </w:tbl>
    <w:p>
      <w:pPr>
        <w:pStyle w:val="Style49"/>
      </w:pPr>
    </w:p>
    <w:p>
      <w:pPr>
        <w:pStyle w:val="4"/>
        <w:numPr>
          <w:ilvl w:val="0"/>
          <w:numId w:val="56"/>
        </w:numPr>
      </w:pPr>
      <w:r>
        <w:rPr>
          <w:rFonts w:hint="eastAsia"/>
        </w:rPr>
        <w:t>公司与实际控制人之间的产权及控制关系的方框图（截至2025年12月31日）</w:t>
      </w:r>
    </w:p>
    <w:sdt>
      <w:sdtPr>
        <w:alias w:val="是否适用：公司与实际控制人之间的产权及控制关系的方框图[双击切换]"/>
        <w:tag w:val="_GBC_8ddc5ba6a04141dc94582029460f81bd"/>
        <w:id w:val="355471901"/>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sdt>
        <w:sdtPr>
          <w:rPr>
            <w:rFonts w:hint="eastAsia"/>
          </w:rPr>
          <w:alias w:val="图片：公司与实际控制人之间的产权及控制关系的方框图"/>
          <w:tag w:val="_GBC_538f0b25ae684717a3c8362262a5a004"/>
          <w:id w:val="1039475907"/>
          <w:placeholder>
            <w:docPart w:val="GBC22222222222222222222222222222"/>
          </w:placeholder>
          <w:picture/>
        </w:sdtPr>
        <w:sdtContent>
          <w:r>
            <w:rPr>
              <w:rFonts w:hint="eastAsia"/>
              <w:noProof/>
            </w:rPr>
            <w:drawing>
              <wp:inline distT="0" distB="0" distL="0" distR="0">
                <wp:extent cx="3322955" cy="206692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5"/>
                        <a:stretch>
                          <a:fillRect/>
                        </a:stretch>
                      </pic:blipFill>
                      <pic:spPr>
                        <a:xfrm>
                          <a:off x="0" y="0"/>
                          <a:ext cx="3323117" cy="2066925"/>
                        </a:xfrm>
                        <a:prstGeom prst="rect">
                          <a:avLst/>
                        </a:prstGeom>
                        <a:noFill/>
                        <a:ln>
                          <a:noFill/>
                        </a:ln>
                      </pic:spPr>
                    </pic:pic>
                  </a:graphicData>
                </a:graphic>
              </wp:inline>
            </w:drawing>
          </w:r>
        </w:sdtContent>
      </w:sdt>
    </w:p>
    <w:p>
      <w:pPr>
        <w:pStyle w:val="Style49"/>
      </w:pPr>
    </w:p>
    <w:p>
      <w:pPr>
        <w:pStyle w:val="4"/>
        <w:numPr>
          <w:ilvl w:val="0"/>
          <w:numId w:val="56"/>
        </w:num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514445401"/>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3"/>
        <w:numPr>
          <w:ilvl w:val="0"/>
          <w:numId w:val="55"/>
        </w:numPr>
      </w:pPr>
      <w:r>
        <w:t>控股股东及实际控制人其他情况介绍</w:t>
      </w:r>
    </w:p>
    <w:sdt>
      <w:sdtPr>
        <w:rPr>
          <w:rFonts w:hint="eastAsia"/>
        </w:rPr>
        <w:alias w:val="是否适用：控股股东及实际控制人其他情况介绍[双击切换]"/>
        <w:tag w:val="_GBC_f45ea2fa04e04b71a116fba6ba3bff32"/>
        <w:id w:val="314684736"/>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2"/>
        <w:numPr>
          <w:ilvl w:val="0"/>
          <w:numId w:val="50"/>
        </w:numPr>
      </w:pPr>
      <w:bookmarkStart w:id="271" w:name="_Hlk89353035"/>
      <w:r>
        <w:rPr>
          <w:rFonts w:ascii="宋体" w:hAnsi="宋体"/>
        </w:rPr>
        <w:t>公司控股股东或第一大股东及其一致行动人累计质押股份数量占其所持公司股份数量比例达到80%以上</w:t>
      </w:r>
    </w:p>
    <w:sdt>
      <w:sdtPr>
        <w:rPr>
          <w:rFonts w:hint="eastAsia"/>
        </w:rPr>
        <w:alias w:val="是否适用：公司控股股东或第一大股东及其一致行动人累计质押股份数量情况明细[双击切换]"/>
        <w:tag w:val="_GBC_f07bbd5a46a94903bbea3fbbdc7b769f"/>
        <w:id w:val="-879936385"/>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bookmarkEnd w:id="271"/>
    <w:p>
      <w:pPr>
        <w:pStyle w:val="2"/>
        <w:numPr>
          <w:ilvl w:val="0"/>
          <w:numId w:val="50"/>
        </w:numPr>
      </w:pPr>
      <w:r>
        <w:rPr>
          <w:rFonts w:hint="eastAsia"/>
        </w:rPr>
        <w:t>其他持股在百分之十以上的法人股东</w:t>
      </w:r>
    </w:p>
    <w:sdt>
      <w:sdtPr>
        <w:alias w:val="是否适用：其他持股在百分之十以上的法人股东[双击切换]"/>
        <w:tag w:val="_GBC_7c5d05f2d72d4d3c9ef6e9b93777b39f"/>
        <w:id w:val="390461935"/>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firstLineChars="200" w:firstLine="420"/>
        <w:rPr>
          <w:rFonts w:ascii="宋体" w:hAnsi="宋体"/>
        </w:rPr>
      </w:pPr>
    </w:p>
    <w:p>
      <w:pPr>
        <w:ind w:firstLineChars="200" w:firstLine="420"/>
        <w:jc w:val="both"/>
        <w:rPr>
          <w:rFonts w:ascii="宋体" w:hAnsi="宋体"/>
        </w:rPr>
      </w:pPr>
      <w:r>
        <w:rPr>
          <w:rFonts w:ascii="宋体" w:hAnsi="宋体" w:hint="eastAsia"/>
        </w:rPr>
        <w:t>香港中央结算（代理人）有限公司于202</w:t>
      </w:r>
      <w:r>
        <w:rPr>
          <w:rFonts w:ascii="宋体" w:hAnsi="宋体"/>
        </w:rPr>
        <w:t>5</w:t>
      </w:r>
      <w:r>
        <w:rPr>
          <w:rFonts w:ascii="宋体" w:hAnsi="宋体" w:hint="eastAsia"/>
        </w:rPr>
        <w:t>年12月31日持有公司H股</w:t>
      </w:r>
      <w:r>
        <w:rPr>
          <w:rFonts w:ascii="宋体" w:hAnsi="宋体"/>
        </w:rPr>
        <w:t>4,070,305,608</w:t>
      </w:r>
      <w:r>
        <w:rPr>
          <w:rFonts w:ascii="宋体" w:hAnsi="宋体" w:hint="eastAsia"/>
        </w:rPr>
        <w:t>股（含兖矿香港公司持有的公司H股9.09亿股），占公司总股本的40.</w:t>
      </w:r>
      <w:r>
        <w:rPr>
          <w:rFonts w:ascii="宋体" w:hAnsi="宋体"/>
        </w:rPr>
        <w:t>60</w:t>
      </w:r>
      <w:r>
        <w:rPr>
          <w:rFonts w:ascii="宋体" w:hAnsi="宋体" w:hint="eastAsia"/>
        </w:rPr>
        <w:t>%，乃分别代表其多个客户持有。香港中央结算（代理人）有限公司是香港中央结算及交收系统成员，为客户提供证券登记及托管业务。</w:t>
      </w:r>
    </w:p>
    <w:p>
      <w:pPr>
        <w:pStyle w:val="Style49"/>
      </w:pPr>
    </w:p>
    <w:p>
      <w:pPr>
        <w:pStyle w:val="2"/>
        <w:numPr>
          <w:ilvl w:val="0"/>
          <w:numId w:val="50"/>
        </w:numPr>
      </w:pPr>
      <w:r>
        <w:rPr>
          <w:rFonts w:hint="eastAsia"/>
        </w:rPr>
        <w:lastRenderedPageBreak/>
        <w:t>股份限制减持情况说明</w:t>
      </w:r>
    </w:p>
    <w:p>
      <w:pPr>
        <w:pStyle w:val="Style49"/>
      </w:pPr>
      <w:sdt>
        <w:sdtPr>
          <w:rPr>
            <w:rFonts w:hint="eastAsia"/>
          </w:rPr>
          <w:alias w:val="是否适用：股份限制减持情况说明[双击切换]"/>
          <w:tag w:val="_GBC_38db60098ddc4e12bffd328b521e0c35"/>
          <w:id w:val="-1568413725"/>
          <w:placeholder>
            <w:docPart w:val="GBC22222222222222222222222222222"/>
          </w:placeholder>
        </w:sdtPr>
        <w:sdtEndPr>
          <w:rPr>
            <w:rFonts w:hint="default"/>
          </w:rPr>
        </w:sdtEndPr>
        <w:sdtContent>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pStyle w:val="Style49"/>
      </w:pPr>
    </w:p>
    <w:p>
      <w:pPr>
        <w:pStyle w:val="2"/>
        <w:numPr>
          <w:ilvl w:val="0"/>
          <w:numId w:val="50"/>
        </w:numPr>
      </w:pPr>
      <w:bookmarkStart w:id="272" w:name="_Hlk89353439"/>
      <w:bookmarkStart w:id="273"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1535233372"/>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股份回购在报告期的具体实施情况"/>
          <w:tag w:val="_GBC_21792546ad004ee39a278a585bed9af7"/>
          <w:id w:val="-12296075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股份回购在报告期的具体实施情况"/>
          <w:tag w:val="_GBC_d28ce55fd5d44a2a8978fe14c4fed7a0"/>
          <w:id w:val="17048992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63"/>
        <w:tblW w:w="94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0"/>
        <w:gridCol w:w="5679"/>
      </w:tblGrid>
      <w:tr>
        <w:trPr>
          <w:trHeight w:val="102"/>
          <w:jc w:val="center"/>
        </w:trPr>
        <w:sdt>
          <w:sdtPr>
            <w:rPr>
              <w:rFonts w:ascii="宋体" w:hAnsi="宋体"/>
            </w:rPr>
            <w:tag w:val="_PLD_b8991132154646319b355a22c4f93ad1"/>
            <w:id w:val="878519546"/>
          </w:sdtPr>
          <w:sdtContent>
            <w:tc>
              <w:tcPr>
                <w:tcW w:w="3800" w:type="dxa"/>
                <w:vAlign w:val="center"/>
              </w:tcPr>
              <w:p>
                <w:pPr>
                  <w:widowControl w:val="0"/>
                  <w:jc w:val="both"/>
                  <w:rPr>
                    <w:rFonts w:ascii="宋体" w:hAnsi="宋体"/>
                  </w:rPr>
                </w:pPr>
                <w:r>
                  <w:rPr>
                    <w:rFonts w:ascii="宋体" w:hAnsi="宋体" w:hint="eastAsia"/>
                  </w:rPr>
                  <w:t>回购股份方案名称</w:t>
                </w:r>
              </w:p>
            </w:tc>
          </w:sdtContent>
        </w:sdt>
        <w:sdt>
          <w:sdtPr>
            <w:rPr>
              <w:rFonts w:ascii="宋体" w:hAnsi="宋体"/>
            </w:rPr>
            <w:alias w:val="回购股份方案名称"/>
            <w:tag w:val="_GBC_4613feedd9fa4680b4c5e8a18b0d9a89"/>
            <w:id w:val="-562942042"/>
          </w:sdtPr>
          <w:sdtContent>
            <w:tc>
              <w:tcPr>
                <w:tcW w:w="5679" w:type="dxa"/>
                <w:vAlign w:val="center"/>
              </w:tcPr>
              <w:p>
                <w:pPr>
                  <w:widowControl w:val="0"/>
                  <w:jc w:val="both"/>
                  <w:rPr>
                    <w:rFonts w:ascii="宋体" w:hAnsi="宋体"/>
                  </w:rPr>
                </w:pPr>
                <w:r>
                  <w:rPr>
                    <w:rFonts w:ascii="宋体" w:hAnsi="宋体" w:hint="eastAsia"/>
                  </w:rPr>
                  <w:t>限制性股票回购</w:t>
                </w:r>
                <w:r>
                  <w:rPr>
                    <w:rFonts w:ascii="宋体" w:hAnsi="宋体"/>
                  </w:rPr>
                  <w:t xml:space="preserve"> </w:t>
                </w:r>
              </w:p>
            </w:tc>
          </w:sdtContent>
        </w:sdt>
      </w:tr>
      <w:tr>
        <w:trPr>
          <w:trHeight w:val="102"/>
          <w:jc w:val="center"/>
        </w:trPr>
        <w:tc>
          <w:tcPr>
            <w:tcW w:w="3800" w:type="dxa"/>
            <w:vAlign w:val="center"/>
          </w:tcPr>
          <w:p>
            <w:pPr>
              <w:widowControl w:val="0"/>
              <w:jc w:val="both"/>
              <w:rPr>
                <w:rFonts w:ascii="宋体" w:hAnsi="宋体"/>
              </w:rPr>
            </w:pPr>
            <w:r>
              <w:rPr>
                <w:rFonts w:ascii="宋体" w:hAnsi="宋体" w:hint="eastAsia"/>
              </w:rPr>
              <w:t>回购股份方案披露时间</w:t>
            </w:r>
          </w:p>
        </w:tc>
        <w:tc>
          <w:tcPr>
            <w:tcW w:w="5679" w:type="dxa"/>
            <w:vAlign w:val="center"/>
          </w:tcPr>
          <w:p>
            <w:pPr>
              <w:widowControl w:val="0"/>
              <w:jc w:val="both"/>
              <w:rPr>
                <w:rFonts w:ascii="宋体" w:hAnsi="宋体"/>
              </w:rPr>
            </w:pPr>
            <w:r>
              <w:rPr>
                <w:rFonts w:ascii="宋体" w:hAnsi="宋体" w:hint="eastAsia"/>
              </w:rPr>
              <w:t>202</w:t>
            </w:r>
            <w:r>
              <w:rPr>
                <w:rFonts w:ascii="宋体" w:hAnsi="宋体"/>
              </w:rPr>
              <w:t>5</w:t>
            </w:r>
            <w:r>
              <w:rPr>
                <w:rFonts w:ascii="宋体" w:hAnsi="宋体" w:hint="eastAsia"/>
              </w:rPr>
              <w:t>年2月2</w:t>
            </w:r>
            <w:r>
              <w:rPr>
                <w:rFonts w:ascii="宋体" w:hAnsi="宋体"/>
              </w:rPr>
              <w:t>4</w:t>
            </w:r>
            <w:r>
              <w:rPr>
                <w:rFonts w:ascii="宋体" w:hAnsi="宋体" w:hint="eastAsia"/>
              </w:rPr>
              <w:t>日</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拟回购股份数量及占总股本的比例(%)</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拟以人民币</w:t>
            </w:r>
            <w:r>
              <w:rPr>
                <w:rFonts w:ascii="宋体" w:hAnsi="宋体"/>
              </w:rPr>
              <w:t>1.4033</w:t>
            </w:r>
            <w:r>
              <w:rPr>
                <w:rFonts w:ascii="宋体" w:hAnsi="宋体" w:hint="eastAsia"/>
              </w:rPr>
              <w:t>元/股回购</w:t>
            </w:r>
            <w:r>
              <w:rPr>
                <w:rFonts w:ascii="宋体" w:hAnsi="宋体"/>
              </w:rPr>
              <w:t>2,379,858</w:t>
            </w:r>
            <w:r>
              <w:rPr>
                <w:rFonts w:ascii="宋体" w:hAnsi="宋体" w:hint="eastAsia"/>
              </w:rPr>
              <w:t>股；占回购实施时总股本的比例约0.02%</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拟回购金额</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rPr>
              <w:t>427.406</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拟回购期间</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回购用途</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公司2021年A股限制性股票激励计划因部分激励对象职务调动、绩效考核等原因，对已获授但尚未解除限售的限制性股票</w:t>
            </w:r>
            <w:r>
              <w:rPr>
                <w:rFonts w:ascii="宋体" w:hAnsi="宋体"/>
              </w:rPr>
              <w:t>237.9858</w:t>
            </w:r>
            <w:r>
              <w:rPr>
                <w:rFonts w:ascii="宋体" w:hAnsi="宋体" w:hint="eastAsia"/>
              </w:rPr>
              <w:t>万股进行回购并注销</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已回购数量(股)</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于202</w:t>
            </w:r>
            <w:r>
              <w:rPr>
                <w:rFonts w:ascii="宋体" w:hAnsi="宋体"/>
              </w:rPr>
              <w:t>5</w:t>
            </w:r>
            <w:r>
              <w:rPr>
                <w:rFonts w:ascii="宋体" w:hAnsi="宋体" w:hint="eastAsia"/>
              </w:rPr>
              <w:t>年</w:t>
            </w:r>
            <w:r>
              <w:rPr>
                <w:rFonts w:ascii="宋体" w:hAnsi="宋体"/>
              </w:rPr>
              <w:t>4</w:t>
            </w:r>
            <w:r>
              <w:rPr>
                <w:rFonts w:ascii="宋体" w:hAnsi="宋体" w:hint="eastAsia"/>
              </w:rPr>
              <w:t>月</w:t>
            </w:r>
            <w:r>
              <w:rPr>
                <w:rFonts w:ascii="宋体" w:hAnsi="宋体"/>
              </w:rPr>
              <w:t>25</w:t>
            </w:r>
            <w:r>
              <w:rPr>
                <w:rFonts w:ascii="宋体" w:hAnsi="宋体" w:hint="eastAsia"/>
              </w:rPr>
              <w:t>日回购</w:t>
            </w:r>
            <w:r>
              <w:rPr>
                <w:rFonts w:ascii="宋体" w:hAnsi="宋体"/>
              </w:rPr>
              <w:t>2,379,858</w:t>
            </w:r>
            <w:r>
              <w:rPr>
                <w:rFonts w:ascii="宋体" w:hAnsi="宋体" w:hint="eastAsia"/>
              </w:rPr>
              <w:t>股</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已回购数量占股权激励计划所涉及的标的股票的比例(%)（如有）</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rPr>
              <w:t>3.85</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公司采用集中竞价交易方式减持回购股份的进展情况</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w:t>
            </w:r>
          </w:p>
        </w:tc>
      </w:tr>
    </w:tbl>
    <w:p>
      <w:pPr>
        <w:pStyle w:val="affb"/>
      </w:pPr>
    </w:p>
    <w:tbl>
      <w:tblPr>
        <w:tblStyle w:val="Style63"/>
        <w:tblW w:w="94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0"/>
        <w:gridCol w:w="5679"/>
      </w:tblGrid>
      <w:tr>
        <w:trPr>
          <w:trHeight w:val="102"/>
          <w:jc w:val="center"/>
        </w:trPr>
        <w:sdt>
          <w:sdtPr>
            <w:rPr>
              <w:rFonts w:ascii="宋体" w:hAnsi="宋体"/>
            </w:rPr>
            <w:tag w:val="_PLD_b8991132154646319b355a22c4f93ad1"/>
            <w:id w:val="1407567508"/>
          </w:sdtPr>
          <w:sdtContent>
            <w:tc>
              <w:tcPr>
                <w:tcW w:w="3800" w:type="dxa"/>
                <w:vAlign w:val="center"/>
              </w:tcPr>
              <w:p>
                <w:pPr>
                  <w:widowControl w:val="0"/>
                  <w:jc w:val="both"/>
                  <w:rPr>
                    <w:rFonts w:ascii="宋体" w:hAnsi="宋体"/>
                  </w:rPr>
                </w:pPr>
                <w:r>
                  <w:rPr>
                    <w:rFonts w:ascii="宋体" w:hAnsi="宋体" w:hint="eastAsia"/>
                  </w:rPr>
                  <w:t>回购股份方案名称</w:t>
                </w:r>
              </w:p>
            </w:tc>
          </w:sdtContent>
        </w:sdt>
        <w:sdt>
          <w:sdtPr>
            <w:rPr>
              <w:rFonts w:ascii="宋体" w:hAnsi="宋体"/>
            </w:rPr>
            <w:alias w:val="回购股份方案名称"/>
            <w:tag w:val="_GBC_4613feedd9fa4680b4c5e8a18b0d9a89"/>
            <w:id w:val="-1967729633"/>
          </w:sdtPr>
          <w:sdtContent>
            <w:tc>
              <w:tcPr>
                <w:tcW w:w="5679" w:type="dxa"/>
                <w:vAlign w:val="center"/>
              </w:tcPr>
              <w:p>
                <w:pPr>
                  <w:widowControl w:val="0"/>
                  <w:jc w:val="both"/>
                  <w:rPr>
                    <w:rFonts w:ascii="宋体" w:hAnsi="宋体"/>
                  </w:rPr>
                </w:pPr>
                <w:r>
                  <w:rPr>
                    <w:rFonts w:ascii="宋体" w:hAnsi="宋体" w:hint="eastAsia"/>
                  </w:rPr>
                  <w:t>关于以集中竞价交易方式回购股份的回购报告书</w:t>
                </w:r>
              </w:p>
            </w:tc>
          </w:sdtContent>
        </w:sdt>
      </w:tr>
      <w:tr>
        <w:trPr>
          <w:trHeight w:val="102"/>
          <w:jc w:val="center"/>
        </w:trPr>
        <w:tc>
          <w:tcPr>
            <w:tcW w:w="3800" w:type="dxa"/>
            <w:vAlign w:val="center"/>
          </w:tcPr>
          <w:p>
            <w:pPr>
              <w:widowControl w:val="0"/>
              <w:jc w:val="both"/>
              <w:rPr>
                <w:rFonts w:ascii="宋体" w:hAnsi="宋体"/>
              </w:rPr>
            </w:pPr>
            <w:r>
              <w:rPr>
                <w:rFonts w:ascii="宋体" w:hAnsi="宋体" w:hint="eastAsia"/>
              </w:rPr>
              <w:t>回购股份方案披露时间</w:t>
            </w:r>
          </w:p>
        </w:tc>
        <w:tc>
          <w:tcPr>
            <w:tcW w:w="5679" w:type="dxa"/>
            <w:vAlign w:val="center"/>
          </w:tcPr>
          <w:p>
            <w:pPr>
              <w:widowControl w:val="0"/>
              <w:jc w:val="both"/>
              <w:rPr>
                <w:rFonts w:ascii="宋体" w:hAnsi="宋体"/>
              </w:rPr>
            </w:pPr>
            <w:r>
              <w:rPr>
                <w:rFonts w:ascii="宋体" w:hAnsi="宋体" w:hint="eastAsia"/>
              </w:rPr>
              <w:t>202</w:t>
            </w:r>
            <w:r>
              <w:rPr>
                <w:rFonts w:ascii="宋体" w:hAnsi="宋体"/>
              </w:rPr>
              <w:t>5</w:t>
            </w:r>
            <w:r>
              <w:rPr>
                <w:rFonts w:ascii="宋体" w:hAnsi="宋体" w:hint="eastAsia"/>
              </w:rPr>
              <w:t>年</w:t>
            </w:r>
            <w:r>
              <w:rPr>
                <w:rFonts w:ascii="宋体" w:hAnsi="宋体"/>
              </w:rPr>
              <w:t>8</w:t>
            </w:r>
            <w:r>
              <w:rPr>
                <w:rFonts w:ascii="宋体" w:hAnsi="宋体" w:hint="eastAsia"/>
              </w:rPr>
              <w:t>月2</w:t>
            </w:r>
            <w:r>
              <w:rPr>
                <w:rFonts w:ascii="宋体" w:hAnsi="宋体"/>
              </w:rPr>
              <w:t>9</w:t>
            </w:r>
            <w:r>
              <w:rPr>
                <w:rFonts w:ascii="宋体" w:hAnsi="宋体" w:hint="eastAsia"/>
              </w:rPr>
              <w:t>日</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拟回购股份数量及占总股本的比例(%)</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拟回购金额</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A股人民币0.5-1亿元；H股人民币1.5-4亿元</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拟回购期间</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202</w:t>
            </w:r>
            <w:r>
              <w:rPr>
                <w:rFonts w:ascii="宋体" w:hAnsi="宋体"/>
              </w:rPr>
              <w:t>5</w:t>
            </w:r>
            <w:r>
              <w:rPr>
                <w:rFonts w:ascii="宋体" w:hAnsi="宋体" w:hint="eastAsia"/>
              </w:rPr>
              <w:t>年</w:t>
            </w:r>
            <w:r>
              <w:rPr>
                <w:rFonts w:ascii="宋体" w:hAnsi="宋体"/>
              </w:rPr>
              <w:t>8</w:t>
            </w:r>
            <w:r>
              <w:rPr>
                <w:rFonts w:ascii="宋体" w:hAnsi="宋体" w:hint="eastAsia"/>
              </w:rPr>
              <w:t>月2</w:t>
            </w:r>
            <w:r>
              <w:rPr>
                <w:rFonts w:ascii="宋体" w:hAnsi="宋体"/>
              </w:rPr>
              <w:t>9</w:t>
            </w:r>
            <w:r>
              <w:rPr>
                <w:rFonts w:ascii="宋体" w:hAnsi="宋体" w:hint="eastAsia"/>
              </w:rPr>
              <w:t>日-202</w:t>
            </w:r>
            <w:r>
              <w:rPr>
                <w:rFonts w:ascii="宋体" w:hAnsi="宋体"/>
              </w:rPr>
              <w:t>6</w:t>
            </w:r>
            <w:r>
              <w:rPr>
                <w:rFonts w:ascii="宋体" w:hAnsi="宋体" w:hint="eastAsia"/>
              </w:rPr>
              <w:t>年</w:t>
            </w:r>
            <w:r>
              <w:rPr>
                <w:rFonts w:ascii="宋体" w:hAnsi="宋体"/>
              </w:rPr>
              <w:t>8</w:t>
            </w:r>
            <w:r>
              <w:rPr>
                <w:rFonts w:ascii="宋体" w:hAnsi="宋体" w:hint="eastAsia"/>
              </w:rPr>
              <w:t>月2</w:t>
            </w:r>
            <w:r>
              <w:rPr>
                <w:rFonts w:ascii="宋体" w:hAnsi="宋体"/>
              </w:rPr>
              <w:t>8</w:t>
            </w:r>
            <w:r>
              <w:rPr>
                <w:rFonts w:ascii="宋体" w:hAnsi="宋体" w:hint="eastAsia"/>
              </w:rPr>
              <w:t>日</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回购用途</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回购的A股股份将作为库存股，用于公司股权激励，期限3年；若3年内股份未用于股权激励，则予以注销。回购的H股股份用于减少公司注册资本</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已回购数量(股)</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rPr>
              <w:t>0</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已回购数量占股权激励计划所涉及的标的股票的比例(%)（如有）</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rPr>
              <w:t>-</w:t>
            </w:r>
          </w:p>
        </w:tc>
      </w:tr>
      <w:tr>
        <w:trPr>
          <w:trHeight w:val="102"/>
          <w:jc w:val="center"/>
        </w:trPr>
        <w:tc>
          <w:tcPr>
            <w:tcW w:w="3800"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公司采用集中竞价交易方式减持回购股份的进展情况</w:t>
            </w:r>
          </w:p>
        </w:tc>
        <w:tc>
          <w:tcPr>
            <w:tcW w:w="5679"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rPr>
            </w:pPr>
            <w:r>
              <w:rPr>
                <w:rFonts w:ascii="宋体" w:hAnsi="宋体" w:hint="eastAsia"/>
              </w:rPr>
              <w:t>-</w:t>
            </w:r>
          </w:p>
        </w:tc>
      </w:tr>
    </w:tbl>
    <w:p>
      <w:pPr>
        <w:pStyle w:val="affb"/>
      </w:pPr>
    </w:p>
    <w:p>
      <w:pPr>
        <w:pStyle w:val="affb"/>
      </w:pPr>
    </w:p>
    <w:bookmarkEnd w:id="272"/>
    <w:bookmarkEnd w:id="273"/>
    <w:p>
      <w:pPr>
        <w:pStyle w:val="2"/>
        <w:numPr>
          <w:ilvl w:val="0"/>
          <w:numId w:val="50"/>
        </w:numPr>
      </w:pPr>
      <w:r>
        <w:rPr>
          <w:rFonts w:ascii="Calibri" w:hAnsi="Calibri" w:hint="eastAsia"/>
          <w:szCs w:val="22"/>
        </w:rPr>
        <w:t>优先股相关情况</w:t>
      </w:r>
    </w:p>
    <w:sdt>
      <w:sdtPr>
        <w:alias w:val="是否适用：优先股相关情况[双击切换]"/>
        <w:tag w:val="_GBC_0076278996ac412e9bff14977615c2e3"/>
        <w:id w:val="492916505"/>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bookmarkStart w:id="274" w:name="_Toc342566003"/>
    </w:p>
    <w:p>
      <w:pPr>
        <w:pStyle w:val="2"/>
        <w:numPr>
          <w:ilvl w:val="0"/>
          <w:numId w:val="50"/>
        </w:numPr>
      </w:pPr>
      <w:r>
        <w:rPr>
          <w:rFonts w:hint="eastAsia"/>
        </w:rPr>
        <w:t>优先购买权</w:t>
      </w:r>
    </w:p>
    <w:p>
      <w:pPr>
        <w:keepNext/>
        <w:keepLines/>
        <w:widowControl w:val="0"/>
        <w:spacing w:before="60" w:after="60"/>
        <w:ind w:left="450"/>
        <w:jc w:val="both"/>
        <w:outlineLvl w:val="1"/>
        <w:rPr>
          <w:rFonts w:ascii="Arial" w:hAnsi="Arial"/>
          <w:b/>
          <w:bCs/>
          <w:kern w:val="2"/>
        </w:rPr>
      </w:pPr>
      <w:r>
        <w:rPr>
          <w:rFonts w:ascii="宋体" w:hAnsi="宋体" w:cs="宋体" w:hint="eastAsia"/>
        </w:rPr>
        <w:t>《公司章程》及中国法规并无规定本公司须授予现有股东按其持股比例购买新股之权利。</w:t>
      </w:r>
    </w:p>
    <w:p>
      <w:pPr>
        <w:pStyle w:val="Style49"/>
      </w:pPr>
    </w:p>
    <w:p>
      <w:pPr>
        <w:pStyle w:val="Style49"/>
      </w:pPr>
      <w:r>
        <w:br w:type="page"/>
      </w:r>
    </w:p>
    <w:p>
      <w:pPr>
        <w:sectPr>
          <w:pgSz w:w="11906" w:h="16838"/>
          <w:pgMar w:top="1525" w:right="1276" w:bottom="1440" w:left="1797" w:header="855" w:footer="992" w:gutter="0"/>
          <w:cols w:space="425"/>
          <w:docGrid w:linePitch="312"/>
        </w:sectPr>
      </w:pPr>
    </w:p>
    <w:p>
      <w:pPr>
        <w:numPr>
          <w:ilvl w:val="0"/>
          <w:numId w:val="10"/>
        </w:numPr>
        <w:jc w:val="center"/>
        <w:outlineLvl w:val="0"/>
        <w:rPr>
          <w:rFonts w:ascii="黑体" w:eastAsia="黑体" w:hAnsi="黑体"/>
          <w:b/>
          <w:bCs/>
          <w:sz w:val="28"/>
          <w:szCs w:val="28"/>
        </w:rPr>
      </w:pPr>
      <w:bookmarkStart w:id="275" w:name="_Toc225175016"/>
      <w:bookmarkStart w:id="276" w:name="_Toc437440717"/>
      <w:bookmarkStart w:id="277" w:name="_Hlk218521847"/>
      <w:bookmarkStart w:id="278" w:name="_Hlk90555499"/>
      <w:bookmarkEnd w:id="274"/>
      <w:r>
        <w:rPr>
          <w:rFonts w:ascii="黑体" w:eastAsia="黑体" w:hAnsi="黑体" w:hint="eastAsia"/>
          <w:b/>
          <w:bCs/>
          <w:sz w:val="28"/>
          <w:szCs w:val="28"/>
        </w:rPr>
        <w:lastRenderedPageBreak/>
        <w:t>债券相关情况</w:t>
      </w:r>
      <w:bookmarkEnd w:id="275"/>
    </w:p>
    <w:p>
      <w:pPr>
        <w:pStyle w:val="2"/>
        <w:numPr>
          <w:ilvl w:val="0"/>
          <w:numId w:val="57"/>
        </w:numPr>
        <w:rPr>
          <w:rFonts w:ascii="宋体" w:hAnsi="宋体"/>
        </w:rPr>
      </w:pPr>
      <w:bookmarkStart w:id="279" w:name="_Hlk89353982"/>
      <w:bookmarkStart w:id="280" w:name="_Hlk89955979"/>
      <w:bookmarkStart w:id="281" w:name="_Hlk90042478"/>
      <w:bookmarkEnd w:id="276"/>
      <w:r>
        <w:rPr>
          <w:rFonts w:ascii="宋体" w:hAnsi="宋体" w:hint="eastAsia"/>
        </w:rPr>
        <w:t>公司债券（含企业债券）和非金融企业债务融资工具</w:t>
      </w:r>
    </w:p>
    <w:bookmarkStart w:id="282" w:name="_Hlk73352152" w:displacedByCustomXml="next"/>
    <w:sdt>
      <w:sdtPr>
        <w:alias w:val="是否适用：债券相关情况[双击切换]"/>
        <w:tag w:val="_GBC_804ac0b5f8c94edbbb148299204e0a43"/>
        <w:id w:val="-816948142"/>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82"/>
    <w:p>
      <w:pPr>
        <w:pStyle w:val="Style49"/>
      </w:pPr>
    </w:p>
    <w:p>
      <w:pPr>
        <w:pStyle w:val="3"/>
        <w:numPr>
          <w:ilvl w:val="0"/>
          <w:numId w:val="58"/>
        </w:numPr>
        <w:rPr>
          <w:rFonts w:ascii="宋体" w:hAnsi="宋体"/>
        </w:rPr>
      </w:pPr>
      <w:r>
        <w:rPr>
          <w:rFonts w:ascii="宋体" w:hAnsi="宋体" w:hint="eastAsia"/>
        </w:rPr>
        <w:t>公司债券（含企业债券）</w:t>
      </w:r>
    </w:p>
    <w:sdt>
      <w:sdtPr>
        <w:alias w:val="是否适用：公司债券相关情况[双击切换]"/>
        <w:tag w:val="_GBC_bcf1d09cd7a14ac8aa0f16e88665e56b"/>
        <w:id w:val="224737088"/>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p>
      <w:pPr>
        <w:pStyle w:val="4"/>
        <w:numPr>
          <w:ilvl w:val="0"/>
          <w:numId w:val="59"/>
        </w:numPr>
        <w:rPr>
          <w:rFonts w:ascii="宋体" w:hAnsi="宋体" w:cs="宋体"/>
          <w:kern w:val="0"/>
          <w:szCs w:val="21"/>
        </w:rPr>
      </w:pPr>
      <w:bookmarkStart w:id="283" w:name="_Hlk182401401"/>
      <w:bookmarkStart w:id="284" w:name="_Hlk169859080"/>
      <w:r>
        <w:rPr>
          <w:rFonts w:ascii="宋体" w:hAnsi="宋体" w:cs="宋体" w:hint="eastAsia"/>
          <w:kern w:val="0"/>
          <w:szCs w:val="21"/>
        </w:rPr>
        <w:t>公司债券基本情况</w:t>
      </w:r>
    </w:p>
    <w:p>
      <w:pPr>
        <w:jc w:val="right"/>
      </w:pPr>
      <w:r>
        <w:rPr>
          <w:rFonts w:hint="eastAsia"/>
        </w:rPr>
        <w:t>单位</w:t>
      </w:r>
      <w:r>
        <w:t>：</w:t>
      </w:r>
      <w:sdt>
        <w:sdtPr>
          <w:alias w:val="单位：财务附注：公司债券基本情况"/>
          <w:tag w:val="_GBC_0705fcbbddbd4f8db75544d8a377ec1a"/>
          <w:id w:val="-4969523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亿元</w:t>
          </w:r>
        </w:sdtContent>
      </w:sdt>
      <w:r>
        <w:rPr>
          <w:rFonts w:hint="eastAsia"/>
        </w:rPr>
        <w:t xml:space="preserve">  </w:t>
      </w:r>
      <w:r>
        <w:rPr>
          <w:rFonts w:hint="eastAsia"/>
        </w:rPr>
        <w:t>币种</w:t>
      </w:r>
      <w:r>
        <w:t>：</w:t>
      </w:r>
      <w:sdt>
        <w:sdtPr>
          <w:alias w:val="币种：财务附注：公司债券基本情况"/>
          <w:tag w:val="_GBC_fc39aa16787a449b8974814c5b87f03a"/>
          <w:id w:val="6436269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Style63"/>
        <w:tblW w:w="1530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851"/>
        <w:gridCol w:w="1275"/>
        <w:gridCol w:w="1276"/>
        <w:gridCol w:w="1276"/>
        <w:gridCol w:w="1276"/>
        <w:gridCol w:w="567"/>
        <w:gridCol w:w="850"/>
        <w:gridCol w:w="1276"/>
        <w:gridCol w:w="425"/>
        <w:gridCol w:w="425"/>
        <w:gridCol w:w="567"/>
        <w:gridCol w:w="709"/>
        <w:gridCol w:w="851"/>
        <w:gridCol w:w="850"/>
      </w:tblGrid>
      <w:tr>
        <w:trPr>
          <w:jc w:val="center"/>
        </w:trPr>
        <w:sdt>
          <w:sdtPr>
            <w:rPr>
              <w:rFonts w:ascii="宋体" w:hAnsi="宋体"/>
            </w:rPr>
            <w:tag w:val="_PLD_2bb2a7c7fde7497e901d1675e0b7ebf3"/>
            <w:id w:val="-74287757"/>
          </w:sdtPr>
          <w:sdtContent>
            <w:tc>
              <w:tcPr>
                <w:tcW w:w="1701" w:type="dxa"/>
                <w:vAlign w:val="center"/>
              </w:tcPr>
              <w:p>
                <w:pPr>
                  <w:jc w:val="center"/>
                  <w:rPr>
                    <w:rFonts w:ascii="宋体" w:hAnsi="宋体"/>
                    <w:b/>
                    <w:bCs/>
                  </w:rPr>
                </w:pPr>
                <w:r>
                  <w:rPr>
                    <w:rFonts w:ascii="宋体" w:hAnsi="宋体" w:hint="eastAsia"/>
                  </w:rPr>
                  <w:t>债券名称</w:t>
                </w:r>
              </w:p>
            </w:tc>
          </w:sdtContent>
        </w:sdt>
        <w:sdt>
          <w:sdtPr>
            <w:rPr>
              <w:rFonts w:ascii="宋体" w:hAnsi="宋体"/>
            </w:rPr>
            <w:tag w:val="_PLD_88ea7b4ea04b49888d1c8a2a334506a8"/>
            <w:id w:val="588056402"/>
          </w:sdtPr>
          <w:sdtContent>
            <w:tc>
              <w:tcPr>
                <w:tcW w:w="1134" w:type="dxa"/>
                <w:vAlign w:val="center"/>
              </w:tcPr>
              <w:p>
                <w:pPr>
                  <w:jc w:val="center"/>
                  <w:rPr>
                    <w:rFonts w:ascii="宋体" w:hAnsi="宋体"/>
                  </w:rPr>
                </w:pPr>
                <w:r>
                  <w:rPr>
                    <w:rFonts w:ascii="宋体" w:hAnsi="宋体" w:hint="eastAsia"/>
                  </w:rPr>
                  <w:t>简称</w:t>
                </w:r>
              </w:p>
            </w:tc>
          </w:sdtContent>
        </w:sdt>
        <w:sdt>
          <w:sdtPr>
            <w:rPr>
              <w:rFonts w:ascii="宋体" w:hAnsi="宋体"/>
            </w:rPr>
            <w:tag w:val="_PLD_147c1f0d90bd45318751dd1a9ad27c4b"/>
            <w:id w:val="809835044"/>
          </w:sdtPr>
          <w:sdtContent>
            <w:tc>
              <w:tcPr>
                <w:tcW w:w="851" w:type="dxa"/>
                <w:vAlign w:val="center"/>
              </w:tcPr>
              <w:p>
                <w:pPr>
                  <w:jc w:val="center"/>
                  <w:rPr>
                    <w:rFonts w:ascii="宋体" w:hAnsi="宋体"/>
                  </w:rPr>
                </w:pPr>
                <w:r>
                  <w:rPr>
                    <w:rFonts w:ascii="宋体" w:hAnsi="宋体" w:hint="eastAsia"/>
                  </w:rPr>
                  <w:t>代码</w:t>
                </w:r>
              </w:p>
            </w:tc>
          </w:sdtContent>
        </w:sdt>
        <w:sdt>
          <w:sdtPr>
            <w:rPr>
              <w:rFonts w:ascii="宋体" w:hAnsi="宋体"/>
            </w:rPr>
            <w:tag w:val="_PLD_ae8e42bef41041b7a07b2fa9a7f0d84e"/>
            <w:id w:val="782997059"/>
          </w:sdtPr>
          <w:sdtContent>
            <w:tc>
              <w:tcPr>
                <w:tcW w:w="1275" w:type="dxa"/>
                <w:vAlign w:val="center"/>
              </w:tcPr>
              <w:p>
                <w:pPr>
                  <w:jc w:val="center"/>
                  <w:rPr>
                    <w:rFonts w:ascii="宋体" w:hAnsi="宋体"/>
                  </w:rPr>
                </w:pPr>
                <w:r>
                  <w:rPr>
                    <w:rFonts w:ascii="宋体" w:hAnsi="宋体" w:hint="eastAsia"/>
                  </w:rPr>
                  <w:t>发行日</w:t>
                </w:r>
              </w:p>
            </w:tc>
          </w:sdtContent>
        </w:sdt>
        <w:tc>
          <w:tcPr>
            <w:tcW w:w="1276" w:type="dxa"/>
            <w:vAlign w:val="center"/>
          </w:tcPr>
          <w:sdt>
            <w:sdtPr>
              <w:rPr>
                <w:rFonts w:ascii="宋体" w:hAnsi="宋体"/>
              </w:rPr>
              <w:tag w:val="_PLD_efc7b9b22cac4ac3b2ac85ef184fb542"/>
              <w:id w:val="-457878631"/>
            </w:sdtPr>
            <w:sdtContent>
              <w:p>
                <w:pPr>
                  <w:jc w:val="center"/>
                  <w:rPr>
                    <w:rFonts w:ascii="宋体" w:hAnsi="宋体"/>
                  </w:rPr>
                </w:pPr>
                <w:r>
                  <w:rPr>
                    <w:rFonts w:ascii="宋体" w:hAnsi="宋体" w:hint="eastAsia"/>
                  </w:rPr>
                  <w:t>起息日</w:t>
                </w:r>
              </w:p>
            </w:sdtContent>
          </w:sdt>
        </w:tc>
        <w:sdt>
          <w:sdtPr>
            <w:rPr>
              <w:rFonts w:ascii="宋体" w:hAnsi="宋体"/>
            </w:rPr>
            <w:tag w:val="_PLD_8a366da4ec3c4bc082f7d8e3bccd9bb8"/>
            <w:id w:val="1678694130"/>
          </w:sdtPr>
          <w:sdtContent>
            <w:tc>
              <w:tcPr>
                <w:tcW w:w="1276" w:type="dxa"/>
                <w:vAlign w:val="center"/>
              </w:tcPr>
              <w:p>
                <w:pPr>
                  <w:jc w:val="center"/>
                  <w:rPr>
                    <w:rFonts w:ascii="宋体" w:hAnsi="宋体"/>
                  </w:rPr>
                </w:pPr>
                <w:r>
                  <w:rPr>
                    <w:rFonts w:ascii="宋体" w:hAnsi="宋体"/>
                  </w:rPr>
                  <w:t>202</w:t>
                </w:r>
                <w:r>
                  <w:rPr>
                    <w:rFonts w:ascii="宋体" w:hAnsi="宋体" w:hint="eastAsia"/>
                  </w:rPr>
                  <w:t>6</w:t>
                </w:r>
                <w:r>
                  <w:rPr>
                    <w:rFonts w:ascii="宋体" w:hAnsi="宋体"/>
                  </w:rPr>
                  <w:t>年</w:t>
                </w:r>
                <w:r>
                  <w:rPr>
                    <w:rFonts w:ascii="宋体" w:hAnsi="宋体" w:hint="eastAsia"/>
                  </w:rPr>
                  <w:t>4</w:t>
                </w:r>
                <w:r>
                  <w:rPr>
                    <w:rFonts w:ascii="宋体" w:hAnsi="宋体"/>
                  </w:rPr>
                  <w:t>月3</w:t>
                </w:r>
                <w:r>
                  <w:rPr>
                    <w:rFonts w:ascii="宋体" w:hAnsi="宋体" w:hint="eastAsia"/>
                  </w:rPr>
                  <w:t>0</w:t>
                </w:r>
                <w:r>
                  <w:rPr>
                    <w:rFonts w:ascii="宋体" w:hAnsi="宋体"/>
                  </w:rPr>
                  <w:t>日后的最近回售日</w:t>
                </w:r>
              </w:p>
            </w:tc>
          </w:sdtContent>
        </w:sdt>
        <w:sdt>
          <w:sdtPr>
            <w:rPr>
              <w:rFonts w:ascii="宋体" w:hAnsi="宋体"/>
            </w:rPr>
            <w:tag w:val="_PLD_102213ff267444d3acc7b4a75b09ebdc"/>
            <w:id w:val="1942035712"/>
          </w:sdtPr>
          <w:sdtContent>
            <w:tc>
              <w:tcPr>
                <w:tcW w:w="1276" w:type="dxa"/>
                <w:vAlign w:val="center"/>
              </w:tcPr>
              <w:p>
                <w:pPr>
                  <w:jc w:val="center"/>
                  <w:rPr>
                    <w:rFonts w:ascii="宋体" w:hAnsi="宋体"/>
                  </w:rPr>
                </w:pPr>
                <w:r>
                  <w:rPr>
                    <w:rFonts w:ascii="宋体" w:hAnsi="宋体" w:hint="eastAsia"/>
                  </w:rPr>
                  <w:t>到期日</w:t>
                </w:r>
              </w:p>
            </w:tc>
          </w:sdtContent>
        </w:sdt>
        <w:sdt>
          <w:sdtPr>
            <w:rPr>
              <w:rFonts w:ascii="宋体" w:hAnsi="宋体"/>
            </w:rPr>
            <w:tag w:val="_PLD_3e49225515194c07af60bddf7b49ad39"/>
            <w:id w:val="-606121197"/>
          </w:sdtPr>
          <w:sdtContent>
            <w:tc>
              <w:tcPr>
                <w:tcW w:w="567" w:type="dxa"/>
                <w:vAlign w:val="center"/>
              </w:tcPr>
              <w:p>
                <w:pPr>
                  <w:jc w:val="center"/>
                  <w:rPr>
                    <w:rFonts w:ascii="宋体" w:hAnsi="宋体"/>
                  </w:rPr>
                </w:pPr>
                <w:r>
                  <w:rPr>
                    <w:rFonts w:ascii="宋体" w:hAnsi="宋体" w:hint="eastAsia"/>
                  </w:rPr>
                  <w:t>债券余额</w:t>
                </w:r>
              </w:p>
            </w:tc>
          </w:sdtContent>
        </w:sdt>
        <w:sdt>
          <w:sdtPr>
            <w:rPr>
              <w:rFonts w:ascii="宋体" w:hAnsi="宋体"/>
            </w:rPr>
            <w:tag w:val="_PLD_e695e46581fe4bbf8a73e381c1e157f5"/>
            <w:id w:val="1193886859"/>
          </w:sdtPr>
          <w:sdtContent>
            <w:tc>
              <w:tcPr>
                <w:tcW w:w="850" w:type="dxa"/>
                <w:vAlign w:val="center"/>
              </w:tcPr>
              <w:p>
                <w:pPr>
                  <w:jc w:val="center"/>
                  <w:rPr>
                    <w:rFonts w:ascii="宋体" w:hAnsi="宋体"/>
                  </w:rPr>
                </w:pPr>
                <w:r>
                  <w:rPr>
                    <w:rFonts w:ascii="宋体" w:hAnsi="宋体" w:hint="eastAsia"/>
                  </w:rPr>
                  <w:t>利率（%）</w:t>
                </w:r>
              </w:p>
            </w:tc>
          </w:sdtContent>
        </w:sdt>
        <w:sdt>
          <w:sdtPr>
            <w:rPr>
              <w:rFonts w:ascii="宋体" w:hAnsi="宋体"/>
            </w:rPr>
            <w:tag w:val="_PLD_15521bf87f904efa857868dd98334ae5"/>
            <w:id w:val="-917161588"/>
          </w:sdtPr>
          <w:sdtContent>
            <w:tc>
              <w:tcPr>
                <w:tcW w:w="1276" w:type="dxa"/>
                <w:vAlign w:val="center"/>
              </w:tcPr>
              <w:p>
                <w:pPr>
                  <w:jc w:val="center"/>
                  <w:rPr>
                    <w:rFonts w:ascii="宋体" w:hAnsi="宋体"/>
                  </w:rPr>
                </w:pPr>
                <w:r>
                  <w:rPr>
                    <w:rFonts w:ascii="宋体" w:hAnsi="宋体" w:hint="eastAsia"/>
                  </w:rPr>
                  <w:t>还本付息方式</w:t>
                </w:r>
              </w:p>
            </w:tc>
          </w:sdtContent>
        </w:sdt>
        <w:sdt>
          <w:sdtPr>
            <w:rPr>
              <w:rFonts w:ascii="宋体" w:hAnsi="宋体"/>
            </w:rPr>
            <w:tag w:val="_PLD_bac985b38c7c43a5b1993c1782713d2a"/>
            <w:id w:val="39800278"/>
          </w:sdtPr>
          <w:sdtContent>
            <w:tc>
              <w:tcPr>
                <w:tcW w:w="425" w:type="dxa"/>
                <w:vAlign w:val="center"/>
              </w:tcPr>
              <w:p>
                <w:pPr>
                  <w:jc w:val="center"/>
                  <w:rPr>
                    <w:rFonts w:ascii="宋体" w:hAnsi="宋体"/>
                  </w:rPr>
                </w:pPr>
                <w:r>
                  <w:rPr>
                    <w:rFonts w:ascii="宋体" w:hAnsi="宋体" w:hint="eastAsia"/>
                  </w:rPr>
                  <w:t>交易场所</w:t>
                </w:r>
              </w:p>
            </w:tc>
          </w:sdtContent>
        </w:sdt>
        <w:sdt>
          <w:sdtPr>
            <w:rPr>
              <w:rFonts w:ascii="宋体" w:hAnsi="宋体"/>
            </w:rPr>
            <w:tag w:val="_PLD_f19cba53052c4995b7adeb314e684929"/>
            <w:id w:val="1452826140"/>
          </w:sdtPr>
          <w:sdtContent>
            <w:tc>
              <w:tcPr>
                <w:tcW w:w="425" w:type="dxa"/>
                <w:vAlign w:val="center"/>
              </w:tcPr>
              <w:p>
                <w:pPr>
                  <w:jc w:val="center"/>
                  <w:rPr>
                    <w:rFonts w:ascii="宋体" w:hAnsi="宋体"/>
                  </w:rPr>
                </w:pPr>
                <w:r>
                  <w:rPr>
                    <w:rFonts w:ascii="宋体" w:hAnsi="宋体"/>
                  </w:rPr>
                  <w:t>主承销商</w:t>
                </w:r>
              </w:p>
            </w:tc>
          </w:sdtContent>
        </w:sdt>
        <w:sdt>
          <w:sdtPr>
            <w:rPr>
              <w:rFonts w:ascii="宋体" w:hAnsi="宋体"/>
            </w:rPr>
            <w:tag w:val="_PLD_7aa17ef02e974579858bbb75e3c95b40"/>
            <w:id w:val="-1323420523"/>
          </w:sdtPr>
          <w:sdtContent>
            <w:tc>
              <w:tcPr>
                <w:tcW w:w="567" w:type="dxa"/>
                <w:vAlign w:val="center"/>
              </w:tcPr>
              <w:p>
                <w:pPr>
                  <w:jc w:val="center"/>
                  <w:rPr>
                    <w:rFonts w:ascii="宋体" w:hAnsi="宋体"/>
                  </w:rPr>
                </w:pPr>
                <w:r>
                  <w:rPr>
                    <w:rFonts w:ascii="宋体" w:hAnsi="宋体"/>
                  </w:rPr>
                  <w:t>受托管理人</w:t>
                </w:r>
              </w:p>
            </w:tc>
          </w:sdtContent>
        </w:sdt>
        <w:sdt>
          <w:sdtPr>
            <w:rPr>
              <w:rFonts w:ascii="宋体" w:hAnsi="宋体"/>
            </w:rPr>
            <w:tag w:val="_PLD_bf9a1a2f3bd64e1aad9b74c77f14d7ab"/>
            <w:id w:val="-1675483780"/>
          </w:sdtPr>
          <w:sdtContent>
            <w:tc>
              <w:tcPr>
                <w:tcW w:w="709" w:type="dxa"/>
                <w:vAlign w:val="center"/>
              </w:tcPr>
              <w:p>
                <w:pPr>
                  <w:jc w:val="center"/>
                  <w:rPr>
                    <w:rFonts w:ascii="宋体" w:hAnsi="宋体"/>
                  </w:rPr>
                </w:pPr>
                <w:r>
                  <w:rPr>
                    <w:rFonts w:ascii="宋体" w:hAnsi="宋体" w:hint="eastAsia"/>
                  </w:rPr>
                  <w:t>投资者适当性安排</w:t>
                </w:r>
              </w:p>
            </w:tc>
          </w:sdtContent>
        </w:sdt>
        <w:tc>
          <w:tcPr>
            <w:tcW w:w="851" w:type="dxa"/>
            <w:vAlign w:val="center"/>
          </w:tcPr>
          <w:sdt>
            <w:sdtPr>
              <w:rPr>
                <w:rFonts w:ascii="宋体" w:hAnsi="宋体"/>
              </w:rPr>
              <w:tag w:val="_PLD_e5de1dbf0ca2457f9c02c2cdcb2b2438"/>
              <w:id w:val="1568155462"/>
            </w:sdtPr>
            <w:sdtContent>
              <w:p>
                <w:pPr>
                  <w:jc w:val="center"/>
                  <w:rPr>
                    <w:rFonts w:ascii="宋体" w:hAnsi="宋体"/>
                  </w:rPr>
                </w:pPr>
                <w:r>
                  <w:rPr>
                    <w:rFonts w:ascii="宋体" w:hAnsi="宋体" w:hint="eastAsia"/>
                  </w:rPr>
                  <w:t>交易机制</w:t>
                </w:r>
              </w:p>
            </w:sdtContent>
          </w:sdt>
        </w:tc>
        <w:sdt>
          <w:sdtPr>
            <w:rPr>
              <w:rFonts w:ascii="宋体" w:hAnsi="宋体"/>
            </w:rPr>
            <w:tag w:val="_PLD_07d4e2f4b50d4570a6aca91e45b13e42"/>
            <w:id w:val="-91709571"/>
          </w:sdtPr>
          <w:sdtContent>
            <w:tc>
              <w:tcPr>
                <w:tcW w:w="850" w:type="dxa"/>
                <w:vAlign w:val="center"/>
              </w:tcPr>
              <w:p>
                <w:pPr>
                  <w:jc w:val="center"/>
                  <w:rPr>
                    <w:rFonts w:ascii="宋体" w:hAnsi="宋体"/>
                  </w:rPr>
                </w:pPr>
                <w:r>
                  <w:rPr>
                    <w:rFonts w:ascii="宋体" w:hAnsi="宋体" w:hint="eastAsia"/>
                  </w:rPr>
                  <w:t>是否存在终止上市或挂牌的风险</w:t>
                </w:r>
              </w:p>
            </w:tc>
          </w:sdtContent>
        </w:sdt>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2020年公司债券（第一期）（品种三）</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20兖煤03</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bCs/>
              </w:rPr>
            </w:pPr>
            <w:r>
              <w:rPr>
                <w:rFonts w:ascii="宋体" w:hAnsi="宋体" w:hint="eastAsia"/>
              </w:rPr>
              <w:t>163236</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bCs/>
              </w:rPr>
            </w:pPr>
            <w:r>
              <w:rPr>
                <w:rFonts w:ascii="宋体" w:hAnsi="宋体" w:hint="eastAsia"/>
              </w:rPr>
              <w:t>2020/3/10</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2020/3/12</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bCs/>
              </w:rPr>
            </w:pPr>
            <w:r>
              <w:rPr>
                <w:rFonts w:ascii="宋体" w:hAnsi="宋体" w:hint="eastAsia"/>
              </w:rPr>
              <w:t>2030/3/12</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color w:val="000000"/>
              </w:rPr>
              <w:t>20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4.29</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国泰海通</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国泰海通</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sdt>
          <w:sdtPr>
            <w:alias w:val="公司债券基本情况明细_是否存在终止上市交易的风险 "/>
            <w:tag w:val="_GBC_6ee4ec4839c94dd09b716a8794e9fa3f"/>
            <w:id w:val="-228763312"/>
            <w:comboBox>
              <w:listItem w:displayText="是" w:value="是"/>
              <w:listItem w:displayText="否" w:value="否"/>
            </w:comboBox>
          </w:sdtPr>
          <w:sdtContent>
            <w:tc>
              <w:tcPr>
                <w:tcW w:w="850" w:type="dxa"/>
                <w:vAlign w:val="center"/>
              </w:tcPr>
              <w:p>
                <w:pPr>
                  <w:pStyle w:val="Style49"/>
                </w:pPr>
                <w:r>
                  <w:t>否</w:t>
                </w:r>
              </w:p>
            </w:tc>
          </w:sdtContent>
        </w:sdt>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2021年公司债券（第一期）（品种二）</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21兖煤02</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188164</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2021/5/28</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2021/5/31</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2026/5/31</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olor w:val="000000"/>
              </w:rPr>
            </w:pPr>
            <w:r>
              <w:rPr>
                <w:rFonts w:ascii="宋体" w:hAnsi="宋体" w:hint="eastAsia"/>
                <w:color w:val="000000"/>
              </w:rPr>
              <w:t>10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4.13</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国泰海通</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国泰海通</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2023年公司债券（第一期）（品种一）</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23兖矿01</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115406</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2023/5/25</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2023/5/26</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2028/5/26</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olor w:val="000000"/>
              </w:rPr>
            </w:pPr>
            <w:r>
              <w:rPr>
                <w:rFonts w:ascii="宋体" w:hAnsi="宋体" w:hint="eastAsia"/>
              </w:rPr>
              <w:t>10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3.34</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w:t>
            </w:r>
            <w:r>
              <w:rPr>
                <w:rFonts w:ascii="宋体" w:hAnsi="宋体" w:hint="eastAsia"/>
              </w:rPr>
              <w:lastRenderedPageBreak/>
              <w:t>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中金</w:t>
            </w:r>
            <w:r>
              <w:rPr>
                <w:rFonts w:ascii="宋体" w:hAnsi="宋体" w:hint="eastAsia"/>
              </w:rPr>
              <w:lastRenderedPageBreak/>
              <w:t>公司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平安</w:t>
            </w:r>
            <w:r>
              <w:rPr>
                <w:rFonts w:ascii="宋体" w:hAnsi="宋体" w:hint="eastAsia"/>
              </w:rPr>
              <w:lastRenderedPageBreak/>
              <w:t>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面向合格</w:t>
            </w:r>
            <w:r>
              <w:rPr>
                <w:rFonts w:ascii="宋体" w:hAnsi="宋体" w:hint="eastAsia"/>
              </w:rPr>
              <w:lastRenderedPageBreak/>
              <w:t>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竞价、报价、询价和</w:t>
            </w:r>
            <w:r>
              <w:rPr>
                <w:rFonts w:ascii="宋体" w:hAnsi="宋体" w:hint="eastAsia"/>
              </w:rPr>
              <w:lastRenderedPageBreak/>
              <w:t>协议交易</w:t>
            </w:r>
          </w:p>
        </w:tc>
        <w:tc>
          <w:tcPr>
            <w:tcW w:w="850" w:type="dxa"/>
            <w:vAlign w:val="center"/>
          </w:tcPr>
          <w:p>
            <w:pPr>
              <w:pStyle w:val="Style49"/>
            </w:pPr>
            <w:r>
              <w:rPr>
                <w:rFonts w:hint="eastAsia"/>
              </w:rPr>
              <w:lastRenderedPageBreak/>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2023年公司债券（第一期）（品种二）</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23兖矿02</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115407</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2023/5/25</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2023/5/26</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2033/5/26</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olor w:val="000000"/>
              </w:rPr>
            </w:pPr>
            <w:r>
              <w:rPr>
                <w:rFonts w:ascii="宋体" w:hAnsi="宋体" w:hint="eastAsia"/>
              </w:rPr>
              <w:t>20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3.80</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中金公司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2023年公司债券（第二期）（品种二）</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23兖矿04</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115544</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2023/6/15</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2023/6/16</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2033/6/16</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olor w:val="000000"/>
              </w:rPr>
            </w:pPr>
            <w:r>
              <w:rPr>
                <w:rFonts w:ascii="宋体" w:hAnsi="宋体" w:hint="eastAsia"/>
              </w:rPr>
              <w:t>20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3.75</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中金公司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2024年科技创新公司债券（第一期）</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24兖矿K1</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240582</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2024/3/13</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2024/3/14</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2034/3/14</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olor w:val="000000"/>
              </w:rPr>
            </w:pPr>
            <w:r>
              <w:rPr>
                <w:rFonts w:ascii="宋体" w:hAnsi="宋体" w:hint="eastAsia"/>
              </w:rPr>
              <w:t>30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3.03</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中信证券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2024年科技创新可续期公司债券（第一期）</w:t>
            </w:r>
            <w:r>
              <w:rPr>
                <w:rFonts w:ascii="宋体" w:hAnsi="宋体" w:hint="eastAsia"/>
                <w:vertAlign w:val="superscript"/>
              </w:rPr>
              <w:t>①</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兖矿KY01</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241141</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2024/6/17</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2024/6/18</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2027/6/18</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2.28</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广发证券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2024年科技创新可续期公司债券（第二期）</w:t>
            </w:r>
            <w:r>
              <w:rPr>
                <w:rFonts w:ascii="宋体" w:hAnsi="宋体" w:hint="eastAsia"/>
                <w:vertAlign w:val="superscript"/>
              </w:rPr>
              <w:t>②</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兖矿KY02</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241324</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2024/7/24</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2024/7/25</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2027/7/25</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2.17</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w:t>
            </w:r>
            <w:r>
              <w:rPr>
                <w:rFonts w:ascii="宋体" w:hAnsi="宋体" w:hint="eastAsia"/>
              </w:rPr>
              <w:lastRenderedPageBreak/>
              <w:t>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广发证券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w:t>
            </w:r>
            <w:r>
              <w:rPr>
                <w:rFonts w:ascii="宋体" w:hAnsi="宋体" w:hint="eastAsia"/>
              </w:rPr>
              <w:lastRenderedPageBreak/>
              <w:t>协议交易</w:t>
            </w:r>
          </w:p>
        </w:tc>
        <w:tc>
          <w:tcPr>
            <w:tcW w:w="850" w:type="dxa"/>
            <w:vAlign w:val="center"/>
          </w:tcPr>
          <w:p>
            <w:pPr>
              <w:pStyle w:val="Style49"/>
            </w:pPr>
            <w:r>
              <w:rPr>
                <w:rFonts w:hint="eastAsia"/>
              </w:rPr>
              <w:lastRenderedPageBreak/>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2024年科技创新公司债券（第二期）</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24兖矿K3</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241379</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2024/8/2</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2024/8/5</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2027/8/5</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2.05</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广发证券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2024年科技创新公司债券（第三期）</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24兖矿K4</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241636</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2024/9/12</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2024/9/18</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2027/9/18</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2.15</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广发证券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theme="minorBidi"/>
                <w:kern w:val="2"/>
                <w:szCs w:val="22"/>
              </w:rPr>
            </w:pPr>
            <w:r>
              <w:rPr>
                <w:rFonts w:ascii="宋体" w:hAnsi="宋体" w:hint="eastAsia"/>
              </w:rPr>
              <w:t>2025年科技创新公司债券（第一期）（品种二）</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theme="minorBidi"/>
                <w:kern w:val="2"/>
                <w:szCs w:val="22"/>
              </w:rPr>
            </w:pPr>
            <w:r>
              <w:rPr>
                <w:rFonts w:ascii="宋体" w:hAnsi="宋体" w:hint="eastAsia"/>
              </w:rPr>
              <w:t>25兖矿K2</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242524</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2025/6/5</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2025/6/6</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2030/6/6</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2.02</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theme="minorBidi"/>
                <w:kern w:val="2"/>
                <w:szCs w:val="22"/>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theme="minorBidi"/>
                <w:kern w:val="2"/>
                <w:szCs w:val="22"/>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theme="minorBidi"/>
                <w:kern w:val="2"/>
                <w:szCs w:val="22"/>
              </w:rPr>
            </w:pPr>
            <w:r>
              <w:rPr>
                <w:rFonts w:ascii="宋体" w:hAnsi="宋体" w:hint="eastAsia"/>
              </w:rPr>
              <w:t>广发证券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theme="minorBidi"/>
                <w:kern w:val="2"/>
                <w:szCs w:val="22"/>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theme="minorBidi"/>
                <w:kern w:val="2"/>
                <w:szCs w:val="22"/>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theme="minorBidi"/>
                <w:kern w:val="2"/>
                <w:szCs w:val="22"/>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2025年科技创新可续期公司债券（第一期）</w:t>
            </w:r>
            <w:r>
              <w:rPr>
                <w:rFonts w:ascii="宋体" w:hAnsi="宋体" w:hint="eastAsia"/>
                <w:vertAlign w:val="superscript"/>
              </w:rPr>
              <w:t>③</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兖矿KY04</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243216</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2025/6/23</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2025/6/23</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2027/6/23</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1.86</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广发证券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2025年科技创新公司债券（第二期）（品种一）</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25兖矿K3</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243671</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2025/9/8</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2025/9/9</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theme="minorBidi" w:hint="eastAsia"/>
                <w:kern w:val="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2030/9/9</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1.94</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w:t>
            </w:r>
            <w:r>
              <w:rPr>
                <w:rFonts w:ascii="宋体" w:hAnsi="宋体" w:hint="eastAsia"/>
              </w:rPr>
              <w:lastRenderedPageBreak/>
              <w:t>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广发证券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2025年科技创新可续期公司债券（第二期）（品种二）</w:t>
            </w:r>
            <w:r>
              <w:rPr>
                <w:rFonts w:ascii="宋体" w:hAnsi="宋体" w:hint="eastAsia"/>
                <w:vertAlign w:val="superscript"/>
              </w:rPr>
              <w:t>④</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兖矿KY06</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243905</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cstheme="minorBidi" w:hint="eastAsia"/>
                <w:kern w:val="2"/>
                <w:szCs w:val="22"/>
              </w:rPr>
              <w:t>2025/10/20</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2025/10/20</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theme="minorBidi" w:hint="eastAsia"/>
                <w:kern w:val="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2028/10/20</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2.15</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中信建投</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r>
        <w:trPr>
          <w:jc w:val="center"/>
        </w:trPr>
        <w:tc>
          <w:tcPr>
            <w:tcW w:w="170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2025年科技创新公司债券（第三期）（品种二）</w:t>
            </w:r>
          </w:p>
        </w:tc>
        <w:tc>
          <w:tcPr>
            <w:tcW w:w="1134"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25兖矿K6</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244297</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2025/11/24</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2025/11/24</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theme="minorBidi" w:hint="eastAsia"/>
                <w:kern w:val="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kern w:val="2"/>
                <w:szCs w:val="22"/>
              </w:rPr>
            </w:pPr>
            <w:r>
              <w:rPr>
                <w:rFonts w:ascii="宋体" w:hAnsi="宋体" w:hint="eastAsia"/>
                <w:kern w:val="2"/>
                <w:szCs w:val="22"/>
              </w:rPr>
              <w:t>2030/11/24</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theme="minorBidi"/>
                <w:kern w:val="2"/>
                <w:szCs w:val="22"/>
              </w:rPr>
            </w:pPr>
            <w:r>
              <w:rPr>
                <w:rFonts w:ascii="宋体" w:hAnsi="宋体" w:cstheme="minorBidi" w:hint="eastAsia"/>
                <w:kern w:val="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每年付息一次，到期一次还本，最后一期利息随本金一起支付</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上交所</w:t>
            </w:r>
          </w:p>
        </w:tc>
        <w:tc>
          <w:tcPr>
            <w:tcW w:w="42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广发证券</w:t>
            </w:r>
          </w:p>
        </w:tc>
        <w:tc>
          <w:tcPr>
            <w:tcW w:w="56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平安证券</w:t>
            </w:r>
          </w:p>
        </w:tc>
        <w:tc>
          <w:tcPr>
            <w:tcW w:w="709"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面向合格投资者</w:t>
            </w:r>
          </w:p>
        </w:tc>
        <w:tc>
          <w:tcPr>
            <w:tcW w:w="85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竞价、报价、询价和协议交易</w:t>
            </w:r>
          </w:p>
        </w:tc>
        <w:tc>
          <w:tcPr>
            <w:tcW w:w="850" w:type="dxa"/>
            <w:vAlign w:val="center"/>
          </w:tcPr>
          <w:p>
            <w:pPr>
              <w:pStyle w:val="Style49"/>
            </w:pPr>
            <w:r>
              <w:rPr>
                <w:rFonts w:hint="eastAsia"/>
              </w:rPr>
              <w:t>否</w:t>
            </w:r>
          </w:p>
        </w:tc>
      </w:tr>
    </w:tbl>
    <w:p>
      <w:pPr>
        <w:pStyle w:val="Style49"/>
      </w:pPr>
      <w:r>
        <w:rPr>
          <w:rFonts w:hint="eastAsia"/>
        </w:rPr>
        <w:t>注：</w:t>
      </w:r>
    </w:p>
    <w:p>
      <w:pPr>
        <w:ind w:firstLineChars="200" w:firstLine="420"/>
        <w:rPr>
          <w:rFonts w:ascii="宋体" w:hAnsi="宋体"/>
          <w:bCs/>
          <w:color w:val="000000"/>
        </w:rPr>
      </w:pPr>
      <w:r>
        <w:rPr>
          <w:rFonts w:ascii="宋体" w:hAnsi="宋体" w:hint="eastAsia"/>
          <w:bCs/>
        </w:rPr>
        <w:t>①2024年科技创新可续期公司债券（第一期）</w:t>
      </w:r>
      <w:r>
        <w:rPr>
          <w:rFonts w:ascii="宋体" w:hAnsi="宋体" w:hint="eastAsia"/>
          <w:bCs/>
          <w:color w:val="000000"/>
        </w:rPr>
        <w:t>以每3个计息年度为1个周期。在每个周期末，公司有权选择将本期债券期限延长1个周期（即延长3年），或选择在该周期末到期全额兑付本期债券。</w:t>
      </w:r>
    </w:p>
    <w:p>
      <w:pPr>
        <w:ind w:firstLineChars="200" w:firstLine="420"/>
        <w:rPr>
          <w:rFonts w:ascii="宋体" w:hAnsi="宋体"/>
          <w:bCs/>
          <w:color w:val="000000"/>
        </w:rPr>
      </w:pPr>
      <w:r>
        <w:rPr>
          <w:rFonts w:ascii="宋体" w:hAnsi="宋体" w:hint="eastAsia"/>
          <w:bCs/>
          <w:color w:val="000000"/>
        </w:rPr>
        <w:t>②</w:t>
      </w:r>
      <w:r>
        <w:rPr>
          <w:rFonts w:ascii="宋体" w:hAnsi="宋体" w:hint="eastAsia"/>
          <w:bCs/>
        </w:rPr>
        <w:t>2024年科技创新可续期公司债券（第二期）</w:t>
      </w:r>
      <w:r>
        <w:rPr>
          <w:rFonts w:ascii="宋体" w:hAnsi="宋体" w:hint="eastAsia"/>
          <w:bCs/>
          <w:color w:val="000000"/>
        </w:rPr>
        <w:t>以每3个计息年度为1个周期。在每个周期末，公司有权选择将本期债券期限延长1个周期（即延长3年），或选择在该周期末到期全额兑付本期债券。</w:t>
      </w:r>
    </w:p>
    <w:p>
      <w:pPr>
        <w:ind w:firstLineChars="200" w:firstLine="420"/>
        <w:rPr>
          <w:rFonts w:ascii="宋体" w:hAnsi="宋体"/>
          <w:bCs/>
          <w:color w:val="000000"/>
        </w:rPr>
      </w:pPr>
      <w:r>
        <w:rPr>
          <w:rFonts w:ascii="宋体" w:hAnsi="宋体" w:hint="eastAsia"/>
          <w:bCs/>
          <w:color w:val="000000"/>
        </w:rPr>
        <w:t>③</w:t>
      </w:r>
      <w:r>
        <w:rPr>
          <w:rFonts w:ascii="宋体" w:hAnsi="宋体" w:hint="eastAsia"/>
          <w:bCs/>
        </w:rPr>
        <w:t>2025年科技创新可续期公司债券（第一期）</w:t>
      </w:r>
      <w:r>
        <w:rPr>
          <w:rFonts w:ascii="宋体" w:hAnsi="宋体" w:hint="eastAsia"/>
          <w:bCs/>
          <w:color w:val="000000"/>
        </w:rPr>
        <w:t>以每2个计息年度为1个周期。在每个周期末，公司有权选择将本期债券期限延长1个周期（即延长2年），或选择在该周期末到期全额兑付本期债券。</w:t>
      </w:r>
    </w:p>
    <w:p>
      <w:pPr>
        <w:ind w:firstLineChars="200" w:firstLine="420"/>
        <w:rPr>
          <w:rFonts w:ascii="宋体" w:hAnsi="宋体"/>
          <w:bCs/>
          <w:color w:val="000000"/>
        </w:rPr>
      </w:pPr>
      <w:r>
        <w:rPr>
          <w:rFonts w:ascii="宋体" w:hAnsi="宋体" w:hint="eastAsia"/>
          <w:bCs/>
          <w:color w:val="000000"/>
        </w:rPr>
        <w:t>④</w:t>
      </w:r>
      <w:r>
        <w:rPr>
          <w:rFonts w:ascii="宋体" w:hAnsi="宋体" w:hint="eastAsia"/>
        </w:rPr>
        <w:t>2025年科技创新可续期公司债券（第二期）（品种二）</w:t>
      </w:r>
      <w:r>
        <w:rPr>
          <w:rFonts w:ascii="宋体" w:hAnsi="宋体" w:hint="eastAsia"/>
          <w:bCs/>
          <w:color w:val="000000"/>
        </w:rPr>
        <w:t>以每3个计息年度为1个周期。在每个周期末，公司有权选择将本期债券期限延长1个周期（即延长3年），或选择在该周期末到期全额兑付本期债券。</w:t>
      </w:r>
    </w:p>
    <w:p>
      <w:pPr>
        <w:ind w:firstLineChars="200" w:firstLine="420"/>
        <w:rPr>
          <w:rFonts w:ascii="宋体" w:hAnsi="宋体"/>
          <w:bCs/>
          <w:color w:val="000000"/>
        </w:rPr>
      </w:pPr>
    </w:p>
    <w:p>
      <w:pPr>
        <w:pStyle w:val="Style49"/>
      </w:pPr>
    </w:p>
    <w:p>
      <w:pPr>
        <w:pStyle w:val="Style49"/>
      </w:pPr>
    </w:p>
    <w:bookmarkEnd w:id="283"/>
    <w:bookmarkEnd w:id="284"/>
    <w:p>
      <w:pPr>
        <w:pStyle w:val="Style49"/>
      </w:pPr>
      <w:r>
        <w:rPr>
          <w:rFonts w:hint="eastAsia"/>
        </w:rPr>
        <w:t>公司对债券终止上市或挂牌风险的应对措施</w:t>
      </w:r>
    </w:p>
    <w:sdt>
      <w:sdtPr>
        <w:rPr>
          <w:bCs/>
          <w:color w:val="000000" w:themeColor="text1"/>
          <w:kern w:val="2"/>
        </w:rPr>
        <w:alias w:val="是否适用：公司对债券终止上市交易风险的应对措施 [双击切换]"/>
        <w:tag w:val="_GBC_8b78dd47ac3c4f1eb39b850ff54adbdf"/>
        <w:id w:val="-1680736350"/>
        <w:placeholder>
          <w:docPart w:val="GBC22222222222222222222222222222"/>
        </w:placeholder>
      </w:sdtPr>
      <w:sdtContent>
        <w:p>
          <w:pPr>
            <w:rPr>
              <w:color w:val="000000" w:themeColor="text1"/>
            </w:rPr>
          </w:pP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p>
      <w:pPr>
        <w:rPr>
          <w:color w:val="000000" w:themeColor="text1"/>
        </w:rPr>
      </w:pPr>
    </w:p>
    <w:p>
      <w:pPr>
        <w:rPr>
          <w:rFonts w:ascii="Arial" w:hAnsi="Arial"/>
          <w:bCs/>
          <w:kern w:val="2"/>
        </w:rPr>
      </w:pPr>
      <w:bookmarkStart w:id="285" w:name="_Hlk182406318"/>
      <w:r>
        <w:rPr>
          <w:rFonts w:ascii="Arial" w:hAnsi="Arial" w:hint="eastAsia"/>
          <w:bCs/>
          <w:kern w:val="2"/>
        </w:rPr>
        <w:t>报告期内债券付息兑付情况</w:t>
      </w:r>
    </w:p>
    <w:sdt>
      <w:sdtPr>
        <w:rPr>
          <w:bCs/>
          <w:kern w:val="2"/>
        </w:rPr>
        <w:alias w:val="是否适用：公司债券付息兑付情况 [双击切换]"/>
        <w:tag w:val="_GBC_8db51496dd874dbc84cd8e67003d8ea0"/>
        <w:id w:val="1769347872"/>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tbl>
      <w:tblPr>
        <w:tblStyle w:val="Style63"/>
        <w:tblW w:w="1408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9557"/>
      </w:tblGrid>
      <w:tr>
        <w:sdt>
          <w:sdtPr>
            <w:tag w:val="_PLD_14c6cc7f47ae4b3a8fb0a59d930addf4"/>
            <w:id w:val="-680746738"/>
          </w:sdtPr>
          <w:sdtContent>
            <w:tc>
              <w:tcPr>
                <w:tcW w:w="4531" w:type="dxa"/>
                <w:vAlign w:val="center"/>
              </w:tcPr>
              <w:p>
                <w:pPr>
                  <w:widowControl w:val="0"/>
                  <w:jc w:val="center"/>
                  <w:rPr>
                    <w:rFonts w:ascii="Arial" w:hAnsi="Arial"/>
                    <w:bCs/>
                    <w:kern w:val="2"/>
                  </w:rPr>
                </w:pPr>
                <w:r>
                  <w:rPr>
                    <w:rFonts w:ascii="Arial" w:hAnsi="Arial"/>
                    <w:bCs/>
                    <w:kern w:val="2"/>
                  </w:rPr>
                  <w:t>债券名称</w:t>
                </w:r>
              </w:p>
            </w:tc>
          </w:sdtContent>
        </w:sdt>
        <w:sdt>
          <w:sdtPr>
            <w:tag w:val="_PLD_3faf567c3d174cae92a8a10519e3a40c"/>
            <w:id w:val="-130715247"/>
          </w:sdtPr>
          <w:sdtContent>
            <w:tc>
              <w:tcPr>
                <w:tcW w:w="9557" w:type="dxa"/>
                <w:vAlign w:val="center"/>
              </w:tcPr>
              <w:p>
                <w:pPr>
                  <w:widowControl w:val="0"/>
                  <w:jc w:val="center"/>
                  <w:rPr>
                    <w:rFonts w:ascii="Arial" w:hAnsi="Arial"/>
                    <w:bCs/>
                    <w:kern w:val="2"/>
                  </w:rPr>
                </w:pPr>
                <w:r>
                  <w:rPr>
                    <w:rFonts w:ascii="Arial" w:hAnsi="Arial" w:hint="eastAsia"/>
                    <w:bCs/>
                    <w:kern w:val="2"/>
                  </w:rPr>
                  <w:t>付息兑付情况的说明</w:t>
                </w:r>
              </w:p>
            </w:tc>
          </w:sdtContent>
        </w:sdt>
      </w:tr>
      <w:tr>
        <w:tc>
          <w:tcPr>
            <w:tcW w:w="4531" w:type="dxa"/>
            <w:tcBorders>
              <w:top w:val="single" w:sz="4" w:space="0" w:color="auto"/>
              <w:left w:val="single" w:sz="4" w:space="0" w:color="auto"/>
              <w:bottom w:val="single" w:sz="4" w:space="0" w:color="auto"/>
              <w:right w:val="single" w:sz="4" w:space="0" w:color="auto"/>
            </w:tcBorders>
          </w:tcPr>
          <w:p>
            <w:pPr>
              <w:pStyle w:val="Style206"/>
              <w:jc w:val="both"/>
            </w:pPr>
            <w:r>
              <w:rPr>
                <w:rFonts w:hint="eastAsia"/>
              </w:rPr>
              <w:t>2020年公司债券（第一期）（品种三）</w:t>
            </w:r>
          </w:p>
        </w:tc>
        <w:tc>
          <w:tcPr>
            <w:tcW w:w="9557" w:type="dxa"/>
            <w:tcBorders>
              <w:top w:val="single" w:sz="4" w:space="0" w:color="auto"/>
              <w:left w:val="single" w:sz="4" w:space="0" w:color="auto"/>
              <w:bottom w:val="single" w:sz="4" w:space="0" w:color="auto"/>
              <w:right w:val="single" w:sz="4" w:space="0" w:color="auto"/>
            </w:tcBorders>
          </w:tcPr>
          <w:p>
            <w:pPr>
              <w:pStyle w:val="Style206"/>
              <w:jc w:val="both"/>
            </w:pPr>
            <w:r>
              <w:rPr>
                <w:rFonts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2021年公司债券（第一期）（品种二）</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2023年公司债券（第一期）（品种一）</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2023年公司债券（第一期）（品种二）</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2023年公司债券（第二期）（品种二）</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2024年科技创新公司债券（第一期）</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2024年科技创新可续期公司债券（第一期）</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2024年科技创新可续期公司债券（第二期）</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bCs/>
              </w:rPr>
            </w:pPr>
            <w:r>
              <w:rPr>
                <w:rFonts w:ascii="宋体" w:hAnsi="宋体" w:hint="eastAsia"/>
              </w:rPr>
              <w:t>2024年科技创新公司债券（第二期）</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2024年科技创新公司债券（第三期）</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cstheme="minorBidi" w:hint="eastAsia"/>
              </w:rPr>
              <w:t>2020年公司债券（第一期）（品种二）</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公司按期兑付了本金及利息，未出现违约行为。</w:t>
            </w:r>
          </w:p>
        </w:tc>
      </w:tr>
      <w:tr>
        <w:tc>
          <w:tcPr>
            <w:tcW w:w="4531"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2020年公司债券（第二期）（品种二）</w:t>
            </w:r>
          </w:p>
        </w:tc>
        <w:tc>
          <w:tcPr>
            <w:tcW w:w="9557" w:type="dxa"/>
            <w:tcBorders>
              <w:top w:val="single" w:sz="4" w:space="0" w:color="auto"/>
              <w:left w:val="single" w:sz="4" w:space="0" w:color="auto"/>
              <w:bottom w:val="single" w:sz="4" w:space="0" w:color="auto"/>
              <w:right w:val="single" w:sz="4" w:space="0" w:color="auto"/>
            </w:tcBorders>
            <w:vAlign w:val="center"/>
          </w:tcPr>
          <w:p>
            <w:pPr>
              <w:widowControl w:val="0"/>
              <w:jc w:val="both"/>
              <w:rPr>
                <w:rFonts w:ascii="宋体" w:hAnsi="宋体"/>
                <w:kern w:val="2"/>
              </w:rPr>
            </w:pPr>
            <w:r>
              <w:rPr>
                <w:rFonts w:ascii="宋体" w:hAnsi="宋体" w:hint="eastAsia"/>
              </w:rPr>
              <w:t>公司按期兑付了本金及利息，未出现违约行为。</w:t>
            </w:r>
          </w:p>
        </w:tc>
      </w:tr>
    </w:tbl>
    <w:p>
      <w:pPr>
        <w:pStyle w:val="Style49"/>
      </w:pPr>
    </w:p>
    <w:p>
      <w:pPr>
        <w:pStyle w:val="4"/>
        <w:numPr>
          <w:ilvl w:val="0"/>
          <w:numId w:val="59"/>
        </w:numPr>
        <w:rPr>
          <w:rFonts w:ascii="宋体" w:hAnsi="宋体" w:cs="宋体"/>
          <w:kern w:val="0"/>
          <w:szCs w:val="21"/>
        </w:rPr>
      </w:pPr>
      <w:bookmarkStart w:id="286" w:name="_Hlk41317963"/>
      <w:bookmarkEnd w:id="285"/>
      <w:r>
        <w:rPr>
          <w:rFonts w:ascii="宋体" w:hAnsi="宋体" w:cs="宋体" w:hint="eastAsia"/>
          <w:kern w:val="0"/>
          <w:szCs w:val="21"/>
        </w:rPr>
        <w:t>公司或投资者选择权条款、投资者保护条款的触发和执行情况</w:t>
      </w:r>
    </w:p>
    <w:sdt>
      <w:sdtPr>
        <w:rPr>
          <w:bCs/>
          <w:color w:val="000000" w:themeColor="text1"/>
          <w:kern w:val="2"/>
        </w:rPr>
        <w:alias w:val="是否适用：发行人或投资者选择权条款、投资者保护条款的触发和执行情况[双击切换]"/>
        <w:tag w:val="_GBC_8b15a1a762ae4ed2bce62d5804aeb63e"/>
        <w:id w:val="429625393"/>
        <w:placeholder>
          <w:docPart w:val="GBC22222222222222222222222222222"/>
        </w:placeholder>
      </w:sdtPr>
      <w:sdtContent>
        <w:p>
          <w:pPr>
            <w:rPr>
              <w:bCs/>
              <w:color w:val="000000" w:themeColor="text1"/>
              <w:kern w:val="2"/>
            </w:rPr>
          </w:pP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p>
      <w:pPr>
        <w:rPr>
          <w:color w:val="000000" w:themeColor="text1"/>
        </w:rPr>
      </w:pPr>
    </w:p>
    <w:p>
      <w:pPr>
        <w:pStyle w:val="4"/>
        <w:numPr>
          <w:ilvl w:val="0"/>
          <w:numId w:val="59"/>
        </w:numPr>
        <w:rPr>
          <w:rFonts w:ascii="宋体" w:hAnsi="宋体" w:cs="宋体"/>
          <w:kern w:val="0"/>
          <w:szCs w:val="21"/>
        </w:rPr>
      </w:pPr>
      <w:bookmarkStart w:id="287" w:name="_Hlk89419052"/>
      <w:bookmarkEnd w:id="286"/>
      <w:r>
        <w:rPr>
          <w:rFonts w:ascii="宋体" w:hAnsi="宋体" w:cs="宋体" w:hint="eastAsia"/>
          <w:kern w:val="0"/>
          <w:szCs w:val="21"/>
        </w:rPr>
        <w:t>为债券发行及存续期业务提供服务的中介机构</w:t>
      </w:r>
    </w:p>
    <w:tbl>
      <w:tblPr>
        <w:tblStyle w:val="Style63"/>
        <w:tblW w:w="140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2817"/>
        <w:gridCol w:w="2817"/>
        <w:gridCol w:w="2817"/>
        <w:gridCol w:w="2817"/>
      </w:tblGrid>
      <w:tr>
        <w:trPr>
          <w:trHeight w:val="350"/>
        </w:trPr>
        <w:sdt>
          <w:sdtPr>
            <w:tag w:val="_PLD_54ab8ae12edd455da8babdd2e2ab5698"/>
            <w:id w:val="-89399490"/>
          </w:sdtPr>
          <w:sdtEndPr>
            <w:rPr>
              <w:rFonts w:hint="eastAsia"/>
            </w:rPr>
          </w:sdtEndPr>
          <w:sdtContent>
            <w:tc>
              <w:tcPr>
                <w:tcW w:w="2817" w:type="dxa"/>
                <w:vAlign w:val="center"/>
              </w:tcPr>
              <w:p>
                <w:pPr>
                  <w:widowControl w:val="0"/>
                  <w:jc w:val="center"/>
                </w:pPr>
                <w:r>
                  <w:t>中介</w:t>
                </w:r>
                <w:r>
                  <w:rPr>
                    <w:rFonts w:hint="eastAsia"/>
                  </w:rPr>
                  <w:t>机构名称</w:t>
                </w:r>
              </w:p>
            </w:tc>
          </w:sdtContent>
        </w:sdt>
        <w:sdt>
          <w:sdtPr>
            <w:tag w:val="_PLD_8492b834223a461f8d344918d030f6b8"/>
            <w:id w:val="-1429797217"/>
          </w:sdtPr>
          <w:sdtContent>
            <w:tc>
              <w:tcPr>
                <w:tcW w:w="2817" w:type="dxa"/>
                <w:vAlign w:val="center"/>
              </w:tcPr>
              <w:p>
                <w:pPr>
                  <w:widowControl w:val="0"/>
                  <w:jc w:val="center"/>
                </w:pPr>
                <w:r>
                  <w:t>办公地址</w:t>
                </w:r>
              </w:p>
            </w:tc>
          </w:sdtContent>
        </w:sdt>
        <w:sdt>
          <w:sdtPr>
            <w:tag w:val="_PLD_e556c32b1e664b37a60bde70039a7d7e"/>
            <w:id w:val="1494230059"/>
          </w:sdtPr>
          <w:sdtContent>
            <w:tc>
              <w:tcPr>
                <w:tcW w:w="2817" w:type="dxa"/>
                <w:vAlign w:val="center"/>
              </w:tcPr>
              <w:p>
                <w:pPr>
                  <w:widowControl w:val="0"/>
                  <w:jc w:val="center"/>
                </w:pPr>
                <w:r>
                  <w:t>签字会计师姓名</w:t>
                </w:r>
                <w:r>
                  <w:rPr>
                    <w:rFonts w:hint="eastAsia"/>
                  </w:rPr>
                  <w:t>（如适用）</w:t>
                </w:r>
              </w:p>
            </w:tc>
          </w:sdtContent>
        </w:sdt>
        <w:sdt>
          <w:sdtPr>
            <w:tag w:val="_PLD_b5bd6ba320c64e5799677eed2e7352a3"/>
            <w:id w:val="-543445711"/>
          </w:sdtPr>
          <w:sdtContent>
            <w:tc>
              <w:tcPr>
                <w:tcW w:w="2817" w:type="dxa"/>
                <w:vAlign w:val="center"/>
              </w:tcPr>
              <w:p>
                <w:pPr>
                  <w:widowControl w:val="0"/>
                  <w:jc w:val="center"/>
                </w:pPr>
                <w:r>
                  <w:t>联系人</w:t>
                </w:r>
              </w:p>
            </w:tc>
          </w:sdtContent>
        </w:sdt>
        <w:sdt>
          <w:sdtPr>
            <w:tag w:val="_PLD_5718e39fad6141cc9151355350f9e5d0"/>
            <w:id w:val="-1517611053"/>
          </w:sdtPr>
          <w:sdtContent>
            <w:tc>
              <w:tcPr>
                <w:tcW w:w="2817" w:type="dxa"/>
                <w:vAlign w:val="center"/>
              </w:tcPr>
              <w:p>
                <w:pPr>
                  <w:widowControl w:val="0"/>
                  <w:jc w:val="center"/>
                </w:pPr>
                <w:r>
                  <w:t>联系电话</w:t>
                </w:r>
              </w:p>
            </w:tc>
          </w:sdtContent>
        </w:sdt>
      </w:tr>
      <w:tr>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国泰海通证券股份有限公司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上海市静安区新闸路</w:t>
            </w:r>
            <w:r>
              <w:rPr>
                <w:rFonts w:ascii="宋体" w:hAnsi="宋体"/>
              </w:rPr>
              <w:t>669</w:t>
            </w:r>
            <w:r>
              <w:rPr>
                <w:rFonts w:ascii="宋体" w:hAnsi="宋体" w:hint="eastAsia"/>
              </w:rPr>
              <w:t>号博华广场</w:t>
            </w:r>
            <w:r>
              <w:rPr>
                <w:rFonts w:ascii="宋体" w:hAnsi="宋体"/>
              </w:rPr>
              <w:t>33</w:t>
            </w:r>
            <w:r>
              <w:rPr>
                <w:rFonts w:ascii="宋体" w:hAnsi="宋体" w:hint="eastAsia"/>
              </w:rPr>
              <w:t>楼</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张楠、虞京京</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陈洋洋</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rPr>
              <w:t>010-88027267</w:t>
            </w:r>
          </w:p>
        </w:tc>
      </w:tr>
      <w:tr>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中国国际金融股份有限公司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北京市朝阳区建国门外大街</w:t>
            </w:r>
            <w:r>
              <w:rPr>
                <w:rFonts w:ascii="宋体" w:hAnsi="宋体"/>
              </w:rPr>
              <w:t>1</w:t>
            </w:r>
            <w:r>
              <w:rPr>
                <w:rFonts w:ascii="宋体" w:hAnsi="宋体" w:hint="eastAsia"/>
              </w:rPr>
              <w:t>号国贸大厦</w:t>
            </w:r>
            <w:r>
              <w:rPr>
                <w:rFonts w:ascii="宋体" w:hAnsi="宋体"/>
              </w:rPr>
              <w:t>2</w:t>
            </w:r>
            <w:r>
              <w:rPr>
                <w:rFonts w:ascii="宋体" w:hAnsi="宋体" w:hint="eastAsia"/>
              </w:rPr>
              <w:t>座</w:t>
            </w:r>
            <w:r>
              <w:rPr>
                <w:rFonts w:ascii="宋体" w:hAnsi="宋体"/>
              </w:rPr>
              <w:t>28</w:t>
            </w:r>
            <w:r>
              <w:rPr>
                <w:rFonts w:ascii="宋体" w:hAnsi="宋体" w:hint="eastAsia"/>
              </w:rPr>
              <w:t>层</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朱宝钦、孙玲玲</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黄捷宁</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rPr>
              <w:t>010-65051166</w:t>
            </w:r>
          </w:p>
        </w:tc>
      </w:tr>
      <w:tr>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中信建投证券股份有限公司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北京市朝阳区景辉街16号院1号楼泰康集团大厦9层</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管祎铭、王国蓓</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胡昭斌、于立超</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rPr>
              <w:t>010-56052099</w:t>
            </w:r>
          </w:p>
        </w:tc>
      </w:tr>
      <w:tr>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广发证券股份有限公司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上海市浦东新区南泉北路</w:t>
            </w:r>
            <w:r>
              <w:rPr>
                <w:rFonts w:ascii="宋体" w:hAnsi="宋体"/>
              </w:rPr>
              <w:t>429</w:t>
            </w:r>
            <w:r>
              <w:rPr>
                <w:rFonts w:ascii="宋体" w:hAnsi="宋体" w:hint="eastAsia"/>
              </w:rPr>
              <w:t>号泰康保险大厦</w:t>
            </w:r>
            <w:r>
              <w:rPr>
                <w:rFonts w:ascii="宋体" w:hAnsi="宋体"/>
              </w:rPr>
              <w:t>39</w:t>
            </w:r>
            <w:r>
              <w:rPr>
                <w:rFonts w:ascii="宋体" w:hAnsi="宋体" w:hint="eastAsia"/>
              </w:rPr>
              <w:t>层</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昌华、何明智</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孟宇、殷婧</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rPr>
              <w:t>021-38003800-3702</w:t>
            </w:r>
          </w:p>
        </w:tc>
      </w:tr>
      <w:tr>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平安证券股份有限公司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深圳市福田区福田街道益田路</w:t>
            </w:r>
            <w:r>
              <w:rPr>
                <w:rFonts w:ascii="宋体" w:hAnsi="宋体"/>
              </w:rPr>
              <w:t>5023</w:t>
            </w:r>
            <w:r>
              <w:rPr>
                <w:rFonts w:ascii="宋体" w:hAnsi="宋体" w:hint="eastAsia"/>
              </w:rPr>
              <w:t>号平安金融中心</w:t>
            </w:r>
            <w:r>
              <w:rPr>
                <w:rFonts w:ascii="宋体" w:hAnsi="宋体"/>
              </w:rPr>
              <w:t>B</w:t>
            </w:r>
            <w:r>
              <w:rPr>
                <w:rFonts w:ascii="宋体" w:hAnsi="宋体" w:hint="eastAsia"/>
              </w:rPr>
              <w:t>座第</w:t>
            </w:r>
            <w:r>
              <w:rPr>
                <w:rFonts w:ascii="宋体" w:hAnsi="宋体"/>
              </w:rPr>
              <w:t>22-25</w:t>
            </w:r>
            <w:r>
              <w:rPr>
                <w:rFonts w:ascii="宋体" w:hAnsi="宋体" w:hint="eastAsia"/>
              </w:rPr>
              <w:t>层</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昌华、罗杨</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孙博、李曦睿</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rPr>
              <w:t>010-56800276</w:t>
            </w:r>
          </w:p>
        </w:tc>
      </w:tr>
      <w:tr>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东方金诚国际信用评估有限公司</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北京市丰台区丽泽路</w:t>
            </w:r>
            <w:r>
              <w:rPr>
                <w:rFonts w:ascii="宋体" w:hAnsi="宋体"/>
              </w:rPr>
              <w:t>24</w:t>
            </w:r>
            <w:r>
              <w:rPr>
                <w:rFonts w:ascii="宋体" w:hAnsi="宋体" w:hint="eastAsia"/>
              </w:rPr>
              <w:t>号院平安幸福中心</w:t>
            </w:r>
            <w:r>
              <w:rPr>
                <w:rFonts w:ascii="宋体" w:hAnsi="宋体"/>
              </w:rPr>
              <w:t>A</w:t>
            </w:r>
            <w:r>
              <w:rPr>
                <w:rFonts w:ascii="宋体" w:hAnsi="宋体" w:hint="eastAsia"/>
              </w:rPr>
              <w:t>座</w:t>
            </w:r>
            <w:r>
              <w:rPr>
                <w:rFonts w:ascii="宋体" w:hAnsi="宋体"/>
              </w:rPr>
              <w:t>47</w:t>
            </w:r>
            <w:r>
              <w:rPr>
                <w:rFonts w:ascii="宋体" w:hAnsi="宋体" w:hint="eastAsia"/>
              </w:rPr>
              <w:t>层</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迟文洲、彭泽</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曹鹏</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rPr>
              <w:t>0571-87858258</w:t>
            </w:r>
          </w:p>
        </w:tc>
      </w:tr>
      <w:tr>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联合资信评估股份有限公司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北京市朝阳区建国门外大街</w:t>
            </w:r>
            <w:r>
              <w:rPr>
                <w:rFonts w:ascii="宋体" w:hAnsi="宋体"/>
              </w:rPr>
              <w:t>2</w:t>
            </w:r>
            <w:r>
              <w:rPr>
                <w:rFonts w:ascii="宋体" w:hAnsi="宋体" w:hint="eastAsia"/>
              </w:rPr>
              <w:t>号中国人保财险大厦</w:t>
            </w:r>
            <w:r>
              <w:rPr>
                <w:rFonts w:ascii="宋体" w:hAnsi="宋体"/>
              </w:rPr>
              <w:t>17</w:t>
            </w:r>
            <w:r>
              <w:rPr>
                <w:rFonts w:ascii="宋体" w:hAnsi="宋体" w:hint="eastAsia"/>
              </w:rPr>
              <w:t>层</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茆广勤</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沈燕</w:t>
            </w:r>
          </w:p>
        </w:tc>
        <w:tc>
          <w:tcPr>
            <w:tcW w:w="281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rPr>
              <w:t>010-85679696</w:t>
            </w:r>
          </w:p>
        </w:tc>
      </w:tr>
    </w:tbl>
    <w:p>
      <w:pPr>
        <w:pStyle w:val="Style49"/>
      </w:pPr>
    </w:p>
    <w:p>
      <w:pPr>
        <w:pStyle w:val="Style49"/>
      </w:pPr>
    </w:p>
    <w:p>
      <w:pPr>
        <w:pStyle w:val="Style49"/>
      </w:pPr>
      <w:r>
        <w:t>上述中介机构发生变更的情况</w:t>
      </w:r>
    </w:p>
    <w:sdt>
      <w:sdtPr>
        <w:rPr>
          <w:rFonts w:hint="eastAsia"/>
          <w:bCs/>
          <w:kern w:val="2"/>
        </w:rPr>
        <w:alias w:val="是否适用：中介机构发生变更的情况[双击切换]"/>
        <w:tag w:val="_GBC_406adc2f253341959c4229009060293e"/>
        <w:id w:val="1377051002"/>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pStyle w:val="Style61"/>
      </w:pPr>
    </w:p>
    <w:p>
      <w:pPr>
        <w:pStyle w:val="4"/>
        <w:numPr>
          <w:ilvl w:val="0"/>
          <w:numId w:val="59"/>
        </w:numPr>
        <w:rPr>
          <w:rFonts w:ascii="宋体" w:hAnsi="宋体" w:cs="宋体"/>
          <w:kern w:val="0"/>
          <w:szCs w:val="21"/>
        </w:rPr>
      </w:pPr>
      <w:bookmarkStart w:id="288" w:name="_Hlk89419436"/>
      <w:r>
        <w:rPr>
          <w:rFonts w:ascii="宋体" w:hAnsi="宋体" w:cs="宋体" w:hint="eastAsia"/>
          <w:kern w:val="0"/>
          <w:szCs w:val="21"/>
        </w:rPr>
        <w:t>信用评级结果调整情况</w:t>
      </w:r>
    </w:p>
    <w:sdt>
      <w:sdtPr>
        <w:rPr>
          <w:rFonts w:hint="eastAsia"/>
          <w:bCs/>
          <w:color w:val="000000" w:themeColor="text1"/>
          <w:kern w:val="2"/>
        </w:rPr>
        <w:alias w:val="是否适用：公司债券评级情况[双击切换]"/>
        <w:tag w:val="_GBC_345df0453cf941d0a16bc6d740748aa0"/>
        <w:id w:val="-1664236517"/>
        <w:placeholder>
          <w:docPart w:val="GBC22222222222222222222222222222"/>
        </w:placeholder>
      </w:sdtPr>
      <w:sdtContent>
        <w:p>
          <w:pPr>
            <w:rPr>
              <w:bCs/>
              <w:color w:val="000000" w:themeColor="text1"/>
              <w:kern w:val="2"/>
            </w:rPr>
          </w:pP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p>
      <w:pPr>
        <w:rPr>
          <w:color w:val="000000" w:themeColor="text1"/>
        </w:rPr>
      </w:pPr>
    </w:p>
    <w:p>
      <w:pPr>
        <w:adjustRightInd w:val="0"/>
        <w:snapToGrid w:val="0"/>
        <w:rPr>
          <w:rFonts w:hAnsi="Arial"/>
          <w:bCs/>
          <w:kern w:val="2"/>
        </w:rPr>
      </w:pPr>
      <w:r>
        <w:rPr>
          <w:rFonts w:ascii="Arial" w:hAnsi="Arial" w:hint="eastAsia"/>
          <w:bCs/>
          <w:kern w:val="2"/>
        </w:rPr>
        <w:t>其他说明：</w:t>
      </w:r>
    </w:p>
    <w:sdt>
      <w:sdtPr>
        <w:rPr>
          <w:rFonts w:hAnsi="Arial" w:hint="eastAsia"/>
          <w:bCs/>
          <w:kern w:val="2"/>
        </w:rPr>
        <w:alias w:val="是否适用：信用评级结果调整情况其他说明[双击切换]"/>
        <w:tag w:val="_GBC_53eb0e10841145bb837764aa43265bb6"/>
        <w:id w:val="-1205318057"/>
        <w:placeholder>
          <w:docPart w:val="GBC22222222222222222222222222222"/>
        </w:placeholder>
      </w:sdtPr>
      <w:sdtContent>
        <w:p>
          <w:pPr>
            <w:adjustRightInd w:val="0"/>
            <w:snapToGrid w:val="0"/>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rPr>
          <w:b/>
          <w:bCs/>
          <w:kern w:val="2"/>
        </w:rPr>
      </w:pPr>
    </w:p>
    <w:p>
      <w:pPr>
        <w:pStyle w:val="4"/>
        <w:numPr>
          <w:ilvl w:val="0"/>
          <w:numId w:val="59"/>
        </w:numPr>
        <w:rPr>
          <w:rFonts w:ascii="宋体" w:hAnsi="宋体" w:cs="宋体"/>
          <w:kern w:val="0"/>
          <w:szCs w:val="21"/>
        </w:rPr>
      </w:pPr>
      <w:r>
        <w:rPr>
          <w:rFonts w:ascii="宋体" w:hAnsi="宋体" w:cs="宋体" w:hint="eastAsia"/>
          <w:kern w:val="0"/>
          <w:szCs w:val="21"/>
        </w:rPr>
        <w:t>担保情况、偿债计划及其他偿债保障措施在报告期内的变更、变化和执行情况及其影响</w:t>
      </w:r>
    </w:p>
    <w:sdt>
      <w:sdtPr>
        <w:rPr>
          <w:bCs/>
          <w:color w:val="000000" w:themeColor="text1"/>
          <w:kern w:val="2"/>
        </w:rPr>
        <w:alias w:val="是否适用：担保情况、偿债计划及其他偿债保障措施在报告期内的执行情况和变化情况及对债券投资者权益的影响[双击切换]"/>
        <w:tag w:val="_GBC_794f04656be94d198b6d2f05b3c3e272"/>
        <w:id w:val="-1387564881"/>
        <w:placeholder>
          <w:docPart w:val="GBC22222222222222222222222222222"/>
        </w:placeholder>
      </w:sdtPr>
      <w:sdtContent>
        <w:p>
          <w:pPr>
            <w:rPr>
              <w:color w:val="000000" w:themeColor="text1"/>
            </w:rPr>
          </w:pP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p>
      <w:pPr>
        <w:rPr>
          <w:color w:val="000000" w:themeColor="text1"/>
        </w:rPr>
        <w:sectPr>
          <w:pgSz w:w="16838" w:h="11906" w:orient="landscape"/>
          <w:pgMar w:top="1797" w:right="1525" w:bottom="1276" w:left="1440" w:header="856" w:footer="992" w:gutter="0"/>
          <w:cols w:space="425"/>
          <w:docGrid w:linePitch="312"/>
        </w:sectPr>
      </w:pPr>
      <w:bookmarkStart w:id="289" w:name="_Hlk217396142"/>
    </w:p>
    <w:p>
      <w:pPr>
        <w:pStyle w:val="3"/>
        <w:numPr>
          <w:ilvl w:val="0"/>
          <w:numId w:val="58"/>
        </w:numPr>
        <w:rPr>
          <w:rFonts w:ascii="宋体" w:hAnsi="宋体"/>
        </w:rPr>
      </w:pPr>
      <w:bookmarkStart w:id="290" w:name="_Toc141452802"/>
      <w:bookmarkStart w:id="291" w:name="_Hlk169616063"/>
      <w:bookmarkStart w:id="292" w:name="_Hlk182406757"/>
      <w:bookmarkEnd w:id="287"/>
      <w:bookmarkEnd w:id="288"/>
      <w:bookmarkEnd w:id="289"/>
      <w:r>
        <w:rPr>
          <w:rFonts w:ascii="宋体" w:hAnsi="宋体" w:hint="eastAsia"/>
        </w:rPr>
        <w:lastRenderedPageBreak/>
        <w:t>公司债券募集资金情况</w:t>
      </w:r>
      <w:bookmarkEnd w:id="290"/>
    </w:p>
    <w:sdt>
      <w:sdtPr>
        <w:rPr>
          <w:rFonts w:asciiTheme="minorEastAsia" w:eastAsiaTheme="minorEastAsia" w:hAnsiTheme="minorEastAsia"/>
          <w:bCs/>
          <w:color w:val="000000" w:themeColor="text1"/>
        </w:rPr>
        <w:alias w:val="是否：在报告期内使用募集资金"/>
        <w:tag w:val="_GBC_4dfe905122f142c69ad48b560ad8824e"/>
        <w:id w:val="1195109181"/>
        <w:placeholder>
          <w:docPart w:val="GBC22222222222222222222222222222"/>
        </w:placeholder>
      </w:sdtPr>
      <w:sdtEndPr>
        <w:rPr>
          <w:b/>
        </w:rPr>
      </w:sdtEndPr>
      <w:sdtContent>
        <w:p>
          <w:pPr>
            <w:kinsoku w:val="0"/>
            <w:overflowPunct w:val="0"/>
            <w:rPr>
              <w:rFonts w:asciiTheme="minorEastAsia" w:eastAsiaTheme="minorEastAsia" w:hAnsiTheme="minorEastAsia"/>
              <w:b/>
              <w:bCs/>
              <w:color w:val="000000" w:themeColor="text1"/>
            </w:rPr>
          </w:pPr>
          <w:r>
            <w:rPr>
              <w:rFonts w:asciiTheme="minorEastAsia" w:eastAsiaTheme="minorEastAsia" w:hAnsiTheme="minorEastAsia"/>
              <w:bCs/>
              <w:color w:val="000000" w:themeColor="text1"/>
            </w:rPr>
            <w:fldChar w:fldCharType="begin"/>
          </w:r>
          <w:r>
            <w:rPr>
              <w:rFonts w:asciiTheme="minorEastAsia" w:eastAsiaTheme="minorEastAsia" w:hAnsiTheme="minorEastAsia"/>
              <w:bCs/>
              <w:color w:val="000000" w:themeColor="text1"/>
            </w:rPr>
            <w:instrText xml:space="preserve"> MACROBUTTON  SnrToggleCheckbox √公司债券在报告期内涉及募集资金使用或者整改 </w:instrText>
          </w:r>
          <w:r>
            <w:rPr>
              <w:rFonts w:asciiTheme="minorEastAsia" w:eastAsiaTheme="minorEastAsia" w:hAnsiTheme="minorEastAsia"/>
              <w:bCs/>
              <w:color w:val="000000" w:themeColor="text1"/>
            </w:rPr>
            <w:fldChar w:fldCharType="end"/>
          </w:r>
          <w:r>
            <w:rPr>
              <w:rFonts w:asciiTheme="minorEastAsia" w:eastAsiaTheme="minorEastAsia" w:hAnsiTheme="minorEastAsia"/>
              <w:bCs/>
              <w:color w:val="000000" w:themeColor="text1"/>
            </w:rPr>
            <w:fldChar w:fldCharType="begin"/>
          </w:r>
          <w:r>
            <w:rPr>
              <w:rFonts w:asciiTheme="minorEastAsia" w:eastAsiaTheme="minorEastAsia" w:hAnsiTheme="minorEastAsia"/>
              <w:bCs/>
              <w:color w:val="000000" w:themeColor="text1"/>
            </w:rPr>
            <w:instrText xml:space="preserve"> MACROBUTTON  SnrToggleCheckbox □本公司所有公司债券在报告期内均不涉及募集资金使用或者整改 </w:instrText>
          </w:r>
          <w:r>
            <w:rPr>
              <w:rFonts w:asciiTheme="minorEastAsia" w:eastAsiaTheme="minorEastAsia" w:hAnsiTheme="minorEastAsia"/>
              <w:bCs/>
              <w:color w:val="000000" w:themeColor="text1"/>
            </w:rPr>
            <w:fldChar w:fldCharType="end"/>
          </w:r>
        </w:p>
      </w:sdtContent>
    </w:sdt>
    <w:p>
      <w:pPr>
        <w:pStyle w:val="4"/>
        <w:numPr>
          <w:ilvl w:val="0"/>
          <w:numId w:val="60"/>
        </w:numPr>
      </w:pPr>
      <w:r>
        <w:rPr>
          <w:rFonts w:hint="eastAsia"/>
        </w:rPr>
        <w:t>基本情况</w:t>
      </w:r>
    </w:p>
    <w:p>
      <w:pPr>
        <w:kinsoku w:val="0"/>
        <w:overflowPunct w:val="0"/>
        <w:jc w:val="right"/>
        <w:rPr>
          <w:color w:val="000000" w:themeColor="text1"/>
        </w:rPr>
      </w:pPr>
      <w:r>
        <w:rPr>
          <w:rFonts w:hint="eastAsia"/>
          <w:color w:val="000000" w:themeColor="text1"/>
        </w:rPr>
        <w:t>单位：</w:t>
      </w:r>
      <w:sdt>
        <w:sdtPr>
          <w:rPr>
            <w:rFonts w:hint="eastAsia"/>
            <w:color w:val="000000" w:themeColor="text1"/>
          </w:rPr>
          <w:alias w:val="单位：募集资金使用情况"/>
          <w:tag w:val="_GBC_5fcb42227b85458f84a53ece41acd583"/>
          <w:id w:val="-250048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募集资金使用情况"/>
          <w:tag w:val="_GBC_7ea8755a8e8340b983f88e5fba2ade30"/>
          <w:id w:val="1266119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Style63"/>
        <w:tblW w:w="94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05"/>
        <w:gridCol w:w="1274"/>
        <w:gridCol w:w="1496"/>
        <w:gridCol w:w="1041"/>
        <w:gridCol w:w="1431"/>
        <w:gridCol w:w="1841"/>
      </w:tblGrid>
      <w:tr>
        <w:trPr>
          <w:trHeight w:val="525"/>
          <w:jc w:val="center"/>
        </w:trPr>
        <w:sdt>
          <w:sdtPr>
            <w:tag w:val="_PLD_993a6f13bf42497fb3353ba78a4cf204"/>
            <w:id w:val="-2058313129"/>
          </w:sdtPr>
          <w:sdtContent>
            <w:tc>
              <w:tcPr>
                <w:tcW w:w="1277" w:type="dxa"/>
                <w:noWrap/>
                <w:vAlign w:val="center"/>
              </w:tcPr>
              <w:p>
                <w:pPr>
                  <w:jc w:val="center"/>
                  <w:rPr>
                    <w:rFonts w:hAnsi="Arial"/>
                    <w:bCs/>
                  </w:rPr>
                </w:pPr>
                <w:r>
                  <w:rPr>
                    <w:rFonts w:hAnsi="Arial" w:hint="eastAsia"/>
                    <w:bCs/>
                  </w:rPr>
                  <w:t>债券代码</w:t>
                </w:r>
              </w:p>
            </w:tc>
          </w:sdtContent>
        </w:sdt>
        <w:sdt>
          <w:sdtPr>
            <w:tag w:val="_PLD_49961d34e5294f80aa218bd01912dd97"/>
            <w:id w:val="1325246085"/>
          </w:sdtPr>
          <w:sdtContent>
            <w:tc>
              <w:tcPr>
                <w:tcW w:w="1105" w:type="dxa"/>
                <w:noWrap/>
                <w:vAlign w:val="center"/>
              </w:tcPr>
              <w:p>
                <w:pPr>
                  <w:jc w:val="center"/>
                  <w:rPr>
                    <w:rFonts w:hAnsi="Arial"/>
                    <w:bCs/>
                  </w:rPr>
                </w:pPr>
                <w:r>
                  <w:rPr>
                    <w:rFonts w:hAnsi="Arial" w:hint="eastAsia"/>
                    <w:bCs/>
                  </w:rPr>
                  <w:t>债券简称</w:t>
                </w:r>
              </w:p>
            </w:tc>
          </w:sdtContent>
        </w:sdt>
        <w:sdt>
          <w:sdtPr>
            <w:tag w:val="_PLD_ad6f6ce592754c5795e7231f97d8a4e5"/>
            <w:id w:val="-1431193282"/>
          </w:sdtPr>
          <w:sdtContent>
            <w:tc>
              <w:tcPr>
                <w:tcW w:w="1274" w:type="dxa"/>
                <w:noWrap/>
                <w:vAlign w:val="center"/>
              </w:tcPr>
              <w:p>
                <w:pPr>
                  <w:jc w:val="center"/>
                  <w:rPr>
                    <w:rFonts w:hAnsi="Arial"/>
                    <w:bCs/>
                  </w:rPr>
                </w:pPr>
                <w:r>
                  <w:rPr>
                    <w:rFonts w:hAnsi="Arial" w:hint="eastAsia"/>
                    <w:bCs/>
                  </w:rPr>
                  <w:t>是否</w:t>
                </w:r>
                <w:r>
                  <w:rPr>
                    <w:rFonts w:hAnsi="Arial"/>
                    <w:bCs/>
                  </w:rPr>
                  <w:t>为</w:t>
                </w:r>
                <w:r>
                  <w:rPr>
                    <w:rFonts w:hAnsi="Arial" w:hint="eastAsia"/>
                    <w:bCs/>
                  </w:rPr>
                  <w:t>专项</w:t>
                </w:r>
                <w:r>
                  <w:rPr>
                    <w:rFonts w:hAnsi="Arial"/>
                    <w:bCs/>
                  </w:rPr>
                  <w:t>品种债券</w:t>
                </w:r>
              </w:p>
            </w:tc>
          </w:sdtContent>
        </w:sdt>
        <w:sdt>
          <w:sdtPr>
            <w:tag w:val="_PLD_c7941e3f1c954e0895f05741beac7e22"/>
            <w:id w:val="-353414610"/>
          </w:sdtPr>
          <w:sdtContent>
            <w:tc>
              <w:tcPr>
                <w:tcW w:w="1496" w:type="dxa"/>
                <w:noWrap/>
                <w:vAlign w:val="center"/>
              </w:tcPr>
              <w:p>
                <w:pPr>
                  <w:jc w:val="center"/>
                  <w:rPr>
                    <w:rFonts w:hAnsi="Arial"/>
                    <w:bCs/>
                  </w:rPr>
                </w:pPr>
                <w:r>
                  <w:rPr>
                    <w:rFonts w:hAnsi="Arial" w:hint="eastAsia"/>
                    <w:bCs/>
                  </w:rPr>
                  <w:t>专项</w:t>
                </w:r>
                <w:r>
                  <w:rPr>
                    <w:rFonts w:hAnsi="Arial"/>
                    <w:bCs/>
                  </w:rPr>
                  <w:t>品种债券</w:t>
                </w:r>
                <w:r>
                  <w:rPr>
                    <w:rFonts w:hAnsi="Arial" w:hint="eastAsia"/>
                    <w:bCs/>
                  </w:rPr>
                  <w:t>的具体</w:t>
                </w:r>
                <w:r>
                  <w:rPr>
                    <w:rFonts w:hAnsi="Arial"/>
                    <w:bCs/>
                  </w:rPr>
                  <w:t>类型</w:t>
                </w:r>
              </w:p>
            </w:tc>
          </w:sdtContent>
        </w:sdt>
        <w:sdt>
          <w:sdtPr>
            <w:tag w:val="_PLD_8fe4e1fb0c2e4a6ba7490207bc3289f9"/>
            <w:id w:val="362405688"/>
          </w:sdtPr>
          <w:sdtContent>
            <w:tc>
              <w:tcPr>
                <w:tcW w:w="1041" w:type="dxa"/>
                <w:noWrap/>
                <w:vAlign w:val="center"/>
              </w:tcPr>
              <w:p>
                <w:pPr>
                  <w:jc w:val="center"/>
                  <w:rPr>
                    <w:rFonts w:hAnsi="Arial"/>
                    <w:bCs/>
                  </w:rPr>
                </w:pPr>
                <w:r>
                  <w:rPr>
                    <w:rFonts w:hAnsi="Arial" w:hint="eastAsia"/>
                    <w:bCs/>
                  </w:rPr>
                  <w:t>募集资金总额</w:t>
                </w:r>
              </w:p>
            </w:tc>
          </w:sdtContent>
        </w:sdt>
        <w:sdt>
          <w:sdtPr>
            <w:tag w:val="_PLD_d0cc2f22f0aa4a2299369fcf19a21e7f"/>
            <w:id w:val="-960803383"/>
          </w:sdtPr>
          <w:sdtContent>
            <w:tc>
              <w:tcPr>
                <w:tcW w:w="1431" w:type="dxa"/>
                <w:vAlign w:val="center"/>
              </w:tcPr>
              <w:p>
                <w:pPr>
                  <w:jc w:val="center"/>
                  <w:rPr>
                    <w:color w:val="000000" w:themeColor="text1"/>
                  </w:rPr>
                </w:pPr>
                <w:r>
                  <w:rPr>
                    <w:rFonts w:hint="eastAsia"/>
                    <w:color w:val="000000" w:themeColor="text1"/>
                  </w:rPr>
                  <w:t>报告期</w:t>
                </w:r>
                <w:r>
                  <w:rPr>
                    <w:color w:val="000000" w:themeColor="text1"/>
                  </w:rPr>
                  <w:t>末</w:t>
                </w:r>
                <w:r>
                  <w:rPr>
                    <w:rFonts w:hint="eastAsia"/>
                    <w:color w:val="000000" w:themeColor="text1"/>
                  </w:rPr>
                  <w:t>募集</w:t>
                </w:r>
                <w:r>
                  <w:rPr>
                    <w:color w:val="000000" w:themeColor="text1"/>
                  </w:rPr>
                  <w:t>资金余额</w:t>
                </w:r>
              </w:p>
            </w:tc>
          </w:sdtContent>
        </w:sdt>
        <w:sdt>
          <w:sdtPr>
            <w:tag w:val="_PLD_c6792cd79bfa4f6694cb8eafb7af7038"/>
            <w:id w:val="2001454077"/>
          </w:sdtPr>
          <w:sdtContent>
            <w:tc>
              <w:tcPr>
                <w:tcW w:w="1841" w:type="dxa"/>
                <w:noWrap/>
                <w:vAlign w:val="center"/>
              </w:tcPr>
              <w:p>
                <w:pPr>
                  <w:jc w:val="center"/>
                  <w:rPr>
                    <w:rFonts w:hAnsi="Arial"/>
                    <w:bCs/>
                  </w:rPr>
                </w:pPr>
                <w:r>
                  <w:rPr>
                    <w:rFonts w:hint="eastAsia"/>
                    <w:color w:val="000000" w:themeColor="text1"/>
                  </w:rPr>
                  <w:t>报告期</w:t>
                </w:r>
                <w:r>
                  <w:rPr>
                    <w:color w:val="000000" w:themeColor="text1"/>
                  </w:rPr>
                  <w:t>末募集资金</w:t>
                </w:r>
                <w:r>
                  <w:rPr>
                    <w:rFonts w:hint="eastAsia"/>
                    <w:color w:val="000000" w:themeColor="text1"/>
                  </w:rPr>
                  <w:t>专项</w:t>
                </w:r>
                <w:r>
                  <w:rPr>
                    <w:color w:val="000000" w:themeColor="text1"/>
                  </w:rPr>
                  <w:t>账户余额</w:t>
                </w:r>
              </w:p>
            </w:tc>
          </w:sdtContent>
        </w:sdt>
      </w:tr>
      <w:tr>
        <w:trPr>
          <w:trHeight w:val="270"/>
          <w:jc w:val="center"/>
        </w:trPr>
        <w:tc>
          <w:tcPr>
            <w:tcW w:w="1277"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kern w:val="2"/>
                <w:szCs w:val="22"/>
              </w:rPr>
              <w:t>242524</w:t>
            </w:r>
          </w:p>
        </w:tc>
        <w:tc>
          <w:tcPr>
            <w:tcW w:w="1105" w:type="dxa"/>
            <w:tcBorders>
              <w:top w:val="single" w:sz="4" w:space="0" w:color="auto"/>
              <w:left w:val="single" w:sz="4" w:space="0" w:color="auto"/>
              <w:bottom w:val="single" w:sz="4" w:space="0" w:color="auto"/>
              <w:right w:val="single" w:sz="4" w:space="0" w:color="auto"/>
            </w:tcBorders>
            <w:noWrap/>
            <w:vAlign w:val="center"/>
          </w:tcPr>
          <w:p>
            <w:pPr>
              <w:rPr>
                <w:rFonts w:ascii="宋体" w:hAnsi="宋体" w:cstheme="minorBidi"/>
                <w:kern w:val="2"/>
                <w:szCs w:val="22"/>
              </w:rPr>
            </w:pPr>
            <w:r>
              <w:rPr>
                <w:rFonts w:ascii="宋体" w:hAnsi="宋体" w:hint="eastAsia"/>
              </w:rPr>
              <w:t>25兖矿K2</w:t>
            </w:r>
          </w:p>
        </w:tc>
        <w:sdt>
          <w:sdtPr>
            <w:rPr>
              <w:rFonts w:hint="eastAsia"/>
              <w:color w:val="000000"/>
            </w:rPr>
            <w:alias w:val="是否为特定品种债券"/>
            <w:tag w:val="_GBC_cf1e5ed6cbd342b593105dafae5ff83c"/>
            <w:id w:val="500160046"/>
            <w:comboBox>
              <w:listItem w:displayText="是" w:value="是"/>
              <w:listItem w:displayText="否" w:value="否"/>
            </w:comboBox>
          </w:sdtPr>
          <w:sdtContent>
            <w:tc>
              <w:tcPr>
                <w:tcW w:w="1274" w:type="dxa"/>
                <w:noWrap/>
                <w:vAlign w:val="center"/>
              </w:tcPr>
              <w:p>
                <w:pPr>
                  <w:jc w:val="center"/>
                  <w:rPr>
                    <w:color w:val="000000"/>
                  </w:rPr>
                </w:pPr>
                <w:r>
                  <w:rPr>
                    <w:rFonts w:hint="eastAsia"/>
                    <w:color w:val="000000"/>
                  </w:rPr>
                  <w:t>是</w:t>
                </w:r>
              </w:p>
            </w:tc>
          </w:sdtContent>
        </w:sdt>
        <w:tc>
          <w:tcPr>
            <w:tcW w:w="1496"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cs="宋体" w:hint="eastAsia"/>
              </w:rPr>
              <w:t>科技创新债券</w:t>
            </w:r>
          </w:p>
        </w:tc>
        <w:tc>
          <w:tcPr>
            <w:tcW w:w="10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cstheme="minorBidi" w:hint="eastAsia"/>
                <w:kern w:val="2"/>
                <w:szCs w:val="22"/>
              </w:rPr>
              <w:t>30</w:t>
            </w:r>
          </w:p>
        </w:tc>
        <w:tc>
          <w:tcPr>
            <w:tcW w:w="14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8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r>
      <w:tr>
        <w:trPr>
          <w:trHeight w:val="270"/>
          <w:jc w:val="center"/>
        </w:trPr>
        <w:tc>
          <w:tcPr>
            <w:tcW w:w="1277"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kern w:val="2"/>
                <w:szCs w:val="22"/>
              </w:rPr>
              <w:t>243216</w:t>
            </w:r>
          </w:p>
        </w:tc>
        <w:tc>
          <w:tcPr>
            <w:tcW w:w="1105"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hint="eastAsia"/>
              </w:rPr>
              <w:t>兖矿KY04</w:t>
            </w:r>
          </w:p>
        </w:tc>
        <w:sdt>
          <w:sdtPr>
            <w:rPr>
              <w:rFonts w:hint="eastAsia"/>
              <w:color w:val="000000"/>
            </w:rPr>
            <w:alias w:val="是否为特定品种债券"/>
            <w:tag w:val="_GBC_cf1e5ed6cbd342b593105dafae5ff83c"/>
            <w:id w:val="41337913"/>
            <w:comboBox>
              <w:listItem w:displayText="是" w:value="是"/>
              <w:listItem w:displayText="否" w:value="否"/>
            </w:comboBox>
          </w:sdtPr>
          <w:sdtContent>
            <w:tc>
              <w:tcPr>
                <w:tcW w:w="1274" w:type="dxa"/>
                <w:noWrap/>
                <w:vAlign w:val="center"/>
              </w:tcPr>
              <w:p>
                <w:pPr>
                  <w:jc w:val="center"/>
                  <w:rPr>
                    <w:color w:val="000000"/>
                  </w:rPr>
                </w:pPr>
                <w:r>
                  <w:rPr>
                    <w:rFonts w:hint="eastAsia"/>
                    <w:color w:val="000000"/>
                  </w:rPr>
                  <w:t>是</w:t>
                </w:r>
              </w:p>
            </w:tc>
          </w:sdtContent>
        </w:sdt>
        <w:tc>
          <w:tcPr>
            <w:tcW w:w="1496"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cs="宋体" w:hint="eastAsia"/>
              </w:rPr>
              <w:t>科技创新可续期债券</w:t>
            </w:r>
          </w:p>
        </w:tc>
        <w:tc>
          <w:tcPr>
            <w:tcW w:w="10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cstheme="minorBidi" w:hint="eastAsia"/>
                <w:kern w:val="2"/>
                <w:szCs w:val="22"/>
              </w:rPr>
              <w:t>30</w:t>
            </w:r>
          </w:p>
        </w:tc>
        <w:tc>
          <w:tcPr>
            <w:tcW w:w="14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8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r>
      <w:tr>
        <w:trPr>
          <w:trHeight w:val="270"/>
          <w:jc w:val="center"/>
        </w:trPr>
        <w:tc>
          <w:tcPr>
            <w:tcW w:w="1277"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kern w:val="2"/>
                <w:szCs w:val="22"/>
              </w:rPr>
              <w:t>243671</w:t>
            </w:r>
          </w:p>
        </w:tc>
        <w:tc>
          <w:tcPr>
            <w:tcW w:w="1105"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hint="eastAsia"/>
              </w:rPr>
              <w:t>25兖矿K3</w:t>
            </w:r>
          </w:p>
        </w:tc>
        <w:tc>
          <w:tcPr>
            <w:tcW w:w="1274" w:type="dxa"/>
            <w:noWrap/>
            <w:vAlign w:val="center"/>
          </w:tcPr>
          <w:p>
            <w:pPr>
              <w:jc w:val="center"/>
              <w:rPr>
                <w:color w:val="000000"/>
              </w:rPr>
            </w:pPr>
            <w:r>
              <w:rPr>
                <w:rFonts w:hint="eastAsia"/>
                <w:color w:val="000000"/>
              </w:rPr>
              <w:t>是</w:t>
            </w:r>
          </w:p>
        </w:tc>
        <w:tc>
          <w:tcPr>
            <w:tcW w:w="1496"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cs="宋体" w:hint="eastAsia"/>
              </w:rPr>
              <w:t>科技创新债券</w:t>
            </w:r>
          </w:p>
        </w:tc>
        <w:tc>
          <w:tcPr>
            <w:tcW w:w="10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cstheme="minorBidi" w:hint="eastAsia"/>
                <w:kern w:val="2"/>
                <w:szCs w:val="22"/>
              </w:rPr>
              <w:t>20</w:t>
            </w:r>
          </w:p>
        </w:tc>
        <w:tc>
          <w:tcPr>
            <w:tcW w:w="14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8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r>
      <w:tr>
        <w:trPr>
          <w:trHeight w:val="270"/>
          <w:jc w:val="center"/>
        </w:trPr>
        <w:tc>
          <w:tcPr>
            <w:tcW w:w="1277"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kern w:val="2"/>
                <w:szCs w:val="22"/>
              </w:rPr>
              <w:t>244297</w:t>
            </w:r>
          </w:p>
        </w:tc>
        <w:tc>
          <w:tcPr>
            <w:tcW w:w="1105"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hint="eastAsia"/>
              </w:rPr>
              <w:t>25兖矿K6</w:t>
            </w:r>
          </w:p>
        </w:tc>
        <w:tc>
          <w:tcPr>
            <w:tcW w:w="1274" w:type="dxa"/>
            <w:noWrap/>
            <w:vAlign w:val="center"/>
          </w:tcPr>
          <w:p>
            <w:pPr>
              <w:jc w:val="center"/>
              <w:rPr>
                <w:color w:val="000000"/>
              </w:rPr>
            </w:pPr>
            <w:r>
              <w:rPr>
                <w:rFonts w:hint="eastAsia"/>
                <w:color w:val="000000"/>
              </w:rPr>
              <w:t>是</w:t>
            </w:r>
          </w:p>
        </w:tc>
        <w:tc>
          <w:tcPr>
            <w:tcW w:w="1496"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cs="宋体" w:hint="eastAsia"/>
              </w:rPr>
              <w:t>科技创新债券</w:t>
            </w:r>
          </w:p>
        </w:tc>
        <w:tc>
          <w:tcPr>
            <w:tcW w:w="10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cstheme="minorBidi" w:hint="eastAsia"/>
                <w:kern w:val="2"/>
                <w:szCs w:val="22"/>
              </w:rPr>
              <w:t>30</w:t>
            </w:r>
          </w:p>
        </w:tc>
        <w:tc>
          <w:tcPr>
            <w:tcW w:w="14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8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r>
      <w:tr>
        <w:trPr>
          <w:trHeight w:val="270"/>
          <w:jc w:val="center"/>
        </w:trPr>
        <w:tc>
          <w:tcPr>
            <w:tcW w:w="1277"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hint="eastAsia"/>
                <w:kern w:val="2"/>
                <w:szCs w:val="22"/>
              </w:rPr>
              <w:t>243905</w:t>
            </w:r>
          </w:p>
        </w:tc>
        <w:tc>
          <w:tcPr>
            <w:tcW w:w="1105"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rPr>
              <w:t>兖矿KY06</w:t>
            </w:r>
          </w:p>
        </w:tc>
        <w:tc>
          <w:tcPr>
            <w:tcW w:w="1274" w:type="dxa"/>
            <w:noWrap/>
            <w:vAlign w:val="center"/>
          </w:tcPr>
          <w:p>
            <w:pPr>
              <w:jc w:val="center"/>
              <w:rPr>
                <w:color w:val="000000"/>
              </w:rPr>
            </w:pPr>
            <w:r>
              <w:rPr>
                <w:rFonts w:hint="eastAsia"/>
                <w:color w:val="000000"/>
              </w:rPr>
              <w:t>是</w:t>
            </w:r>
          </w:p>
        </w:tc>
        <w:tc>
          <w:tcPr>
            <w:tcW w:w="1496" w:type="dxa"/>
            <w:tcBorders>
              <w:top w:val="single" w:sz="4" w:space="0" w:color="auto"/>
              <w:left w:val="single" w:sz="4" w:space="0" w:color="auto"/>
              <w:bottom w:val="single" w:sz="4" w:space="0" w:color="auto"/>
              <w:right w:val="single" w:sz="4" w:space="0" w:color="auto"/>
            </w:tcBorders>
            <w:noWrap/>
            <w:vAlign w:val="center"/>
          </w:tcPr>
          <w:p>
            <w:pPr>
              <w:rPr>
                <w:rFonts w:ascii="宋体" w:hAnsi="宋体" w:cs="宋体"/>
              </w:rPr>
            </w:pPr>
            <w:r>
              <w:rPr>
                <w:rFonts w:ascii="宋体" w:hAnsi="宋体" w:cs="宋体" w:hint="eastAsia"/>
              </w:rPr>
              <w:t>科技创新可续期债券</w:t>
            </w:r>
          </w:p>
        </w:tc>
        <w:tc>
          <w:tcPr>
            <w:tcW w:w="10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cstheme="minorBidi"/>
                <w:kern w:val="2"/>
                <w:szCs w:val="22"/>
              </w:rPr>
            </w:pPr>
            <w:r>
              <w:rPr>
                <w:rFonts w:ascii="宋体" w:hAnsi="宋体" w:cstheme="minorBidi" w:hint="eastAsia"/>
                <w:kern w:val="2"/>
                <w:szCs w:val="22"/>
              </w:rPr>
              <w:t>30</w:t>
            </w:r>
          </w:p>
        </w:tc>
        <w:tc>
          <w:tcPr>
            <w:tcW w:w="14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841"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r>
    </w:tbl>
    <w:p>
      <w:pPr>
        <w:kinsoku w:val="0"/>
        <w:overflowPunct w:val="0"/>
        <w:rPr>
          <w:color w:val="000000" w:themeColor="text1"/>
        </w:rPr>
      </w:pPr>
    </w:p>
    <w:p>
      <w:pPr>
        <w:pStyle w:val="4"/>
        <w:numPr>
          <w:ilvl w:val="0"/>
          <w:numId w:val="60"/>
        </w:numPr>
        <w:rPr>
          <w:rFonts w:ascii="宋体" w:hAnsi="宋体" w:cs="宋体"/>
          <w:kern w:val="0"/>
          <w:szCs w:val="24"/>
        </w:rPr>
      </w:pPr>
      <w:r>
        <w:rPr>
          <w:rFonts w:ascii="宋体" w:hAnsi="宋体" w:cs="宋体" w:hint="eastAsia"/>
          <w:kern w:val="0"/>
          <w:szCs w:val="24"/>
        </w:rPr>
        <w:t>募集资金用途变更调整情况</w:t>
      </w:r>
    </w:p>
    <w:sdt>
      <w:sdtPr>
        <w:rPr>
          <w:rFonts w:hint="eastAsia"/>
        </w:rPr>
        <w:alias w:val="是否适用：募集资金用途变更调整[双击切换]"/>
        <w:tag w:val="_GBC_1dd1c802c1b84df68c1890b7b1e8de22"/>
        <w:id w:val="930466131"/>
        <w:placeholder>
          <w:docPart w:val="GBC22222222222222222222222222222"/>
        </w:placeholder>
      </w:sdtPr>
      <w:sdtContent>
        <w:p>
          <w:pPr>
            <w:pStyle w:val="Style49"/>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pPr>
        <w:pStyle w:val="Style49"/>
        <w:rPr>
          <w:color w:val="000000" w:themeColor="text1"/>
        </w:rPr>
      </w:pPr>
    </w:p>
    <w:p>
      <w:pPr>
        <w:pStyle w:val="4"/>
        <w:numPr>
          <w:ilvl w:val="0"/>
          <w:numId w:val="60"/>
        </w:numPr>
        <w:ind w:left="360" w:hanging="360"/>
        <w:rPr>
          <w:rFonts w:ascii="宋体" w:hAnsi="宋体" w:cs="宋体"/>
          <w:kern w:val="0"/>
          <w:szCs w:val="24"/>
        </w:rPr>
      </w:pPr>
      <w:bookmarkStart w:id="293" w:name="_Hlk213666378"/>
      <w:r>
        <w:rPr>
          <w:rFonts w:ascii="宋体" w:hAnsi="宋体" w:cs="宋体" w:hint="eastAsia"/>
          <w:kern w:val="0"/>
          <w:szCs w:val="24"/>
        </w:rPr>
        <w:t>募集资金的使用情况</w:t>
      </w:r>
    </w:p>
    <w:p>
      <w:pPr>
        <w:pStyle w:val="5"/>
        <w:numPr>
          <w:ilvl w:val="0"/>
          <w:numId w:val="61"/>
        </w:numPr>
        <w:ind w:left="547" w:hanging="442"/>
      </w:pPr>
      <w:r>
        <w:rPr>
          <w:rFonts w:hint="eastAsia"/>
        </w:rPr>
        <w:t>实际使用情况（此处不含临时补流）</w:t>
      </w:r>
    </w:p>
    <w:p>
      <w:pPr>
        <w:jc w:val="right"/>
        <w:rPr>
          <w:color w:val="000000" w:themeColor="text1"/>
        </w:rPr>
      </w:pPr>
      <w:r>
        <w:rPr>
          <w:rFonts w:hint="eastAsia"/>
          <w:color w:val="000000" w:themeColor="text1"/>
        </w:rPr>
        <w:t>单位：</w:t>
      </w:r>
      <w:sdt>
        <w:sdtPr>
          <w:rPr>
            <w:rFonts w:hint="eastAsia"/>
            <w:color w:val="000000" w:themeColor="text1"/>
          </w:rPr>
          <w:alias w:val="单位：募集资金实际使用情况"/>
          <w:tag w:val="_GBC_2760425bd2264c77b51ef005f19dc8ec"/>
          <w:id w:val="-8258984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亿元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募集资金实际使用情况"/>
          <w:tag w:val="_GBC_989fc80c71b7451aac0624cf1f67c491"/>
          <w:id w:val="-14879320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Style63"/>
        <w:tblW w:w="90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1004"/>
        <w:gridCol w:w="1006"/>
        <w:gridCol w:w="1004"/>
        <w:gridCol w:w="1004"/>
        <w:gridCol w:w="1006"/>
        <w:gridCol w:w="1004"/>
        <w:gridCol w:w="1004"/>
        <w:gridCol w:w="1006"/>
      </w:tblGrid>
      <w:tr>
        <w:trPr>
          <w:trHeight w:val="525"/>
        </w:trPr>
        <w:sdt>
          <w:sdtPr>
            <w:tag w:val="_PLD_69facf5a32634d9cad4757227ec80c63"/>
            <w:id w:val="2042004682"/>
          </w:sdtPr>
          <w:sdtContent>
            <w:tc>
              <w:tcPr>
                <w:tcW w:w="1004" w:type="dxa"/>
                <w:noWrap/>
                <w:vAlign w:val="center"/>
              </w:tcPr>
              <w:p>
                <w:pPr>
                  <w:jc w:val="center"/>
                  <w:rPr>
                    <w:rFonts w:hAnsi="Arial"/>
                    <w:bCs/>
                  </w:rPr>
                </w:pPr>
                <w:r>
                  <w:rPr>
                    <w:rFonts w:hAnsi="Arial" w:hint="eastAsia"/>
                  </w:rPr>
                  <w:t>债券代码</w:t>
                </w:r>
              </w:p>
            </w:tc>
          </w:sdtContent>
        </w:sdt>
        <w:sdt>
          <w:sdtPr>
            <w:tag w:val="_PLD_a5fcc3527d5745039e895d0255d899d5"/>
            <w:id w:val="-1729531716"/>
          </w:sdtPr>
          <w:sdtContent>
            <w:tc>
              <w:tcPr>
                <w:tcW w:w="1004" w:type="dxa"/>
                <w:noWrap/>
                <w:vAlign w:val="center"/>
              </w:tcPr>
              <w:p>
                <w:pPr>
                  <w:jc w:val="center"/>
                  <w:rPr>
                    <w:rFonts w:hAnsi="Arial"/>
                    <w:bCs/>
                  </w:rPr>
                </w:pPr>
                <w:r>
                  <w:rPr>
                    <w:rFonts w:hAnsi="Arial" w:hint="eastAsia"/>
                  </w:rPr>
                  <w:t>债券简称</w:t>
                </w:r>
              </w:p>
            </w:tc>
          </w:sdtContent>
        </w:sdt>
        <w:sdt>
          <w:sdtPr>
            <w:tag w:val="_PLD_261e82c8e4124c8fb35460a612e237fe"/>
            <w:id w:val="769584328"/>
          </w:sdtPr>
          <w:sdtContent>
            <w:tc>
              <w:tcPr>
                <w:tcW w:w="1006" w:type="dxa"/>
                <w:noWrap/>
                <w:vAlign w:val="center"/>
              </w:tcPr>
              <w:p>
                <w:pPr>
                  <w:jc w:val="center"/>
                  <w:rPr>
                    <w:rFonts w:hAnsi="Arial"/>
                    <w:bCs/>
                  </w:rPr>
                </w:pPr>
                <w:r>
                  <w:rPr>
                    <w:rFonts w:hint="eastAsia"/>
                    <w:color w:val="000000" w:themeColor="text1"/>
                  </w:rPr>
                  <w:t>报告期内</w:t>
                </w:r>
                <w:r>
                  <w:rPr>
                    <w:color w:val="000000" w:themeColor="text1"/>
                  </w:rPr>
                  <w:t>募集资金</w:t>
                </w:r>
                <w:r>
                  <w:rPr>
                    <w:rFonts w:hint="eastAsia"/>
                    <w:color w:val="000000" w:themeColor="text1"/>
                  </w:rPr>
                  <w:t>实际</w:t>
                </w:r>
                <w:r>
                  <w:rPr>
                    <w:color w:val="000000" w:themeColor="text1"/>
                  </w:rPr>
                  <w:t>使用</w:t>
                </w:r>
                <w:r>
                  <w:rPr>
                    <w:rFonts w:hint="eastAsia"/>
                    <w:color w:val="000000" w:themeColor="text1"/>
                  </w:rPr>
                  <w:t>金额</w:t>
                </w:r>
              </w:p>
            </w:tc>
          </w:sdtContent>
        </w:sdt>
        <w:sdt>
          <w:sdtPr>
            <w:tag w:val="_PLD_18380ef64a874cbe856ca49b0c654ad8"/>
            <w:id w:val="383995427"/>
          </w:sdtPr>
          <w:sdtContent>
            <w:tc>
              <w:tcPr>
                <w:tcW w:w="1004" w:type="dxa"/>
                <w:noWrap/>
                <w:vAlign w:val="center"/>
              </w:tcPr>
              <w:p>
                <w:pPr>
                  <w:jc w:val="center"/>
                  <w:rPr>
                    <w:rFonts w:hAnsi="Arial"/>
                    <w:bCs/>
                  </w:rPr>
                </w:pPr>
                <w:r>
                  <w:rPr>
                    <w:rFonts w:hint="eastAsia"/>
                    <w:color w:val="000000" w:themeColor="text1"/>
                  </w:rPr>
                  <w:t>偿还</w:t>
                </w:r>
                <w:r>
                  <w:rPr>
                    <w:color w:val="000000" w:themeColor="text1"/>
                  </w:rPr>
                  <w:t>有息债务</w:t>
                </w:r>
                <w:r>
                  <w:rPr>
                    <w:rFonts w:hint="eastAsia"/>
                    <w:color w:val="000000" w:themeColor="text1"/>
                  </w:rPr>
                  <w:t>（不含</w:t>
                </w:r>
                <w:r>
                  <w:rPr>
                    <w:color w:val="000000" w:themeColor="text1"/>
                  </w:rPr>
                  <w:t>公司</w:t>
                </w:r>
                <w:r>
                  <w:rPr>
                    <w:rFonts w:hint="eastAsia"/>
                    <w:color w:val="000000" w:themeColor="text1"/>
                  </w:rPr>
                  <w:t>债券）金额</w:t>
                </w:r>
              </w:p>
            </w:tc>
          </w:sdtContent>
        </w:sdt>
        <w:sdt>
          <w:sdtPr>
            <w:tag w:val="_PLD_ce1ca89b45f54fa19d54d63b900cafa1"/>
            <w:id w:val="-611593173"/>
          </w:sdtPr>
          <w:sdtContent>
            <w:tc>
              <w:tcPr>
                <w:tcW w:w="1004" w:type="dxa"/>
                <w:noWrap/>
                <w:vAlign w:val="center"/>
              </w:tcPr>
              <w:p>
                <w:pPr>
                  <w:jc w:val="center"/>
                  <w:rPr>
                    <w:rFonts w:hAnsi="Arial"/>
                    <w:bCs/>
                  </w:rPr>
                </w:pPr>
                <w:r>
                  <w:rPr>
                    <w:rFonts w:hint="eastAsia"/>
                    <w:color w:val="000000" w:themeColor="text1"/>
                  </w:rPr>
                  <w:t>偿还</w:t>
                </w:r>
                <w:r>
                  <w:rPr>
                    <w:color w:val="000000" w:themeColor="text1"/>
                  </w:rPr>
                  <w:t>公司债券金额</w:t>
                </w:r>
              </w:p>
            </w:tc>
          </w:sdtContent>
        </w:sdt>
        <w:sdt>
          <w:sdtPr>
            <w:tag w:val="_PLD_9da0180aebe348c2927a9fa785af0c60"/>
            <w:id w:val="-687607192"/>
          </w:sdtPr>
          <w:sdtContent>
            <w:tc>
              <w:tcPr>
                <w:tcW w:w="1006" w:type="dxa"/>
                <w:noWrap/>
                <w:vAlign w:val="center"/>
              </w:tcPr>
              <w:p>
                <w:pPr>
                  <w:jc w:val="center"/>
                  <w:rPr>
                    <w:rFonts w:hAnsi="Arial"/>
                    <w:bCs/>
                  </w:rPr>
                </w:pPr>
                <w:r>
                  <w:rPr>
                    <w:color w:val="000000" w:themeColor="text1"/>
                  </w:rPr>
                  <w:t>补充流动资金金额</w:t>
                </w:r>
              </w:p>
            </w:tc>
          </w:sdtContent>
        </w:sdt>
        <w:sdt>
          <w:sdtPr>
            <w:tag w:val="_PLD_2a44e93c81ba41f6aaec35198b38be48"/>
            <w:id w:val="-492945617"/>
          </w:sdtPr>
          <w:sdtContent>
            <w:tc>
              <w:tcPr>
                <w:tcW w:w="1004" w:type="dxa"/>
                <w:noWrap/>
                <w:vAlign w:val="center"/>
              </w:tcPr>
              <w:p>
                <w:pPr>
                  <w:jc w:val="center"/>
                  <w:rPr>
                    <w:rFonts w:hAnsi="Arial"/>
                    <w:bCs/>
                  </w:rPr>
                </w:pPr>
                <w:r>
                  <w:rPr>
                    <w:rFonts w:hint="eastAsia"/>
                    <w:color w:val="000000" w:themeColor="text1"/>
                  </w:rPr>
                  <w:t>固定资产投资项目涉及金额</w:t>
                </w:r>
              </w:p>
            </w:tc>
          </w:sdtContent>
        </w:sdt>
        <w:tc>
          <w:tcPr>
            <w:tcW w:w="1004" w:type="dxa"/>
            <w:vAlign w:val="center"/>
          </w:tcPr>
          <w:sdt>
            <w:sdtPr>
              <w:tag w:val="_PLD_a9bae6255fec45f8abe654c983e239d4"/>
              <w:id w:val="1361698475"/>
            </w:sdtPr>
            <w:sdtContent>
              <w:p>
                <w:pPr>
                  <w:jc w:val="center"/>
                  <w:rPr>
                    <w:color w:val="000000" w:themeColor="text1"/>
                  </w:rPr>
                </w:pPr>
                <w:r>
                  <w:rPr>
                    <w:rFonts w:hint="eastAsia"/>
                    <w:color w:val="000000" w:themeColor="text1"/>
                  </w:rPr>
                  <w:t>股权投资、债权投资或资产收购涉及金额</w:t>
                </w:r>
              </w:p>
            </w:sdtContent>
          </w:sdt>
        </w:tc>
        <w:sdt>
          <w:sdtPr>
            <w:tag w:val="_PLD_b7b42106ec0f44258e7919c4fc121552"/>
            <w:id w:val="-1153140039"/>
          </w:sdtPr>
          <w:sdtContent>
            <w:tc>
              <w:tcPr>
                <w:tcW w:w="1006" w:type="dxa"/>
                <w:vAlign w:val="center"/>
              </w:tcPr>
              <w:p>
                <w:pPr>
                  <w:jc w:val="center"/>
                  <w:rPr>
                    <w:color w:val="000000" w:themeColor="text1"/>
                  </w:rPr>
                </w:pPr>
                <w:r>
                  <w:rPr>
                    <w:rFonts w:hint="eastAsia"/>
                    <w:color w:val="000000" w:themeColor="text1"/>
                  </w:rPr>
                  <w:t>其他</w:t>
                </w:r>
                <w:r>
                  <w:rPr>
                    <w:color w:val="000000" w:themeColor="text1"/>
                  </w:rPr>
                  <w:t>用途</w:t>
                </w:r>
                <w:r>
                  <w:rPr>
                    <w:rFonts w:hint="eastAsia"/>
                    <w:color w:val="000000" w:themeColor="text1"/>
                  </w:rPr>
                  <w:t>金额</w:t>
                </w:r>
              </w:p>
            </w:tc>
          </w:sdtContent>
        </w:sdt>
      </w:tr>
      <w:tr>
        <w:trPr>
          <w:trHeight w:val="270"/>
        </w:trPr>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bookmarkStart w:id="294" w:name="_Hlk184029863"/>
            <w:r>
              <w:rPr>
                <w:rFonts w:ascii="宋体" w:hAnsi="宋体" w:hint="eastAsia"/>
                <w:kern w:val="2"/>
                <w:szCs w:val="22"/>
              </w:rPr>
              <w:t>242524</w:t>
            </w:r>
          </w:p>
        </w:tc>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cstheme="minorBidi"/>
                <w:kern w:val="2"/>
                <w:szCs w:val="22"/>
              </w:rPr>
            </w:pPr>
            <w:r>
              <w:rPr>
                <w:rFonts w:ascii="宋体" w:hAnsi="宋体" w:hint="eastAsia"/>
              </w:rPr>
              <w:t>25兖矿K2</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cstheme="minorBidi" w:hint="eastAsia"/>
                <w:kern w:val="2"/>
                <w:szCs w:val="22"/>
              </w:rPr>
              <w:t>30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27</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3</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00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r>
      <w:tr>
        <w:trPr>
          <w:trHeight w:val="270"/>
        </w:trPr>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kern w:val="2"/>
                <w:szCs w:val="22"/>
              </w:rPr>
              <w:t>243216</w:t>
            </w:r>
          </w:p>
        </w:tc>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hint="eastAsia"/>
              </w:rPr>
              <w:t>兖矿KY04</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cstheme="minorBidi" w:hint="eastAsia"/>
                <w:kern w:val="2"/>
                <w:szCs w:val="22"/>
              </w:rPr>
              <w:t>30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20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10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00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r>
      <w:tr>
        <w:trPr>
          <w:trHeight w:val="270"/>
        </w:trPr>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kern w:val="2"/>
                <w:szCs w:val="22"/>
              </w:rPr>
              <w:t>243671</w:t>
            </w:r>
          </w:p>
        </w:tc>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hint="eastAsia"/>
              </w:rPr>
              <w:t>25兖矿K3</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cstheme="minorBidi" w:hint="eastAsia"/>
                <w:kern w:val="2"/>
                <w:szCs w:val="22"/>
              </w:rPr>
              <w:t>20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20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00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r>
      <w:tr>
        <w:trPr>
          <w:trHeight w:val="270"/>
        </w:trPr>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kern w:val="2"/>
                <w:szCs w:val="22"/>
              </w:rPr>
              <w:t>244297</w:t>
            </w:r>
          </w:p>
        </w:tc>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hint="eastAsia"/>
              </w:rPr>
              <w:t>25兖矿K6</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cstheme="minorBidi" w:hint="eastAsia"/>
                <w:kern w:val="2"/>
                <w:szCs w:val="22"/>
              </w:rPr>
              <w:t>30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30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00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r>
      <w:tr>
        <w:trPr>
          <w:trHeight w:val="270"/>
        </w:trPr>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rPr>
            </w:pPr>
            <w:r>
              <w:rPr>
                <w:rFonts w:ascii="宋体" w:hAnsi="宋体" w:hint="eastAsia"/>
                <w:kern w:val="2"/>
                <w:szCs w:val="22"/>
              </w:rPr>
              <w:t>243905</w:t>
            </w:r>
          </w:p>
        </w:tc>
        <w:tc>
          <w:tcPr>
            <w:tcW w:w="1004" w:type="dxa"/>
            <w:tcBorders>
              <w:top w:val="single" w:sz="4" w:space="0" w:color="auto"/>
              <w:left w:val="single" w:sz="4" w:space="0" w:color="auto"/>
              <w:bottom w:val="single" w:sz="4" w:space="0" w:color="auto"/>
              <w:right w:val="single" w:sz="4" w:space="0" w:color="auto"/>
            </w:tcBorders>
            <w:noWrap/>
            <w:vAlign w:val="center"/>
          </w:tcPr>
          <w:p>
            <w:pPr>
              <w:rPr>
                <w:rFonts w:ascii="宋体" w:hAnsi="宋体"/>
                <w:kern w:val="2"/>
                <w:szCs w:val="22"/>
              </w:rPr>
            </w:pPr>
            <w:r>
              <w:rPr>
                <w:rFonts w:ascii="宋体" w:hAnsi="宋体" w:hint="eastAsia"/>
              </w:rPr>
              <w:t>兖矿KY06</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cstheme="minorBidi"/>
                <w:kern w:val="2"/>
                <w:szCs w:val="22"/>
              </w:rPr>
            </w:pPr>
            <w:r>
              <w:rPr>
                <w:rFonts w:ascii="宋体" w:hAnsi="宋体" w:cstheme="minorBidi" w:hint="eastAsia"/>
                <w:kern w:val="2"/>
                <w:szCs w:val="22"/>
              </w:rPr>
              <w:t>30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15</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15</w:t>
            </w:r>
          </w:p>
        </w:tc>
        <w:tc>
          <w:tcPr>
            <w:tcW w:w="1006"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noWrap/>
            <w:vAlign w:val="center"/>
          </w:tcPr>
          <w:p>
            <w:pPr>
              <w:jc w:val="right"/>
              <w:rPr>
                <w:rFonts w:ascii="宋体" w:hAnsi="宋体"/>
              </w:rPr>
            </w:pPr>
            <w:r>
              <w:rPr>
                <w:rFonts w:ascii="宋体" w:hAnsi="宋体" w:hint="eastAsia"/>
              </w:rPr>
              <w:t>0</w:t>
            </w:r>
          </w:p>
        </w:tc>
        <w:tc>
          <w:tcPr>
            <w:tcW w:w="10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c>
          <w:tcPr>
            <w:tcW w:w="100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r>
    </w:tbl>
    <w:p>
      <w:pPr>
        <w:kinsoku w:val="0"/>
        <w:overflowPunct w:val="0"/>
        <w:rPr>
          <w:color w:val="000000" w:themeColor="text1"/>
        </w:rPr>
      </w:pPr>
    </w:p>
    <w:bookmarkEnd w:id="294"/>
    <w:p>
      <w:pPr>
        <w:pStyle w:val="5"/>
        <w:numPr>
          <w:ilvl w:val="0"/>
          <w:numId w:val="61"/>
        </w:numPr>
        <w:ind w:left="547" w:hanging="442"/>
      </w:pPr>
      <w:r>
        <w:rPr>
          <w:rFonts w:hint="eastAsia"/>
        </w:rPr>
        <w:t>募集</w:t>
      </w:r>
      <w:r>
        <w:t>资金</w:t>
      </w:r>
      <w:r>
        <w:rPr>
          <w:rFonts w:hint="eastAsia"/>
        </w:rPr>
        <w:t>用于</w:t>
      </w:r>
      <w:r>
        <w:t>偿还</w:t>
      </w:r>
      <w:r>
        <w:rPr>
          <w:rFonts w:hint="eastAsia"/>
        </w:rPr>
        <w:t>公司债券及</w:t>
      </w:r>
      <w:r>
        <w:t>其他</w:t>
      </w:r>
      <w:r>
        <w:rPr>
          <w:rFonts w:hint="eastAsia"/>
        </w:rPr>
        <w:t>有息</w:t>
      </w:r>
      <w:r>
        <w:t>债务</w:t>
      </w:r>
    </w:p>
    <w:sdt>
      <w:sdtPr>
        <w:rPr>
          <w:bCs/>
          <w:color w:val="000000" w:themeColor="text1"/>
          <w:kern w:val="2"/>
        </w:rPr>
        <w:alias w:val="是否适用：募集资金用于偿还公司债券及其他有息债务[双击切换]"/>
        <w:tag w:val="_GBC_8df1ef2804b94184b8f09d35e789acce"/>
        <w:id w:val="1885219662"/>
        <w:placeholder>
          <w:docPart w:val="GBC22222222222222222222222222222"/>
        </w:placeholder>
      </w:sdtPr>
      <w:sdtContent>
        <w:p>
          <w:pPr>
            <w:rPr>
              <w:bCs/>
              <w:color w:val="000000" w:themeColor="text1"/>
              <w:kern w:val="2"/>
            </w:rPr>
          </w:pPr>
          <w:r>
            <w:rPr>
              <w:rFonts w:ascii="宋体" w:hAnsi="宋体"/>
              <w:bCs/>
              <w:color w:val="000000" w:themeColor="text1"/>
              <w:kern w:val="2"/>
            </w:rPr>
            <w:fldChar w:fldCharType="begin"/>
          </w:r>
          <w:r>
            <w:rPr>
              <w:rFonts w:ascii="宋体" w:hAnsi="宋体"/>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tbl>
      <w:tblPr>
        <w:tblStyle w:val="Style63"/>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262"/>
        <w:gridCol w:w="2262"/>
        <w:gridCol w:w="2262"/>
      </w:tblGrid>
      <w:tr>
        <w:trPr>
          <w:trHeight w:val="70"/>
        </w:trPr>
        <w:sdt>
          <w:sdtPr>
            <w:tag w:val="_PLD_4c65789c38a24a9d90638bb8227a9a6c"/>
            <w:id w:val="-1545897761"/>
          </w:sdtPr>
          <w:sdtContent>
            <w:tc>
              <w:tcPr>
                <w:tcW w:w="2262" w:type="dxa"/>
                <w:noWrap/>
                <w:vAlign w:val="center"/>
              </w:tcPr>
              <w:p>
                <w:pPr>
                  <w:jc w:val="center"/>
                  <w:rPr>
                    <w:rFonts w:hAnsi="Arial"/>
                    <w:bCs/>
                    <w:color w:val="000000" w:themeColor="text1"/>
                  </w:rPr>
                </w:pPr>
                <w:r>
                  <w:rPr>
                    <w:rFonts w:hAnsi="Arial" w:hint="eastAsia"/>
                    <w:color w:val="000000" w:themeColor="text1"/>
                  </w:rPr>
                  <w:t>债券代码</w:t>
                </w:r>
              </w:p>
            </w:tc>
          </w:sdtContent>
        </w:sdt>
        <w:sdt>
          <w:sdtPr>
            <w:tag w:val="_PLD_f83cbb1b4e5c4bb98e8f057a89735f3c"/>
            <w:id w:val="1300042214"/>
          </w:sdtPr>
          <w:sdtContent>
            <w:tc>
              <w:tcPr>
                <w:tcW w:w="2262" w:type="dxa"/>
                <w:noWrap/>
                <w:vAlign w:val="center"/>
              </w:tcPr>
              <w:p>
                <w:pPr>
                  <w:jc w:val="center"/>
                  <w:rPr>
                    <w:rFonts w:hAnsi="Arial"/>
                    <w:bCs/>
                    <w:color w:val="000000" w:themeColor="text1"/>
                  </w:rPr>
                </w:pPr>
                <w:r>
                  <w:rPr>
                    <w:rFonts w:hAnsi="Arial" w:hint="eastAsia"/>
                    <w:color w:val="000000" w:themeColor="text1"/>
                  </w:rPr>
                  <w:t>债券简称</w:t>
                </w:r>
              </w:p>
            </w:tc>
          </w:sdtContent>
        </w:sdt>
        <w:sdt>
          <w:sdtPr>
            <w:tag w:val="_PLD_f57cd9e701f246c291a4dd16a5754769"/>
            <w:id w:val="-361359109"/>
          </w:sdtPr>
          <w:sdtContent>
            <w:tc>
              <w:tcPr>
                <w:tcW w:w="2262" w:type="dxa"/>
                <w:noWrap/>
                <w:vAlign w:val="center"/>
              </w:tcPr>
              <w:p>
                <w:pPr>
                  <w:jc w:val="center"/>
                  <w:rPr>
                    <w:rFonts w:hAnsi="Arial"/>
                    <w:bCs/>
                    <w:color w:val="000000" w:themeColor="text1"/>
                  </w:rPr>
                </w:pPr>
                <w:r>
                  <w:rPr>
                    <w:rFonts w:hAnsi="Arial" w:hint="eastAsia"/>
                    <w:color w:val="000000" w:themeColor="text1"/>
                  </w:rPr>
                  <w:t>偿还公司债券的具体情况</w:t>
                </w:r>
              </w:p>
            </w:tc>
          </w:sdtContent>
        </w:sdt>
        <w:sdt>
          <w:sdtPr>
            <w:tag w:val="_PLD_4bd3f8f660564554b24e831afe83931c"/>
            <w:id w:val="-1412074489"/>
          </w:sdtPr>
          <w:sdtContent>
            <w:tc>
              <w:tcPr>
                <w:tcW w:w="2262" w:type="dxa"/>
                <w:vAlign w:val="center"/>
              </w:tcPr>
              <w:p>
                <w:pPr>
                  <w:jc w:val="center"/>
                  <w:rPr>
                    <w:rFonts w:hAnsi="Arial"/>
                    <w:bCs/>
                    <w:color w:val="000000" w:themeColor="text1"/>
                  </w:rPr>
                </w:pPr>
                <w:r>
                  <w:rPr>
                    <w:rFonts w:hAnsi="Arial" w:hint="eastAsia"/>
                    <w:color w:val="000000" w:themeColor="text1"/>
                  </w:rPr>
                  <w:t>偿还其他有息债务（不含公司债券）的具体情况</w:t>
                </w:r>
              </w:p>
            </w:tc>
          </w:sdtContent>
        </w:sdt>
      </w:tr>
      <w:tr>
        <w:trPr>
          <w:trHeight w:val="270"/>
        </w:trPr>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kern w:val="2"/>
                <w:szCs w:val="22"/>
              </w:rPr>
              <w:lastRenderedPageBreak/>
              <w:t>242524</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25兖矿K2</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cs="宋体"/>
                <w:bCs/>
              </w:rPr>
            </w:pPr>
            <w:r>
              <w:rPr>
                <w:rFonts w:ascii="宋体" w:hAnsi="宋体" w:cs="宋体" w:hint="eastAsia"/>
                <w:bCs/>
              </w:rPr>
              <w:t>偿还20兖煤02金额27亿元</w:t>
            </w:r>
          </w:p>
        </w:tc>
        <w:tc>
          <w:tcPr>
            <w:tcW w:w="2262"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宋体"/>
                <w:bCs/>
              </w:rPr>
            </w:pPr>
            <w:r>
              <w:rPr>
                <w:rFonts w:ascii="宋体" w:hAnsi="宋体" w:cs="宋体" w:hint="eastAsia"/>
                <w:bCs/>
              </w:rPr>
              <w:t>-</w:t>
            </w:r>
          </w:p>
        </w:tc>
      </w:tr>
      <w:tr>
        <w:trPr>
          <w:trHeight w:val="270"/>
        </w:trPr>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kern w:val="2"/>
                <w:szCs w:val="22"/>
              </w:rPr>
            </w:pPr>
            <w:r>
              <w:rPr>
                <w:rFonts w:ascii="宋体" w:hAnsi="宋体" w:hint="eastAsia"/>
                <w:kern w:val="2"/>
                <w:szCs w:val="22"/>
              </w:rPr>
              <w:t>243216</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兖矿KY04</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cs="宋体"/>
                <w:bCs/>
              </w:rPr>
            </w:pPr>
            <w:r>
              <w:rPr>
                <w:rFonts w:ascii="宋体" w:hAnsi="宋体" w:cs="宋体" w:hint="eastAsia"/>
                <w:bCs/>
              </w:rPr>
              <w:t>-</w:t>
            </w:r>
          </w:p>
        </w:tc>
        <w:tc>
          <w:tcPr>
            <w:tcW w:w="2262"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宋体"/>
                <w:bCs/>
              </w:rPr>
            </w:pPr>
            <w:r>
              <w:rPr>
                <w:rFonts w:ascii="宋体" w:hAnsi="宋体" w:cs="宋体" w:hint="eastAsia"/>
                <w:bCs/>
              </w:rPr>
              <w:t>偿还银行借款20亿元</w:t>
            </w:r>
          </w:p>
        </w:tc>
      </w:tr>
      <w:tr>
        <w:trPr>
          <w:trHeight w:val="270"/>
        </w:trPr>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kern w:val="2"/>
                <w:szCs w:val="22"/>
              </w:rPr>
            </w:pPr>
            <w:r>
              <w:rPr>
                <w:rFonts w:ascii="宋体" w:hAnsi="宋体" w:hint="eastAsia"/>
                <w:kern w:val="2"/>
                <w:szCs w:val="22"/>
              </w:rPr>
              <w:t>243671</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25兖矿K3</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cs="宋体"/>
                <w:bCs/>
              </w:rPr>
            </w:pPr>
            <w:r>
              <w:rPr>
                <w:rFonts w:ascii="宋体" w:hAnsi="宋体" w:cs="宋体" w:hint="eastAsia"/>
                <w:bCs/>
              </w:rPr>
              <w:t>-</w:t>
            </w:r>
          </w:p>
        </w:tc>
        <w:tc>
          <w:tcPr>
            <w:tcW w:w="2262"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宋体"/>
                <w:bCs/>
              </w:rPr>
            </w:pPr>
            <w:r>
              <w:rPr>
                <w:rFonts w:ascii="宋体" w:hAnsi="宋体" w:cs="宋体" w:hint="eastAsia"/>
                <w:bCs/>
              </w:rPr>
              <w:t>偿还超短融20亿元</w:t>
            </w:r>
          </w:p>
        </w:tc>
      </w:tr>
      <w:tr>
        <w:trPr>
          <w:trHeight w:val="270"/>
        </w:trPr>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kern w:val="2"/>
                <w:szCs w:val="22"/>
              </w:rPr>
            </w:pPr>
            <w:r>
              <w:rPr>
                <w:rFonts w:ascii="宋体" w:hAnsi="宋体" w:hint="eastAsia"/>
                <w:kern w:val="2"/>
                <w:szCs w:val="22"/>
              </w:rPr>
              <w:t>244297</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25兖矿K6</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cs="宋体"/>
                <w:bCs/>
              </w:rPr>
            </w:pPr>
            <w:r>
              <w:rPr>
                <w:rFonts w:ascii="宋体" w:hAnsi="宋体" w:cs="宋体" w:hint="eastAsia"/>
                <w:bCs/>
              </w:rPr>
              <w:t>-</w:t>
            </w:r>
          </w:p>
        </w:tc>
        <w:tc>
          <w:tcPr>
            <w:tcW w:w="2262"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宋体"/>
                <w:bCs/>
              </w:rPr>
            </w:pPr>
            <w:r>
              <w:rPr>
                <w:rFonts w:ascii="宋体" w:hAnsi="宋体" w:cs="宋体" w:hint="eastAsia"/>
                <w:bCs/>
              </w:rPr>
              <w:t>偿还银行借款30亿元</w:t>
            </w:r>
          </w:p>
        </w:tc>
      </w:tr>
      <w:tr>
        <w:trPr>
          <w:trHeight w:val="270"/>
        </w:trPr>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kern w:val="2"/>
                <w:szCs w:val="22"/>
              </w:rPr>
              <w:t>243905</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kern w:val="2"/>
                <w:szCs w:val="22"/>
              </w:rPr>
            </w:pPr>
            <w:r>
              <w:rPr>
                <w:rFonts w:ascii="宋体" w:hAnsi="宋体" w:hint="eastAsia"/>
              </w:rPr>
              <w:t>兖矿KY06</w:t>
            </w:r>
          </w:p>
        </w:tc>
        <w:tc>
          <w:tcPr>
            <w:tcW w:w="2262"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cs="宋体"/>
                <w:bCs/>
              </w:rPr>
            </w:pPr>
            <w:r>
              <w:rPr>
                <w:rFonts w:ascii="宋体" w:hAnsi="宋体" w:cs="宋体" w:hint="eastAsia"/>
                <w:bCs/>
              </w:rPr>
              <w:t>偿还20兖煤05金额15亿元</w:t>
            </w:r>
          </w:p>
        </w:tc>
        <w:tc>
          <w:tcPr>
            <w:tcW w:w="2262"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宋体"/>
                <w:bCs/>
              </w:rPr>
            </w:pPr>
            <w:r>
              <w:rPr>
                <w:rFonts w:ascii="宋体" w:hAnsi="宋体" w:cs="宋体" w:hint="eastAsia"/>
                <w:bCs/>
              </w:rPr>
              <w:t>偿还23兖矿能源MTN001金额15亿元</w:t>
            </w:r>
          </w:p>
        </w:tc>
      </w:tr>
    </w:tbl>
    <w:p>
      <w:pPr>
        <w:kinsoku w:val="0"/>
        <w:overflowPunct w:val="0"/>
        <w:rPr>
          <w:color w:val="000000" w:themeColor="text1"/>
        </w:rPr>
      </w:pPr>
    </w:p>
    <w:p>
      <w:pPr>
        <w:pStyle w:val="5"/>
        <w:numPr>
          <w:ilvl w:val="0"/>
          <w:numId w:val="61"/>
        </w:numPr>
        <w:ind w:left="547" w:hanging="442"/>
      </w:pPr>
      <w:bookmarkStart w:id="295" w:name="_Hlk201308318"/>
      <w:r>
        <w:rPr>
          <w:rFonts w:hint="eastAsia"/>
        </w:rPr>
        <w:t>募集</w:t>
      </w:r>
      <w:r>
        <w:t>资金</w:t>
      </w:r>
      <w:r>
        <w:rPr>
          <w:rFonts w:hint="eastAsia"/>
        </w:rPr>
        <w:t>用于补充流动资金（此处不含临时补</w:t>
      </w:r>
      <w:r>
        <w:t>流）</w:t>
      </w:r>
    </w:p>
    <w:sdt>
      <w:sdtPr>
        <w:rPr>
          <w:color w:val="000000" w:themeColor="text1"/>
        </w:rPr>
        <w:alias w:val="是否适用：募集资金用于补充流动资金[双击切换]"/>
        <w:tag w:val="_GBC_1e29caec07394da7b81eefbb8dc5fdf4"/>
        <w:id w:val="-1663225259"/>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Style63"/>
        <w:tblW w:w="89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2807"/>
        <w:gridCol w:w="3384"/>
      </w:tblGrid>
      <w:tr>
        <w:trPr>
          <w:trHeight w:val="70"/>
        </w:trPr>
        <w:sdt>
          <w:sdtPr>
            <w:tag w:val="_PLD_86cd92e21b344d3f9deddc64470f0bd9"/>
            <w:id w:val="1235051605"/>
          </w:sdtPr>
          <w:sdtContent>
            <w:tc>
              <w:tcPr>
                <w:tcW w:w="2807" w:type="dxa"/>
                <w:noWrap/>
                <w:vAlign w:val="center"/>
              </w:tcPr>
              <w:p>
                <w:pPr>
                  <w:jc w:val="center"/>
                  <w:rPr>
                    <w:rFonts w:hAnsi="Arial"/>
                    <w:bCs/>
                    <w:color w:val="000000" w:themeColor="text1"/>
                  </w:rPr>
                </w:pPr>
                <w:r>
                  <w:rPr>
                    <w:rFonts w:hAnsi="Arial" w:hint="eastAsia"/>
                    <w:color w:val="000000" w:themeColor="text1"/>
                  </w:rPr>
                  <w:t>债券代码</w:t>
                </w:r>
              </w:p>
            </w:tc>
          </w:sdtContent>
        </w:sdt>
        <w:sdt>
          <w:sdtPr>
            <w:tag w:val="_PLD_b0fda00181e445ba8262917d66113450"/>
            <w:id w:val="1811741953"/>
          </w:sdtPr>
          <w:sdtContent>
            <w:tc>
              <w:tcPr>
                <w:tcW w:w="2807" w:type="dxa"/>
                <w:noWrap/>
                <w:vAlign w:val="center"/>
              </w:tcPr>
              <w:p>
                <w:pPr>
                  <w:jc w:val="center"/>
                  <w:rPr>
                    <w:rFonts w:hAnsi="Arial"/>
                    <w:bCs/>
                    <w:color w:val="000000" w:themeColor="text1"/>
                  </w:rPr>
                </w:pPr>
                <w:r>
                  <w:rPr>
                    <w:rFonts w:hAnsi="Arial" w:hint="eastAsia"/>
                    <w:color w:val="000000" w:themeColor="text1"/>
                  </w:rPr>
                  <w:t>债券简称</w:t>
                </w:r>
              </w:p>
            </w:tc>
          </w:sdtContent>
        </w:sdt>
        <w:sdt>
          <w:sdtPr>
            <w:tag w:val="_PLD_9d13d38ccd3d460fa72361b02c40b50a"/>
            <w:id w:val="1961138238"/>
          </w:sdtPr>
          <w:sdtContent>
            <w:tc>
              <w:tcPr>
                <w:tcW w:w="3384" w:type="dxa"/>
                <w:noWrap/>
                <w:vAlign w:val="center"/>
              </w:tcPr>
              <w:p>
                <w:pPr>
                  <w:jc w:val="center"/>
                  <w:rPr>
                    <w:rFonts w:hAnsi="Arial"/>
                    <w:bCs/>
                    <w:color w:val="000000" w:themeColor="text1"/>
                  </w:rPr>
                </w:pPr>
                <w:r>
                  <w:rPr>
                    <w:rFonts w:hAnsi="Arial" w:hint="eastAsia"/>
                    <w:color w:val="000000" w:themeColor="text1"/>
                  </w:rPr>
                  <w:t>补充</w:t>
                </w:r>
                <w:r>
                  <w:rPr>
                    <w:rFonts w:hAnsi="Arial"/>
                    <w:color w:val="000000" w:themeColor="text1"/>
                  </w:rPr>
                  <w:t>流动</w:t>
                </w:r>
                <w:r>
                  <w:rPr>
                    <w:rFonts w:hAnsi="Arial" w:hint="eastAsia"/>
                    <w:color w:val="000000" w:themeColor="text1"/>
                  </w:rPr>
                  <w:t>资金</w:t>
                </w:r>
                <w:r>
                  <w:rPr>
                    <w:rFonts w:hAnsi="Arial"/>
                    <w:color w:val="000000" w:themeColor="text1"/>
                  </w:rPr>
                  <w:t>的具体</w:t>
                </w:r>
                <w:r>
                  <w:rPr>
                    <w:rFonts w:hAnsi="Arial" w:hint="eastAsia"/>
                    <w:color w:val="000000" w:themeColor="text1"/>
                  </w:rPr>
                  <w:t>情况</w:t>
                </w:r>
              </w:p>
            </w:tc>
          </w:sdtContent>
        </w:sdt>
      </w:tr>
      <w:tr>
        <w:trPr>
          <w:trHeight w:val="270"/>
        </w:trPr>
        <w:tc>
          <w:tcPr>
            <w:tcW w:w="2807" w:type="dxa"/>
            <w:tcBorders>
              <w:top w:val="single" w:sz="4" w:space="0" w:color="auto"/>
              <w:left w:val="single" w:sz="4" w:space="0" w:color="auto"/>
              <w:bottom w:val="single" w:sz="4" w:space="0" w:color="auto"/>
              <w:right w:val="single" w:sz="4" w:space="0" w:color="auto"/>
            </w:tcBorders>
            <w:noWrap/>
          </w:tcPr>
          <w:p>
            <w:pPr>
              <w:rPr>
                <w:rFonts w:ascii="宋体" w:hAnsi="宋体"/>
              </w:rPr>
            </w:pPr>
            <w:r>
              <w:rPr>
                <w:rFonts w:ascii="宋体" w:hAnsi="宋体" w:hint="eastAsia"/>
                <w:kern w:val="2"/>
                <w:szCs w:val="22"/>
              </w:rPr>
              <w:t>242524</w:t>
            </w:r>
          </w:p>
        </w:tc>
        <w:tc>
          <w:tcPr>
            <w:tcW w:w="2807" w:type="dxa"/>
            <w:tcBorders>
              <w:top w:val="single" w:sz="4" w:space="0" w:color="auto"/>
              <w:left w:val="single" w:sz="4" w:space="0" w:color="auto"/>
              <w:bottom w:val="single" w:sz="4" w:space="0" w:color="auto"/>
              <w:right w:val="single" w:sz="4" w:space="0" w:color="auto"/>
            </w:tcBorders>
            <w:noWrap/>
          </w:tcPr>
          <w:p>
            <w:pPr>
              <w:rPr>
                <w:rFonts w:ascii="宋体" w:hAnsi="宋体"/>
              </w:rPr>
            </w:pPr>
            <w:r>
              <w:rPr>
                <w:rFonts w:ascii="宋体" w:hAnsi="宋体" w:hint="eastAsia"/>
              </w:rPr>
              <w:t>25兖矿K2</w:t>
            </w:r>
          </w:p>
        </w:tc>
        <w:tc>
          <w:tcPr>
            <w:tcW w:w="3384" w:type="dxa"/>
            <w:tcBorders>
              <w:top w:val="single" w:sz="4" w:space="0" w:color="auto"/>
              <w:left w:val="single" w:sz="4" w:space="0" w:color="auto"/>
              <w:bottom w:val="single" w:sz="4" w:space="0" w:color="auto"/>
              <w:right w:val="single" w:sz="4" w:space="0" w:color="auto"/>
            </w:tcBorders>
            <w:noWrap/>
          </w:tcPr>
          <w:p>
            <w:pPr>
              <w:rPr>
                <w:rFonts w:ascii="宋体" w:hAnsi="宋体"/>
              </w:rPr>
            </w:pPr>
            <w:r>
              <w:rPr>
                <w:rFonts w:ascii="宋体" w:hAnsi="宋体" w:hint="eastAsia"/>
                <w:kern w:val="2"/>
                <w:szCs w:val="22"/>
              </w:rPr>
              <w:t>补充流动资金3亿元</w:t>
            </w:r>
          </w:p>
        </w:tc>
      </w:tr>
      <w:tr>
        <w:trPr>
          <w:trHeight w:val="270"/>
        </w:trPr>
        <w:tc>
          <w:tcPr>
            <w:tcW w:w="2807" w:type="dxa"/>
            <w:tcBorders>
              <w:top w:val="single" w:sz="4" w:space="0" w:color="auto"/>
              <w:left w:val="single" w:sz="4" w:space="0" w:color="auto"/>
              <w:bottom w:val="single" w:sz="4" w:space="0" w:color="auto"/>
              <w:right w:val="single" w:sz="4" w:space="0" w:color="auto"/>
            </w:tcBorders>
            <w:noWrap/>
          </w:tcPr>
          <w:p>
            <w:pPr>
              <w:rPr>
                <w:rFonts w:ascii="宋体" w:hAnsi="宋体"/>
                <w:kern w:val="2"/>
                <w:szCs w:val="22"/>
              </w:rPr>
            </w:pPr>
            <w:r>
              <w:rPr>
                <w:rFonts w:ascii="宋体" w:hAnsi="宋体" w:hint="eastAsia"/>
                <w:kern w:val="2"/>
                <w:szCs w:val="22"/>
              </w:rPr>
              <w:t>243216</w:t>
            </w:r>
          </w:p>
        </w:tc>
        <w:tc>
          <w:tcPr>
            <w:tcW w:w="2807" w:type="dxa"/>
            <w:tcBorders>
              <w:top w:val="single" w:sz="4" w:space="0" w:color="auto"/>
              <w:left w:val="single" w:sz="4" w:space="0" w:color="auto"/>
              <w:bottom w:val="single" w:sz="4" w:space="0" w:color="auto"/>
              <w:right w:val="single" w:sz="4" w:space="0" w:color="auto"/>
            </w:tcBorders>
            <w:noWrap/>
          </w:tcPr>
          <w:p>
            <w:pPr>
              <w:rPr>
                <w:rFonts w:ascii="宋体" w:hAnsi="宋体"/>
              </w:rPr>
            </w:pPr>
            <w:r>
              <w:rPr>
                <w:rFonts w:ascii="宋体" w:hAnsi="宋体" w:hint="eastAsia"/>
              </w:rPr>
              <w:t>兖矿KY04</w:t>
            </w:r>
          </w:p>
        </w:tc>
        <w:tc>
          <w:tcPr>
            <w:tcW w:w="3384" w:type="dxa"/>
            <w:tcBorders>
              <w:top w:val="single" w:sz="4" w:space="0" w:color="auto"/>
              <w:left w:val="single" w:sz="4" w:space="0" w:color="auto"/>
              <w:bottom w:val="single" w:sz="4" w:space="0" w:color="auto"/>
              <w:right w:val="single" w:sz="4" w:space="0" w:color="auto"/>
            </w:tcBorders>
            <w:noWrap/>
          </w:tcPr>
          <w:p>
            <w:pPr>
              <w:rPr>
                <w:rFonts w:ascii="宋体" w:hAnsi="宋体"/>
                <w:kern w:val="2"/>
                <w:szCs w:val="22"/>
              </w:rPr>
            </w:pPr>
            <w:r>
              <w:rPr>
                <w:rFonts w:ascii="宋体" w:hAnsi="宋体" w:hint="eastAsia"/>
                <w:kern w:val="2"/>
                <w:szCs w:val="22"/>
              </w:rPr>
              <w:t>补充流动资金</w:t>
            </w:r>
            <w:r>
              <w:rPr>
                <w:rFonts w:ascii="宋体" w:hAnsi="宋体"/>
                <w:kern w:val="2"/>
                <w:szCs w:val="22"/>
              </w:rPr>
              <w:t>10亿元</w:t>
            </w:r>
          </w:p>
        </w:tc>
      </w:tr>
    </w:tbl>
    <w:p>
      <w:pPr>
        <w:kinsoku w:val="0"/>
        <w:overflowPunct w:val="0"/>
        <w:rPr>
          <w:color w:val="000000" w:themeColor="text1"/>
        </w:rPr>
      </w:pPr>
    </w:p>
    <w:p>
      <w:pPr>
        <w:pStyle w:val="5"/>
        <w:numPr>
          <w:ilvl w:val="0"/>
          <w:numId w:val="61"/>
        </w:numPr>
        <w:ind w:leftChars="0" w:left="442" w:hanging="442"/>
      </w:pPr>
      <w:bookmarkStart w:id="296" w:name="_Hlk184047984"/>
      <w:bookmarkEnd w:id="293"/>
      <w:bookmarkEnd w:id="295"/>
      <w:r>
        <w:rPr>
          <w:rFonts w:hint="eastAsia"/>
        </w:rPr>
        <w:t>募集资金用于特定项目</w:t>
      </w:r>
    </w:p>
    <w:sdt>
      <w:sdtPr>
        <w:rPr>
          <w:rFonts w:hint="eastAsia"/>
          <w:color w:val="000000" w:themeColor="text1"/>
        </w:rPr>
        <w:alias w:val="是否适用：募集资金用于特定项目[双击切换]"/>
        <w:tag w:val="_GBC_1e84e62facc04c79931fdf2ff9c146da"/>
        <w:id w:val="-201168562"/>
        <w:placeholder>
          <w:docPart w:val="GBC22222222222222222222222222222"/>
        </w:placeholder>
      </w:sdtPr>
      <w:sdtContent>
        <w:p>
          <w:pPr>
            <w:kinsoku w:val="0"/>
            <w:overflowPunct w:val="0"/>
            <w:rPr>
              <w:color w:val="000000" w:themeColor="text1"/>
            </w:rPr>
          </w:pPr>
          <w:r>
            <w:rPr>
              <w:rFonts w:ascii="宋体" w:hAnsi="宋体" w:hint="eastAsia"/>
              <w:color w:val="000000" w:themeColor="text1"/>
            </w:rPr>
            <w:fldChar w:fldCharType="begin"/>
          </w:r>
          <w:r>
            <w:rPr>
              <w:rFonts w:ascii="宋体" w:hAnsi="宋体"/>
              <w:color w:val="000000" w:themeColor="text1"/>
            </w:rPr>
            <w:instrText xml:space="preserve"> MACROBUTTON  SnrToggleCheckbox □适用 </w:instrText>
          </w:r>
          <w:r>
            <w:rPr>
              <w:rFonts w:ascii="宋体" w:hAnsi="宋体" w:hint="eastAsia"/>
              <w:color w:val="000000" w:themeColor="text1"/>
            </w:rPr>
            <w:fldChar w:fldCharType="end"/>
          </w:r>
          <w:r>
            <w:rPr>
              <w:rFonts w:ascii="宋体" w:hAnsi="宋体" w:hint="eastAsia"/>
              <w:color w:val="000000" w:themeColor="text1"/>
            </w:rPr>
            <w:fldChar w:fldCharType="begin"/>
          </w:r>
          <w:r>
            <w:rPr>
              <w:rFonts w:ascii="宋体" w:hAnsi="宋体"/>
              <w:color w:val="000000" w:themeColor="text1"/>
            </w:rPr>
            <w:instrText xml:space="preserve"> MACROBUTTON  SnrToggleCheckbox √不适用 </w:instrText>
          </w:r>
          <w:r>
            <w:rPr>
              <w:rFonts w:ascii="宋体" w:hAnsi="宋体" w:hint="eastAsia"/>
              <w:color w:val="000000" w:themeColor="text1"/>
            </w:rPr>
            <w:fldChar w:fldCharType="end"/>
          </w:r>
        </w:p>
      </w:sdtContent>
    </w:sdt>
    <w:p>
      <w:pPr>
        <w:kinsoku w:val="0"/>
        <w:overflowPunct w:val="0"/>
        <w:rPr>
          <w:color w:val="000000" w:themeColor="text1"/>
        </w:rPr>
      </w:pPr>
    </w:p>
    <w:p>
      <w:pPr>
        <w:pStyle w:val="5"/>
        <w:numPr>
          <w:ilvl w:val="0"/>
          <w:numId w:val="61"/>
        </w:numPr>
        <w:ind w:left="547" w:hanging="442"/>
        <w:rPr>
          <w:rFonts w:ascii="宋体" w:hAnsi="宋体" w:cs="宋体"/>
          <w:kern w:val="0"/>
          <w:szCs w:val="24"/>
        </w:rPr>
      </w:pPr>
      <w:bookmarkStart w:id="297" w:name="_Hlk40866597"/>
      <w:bookmarkStart w:id="298" w:name="_Hlk213666534"/>
      <w:bookmarkEnd w:id="296"/>
      <w:r>
        <w:rPr>
          <w:rFonts w:ascii="宋体" w:hAnsi="宋体" w:cs="宋体" w:hint="eastAsia"/>
          <w:kern w:val="0"/>
          <w:szCs w:val="24"/>
        </w:rPr>
        <w:t>募集</w:t>
      </w:r>
      <w:r>
        <w:rPr>
          <w:rFonts w:ascii="宋体" w:hAnsi="宋体" w:cs="宋体"/>
          <w:kern w:val="0"/>
          <w:szCs w:val="24"/>
        </w:rPr>
        <w:t>资金</w:t>
      </w:r>
      <w:r>
        <w:rPr>
          <w:rFonts w:ascii="宋体" w:hAnsi="宋体" w:cs="宋体" w:hint="eastAsia"/>
          <w:kern w:val="0"/>
          <w:szCs w:val="24"/>
        </w:rPr>
        <w:t>用于其他用途</w:t>
      </w:r>
    </w:p>
    <w:sdt>
      <w:sdtPr>
        <w:rPr>
          <w:rFonts w:hint="eastAsia"/>
          <w:bCs/>
          <w:color w:val="000000" w:themeColor="text1"/>
          <w:kern w:val="2"/>
        </w:rPr>
        <w:alias w:val="是否适用：募集资金用于其他用途[双击切换]"/>
        <w:tag w:val="_GBC_9cd0a95557124ec3a05869ebc85037d6"/>
        <w:id w:val="1095446428"/>
        <w:placeholder>
          <w:docPart w:val="GBC22222222222222222222222222222"/>
        </w:placeholder>
      </w:sdtPr>
      <w:sdtContent>
        <w:p>
          <w:pPr>
            <w:rPr>
              <w:bCs/>
              <w:color w:val="000000" w:themeColor="text1"/>
              <w:kern w:val="2"/>
            </w:rPr>
          </w:pPr>
          <w:r>
            <w:rPr>
              <w:rFonts w:ascii="宋体" w:hAnsi="宋体"/>
              <w:bCs/>
              <w:color w:val="000000" w:themeColor="text1"/>
              <w:kern w:val="2"/>
            </w:rPr>
            <w:fldChar w:fldCharType="begin"/>
          </w:r>
          <w:r>
            <w:rPr>
              <w:rFonts w:ascii="宋体" w:hAnsi="宋体"/>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p>
      <w:pPr>
        <w:rPr>
          <w:color w:val="000000" w:themeColor="text1"/>
        </w:rPr>
      </w:pPr>
    </w:p>
    <w:bookmarkEnd w:id="297"/>
    <w:bookmarkEnd w:id="298"/>
    <w:p>
      <w:pPr>
        <w:pStyle w:val="5"/>
        <w:numPr>
          <w:ilvl w:val="0"/>
          <w:numId w:val="61"/>
        </w:numPr>
        <w:ind w:leftChars="0" w:left="442" w:hanging="442"/>
      </w:pPr>
      <w:r>
        <w:rPr>
          <w:rFonts w:hint="eastAsia"/>
        </w:rPr>
        <w:t>临时补流</w:t>
      </w:r>
    </w:p>
    <w:sdt>
      <w:sdtPr>
        <w:rPr>
          <w:rFonts w:hint="eastAsia"/>
        </w:rPr>
        <w:alias w:val="是否适用：募集资金临时补流[双击切换]"/>
        <w:tag w:val="_GBC_77f126a8df0748949d0055c43bf8987f"/>
        <w:id w:val="-1110887128"/>
        <w:placeholder>
          <w:docPart w:val="GBC22222222222222222222222222222"/>
        </w:placeholder>
      </w:sdtPr>
      <w:sdtContent>
        <w:p>
          <w:pPr>
            <w:pStyle w:val="Style49"/>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pPr>
        <w:pStyle w:val="Style49"/>
        <w:rPr>
          <w:color w:val="000000" w:themeColor="text1"/>
        </w:rPr>
      </w:pPr>
    </w:p>
    <w:p>
      <w:pPr>
        <w:pStyle w:val="4"/>
        <w:numPr>
          <w:ilvl w:val="0"/>
          <w:numId w:val="60"/>
        </w:numPr>
        <w:rPr>
          <w:rFonts w:ascii="宋体" w:hAnsi="宋体" w:cs="宋体"/>
          <w:kern w:val="0"/>
          <w:szCs w:val="24"/>
        </w:rPr>
      </w:pPr>
      <w:bookmarkStart w:id="299" w:name="_Hlk184041387"/>
      <w:r>
        <w:rPr>
          <w:rFonts w:ascii="宋体" w:hAnsi="宋体" w:cs="宋体" w:hint="eastAsia"/>
          <w:kern w:val="0"/>
          <w:szCs w:val="24"/>
        </w:rPr>
        <w:t>募集资金使用的合规</w:t>
      </w:r>
      <w:bookmarkEnd w:id="291"/>
      <w:r>
        <w:rPr>
          <w:rFonts w:ascii="宋体" w:hAnsi="宋体" w:cs="宋体" w:hint="eastAsia"/>
          <w:kern w:val="0"/>
          <w:szCs w:val="24"/>
        </w:rPr>
        <w:t>性</w:t>
      </w:r>
    </w:p>
    <w:tbl>
      <w:tblPr>
        <w:tblStyle w:val="Style63"/>
        <w:tblW w:w="100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8"/>
        <w:gridCol w:w="1837"/>
        <w:gridCol w:w="1778"/>
        <w:gridCol w:w="1294"/>
        <w:gridCol w:w="1292"/>
        <w:gridCol w:w="1294"/>
      </w:tblGrid>
      <w:tr>
        <w:trPr>
          <w:trHeight w:val="525"/>
          <w:jc w:val="center"/>
        </w:trPr>
        <w:sdt>
          <w:sdtPr>
            <w:tag w:val="_PLD_79e4d9e8131041ab98d86a73bd9eab3e"/>
            <w:id w:val="-1693533510"/>
          </w:sdtPr>
          <w:sdtContent>
            <w:tc>
              <w:tcPr>
                <w:tcW w:w="1135" w:type="dxa"/>
                <w:noWrap/>
                <w:vAlign w:val="center"/>
              </w:tcPr>
              <w:p>
                <w:pPr>
                  <w:jc w:val="center"/>
                  <w:rPr>
                    <w:rFonts w:hAnsi="Arial"/>
                    <w:bCs/>
                  </w:rPr>
                </w:pPr>
                <w:r>
                  <w:rPr>
                    <w:rFonts w:hAnsi="Arial" w:hint="eastAsia"/>
                    <w:bCs/>
                  </w:rPr>
                  <w:t>债券代码</w:t>
                </w:r>
              </w:p>
            </w:tc>
          </w:sdtContent>
        </w:sdt>
        <w:sdt>
          <w:sdtPr>
            <w:tag w:val="_PLD_6507ea93bb0f4e3094f7384559c11074"/>
            <w:id w:val="-898511925"/>
          </w:sdtPr>
          <w:sdtContent>
            <w:tc>
              <w:tcPr>
                <w:tcW w:w="1418" w:type="dxa"/>
                <w:noWrap/>
                <w:vAlign w:val="center"/>
              </w:tcPr>
              <w:p>
                <w:pPr>
                  <w:jc w:val="center"/>
                  <w:rPr>
                    <w:rFonts w:hAnsi="Arial"/>
                    <w:bCs/>
                  </w:rPr>
                </w:pPr>
                <w:r>
                  <w:rPr>
                    <w:rFonts w:hAnsi="Arial" w:hint="eastAsia"/>
                    <w:bCs/>
                  </w:rPr>
                  <w:t>债券简称</w:t>
                </w:r>
              </w:p>
            </w:tc>
          </w:sdtContent>
        </w:sdt>
        <w:tc>
          <w:tcPr>
            <w:tcW w:w="1837" w:type="dxa"/>
            <w:vAlign w:val="center"/>
          </w:tcPr>
          <w:sdt>
            <w:sdtPr>
              <w:tag w:val="_PLD_dc236fb74ff9493aa3750d0028055291"/>
              <w:id w:val="-1670628417"/>
            </w:sdtPr>
            <w:sdtContent>
              <w:p>
                <w:pPr>
                  <w:jc w:val="center"/>
                  <w:rPr>
                    <w:rFonts w:hAnsi="Arial"/>
                    <w:bCs/>
                  </w:rPr>
                </w:pPr>
                <w:r>
                  <w:rPr>
                    <w:rFonts w:hAnsi="Arial" w:hint="eastAsia"/>
                    <w:bCs/>
                  </w:rPr>
                  <w:t>募集说明书约定的募集资金用途</w:t>
                </w:r>
              </w:p>
            </w:sdtContent>
          </w:sdt>
        </w:tc>
        <w:sdt>
          <w:sdtPr>
            <w:tag w:val="_PLD_f54e058a0f7a460ea9fe6d7921be7bf4"/>
            <w:id w:val="1897477501"/>
          </w:sdtPr>
          <w:sdtContent>
            <w:tc>
              <w:tcPr>
                <w:tcW w:w="1778" w:type="dxa"/>
                <w:noWrap/>
                <w:vAlign w:val="center"/>
              </w:tcPr>
              <w:p>
                <w:pPr>
                  <w:jc w:val="center"/>
                  <w:rPr>
                    <w:rFonts w:hAnsi="Arial"/>
                    <w:bCs/>
                  </w:rPr>
                </w:pPr>
                <w:r>
                  <w:rPr>
                    <w:rFonts w:hAnsi="Arial" w:hint="eastAsia"/>
                    <w:bCs/>
                  </w:rPr>
                  <w:t>截至报告期末募集资金实际用途（包括实际使用和临时补流）</w:t>
                </w:r>
              </w:p>
            </w:tc>
          </w:sdtContent>
        </w:sdt>
        <w:sdt>
          <w:sdtPr>
            <w:tag w:val="_PLD_159c55f292a54514b852ed01adba9442"/>
            <w:id w:val="1202051538"/>
          </w:sdtPr>
          <w:sdtContent>
            <w:tc>
              <w:tcPr>
                <w:tcW w:w="1294" w:type="dxa"/>
                <w:vAlign w:val="center"/>
              </w:tcPr>
              <w:p>
                <w:pPr>
                  <w:jc w:val="center"/>
                  <w:rPr>
                    <w:rFonts w:hAnsi="Arial"/>
                    <w:bCs/>
                  </w:rPr>
                </w:pPr>
                <w:r>
                  <w:rPr>
                    <w:rFonts w:hint="eastAsia"/>
                    <w:color w:val="000000" w:themeColor="text1"/>
                  </w:rPr>
                  <w:t>实际用途与约定用途（含募集说明书约定用途和合规变更后的用途）是否一致</w:t>
                </w:r>
              </w:p>
            </w:tc>
          </w:sdtContent>
        </w:sdt>
        <w:sdt>
          <w:sdtPr>
            <w:tag w:val="_PLD_895cae26683d4a90a9830728879186ff"/>
            <w:id w:val="-1314322566"/>
          </w:sdtPr>
          <w:sdtContent>
            <w:tc>
              <w:tcPr>
                <w:tcW w:w="1292" w:type="dxa"/>
                <w:vAlign w:val="center"/>
              </w:tcPr>
              <w:p>
                <w:pPr>
                  <w:jc w:val="center"/>
                  <w:rPr>
                    <w:rFonts w:hAnsi="Arial"/>
                    <w:bCs/>
                  </w:rPr>
                </w:pPr>
                <w:r>
                  <w:rPr>
                    <w:rFonts w:hint="eastAsia"/>
                    <w:color w:val="000000" w:themeColor="text1"/>
                  </w:rPr>
                  <w:t>报告期内募集资金使用</w:t>
                </w:r>
                <w:r>
                  <w:rPr>
                    <w:color w:val="000000" w:themeColor="text1"/>
                  </w:rPr>
                  <w:t>和</w:t>
                </w:r>
                <w:r>
                  <w:rPr>
                    <w:rFonts w:hint="eastAsia"/>
                    <w:color w:val="000000" w:themeColor="text1"/>
                  </w:rPr>
                  <w:t>募集</w:t>
                </w:r>
                <w:r>
                  <w:rPr>
                    <w:color w:val="000000" w:themeColor="text1"/>
                  </w:rPr>
                  <w:t>资金专项账户</w:t>
                </w:r>
                <w:r>
                  <w:rPr>
                    <w:rFonts w:hint="eastAsia"/>
                    <w:color w:val="000000" w:themeColor="text1"/>
                  </w:rPr>
                  <w:t>管理是否合规</w:t>
                </w:r>
              </w:p>
            </w:tc>
          </w:sdtContent>
        </w:sdt>
        <w:sdt>
          <w:sdtPr>
            <w:tag w:val="_PLD_d5d0e87cd32b4ae8ba55c871d01e5eb5"/>
            <w:id w:val="227728134"/>
          </w:sdtPr>
          <w:sdtContent>
            <w:tc>
              <w:tcPr>
                <w:tcW w:w="1294" w:type="dxa"/>
                <w:vAlign w:val="center"/>
              </w:tcPr>
              <w:p>
                <w:pPr>
                  <w:jc w:val="center"/>
                  <w:rPr>
                    <w:color w:val="000000" w:themeColor="text1"/>
                  </w:rPr>
                </w:pPr>
                <w:r>
                  <w:rPr>
                    <w:rFonts w:hint="eastAsia"/>
                    <w:color w:val="000000" w:themeColor="text1"/>
                  </w:rPr>
                  <w:t>募集资金使用是否符合地方政府债务管理规定</w:t>
                </w:r>
              </w:p>
            </w:tc>
          </w:sdtContent>
        </w:sdt>
      </w:tr>
      <w:tr>
        <w:trPr>
          <w:trHeight w:val="270"/>
          <w:jc w:val="center"/>
        </w:trPr>
        <w:tc>
          <w:tcPr>
            <w:tcW w:w="1135"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bookmarkStart w:id="300" w:name="_Hlk184040436"/>
            <w:r>
              <w:rPr>
                <w:rFonts w:ascii="宋体" w:hAnsi="宋体" w:hint="eastAsia"/>
                <w:kern w:val="2"/>
                <w:szCs w:val="22"/>
              </w:rPr>
              <w:t>242524</w:t>
            </w:r>
          </w:p>
        </w:tc>
        <w:tc>
          <w:tcPr>
            <w:tcW w:w="141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25兖矿K2</w:t>
            </w:r>
          </w:p>
        </w:tc>
        <w:tc>
          <w:tcPr>
            <w:tcW w:w="183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宋体"/>
                <w:bCs/>
              </w:rPr>
            </w:pPr>
            <w:r>
              <w:rPr>
                <w:rFonts w:ascii="宋体" w:hAnsi="宋体" w:cs="宋体" w:hint="eastAsia"/>
                <w:bCs/>
              </w:rPr>
              <w:t>偿还到期债务，补充流动资金</w:t>
            </w:r>
          </w:p>
        </w:tc>
        <w:tc>
          <w:tcPr>
            <w:tcW w:w="177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cs="宋体"/>
                <w:bCs/>
              </w:rPr>
            </w:pPr>
            <w:r>
              <w:rPr>
                <w:rFonts w:ascii="宋体" w:hAnsi="宋体" w:cs="宋体" w:hint="eastAsia"/>
                <w:bCs/>
              </w:rPr>
              <w:t>偿还到期债务，补充流动资金</w:t>
            </w:r>
          </w:p>
        </w:tc>
        <w:sdt>
          <w:sdtPr>
            <w:rPr>
              <w:rFonts w:hint="eastAsia"/>
            </w:rPr>
            <w:alias w:val="是否与募集说明书承诺一致"/>
            <w:tag w:val="_GBC_16741cb9d8354edd8f0bf7a8fe8a4235"/>
            <w:id w:val="-469523077"/>
            <w:comboBox>
              <w:listItem w:displayText="是" w:value="是"/>
              <w:listItem w:displayText="否" w:value="否"/>
            </w:comboBox>
          </w:sdtPr>
          <w:sdtContent>
            <w:tc>
              <w:tcPr>
                <w:tcW w:w="1294" w:type="dxa"/>
                <w:vAlign w:val="center"/>
              </w:tcPr>
              <w:p>
                <w:pPr>
                  <w:pStyle w:val="Style49"/>
                </w:pPr>
                <w:r>
                  <w:rPr>
                    <w:rFonts w:hint="eastAsia"/>
                  </w:rPr>
                  <w:t>是</w:t>
                </w:r>
              </w:p>
            </w:tc>
          </w:sdtContent>
        </w:sdt>
        <w:sdt>
          <w:sdtPr>
            <w:rPr>
              <w:rFonts w:hint="eastAsia"/>
            </w:rPr>
            <w:alias w:val="募集资金账户管理和使用是否合规"/>
            <w:tag w:val="_GBC_baf0c4bd4d7544cb89e991a90a5cca00"/>
            <w:id w:val="-1116439611"/>
            <w:comboBox>
              <w:listItem w:displayText="是" w:value="是"/>
              <w:listItem w:displayText="否" w:value="否"/>
            </w:comboBox>
          </w:sdtPr>
          <w:sdtContent>
            <w:tc>
              <w:tcPr>
                <w:tcW w:w="1292" w:type="dxa"/>
                <w:vAlign w:val="center"/>
              </w:tcPr>
              <w:p>
                <w:pPr>
                  <w:pStyle w:val="Style49"/>
                </w:pPr>
                <w:r>
                  <w:rPr>
                    <w:rFonts w:hint="eastAsia"/>
                  </w:rPr>
                  <w:t>是</w:t>
                </w:r>
              </w:p>
            </w:tc>
          </w:sdtContent>
        </w:sdt>
        <w:tc>
          <w:tcPr>
            <w:tcW w:w="1294" w:type="dxa"/>
            <w:vAlign w:val="center"/>
          </w:tcPr>
          <w:p>
            <w:pPr>
              <w:pStyle w:val="Style49"/>
              <w:jc w:val="center"/>
            </w:pPr>
            <w:r>
              <w:rPr>
                <w:rFonts w:hint="eastAsia"/>
              </w:rPr>
              <w:t>不适用</w:t>
            </w:r>
          </w:p>
        </w:tc>
      </w:tr>
      <w:tr>
        <w:trPr>
          <w:trHeight w:val="270"/>
          <w:jc w:val="center"/>
        </w:trPr>
        <w:tc>
          <w:tcPr>
            <w:tcW w:w="1135"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kern w:val="2"/>
                <w:szCs w:val="22"/>
              </w:rPr>
            </w:pPr>
            <w:r>
              <w:rPr>
                <w:rFonts w:ascii="宋体" w:hAnsi="宋体" w:hint="eastAsia"/>
                <w:kern w:val="2"/>
                <w:szCs w:val="22"/>
              </w:rPr>
              <w:t>243216</w:t>
            </w:r>
          </w:p>
        </w:tc>
        <w:tc>
          <w:tcPr>
            <w:tcW w:w="141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兖矿KY04</w:t>
            </w:r>
          </w:p>
        </w:tc>
        <w:tc>
          <w:tcPr>
            <w:tcW w:w="183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宋体"/>
                <w:bCs/>
              </w:rPr>
            </w:pPr>
            <w:r>
              <w:rPr>
                <w:rFonts w:ascii="宋体" w:hAnsi="宋体" w:cs="宋体" w:hint="eastAsia"/>
                <w:bCs/>
              </w:rPr>
              <w:t>偿还到期债务，补充流动资金</w:t>
            </w:r>
          </w:p>
        </w:tc>
        <w:tc>
          <w:tcPr>
            <w:tcW w:w="177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cs="宋体"/>
                <w:bCs/>
              </w:rPr>
            </w:pPr>
            <w:r>
              <w:rPr>
                <w:rFonts w:ascii="宋体" w:hAnsi="宋体" w:cs="宋体" w:hint="eastAsia"/>
                <w:bCs/>
              </w:rPr>
              <w:t>偿还到期债务，补充流动资金</w:t>
            </w:r>
          </w:p>
        </w:tc>
        <w:sdt>
          <w:sdtPr>
            <w:rPr>
              <w:rFonts w:hint="eastAsia"/>
            </w:rPr>
            <w:alias w:val="是否与募集说明书承诺一致"/>
            <w:tag w:val="_GBC_16741cb9d8354edd8f0bf7a8fe8a4235"/>
            <w:id w:val="-1790972601"/>
            <w:comboBox>
              <w:listItem w:displayText="是" w:value="是"/>
              <w:listItem w:displayText="否" w:value="否"/>
            </w:comboBox>
          </w:sdtPr>
          <w:sdtContent>
            <w:tc>
              <w:tcPr>
                <w:tcW w:w="1294" w:type="dxa"/>
                <w:vAlign w:val="center"/>
              </w:tcPr>
              <w:p>
                <w:pPr>
                  <w:pStyle w:val="Style49"/>
                </w:pPr>
                <w:r>
                  <w:rPr>
                    <w:rFonts w:hint="eastAsia"/>
                  </w:rPr>
                  <w:t>是</w:t>
                </w:r>
              </w:p>
            </w:tc>
          </w:sdtContent>
        </w:sdt>
        <w:sdt>
          <w:sdtPr>
            <w:rPr>
              <w:rFonts w:hint="eastAsia"/>
            </w:rPr>
            <w:alias w:val="募集资金账户管理和使用是否合规"/>
            <w:tag w:val="_GBC_baf0c4bd4d7544cb89e991a90a5cca00"/>
            <w:id w:val="873578708"/>
            <w:comboBox>
              <w:listItem w:displayText="是" w:value="是"/>
              <w:listItem w:displayText="否" w:value="否"/>
            </w:comboBox>
          </w:sdtPr>
          <w:sdtContent>
            <w:tc>
              <w:tcPr>
                <w:tcW w:w="1292" w:type="dxa"/>
                <w:vAlign w:val="center"/>
              </w:tcPr>
              <w:p>
                <w:pPr>
                  <w:pStyle w:val="Style49"/>
                </w:pPr>
                <w:r>
                  <w:rPr>
                    <w:rFonts w:hint="eastAsia"/>
                  </w:rPr>
                  <w:t>是</w:t>
                </w:r>
              </w:p>
            </w:tc>
          </w:sdtContent>
        </w:sdt>
        <w:tc>
          <w:tcPr>
            <w:tcW w:w="1294" w:type="dxa"/>
            <w:vAlign w:val="center"/>
          </w:tcPr>
          <w:p>
            <w:pPr>
              <w:pStyle w:val="Style49"/>
              <w:jc w:val="center"/>
            </w:pPr>
            <w:r>
              <w:t>不适用</w:t>
            </w:r>
          </w:p>
        </w:tc>
      </w:tr>
      <w:tr>
        <w:trPr>
          <w:trHeight w:val="270"/>
          <w:jc w:val="center"/>
        </w:trPr>
        <w:tc>
          <w:tcPr>
            <w:tcW w:w="1135"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kern w:val="2"/>
                <w:szCs w:val="22"/>
              </w:rPr>
            </w:pPr>
            <w:r>
              <w:rPr>
                <w:rFonts w:ascii="宋体" w:hAnsi="宋体" w:hint="eastAsia"/>
                <w:kern w:val="2"/>
                <w:szCs w:val="22"/>
              </w:rPr>
              <w:t>243671</w:t>
            </w:r>
          </w:p>
        </w:tc>
        <w:tc>
          <w:tcPr>
            <w:tcW w:w="141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25兖矿K3</w:t>
            </w:r>
          </w:p>
        </w:tc>
        <w:tc>
          <w:tcPr>
            <w:tcW w:w="183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cs="宋体" w:hint="eastAsia"/>
                <w:bCs/>
              </w:rPr>
              <w:t>偿还到期债务</w:t>
            </w:r>
          </w:p>
        </w:tc>
        <w:tc>
          <w:tcPr>
            <w:tcW w:w="177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偿还到期债务</w:t>
            </w:r>
          </w:p>
        </w:tc>
        <w:sdt>
          <w:sdtPr>
            <w:rPr>
              <w:rFonts w:hint="eastAsia"/>
            </w:rPr>
            <w:alias w:val="是否与募集说明书承诺一致"/>
            <w:tag w:val="_GBC_16741cb9d8354edd8f0bf7a8fe8a4235"/>
            <w:id w:val="-173729922"/>
            <w:comboBox>
              <w:listItem w:displayText="是" w:value="是"/>
              <w:listItem w:displayText="否" w:value="否"/>
            </w:comboBox>
          </w:sdtPr>
          <w:sdtContent>
            <w:tc>
              <w:tcPr>
                <w:tcW w:w="1294" w:type="dxa"/>
                <w:vAlign w:val="center"/>
              </w:tcPr>
              <w:p>
                <w:pPr>
                  <w:pStyle w:val="Style49"/>
                </w:pPr>
                <w:r>
                  <w:rPr>
                    <w:rFonts w:hint="eastAsia"/>
                  </w:rPr>
                  <w:t>是</w:t>
                </w:r>
              </w:p>
            </w:tc>
          </w:sdtContent>
        </w:sdt>
        <w:sdt>
          <w:sdtPr>
            <w:rPr>
              <w:rFonts w:hint="eastAsia"/>
            </w:rPr>
            <w:alias w:val="募集资金账户管理和使用是否合规"/>
            <w:tag w:val="_GBC_baf0c4bd4d7544cb89e991a90a5cca00"/>
            <w:id w:val="2029049795"/>
            <w:comboBox>
              <w:listItem w:displayText="是" w:value="是"/>
              <w:listItem w:displayText="否" w:value="否"/>
            </w:comboBox>
          </w:sdtPr>
          <w:sdtContent>
            <w:tc>
              <w:tcPr>
                <w:tcW w:w="1292" w:type="dxa"/>
                <w:vAlign w:val="center"/>
              </w:tcPr>
              <w:p>
                <w:pPr>
                  <w:pStyle w:val="Style49"/>
                </w:pPr>
                <w:r>
                  <w:rPr>
                    <w:rFonts w:hint="eastAsia"/>
                  </w:rPr>
                  <w:t>是</w:t>
                </w:r>
              </w:p>
            </w:tc>
          </w:sdtContent>
        </w:sdt>
        <w:tc>
          <w:tcPr>
            <w:tcW w:w="1294" w:type="dxa"/>
            <w:vAlign w:val="center"/>
          </w:tcPr>
          <w:p>
            <w:pPr>
              <w:pStyle w:val="Style49"/>
              <w:jc w:val="center"/>
            </w:pPr>
            <w:r>
              <w:t>不适用</w:t>
            </w:r>
          </w:p>
        </w:tc>
      </w:tr>
      <w:tr>
        <w:trPr>
          <w:trHeight w:val="270"/>
          <w:jc w:val="center"/>
        </w:trPr>
        <w:tc>
          <w:tcPr>
            <w:tcW w:w="1135"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kern w:val="2"/>
                <w:szCs w:val="22"/>
              </w:rPr>
            </w:pPr>
            <w:r>
              <w:rPr>
                <w:rFonts w:ascii="宋体" w:hAnsi="宋体" w:hint="eastAsia"/>
                <w:kern w:val="2"/>
                <w:szCs w:val="22"/>
              </w:rPr>
              <w:t>244297</w:t>
            </w:r>
          </w:p>
        </w:tc>
        <w:tc>
          <w:tcPr>
            <w:tcW w:w="141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rPr>
              <w:t>25兖矿K6</w:t>
            </w:r>
          </w:p>
        </w:tc>
        <w:tc>
          <w:tcPr>
            <w:tcW w:w="183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cs="宋体" w:hint="eastAsia"/>
                <w:bCs/>
              </w:rPr>
              <w:t>偿还到期债务</w:t>
            </w:r>
          </w:p>
        </w:tc>
        <w:tc>
          <w:tcPr>
            <w:tcW w:w="177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bCs/>
              </w:rPr>
              <w:t>偿还到期债务</w:t>
            </w:r>
          </w:p>
        </w:tc>
        <w:sdt>
          <w:sdtPr>
            <w:rPr>
              <w:rFonts w:hint="eastAsia"/>
            </w:rPr>
            <w:alias w:val="是否与募集说明书承诺一致"/>
            <w:tag w:val="_GBC_16741cb9d8354edd8f0bf7a8fe8a4235"/>
            <w:id w:val="-1240711784"/>
            <w:comboBox>
              <w:listItem w:displayText="是" w:value="是"/>
              <w:listItem w:displayText="否" w:value="否"/>
            </w:comboBox>
          </w:sdtPr>
          <w:sdtContent>
            <w:tc>
              <w:tcPr>
                <w:tcW w:w="1294" w:type="dxa"/>
                <w:vAlign w:val="center"/>
              </w:tcPr>
              <w:p>
                <w:pPr>
                  <w:pStyle w:val="Style49"/>
                </w:pPr>
                <w:r>
                  <w:rPr>
                    <w:rFonts w:hint="eastAsia"/>
                  </w:rPr>
                  <w:t>是</w:t>
                </w:r>
              </w:p>
            </w:tc>
          </w:sdtContent>
        </w:sdt>
        <w:sdt>
          <w:sdtPr>
            <w:rPr>
              <w:rFonts w:hint="eastAsia"/>
            </w:rPr>
            <w:alias w:val="募集资金账户管理和使用是否合规"/>
            <w:tag w:val="_GBC_baf0c4bd4d7544cb89e991a90a5cca00"/>
            <w:id w:val="1094981768"/>
            <w:comboBox>
              <w:listItem w:displayText="是" w:value="是"/>
              <w:listItem w:displayText="否" w:value="否"/>
            </w:comboBox>
          </w:sdtPr>
          <w:sdtContent>
            <w:tc>
              <w:tcPr>
                <w:tcW w:w="1292" w:type="dxa"/>
                <w:vAlign w:val="center"/>
              </w:tcPr>
              <w:p>
                <w:pPr>
                  <w:pStyle w:val="Style49"/>
                </w:pPr>
                <w:r>
                  <w:rPr>
                    <w:rFonts w:hint="eastAsia"/>
                  </w:rPr>
                  <w:t>是</w:t>
                </w:r>
              </w:p>
            </w:tc>
          </w:sdtContent>
        </w:sdt>
        <w:tc>
          <w:tcPr>
            <w:tcW w:w="1294" w:type="dxa"/>
            <w:vAlign w:val="center"/>
          </w:tcPr>
          <w:p>
            <w:pPr>
              <w:jc w:val="center"/>
            </w:pPr>
            <w:r>
              <w:t>不适用</w:t>
            </w:r>
          </w:p>
        </w:tc>
      </w:tr>
      <w:tr>
        <w:trPr>
          <w:trHeight w:val="270"/>
          <w:jc w:val="center"/>
        </w:trPr>
        <w:tc>
          <w:tcPr>
            <w:tcW w:w="1135"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kern w:val="2"/>
                <w:szCs w:val="22"/>
              </w:rPr>
              <w:t>243905</w:t>
            </w:r>
          </w:p>
        </w:tc>
        <w:tc>
          <w:tcPr>
            <w:tcW w:w="141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kern w:val="2"/>
                <w:szCs w:val="22"/>
              </w:rPr>
            </w:pPr>
            <w:r>
              <w:rPr>
                <w:rFonts w:ascii="宋体" w:hAnsi="宋体" w:hint="eastAsia"/>
              </w:rPr>
              <w:t>兖矿KY06</w:t>
            </w:r>
          </w:p>
        </w:tc>
        <w:tc>
          <w:tcPr>
            <w:tcW w:w="183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宋体"/>
                <w:bCs/>
              </w:rPr>
            </w:pPr>
            <w:r>
              <w:rPr>
                <w:rFonts w:ascii="宋体" w:hAnsi="宋体" w:cs="宋体" w:hint="eastAsia"/>
                <w:bCs/>
              </w:rPr>
              <w:t>偿还到期债务</w:t>
            </w:r>
          </w:p>
        </w:tc>
        <w:tc>
          <w:tcPr>
            <w:tcW w:w="1778" w:type="dxa"/>
            <w:tcBorders>
              <w:top w:val="single" w:sz="4" w:space="0" w:color="auto"/>
              <w:left w:val="single" w:sz="4" w:space="0" w:color="auto"/>
              <w:bottom w:val="single" w:sz="4" w:space="0" w:color="auto"/>
              <w:right w:val="single" w:sz="4" w:space="0" w:color="auto"/>
            </w:tcBorders>
            <w:noWrap/>
            <w:vAlign w:val="center"/>
          </w:tcPr>
          <w:p>
            <w:pPr>
              <w:jc w:val="both"/>
              <w:rPr>
                <w:rFonts w:ascii="宋体" w:hAnsi="宋体"/>
              </w:rPr>
            </w:pPr>
            <w:r>
              <w:rPr>
                <w:rFonts w:ascii="宋体" w:hAnsi="宋体" w:hint="eastAsia"/>
                <w:bCs/>
              </w:rPr>
              <w:t>偿还到期债务</w:t>
            </w:r>
          </w:p>
        </w:tc>
        <w:sdt>
          <w:sdtPr>
            <w:rPr>
              <w:rFonts w:hint="eastAsia"/>
            </w:rPr>
            <w:alias w:val="是否与募集说明书承诺一致"/>
            <w:tag w:val="_GBC_16741cb9d8354edd8f0bf7a8fe8a4235"/>
            <w:id w:val="1737810557"/>
            <w:comboBox>
              <w:listItem w:displayText="是" w:value="是"/>
              <w:listItem w:displayText="否" w:value="否"/>
            </w:comboBox>
          </w:sdtPr>
          <w:sdtContent>
            <w:tc>
              <w:tcPr>
                <w:tcW w:w="1294" w:type="dxa"/>
                <w:vAlign w:val="center"/>
              </w:tcPr>
              <w:p>
                <w:pPr>
                  <w:pStyle w:val="Style49"/>
                </w:pPr>
                <w:r>
                  <w:rPr>
                    <w:rFonts w:hint="eastAsia"/>
                  </w:rPr>
                  <w:t>是</w:t>
                </w:r>
              </w:p>
            </w:tc>
          </w:sdtContent>
        </w:sdt>
        <w:sdt>
          <w:sdtPr>
            <w:rPr>
              <w:rFonts w:hint="eastAsia"/>
            </w:rPr>
            <w:alias w:val="募集资金账户管理和使用是否合规"/>
            <w:tag w:val="_GBC_baf0c4bd4d7544cb89e991a90a5cca00"/>
            <w:id w:val="1164745373"/>
            <w:comboBox>
              <w:listItem w:displayText="是" w:value="是"/>
              <w:listItem w:displayText="否" w:value="否"/>
            </w:comboBox>
          </w:sdtPr>
          <w:sdtContent>
            <w:tc>
              <w:tcPr>
                <w:tcW w:w="1292" w:type="dxa"/>
                <w:vAlign w:val="center"/>
              </w:tcPr>
              <w:p>
                <w:pPr>
                  <w:pStyle w:val="Style49"/>
                </w:pPr>
                <w:r>
                  <w:rPr>
                    <w:rFonts w:hint="eastAsia"/>
                  </w:rPr>
                  <w:t>是</w:t>
                </w:r>
              </w:p>
            </w:tc>
          </w:sdtContent>
        </w:sdt>
        <w:tc>
          <w:tcPr>
            <w:tcW w:w="1294" w:type="dxa"/>
            <w:vAlign w:val="center"/>
          </w:tcPr>
          <w:p>
            <w:pPr>
              <w:jc w:val="center"/>
            </w:pPr>
            <w:r>
              <w:t>不适用</w:t>
            </w:r>
          </w:p>
        </w:tc>
      </w:tr>
    </w:tbl>
    <w:p>
      <w:pPr>
        <w:kinsoku w:val="0"/>
        <w:overflowPunct w:val="0"/>
        <w:rPr>
          <w:b/>
          <w:bCs/>
          <w:color w:val="000000" w:themeColor="text1"/>
        </w:rPr>
      </w:pPr>
    </w:p>
    <w:bookmarkEnd w:id="299"/>
    <w:bookmarkEnd w:id="300"/>
    <w:p>
      <w:pPr>
        <w:kinsoku w:val="0"/>
        <w:overflowPunct w:val="0"/>
        <w:rPr>
          <w:bCs/>
          <w:color w:val="000000" w:themeColor="text1"/>
        </w:rPr>
      </w:pPr>
      <w:r>
        <w:rPr>
          <w:rFonts w:hint="eastAsia"/>
          <w:bCs/>
          <w:color w:val="000000" w:themeColor="text1"/>
        </w:rPr>
        <w:t>募集资金使用和募集</w:t>
      </w:r>
      <w:r>
        <w:rPr>
          <w:bCs/>
          <w:color w:val="000000" w:themeColor="text1"/>
        </w:rPr>
        <w:t>资金</w:t>
      </w:r>
      <w:r>
        <w:rPr>
          <w:rFonts w:hint="eastAsia"/>
          <w:bCs/>
          <w:color w:val="000000" w:themeColor="text1"/>
        </w:rPr>
        <w:t>账户管理存在</w:t>
      </w:r>
      <w:r>
        <w:rPr>
          <w:bCs/>
          <w:color w:val="000000" w:themeColor="text1"/>
        </w:rPr>
        <w:t>违规情况</w:t>
      </w:r>
    </w:p>
    <w:sdt>
      <w:sdtPr>
        <w:rPr>
          <w:rFonts w:hint="eastAsia"/>
          <w:bCs/>
          <w:color w:val="000000" w:themeColor="text1"/>
        </w:rPr>
        <w:alias w:val="是否适用：募集资金使用和募集资金账户管理存在违法违规情况[双击切换]"/>
        <w:tag w:val="_GBC_734b529847cb424c9426fe3b823c82a6"/>
        <w:id w:val="-736171855"/>
        <w:placeholder>
          <w:docPart w:val="GBC22222222222222222222222222222"/>
        </w:placeholder>
      </w:sdtPr>
      <w:sdtContent>
        <w:p>
          <w:pPr>
            <w:rPr>
              <w:b/>
              <w:bCs/>
              <w:color w:val="000000" w:themeColor="text1"/>
            </w:rPr>
          </w:pPr>
          <w:r>
            <w:rPr>
              <w:rFonts w:ascii="宋体" w:hAnsi="宋体" w:hint="eastAsia"/>
              <w:bCs/>
              <w:color w:val="000000" w:themeColor="text1"/>
            </w:rPr>
            <w:fldChar w:fldCharType="begin"/>
          </w:r>
          <w:r>
            <w:rPr>
              <w:rFonts w:ascii="宋体" w:hAnsi="宋体"/>
              <w:bCs/>
              <w:color w:val="000000" w:themeColor="text1"/>
            </w:rPr>
            <w:instrText xml:space="preserve"> MACROBUTTON  SnrToggleCheckbox □适用 </w:instrText>
          </w:r>
          <w:r>
            <w:rPr>
              <w:rFonts w:ascii="宋体" w:hAnsi="宋体" w:hint="eastAsia"/>
              <w:bCs/>
              <w:color w:val="000000" w:themeColor="text1"/>
            </w:rPr>
            <w:fldChar w:fldCharType="end"/>
          </w:r>
          <w:r>
            <w:rPr>
              <w:rFonts w:ascii="宋体" w:hAnsi="宋体" w:hint="eastAsia"/>
              <w:bCs/>
              <w:color w:val="000000" w:themeColor="text1"/>
            </w:rPr>
            <w:fldChar w:fldCharType="begin"/>
          </w:r>
          <w:r>
            <w:rPr>
              <w:rFonts w:ascii="宋体" w:hAnsi="宋体"/>
              <w:bCs/>
              <w:color w:val="000000" w:themeColor="text1"/>
            </w:rPr>
            <w:instrText xml:space="preserve"> MACROBUTTON  SnrToggleCheckbox √不适用 </w:instrText>
          </w:r>
          <w:r>
            <w:rPr>
              <w:rFonts w:ascii="宋体" w:hAnsi="宋体" w:hint="eastAsia"/>
              <w:bCs/>
              <w:color w:val="000000" w:themeColor="text1"/>
            </w:rPr>
            <w:fldChar w:fldCharType="end"/>
          </w:r>
        </w:p>
      </w:sdtContent>
    </w:sdt>
    <w:p>
      <w:pPr>
        <w:kinsoku w:val="0"/>
        <w:overflowPunct w:val="0"/>
        <w:rPr>
          <w:color w:val="000000" w:themeColor="text1"/>
        </w:rPr>
      </w:pPr>
    </w:p>
    <w:p>
      <w:pPr>
        <w:pStyle w:val="3"/>
        <w:numPr>
          <w:ilvl w:val="0"/>
          <w:numId w:val="58"/>
        </w:numPr>
        <w:rPr>
          <w:rFonts w:ascii="宋体" w:hAnsi="宋体"/>
        </w:rPr>
      </w:pPr>
      <w:bookmarkStart w:id="301" w:name="_Toc141452818"/>
      <w:bookmarkStart w:id="302" w:name="_Hlk169616708"/>
      <w:bookmarkStart w:id="303" w:name="_Hlk182406860"/>
      <w:bookmarkEnd w:id="292"/>
      <w:bookmarkEnd w:id="301"/>
      <w:r>
        <w:rPr>
          <w:rFonts w:ascii="宋体" w:hAnsi="宋体" w:hint="eastAsia"/>
        </w:rPr>
        <w:t>专项品种债券应当披露的其他事项</w:t>
      </w:r>
    </w:p>
    <w:bookmarkStart w:id="304" w:name="_Toc520720582" w:displacedByCustomXml="next"/>
    <w:bookmarkStart w:id="305" w:name="_Toc141452819" w:displacedByCustomXml="next"/>
    <w:sdt>
      <w:sdtPr>
        <w:rPr>
          <w:color w:val="000000" w:themeColor="text1"/>
        </w:rPr>
        <w:alias w:val="是否适用：专项品种债券事项[双击切换]"/>
        <w:tag w:val="_GBC_2e6cfaedbbd640fdb5534082db894dc6"/>
        <w:id w:val="931318036"/>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pStyle w:val="4"/>
        <w:numPr>
          <w:ilvl w:val="0"/>
          <w:numId w:val="62"/>
        </w:numPr>
        <w:ind w:left="420" w:hanging="420"/>
        <w:rPr>
          <w:color w:val="000000" w:themeColor="text1"/>
        </w:rPr>
      </w:pPr>
      <w:r>
        <w:rPr>
          <w:rFonts w:hint="eastAsia"/>
          <w:color w:val="000000" w:themeColor="text1"/>
        </w:rPr>
        <w:lastRenderedPageBreak/>
        <w:t>公司为可交换公司债券发行人</w:t>
      </w:r>
      <w:bookmarkEnd w:id="305"/>
      <w:bookmarkEnd w:id="304"/>
    </w:p>
    <w:sdt>
      <w:sdtPr>
        <w:rPr>
          <w:color w:val="000000" w:themeColor="text1"/>
        </w:rPr>
        <w:alias w:val="是否适用：发行人为可交换债券发行人[双击切换]"/>
        <w:tag w:val="_GBC_b363c50c513346cead7ce3397c60f725"/>
        <w:id w:val="1935171672"/>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bookmarkStart w:id="306" w:name="_Hlk217389097"/>
    </w:p>
    <w:p>
      <w:pPr>
        <w:pStyle w:val="4"/>
        <w:numPr>
          <w:ilvl w:val="0"/>
          <w:numId w:val="62"/>
        </w:numPr>
        <w:ind w:left="420" w:hanging="420"/>
        <w:rPr>
          <w:color w:val="000000" w:themeColor="text1"/>
        </w:rPr>
      </w:pPr>
      <w:bookmarkStart w:id="307" w:name="_Toc141452821"/>
      <w:bookmarkStart w:id="308" w:name="_Toc520720584"/>
      <w:bookmarkStart w:id="309" w:name="_Hlk169616976"/>
      <w:bookmarkEnd w:id="302"/>
      <w:bookmarkEnd w:id="306"/>
      <w:r>
        <w:rPr>
          <w:rFonts w:hint="eastAsia"/>
          <w:color w:val="000000" w:themeColor="text1"/>
        </w:rPr>
        <w:t>公司为绿色公司债券发行人</w:t>
      </w:r>
      <w:bookmarkEnd w:id="307"/>
      <w:bookmarkEnd w:id="308"/>
    </w:p>
    <w:sdt>
      <w:sdtPr>
        <w:rPr>
          <w:b/>
          <w:bCs/>
          <w:color w:val="000000" w:themeColor="text1"/>
          <w:kern w:val="44"/>
        </w:rPr>
        <w:alias w:val="是否适用：发行人为其他特殊品种债券发行人[双击切换]"/>
        <w:tag w:val="_GBC_d170f4f70c0144ff98824e2f63a25dc5"/>
        <w:id w:val="1691182641"/>
        <w:placeholder>
          <w:docPart w:val="GBC22222222222222222222222222222"/>
        </w:placeholder>
      </w:sdtPr>
      <w:sdtEndPr>
        <w:rPr>
          <w:b w:val="0"/>
          <w:bCs w:val="0"/>
          <w:kern w:val="0"/>
        </w:rPr>
      </w:sdtEndPr>
      <w:sdtContent>
        <w:p>
          <w:pPr>
            <w:kinsoku w:val="0"/>
            <w:overflowPunct w:val="0"/>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p>
    <w:p>
      <w:pPr>
        <w:pStyle w:val="4"/>
        <w:numPr>
          <w:ilvl w:val="0"/>
          <w:numId w:val="62"/>
        </w:numPr>
        <w:ind w:left="420" w:hanging="420"/>
        <w:rPr>
          <w:color w:val="000000" w:themeColor="text1"/>
        </w:rPr>
      </w:pPr>
      <w:bookmarkStart w:id="310" w:name="_Toc520720585"/>
      <w:bookmarkStart w:id="311" w:name="_Toc141452822"/>
      <w:r>
        <w:rPr>
          <w:rFonts w:hint="eastAsia"/>
          <w:color w:val="000000" w:themeColor="text1"/>
        </w:rPr>
        <w:t>公司为可续期公司债券发行人</w:t>
      </w:r>
      <w:bookmarkEnd w:id="310"/>
      <w:bookmarkEnd w:id="311"/>
    </w:p>
    <w:sdt>
      <w:sdtPr>
        <w:rPr>
          <w:b/>
          <w:bCs/>
          <w:color w:val="000000" w:themeColor="text1"/>
          <w:kern w:val="44"/>
        </w:rPr>
        <w:alias w:val="是否适用：发行人为可续期公司债券发行人[双击切换]"/>
        <w:tag w:val="_GBC_05c79a10c80f4534b401efd517678cbd"/>
        <w:id w:val="-1056321528"/>
        <w:placeholder>
          <w:docPart w:val="GBC22222222222222222222222222222"/>
        </w:placeholder>
      </w:sdtPr>
      <w:sdtContent>
        <w:p>
          <w:pPr>
            <w:kinsoku w:val="0"/>
            <w:overflowPunct w:val="0"/>
            <w:rPr>
              <w:b/>
              <w:bCs/>
              <w:color w:val="000000" w:themeColor="text1"/>
              <w:kern w:val="44"/>
            </w:rPr>
          </w:pPr>
          <w:r>
            <w:rPr>
              <w:rFonts w:ascii="宋体" w:hAnsi="宋体"/>
              <w:bCs/>
              <w:color w:val="000000" w:themeColor="text1"/>
              <w:kern w:val="44"/>
            </w:rPr>
            <w:fldChar w:fldCharType="begin"/>
          </w:r>
          <w:r>
            <w:rPr>
              <w:rFonts w:ascii="宋体" w:hAnsi="宋体"/>
              <w:color w:val="000000" w:themeColor="text1"/>
              <w:kern w:val="44"/>
            </w:rPr>
            <w:instrText xml:space="preserve"> MACROBUTTON  SnrToggleCheckbox √适用 </w:instrText>
          </w:r>
          <w:r>
            <w:rPr>
              <w:rFonts w:ascii="宋体" w:hAnsi="宋体"/>
              <w:bCs/>
              <w:color w:val="000000" w:themeColor="text1"/>
              <w:kern w:val="44"/>
            </w:rPr>
            <w:fldChar w:fldCharType="end"/>
          </w:r>
          <w:r>
            <w:rPr>
              <w:rFonts w:ascii="宋体" w:hAnsi="宋体"/>
              <w:bCs/>
              <w:color w:val="000000" w:themeColor="text1"/>
              <w:kern w:val="44"/>
            </w:rPr>
            <w:fldChar w:fldCharType="begin"/>
          </w:r>
          <w:r>
            <w:rPr>
              <w:rFonts w:ascii="宋体" w:hAnsi="宋体"/>
              <w:color w:val="000000" w:themeColor="text1"/>
              <w:kern w:val="44"/>
            </w:rPr>
            <w:instrText xml:space="preserve"> MACROBUTTON  SnrToggleCheckbox □不适用 </w:instrText>
          </w:r>
          <w:r>
            <w:rPr>
              <w:rFonts w:ascii="宋体" w:hAnsi="宋体"/>
              <w:bCs/>
              <w:color w:val="000000" w:themeColor="text1"/>
              <w:kern w:val="44"/>
            </w:rPr>
            <w:fldChar w:fldCharType="end"/>
          </w:r>
        </w:p>
      </w:sdtContent>
    </w:sdt>
    <w:p>
      <w:pPr>
        <w:kinsoku w:val="0"/>
        <w:overflowPunct w:val="0"/>
        <w:jc w:val="right"/>
        <w:rPr>
          <w:b/>
          <w:bCs/>
          <w:color w:val="000000" w:themeColor="text1"/>
          <w:kern w:val="44"/>
        </w:rPr>
      </w:pPr>
      <w:r>
        <w:rPr>
          <w:rFonts w:hint="eastAsia"/>
          <w:color w:val="000000" w:themeColor="text1"/>
        </w:rPr>
        <w:t>单位：</w:t>
      </w:r>
      <w:sdt>
        <w:sdtPr>
          <w:rPr>
            <w:rFonts w:hint="eastAsia"/>
            <w:color w:val="000000" w:themeColor="text1"/>
          </w:rPr>
          <w:alias w:val="单位：可续期公司债券发行人"/>
          <w:tag w:val="_GBC_09b1869e3ced4ebca3e963edca09ca85"/>
          <w:id w:val="8865306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可续期公司债券发行人"/>
          <w:tag w:val="_GBC_f0d55fd9769f459593c535b0c75e8ab8"/>
          <w:id w:val="-5414418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p>
      <w:pPr>
        <w:kinsoku w:val="0"/>
        <w:overflowPunct w:val="0"/>
        <w:rPr>
          <w:b/>
          <w:bCs/>
          <w:color w:val="000000" w:themeColor="text1"/>
          <w:kern w:val="44"/>
        </w:rPr>
      </w:pPr>
    </w:p>
    <w:tbl>
      <w:tblPr>
        <w:tblStyle w:val="aff4"/>
        <w:tblW w:w="9048" w:type="dxa"/>
        <w:tblLayout w:type="fixed"/>
        <w:tblLook w:val="04A0" w:firstRow="1" w:lastRow="0" w:firstColumn="1" w:lastColumn="0" w:noHBand="0" w:noVBand="1"/>
      </w:tblPr>
      <w:tblGrid>
        <w:gridCol w:w="3724"/>
        <w:gridCol w:w="5324"/>
      </w:tblGrid>
      <w:tr>
        <w:sdt>
          <w:sdtPr>
            <w:rPr>
              <w:rFonts w:ascii="宋体" w:hAnsi="宋体"/>
              <w:color w:val="000000" w:themeColor="text1"/>
              <w:sz w:val="20"/>
              <w:szCs w:val="20"/>
            </w:rPr>
            <w:tag w:val="_PLD_0e03f898aadd4e899e72e3024292029f"/>
            <w:id w:val="230513597"/>
          </w:sdtPr>
          <w:sdtContent>
            <w:tc>
              <w:tcPr>
                <w:tcW w:w="3724" w:type="dxa"/>
                <w:vAlign w:val="center"/>
              </w:tcPr>
              <w:p>
                <w:pPr>
                  <w:kinsoku w:val="0"/>
                  <w:overflowPunct w:val="0"/>
                  <w:rPr>
                    <w:rFonts w:ascii="宋体" w:hAnsi="宋体"/>
                    <w:color w:val="000000" w:themeColor="text1"/>
                  </w:rPr>
                </w:pPr>
                <w:r>
                  <w:rPr>
                    <w:rFonts w:ascii="宋体" w:hAnsi="宋体"/>
                    <w:color w:val="000000" w:themeColor="text1"/>
                  </w:rPr>
                  <w:t>债券代码</w:t>
                </w:r>
              </w:p>
            </w:tc>
          </w:sdtContent>
        </w:sdt>
        <w:sdt>
          <w:sdtPr>
            <w:rPr>
              <w:rFonts w:ascii="宋体" w:hAnsi="宋体"/>
              <w:color w:val="000000" w:themeColor="text1"/>
              <w:sz w:val="20"/>
              <w:szCs w:val="20"/>
            </w:rPr>
            <w:alias w:val="债券代码"/>
            <w:tag w:val="_GBC_014e3bb6008f437da9b374d8b54df879"/>
            <w:id w:val="-1055846613"/>
          </w:sdtPr>
          <w:sdtContent>
            <w:tc>
              <w:tcPr>
                <w:tcW w:w="5324" w:type="dxa"/>
                <w:vAlign w:val="center"/>
              </w:tcPr>
              <w:p>
                <w:pPr>
                  <w:kinsoku w:val="0"/>
                  <w:overflowPunct w:val="0"/>
                  <w:rPr>
                    <w:rFonts w:ascii="宋体" w:hAnsi="宋体"/>
                    <w:color w:val="000000" w:themeColor="text1"/>
                  </w:rPr>
                </w:pPr>
                <w:r>
                  <w:rPr>
                    <w:rFonts w:ascii="宋体" w:hAnsi="宋体"/>
                    <w:color w:val="000000" w:themeColor="text1"/>
                  </w:rPr>
                  <w:t>243216</w:t>
                </w:r>
              </w:p>
            </w:tc>
          </w:sdtContent>
        </w:sdt>
      </w:tr>
      <w:tr>
        <w:tc>
          <w:tcPr>
            <w:tcW w:w="3724" w:type="dxa"/>
            <w:vAlign w:val="center"/>
          </w:tcPr>
          <w:p>
            <w:pPr>
              <w:kinsoku w:val="0"/>
              <w:overflowPunct w:val="0"/>
              <w:rPr>
                <w:rFonts w:ascii="宋体" w:hAnsi="宋体"/>
                <w:color w:val="000000" w:themeColor="text1"/>
              </w:rPr>
            </w:pPr>
            <w:r>
              <w:rPr>
                <w:rFonts w:ascii="宋体" w:hAnsi="宋体"/>
                <w:color w:val="000000" w:themeColor="text1"/>
              </w:rPr>
              <w:t>债券简称</w:t>
            </w:r>
          </w:p>
        </w:tc>
        <w:tc>
          <w:tcPr>
            <w:tcW w:w="5324" w:type="dxa"/>
            <w:tcBorders>
              <w:top w:val="single" w:sz="4" w:space="0" w:color="auto"/>
              <w:left w:val="single" w:sz="4" w:space="0" w:color="auto"/>
              <w:bottom w:val="single" w:sz="4" w:space="0" w:color="auto"/>
              <w:right w:val="single" w:sz="4" w:space="0" w:color="auto"/>
            </w:tcBorders>
            <w:vAlign w:val="center"/>
          </w:tcPr>
          <w:p>
            <w:pPr>
              <w:kinsoku w:val="0"/>
              <w:overflowPunct w:val="0"/>
              <w:rPr>
                <w:rFonts w:ascii="宋体" w:hAnsi="宋体"/>
                <w:color w:val="000000" w:themeColor="text1"/>
              </w:rPr>
            </w:pPr>
            <w:r>
              <w:rPr>
                <w:rFonts w:ascii="宋体" w:hAnsi="宋体" w:hint="eastAsia"/>
                <w:color w:val="000000" w:themeColor="text1"/>
              </w:rPr>
              <w:t>兖矿KY04</w:t>
            </w:r>
          </w:p>
        </w:tc>
      </w:tr>
      <w:tr>
        <w:tc>
          <w:tcPr>
            <w:tcW w:w="3724" w:type="dxa"/>
            <w:vAlign w:val="center"/>
          </w:tcPr>
          <w:p>
            <w:pPr>
              <w:kinsoku w:val="0"/>
              <w:overflowPunct w:val="0"/>
              <w:rPr>
                <w:rFonts w:ascii="宋体" w:hAnsi="宋体"/>
                <w:color w:val="000000" w:themeColor="text1"/>
              </w:rPr>
            </w:pPr>
            <w:r>
              <w:rPr>
                <w:rFonts w:ascii="宋体" w:hAnsi="宋体"/>
                <w:color w:val="000000" w:themeColor="text1"/>
              </w:rPr>
              <w:t>债券余额</w:t>
            </w:r>
          </w:p>
        </w:tc>
        <w:tc>
          <w:tcPr>
            <w:tcW w:w="5324" w:type="dxa"/>
            <w:tcBorders>
              <w:top w:val="single" w:sz="4" w:space="0" w:color="auto"/>
              <w:left w:val="single" w:sz="4" w:space="0" w:color="auto"/>
              <w:bottom w:val="single" w:sz="4" w:space="0" w:color="auto"/>
              <w:right w:val="single" w:sz="4" w:space="0" w:color="auto"/>
            </w:tcBorders>
            <w:vAlign w:val="center"/>
          </w:tcPr>
          <w:p>
            <w:pPr>
              <w:kinsoku w:val="0"/>
              <w:overflowPunct w:val="0"/>
              <w:rPr>
                <w:rFonts w:ascii="宋体" w:hAnsi="宋体"/>
                <w:color w:val="000000" w:themeColor="text1"/>
              </w:rPr>
            </w:pPr>
            <w:r>
              <w:rPr>
                <w:rFonts w:ascii="宋体" w:hAnsi="宋体"/>
                <w:color w:val="000000" w:themeColor="text1"/>
              </w:rPr>
              <w:t>3</w:t>
            </w:r>
            <w:r>
              <w:rPr>
                <w:rFonts w:ascii="宋体" w:hAnsi="宋体" w:hint="eastAsia"/>
                <w:color w:val="000000" w:themeColor="text1"/>
              </w:rPr>
              <w:t>0</w:t>
            </w:r>
          </w:p>
        </w:tc>
      </w:tr>
      <w:tr>
        <w:tc>
          <w:tcPr>
            <w:tcW w:w="3724" w:type="dxa"/>
            <w:vAlign w:val="center"/>
          </w:tcPr>
          <w:p>
            <w:pPr>
              <w:kinsoku w:val="0"/>
              <w:overflowPunct w:val="0"/>
              <w:rPr>
                <w:rFonts w:ascii="宋体" w:hAnsi="宋体"/>
                <w:color w:val="000000" w:themeColor="text1"/>
              </w:rPr>
            </w:pPr>
            <w:r>
              <w:rPr>
                <w:rFonts w:ascii="宋体" w:hAnsi="宋体"/>
                <w:color w:val="000000" w:themeColor="text1"/>
              </w:rPr>
              <w:t>续期情况</w:t>
            </w:r>
          </w:p>
        </w:tc>
        <w:tc>
          <w:tcPr>
            <w:tcW w:w="5324" w:type="dxa"/>
            <w:tcBorders>
              <w:top w:val="single" w:sz="4" w:space="0" w:color="auto"/>
              <w:left w:val="single" w:sz="4" w:space="0" w:color="auto"/>
              <w:bottom w:val="single" w:sz="4" w:space="0" w:color="auto"/>
              <w:right w:val="single" w:sz="4" w:space="0" w:color="auto"/>
            </w:tcBorders>
          </w:tcPr>
          <w:p>
            <w:pPr>
              <w:kinsoku w:val="0"/>
              <w:overflowPunct w:val="0"/>
              <w:rPr>
                <w:rFonts w:ascii="宋体" w:hAnsi="宋体"/>
                <w:color w:val="000000" w:themeColor="text1"/>
              </w:rPr>
            </w:pPr>
            <w:r>
              <w:rPr>
                <w:rFonts w:ascii="宋体" w:hAnsi="宋体" w:hint="eastAsia"/>
                <w:color w:val="000000" w:themeColor="text1"/>
              </w:rPr>
              <w:t>未续期</w:t>
            </w:r>
          </w:p>
        </w:tc>
      </w:tr>
      <w:tr>
        <w:tc>
          <w:tcPr>
            <w:tcW w:w="3724" w:type="dxa"/>
            <w:vAlign w:val="center"/>
          </w:tcPr>
          <w:p>
            <w:pPr>
              <w:kinsoku w:val="0"/>
              <w:overflowPunct w:val="0"/>
              <w:rPr>
                <w:rFonts w:ascii="宋体" w:hAnsi="宋体"/>
                <w:color w:val="000000" w:themeColor="text1"/>
              </w:rPr>
            </w:pPr>
            <w:r>
              <w:rPr>
                <w:rFonts w:ascii="宋体" w:hAnsi="宋体"/>
                <w:color w:val="000000" w:themeColor="text1"/>
              </w:rPr>
              <w:t>利率跳升情况</w:t>
            </w:r>
          </w:p>
        </w:tc>
        <w:tc>
          <w:tcPr>
            <w:tcW w:w="5324" w:type="dxa"/>
            <w:tcBorders>
              <w:top w:val="single" w:sz="4" w:space="0" w:color="auto"/>
              <w:left w:val="single" w:sz="4" w:space="0" w:color="auto"/>
              <w:bottom w:val="single" w:sz="4" w:space="0" w:color="auto"/>
              <w:right w:val="single" w:sz="4" w:space="0" w:color="auto"/>
            </w:tcBorders>
          </w:tcPr>
          <w:p>
            <w:pPr>
              <w:kinsoku w:val="0"/>
              <w:overflowPunct w:val="0"/>
              <w:rPr>
                <w:rFonts w:ascii="宋体" w:hAnsi="宋体"/>
                <w:color w:val="000000" w:themeColor="text1"/>
              </w:rPr>
            </w:pPr>
            <w:r>
              <w:rPr>
                <w:rFonts w:ascii="宋体" w:hAnsi="宋体" w:hint="eastAsia"/>
                <w:color w:val="000000" w:themeColor="text1"/>
              </w:rPr>
              <w:t>-</w:t>
            </w:r>
          </w:p>
        </w:tc>
      </w:tr>
      <w:tr>
        <w:tc>
          <w:tcPr>
            <w:tcW w:w="3724" w:type="dxa"/>
            <w:vAlign w:val="center"/>
          </w:tcPr>
          <w:p>
            <w:pPr>
              <w:kinsoku w:val="0"/>
              <w:overflowPunct w:val="0"/>
              <w:rPr>
                <w:rFonts w:ascii="宋体" w:hAnsi="宋体"/>
                <w:color w:val="000000" w:themeColor="text1"/>
              </w:rPr>
            </w:pPr>
            <w:r>
              <w:rPr>
                <w:rFonts w:ascii="宋体" w:hAnsi="宋体"/>
                <w:color w:val="000000" w:themeColor="text1"/>
              </w:rPr>
              <w:t>利息递延情况</w:t>
            </w:r>
          </w:p>
        </w:tc>
        <w:tc>
          <w:tcPr>
            <w:tcW w:w="5324" w:type="dxa"/>
            <w:tcBorders>
              <w:top w:val="single" w:sz="4" w:space="0" w:color="auto"/>
              <w:left w:val="single" w:sz="4" w:space="0" w:color="auto"/>
              <w:bottom w:val="single" w:sz="4" w:space="0" w:color="auto"/>
              <w:right w:val="single" w:sz="4" w:space="0" w:color="auto"/>
            </w:tcBorders>
          </w:tcPr>
          <w:p>
            <w:pPr>
              <w:kinsoku w:val="0"/>
              <w:overflowPunct w:val="0"/>
              <w:rPr>
                <w:rFonts w:ascii="宋体" w:hAnsi="宋体"/>
                <w:color w:val="000000" w:themeColor="text1"/>
              </w:rPr>
            </w:pPr>
            <w:r>
              <w:rPr>
                <w:rFonts w:ascii="宋体" w:hAnsi="宋体" w:hint="eastAsia"/>
                <w:color w:val="000000" w:themeColor="text1"/>
              </w:rPr>
              <w:t>-</w:t>
            </w:r>
          </w:p>
        </w:tc>
      </w:tr>
      <w:tr>
        <w:tc>
          <w:tcPr>
            <w:tcW w:w="3724" w:type="dxa"/>
            <w:vAlign w:val="center"/>
          </w:tcPr>
          <w:p>
            <w:pPr>
              <w:kinsoku w:val="0"/>
              <w:overflowPunct w:val="0"/>
              <w:rPr>
                <w:rFonts w:ascii="宋体" w:hAnsi="宋体"/>
                <w:color w:val="000000" w:themeColor="text1"/>
              </w:rPr>
            </w:pPr>
            <w:r>
              <w:rPr>
                <w:rFonts w:ascii="宋体" w:hAnsi="宋体"/>
                <w:color w:val="000000" w:themeColor="text1"/>
              </w:rPr>
              <w:t>强制付息情况</w:t>
            </w:r>
          </w:p>
        </w:tc>
        <w:tc>
          <w:tcPr>
            <w:tcW w:w="5324" w:type="dxa"/>
            <w:tcBorders>
              <w:top w:val="single" w:sz="4" w:space="0" w:color="auto"/>
              <w:left w:val="single" w:sz="4" w:space="0" w:color="auto"/>
              <w:bottom w:val="single" w:sz="4" w:space="0" w:color="auto"/>
              <w:right w:val="single" w:sz="4" w:space="0" w:color="auto"/>
            </w:tcBorders>
          </w:tcPr>
          <w:p>
            <w:pPr>
              <w:kinsoku w:val="0"/>
              <w:overflowPunct w:val="0"/>
              <w:rPr>
                <w:rFonts w:ascii="宋体" w:hAnsi="宋体"/>
                <w:color w:val="000000" w:themeColor="text1"/>
              </w:rPr>
            </w:pPr>
            <w:r>
              <w:rPr>
                <w:rFonts w:ascii="宋体" w:hAnsi="宋体" w:hint="eastAsia"/>
                <w:color w:val="000000" w:themeColor="text1"/>
              </w:rPr>
              <w:t>-</w:t>
            </w:r>
          </w:p>
        </w:tc>
      </w:tr>
      <w:tr>
        <w:tc>
          <w:tcPr>
            <w:tcW w:w="3724" w:type="dxa"/>
            <w:vAlign w:val="center"/>
          </w:tcPr>
          <w:p>
            <w:pPr>
              <w:kinsoku w:val="0"/>
              <w:overflowPunct w:val="0"/>
              <w:rPr>
                <w:rFonts w:ascii="宋体" w:hAnsi="宋体"/>
                <w:color w:val="000000" w:themeColor="text1"/>
              </w:rPr>
            </w:pPr>
            <w:r>
              <w:rPr>
                <w:rFonts w:ascii="宋体" w:hAnsi="宋体"/>
                <w:color w:val="000000" w:themeColor="text1"/>
              </w:rPr>
              <w:t>是否仍计入权益及相关会计处理</w:t>
            </w:r>
          </w:p>
        </w:tc>
        <w:tc>
          <w:tcPr>
            <w:tcW w:w="5324" w:type="dxa"/>
            <w:tcBorders>
              <w:top w:val="single" w:sz="4" w:space="0" w:color="auto"/>
              <w:left w:val="single" w:sz="4" w:space="0" w:color="auto"/>
              <w:bottom w:val="single" w:sz="4" w:space="0" w:color="auto"/>
              <w:right w:val="single" w:sz="4" w:space="0" w:color="auto"/>
            </w:tcBorders>
            <w:vAlign w:val="center"/>
          </w:tcPr>
          <w:p>
            <w:pPr>
              <w:kinsoku w:val="0"/>
              <w:overflowPunct w:val="0"/>
              <w:rPr>
                <w:rFonts w:ascii="宋体" w:hAnsi="宋体"/>
                <w:color w:val="000000" w:themeColor="text1"/>
              </w:rPr>
            </w:pPr>
            <w:r>
              <w:rPr>
                <w:rFonts w:ascii="宋体" w:hAnsi="宋体" w:hint="eastAsia"/>
                <w:color w:val="000000" w:themeColor="text1"/>
              </w:rPr>
              <w:t>是</w:t>
            </w:r>
          </w:p>
        </w:tc>
      </w:tr>
      <w:tr>
        <w:tc>
          <w:tcPr>
            <w:tcW w:w="3724" w:type="dxa"/>
            <w:vAlign w:val="center"/>
          </w:tcPr>
          <w:p>
            <w:pPr>
              <w:kinsoku w:val="0"/>
              <w:overflowPunct w:val="0"/>
              <w:rPr>
                <w:rFonts w:ascii="宋体" w:hAnsi="宋体"/>
                <w:color w:val="000000" w:themeColor="text1"/>
              </w:rPr>
            </w:pPr>
            <w:r>
              <w:rPr>
                <w:rFonts w:ascii="宋体" w:hAnsi="宋体" w:hint="eastAsia"/>
                <w:color w:val="000000" w:themeColor="text1"/>
              </w:rPr>
              <w:t>其他事项</w:t>
            </w:r>
          </w:p>
        </w:tc>
        <w:tc>
          <w:tcPr>
            <w:tcW w:w="5324" w:type="dxa"/>
            <w:tcBorders>
              <w:top w:val="single" w:sz="4" w:space="0" w:color="auto"/>
              <w:left w:val="single" w:sz="4" w:space="0" w:color="auto"/>
              <w:bottom w:val="single" w:sz="4" w:space="0" w:color="auto"/>
              <w:right w:val="single" w:sz="4" w:space="0" w:color="auto"/>
            </w:tcBorders>
            <w:vAlign w:val="center"/>
          </w:tcPr>
          <w:p>
            <w:pPr>
              <w:kinsoku w:val="0"/>
              <w:overflowPunct w:val="0"/>
              <w:rPr>
                <w:rFonts w:ascii="宋体" w:hAnsi="宋体"/>
                <w:color w:val="000000" w:themeColor="text1"/>
              </w:rPr>
            </w:pPr>
            <w:r>
              <w:rPr>
                <w:rFonts w:ascii="宋体" w:hAnsi="宋体" w:hint="eastAsia"/>
                <w:color w:val="000000" w:themeColor="text1"/>
              </w:rPr>
              <w:t>-</w:t>
            </w:r>
          </w:p>
        </w:tc>
      </w:tr>
    </w:tbl>
    <w:p>
      <w:pPr>
        <w:kinsoku w:val="0"/>
        <w:overflowPunct w:val="0"/>
        <w:rPr>
          <w:rFonts w:ascii="宋体" w:hAnsi="宋体"/>
          <w:b/>
          <w:bCs/>
          <w:color w:val="000000" w:themeColor="text1"/>
          <w:kern w:val="44"/>
        </w:rPr>
      </w:pPr>
    </w:p>
    <w:tbl>
      <w:tblPr>
        <w:tblStyle w:val="aff4"/>
        <w:tblW w:w="9048" w:type="dxa"/>
        <w:tblLayout w:type="fixed"/>
        <w:tblLook w:val="04A0" w:firstRow="1" w:lastRow="0" w:firstColumn="1" w:lastColumn="0" w:noHBand="0" w:noVBand="1"/>
      </w:tblPr>
      <w:tblGrid>
        <w:gridCol w:w="3724"/>
        <w:gridCol w:w="5324"/>
      </w:tblGrid>
      <w:tr>
        <w:sdt>
          <w:sdtPr>
            <w:rPr>
              <w:rFonts w:ascii="宋体" w:hAnsi="宋体"/>
              <w:sz w:val="20"/>
              <w:szCs w:val="20"/>
            </w:rPr>
            <w:tag w:val="_PLD_0e03f898aadd4e899e72e3024292029f"/>
            <w:id w:val="703534512"/>
          </w:sdtPr>
          <w:sdtContent>
            <w:tc>
              <w:tcPr>
                <w:tcW w:w="3724" w:type="dxa"/>
                <w:vAlign w:val="center"/>
              </w:tcPr>
              <w:p>
                <w:pPr>
                  <w:kinsoku w:val="0"/>
                  <w:overflowPunct w:val="0"/>
                  <w:rPr>
                    <w:rFonts w:ascii="宋体" w:hAnsi="宋体"/>
                    <w:bCs/>
                    <w:color w:val="000000" w:themeColor="text1"/>
                    <w:kern w:val="44"/>
                  </w:rPr>
                </w:pPr>
                <w:r>
                  <w:rPr>
                    <w:rFonts w:ascii="宋体" w:hAnsi="宋体"/>
                    <w:color w:val="000000" w:themeColor="text1"/>
                  </w:rPr>
                  <w:t>债券代码</w:t>
                </w:r>
              </w:p>
            </w:tc>
          </w:sdtContent>
        </w:sdt>
        <w:sdt>
          <w:sdtPr>
            <w:rPr>
              <w:rFonts w:ascii="宋体" w:hAnsi="宋体"/>
              <w:bCs/>
              <w:color w:val="000000" w:themeColor="text1"/>
              <w:kern w:val="44"/>
              <w:sz w:val="20"/>
              <w:szCs w:val="20"/>
            </w:rPr>
            <w:alias w:val="债券代码"/>
            <w:tag w:val="_GBC_014e3bb6008f437da9b374d8b54df879"/>
            <w:id w:val="1451817388"/>
          </w:sdtPr>
          <w:sdtContent>
            <w:tc>
              <w:tcPr>
                <w:tcW w:w="5324" w:type="dxa"/>
                <w:vAlign w:val="center"/>
              </w:tcPr>
              <w:p>
                <w:pPr>
                  <w:kinsoku w:val="0"/>
                  <w:overflowPunct w:val="0"/>
                  <w:rPr>
                    <w:rFonts w:ascii="宋体" w:hAnsi="宋体"/>
                    <w:bCs/>
                    <w:color w:val="000000" w:themeColor="text1"/>
                    <w:kern w:val="44"/>
                  </w:rPr>
                </w:pPr>
                <w:r>
                  <w:rPr>
                    <w:rFonts w:ascii="宋体" w:hAnsi="宋体"/>
                    <w:bCs/>
                    <w:color w:val="000000" w:themeColor="text1"/>
                    <w:kern w:val="44"/>
                  </w:rPr>
                  <w:t>243905</w:t>
                </w:r>
              </w:p>
            </w:tc>
          </w:sdtContent>
        </w:sdt>
      </w:tr>
      <w:tr>
        <w:tc>
          <w:tcPr>
            <w:tcW w:w="3724" w:type="dxa"/>
            <w:vAlign w:val="center"/>
          </w:tcPr>
          <w:p>
            <w:pPr>
              <w:kinsoku w:val="0"/>
              <w:overflowPunct w:val="0"/>
              <w:rPr>
                <w:rFonts w:ascii="宋体" w:hAnsi="宋体"/>
                <w:bCs/>
                <w:color w:val="000000" w:themeColor="text1"/>
                <w:kern w:val="44"/>
              </w:rPr>
            </w:pPr>
            <w:r>
              <w:rPr>
                <w:rFonts w:ascii="宋体" w:hAnsi="宋体"/>
                <w:color w:val="000000" w:themeColor="text1"/>
              </w:rPr>
              <w:t>债券简称</w:t>
            </w:r>
          </w:p>
        </w:tc>
        <w:tc>
          <w:tcPr>
            <w:tcW w:w="5324" w:type="dxa"/>
            <w:tcBorders>
              <w:top w:val="single" w:sz="4" w:space="0" w:color="auto"/>
              <w:left w:val="single" w:sz="4" w:space="0" w:color="auto"/>
              <w:bottom w:val="single" w:sz="4" w:space="0" w:color="auto"/>
              <w:right w:val="single" w:sz="4" w:space="0" w:color="auto"/>
            </w:tcBorders>
            <w:vAlign w:val="center"/>
          </w:tcPr>
          <w:p>
            <w:pPr>
              <w:kinsoku w:val="0"/>
              <w:overflowPunct w:val="0"/>
              <w:rPr>
                <w:rFonts w:ascii="宋体" w:hAnsi="宋体"/>
                <w:bCs/>
                <w:kern w:val="44"/>
              </w:rPr>
            </w:pPr>
            <w:r>
              <w:rPr>
                <w:rFonts w:ascii="宋体" w:hAnsi="宋体" w:hint="eastAsia"/>
              </w:rPr>
              <w:t>兖矿KY06</w:t>
            </w:r>
          </w:p>
        </w:tc>
      </w:tr>
      <w:tr>
        <w:tc>
          <w:tcPr>
            <w:tcW w:w="3724" w:type="dxa"/>
            <w:vAlign w:val="center"/>
          </w:tcPr>
          <w:p>
            <w:pPr>
              <w:kinsoku w:val="0"/>
              <w:overflowPunct w:val="0"/>
              <w:rPr>
                <w:rFonts w:ascii="宋体" w:hAnsi="宋体"/>
                <w:bCs/>
                <w:color w:val="000000" w:themeColor="text1"/>
                <w:kern w:val="44"/>
              </w:rPr>
            </w:pPr>
            <w:r>
              <w:rPr>
                <w:rFonts w:ascii="宋体" w:hAnsi="宋体"/>
                <w:color w:val="000000" w:themeColor="text1"/>
              </w:rPr>
              <w:t>债券余额</w:t>
            </w:r>
          </w:p>
        </w:tc>
        <w:tc>
          <w:tcPr>
            <w:tcW w:w="5324" w:type="dxa"/>
            <w:tcBorders>
              <w:top w:val="single" w:sz="4" w:space="0" w:color="auto"/>
              <w:left w:val="single" w:sz="4" w:space="0" w:color="auto"/>
              <w:bottom w:val="single" w:sz="4" w:space="0" w:color="auto"/>
              <w:right w:val="single" w:sz="4" w:space="0" w:color="auto"/>
            </w:tcBorders>
            <w:vAlign w:val="center"/>
          </w:tcPr>
          <w:p>
            <w:pPr>
              <w:kinsoku w:val="0"/>
              <w:overflowPunct w:val="0"/>
              <w:rPr>
                <w:rFonts w:ascii="宋体" w:hAnsi="宋体"/>
                <w:bCs/>
                <w:kern w:val="44"/>
              </w:rPr>
            </w:pPr>
            <w:r>
              <w:rPr>
                <w:rFonts w:ascii="宋体" w:hAnsi="宋体"/>
                <w:bCs/>
                <w:kern w:val="44"/>
              </w:rPr>
              <w:t>3</w:t>
            </w:r>
            <w:r>
              <w:rPr>
                <w:rFonts w:ascii="宋体" w:hAnsi="宋体" w:hint="eastAsia"/>
                <w:bCs/>
                <w:kern w:val="44"/>
              </w:rPr>
              <w:t>0</w:t>
            </w:r>
          </w:p>
        </w:tc>
      </w:tr>
      <w:tr>
        <w:tc>
          <w:tcPr>
            <w:tcW w:w="3724" w:type="dxa"/>
            <w:vAlign w:val="center"/>
          </w:tcPr>
          <w:p>
            <w:pPr>
              <w:kinsoku w:val="0"/>
              <w:overflowPunct w:val="0"/>
              <w:rPr>
                <w:rFonts w:ascii="宋体" w:hAnsi="宋体"/>
                <w:bCs/>
                <w:color w:val="000000" w:themeColor="text1"/>
                <w:kern w:val="44"/>
              </w:rPr>
            </w:pPr>
            <w:r>
              <w:rPr>
                <w:rFonts w:ascii="宋体" w:hAnsi="宋体"/>
                <w:color w:val="000000" w:themeColor="text1"/>
              </w:rPr>
              <w:t>续期情况</w:t>
            </w:r>
          </w:p>
        </w:tc>
        <w:tc>
          <w:tcPr>
            <w:tcW w:w="5324" w:type="dxa"/>
            <w:tcBorders>
              <w:top w:val="single" w:sz="4" w:space="0" w:color="auto"/>
              <w:left w:val="single" w:sz="4" w:space="0" w:color="auto"/>
              <w:bottom w:val="single" w:sz="4" w:space="0" w:color="auto"/>
              <w:right w:val="single" w:sz="4" w:space="0" w:color="auto"/>
            </w:tcBorders>
          </w:tcPr>
          <w:p>
            <w:pPr>
              <w:kinsoku w:val="0"/>
              <w:overflowPunct w:val="0"/>
              <w:rPr>
                <w:rFonts w:ascii="宋体" w:hAnsi="宋体" w:cs="宋体"/>
                <w:bCs/>
                <w:kern w:val="44"/>
              </w:rPr>
            </w:pPr>
            <w:r>
              <w:rPr>
                <w:rFonts w:ascii="宋体" w:hAnsi="宋体" w:cs="宋体" w:hint="eastAsia"/>
                <w:bCs/>
                <w:kern w:val="44"/>
              </w:rPr>
              <w:t>未续期</w:t>
            </w:r>
          </w:p>
        </w:tc>
      </w:tr>
      <w:tr>
        <w:tc>
          <w:tcPr>
            <w:tcW w:w="3724" w:type="dxa"/>
            <w:vAlign w:val="center"/>
          </w:tcPr>
          <w:p>
            <w:pPr>
              <w:kinsoku w:val="0"/>
              <w:overflowPunct w:val="0"/>
              <w:rPr>
                <w:rFonts w:ascii="宋体" w:hAnsi="宋体"/>
                <w:bCs/>
                <w:color w:val="000000" w:themeColor="text1"/>
                <w:kern w:val="44"/>
              </w:rPr>
            </w:pPr>
            <w:r>
              <w:rPr>
                <w:rFonts w:ascii="宋体" w:hAnsi="宋体"/>
                <w:color w:val="000000" w:themeColor="text1"/>
              </w:rPr>
              <w:t>利率跳升情况</w:t>
            </w:r>
          </w:p>
        </w:tc>
        <w:tc>
          <w:tcPr>
            <w:tcW w:w="5324"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bCs/>
                <w:kern w:val="44"/>
              </w:rPr>
              <w:t>-</w:t>
            </w:r>
          </w:p>
        </w:tc>
      </w:tr>
      <w:tr>
        <w:tc>
          <w:tcPr>
            <w:tcW w:w="3724" w:type="dxa"/>
            <w:vAlign w:val="center"/>
          </w:tcPr>
          <w:p>
            <w:pPr>
              <w:kinsoku w:val="0"/>
              <w:overflowPunct w:val="0"/>
              <w:rPr>
                <w:rFonts w:ascii="宋体" w:hAnsi="宋体"/>
                <w:bCs/>
                <w:color w:val="000000" w:themeColor="text1"/>
                <w:kern w:val="44"/>
              </w:rPr>
            </w:pPr>
            <w:r>
              <w:rPr>
                <w:rFonts w:ascii="宋体" w:hAnsi="宋体"/>
                <w:color w:val="000000" w:themeColor="text1"/>
              </w:rPr>
              <w:t>利息递延情况</w:t>
            </w:r>
          </w:p>
        </w:tc>
        <w:tc>
          <w:tcPr>
            <w:tcW w:w="5324"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bCs/>
                <w:kern w:val="44"/>
              </w:rPr>
              <w:t>-</w:t>
            </w:r>
          </w:p>
        </w:tc>
      </w:tr>
      <w:tr>
        <w:tc>
          <w:tcPr>
            <w:tcW w:w="3724" w:type="dxa"/>
            <w:vAlign w:val="center"/>
          </w:tcPr>
          <w:p>
            <w:pPr>
              <w:kinsoku w:val="0"/>
              <w:overflowPunct w:val="0"/>
              <w:rPr>
                <w:rFonts w:ascii="宋体" w:hAnsi="宋体"/>
                <w:bCs/>
                <w:color w:val="000000" w:themeColor="text1"/>
                <w:kern w:val="44"/>
              </w:rPr>
            </w:pPr>
            <w:r>
              <w:rPr>
                <w:rFonts w:ascii="宋体" w:hAnsi="宋体"/>
                <w:color w:val="000000" w:themeColor="text1"/>
              </w:rPr>
              <w:t>强制付息情况</w:t>
            </w:r>
          </w:p>
        </w:tc>
        <w:tc>
          <w:tcPr>
            <w:tcW w:w="5324"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bCs/>
                <w:kern w:val="44"/>
              </w:rPr>
              <w:t>-</w:t>
            </w:r>
          </w:p>
        </w:tc>
      </w:tr>
      <w:tr>
        <w:tc>
          <w:tcPr>
            <w:tcW w:w="3724" w:type="dxa"/>
            <w:vAlign w:val="center"/>
          </w:tcPr>
          <w:p>
            <w:pPr>
              <w:kinsoku w:val="0"/>
              <w:overflowPunct w:val="0"/>
              <w:rPr>
                <w:rFonts w:ascii="宋体" w:hAnsi="宋体"/>
                <w:bCs/>
                <w:color w:val="000000" w:themeColor="text1"/>
                <w:kern w:val="44"/>
              </w:rPr>
            </w:pPr>
            <w:r>
              <w:rPr>
                <w:rFonts w:ascii="宋体" w:hAnsi="宋体"/>
                <w:color w:val="000000" w:themeColor="text1"/>
              </w:rPr>
              <w:t>是否仍计入权益及相关会计处理</w:t>
            </w:r>
          </w:p>
        </w:tc>
        <w:tc>
          <w:tcPr>
            <w:tcW w:w="5324" w:type="dxa"/>
            <w:tcBorders>
              <w:top w:val="single" w:sz="4" w:space="0" w:color="auto"/>
              <w:left w:val="single" w:sz="4" w:space="0" w:color="auto"/>
              <w:bottom w:val="single" w:sz="4" w:space="0" w:color="auto"/>
              <w:right w:val="single" w:sz="4" w:space="0" w:color="auto"/>
            </w:tcBorders>
            <w:vAlign w:val="center"/>
          </w:tcPr>
          <w:p>
            <w:pPr>
              <w:kinsoku w:val="0"/>
              <w:overflowPunct w:val="0"/>
              <w:rPr>
                <w:rFonts w:ascii="宋体" w:hAnsi="宋体" w:cs="宋体"/>
                <w:bCs/>
                <w:kern w:val="44"/>
              </w:rPr>
            </w:pPr>
            <w:r>
              <w:rPr>
                <w:rFonts w:ascii="宋体" w:hAnsi="宋体" w:cs="宋体" w:hint="eastAsia"/>
                <w:bCs/>
                <w:kern w:val="44"/>
              </w:rPr>
              <w:t>是</w:t>
            </w:r>
          </w:p>
        </w:tc>
      </w:tr>
      <w:tr>
        <w:tc>
          <w:tcPr>
            <w:tcW w:w="3724" w:type="dxa"/>
            <w:vAlign w:val="center"/>
          </w:tcPr>
          <w:p>
            <w:pPr>
              <w:kinsoku w:val="0"/>
              <w:overflowPunct w:val="0"/>
              <w:rPr>
                <w:rFonts w:ascii="宋体" w:hAnsi="宋体"/>
                <w:color w:val="000000" w:themeColor="text1"/>
              </w:rPr>
            </w:pPr>
            <w:r>
              <w:rPr>
                <w:rFonts w:ascii="宋体" w:hAnsi="宋体" w:hint="eastAsia"/>
                <w:color w:val="000000" w:themeColor="text1"/>
              </w:rPr>
              <w:t>其他事项</w:t>
            </w:r>
          </w:p>
        </w:tc>
        <w:tc>
          <w:tcPr>
            <w:tcW w:w="5324" w:type="dxa"/>
            <w:tcBorders>
              <w:top w:val="single" w:sz="4" w:space="0" w:color="auto"/>
              <w:left w:val="single" w:sz="4" w:space="0" w:color="auto"/>
              <w:bottom w:val="single" w:sz="4" w:space="0" w:color="auto"/>
              <w:right w:val="single" w:sz="4" w:space="0" w:color="auto"/>
            </w:tcBorders>
            <w:vAlign w:val="center"/>
          </w:tcPr>
          <w:p>
            <w:pPr>
              <w:kinsoku w:val="0"/>
              <w:overflowPunct w:val="0"/>
              <w:rPr>
                <w:rFonts w:ascii="宋体" w:hAnsi="宋体"/>
                <w:bCs/>
                <w:kern w:val="44"/>
              </w:rPr>
            </w:pPr>
            <w:r>
              <w:rPr>
                <w:rFonts w:ascii="宋体" w:hAnsi="宋体" w:hint="eastAsia"/>
                <w:bCs/>
                <w:kern w:val="44"/>
              </w:rPr>
              <w:t>-</w:t>
            </w:r>
          </w:p>
        </w:tc>
      </w:tr>
    </w:tbl>
    <w:p>
      <w:pPr>
        <w:kinsoku w:val="0"/>
        <w:overflowPunct w:val="0"/>
        <w:rPr>
          <w:b/>
          <w:bCs/>
          <w:color w:val="000000" w:themeColor="text1"/>
          <w:kern w:val="44"/>
        </w:rPr>
      </w:pPr>
    </w:p>
    <w:p>
      <w:pPr>
        <w:pStyle w:val="4"/>
        <w:numPr>
          <w:ilvl w:val="0"/>
          <w:numId w:val="62"/>
        </w:numPr>
        <w:ind w:left="420" w:hanging="420"/>
        <w:rPr>
          <w:color w:val="000000" w:themeColor="text1"/>
        </w:rPr>
      </w:pPr>
      <w:bookmarkStart w:id="312" w:name="_Toc141452823"/>
      <w:r>
        <w:rPr>
          <w:rFonts w:hint="eastAsia"/>
          <w:color w:val="000000" w:themeColor="text1"/>
        </w:rPr>
        <w:t>公司为扶贫公司债券发行人</w:t>
      </w:r>
      <w:bookmarkEnd w:id="312"/>
    </w:p>
    <w:p>
      <w:pPr>
        <w:rPr>
          <w:color w:val="000000" w:themeColor="text1"/>
        </w:rPr>
      </w:pPr>
      <w:sdt>
        <w:sdtPr>
          <w:rPr>
            <w:rFonts w:hint="eastAsia"/>
            <w:color w:val="000000" w:themeColor="text1"/>
          </w:rPr>
          <w:alias w:val="是否适用：扶贫债券 [双击切换]"/>
          <w:tag w:val="_GBC_8ef075f5a82d44c0a9262fa05dadf308"/>
          <w:id w:val="-1344001553"/>
          <w:placeholder>
            <w:docPart w:val="GBC22222222222222222222222222222"/>
          </w:placeholder>
        </w:sdtPr>
        <w:sdtContent>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sdtContent>
      </w:sdt>
    </w:p>
    <w:p>
      <w:pPr>
        <w:rPr>
          <w:color w:val="000000" w:themeColor="text1"/>
        </w:rPr>
      </w:pPr>
    </w:p>
    <w:p>
      <w:pPr>
        <w:pStyle w:val="4"/>
        <w:numPr>
          <w:ilvl w:val="0"/>
          <w:numId w:val="62"/>
        </w:numPr>
        <w:ind w:left="420" w:hanging="420"/>
        <w:rPr>
          <w:color w:val="000000" w:themeColor="text1"/>
        </w:rPr>
      </w:pPr>
      <w:bookmarkStart w:id="313" w:name="_Toc141452824"/>
      <w:r>
        <w:rPr>
          <w:rFonts w:hint="eastAsia"/>
          <w:color w:val="000000" w:themeColor="text1"/>
        </w:rPr>
        <w:t>公司为乡村振兴公司债券发行人</w:t>
      </w:r>
      <w:bookmarkEnd w:id="313"/>
    </w:p>
    <w:p>
      <w:pPr>
        <w:rPr>
          <w:color w:val="000000" w:themeColor="text1"/>
        </w:rPr>
      </w:pPr>
      <w:sdt>
        <w:sdtPr>
          <w:rPr>
            <w:rFonts w:hint="eastAsia"/>
            <w:color w:val="000000" w:themeColor="text1"/>
          </w:rPr>
          <w:alias w:val="是否适用：乡村振兴债券[双击切换]"/>
          <w:tag w:val="_GBC_1bb1a245b8c044a7b4e59eccab9f3946"/>
          <w:id w:val="95227419"/>
          <w:placeholder>
            <w:docPart w:val="GBC22222222222222222222222222222"/>
          </w:placeholder>
        </w:sdtPr>
        <w:sdtContent>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sdtContent>
      </w:sdt>
    </w:p>
    <w:p>
      <w:pPr>
        <w:rPr>
          <w:color w:val="000000" w:themeColor="text1"/>
        </w:rPr>
      </w:pPr>
    </w:p>
    <w:p>
      <w:pPr>
        <w:pStyle w:val="4"/>
        <w:numPr>
          <w:ilvl w:val="0"/>
          <w:numId w:val="62"/>
        </w:numPr>
        <w:ind w:left="420" w:hanging="420"/>
        <w:rPr>
          <w:color w:val="000000" w:themeColor="text1"/>
        </w:rPr>
      </w:pPr>
      <w:bookmarkStart w:id="314" w:name="_Toc141452825"/>
      <w:r>
        <w:rPr>
          <w:rFonts w:hint="eastAsia"/>
          <w:color w:val="000000" w:themeColor="text1"/>
        </w:rPr>
        <w:t>公司为一带一路公司债券发行人</w:t>
      </w:r>
      <w:bookmarkEnd w:id="314"/>
    </w:p>
    <w:p>
      <w:pPr>
        <w:rPr>
          <w:color w:val="000000" w:themeColor="text1"/>
        </w:rPr>
      </w:pPr>
      <w:sdt>
        <w:sdtPr>
          <w:rPr>
            <w:rFonts w:hint="eastAsia"/>
            <w:color w:val="000000" w:themeColor="text1"/>
          </w:rPr>
          <w:alias w:val="是否适用：一带一路债券[双击切换]"/>
          <w:tag w:val="_GBC_d6c22e66fbcc4d228c003a7ed151c64a"/>
          <w:id w:val="2142761591"/>
          <w:placeholder>
            <w:docPart w:val="GBC22222222222222222222222222222"/>
          </w:placeholder>
        </w:sdtPr>
        <w:sdtContent>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sdtContent>
      </w:sdt>
    </w:p>
    <w:p>
      <w:pPr>
        <w:rPr>
          <w:color w:val="000000" w:themeColor="text1"/>
        </w:rPr>
      </w:pPr>
    </w:p>
    <w:p>
      <w:pPr>
        <w:pStyle w:val="4"/>
        <w:numPr>
          <w:ilvl w:val="0"/>
          <w:numId w:val="62"/>
        </w:numPr>
        <w:ind w:left="420" w:hanging="420"/>
        <w:rPr>
          <w:color w:val="000000" w:themeColor="text1"/>
        </w:rPr>
      </w:pPr>
      <w:bookmarkStart w:id="315" w:name="_Toc141452826"/>
      <w:r>
        <w:rPr>
          <w:rFonts w:hint="eastAsia"/>
          <w:color w:val="000000" w:themeColor="text1"/>
        </w:rPr>
        <w:t>公司科技创新公司债券或者</w:t>
      </w:r>
      <w:bookmarkEnd w:id="315"/>
      <w:r>
        <w:rPr>
          <w:rFonts w:hint="eastAsia"/>
          <w:color w:val="000000" w:themeColor="text1"/>
        </w:rPr>
        <w:t>创新创业公司债券发行人</w:t>
      </w:r>
    </w:p>
    <w:sdt>
      <w:sdtPr>
        <w:rPr>
          <w:color w:val="000000" w:themeColor="text1"/>
        </w:rPr>
        <w:alias w:val="是否适用：科技创新债[双击切换]"/>
        <w:tag w:val="_GBC_9c20df426efd47a6841997c8e443a0b2"/>
        <w:id w:val="943196154"/>
        <w:lock w:val="contentLocked"/>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jc w:val="right"/>
        <w:rPr>
          <w:color w:val="000000" w:themeColor="text1"/>
        </w:rPr>
      </w:pPr>
      <w:r>
        <w:rPr>
          <w:rFonts w:hint="eastAsia"/>
          <w:color w:val="000000" w:themeColor="text1"/>
        </w:rPr>
        <w:t>单位：</w:t>
      </w:r>
      <w:sdt>
        <w:sdtPr>
          <w:rPr>
            <w:rFonts w:hint="eastAsia"/>
            <w:color w:val="000000" w:themeColor="text1"/>
          </w:rPr>
          <w:alias w:val="单位：科技创新债"/>
          <w:tag w:val="_GBC_ae5c5195d6fe4e4e822097e1526b1a50"/>
          <w:id w:val="9638525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科技创新债"/>
          <w:tag w:val="_GBC_eb2c4ccb81094c2bb84dd9df5973dbab"/>
          <w:id w:val="-15445162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hd w:val="solid" w:color="FFFFFF" w:fill="auto"/>
          </w:rPr>
        </w:sdtEndPr>
        <w:sdtContent>
          <w:r>
            <w:rPr>
              <w:rFonts w:hint="eastAsia"/>
              <w:color w:val="000000" w:themeColor="text1"/>
            </w:rPr>
            <w:t>人民币</w:t>
          </w:r>
        </w:sdtContent>
      </w:sdt>
    </w:p>
    <w:tbl>
      <w:tblPr>
        <w:tblStyle w:val="aff4"/>
        <w:tblW w:w="0" w:type="auto"/>
        <w:tblLayout w:type="fixed"/>
        <w:tblLook w:val="04A0" w:firstRow="1" w:lastRow="0" w:firstColumn="1" w:lastColumn="0" w:noHBand="0" w:noVBand="1"/>
      </w:tblPr>
      <w:tblGrid>
        <w:gridCol w:w="3273"/>
        <w:gridCol w:w="5775"/>
      </w:tblGrid>
      <w:tr>
        <w:tc>
          <w:tcPr>
            <w:tcW w:w="3273" w:type="dxa"/>
            <w:vAlign w:val="center"/>
          </w:tcPr>
          <w:p>
            <w:pPr>
              <w:kinsoku w:val="0"/>
              <w:overflowPunct w:val="0"/>
              <w:rPr>
                <w:color w:val="000000" w:themeColor="text1"/>
              </w:rPr>
            </w:pPr>
            <w:r>
              <w:rPr>
                <w:rFonts w:hint="eastAsia"/>
                <w:color w:val="000000" w:themeColor="text1"/>
              </w:rPr>
              <w:t>本次债券所适用的发行人主体类别</w:t>
            </w:r>
          </w:p>
        </w:tc>
        <w:tc>
          <w:tcPr>
            <w:tcW w:w="5775" w:type="dxa"/>
            <w:vAlign w:val="center"/>
          </w:tcPr>
          <w:p>
            <w:pPr>
              <w:kinsoku w:val="0"/>
              <w:overflowPunct w:val="0"/>
              <w:rPr>
                <w:color w:val="000000" w:themeColor="text1"/>
              </w:rPr>
            </w:pPr>
            <w:r>
              <w:rPr>
                <w:rFonts w:asciiTheme="minorEastAsia" w:eastAsiaTheme="minorEastAsia" w:hAnsiTheme="minorEastAsia" w:hint="eastAsia"/>
                <w:color w:val="000000" w:themeColor="text1"/>
              </w:rPr>
              <w:fldChar w:fldCharType="begin"/>
            </w:r>
            <w:r>
              <w:rPr>
                <w:rFonts w:asciiTheme="minorEastAsia" w:eastAsiaTheme="minorEastAsia" w:hAnsiTheme="minorEastAsia" w:hint="eastAsia"/>
                <w:color w:val="000000" w:themeColor="text1"/>
              </w:rPr>
              <w:instrText xml:space="preserve"> </w:instrText>
            </w:r>
            <w:r>
              <w:rPr>
                <w:rFonts w:asciiTheme="minorEastAsia" w:eastAsiaTheme="minorEastAsia" w:hAnsiTheme="minorEastAsia"/>
                <w:color w:val="000000" w:themeColor="text1"/>
              </w:rPr>
              <w:instrText xml:space="preserve">MACROBUTTON SnrToggleCheckbox √科创企业类 </w:instrText>
            </w:r>
            <w:r>
              <w:rPr>
                <w:rFonts w:asciiTheme="minorEastAsia" w:eastAsiaTheme="minorEastAsia" w:hAnsiTheme="minorEastAsia"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□科创升级类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□科创投资类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□科创孵化类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□金融机构</w:instrText>
            </w:r>
            <w:r>
              <w:rPr>
                <w:rFonts w:hint="eastAsia"/>
                <w:color w:val="000000" w:themeColor="text1"/>
              </w:rPr>
              <w:instrText xml:space="preserve"> </w:instrText>
            </w:r>
            <w:r>
              <w:rPr>
                <w:rFonts w:hint="eastAsia"/>
                <w:color w:val="000000" w:themeColor="text1"/>
              </w:rPr>
              <w:fldChar w:fldCharType="end"/>
            </w:r>
          </w:p>
        </w:tc>
      </w:tr>
      <w:tr>
        <w:tc>
          <w:tcPr>
            <w:tcW w:w="3273" w:type="dxa"/>
            <w:vAlign w:val="center"/>
          </w:tcPr>
          <w:p>
            <w:pPr>
              <w:kinsoku w:val="0"/>
              <w:overflowPunct w:val="0"/>
              <w:rPr>
                <w:color w:val="000000" w:themeColor="text1"/>
              </w:rPr>
            </w:pPr>
            <w:r>
              <w:rPr>
                <w:color w:val="000000" w:themeColor="text1"/>
              </w:rPr>
              <w:t>债券代码</w:t>
            </w:r>
          </w:p>
        </w:tc>
        <w:tc>
          <w:tcPr>
            <w:tcW w:w="5775" w:type="dxa"/>
            <w:vAlign w:val="center"/>
          </w:tcPr>
          <w:p>
            <w:pPr>
              <w:kinsoku w:val="0"/>
              <w:overflowPunct w:val="0"/>
              <w:rPr>
                <w:color w:val="000000" w:themeColor="text1"/>
              </w:rPr>
            </w:pPr>
            <w:r>
              <w:rPr>
                <w:color w:val="000000" w:themeColor="text1"/>
              </w:rPr>
              <w:t>242524</w:t>
            </w:r>
          </w:p>
        </w:tc>
      </w:tr>
      <w:tr>
        <w:tc>
          <w:tcPr>
            <w:tcW w:w="3273" w:type="dxa"/>
            <w:vAlign w:val="center"/>
          </w:tcPr>
          <w:p>
            <w:pPr>
              <w:kinsoku w:val="0"/>
              <w:overflowPunct w:val="0"/>
              <w:rPr>
                <w:color w:val="000000" w:themeColor="text1"/>
              </w:rPr>
            </w:pPr>
            <w:r>
              <w:rPr>
                <w:color w:val="000000" w:themeColor="text1"/>
              </w:rPr>
              <w:t>债券简称</w:t>
            </w:r>
          </w:p>
        </w:tc>
        <w:tc>
          <w:tcPr>
            <w:tcW w:w="5775" w:type="dxa"/>
            <w:vAlign w:val="center"/>
          </w:tcPr>
          <w:p>
            <w:pPr>
              <w:kinsoku w:val="0"/>
              <w:overflowPunct w:val="0"/>
            </w:pPr>
            <w:r>
              <w:rPr>
                <w:rFonts w:hint="eastAsia"/>
              </w:rPr>
              <w:t>25</w:t>
            </w:r>
            <w:r>
              <w:rPr>
                <w:rFonts w:hint="eastAsia"/>
              </w:rPr>
              <w:t>兖矿</w:t>
            </w:r>
            <w:r>
              <w:rPr>
                <w:rFonts w:hint="eastAsia"/>
              </w:rPr>
              <w:t>K2</w:t>
            </w:r>
          </w:p>
        </w:tc>
      </w:tr>
      <w:tr>
        <w:tc>
          <w:tcPr>
            <w:tcW w:w="3273" w:type="dxa"/>
            <w:vAlign w:val="center"/>
          </w:tcPr>
          <w:p>
            <w:pPr>
              <w:kinsoku w:val="0"/>
              <w:overflowPunct w:val="0"/>
              <w:rPr>
                <w:color w:val="000000" w:themeColor="text1"/>
              </w:rPr>
            </w:pPr>
            <w:r>
              <w:rPr>
                <w:color w:val="000000" w:themeColor="text1"/>
              </w:rPr>
              <w:lastRenderedPageBreak/>
              <w:t>债券余额</w:t>
            </w:r>
          </w:p>
        </w:tc>
        <w:tc>
          <w:tcPr>
            <w:tcW w:w="5775" w:type="dxa"/>
            <w:vAlign w:val="center"/>
          </w:tcPr>
          <w:p>
            <w:pPr>
              <w:kinsoku w:val="0"/>
              <w:overflowPunct w:val="0"/>
              <w:jc w:val="right"/>
            </w:pPr>
            <w:r>
              <w:rPr>
                <w:rFonts w:hint="eastAsia"/>
              </w:rPr>
              <w:t>30</w:t>
            </w:r>
          </w:p>
        </w:tc>
      </w:tr>
      <w:tr>
        <w:tc>
          <w:tcPr>
            <w:tcW w:w="3273" w:type="dxa"/>
            <w:vAlign w:val="center"/>
          </w:tcPr>
          <w:p>
            <w:pPr>
              <w:kinsoku w:val="0"/>
              <w:overflowPunct w:val="0"/>
              <w:rPr>
                <w:color w:val="000000" w:themeColor="text1"/>
              </w:rPr>
            </w:pPr>
            <w:r>
              <w:rPr>
                <w:color w:val="000000" w:themeColor="text1"/>
              </w:rPr>
              <w:t>科创项目或金融机构募集资金投向科技创新领域进展情况</w:t>
            </w:r>
          </w:p>
        </w:tc>
        <w:tc>
          <w:tcPr>
            <w:tcW w:w="5775" w:type="dxa"/>
            <w:vAlign w:val="center"/>
          </w:tcPr>
          <w:p>
            <w:pPr>
              <w:kinsoku w:val="0"/>
              <w:overflowPunct w:val="0"/>
            </w:pPr>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促进科技创新发展效果</w:t>
            </w:r>
          </w:p>
        </w:tc>
        <w:tc>
          <w:tcPr>
            <w:tcW w:w="5775" w:type="dxa"/>
            <w:vAlign w:val="center"/>
          </w:tcPr>
          <w:p>
            <w:pPr>
              <w:kinsoku w:val="0"/>
              <w:overflowPunct w:val="0"/>
            </w:pPr>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5775" w:type="dxa"/>
            <w:vAlign w:val="center"/>
          </w:tcPr>
          <w:p>
            <w:pPr>
              <w:kinsoku w:val="0"/>
              <w:overflowPunct w:val="0"/>
            </w:pPr>
            <w:r>
              <w:rPr>
                <w:rStyle w:val="affe"/>
                <w:rFonts w:hint="eastAsia"/>
              </w:rPr>
              <w:t>不适用</w:t>
            </w:r>
          </w:p>
        </w:tc>
      </w:tr>
      <w:tr>
        <w:tc>
          <w:tcPr>
            <w:tcW w:w="3273" w:type="dxa"/>
            <w:vAlign w:val="center"/>
          </w:tcPr>
          <w:p>
            <w:pPr>
              <w:kinsoku w:val="0"/>
              <w:overflowPunct w:val="0"/>
              <w:rPr>
                <w:color w:val="000000" w:themeColor="text1"/>
              </w:rPr>
            </w:pPr>
            <w:r>
              <w:rPr>
                <w:rFonts w:hint="eastAsia"/>
                <w:color w:val="000000" w:themeColor="text1"/>
              </w:rPr>
              <w:t>其他事项</w:t>
            </w:r>
          </w:p>
        </w:tc>
        <w:tc>
          <w:tcPr>
            <w:tcW w:w="5775" w:type="dxa"/>
            <w:vAlign w:val="center"/>
          </w:tcPr>
          <w:p>
            <w:pPr>
              <w:kinsoku w:val="0"/>
              <w:overflowPunct w:val="0"/>
            </w:pPr>
            <w:r>
              <w:rPr>
                <w:rStyle w:val="affe"/>
                <w:rFonts w:hint="eastAsia"/>
              </w:rPr>
              <w:t>不适用</w:t>
            </w:r>
          </w:p>
        </w:tc>
      </w:tr>
    </w:tbl>
    <w:p>
      <w:pPr>
        <w:rPr>
          <w:color w:val="000000" w:themeColor="text1"/>
        </w:rPr>
      </w:pPr>
    </w:p>
    <w:p>
      <w:pPr>
        <w:rPr>
          <w:color w:val="000000" w:themeColor="text1"/>
        </w:rPr>
      </w:pPr>
    </w:p>
    <w:p>
      <w:pPr>
        <w:rPr>
          <w:color w:val="000000" w:themeColor="text1"/>
        </w:rPr>
      </w:pPr>
    </w:p>
    <w:p>
      <w:pPr>
        <w:rPr>
          <w:color w:val="000000" w:themeColor="text1"/>
        </w:rPr>
      </w:pPr>
    </w:p>
    <w:tbl>
      <w:tblPr>
        <w:tblStyle w:val="aff4"/>
        <w:tblW w:w="9048" w:type="dxa"/>
        <w:tblLayout w:type="fixed"/>
        <w:tblLook w:val="04A0" w:firstRow="1" w:lastRow="0" w:firstColumn="1" w:lastColumn="0" w:noHBand="0" w:noVBand="1"/>
      </w:tblPr>
      <w:tblGrid>
        <w:gridCol w:w="3273"/>
        <w:gridCol w:w="5775"/>
      </w:tblGrid>
      <w:tr>
        <w:tc>
          <w:tcPr>
            <w:tcW w:w="3273" w:type="dxa"/>
            <w:vAlign w:val="center"/>
          </w:tcPr>
          <w:p>
            <w:pPr>
              <w:kinsoku w:val="0"/>
              <w:overflowPunct w:val="0"/>
              <w:rPr>
                <w:color w:val="000000" w:themeColor="text1"/>
              </w:rPr>
            </w:pPr>
            <w:r>
              <w:rPr>
                <w:rFonts w:hint="eastAsia"/>
                <w:color w:val="000000" w:themeColor="text1"/>
              </w:rPr>
              <w:t>本次债券所适用的发行人主体类别</w:t>
            </w:r>
          </w:p>
        </w:tc>
        <w:tc>
          <w:tcPr>
            <w:tcW w:w="5775" w:type="dxa"/>
            <w:vAlign w:val="center"/>
          </w:tcPr>
          <w:p>
            <w:pPr>
              <w:kinsoku w:val="0"/>
              <w:overflowPunct w:val="0"/>
              <w:rPr>
                <w:color w:val="000000" w:themeColor="text1"/>
              </w:rPr>
            </w:pPr>
            <w:r>
              <w:rPr>
                <w:rFonts w:asciiTheme="minorEastAsia" w:eastAsiaTheme="minorEastAsia" w:hAnsiTheme="minorEastAsia" w:hint="eastAsia"/>
                <w:color w:val="000000" w:themeColor="text1"/>
              </w:rPr>
              <w:fldChar w:fldCharType="begin"/>
            </w:r>
            <w:r>
              <w:rPr>
                <w:rFonts w:asciiTheme="minorEastAsia" w:eastAsiaTheme="minorEastAsia" w:hAnsiTheme="minorEastAsia" w:hint="eastAsia"/>
                <w:color w:val="000000" w:themeColor="text1"/>
              </w:rPr>
              <w:instrText xml:space="preserve"> </w:instrText>
            </w:r>
            <w:r>
              <w:rPr>
                <w:rFonts w:asciiTheme="minorEastAsia" w:eastAsiaTheme="minorEastAsia" w:hAnsiTheme="minorEastAsia"/>
                <w:color w:val="000000" w:themeColor="text1"/>
              </w:rPr>
              <w:instrText xml:space="preserve">MACROBUTTON SnrToggleCheckbox √科创企业类 </w:instrText>
            </w:r>
            <w:r>
              <w:rPr>
                <w:rFonts w:asciiTheme="minorEastAsia" w:eastAsiaTheme="minorEastAsia" w:hAnsiTheme="minorEastAsia"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□科创升级类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□科创投资类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□科创孵化类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□金融机构</w:instrText>
            </w:r>
            <w:r>
              <w:rPr>
                <w:rFonts w:hint="eastAsia"/>
                <w:color w:val="000000" w:themeColor="text1"/>
              </w:rPr>
              <w:instrText xml:space="preserve"> </w:instrText>
            </w:r>
            <w:r>
              <w:rPr>
                <w:rFonts w:hint="eastAsia"/>
                <w:color w:val="000000" w:themeColor="text1"/>
              </w:rPr>
              <w:fldChar w:fldCharType="end"/>
            </w:r>
          </w:p>
        </w:tc>
      </w:tr>
      <w:tr>
        <w:tc>
          <w:tcPr>
            <w:tcW w:w="3273" w:type="dxa"/>
            <w:vAlign w:val="center"/>
          </w:tcPr>
          <w:p>
            <w:pPr>
              <w:kinsoku w:val="0"/>
              <w:overflowPunct w:val="0"/>
              <w:rPr>
                <w:color w:val="000000" w:themeColor="text1"/>
              </w:rPr>
            </w:pPr>
            <w:r>
              <w:rPr>
                <w:color w:val="000000" w:themeColor="text1"/>
              </w:rPr>
              <w:t>债券代码</w:t>
            </w:r>
          </w:p>
        </w:tc>
        <w:tc>
          <w:tcPr>
            <w:tcW w:w="5775" w:type="dxa"/>
            <w:vAlign w:val="center"/>
          </w:tcPr>
          <w:p>
            <w:pPr>
              <w:kinsoku w:val="0"/>
              <w:overflowPunct w:val="0"/>
              <w:rPr>
                <w:color w:val="000000" w:themeColor="text1"/>
              </w:rPr>
            </w:pPr>
            <w:r>
              <w:rPr>
                <w:rFonts w:hint="eastAsia"/>
                <w:color w:val="000000" w:themeColor="text1"/>
              </w:rPr>
              <w:t>243216</w:t>
            </w:r>
          </w:p>
        </w:tc>
      </w:tr>
      <w:tr>
        <w:tc>
          <w:tcPr>
            <w:tcW w:w="3273" w:type="dxa"/>
            <w:vAlign w:val="center"/>
          </w:tcPr>
          <w:p>
            <w:pPr>
              <w:kinsoku w:val="0"/>
              <w:overflowPunct w:val="0"/>
              <w:rPr>
                <w:color w:val="000000" w:themeColor="text1"/>
              </w:rPr>
            </w:pPr>
            <w:r>
              <w:rPr>
                <w:color w:val="000000" w:themeColor="text1"/>
              </w:rPr>
              <w:t>债券简称</w:t>
            </w:r>
          </w:p>
        </w:tc>
        <w:tc>
          <w:tcPr>
            <w:tcW w:w="5775" w:type="dxa"/>
            <w:vAlign w:val="center"/>
          </w:tcPr>
          <w:p>
            <w:pPr>
              <w:kinsoku w:val="0"/>
              <w:overflowPunct w:val="0"/>
            </w:pPr>
            <w:r>
              <w:rPr>
                <w:rFonts w:hint="eastAsia"/>
              </w:rPr>
              <w:t>兖矿</w:t>
            </w:r>
            <w:r>
              <w:t>KY04</w:t>
            </w:r>
          </w:p>
        </w:tc>
      </w:tr>
      <w:tr>
        <w:tc>
          <w:tcPr>
            <w:tcW w:w="3273" w:type="dxa"/>
            <w:vAlign w:val="center"/>
          </w:tcPr>
          <w:p>
            <w:pPr>
              <w:kinsoku w:val="0"/>
              <w:overflowPunct w:val="0"/>
              <w:rPr>
                <w:color w:val="000000" w:themeColor="text1"/>
              </w:rPr>
            </w:pPr>
            <w:r>
              <w:rPr>
                <w:color w:val="000000" w:themeColor="text1"/>
              </w:rPr>
              <w:t>债券余额</w:t>
            </w:r>
          </w:p>
        </w:tc>
        <w:tc>
          <w:tcPr>
            <w:tcW w:w="5775" w:type="dxa"/>
            <w:vAlign w:val="center"/>
          </w:tcPr>
          <w:p>
            <w:pPr>
              <w:kinsoku w:val="0"/>
              <w:overflowPunct w:val="0"/>
            </w:pPr>
            <w:r>
              <w:rPr>
                <w:rFonts w:hint="eastAsia"/>
              </w:rPr>
              <w:t>30</w:t>
            </w:r>
          </w:p>
        </w:tc>
      </w:tr>
      <w:tr>
        <w:tc>
          <w:tcPr>
            <w:tcW w:w="3273" w:type="dxa"/>
            <w:vAlign w:val="center"/>
          </w:tcPr>
          <w:p>
            <w:pPr>
              <w:kinsoku w:val="0"/>
              <w:overflowPunct w:val="0"/>
              <w:rPr>
                <w:color w:val="000000" w:themeColor="text1"/>
              </w:rPr>
            </w:pPr>
            <w:r>
              <w:rPr>
                <w:color w:val="000000" w:themeColor="text1"/>
              </w:rPr>
              <w:t>科创项目或金融机构募集资金投向科技创新领域进展情况</w:t>
            </w:r>
          </w:p>
        </w:tc>
        <w:tc>
          <w:tcPr>
            <w:tcW w:w="5775" w:type="dxa"/>
            <w:vAlign w:val="center"/>
          </w:tcPr>
          <w:p>
            <w:pPr>
              <w:kinsoku w:val="0"/>
              <w:overflowPunct w:val="0"/>
            </w:pPr>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促进科技创新发展效果</w:t>
            </w:r>
          </w:p>
        </w:tc>
        <w:tc>
          <w:tcPr>
            <w:tcW w:w="5775" w:type="dxa"/>
          </w:tcPr>
          <w:p>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5775" w:type="dxa"/>
          </w:tcPr>
          <w:p>
            <w:r>
              <w:rPr>
                <w:rStyle w:val="affe"/>
                <w:rFonts w:hint="eastAsia"/>
              </w:rPr>
              <w:t>不适用</w:t>
            </w:r>
          </w:p>
        </w:tc>
      </w:tr>
      <w:tr>
        <w:tc>
          <w:tcPr>
            <w:tcW w:w="3273" w:type="dxa"/>
            <w:vAlign w:val="center"/>
          </w:tcPr>
          <w:p>
            <w:pPr>
              <w:kinsoku w:val="0"/>
              <w:overflowPunct w:val="0"/>
              <w:rPr>
                <w:color w:val="000000" w:themeColor="text1"/>
              </w:rPr>
            </w:pPr>
            <w:r>
              <w:rPr>
                <w:rFonts w:hint="eastAsia"/>
                <w:color w:val="000000" w:themeColor="text1"/>
              </w:rPr>
              <w:t>其他事项</w:t>
            </w:r>
          </w:p>
        </w:tc>
        <w:tc>
          <w:tcPr>
            <w:tcW w:w="5775" w:type="dxa"/>
          </w:tcPr>
          <w:p>
            <w:r>
              <w:rPr>
                <w:rStyle w:val="affe"/>
                <w:rFonts w:hint="eastAsia"/>
              </w:rPr>
              <w:t>不适用</w:t>
            </w:r>
          </w:p>
        </w:tc>
      </w:tr>
    </w:tbl>
    <w:p>
      <w:pPr>
        <w:rPr>
          <w:rFonts w:ascii="宋体" w:hAnsi="宋体"/>
          <w:color w:val="000000" w:themeColor="text1"/>
        </w:rPr>
      </w:pPr>
    </w:p>
    <w:tbl>
      <w:tblPr>
        <w:tblStyle w:val="aff4"/>
        <w:tblW w:w="9048" w:type="dxa"/>
        <w:tblLayout w:type="fixed"/>
        <w:tblLook w:val="04A0" w:firstRow="1" w:lastRow="0" w:firstColumn="1" w:lastColumn="0" w:noHBand="0" w:noVBand="1"/>
      </w:tblPr>
      <w:tblGrid>
        <w:gridCol w:w="3273"/>
        <w:gridCol w:w="5775"/>
      </w:tblGrid>
      <w:tr>
        <w:tc>
          <w:tcPr>
            <w:tcW w:w="3273" w:type="dxa"/>
            <w:vAlign w:val="center"/>
          </w:tcPr>
          <w:p>
            <w:pPr>
              <w:kinsoku w:val="0"/>
              <w:overflowPunct w:val="0"/>
              <w:rPr>
                <w:color w:val="000000" w:themeColor="text1"/>
              </w:rPr>
            </w:pPr>
            <w:r>
              <w:rPr>
                <w:rFonts w:hint="eastAsia"/>
                <w:color w:val="000000" w:themeColor="text1"/>
              </w:rPr>
              <w:t>本次债券所适用的发行人主体类别</w:t>
            </w:r>
          </w:p>
        </w:tc>
        <w:tc>
          <w:tcPr>
            <w:tcW w:w="5775" w:type="dxa"/>
            <w:vAlign w:val="center"/>
          </w:tcPr>
          <w:p>
            <w:pPr>
              <w:kinsoku w:val="0"/>
              <w:overflowPunct w:val="0"/>
              <w:rPr>
                <w:color w:val="000000" w:themeColor="text1"/>
              </w:rPr>
            </w:pPr>
            <w:r>
              <w:rPr>
                <w:rFonts w:asciiTheme="minorEastAsia" w:eastAsiaTheme="minorEastAsia" w:hAnsiTheme="minorEastAsia" w:hint="eastAsia"/>
                <w:color w:val="000000" w:themeColor="text1"/>
              </w:rPr>
              <w:fldChar w:fldCharType="begin"/>
            </w:r>
            <w:r>
              <w:rPr>
                <w:rFonts w:asciiTheme="minorEastAsia" w:eastAsiaTheme="minorEastAsia" w:hAnsiTheme="minorEastAsia" w:hint="eastAsia"/>
                <w:color w:val="000000" w:themeColor="text1"/>
              </w:rPr>
              <w:instrText xml:space="preserve"> </w:instrText>
            </w:r>
            <w:r>
              <w:rPr>
                <w:rFonts w:asciiTheme="minorEastAsia" w:eastAsiaTheme="minorEastAsia" w:hAnsiTheme="minorEastAsia"/>
                <w:color w:val="000000" w:themeColor="text1"/>
              </w:rPr>
              <w:instrText xml:space="preserve">MACROBUTTON SnrToggleCheckbox √科创企业类 </w:instrText>
            </w:r>
            <w:r>
              <w:rPr>
                <w:rFonts w:asciiTheme="minorEastAsia" w:eastAsiaTheme="minorEastAsia" w:hAnsiTheme="minorEastAsia"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□科创升级类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□科创投资类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□科创孵化类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□金融机构</w:instrText>
            </w:r>
            <w:r>
              <w:rPr>
                <w:rFonts w:hint="eastAsia"/>
                <w:color w:val="000000" w:themeColor="text1"/>
              </w:rPr>
              <w:instrText xml:space="preserve"> </w:instrText>
            </w:r>
            <w:r>
              <w:rPr>
                <w:rFonts w:hint="eastAsia"/>
                <w:color w:val="000000" w:themeColor="text1"/>
              </w:rPr>
              <w:fldChar w:fldCharType="end"/>
            </w:r>
          </w:p>
        </w:tc>
      </w:tr>
      <w:tr>
        <w:tc>
          <w:tcPr>
            <w:tcW w:w="3273" w:type="dxa"/>
            <w:vAlign w:val="center"/>
          </w:tcPr>
          <w:p>
            <w:pPr>
              <w:kinsoku w:val="0"/>
              <w:overflowPunct w:val="0"/>
              <w:rPr>
                <w:color w:val="000000" w:themeColor="text1"/>
              </w:rPr>
            </w:pPr>
            <w:r>
              <w:rPr>
                <w:color w:val="000000" w:themeColor="text1"/>
              </w:rPr>
              <w:t>债券代码</w:t>
            </w:r>
          </w:p>
        </w:tc>
        <w:tc>
          <w:tcPr>
            <w:tcW w:w="5775" w:type="dxa"/>
            <w:vAlign w:val="center"/>
          </w:tcPr>
          <w:p>
            <w:pPr>
              <w:kinsoku w:val="0"/>
              <w:overflowPunct w:val="0"/>
              <w:rPr>
                <w:color w:val="000000" w:themeColor="text1"/>
              </w:rPr>
            </w:pPr>
            <w:r>
              <w:rPr>
                <w:rFonts w:hint="eastAsia"/>
                <w:color w:val="000000" w:themeColor="text1"/>
              </w:rPr>
              <w:t>243671</w:t>
            </w:r>
          </w:p>
        </w:tc>
      </w:tr>
      <w:tr>
        <w:tc>
          <w:tcPr>
            <w:tcW w:w="3273" w:type="dxa"/>
            <w:vAlign w:val="center"/>
          </w:tcPr>
          <w:p>
            <w:pPr>
              <w:kinsoku w:val="0"/>
              <w:overflowPunct w:val="0"/>
              <w:rPr>
                <w:color w:val="000000" w:themeColor="text1"/>
              </w:rPr>
            </w:pPr>
            <w:r>
              <w:rPr>
                <w:color w:val="000000" w:themeColor="text1"/>
              </w:rPr>
              <w:t>债券简称</w:t>
            </w:r>
          </w:p>
        </w:tc>
        <w:tc>
          <w:tcPr>
            <w:tcW w:w="5775" w:type="dxa"/>
            <w:vAlign w:val="center"/>
          </w:tcPr>
          <w:p>
            <w:pPr>
              <w:kinsoku w:val="0"/>
              <w:overflowPunct w:val="0"/>
            </w:pPr>
            <w:r>
              <w:rPr>
                <w:rFonts w:hint="eastAsia"/>
              </w:rPr>
              <w:t>2</w:t>
            </w:r>
            <w:r>
              <w:t>5</w:t>
            </w:r>
            <w:r>
              <w:rPr>
                <w:rFonts w:hint="eastAsia"/>
              </w:rPr>
              <w:t>兖矿</w:t>
            </w:r>
            <w:r>
              <w:t>K3</w:t>
            </w:r>
          </w:p>
        </w:tc>
      </w:tr>
      <w:tr>
        <w:tc>
          <w:tcPr>
            <w:tcW w:w="3273" w:type="dxa"/>
            <w:vAlign w:val="center"/>
          </w:tcPr>
          <w:p>
            <w:pPr>
              <w:kinsoku w:val="0"/>
              <w:overflowPunct w:val="0"/>
              <w:rPr>
                <w:color w:val="000000" w:themeColor="text1"/>
              </w:rPr>
            </w:pPr>
            <w:r>
              <w:rPr>
                <w:color w:val="000000" w:themeColor="text1"/>
              </w:rPr>
              <w:t>债券余额</w:t>
            </w:r>
          </w:p>
        </w:tc>
        <w:tc>
          <w:tcPr>
            <w:tcW w:w="5775" w:type="dxa"/>
            <w:vAlign w:val="center"/>
          </w:tcPr>
          <w:p>
            <w:pPr>
              <w:kinsoku w:val="0"/>
              <w:overflowPunct w:val="0"/>
            </w:pPr>
            <w:r>
              <w:t>20</w:t>
            </w:r>
          </w:p>
        </w:tc>
      </w:tr>
      <w:tr>
        <w:tc>
          <w:tcPr>
            <w:tcW w:w="3273" w:type="dxa"/>
            <w:vAlign w:val="center"/>
          </w:tcPr>
          <w:p>
            <w:pPr>
              <w:kinsoku w:val="0"/>
              <w:overflowPunct w:val="0"/>
              <w:rPr>
                <w:color w:val="000000" w:themeColor="text1"/>
              </w:rPr>
            </w:pPr>
            <w:r>
              <w:rPr>
                <w:color w:val="000000" w:themeColor="text1"/>
              </w:rPr>
              <w:t>科创项目或金融机构募集资金投向科技创新领域进展情况</w:t>
            </w:r>
          </w:p>
        </w:tc>
        <w:tc>
          <w:tcPr>
            <w:tcW w:w="5775" w:type="dxa"/>
            <w:vAlign w:val="center"/>
          </w:tcPr>
          <w:p>
            <w:pPr>
              <w:kinsoku w:val="0"/>
              <w:overflowPunct w:val="0"/>
            </w:pPr>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促进科技创新发展效果</w:t>
            </w:r>
          </w:p>
        </w:tc>
        <w:tc>
          <w:tcPr>
            <w:tcW w:w="5775" w:type="dxa"/>
          </w:tcPr>
          <w:p>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5775" w:type="dxa"/>
          </w:tcPr>
          <w:p>
            <w:r>
              <w:rPr>
                <w:rStyle w:val="affe"/>
                <w:rFonts w:hint="eastAsia"/>
              </w:rPr>
              <w:t>不适用</w:t>
            </w:r>
          </w:p>
        </w:tc>
      </w:tr>
      <w:tr>
        <w:tc>
          <w:tcPr>
            <w:tcW w:w="3273" w:type="dxa"/>
            <w:vAlign w:val="center"/>
          </w:tcPr>
          <w:p>
            <w:pPr>
              <w:kinsoku w:val="0"/>
              <w:overflowPunct w:val="0"/>
              <w:rPr>
                <w:color w:val="000000" w:themeColor="text1"/>
              </w:rPr>
            </w:pPr>
            <w:r>
              <w:rPr>
                <w:rFonts w:hint="eastAsia"/>
                <w:color w:val="000000" w:themeColor="text1"/>
              </w:rPr>
              <w:t>其他事项</w:t>
            </w:r>
          </w:p>
        </w:tc>
        <w:tc>
          <w:tcPr>
            <w:tcW w:w="5775" w:type="dxa"/>
          </w:tcPr>
          <w:p>
            <w:r>
              <w:rPr>
                <w:rStyle w:val="affe"/>
                <w:rFonts w:hint="eastAsia"/>
              </w:rPr>
              <w:t>不适用</w:t>
            </w:r>
          </w:p>
        </w:tc>
      </w:tr>
    </w:tbl>
    <w:p>
      <w:pPr>
        <w:rPr>
          <w:rFonts w:ascii="宋体" w:hAnsi="宋体"/>
          <w:color w:val="000000" w:themeColor="text1"/>
        </w:rPr>
      </w:pPr>
    </w:p>
    <w:tbl>
      <w:tblPr>
        <w:tblStyle w:val="aff4"/>
        <w:tblW w:w="9048" w:type="dxa"/>
        <w:tblLayout w:type="fixed"/>
        <w:tblLook w:val="04A0" w:firstRow="1" w:lastRow="0" w:firstColumn="1" w:lastColumn="0" w:noHBand="0" w:noVBand="1"/>
      </w:tblPr>
      <w:tblGrid>
        <w:gridCol w:w="3273"/>
        <w:gridCol w:w="5775"/>
      </w:tblGrid>
      <w:tr>
        <w:tc>
          <w:tcPr>
            <w:tcW w:w="3273" w:type="dxa"/>
            <w:vAlign w:val="center"/>
          </w:tcPr>
          <w:p>
            <w:pPr>
              <w:kinsoku w:val="0"/>
              <w:overflowPunct w:val="0"/>
              <w:rPr>
                <w:color w:val="000000" w:themeColor="text1"/>
              </w:rPr>
            </w:pPr>
            <w:r>
              <w:rPr>
                <w:rFonts w:hint="eastAsia"/>
                <w:color w:val="000000" w:themeColor="text1"/>
              </w:rPr>
              <w:t>本次债券所适用的发行人主体类别</w:t>
            </w:r>
          </w:p>
        </w:tc>
        <w:tc>
          <w:tcPr>
            <w:tcW w:w="5775" w:type="dxa"/>
            <w:vAlign w:val="center"/>
          </w:tcPr>
          <w:p>
            <w:pPr>
              <w:kinsoku w:val="0"/>
              <w:overflowPunct w:val="0"/>
              <w:rPr>
                <w:color w:val="000000" w:themeColor="text1"/>
              </w:rPr>
            </w:pPr>
            <w:r>
              <w:rPr>
                <w:rFonts w:asciiTheme="minorEastAsia" w:eastAsiaTheme="minorEastAsia" w:hAnsiTheme="minorEastAsia" w:hint="eastAsia"/>
                <w:color w:val="000000" w:themeColor="text1"/>
              </w:rPr>
              <w:fldChar w:fldCharType="begin"/>
            </w:r>
            <w:r>
              <w:rPr>
                <w:rFonts w:asciiTheme="minorEastAsia" w:eastAsiaTheme="minorEastAsia" w:hAnsiTheme="minorEastAsia" w:hint="eastAsia"/>
                <w:color w:val="000000" w:themeColor="text1"/>
              </w:rPr>
              <w:instrText xml:space="preserve"> </w:instrText>
            </w:r>
            <w:r>
              <w:rPr>
                <w:rFonts w:asciiTheme="minorEastAsia" w:eastAsiaTheme="minorEastAsia" w:hAnsiTheme="minorEastAsia"/>
                <w:color w:val="000000" w:themeColor="text1"/>
              </w:rPr>
              <w:instrText xml:space="preserve">MACROBUTTON SnrToggleCheckbox √科创企业类 </w:instrText>
            </w:r>
            <w:r>
              <w:rPr>
                <w:rFonts w:asciiTheme="minorEastAsia" w:eastAsiaTheme="minorEastAsia" w:hAnsiTheme="minorEastAsia"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□科创升级类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□科创投资类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□科创孵化类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□金融机构</w:instrText>
            </w:r>
            <w:r>
              <w:rPr>
                <w:rFonts w:hint="eastAsia"/>
                <w:color w:val="000000" w:themeColor="text1"/>
              </w:rPr>
              <w:instrText xml:space="preserve"> </w:instrText>
            </w:r>
            <w:r>
              <w:rPr>
                <w:rFonts w:hint="eastAsia"/>
                <w:color w:val="000000" w:themeColor="text1"/>
              </w:rPr>
              <w:fldChar w:fldCharType="end"/>
            </w:r>
          </w:p>
        </w:tc>
      </w:tr>
      <w:tr>
        <w:tc>
          <w:tcPr>
            <w:tcW w:w="3273" w:type="dxa"/>
            <w:vAlign w:val="center"/>
          </w:tcPr>
          <w:p>
            <w:pPr>
              <w:kinsoku w:val="0"/>
              <w:overflowPunct w:val="0"/>
              <w:rPr>
                <w:color w:val="000000" w:themeColor="text1"/>
              </w:rPr>
            </w:pPr>
            <w:r>
              <w:rPr>
                <w:color w:val="000000" w:themeColor="text1"/>
              </w:rPr>
              <w:t>债券代码</w:t>
            </w:r>
          </w:p>
        </w:tc>
        <w:tc>
          <w:tcPr>
            <w:tcW w:w="5775" w:type="dxa"/>
            <w:vAlign w:val="center"/>
          </w:tcPr>
          <w:p>
            <w:pPr>
              <w:kinsoku w:val="0"/>
              <w:overflowPunct w:val="0"/>
              <w:rPr>
                <w:color w:val="000000" w:themeColor="text1"/>
              </w:rPr>
            </w:pPr>
            <w:r>
              <w:rPr>
                <w:color w:val="000000" w:themeColor="text1"/>
              </w:rPr>
              <w:t>244297</w:t>
            </w:r>
          </w:p>
        </w:tc>
      </w:tr>
      <w:tr>
        <w:tc>
          <w:tcPr>
            <w:tcW w:w="3273" w:type="dxa"/>
            <w:vAlign w:val="center"/>
          </w:tcPr>
          <w:p>
            <w:pPr>
              <w:kinsoku w:val="0"/>
              <w:overflowPunct w:val="0"/>
              <w:rPr>
                <w:color w:val="000000" w:themeColor="text1"/>
              </w:rPr>
            </w:pPr>
            <w:r>
              <w:rPr>
                <w:color w:val="000000" w:themeColor="text1"/>
              </w:rPr>
              <w:t>债券简称</w:t>
            </w:r>
          </w:p>
        </w:tc>
        <w:tc>
          <w:tcPr>
            <w:tcW w:w="5775" w:type="dxa"/>
            <w:vAlign w:val="center"/>
          </w:tcPr>
          <w:p>
            <w:pPr>
              <w:kinsoku w:val="0"/>
              <w:overflowPunct w:val="0"/>
            </w:pPr>
            <w:r>
              <w:rPr>
                <w:rFonts w:hint="eastAsia"/>
              </w:rPr>
              <w:t>2</w:t>
            </w:r>
            <w:r>
              <w:t>5</w:t>
            </w:r>
            <w:r>
              <w:rPr>
                <w:rFonts w:hint="eastAsia"/>
              </w:rPr>
              <w:t>兖矿</w:t>
            </w:r>
            <w:r>
              <w:t>K6</w:t>
            </w:r>
          </w:p>
        </w:tc>
      </w:tr>
      <w:tr>
        <w:tc>
          <w:tcPr>
            <w:tcW w:w="3273" w:type="dxa"/>
            <w:vAlign w:val="center"/>
          </w:tcPr>
          <w:p>
            <w:pPr>
              <w:kinsoku w:val="0"/>
              <w:overflowPunct w:val="0"/>
              <w:rPr>
                <w:color w:val="000000" w:themeColor="text1"/>
              </w:rPr>
            </w:pPr>
            <w:r>
              <w:rPr>
                <w:color w:val="000000" w:themeColor="text1"/>
              </w:rPr>
              <w:t>债券余额</w:t>
            </w:r>
          </w:p>
        </w:tc>
        <w:tc>
          <w:tcPr>
            <w:tcW w:w="5775" w:type="dxa"/>
            <w:vAlign w:val="center"/>
          </w:tcPr>
          <w:p>
            <w:pPr>
              <w:kinsoku w:val="0"/>
              <w:overflowPunct w:val="0"/>
            </w:pPr>
            <w:r>
              <w:t>30</w:t>
            </w:r>
          </w:p>
        </w:tc>
      </w:tr>
      <w:tr>
        <w:tc>
          <w:tcPr>
            <w:tcW w:w="3273" w:type="dxa"/>
            <w:vAlign w:val="center"/>
          </w:tcPr>
          <w:p>
            <w:pPr>
              <w:kinsoku w:val="0"/>
              <w:overflowPunct w:val="0"/>
              <w:rPr>
                <w:color w:val="000000" w:themeColor="text1"/>
              </w:rPr>
            </w:pPr>
            <w:r>
              <w:rPr>
                <w:color w:val="000000" w:themeColor="text1"/>
              </w:rPr>
              <w:t>科创项目或金融机构募集资金投向科技创新领域进展情况</w:t>
            </w:r>
          </w:p>
        </w:tc>
        <w:tc>
          <w:tcPr>
            <w:tcW w:w="5775" w:type="dxa"/>
            <w:vAlign w:val="center"/>
          </w:tcPr>
          <w:p>
            <w:pPr>
              <w:kinsoku w:val="0"/>
              <w:overflowPunct w:val="0"/>
            </w:pPr>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促进科技创新发展效果</w:t>
            </w:r>
          </w:p>
        </w:tc>
        <w:tc>
          <w:tcPr>
            <w:tcW w:w="5775" w:type="dxa"/>
          </w:tcPr>
          <w:p>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5775" w:type="dxa"/>
          </w:tcPr>
          <w:p>
            <w:r>
              <w:rPr>
                <w:rStyle w:val="affe"/>
                <w:rFonts w:hint="eastAsia"/>
              </w:rPr>
              <w:t>不适用</w:t>
            </w:r>
          </w:p>
        </w:tc>
      </w:tr>
      <w:tr>
        <w:tc>
          <w:tcPr>
            <w:tcW w:w="3273" w:type="dxa"/>
            <w:vAlign w:val="center"/>
          </w:tcPr>
          <w:p>
            <w:pPr>
              <w:kinsoku w:val="0"/>
              <w:overflowPunct w:val="0"/>
              <w:rPr>
                <w:color w:val="000000" w:themeColor="text1"/>
              </w:rPr>
            </w:pPr>
            <w:r>
              <w:rPr>
                <w:rFonts w:hint="eastAsia"/>
                <w:color w:val="000000" w:themeColor="text1"/>
              </w:rPr>
              <w:t>其他事项</w:t>
            </w:r>
          </w:p>
        </w:tc>
        <w:tc>
          <w:tcPr>
            <w:tcW w:w="5775" w:type="dxa"/>
          </w:tcPr>
          <w:p>
            <w:r>
              <w:rPr>
                <w:rStyle w:val="affe"/>
                <w:rFonts w:hint="eastAsia"/>
              </w:rPr>
              <w:t>不适用</w:t>
            </w:r>
          </w:p>
        </w:tc>
      </w:tr>
    </w:tbl>
    <w:p>
      <w:pPr>
        <w:rPr>
          <w:rFonts w:ascii="宋体" w:hAnsi="宋体"/>
          <w:color w:val="000000" w:themeColor="text1"/>
        </w:rPr>
      </w:pPr>
    </w:p>
    <w:p>
      <w:pPr>
        <w:rPr>
          <w:rFonts w:ascii="宋体" w:hAnsi="宋体"/>
          <w:color w:val="000000" w:themeColor="text1"/>
        </w:rPr>
      </w:pPr>
    </w:p>
    <w:tbl>
      <w:tblPr>
        <w:tblStyle w:val="aff4"/>
        <w:tblW w:w="9048" w:type="dxa"/>
        <w:tblLayout w:type="fixed"/>
        <w:tblLook w:val="04A0" w:firstRow="1" w:lastRow="0" w:firstColumn="1" w:lastColumn="0" w:noHBand="0" w:noVBand="1"/>
      </w:tblPr>
      <w:tblGrid>
        <w:gridCol w:w="3273"/>
        <w:gridCol w:w="5775"/>
      </w:tblGrid>
      <w:tr>
        <w:tc>
          <w:tcPr>
            <w:tcW w:w="3273" w:type="dxa"/>
            <w:vAlign w:val="center"/>
          </w:tcPr>
          <w:p>
            <w:pPr>
              <w:kinsoku w:val="0"/>
              <w:overflowPunct w:val="0"/>
              <w:rPr>
                <w:color w:val="000000" w:themeColor="text1"/>
              </w:rPr>
            </w:pPr>
            <w:r>
              <w:rPr>
                <w:rFonts w:hint="eastAsia"/>
                <w:color w:val="000000" w:themeColor="text1"/>
              </w:rPr>
              <w:t>本次债券所适用的发行人主体类别</w:t>
            </w:r>
          </w:p>
        </w:tc>
        <w:tc>
          <w:tcPr>
            <w:tcW w:w="5775" w:type="dxa"/>
            <w:vAlign w:val="center"/>
          </w:tcPr>
          <w:p>
            <w:pPr>
              <w:kinsoku w:val="0"/>
              <w:overflowPunct w:val="0"/>
              <w:rPr>
                <w:color w:val="000000" w:themeColor="text1"/>
              </w:rPr>
            </w:pPr>
            <w:r>
              <w:rPr>
                <w:rFonts w:asciiTheme="minorEastAsia" w:eastAsiaTheme="minorEastAsia" w:hAnsiTheme="minorEastAsia" w:hint="eastAsia"/>
                <w:color w:val="000000" w:themeColor="text1"/>
              </w:rPr>
              <w:fldChar w:fldCharType="begin"/>
            </w:r>
            <w:r>
              <w:rPr>
                <w:rFonts w:asciiTheme="minorEastAsia" w:eastAsiaTheme="minorEastAsia" w:hAnsiTheme="minorEastAsia" w:hint="eastAsia"/>
                <w:color w:val="000000" w:themeColor="text1"/>
              </w:rPr>
              <w:instrText xml:space="preserve"> </w:instrText>
            </w:r>
            <w:r>
              <w:rPr>
                <w:rFonts w:asciiTheme="minorEastAsia" w:eastAsiaTheme="minorEastAsia" w:hAnsiTheme="minorEastAsia"/>
                <w:color w:val="000000" w:themeColor="text1"/>
              </w:rPr>
              <w:instrText xml:space="preserve">MACROBUTTON SnrToggleCheckbox √科创企业类 </w:instrText>
            </w:r>
            <w:r>
              <w:rPr>
                <w:rFonts w:asciiTheme="minorEastAsia" w:eastAsiaTheme="minorEastAsia" w:hAnsiTheme="minorEastAsia"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□科创升级类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□科创投资类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□科创孵化类</w:instrText>
            </w:r>
            <w:r>
              <w:rPr>
                <w:rFonts w:hint="eastAsia"/>
                <w:color w:val="000000" w:themeColor="text1"/>
              </w:rPr>
              <w:instrText xml:space="preserve"> </w:instrText>
            </w:r>
            <w:r>
              <w:rPr>
                <w:rFonts w:hint="eastAsia"/>
                <w:color w:val="000000" w:themeColor="text1"/>
              </w:rPr>
              <w:fldChar w:fldCharType="end"/>
            </w:r>
            <w:r>
              <w:rPr>
                <w:rFonts w:hint="eastAsia"/>
                <w:color w:val="000000" w:themeColor="text1"/>
              </w:rPr>
              <w:fldChar w:fldCharType="begin"/>
            </w:r>
            <w:r>
              <w:rPr>
                <w:rFonts w:hint="eastAsia"/>
                <w:color w:val="000000" w:themeColor="text1"/>
              </w:rPr>
              <w:instrText xml:space="preserve">MACROBUTTON  SnrToggleCheckbox </w:instrText>
            </w:r>
            <w:r>
              <w:rPr>
                <w:rFonts w:hint="eastAsia"/>
                <w:color w:val="000000" w:themeColor="text1"/>
              </w:rPr>
              <w:instrText>□金融机构</w:instrText>
            </w:r>
            <w:r>
              <w:rPr>
                <w:rFonts w:hint="eastAsia"/>
                <w:color w:val="000000" w:themeColor="text1"/>
              </w:rPr>
              <w:instrText xml:space="preserve"> </w:instrText>
            </w:r>
            <w:r>
              <w:rPr>
                <w:rFonts w:hint="eastAsia"/>
                <w:color w:val="000000" w:themeColor="text1"/>
              </w:rPr>
              <w:fldChar w:fldCharType="end"/>
            </w:r>
          </w:p>
        </w:tc>
      </w:tr>
      <w:tr>
        <w:tc>
          <w:tcPr>
            <w:tcW w:w="3273" w:type="dxa"/>
            <w:vAlign w:val="center"/>
          </w:tcPr>
          <w:p>
            <w:pPr>
              <w:kinsoku w:val="0"/>
              <w:overflowPunct w:val="0"/>
              <w:rPr>
                <w:color w:val="000000" w:themeColor="text1"/>
              </w:rPr>
            </w:pPr>
            <w:r>
              <w:rPr>
                <w:color w:val="000000" w:themeColor="text1"/>
              </w:rPr>
              <w:t>债券代码</w:t>
            </w:r>
          </w:p>
        </w:tc>
        <w:tc>
          <w:tcPr>
            <w:tcW w:w="5775" w:type="dxa"/>
            <w:vAlign w:val="center"/>
          </w:tcPr>
          <w:p>
            <w:pPr>
              <w:kinsoku w:val="0"/>
              <w:overflowPunct w:val="0"/>
              <w:rPr>
                <w:color w:val="000000" w:themeColor="text1"/>
              </w:rPr>
            </w:pPr>
            <w:r>
              <w:rPr>
                <w:color w:val="000000" w:themeColor="text1"/>
              </w:rPr>
              <w:t>243905</w:t>
            </w:r>
          </w:p>
        </w:tc>
      </w:tr>
      <w:tr>
        <w:tc>
          <w:tcPr>
            <w:tcW w:w="3273" w:type="dxa"/>
            <w:vAlign w:val="center"/>
          </w:tcPr>
          <w:p>
            <w:pPr>
              <w:kinsoku w:val="0"/>
              <w:overflowPunct w:val="0"/>
              <w:rPr>
                <w:color w:val="000000" w:themeColor="text1"/>
              </w:rPr>
            </w:pPr>
            <w:r>
              <w:rPr>
                <w:color w:val="000000" w:themeColor="text1"/>
              </w:rPr>
              <w:t>债券简称</w:t>
            </w:r>
          </w:p>
        </w:tc>
        <w:tc>
          <w:tcPr>
            <w:tcW w:w="5775" w:type="dxa"/>
            <w:vAlign w:val="center"/>
          </w:tcPr>
          <w:p>
            <w:pPr>
              <w:kinsoku w:val="0"/>
              <w:overflowPunct w:val="0"/>
            </w:pPr>
            <w:r>
              <w:rPr>
                <w:rFonts w:hint="eastAsia"/>
              </w:rPr>
              <w:t>兖矿</w:t>
            </w:r>
            <w:r>
              <w:t>KY6</w:t>
            </w:r>
          </w:p>
        </w:tc>
      </w:tr>
      <w:tr>
        <w:tc>
          <w:tcPr>
            <w:tcW w:w="3273" w:type="dxa"/>
            <w:vAlign w:val="center"/>
          </w:tcPr>
          <w:p>
            <w:pPr>
              <w:kinsoku w:val="0"/>
              <w:overflowPunct w:val="0"/>
              <w:rPr>
                <w:color w:val="000000" w:themeColor="text1"/>
              </w:rPr>
            </w:pPr>
            <w:r>
              <w:rPr>
                <w:color w:val="000000" w:themeColor="text1"/>
              </w:rPr>
              <w:t>债券余额</w:t>
            </w:r>
          </w:p>
        </w:tc>
        <w:tc>
          <w:tcPr>
            <w:tcW w:w="5775" w:type="dxa"/>
            <w:vAlign w:val="center"/>
          </w:tcPr>
          <w:p>
            <w:pPr>
              <w:kinsoku w:val="0"/>
              <w:overflowPunct w:val="0"/>
            </w:pPr>
            <w:r>
              <w:t>30</w:t>
            </w:r>
          </w:p>
        </w:tc>
      </w:tr>
      <w:tr>
        <w:tc>
          <w:tcPr>
            <w:tcW w:w="3273" w:type="dxa"/>
            <w:vAlign w:val="center"/>
          </w:tcPr>
          <w:p>
            <w:pPr>
              <w:kinsoku w:val="0"/>
              <w:overflowPunct w:val="0"/>
              <w:rPr>
                <w:color w:val="000000" w:themeColor="text1"/>
              </w:rPr>
            </w:pPr>
            <w:r>
              <w:rPr>
                <w:color w:val="000000" w:themeColor="text1"/>
              </w:rPr>
              <w:lastRenderedPageBreak/>
              <w:t>科创项目或金融机构募集资金投向科技创新领域进展情况</w:t>
            </w:r>
          </w:p>
        </w:tc>
        <w:tc>
          <w:tcPr>
            <w:tcW w:w="5775" w:type="dxa"/>
            <w:vAlign w:val="center"/>
          </w:tcPr>
          <w:p>
            <w:pPr>
              <w:kinsoku w:val="0"/>
              <w:overflowPunct w:val="0"/>
            </w:pPr>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促进科技创新发展效果</w:t>
            </w:r>
          </w:p>
        </w:tc>
        <w:tc>
          <w:tcPr>
            <w:tcW w:w="5775" w:type="dxa"/>
          </w:tcPr>
          <w:p>
            <w:r>
              <w:rPr>
                <w:rStyle w:val="affe"/>
                <w:rFonts w:hint="eastAsia"/>
              </w:rPr>
              <w:t>不适用</w:t>
            </w:r>
          </w:p>
        </w:tc>
      </w:tr>
      <w:tr>
        <w:tc>
          <w:tcPr>
            <w:tcW w:w="3273" w:type="dxa"/>
            <w:vAlign w:val="center"/>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5775" w:type="dxa"/>
          </w:tcPr>
          <w:p>
            <w:r>
              <w:rPr>
                <w:rStyle w:val="affe"/>
                <w:rFonts w:hint="eastAsia"/>
              </w:rPr>
              <w:t>不适用</w:t>
            </w:r>
          </w:p>
        </w:tc>
      </w:tr>
      <w:tr>
        <w:tc>
          <w:tcPr>
            <w:tcW w:w="3273" w:type="dxa"/>
            <w:vAlign w:val="center"/>
          </w:tcPr>
          <w:p>
            <w:pPr>
              <w:kinsoku w:val="0"/>
              <w:overflowPunct w:val="0"/>
              <w:rPr>
                <w:color w:val="000000" w:themeColor="text1"/>
              </w:rPr>
            </w:pPr>
            <w:r>
              <w:rPr>
                <w:rFonts w:hint="eastAsia"/>
                <w:color w:val="000000" w:themeColor="text1"/>
              </w:rPr>
              <w:t>其他事项</w:t>
            </w:r>
          </w:p>
        </w:tc>
        <w:tc>
          <w:tcPr>
            <w:tcW w:w="5775" w:type="dxa"/>
          </w:tcPr>
          <w:p>
            <w:r>
              <w:rPr>
                <w:rStyle w:val="affe"/>
                <w:rFonts w:hint="eastAsia"/>
              </w:rPr>
              <w:t>不适用</w:t>
            </w:r>
          </w:p>
        </w:tc>
      </w:tr>
    </w:tbl>
    <w:p>
      <w:pPr>
        <w:rPr>
          <w:rFonts w:ascii="宋体" w:hAnsi="宋体"/>
          <w:color w:val="000000" w:themeColor="text1"/>
        </w:rPr>
      </w:pPr>
    </w:p>
    <w:p>
      <w:pPr>
        <w:rPr>
          <w:color w:val="000000" w:themeColor="text1"/>
        </w:rPr>
      </w:pPr>
    </w:p>
    <w:p>
      <w:pPr>
        <w:pStyle w:val="4"/>
        <w:numPr>
          <w:ilvl w:val="0"/>
          <w:numId w:val="62"/>
        </w:numPr>
        <w:ind w:left="420" w:hanging="420"/>
        <w:rPr>
          <w:color w:val="000000" w:themeColor="text1"/>
        </w:rPr>
      </w:pPr>
      <w:bookmarkStart w:id="316" w:name="_Toc141452827"/>
      <w:r>
        <w:rPr>
          <w:rFonts w:hint="eastAsia"/>
          <w:color w:val="000000" w:themeColor="text1"/>
        </w:rPr>
        <w:t>公司为低碳转型（挂钩）公司债券</w:t>
      </w:r>
      <w:bookmarkEnd w:id="316"/>
      <w:r>
        <w:rPr>
          <w:rFonts w:hint="eastAsia"/>
          <w:color w:val="000000" w:themeColor="text1"/>
        </w:rPr>
        <w:t>发行人</w:t>
      </w:r>
    </w:p>
    <w:sdt>
      <w:sdtPr>
        <w:rPr>
          <w:rFonts w:hint="eastAsia"/>
          <w:color w:val="000000" w:themeColor="text1"/>
        </w:rPr>
        <w:alias w:val="是否适用：低碳转型公司债券[双击切换]"/>
        <w:tag w:val="_GBC_e1dc3fbcfb2443a2897a83fce03a24bc"/>
        <w:id w:val="-1202941148"/>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rPr>
          <w:iCs/>
          <w:color w:val="000000" w:themeColor="text1"/>
        </w:rPr>
      </w:pPr>
    </w:p>
    <w:p>
      <w:pPr>
        <w:pStyle w:val="4"/>
        <w:numPr>
          <w:ilvl w:val="0"/>
          <w:numId w:val="62"/>
        </w:numPr>
        <w:ind w:left="420" w:hanging="420"/>
        <w:rPr>
          <w:color w:val="000000" w:themeColor="text1"/>
        </w:rPr>
      </w:pPr>
      <w:bookmarkStart w:id="317" w:name="_Toc141452828"/>
      <w:r>
        <w:rPr>
          <w:rFonts w:hint="eastAsia"/>
          <w:color w:val="000000" w:themeColor="text1"/>
        </w:rPr>
        <w:t>公司为纾困公司债券</w:t>
      </w:r>
      <w:bookmarkEnd w:id="317"/>
      <w:r>
        <w:rPr>
          <w:rFonts w:hint="eastAsia"/>
          <w:color w:val="000000" w:themeColor="text1"/>
        </w:rPr>
        <w:t>发行人</w:t>
      </w:r>
    </w:p>
    <w:sdt>
      <w:sdtPr>
        <w:rPr>
          <w:rFonts w:hint="eastAsia"/>
          <w:color w:val="000000" w:themeColor="text1"/>
        </w:rPr>
        <w:alias w:val="是否适用：纾困公司债券[双击切换]"/>
        <w:tag w:val="_GBC_eac9a75df4dd4fd2bad27bfa3d42c423"/>
        <w:id w:val="-1864201006"/>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p>
    <w:p>
      <w:pPr>
        <w:pStyle w:val="4"/>
        <w:numPr>
          <w:ilvl w:val="0"/>
          <w:numId w:val="62"/>
        </w:numPr>
        <w:ind w:left="420" w:hanging="420"/>
        <w:rPr>
          <w:color w:val="000000" w:themeColor="text1"/>
        </w:rPr>
      </w:pPr>
      <w:bookmarkStart w:id="318" w:name="_Toc157593041"/>
      <w:r>
        <w:rPr>
          <w:rFonts w:hint="eastAsia"/>
          <w:color w:val="000000" w:themeColor="text1"/>
        </w:rPr>
        <w:t>公司为中小微企业支持债券</w:t>
      </w:r>
      <w:bookmarkEnd w:id="318"/>
      <w:r>
        <w:rPr>
          <w:rFonts w:hint="eastAsia"/>
          <w:color w:val="000000" w:themeColor="text1"/>
        </w:rPr>
        <w:t>发行人</w:t>
      </w:r>
    </w:p>
    <w:p>
      <w:pPr>
        <w:rPr>
          <w:color w:val="000000" w:themeColor="text1"/>
        </w:rPr>
      </w:pPr>
      <w:sdt>
        <w:sdtPr>
          <w:rPr>
            <w:rFonts w:hint="eastAsia"/>
            <w:color w:val="000000" w:themeColor="text1"/>
          </w:rPr>
          <w:alias w:val="是否适用：中小微企业支持债券[双击切换]"/>
          <w:tag w:val="_GBC_85131c12fd6b4e46b1fcb4b539dfd80f"/>
          <w:id w:val="-1080448396"/>
          <w:placeholder>
            <w:docPart w:val="GBC22222222222222222222222222222"/>
          </w:placeholder>
        </w:sdtPr>
        <w:sdtContent>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sdtContent>
      </w:sdt>
    </w:p>
    <w:p>
      <w:pPr>
        <w:rPr>
          <w:b/>
          <w:bCs/>
          <w:color w:val="000000" w:themeColor="text1"/>
          <w:kern w:val="44"/>
        </w:rPr>
      </w:pPr>
    </w:p>
    <w:p>
      <w:pPr>
        <w:pStyle w:val="4"/>
        <w:numPr>
          <w:ilvl w:val="0"/>
          <w:numId w:val="62"/>
        </w:numPr>
        <w:ind w:left="420" w:hanging="420"/>
        <w:rPr>
          <w:color w:val="000000" w:themeColor="text1"/>
        </w:rPr>
      </w:pPr>
      <w:bookmarkStart w:id="319" w:name="_Toc520720586"/>
      <w:bookmarkStart w:id="320" w:name="_Toc157593042"/>
      <w:r>
        <w:rPr>
          <w:rFonts w:hint="eastAsia"/>
          <w:color w:val="000000" w:themeColor="text1"/>
        </w:rPr>
        <w:t>其他专项品种公司债券事项</w:t>
      </w:r>
      <w:bookmarkEnd w:id="319"/>
      <w:bookmarkEnd w:id="320"/>
    </w:p>
    <w:sdt>
      <w:sdtPr>
        <w:rPr>
          <w:color w:val="000000" w:themeColor="text1"/>
        </w:rPr>
        <w:alias w:val="是否适用：其他专项品种债券事项[双击切换]"/>
        <w:tag w:val="_GBC_007adf85e8c047bc8e4137bd84df06c3"/>
        <w:id w:val="-2083211972"/>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p>
    <w:p>
      <w:pPr>
        <w:pStyle w:val="3"/>
        <w:numPr>
          <w:ilvl w:val="0"/>
          <w:numId w:val="58"/>
        </w:numPr>
        <w:rPr>
          <w:rFonts w:ascii="宋体" w:hAnsi="宋体"/>
        </w:rPr>
      </w:pPr>
      <w:bookmarkStart w:id="321" w:name="_Hlk182407003"/>
      <w:bookmarkEnd w:id="303"/>
      <w:bookmarkEnd w:id="309"/>
      <w:r>
        <w:rPr>
          <w:rFonts w:ascii="宋体" w:hAnsi="宋体" w:hint="eastAsia"/>
        </w:rPr>
        <w:t>报告期内公司债券相关重要事项</w:t>
      </w:r>
    </w:p>
    <w:sdt>
      <w:sdtPr>
        <w:rPr>
          <w:color w:val="000000" w:themeColor="text1"/>
        </w:rPr>
        <w:alias w:val="是否适用：报告期内公司债券相关重要事项[双击切换]"/>
        <w:tag w:val="_GBC_6c9e2ac385b649efa39666c51508988f"/>
        <w:id w:val="746620919"/>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bookmarkStart w:id="322" w:name="_Hlk169619769"/>
    </w:p>
    <w:p>
      <w:pPr>
        <w:pStyle w:val="4"/>
        <w:rPr>
          <w:color w:val="000000" w:themeColor="text1"/>
        </w:rPr>
      </w:pPr>
      <w:bookmarkStart w:id="323" w:name="_Toc141452811"/>
      <w:bookmarkStart w:id="324" w:name="_Hlk169620115"/>
      <w:bookmarkEnd w:id="322"/>
      <w:r>
        <w:rPr>
          <w:rFonts w:hint="eastAsia"/>
          <w:color w:val="000000" w:themeColor="text1"/>
        </w:rPr>
        <w:t>负债情况</w:t>
      </w:r>
      <w:bookmarkEnd w:id="323"/>
    </w:p>
    <w:p>
      <w:pPr>
        <w:pStyle w:val="5"/>
        <w:numPr>
          <w:ilvl w:val="0"/>
          <w:numId w:val="63"/>
        </w:numPr>
        <w:ind w:leftChars="0"/>
        <w:rPr>
          <w:color w:val="000000" w:themeColor="text1"/>
        </w:rPr>
      </w:pPr>
      <w:r>
        <w:rPr>
          <w:rFonts w:hint="eastAsia"/>
          <w:color w:val="000000" w:themeColor="text1"/>
        </w:rPr>
        <w:t>有息债务及其变动情况</w:t>
      </w:r>
    </w:p>
    <w:p>
      <w:pPr>
        <w:pStyle w:val="6"/>
        <w:numPr>
          <w:ilvl w:val="0"/>
          <w:numId w:val="64"/>
        </w:numPr>
        <w:tabs>
          <w:tab w:val="left" w:pos="360"/>
        </w:tabs>
        <w:rPr>
          <w:rFonts w:ascii="宋体" w:hAnsi="宋体"/>
        </w:rPr>
      </w:pPr>
      <w:bookmarkStart w:id="325" w:name="_Hlk184116397"/>
      <w:bookmarkStart w:id="326" w:name="_Hlk186116697"/>
      <w:r>
        <w:rPr>
          <w:rFonts w:ascii="宋体" w:hAnsi="宋体" w:hint="eastAsia"/>
        </w:rPr>
        <w:t>公司债务结构情况</w:t>
      </w:r>
    </w:p>
    <w:p>
      <w:pPr>
        <w:pStyle w:val="aff9"/>
        <w:rPr>
          <w:rFonts w:ascii="宋体" w:hAnsi="宋体"/>
          <w:color w:val="000000" w:themeColor="text1"/>
        </w:rPr>
      </w:pPr>
      <w:r>
        <w:rPr>
          <w:rFonts w:ascii="宋体" w:hAnsi="宋体" w:hint="eastAsia"/>
          <w:color w:val="000000" w:themeColor="text1"/>
        </w:rPr>
        <w:t>报告期初和报告期末，公司（非公司合并范围口径）有息债务余额分别为</w:t>
      </w:r>
      <w:sdt>
        <w:sdtPr>
          <w:rPr>
            <w:rFonts w:ascii="宋体" w:hAnsi="宋体" w:hint="eastAsia"/>
            <w:color w:val="000000" w:themeColor="text1"/>
          </w:rPr>
          <w:alias w:val="有息债务"/>
          <w:tag w:val="_GBC_e4535ac8abb940e2b143ad188e62fb58"/>
          <w:id w:val="1725873186"/>
          <w:placeholder>
            <w:docPart w:val="GBC22222222222222222222222222222"/>
          </w:placeholder>
        </w:sdtPr>
        <w:sdtContent>
          <w:r>
            <w:rPr>
              <w:rFonts w:ascii="宋体" w:hAnsi="宋体"/>
              <w:color w:val="000000" w:themeColor="text1"/>
            </w:rPr>
            <w:t>842.68</w:t>
          </w:r>
        </w:sdtContent>
      </w:sdt>
      <w:sdt>
        <w:sdtPr>
          <w:rPr>
            <w:rFonts w:ascii="宋体" w:hAnsi="宋体" w:hint="eastAsia"/>
            <w:color w:val="000000" w:themeColor="text1"/>
          </w:rPr>
          <w:alias w:val="单位：母公司有息债务"/>
          <w:tag w:val="_GBC_eaed5fa2692649d18aa06aa614882762"/>
          <w:id w:val="-1017224639"/>
          <w:placeholder>
            <w:docPart w:val="GBC22222222222222222222222222222"/>
          </w:placeholder>
          <w:dataBinding w:prefixMappings="xmlns:bond='bond'" w:xpath="/*/bond:DanWeiMuGongS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和</w:t>
      </w:r>
      <w:sdt>
        <w:sdtPr>
          <w:rPr>
            <w:rFonts w:ascii="宋体" w:hAnsi="宋体" w:hint="eastAsia"/>
            <w:color w:val="000000" w:themeColor="text1"/>
          </w:rPr>
          <w:alias w:val="有息债务"/>
          <w:tag w:val="_GBC_4f7f399eedc14384b13fcca9552045fa"/>
          <w:id w:val="-1553066508"/>
          <w:placeholder>
            <w:docPart w:val="GBC22222222222222222222222222222"/>
          </w:placeholder>
        </w:sdtPr>
        <w:sdtContent>
          <w:r>
            <w:rPr>
              <w:rFonts w:ascii="宋体" w:hAnsi="宋体"/>
              <w:color w:val="000000" w:themeColor="text1"/>
            </w:rPr>
            <w:t xml:space="preserve"> 1,085.98</w:t>
          </w:r>
        </w:sdtContent>
      </w:sdt>
      <w:sdt>
        <w:sdtPr>
          <w:rPr>
            <w:rFonts w:ascii="宋体" w:hAnsi="宋体" w:hint="eastAsia"/>
            <w:color w:val="000000" w:themeColor="text1"/>
          </w:rPr>
          <w:alias w:val="单位：母公司有息债务"/>
          <w:tag w:val="_GBC_2898d3c3ba8d47c7b1d079bbf7005db0"/>
          <w:id w:val="1835802176"/>
          <w:placeholder>
            <w:docPart w:val="GBC22222222222222222222222222222"/>
          </w:placeholder>
          <w:dataBinding w:prefixMappings="xmlns:bond='bond'" w:xpath="/*/bond:DanWeiMuGongS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，报告期内有息债务余额同比变动</w:t>
      </w:r>
      <w:sdt>
        <w:sdtPr>
          <w:rPr>
            <w:rFonts w:ascii="宋体" w:hAnsi="宋体" w:hint="eastAsia"/>
            <w:color w:val="000000" w:themeColor="text1"/>
          </w:rPr>
          <w:alias w:val="有息债务变动比例"/>
          <w:tag w:val="_GBC_47d87ac1bdf846968b0b6f2c469d9ee7"/>
          <w:id w:val="-1001112262"/>
          <w:placeholder>
            <w:docPart w:val="GBC22222222222222222222222222222"/>
          </w:placeholder>
        </w:sdtPr>
        <w:sdtContent>
          <w:r>
            <w:rPr>
              <w:rFonts w:ascii="宋体" w:hAnsi="宋体"/>
              <w:color w:val="000000" w:themeColor="text1"/>
            </w:rPr>
            <w:t>28.9</w:t>
          </w:r>
        </w:sdtContent>
      </w:sdt>
      <w:r>
        <w:rPr>
          <w:rFonts w:ascii="宋体" w:hAnsi="宋体" w:hint="eastAsia"/>
          <w:color w:val="000000" w:themeColor="text1"/>
        </w:rPr>
        <w:t>%。</w:t>
      </w:r>
    </w:p>
    <w:p>
      <w:pPr>
        <w:kinsoku w:val="0"/>
        <w:overflowPunct w:val="0"/>
        <w:jc w:val="right"/>
        <w:rPr>
          <w:rFonts w:ascii="宋体" w:hAnsi="宋体"/>
          <w:color w:val="000000" w:themeColor="text1"/>
        </w:rPr>
      </w:pPr>
      <w:r>
        <w:rPr>
          <w:rFonts w:ascii="宋体" w:hAnsi="宋体" w:hint="eastAsia"/>
          <w:color w:val="000000" w:themeColor="text1"/>
        </w:rPr>
        <w:t>单位：</w:t>
      </w:r>
      <w:sdt>
        <w:sdtPr>
          <w:rPr>
            <w:rFonts w:ascii="宋体" w:hAnsi="宋体" w:hint="eastAsia"/>
            <w:color w:val="000000" w:themeColor="text1"/>
          </w:rPr>
          <w:alias w:val="单位：母公司债务结构情况"/>
          <w:tag w:val="_GBC_b44c1cc00af641c58204700e7a1cb3fc"/>
          <w:id w:val="961998385"/>
          <w:placeholder>
            <w:docPart w:val="GBC22222222222222222222222222222"/>
          </w:placeholder>
          <w:dataBinding w:prefixMappings="xmlns:bond='bond'" w:xpath="/*/bond:DanWeiMuGongSiZhaiWuJieGouQingKuang[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color w:val="000000" w:themeColor="text1"/>
        </w:rPr>
        <w:t xml:space="preserve"> </w:t>
      </w:r>
      <w:r>
        <w:rPr>
          <w:rFonts w:ascii="宋体" w:hAnsi="宋体" w:hint="eastAsia"/>
          <w:color w:val="000000" w:themeColor="text1"/>
        </w:rPr>
        <w:t>币种：</w:t>
      </w:r>
      <w:sdt>
        <w:sdtPr>
          <w:rPr>
            <w:rFonts w:ascii="宋体" w:hAnsi="宋体" w:hint="eastAsia"/>
            <w:color w:val="000000" w:themeColor="text1"/>
          </w:rPr>
          <w:alias w:val="币种：母公司债务结构情况"/>
          <w:tag w:val="_GBC_e6d0e92e1a8d4a1aa2d736e756a21cd1"/>
          <w:id w:val="10334675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rPr>
            <w:t>人民币</w:t>
          </w:r>
        </w:sdtContent>
      </w:sdt>
    </w:p>
    <w:tbl>
      <w:tblPr>
        <w:tblStyle w:val="aff4"/>
        <w:tblW w:w="9194" w:type="dxa"/>
        <w:tblInd w:w="-147" w:type="dxa"/>
        <w:tblLayout w:type="fixed"/>
        <w:tblLook w:val="04A0" w:firstRow="1" w:lastRow="0" w:firstColumn="1" w:lastColumn="0" w:noHBand="0" w:noVBand="1"/>
      </w:tblPr>
      <w:tblGrid>
        <w:gridCol w:w="1797"/>
        <w:gridCol w:w="1458"/>
        <w:gridCol w:w="1442"/>
        <w:gridCol w:w="1443"/>
        <w:gridCol w:w="1442"/>
        <w:gridCol w:w="1612"/>
      </w:tblGrid>
      <w:tr>
        <w:sdt>
          <w:sdtPr>
            <w:rPr>
              <w:rFonts w:ascii="宋体" w:hAnsi="宋体"/>
              <w:sz w:val="20"/>
              <w:szCs w:val="20"/>
            </w:rPr>
            <w:tag w:val="_PLD_6a8d9091186a47879e0b40b67ddf14ba"/>
            <w:id w:val="1209767902"/>
          </w:sdtPr>
          <w:sdtContent>
            <w:tc>
              <w:tcPr>
                <w:tcW w:w="1797" w:type="dxa"/>
                <w:vMerge w:val="restart"/>
                <w:vAlign w:val="center"/>
              </w:tcPr>
              <w:p>
                <w:pPr>
                  <w:kinsoku w:val="0"/>
                  <w:overflowPunct w:val="0"/>
                  <w:jc w:val="center"/>
                  <w:rPr>
                    <w:rFonts w:ascii="宋体" w:hAnsi="宋体"/>
                    <w:color w:val="000000" w:themeColor="text1"/>
                  </w:rPr>
                </w:pPr>
                <w:r>
                  <w:rPr>
                    <w:rFonts w:ascii="宋体" w:hAnsi="宋体" w:hint="eastAsia"/>
                    <w:color w:val="000000" w:themeColor="text1"/>
                  </w:rPr>
                  <w:t>有息债务类别</w:t>
                </w:r>
              </w:p>
            </w:tc>
          </w:sdtContent>
        </w:sdt>
        <w:sdt>
          <w:sdtPr>
            <w:rPr>
              <w:rFonts w:ascii="宋体" w:hAnsi="宋体"/>
              <w:sz w:val="20"/>
              <w:szCs w:val="20"/>
            </w:rPr>
            <w:tag w:val="_PLD_e857584784de4a00b87ecb7c757079ac"/>
            <w:id w:val="-1903443802"/>
          </w:sdtPr>
          <w:sdtContent>
            <w:tc>
              <w:tcPr>
                <w:tcW w:w="4343" w:type="dxa"/>
                <w:gridSpan w:val="3"/>
                <w:vAlign w:val="center"/>
              </w:tcPr>
              <w:p>
                <w:pPr>
                  <w:kinsoku w:val="0"/>
                  <w:overflowPunct w:val="0"/>
                  <w:jc w:val="center"/>
                  <w:rPr>
                    <w:rFonts w:ascii="宋体" w:hAnsi="宋体"/>
                    <w:color w:val="000000" w:themeColor="text1"/>
                  </w:rPr>
                </w:pPr>
                <w:r>
                  <w:rPr>
                    <w:rFonts w:ascii="宋体" w:hAnsi="宋体" w:hint="eastAsia"/>
                    <w:color w:val="000000" w:themeColor="text1"/>
                  </w:rPr>
                  <w:t>到期时间</w:t>
                </w:r>
              </w:p>
            </w:tc>
          </w:sdtContent>
        </w:sdt>
        <w:sdt>
          <w:sdtPr>
            <w:rPr>
              <w:rFonts w:ascii="宋体" w:hAnsi="宋体"/>
              <w:sz w:val="20"/>
              <w:szCs w:val="20"/>
            </w:rPr>
            <w:tag w:val="_PLD_db291eb94ad84d22b038c4f1704f48da"/>
            <w:id w:val="130983950"/>
          </w:sdtPr>
          <w:sdtContent>
            <w:tc>
              <w:tcPr>
                <w:tcW w:w="1442" w:type="dxa"/>
                <w:vMerge w:val="restart"/>
                <w:vAlign w:val="center"/>
              </w:tcPr>
              <w:p>
                <w:pPr>
                  <w:kinsoku w:val="0"/>
                  <w:overflowPunct w:val="0"/>
                  <w:jc w:val="center"/>
                  <w:rPr>
                    <w:rFonts w:ascii="宋体" w:hAnsi="宋体"/>
                    <w:color w:val="000000" w:themeColor="text1"/>
                  </w:rPr>
                </w:pPr>
                <w:r>
                  <w:rPr>
                    <w:rFonts w:ascii="宋体" w:hAnsi="宋体" w:hint="eastAsia"/>
                    <w:color w:val="000000" w:themeColor="text1"/>
                  </w:rPr>
                  <w:t>金额合计</w:t>
                </w:r>
              </w:p>
            </w:tc>
          </w:sdtContent>
        </w:sdt>
        <w:tc>
          <w:tcPr>
            <w:tcW w:w="1612" w:type="dxa"/>
            <w:vMerge w:val="restart"/>
            <w:vAlign w:val="center"/>
          </w:tcPr>
          <w:sdt>
            <w:sdtPr>
              <w:rPr>
                <w:rFonts w:ascii="宋体" w:hAnsi="宋体"/>
                <w:sz w:val="20"/>
                <w:szCs w:val="20"/>
              </w:rPr>
              <w:tag w:val="_PLD_d93bcbe2219a4286a27ffd772203f797"/>
              <w:id w:val="-2076883749"/>
            </w:sdtPr>
            <w:sdtContent>
              <w:p>
                <w:pPr>
                  <w:kinsoku w:val="0"/>
                  <w:overflowPunct w:val="0"/>
                  <w:jc w:val="center"/>
                  <w:rPr>
                    <w:rFonts w:ascii="宋体" w:hAnsi="宋体"/>
                    <w:color w:val="000000" w:themeColor="text1"/>
                  </w:rPr>
                </w:pPr>
                <w:r>
                  <w:rPr>
                    <w:rFonts w:ascii="宋体" w:hAnsi="宋体" w:hint="eastAsia"/>
                    <w:color w:val="000000" w:themeColor="text1"/>
                  </w:rPr>
                  <w:t>金额占有息债务的占比（%）</w:t>
                </w:r>
              </w:p>
            </w:sdtContent>
          </w:sdt>
        </w:tc>
      </w:tr>
      <w:tr>
        <w:tc>
          <w:tcPr>
            <w:tcW w:w="1797" w:type="dxa"/>
            <w:vMerge/>
            <w:vAlign w:val="center"/>
          </w:tcPr>
          <w:p>
            <w:pPr>
              <w:kinsoku w:val="0"/>
              <w:overflowPunct w:val="0"/>
              <w:jc w:val="center"/>
              <w:rPr>
                <w:rFonts w:ascii="宋体" w:hAnsi="宋体"/>
                <w:color w:val="000000" w:themeColor="text1"/>
              </w:rPr>
            </w:pPr>
          </w:p>
        </w:tc>
        <w:sdt>
          <w:sdtPr>
            <w:rPr>
              <w:rFonts w:ascii="宋体" w:hAnsi="宋体"/>
              <w:sz w:val="20"/>
              <w:szCs w:val="20"/>
            </w:rPr>
            <w:tag w:val="_PLD_763fa1250da14baa808021524cd7a0d2"/>
            <w:id w:val="-494956049"/>
          </w:sdtPr>
          <w:sdtContent>
            <w:tc>
              <w:tcPr>
                <w:tcW w:w="1458" w:type="dxa"/>
                <w:vAlign w:val="center"/>
              </w:tcPr>
              <w:p>
                <w:pPr>
                  <w:kinsoku w:val="0"/>
                  <w:overflowPunct w:val="0"/>
                  <w:jc w:val="center"/>
                  <w:rPr>
                    <w:rFonts w:ascii="宋体" w:hAnsi="宋体"/>
                    <w:color w:val="000000" w:themeColor="text1"/>
                  </w:rPr>
                </w:pPr>
                <w:r>
                  <w:rPr>
                    <w:rFonts w:ascii="宋体" w:hAnsi="宋体" w:hint="eastAsia"/>
                    <w:color w:val="000000" w:themeColor="text1"/>
                  </w:rPr>
                  <w:t>已逾期</w:t>
                </w:r>
              </w:p>
            </w:tc>
          </w:sdtContent>
        </w:sdt>
        <w:tc>
          <w:tcPr>
            <w:tcW w:w="1442" w:type="dxa"/>
            <w:vAlign w:val="center"/>
          </w:tcPr>
          <w:sdt>
            <w:sdtPr>
              <w:rPr>
                <w:rFonts w:ascii="宋体" w:hAnsi="宋体"/>
                <w:sz w:val="20"/>
                <w:szCs w:val="20"/>
              </w:rPr>
              <w:tag w:val="_PLD_9213da20843047fd866a07220ffc1e04"/>
              <w:id w:val="-610589339"/>
            </w:sdtPr>
            <w:sdtContent>
              <w:p>
                <w:pPr>
                  <w:kinsoku w:val="0"/>
                  <w:overflowPunct w:val="0"/>
                  <w:jc w:val="center"/>
                  <w:rPr>
                    <w:rFonts w:ascii="宋体" w:hAnsi="宋体"/>
                    <w:color w:val="000000" w:themeColor="text1"/>
                  </w:rPr>
                </w:pPr>
                <w:r>
                  <w:rPr>
                    <w:rFonts w:ascii="宋体" w:hAnsi="宋体" w:hint="eastAsia"/>
                    <w:color w:val="000000" w:themeColor="text1"/>
                  </w:rPr>
                  <w:t>1年以内</w:t>
                </w:r>
              </w:p>
              <w:p>
                <w:pPr>
                  <w:kinsoku w:val="0"/>
                  <w:overflowPunct w:val="0"/>
                  <w:jc w:val="center"/>
                  <w:rPr>
                    <w:rFonts w:ascii="宋体" w:hAnsi="宋体"/>
                    <w:color w:val="000000" w:themeColor="text1"/>
                  </w:rPr>
                </w:pPr>
                <w:r>
                  <w:rPr>
                    <w:rFonts w:ascii="宋体" w:hAnsi="宋体" w:hint="eastAsia"/>
                    <w:color w:val="000000" w:themeColor="text1"/>
                  </w:rPr>
                  <w:t>（含）</w:t>
                </w:r>
              </w:p>
            </w:sdtContent>
          </w:sdt>
        </w:tc>
        <w:sdt>
          <w:sdtPr>
            <w:rPr>
              <w:rFonts w:ascii="宋体" w:hAnsi="宋体"/>
              <w:sz w:val="20"/>
              <w:szCs w:val="20"/>
            </w:rPr>
            <w:tag w:val="_PLD_1128df66dc9e4220979131247d083d6e"/>
            <w:id w:val="-680190470"/>
          </w:sdtPr>
          <w:sdtContent>
            <w:tc>
              <w:tcPr>
                <w:tcW w:w="1443" w:type="dxa"/>
                <w:vAlign w:val="center"/>
              </w:tcPr>
              <w:p>
                <w:pPr>
                  <w:kinsoku w:val="0"/>
                  <w:overflowPunct w:val="0"/>
                  <w:jc w:val="center"/>
                  <w:rPr>
                    <w:rFonts w:ascii="宋体" w:hAnsi="宋体"/>
                    <w:color w:val="000000" w:themeColor="text1"/>
                  </w:rPr>
                </w:pPr>
                <w:r>
                  <w:rPr>
                    <w:rFonts w:ascii="宋体" w:hAnsi="宋体" w:hint="eastAsia"/>
                    <w:color w:val="000000" w:themeColor="text1"/>
                  </w:rPr>
                  <w:t>超过1年</w:t>
                </w:r>
              </w:p>
              <w:p>
                <w:pPr>
                  <w:kinsoku w:val="0"/>
                  <w:overflowPunct w:val="0"/>
                  <w:jc w:val="center"/>
                  <w:rPr>
                    <w:rFonts w:ascii="宋体" w:hAnsi="宋体"/>
                    <w:color w:val="000000" w:themeColor="text1"/>
                  </w:rPr>
                </w:pPr>
                <w:r>
                  <w:rPr>
                    <w:rFonts w:ascii="宋体" w:hAnsi="宋体" w:hint="eastAsia"/>
                    <w:color w:val="000000" w:themeColor="text1"/>
                  </w:rPr>
                  <w:t>（不含）</w:t>
                </w:r>
              </w:p>
            </w:tc>
          </w:sdtContent>
        </w:sdt>
        <w:tc>
          <w:tcPr>
            <w:tcW w:w="1442" w:type="dxa"/>
            <w:vMerge/>
            <w:vAlign w:val="center"/>
          </w:tcPr>
          <w:p>
            <w:pPr>
              <w:kinsoku w:val="0"/>
              <w:overflowPunct w:val="0"/>
              <w:jc w:val="center"/>
              <w:rPr>
                <w:rFonts w:ascii="宋体" w:hAnsi="宋体"/>
                <w:color w:val="000000" w:themeColor="text1"/>
              </w:rPr>
            </w:pPr>
          </w:p>
        </w:tc>
        <w:tc>
          <w:tcPr>
            <w:tcW w:w="1612" w:type="dxa"/>
            <w:vMerge/>
            <w:vAlign w:val="center"/>
          </w:tcPr>
          <w:p>
            <w:pPr>
              <w:kinsoku w:val="0"/>
              <w:overflowPunct w:val="0"/>
              <w:jc w:val="center"/>
              <w:rPr>
                <w:rFonts w:ascii="宋体" w:hAnsi="宋体"/>
                <w:color w:val="000000" w:themeColor="text1"/>
              </w:rPr>
            </w:pPr>
          </w:p>
        </w:tc>
      </w:tr>
      <w:tr>
        <w:tc>
          <w:tcPr>
            <w:tcW w:w="1797" w:type="dxa"/>
            <w:vAlign w:val="center"/>
          </w:tcPr>
          <w:p>
            <w:pPr>
              <w:kinsoku w:val="0"/>
              <w:overflowPunct w:val="0"/>
              <w:jc w:val="left"/>
              <w:rPr>
                <w:rFonts w:ascii="宋体" w:hAnsi="宋体"/>
                <w:color w:val="000000" w:themeColor="text1"/>
              </w:rPr>
            </w:pPr>
            <w:r>
              <w:rPr>
                <w:rFonts w:ascii="宋体" w:hAnsi="宋体" w:hint="eastAsia"/>
                <w:color w:val="000000" w:themeColor="text1"/>
              </w:rPr>
              <w:t>公司信用类债券</w:t>
            </w:r>
          </w:p>
        </w:tc>
        <w:tc>
          <w:tcPr>
            <w:tcW w:w="145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442" w:type="dxa"/>
            <w:vAlign w:val="center"/>
          </w:tcPr>
          <w:p>
            <w:pPr>
              <w:jc w:val="right"/>
              <w:rPr>
                <w:rFonts w:ascii="宋体" w:hAnsi="宋体"/>
              </w:rPr>
            </w:pPr>
            <w:r>
              <w:rPr>
                <w:rFonts w:ascii="宋体" w:hAnsi="宋体"/>
              </w:rPr>
              <w:t xml:space="preserve"> 64.23 </w:t>
            </w:r>
          </w:p>
        </w:tc>
        <w:tc>
          <w:tcPr>
            <w:tcW w:w="1443" w:type="dxa"/>
            <w:vAlign w:val="center"/>
          </w:tcPr>
          <w:p>
            <w:pPr>
              <w:jc w:val="right"/>
              <w:rPr>
                <w:rFonts w:ascii="宋体" w:hAnsi="宋体"/>
              </w:rPr>
            </w:pPr>
            <w:r>
              <w:rPr>
                <w:rFonts w:ascii="宋体" w:hAnsi="宋体"/>
              </w:rPr>
              <w:t xml:space="preserve"> 229.64 </w:t>
            </w:r>
          </w:p>
        </w:tc>
        <w:tc>
          <w:tcPr>
            <w:tcW w:w="1442" w:type="dxa"/>
            <w:vAlign w:val="center"/>
          </w:tcPr>
          <w:p>
            <w:pPr>
              <w:jc w:val="right"/>
              <w:rPr>
                <w:rFonts w:ascii="宋体" w:hAnsi="宋体"/>
              </w:rPr>
            </w:pPr>
            <w:r>
              <w:rPr>
                <w:rFonts w:ascii="宋体" w:hAnsi="宋体"/>
              </w:rPr>
              <w:t xml:space="preserve"> 293.87 </w:t>
            </w:r>
          </w:p>
        </w:tc>
        <w:tc>
          <w:tcPr>
            <w:tcW w:w="1612" w:type="dxa"/>
            <w:vAlign w:val="center"/>
          </w:tcPr>
          <w:p>
            <w:pPr>
              <w:jc w:val="right"/>
              <w:rPr>
                <w:rFonts w:ascii="宋体" w:hAnsi="宋体"/>
              </w:rPr>
            </w:pPr>
            <w:r>
              <w:rPr>
                <w:rFonts w:ascii="宋体" w:hAnsi="宋体"/>
              </w:rPr>
              <w:t xml:space="preserve">27.06 </w:t>
            </w:r>
          </w:p>
        </w:tc>
      </w:tr>
      <w:tr>
        <w:tc>
          <w:tcPr>
            <w:tcW w:w="1797" w:type="dxa"/>
            <w:vAlign w:val="center"/>
          </w:tcPr>
          <w:p>
            <w:pPr>
              <w:kinsoku w:val="0"/>
              <w:overflowPunct w:val="0"/>
              <w:jc w:val="left"/>
              <w:rPr>
                <w:rFonts w:ascii="宋体" w:hAnsi="宋体"/>
                <w:color w:val="000000" w:themeColor="text1"/>
              </w:rPr>
            </w:pPr>
            <w:r>
              <w:rPr>
                <w:rFonts w:ascii="宋体" w:hAnsi="宋体" w:hint="eastAsia"/>
                <w:color w:val="000000" w:themeColor="text1"/>
              </w:rPr>
              <w:t>银行贷款</w:t>
            </w:r>
          </w:p>
        </w:tc>
        <w:tc>
          <w:tcPr>
            <w:tcW w:w="145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442" w:type="dxa"/>
            <w:vAlign w:val="center"/>
          </w:tcPr>
          <w:p>
            <w:pPr>
              <w:jc w:val="right"/>
              <w:rPr>
                <w:rFonts w:ascii="宋体" w:hAnsi="宋体"/>
              </w:rPr>
            </w:pPr>
            <w:r>
              <w:rPr>
                <w:rFonts w:ascii="宋体" w:hAnsi="宋体"/>
              </w:rPr>
              <w:t xml:space="preserve"> 362.59 </w:t>
            </w:r>
          </w:p>
        </w:tc>
        <w:tc>
          <w:tcPr>
            <w:tcW w:w="1443" w:type="dxa"/>
            <w:vAlign w:val="center"/>
          </w:tcPr>
          <w:p>
            <w:pPr>
              <w:jc w:val="right"/>
              <w:rPr>
                <w:rFonts w:ascii="宋体" w:hAnsi="宋体"/>
              </w:rPr>
            </w:pPr>
            <w:r>
              <w:rPr>
                <w:rFonts w:ascii="宋体" w:hAnsi="宋体"/>
              </w:rPr>
              <w:t xml:space="preserve"> 339.15 </w:t>
            </w:r>
          </w:p>
        </w:tc>
        <w:tc>
          <w:tcPr>
            <w:tcW w:w="1442" w:type="dxa"/>
            <w:vAlign w:val="center"/>
          </w:tcPr>
          <w:p>
            <w:pPr>
              <w:jc w:val="right"/>
              <w:rPr>
                <w:rFonts w:ascii="宋体" w:hAnsi="宋体"/>
              </w:rPr>
            </w:pPr>
            <w:r>
              <w:rPr>
                <w:rFonts w:ascii="宋体" w:hAnsi="宋体"/>
              </w:rPr>
              <w:t xml:space="preserve"> 701.74 </w:t>
            </w:r>
          </w:p>
        </w:tc>
        <w:tc>
          <w:tcPr>
            <w:tcW w:w="1612" w:type="dxa"/>
            <w:vAlign w:val="center"/>
          </w:tcPr>
          <w:p>
            <w:pPr>
              <w:jc w:val="right"/>
              <w:rPr>
                <w:rFonts w:ascii="宋体" w:hAnsi="宋体"/>
              </w:rPr>
            </w:pPr>
            <w:r>
              <w:rPr>
                <w:rFonts w:ascii="宋体" w:hAnsi="宋体"/>
              </w:rPr>
              <w:t xml:space="preserve">64.62 </w:t>
            </w:r>
          </w:p>
        </w:tc>
      </w:tr>
      <w:tr>
        <w:tc>
          <w:tcPr>
            <w:tcW w:w="1797" w:type="dxa"/>
            <w:vAlign w:val="center"/>
          </w:tcPr>
          <w:p>
            <w:pPr>
              <w:kinsoku w:val="0"/>
              <w:overflowPunct w:val="0"/>
              <w:jc w:val="left"/>
              <w:rPr>
                <w:rFonts w:ascii="宋体" w:hAnsi="宋体"/>
                <w:color w:val="000000" w:themeColor="text1"/>
              </w:rPr>
            </w:pPr>
            <w:r>
              <w:rPr>
                <w:rFonts w:ascii="宋体" w:hAnsi="宋体" w:hint="eastAsia"/>
                <w:color w:val="000000" w:themeColor="text1"/>
              </w:rPr>
              <w:t>非银行金融机构贷款</w:t>
            </w:r>
          </w:p>
        </w:tc>
        <w:tc>
          <w:tcPr>
            <w:tcW w:w="145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442" w:type="dxa"/>
            <w:vAlign w:val="center"/>
          </w:tcPr>
          <w:p>
            <w:pPr>
              <w:jc w:val="right"/>
              <w:rPr>
                <w:rFonts w:ascii="宋体" w:hAnsi="宋体"/>
              </w:rPr>
            </w:pPr>
            <w:r>
              <w:rPr>
                <w:rFonts w:ascii="宋体" w:hAnsi="宋体"/>
              </w:rPr>
              <w:t xml:space="preserve">-   </w:t>
            </w:r>
          </w:p>
        </w:tc>
        <w:tc>
          <w:tcPr>
            <w:tcW w:w="1443" w:type="dxa"/>
            <w:vAlign w:val="center"/>
          </w:tcPr>
          <w:p>
            <w:pPr>
              <w:jc w:val="right"/>
              <w:rPr>
                <w:rFonts w:ascii="宋体" w:hAnsi="宋体"/>
              </w:rPr>
            </w:pPr>
            <w:r>
              <w:rPr>
                <w:rFonts w:ascii="宋体" w:hAnsi="宋体"/>
              </w:rPr>
              <w:t xml:space="preserve"> 83.67 </w:t>
            </w:r>
          </w:p>
        </w:tc>
        <w:tc>
          <w:tcPr>
            <w:tcW w:w="1442" w:type="dxa"/>
            <w:vAlign w:val="center"/>
          </w:tcPr>
          <w:p>
            <w:pPr>
              <w:jc w:val="right"/>
              <w:rPr>
                <w:rFonts w:ascii="宋体" w:hAnsi="宋体"/>
              </w:rPr>
            </w:pPr>
            <w:r>
              <w:rPr>
                <w:rFonts w:ascii="宋体" w:hAnsi="宋体"/>
              </w:rPr>
              <w:t xml:space="preserve"> 83.67 </w:t>
            </w:r>
          </w:p>
        </w:tc>
        <w:tc>
          <w:tcPr>
            <w:tcW w:w="1612" w:type="dxa"/>
            <w:vAlign w:val="center"/>
          </w:tcPr>
          <w:p>
            <w:pPr>
              <w:jc w:val="right"/>
              <w:rPr>
                <w:rFonts w:ascii="宋体" w:hAnsi="宋体"/>
              </w:rPr>
            </w:pPr>
            <w:r>
              <w:rPr>
                <w:rFonts w:ascii="宋体" w:hAnsi="宋体"/>
              </w:rPr>
              <w:t xml:space="preserve">7.70 </w:t>
            </w:r>
          </w:p>
        </w:tc>
      </w:tr>
      <w:tr>
        <w:tc>
          <w:tcPr>
            <w:tcW w:w="1797" w:type="dxa"/>
            <w:vAlign w:val="center"/>
          </w:tcPr>
          <w:p>
            <w:pPr>
              <w:kinsoku w:val="0"/>
              <w:overflowPunct w:val="0"/>
              <w:jc w:val="left"/>
              <w:rPr>
                <w:rFonts w:ascii="宋体" w:hAnsi="宋体"/>
                <w:color w:val="000000" w:themeColor="text1"/>
              </w:rPr>
            </w:pPr>
            <w:r>
              <w:rPr>
                <w:rFonts w:ascii="宋体" w:hAnsi="宋体" w:hint="eastAsia"/>
                <w:color w:val="000000" w:themeColor="text1"/>
              </w:rPr>
              <w:t>其他有息债务</w:t>
            </w:r>
          </w:p>
        </w:tc>
        <w:tc>
          <w:tcPr>
            <w:tcW w:w="145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442" w:type="dxa"/>
            <w:vAlign w:val="center"/>
          </w:tcPr>
          <w:p>
            <w:pPr>
              <w:jc w:val="right"/>
              <w:rPr>
                <w:rFonts w:ascii="宋体" w:hAnsi="宋体"/>
              </w:rPr>
            </w:pPr>
            <w:r>
              <w:rPr>
                <w:rFonts w:ascii="宋体" w:hAnsi="宋体"/>
              </w:rPr>
              <w:t xml:space="preserve"> -   </w:t>
            </w:r>
          </w:p>
        </w:tc>
        <w:tc>
          <w:tcPr>
            <w:tcW w:w="1443" w:type="dxa"/>
            <w:vAlign w:val="center"/>
          </w:tcPr>
          <w:p>
            <w:pPr>
              <w:jc w:val="right"/>
              <w:rPr>
                <w:rFonts w:ascii="宋体" w:hAnsi="宋体"/>
              </w:rPr>
            </w:pPr>
            <w:r>
              <w:rPr>
                <w:rFonts w:ascii="宋体" w:hAnsi="宋体"/>
              </w:rPr>
              <w:t xml:space="preserve"> 6.70 </w:t>
            </w:r>
          </w:p>
        </w:tc>
        <w:tc>
          <w:tcPr>
            <w:tcW w:w="1442" w:type="dxa"/>
            <w:vAlign w:val="center"/>
          </w:tcPr>
          <w:p>
            <w:pPr>
              <w:jc w:val="right"/>
              <w:rPr>
                <w:rFonts w:ascii="宋体" w:hAnsi="宋体"/>
              </w:rPr>
            </w:pPr>
            <w:r>
              <w:rPr>
                <w:rFonts w:ascii="宋体" w:hAnsi="宋体"/>
              </w:rPr>
              <w:t xml:space="preserve"> 6.70 </w:t>
            </w:r>
          </w:p>
        </w:tc>
        <w:tc>
          <w:tcPr>
            <w:tcW w:w="1612" w:type="dxa"/>
            <w:vAlign w:val="center"/>
          </w:tcPr>
          <w:p>
            <w:pPr>
              <w:jc w:val="right"/>
              <w:rPr>
                <w:rFonts w:ascii="宋体" w:hAnsi="宋体"/>
              </w:rPr>
            </w:pPr>
            <w:r>
              <w:rPr>
                <w:rFonts w:ascii="宋体" w:hAnsi="宋体"/>
              </w:rPr>
              <w:t xml:space="preserve">0.62 </w:t>
            </w:r>
          </w:p>
        </w:tc>
      </w:tr>
      <w:tr>
        <w:tc>
          <w:tcPr>
            <w:tcW w:w="1797" w:type="dxa"/>
            <w:vAlign w:val="center"/>
          </w:tcPr>
          <w:p>
            <w:pPr>
              <w:kinsoku w:val="0"/>
              <w:overflowPunct w:val="0"/>
              <w:jc w:val="center"/>
              <w:rPr>
                <w:rFonts w:ascii="宋体" w:hAnsi="宋体"/>
                <w:color w:val="000000" w:themeColor="text1"/>
              </w:rPr>
            </w:pPr>
            <w:r>
              <w:rPr>
                <w:rFonts w:ascii="宋体" w:hAnsi="宋体" w:hint="eastAsia"/>
                <w:color w:val="000000" w:themeColor="text1"/>
              </w:rPr>
              <w:t>合计</w:t>
            </w:r>
          </w:p>
        </w:tc>
        <w:tc>
          <w:tcPr>
            <w:tcW w:w="145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442" w:type="dxa"/>
            <w:vAlign w:val="center"/>
          </w:tcPr>
          <w:p>
            <w:pPr>
              <w:jc w:val="right"/>
              <w:rPr>
                <w:rFonts w:ascii="宋体" w:hAnsi="宋体"/>
              </w:rPr>
            </w:pPr>
            <w:r>
              <w:rPr>
                <w:rFonts w:ascii="宋体" w:hAnsi="宋体"/>
              </w:rPr>
              <w:t xml:space="preserve"> 426.82 </w:t>
            </w:r>
          </w:p>
        </w:tc>
        <w:tc>
          <w:tcPr>
            <w:tcW w:w="1443" w:type="dxa"/>
            <w:vAlign w:val="center"/>
          </w:tcPr>
          <w:p>
            <w:pPr>
              <w:jc w:val="right"/>
              <w:rPr>
                <w:rFonts w:ascii="宋体" w:hAnsi="宋体"/>
              </w:rPr>
            </w:pPr>
            <w:r>
              <w:rPr>
                <w:rFonts w:ascii="宋体" w:hAnsi="宋体"/>
              </w:rPr>
              <w:t xml:space="preserve"> 659.16 </w:t>
            </w:r>
          </w:p>
        </w:tc>
        <w:tc>
          <w:tcPr>
            <w:tcW w:w="1442" w:type="dxa"/>
            <w:vAlign w:val="center"/>
          </w:tcPr>
          <w:p>
            <w:pPr>
              <w:jc w:val="right"/>
              <w:rPr>
                <w:rFonts w:ascii="宋体" w:hAnsi="宋体"/>
              </w:rPr>
            </w:pPr>
            <w:r>
              <w:rPr>
                <w:rFonts w:ascii="宋体" w:hAnsi="宋体"/>
              </w:rPr>
              <w:t xml:space="preserve">  1,085.98 </w:t>
            </w:r>
          </w:p>
        </w:tc>
        <w:tc>
          <w:tcPr>
            <w:tcW w:w="1612" w:type="dxa"/>
            <w:vAlign w:val="center"/>
          </w:tcPr>
          <w:p>
            <w:pPr>
              <w:jc w:val="right"/>
              <w:rPr>
                <w:rFonts w:ascii="宋体" w:hAnsi="宋体"/>
              </w:rPr>
            </w:pPr>
            <w:r>
              <w:rPr>
                <w:rFonts w:ascii="宋体" w:hAnsi="宋体"/>
              </w:rPr>
              <w:t>-</w:t>
            </w:r>
          </w:p>
        </w:tc>
      </w:tr>
    </w:tbl>
    <w:p>
      <w:pPr>
        <w:pStyle w:val="Style49"/>
        <w:rPr>
          <w:rFonts w:ascii="宋体" w:hAnsi="宋体"/>
        </w:rPr>
      </w:pPr>
    </w:p>
    <w:p>
      <w:pPr>
        <w:ind w:firstLineChars="250" w:firstLine="525"/>
        <w:rPr>
          <w:rFonts w:ascii="宋体" w:hAnsi="宋体"/>
          <w:color w:val="000000" w:themeColor="text1"/>
        </w:rPr>
      </w:pPr>
      <w:r>
        <w:rPr>
          <w:rFonts w:ascii="宋体" w:hAnsi="宋体" w:hint="eastAsia"/>
          <w:color w:val="000000" w:themeColor="text1"/>
        </w:rPr>
        <w:t>报告期末公司存续的公司信用类债券中，公司债券余额</w:t>
      </w:r>
      <w:sdt>
        <w:sdtPr>
          <w:rPr>
            <w:rFonts w:ascii="宋体" w:hAnsi="宋体" w:hint="eastAsia"/>
            <w:color w:val="000000" w:themeColor="text1"/>
          </w:rPr>
          <w:alias w:val="公司信用类债券中公司债券余额"/>
          <w:tag w:val="_GBC_30aaf097b2c84c6c8c67598fb3ad4cd0"/>
          <w:id w:val="1302420389"/>
          <w:placeholder>
            <w:docPart w:val="GBC22222222222222222222222222222"/>
          </w:placeholder>
        </w:sdtPr>
        <w:sdtContent>
          <w:r>
            <w:rPr>
              <w:rFonts w:ascii="宋体" w:hAnsi="宋体"/>
              <w:color w:val="000000" w:themeColor="text1"/>
            </w:rPr>
            <w:t>243.47</w:t>
          </w:r>
        </w:sdtContent>
      </w:sdt>
      <w:sdt>
        <w:sdtPr>
          <w:rPr>
            <w:rFonts w:ascii="宋体" w:hAnsi="宋体" w:hint="eastAsia"/>
            <w:color w:val="000000" w:themeColor="text1"/>
          </w:rPr>
          <w:alias w:val="单位：母公司有息债务"/>
          <w:tag w:val="_GBC_baf6bfa512d14e2bb51313919b1a242c"/>
          <w:id w:val="381529257"/>
          <w:placeholder>
            <w:docPart w:val="GBC22222222222222222222222222222"/>
          </w:placeholder>
          <w:dataBinding w:prefixMappings="xmlns:bond='bond'" w:xpath="/*/bond:DanWeiMuGongS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，企业债券余额</w:t>
      </w:r>
      <w:sdt>
        <w:sdtPr>
          <w:rPr>
            <w:rFonts w:ascii="宋体" w:hAnsi="宋体" w:hint="eastAsia"/>
            <w:color w:val="000000" w:themeColor="text1"/>
          </w:rPr>
          <w:alias w:val="公司信用类债券中企业债券余额"/>
          <w:tag w:val="_GBC_112c3628e0054d57a51f59010f48e5be"/>
          <w:id w:val="821390586"/>
          <w:placeholder>
            <w:docPart w:val="GBC22222222222222222222222222222"/>
          </w:placeholder>
        </w:sdtPr>
        <w:sdtContent>
          <w:r>
            <w:rPr>
              <w:rFonts w:ascii="宋体" w:hAnsi="宋体"/>
              <w:color w:val="000000" w:themeColor="text1"/>
            </w:rPr>
            <w:t>0</w:t>
          </w:r>
        </w:sdtContent>
      </w:sdt>
      <w:sdt>
        <w:sdtPr>
          <w:rPr>
            <w:rFonts w:ascii="宋体" w:hAnsi="宋体" w:hint="eastAsia"/>
            <w:color w:val="000000" w:themeColor="text1"/>
          </w:rPr>
          <w:alias w:val="单位：母公司有息债务"/>
          <w:tag w:val="_GBC_0b2c229d934f4625ad5d4a262c18cb12"/>
          <w:id w:val="312843208"/>
          <w:placeholder>
            <w:docPart w:val="GBC22222222222222222222222222222"/>
          </w:placeholder>
          <w:dataBinding w:prefixMappings="xmlns:bond='bond'" w:xpath="/*/bond:DanWeiMuGongS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，非金融企业债务融资工具余额</w:t>
      </w:r>
      <w:sdt>
        <w:sdtPr>
          <w:rPr>
            <w:rFonts w:ascii="宋体" w:hAnsi="宋体" w:hint="eastAsia"/>
            <w:color w:val="000000" w:themeColor="text1"/>
          </w:rPr>
          <w:alias w:val="公司信用类债券中非金融企业债务融资工具余额"/>
          <w:tag w:val="_GBC_753d930f78b64266a7a68cbd2cc7075f"/>
          <w:id w:val="-1636941402"/>
          <w:placeholder>
            <w:docPart w:val="GBC22222222222222222222222222222"/>
          </w:placeholder>
        </w:sdtPr>
        <w:sdtContent>
          <w:r>
            <w:rPr>
              <w:rFonts w:ascii="宋体" w:hAnsi="宋体"/>
              <w:color w:val="000000" w:themeColor="text1"/>
            </w:rPr>
            <w:t>50.40</w:t>
          </w:r>
        </w:sdtContent>
      </w:sdt>
      <w:sdt>
        <w:sdtPr>
          <w:rPr>
            <w:rFonts w:ascii="宋体" w:hAnsi="宋体" w:hint="eastAsia"/>
            <w:color w:val="000000" w:themeColor="text1"/>
          </w:rPr>
          <w:alias w:val="单位：母公司有息债务"/>
          <w:tag w:val="_GBC_ce6b06d4d18f4d0eafb8716703b754ad"/>
          <w:id w:val="-557936199"/>
          <w:placeholder>
            <w:docPart w:val="GBC22222222222222222222222222222"/>
          </w:placeholder>
          <w:dataBinding w:prefixMappings="xmlns:bond='bond'" w:xpath="/*/bond:DanWeiMuGongS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w:t>
      </w:r>
    </w:p>
    <w:p>
      <w:pPr>
        <w:rPr>
          <w:rFonts w:ascii="宋体" w:hAnsi="宋体"/>
          <w:color w:val="000000" w:themeColor="text1"/>
        </w:rPr>
      </w:pPr>
    </w:p>
    <w:p>
      <w:pPr>
        <w:pStyle w:val="6"/>
        <w:numPr>
          <w:ilvl w:val="0"/>
          <w:numId w:val="64"/>
        </w:numPr>
        <w:tabs>
          <w:tab w:val="left" w:pos="360"/>
        </w:tabs>
        <w:rPr>
          <w:rFonts w:ascii="宋体" w:hAnsi="宋体"/>
        </w:rPr>
      </w:pPr>
      <w:bookmarkStart w:id="327" w:name="_Hlk183685350"/>
      <w:bookmarkEnd w:id="325"/>
      <w:bookmarkEnd w:id="326"/>
      <w:r>
        <w:rPr>
          <w:rFonts w:ascii="宋体" w:hAnsi="宋体" w:hint="eastAsia"/>
        </w:rPr>
        <w:t>公司合并口径有息债务结构情况</w:t>
      </w:r>
    </w:p>
    <w:p>
      <w:pPr>
        <w:pStyle w:val="aff9"/>
        <w:rPr>
          <w:rFonts w:ascii="宋体" w:hAnsi="宋体"/>
          <w:color w:val="000000" w:themeColor="text1"/>
        </w:rPr>
      </w:pPr>
      <w:r>
        <w:rPr>
          <w:rFonts w:ascii="宋体" w:hAnsi="宋体" w:hint="eastAsia"/>
          <w:color w:val="000000" w:themeColor="text1"/>
        </w:rPr>
        <w:t>报告期初和报告期末，公司合并报表范围内公司有息债务余额分别为</w:t>
      </w:r>
      <w:sdt>
        <w:sdtPr>
          <w:rPr>
            <w:rFonts w:ascii="宋体" w:hAnsi="宋体" w:hint="eastAsia"/>
            <w:color w:val="000000" w:themeColor="text1"/>
          </w:rPr>
          <w:alias w:val="有息债务"/>
          <w:tag w:val="_GBC_5a9ae94936aa45faaf15d5acb3183334"/>
          <w:id w:val="-1152986824"/>
          <w:placeholder>
            <w:docPart w:val="GBC22222222222222222222222222222"/>
          </w:placeholder>
        </w:sdtPr>
        <w:sdtContent>
          <w:r>
            <w:rPr>
              <w:rFonts w:ascii="宋体" w:hAnsi="宋体"/>
              <w:color w:val="000000" w:themeColor="text1"/>
            </w:rPr>
            <w:t>1,332.37</w:t>
          </w:r>
        </w:sdtContent>
      </w:sdt>
      <w:sdt>
        <w:sdtPr>
          <w:rPr>
            <w:rFonts w:ascii="宋体" w:hAnsi="宋体" w:hint="eastAsia"/>
            <w:color w:val="000000" w:themeColor="text1"/>
          </w:rPr>
          <w:alias w:val="单位：有息债务"/>
          <w:tag w:val="_GBC_6e37e755faeb4c7e99551aaaeb119b19"/>
          <w:id w:val="-1275864010"/>
          <w:placeholder>
            <w:docPart w:val="GBC22222222222222222222222222222"/>
          </w:placeholder>
          <w:dataBinding w:prefixMappings="xmlns:bond='bond'" w:xpath="/*/bond:DanWe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和</w:t>
      </w:r>
      <w:sdt>
        <w:sdtPr>
          <w:rPr>
            <w:rFonts w:ascii="宋体" w:hAnsi="宋体" w:hint="eastAsia"/>
            <w:color w:val="000000" w:themeColor="text1"/>
          </w:rPr>
          <w:alias w:val="有息债务"/>
          <w:tag w:val="_GBC_75dcd07611e44c0b9b6e04429e4c1d7b"/>
          <w:id w:val="1666047521"/>
          <w:placeholder>
            <w:docPart w:val="GBC22222222222222222222222222222"/>
          </w:placeholder>
        </w:sdtPr>
        <w:sdtContent>
          <w:r>
            <w:rPr>
              <w:rFonts w:ascii="宋体" w:hAnsi="宋体"/>
              <w:color w:val="000000" w:themeColor="text1"/>
            </w:rPr>
            <w:t>1,477.76</w:t>
          </w:r>
        </w:sdtContent>
      </w:sdt>
      <w:sdt>
        <w:sdtPr>
          <w:rPr>
            <w:rFonts w:ascii="宋体" w:hAnsi="宋体" w:hint="eastAsia"/>
            <w:color w:val="000000" w:themeColor="text1"/>
          </w:rPr>
          <w:alias w:val="单位：有息债务"/>
          <w:tag w:val="_GBC_3e6aba6fad714c01a12ca6f1355aceee"/>
          <w:id w:val="-33582611"/>
          <w:placeholder>
            <w:docPart w:val="GBC22222222222222222222222222222"/>
          </w:placeholder>
          <w:dataBinding w:prefixMappings="xmlns:bond='bond'" w:xpath="/*/bond:DanWe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，报告期内有息债务余额同比变动</w:t>
      </w:r>
      <w:sdt>
        <w:sdtPr>
          <w:rPr>
            <w:rFonts w:ascii="宋体" w:hAnsi="宋体" w:hint="eastAsia"/>
            <w:color w:val="000000" w:themeColor="text1"/>
          </w:rPr>
          <w:alias w:val="有息债务变动比例"/>
          <w:tag w:val="_GBC_7b378939367e4e0b9461e0618b4b2fac"/>
          <w:id w:val="-1815485001"/>
          <w:placeholder>
            <w:docPart w:val="GBC22222222222222222222222222222"/>
          </w:placeholder>
        </w:sdtPr>
        <w:sdtContent>
          <w:r>
            <w:rPr>
              <w:rFonts w:ascii="宋体" w:hAnsi="宋体"/>
              <w:color w:val="000000" w:themeColor="text1"/>
            </w:rPr>
            <w:t>10.9</w:t>
          </w:r>
        </w:sdtContent>
      </w:sdt>
      <w:r>
        <w:rPr>
          <w:rFonts w:ascii="宋体" w:hAnsi="宋体" w:hint="eastAsia"/>
          <w:color w:val="000000" w:themeColor="text1"/>
        </w:rPr>
        <w:t>%。</w:t>
      </w:r>
    </w:p>
    <w:p>
      <w:pPr>
        <w:kinsoku w:val="0"/>
        <w:overflowPunct w:val="0"/>
        <w:jc w:val="right"/>
        <w:rPr>
          <w:rFonts w:ascii="宋体" w:hAnsi="宋体"/>
          <w:color w:val="000000" w:themeColor="text1"/>
        </w:rPr>
      </w:pPr>
      <w:r>
        <w:rPr>
          <w:rFonts w:ascii="宋体" w:hAnsi="宋体" w:hint="eastAsia"/>
          <w:color w:val="000000" w:themeColor="text1"/>
        </w:rPr>
        <w:t>单位：</w:t>
      </w:r>
      <w:sdt>
        <w:sdtPr>
          <w:rPr>
            <w:rFonts w:ascii="宋体" w:hAnsi="宋体" w:hint="eastAsia"/>
            <w:color w:val="000000" w:themeColor="text1"/>
          </w:rPr>
          <w:alias w:val="单位：债务结构情况"/>
          <w:tag w:val="_GBC_509829f031af4c4eb77c6c332bca3702"/>
          <w:id w:val="441350859"/>
          <w:placeholder>
            <w:docPart w:val="GBC22222222222222222222222222222"/>
          </w:placeholder>
          <w:dataBinding w:prefixMappings="xmlns:bond='bond'" w:xpath="/*/bond:DanWeiZhaiWuJieGouQingKuang[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color w:val="000000" w:themeColor="text1"/>
        </w:rPr>
        <w:t xml:space="preserve"> </w:t>
      </w:r>
      <w:r>
        <w:rPr>
          <w:rFonts w:ascii="宋体" w:hAnsi="宋体" w:hint="eastAsia"/>
          <w:color w:val="000000" w:themeColor="text1"/>
        </w:rPr>
        <w:t>币种：</w:t>
      </w:r>
      <w:sdt>
        <w:sdtPr>
          <w:rPr>
            <w:rFonts w:ascii="宋体" w:hAnsi="宋体" w:hint="eastAsia"/>
            <w:color w:val="000000" w:themeColor="text1"/>
          </w:rPr>
          <w:alias w:val="币种：债务结构情况"/>
          <w:tag w:val="_GBC_7ac820277b1e411abf54275b83d23f12"/>
          <w:id w:val="4624692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rPr>
            <w:t>人民币</w:t>
          </w:r>
        </w:sdtContent>
      </w:sdt>
    </w:p>
    <w:tbl>
      <w:tblPr>
        <w:tblStyle w:val="aff4"/>
        <w:tblW w:w="9047" w:type="dxa"/>
        <w:tblLayout w:type="fixed"/>
        <w:tblLook w:val="04A0" w:firstRow="1" w:lastRow="0" w:firstColumn="1" w:lastColumn="0" w:noHBand="0" w:noVBand="1"/>
      </w:tblPr>
      <w:tblGrid>
        <w:gridCol w:w="1681"/>
        <w:gridCol w:w="1386"/>
        <w:gridCol w:w="1476"/>
        <w:gridCol w:w="1477"/>
        <w:gridCol w:w="1478"/>
        <w:gridCol w:w="1549"/>
      </w:tblGrid>
      <w:tr>
        <w:sdt>
          <w:sdtPr>
            <w:rPr>
              <w:rFonts w:ascii="宋体" w:hAnsi="宋体"/>
              <w:sz w:val="20"/>
              <w:szCs w:val="20"/>
            </w:rPr>
            <w:tag w:val="_PLD_db1f23c11ac24c3ba287846c5960a719"/>
            <w:id w:val="-667486594"/>
          </w:sdtPr>
          <w:sdtContent>
            <w:tc>
              <w:tcPr>
                <w:tcW w:w="1681" w:type="dxa"/>
                <w:vMerge w:val="restart"/>
                <w:vAlign w:val="center"/>
              </w:tcPr>
              <w:p>
                <w:pPr>
                  <w:kinsoku w:val="0"/>
                  <w:overflowPunct w:val="0"/>
                  <w:jc w:val="center"/>
                  <w:rPr>
                    <w:rFonts w:ascii="宋体" w:hAnsi="宋体"/>
                    <w:color w:val="000000" w:themeColor="text1"/>
                  </w:rPr>
                </w:pPr>
                <w:r>
                  <w:rPr>
                    <w:rFonts w:ascii="宋体" w:hAnsi="宋体" w:hint="eastAsia"/>
                    <w:color w:val="000000" w:themeColor="text1"/>
                  </w:rPr>
                  <w:t>有息债务类别</w:t>
                </w:r>
              </w:p>
            </w:tc>
          </w:sdtContent>
        </w:sdt>
        <w:sdt>
          <w:sdtPr>
            <w:rPr>
              <w:rFonts w:ascii="宋体" w:hAnsi="宋体"/>
              <w:sz w:val="20"/>
              <w:szCs w:val="20"/>
            </w:rPr>
            <w:tag w:val="_PLD_b0458a01190f49f7bcc64b25400890ce"/>
            <w:id w:val="-1441591709"/>
          </w:sdtPr>
          <w:sdtContent>
            <w:tc>
              <w:tcPr>
                <w:tcW w:w="4339" w:type="dxa"/>
                <w:gridSpan w:val="3"/>
                <w:vAlign w:val="center"/>
              </w:tcPr>
              <w:p>
                <w:pPr>
                  <w:kinsoku w:val="0"/>
                  <w:overflowPunct w:val="0"/>
                  <w:jc w:val="center"/>
                  <w:rPr>
                    <w:rFonts w:ascii="宋体" w:hAnsi="宋体"/>
                    <w:color w:val="000000" w:themeColor="text1"/>
                  </w:rPr>
                </w:pPr>
                <w:r>
                  <w:rPr>
                    <w:rFonts w:ascii="宋体" w:hAnsi="宋体" w:hint="eastAsia"/>
                    <w:color w:val="000000" w:themeColor="text1"/>
                  </w:rPr>
                  <w:t>到期时间</w:t>
                </w:r>
              </w:p>
            </w:tc>
          </w:sdtContent>
        </w:sdt>
        <w:sdt>
          <w:sdtPr>
            <w:rPr>
              <w:rFonts w:ascii="宋体" w:hAnsi="宋体"/>
              <w:sz w:val="20"/>
              <w:szCs w:val="20"/>
            </w:rPr>
            <w:tag w:val="_PLD_c2d83ef134c34ca794daccb983926e15"/>
            <w:id w:val="886381607"/>
          </w:sdtPr>
          <w:sdtContent>
            <w:tc>
              <w:tcPr>
                <w:tcW w:w="1478" w:type="dxa"/>
                <w:vMerge w:val="restart"/>
                <w:vAlign w:val="center"/>
              </w:tcPr>
              <w:p>
                <w:pPr>
                  <w:kinsoku w:val="0"/>
                  <w:overflowPunct w:val="0"/>
                  <w:jc w:val="center"/>
                  <w:rPr>
                    <w:rFonts w:ascii="宋体" w:hAnsi="宋体"/>
                    <w:color w:val="000000" w:themeColor="text1"/>
                  </w:rPr>
                </w:pPr>
                <w:r>
                  <w:rPr>
                    <w:rFonts w:ascii="宋体" w:hAnsi="宋体" w:hint="eastAsia"/>
                    <w:color w:val="000000" w:themeColor="text1"/>
                  </w:rPr>
                  <w:t>金额合计</w:t>
                </w:r>
              </w:p>
            </w:tc>
          </w:sdtContent>
        </w:sdt>
        <w:tc>
          <w:tcPr>
            <w:tcW w:w="1549" w:type="dxa"/>
            <w:vMerge w:val="restart"/>
            <w:vAlign w:val="center"/>
          </w:tcPr>
          <w:sdt>
            <w:sdtPr>
              <w:rPr>
                <w:rFonts w:ascii="宋体" w:hAnsi="宋体"/>
                <w:sz w:val="20"/>
                <w:szCs w:val="20"/>
              </w:rPr>
              <w:tag w:val="_PLD_8ac7184ad5024f56a7d7ca906acab3c8"/>
              <w:id w:val="1154036323"/>
            </w:sdtPr>
            <w:sdtContent>
              <w:p>
                <w:pPr>
                  <w:kinsoku w:val="0"/>
                  <w:overflowPunct w:val="0"/>
                  <w:jc w:val="center"/>
                  <w:rPr>
                    <w:rFonts w:ascii="宋体" w:hAnsi="宋体"/>
                    <w:color w:val="000000" w:themeColor="text1"/>
                  </w:rPr>
                </w:pPr>
                <w:r>
                  <w:rPr>
                    <w:rFonts w:ascii="宋体" w:hAnsi="宋体" w:hint="eastAsia"/>
                    <w:color w:val="000000" w:themeColor="text1"/>
                  </w:rPr>
                  <w:t>金额占有息债务的占比（%）</w:t>
                </w:r>
              </w:p>
            </w:sdtContent>
          </w:sdt>
        </w:tc>
      </w:tr>
      <w:tr>
        <w:tc>
          <w:tcPr>
            <w:tcW w:w="1681" w:type="dxa"/>
            <w:vMerge/>
            <w:vAlign w:val="center"/>
          </w:tcPr>
          <w:p>
            <w:pPr>
              <w:kinsoku w:val="0"/>
              <w:overflowPunct w:val="0"/>
              <w:jc w:val="center"/>
              <w:rPr>
                <w:rFonts w:ascii="宋体" w:hAnsi="宋体"/>
                <w:color w:val="000000" w:themeColor="text1"/>
              </w:rPr>
            </w:pPr>
          </w:p>
        </w:tc>
        <w:sdt>
          <w:sdtPr>
            <w:rPr>
              <w:rFonts w:ascii="宋体" w:hAnsi="宋体"/>
              <w:sz w:val="20"/>
              <w:szCs w:val="20"/>
            </w:rPr>
            <w:tag w:val="_PLD_1a50137a549843f78de2da92483ad009"/>
            <w:id w:val="1061373406"/>
          </w:sdtPr>
          <w:sdtContent>
            <w:tc>
              <w:tcPr>
                <w:tcW w:w="1386" w:type="dxa"/>
                <w:vAlign w:val="center"/>
              </w:tcPr>
              <w:p>
                <w:pPr>
                  <w:kinsoku w:val="0"/>
                  <w:overflowPunct w:val="0"/>
                  <w:jc w:val="center"/>
                  <w:rPr>
                    <w:rFonts w:ascii="宋体" w:hAnsi="宋体"/>
                    <w:color w:val="000000" w:themeColor="text1"/>
                  </w:rPr>
                </w:pPr>
                <w:r>
                  <w:rPr>
                    <w:rFonts w:ascii="宋体" w:hAnsi="宋体" w:hint="eastAsia"/>
                    <w:color w:val="000000" w:themeColor="text1"/>
                  </w:rPr>
                  <w:t>已逾期</w:t>
                </w:r>
              </w:p>
            </w:tc>
          </w:sdtContent>
        </w:sdt>
        <w:tc>
          <w:tcPr>
            <w:tcW w:w="1476" w:type="dxa"/>
            <w:vAlign w:val="center"/>
          </w:tcPr>
          <w:sdt>
            <w:sdtPr>
              <w:rPr>
                <w:rFonts w:ascii="宋体" w:hAnsi="宋体"/>
                <w:sz w:val="20"/>
                <w:szCs w:val="20"/>
              </w:rPr>
              <w:tag w:val="_PLD_2f50b0b5139048039a1156311193e89f"/>
              <w:id w:val="-1671164022"/>
            </w:sdtPr>
            <w:sdtContent>
              <w:p>
                <w:pPr>
                  <w:kinsoku w:val="0"/>
                  <w:overflowPunct w:val="0"/>
                  <w:jc w:val="center"/>
                  <w:rPr>
                    <w:rFonts w:ascii="宋体" w:hAnsi="宋体"/>
                    <w:color w:val="000000" w:themeColor="text1"/>
                  </w:rPr>
                </w:pPr>
                <w:r>
                  <w:rPr>
                    <w:rFonts w:ascii="宋体" w:hAnsi="宋体" w:hint="eastAsia"/>
                    <w:color w:val="000000" w:themeColor="text1"/>
                  </w:rPr>
                  <w:t>1年以内</w:t>
                </w:r>
              </w:p>
              <w:p>
                <w:pPr>
                  <w:kinsoku w:val="0"/>
                  <w:overflowPunct w:val="0"/>
                  <w:jc w:val="center"/>
                  <w:rPr>
                    <w:rFonts w:ascii="宋体" w:hAnsi="宋体"/>
                    <w:color w:val="000000" w:themeColor="text1"/>
                  </w:rPr>
                </w:pPr>
                <w:r>
                  <w:rPr>
                    <w:rFonts w:ascii="宋体" w:hAnsi="宋体" w:hint="eastAsia"/>
                    <w:color w:val="000000" w:themeColor="text1"/>
                  </w:rPr>
                  <w:t>（含）</w:t>
                </w:r>
              </w:p>
            </w:sdtContent>
          </w:sdt>
        </w:tc>
        <w:sdt>
          <w:sdtPr>
            <w:rPr>
              <w:rFonts w:ascii="宋体" w:hAnsi="宋体"/>
              <w:sz w:val="20"/>
              <w:szCs w:val="20"/>
            </w:rPr>
            <w:tag w:val="_PLD_c4f7e6cef68e4e6287c88446b8f36439"/>
            <w:id w:val="1802188073"/>
          </w:sdtPr>
          <w:sdtContent>
            <w:tc>
              <w:tcPr>
                <w:tcW w:w="1477" w:type="dxa"/>
                <w:vAlign w:val="center"/>
              </w:tcPr>
              <w:p>
                <w:pPr>
                  <w:kinsoku w:val="0"/>
                  <w:overflowPunct w:val="0"/>
                  <w:jc w:val="center"/>
                  <w:rPr>
                    <w:rFonts w:ascii="宋体" w:hAnsi="宋体"/>
                    <w:color w:val="000000" w:themeColor="text1"/>
                  </w:rPr>
                </w:pPr>
                <w:r>
                  <w:rPr>
                    <w:rFonts w:ascii="宋体" w:hAnsi="宋体" w:hint="eastAsia"/>
                    <w:color w:val="000000" w:themeColor="text1"/>
                  </w:rPr>
                  <w:t>超过1年</w:t>
                </w:r>
              </w:p>
              <w:p>
                <w:pPr>
                  <w:kinsoku w:val="0"/>
                  <w:overflowPunct w:val="0"/>
                  <w:jc w:val="center"/>
                  <w:rPr>
                    <w:rFonts w:ascii="宋体" w:hAnsi="宋体"/>
                    <w:color w:val="000000" w:themeColor="text1"/>
                  </w:rPr>
                </w:pPr>
                <w:r>
                  <w:rPr>
                    <w:rFonts w:ascii="宋体" w:hAnsi="宋体" w:hint="eastAsia"/>
                    <w:color w:val="000000" w:themeColor="text1"/>
                  </w:rPr>
                  <w:t>（不含）</w:t>
                </w:r>
              </w:p>
            </w:tc>
          </w:sdtContent>
        </w:sdt>
        <w:tc>
          <w:tcPr>
            <w:tcW w:w="1478" w:type="dxa"/>
            <w:vMerge/>
            <w:vAlign w:val="center"/>
          </w:tcPr>
          <w:p>
            <w:pPr>
              <w:kinsoku w:val="0"/>
              <w:overflowPunct w:val="0"/>
              <w:jc w:val="center"/>
              <w:rPr>
                <w:rFonts w:ascii="宋体" w:hAnsi="宋体"/>
                <w:color w:val="000000" w:themeColor="text1"/>
              </w:rPr>
            </w:pPr>
          </w:p>
        </w:tc>
        <w:tc>
          <w:tcPr>
            <w:tcW w:w="1549" w:type="dxa"/>
            <w:vMerge/>
            <w:vAlign w:val="center"/>
          </w:tcPr>
          <w:p>
            <w:pPr>
              <w:kinsoku w:val="0"/>
              <w:overflowPunct w:val="0"/>
              <w:jc w:val="center"/>
              <w:rPr>
                <w:rFonts w:ascii="宋体" w:hAnsi="宋体"/>
                <w:color w:val="000000" w:themeColor="text1"/>
              </w:rPr>
            </w:pPr>
          </w:p>
        </w:tc>
      </w:tr>
      <w:tr>
        <w:tc>
          <w:tcPr>
            <w:tcW w:w="1681" w:type="dxa"/>
            <w:vAlign w:val="center"/>
          </w:tcPr>
          <w:p>
            <w:pPr>
              <w:kinsoku w:val="0"/>
              <w:overflowPunct w:val="0"/>
              <w:jc w:val="left"/>
              <w:rPr>
                <w:rFonts w:ascii="宋体" w:hAnsi="宋体"/>
                <w:color w:val="000000" w:themeColor="text1"/>
              </w:rPr>
            </w:pPr>
            <w:r>
              <w:rPr>
                <w:rFonts w:ascii="宋体" w:hAnsi="宋体" w:hint="eastAsia"/>
                <w:color w:val="000000" w:themeColor="text1"/>
              </w:rPr>
              <w:t>公司信用类债券</w:t>
            </w:r>
          </w:p>
        </w:tc>
        <w:tc>
          <w:tcPr>
            <w:tcW w:w="138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   </w:t>
            </w:r>
          </w:p>
        </w:tc>
        <w:tc>
          <w:tcPr>
            <w:tcW w:w="14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64.23 </w:t>
            </w:r>
          </w:p>
        </w:tc>
        <w:tc>
          <w:tcPr>
            <w:tcW w:w="14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229.64 </w:t>
            </w:r>
          </w:p>
        </w:tc>
        <w:tc>
          <w:tcPr>
            <w:tcW w:w="147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293.87 </w:t>
            </w:r>
          </w:p>
        </w:tc>
        <w:tc>
          <w:tcPr>
            <w:tcW w:w="154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19.89 </w:t>
            </w:r>
          </w:p>
        </w:tc>
      </w:tr>
      <w:tr>
        <w:tc>
          <w:tcPr>
            <w:tcW w:w="1681" w:type="dxa"/>
            <w:vAlign w:val="center"/>
          </w:tcPr>
          <w:p>
            <w:pPr>
              <w:kinsoku w:val="0"/>
              <w:overflowPunct w:val="0"/>
              <w:jc w:val="left"/>
              <w:rPr>
                <w:rFonts w:ascii="宋体" w:hAnsi="宋体"/>
                <w:color w:val="000000" w:themeColor="text1"/>
              </w:rPr>
            </w:pPr>
            <w:r>
              <w:rPr>
                <w:rFonts w:ascii="宋体" w:hAnsi="宋体" w:hint="eastAsia"/>
                <w:color w:val="000000" w:themeColor="text1"/>
              </w:rPr>
              <w:t>银行贷款</w:t>
            </w:r>
          </w:p>
        </w:tc>
        <w:tc>
          <w:tcPr>
            <w:tcW w:w="138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   </w:t>
            </w:r>
          </w:p>
        </w:tc>
        <w:tc>
          <w:tcPr>
            <w:tcW w:w="14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443.34 </w:t>
            </w:r>
          </w:p>
        </w:tc>
        <w:tc>
          <w:tcPr>
            <w:tcW w:w="14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571.00 </w:t>
            </w:r>
          </w:p>
        </w:tc>
        <w:tc>
          <w:tcPr>
            <w:tcW w:w="147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1,014.34 </w:t>
            </w:r>
          </w:p>
        </w:tc>
        <w:tc>
          <w:tcPr>
            <w:tcW w:w="154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68.64 </w:t>
            </w:r>
          </w:p>
        </w:tc>
      </w:tr>
      <w:tr>
        <w:tc>
          <w:tcPr>
            <w:tcW w:w="1681" w:type="dxa"/>
            <w:vAlign w:val="center"/>
          </w:tcPr>
          <w:p>
            <w:pPr>
              <w:kinsoku w:val="0"/>
              <w:overflowPunct w:val="0"/>
              <w:jc w:val="left"/>
              <w:rPr>
                <w:rFonts w:ascii="宋体" w:hAnsi="宋体"/>
                <w:color w:val="000000" w:themeColor="text1"/>
              </w:rPr>
            </w:pPr>
            <w:r>
              <w:rPr>
                <w:rFonts w:ascii="宋体" w:hAnsi="宋体" w:hint="eastAsia"/>
                <w:color w:val="000000" w:themeColor="text1"/>
              </w:rPr>
              <w:t>非银行金融机构贷款</w:t>
            </w:r>
          </w:p>
        </w:tc>
        <w:tc>
          <w:tcPr>
            <w:tcW w:w="138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   </w:t>
            </w:r>
          </w:p>
        </w:tc>
        <w:tc>
          <w:tcPr>
            <w:tcW w:w="14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2.42 </w:t>
            </w:r>
          </w:p>
        </w:tc>
        <w:tc>
          <w:tcPr>
            <w:tcW w:w="14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4.26 </w:t>
            </w:r>
          </w:p>
        </w:tc>
        <w:tc>
          <w:tcPr>
            <w:tcW w:w="147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6.68 </w:t>
            </w:r>
          </w:p>
        </w:tc>
        <w:tc>
          <w:tcPr>
            <w:tcW w:w="154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0.45 </w:t>
            </w:r>
          </w:p>
        </w:tc>
      </w:tr>
      <w:tr>
        <w:tc>
          <w:tcPr>
            <w:tcW w:w="1681" w:type="dxa"/>
            <w:vAlign w:val="center"/>
          </w:tcPr>
          <w:p>
            <w:pPr>
              <w:kinsoku w:val="0"/>
              <w:overflowPunct w:val="0"/>
              <w:jc w:val="left"/>
              <w:rPr>
                <w:rFonts w:ascii="宋体" w:hAnsi="宋体"/>
                <w:color w:val="000000" w:themeColor="text1"/>
              </w:rPr>
            </w:pPr>
            <w:r>
              <w:rPr>
                <w:rFonts w:ascii="宋体" w:hAnsi="宋体" w:hint="eastAsia"/>
                <w:color w:val="000000" w:themeColor="text1"/>
              </w:rPr>
              <w:t>其他有息债务</w:t>
            </w:r>
          </w:p>
        </w:tc>
        <w:tc>
          <w:tcPr>
            <w:tcW w:w="138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   </w:t>
            </w:r>
          </w:p>
        </w:tc>
        <w:tc>
          <w:tcPr>
            <w:tcW w:w="14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w:t>
            </w:r>
          </w:p>
        </w:tc>
        <w:tc>
          <w:tcPr>
            <w:tcW w:w="14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162.87 </w:t>
            </w:r>
          </w:p>
        </w:tc>
        <w:tc>
          <w:tcPr>
            <w:tcW w:w="147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162.87 </w:t>
            </w:r>
          </w:p>
        </w:tc>
        <w:tc>
          <w:tcPr>
            <w:tcW w:w="154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11.02 </w:t>
            </w:r>
          </w:p>
        </w:tc>
      </w:tr>
      <w:tr>
        <w:tc>
          <w:tcPr>
            <w:tcW w:w="1681" w:type="dxa"/>
            <w:vAlign w:val="center"/>
          </w:tcPr>
          <w:p>
            <w:pPr>
              <w:kinsoku w:val="0"/>
              <w:overflowPunct w:val="0"/>
              <w:jc w:val="center"/>
              <w:rPr>
                <w:rFonts w:ascii="宋体" w:hAnsi="宋体"/>
                <w:color w:val="000000" w:themeColor="text1"/>
              </w:rPr>
            </w:pPr>
            <w:r>
              <w:rPr>
                <w:rFonts w:ascii="宋体" w:hAnsi="宋体" w:hint="eastAsia"/>
                <w:color w:val="000000" w:themeColor="text1"/>
              </w:rPr>
              <w:t>合计</w:t>
            </w:r>
          </w:p>
        </w:tc>
        <w:tc>
          <w:tcPr>
            <w:tcW w:w="138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   </w:t>
            </w:r>
          </w:p>
        </w:tc>
        <w:tc>
          <w:tcPr>
            <w:tcW w:w="14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509.99 </w:t>
            </w:r>
          </w:p>
        </w:tc>
        <w:tc>
          <w:tcPr>
            <w:tcW w:w="14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967.77 </w:t>
            </w:r>
          </w:p>
        </w:tc>
        <w:tc>
          <w:tcPr>
            <w:tcW w:w="147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1,477.76 </w:t>
            </w:r>
          </w:p>
        </w:tc>
        <w:tc>
          <w:tcPr>
            <w:tcW w:w="154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 xml:space="preserve">- </w:t>
            </w:r>
          </w:p>
        </w:tc>
      </w:tr>
    </w:tbl>
    <w:p>
      <w:pPr>
        <w:pStyle w:val="Style49"/>
        <w:rPr>
          <w:rFonts w:ascii="宋体" w:hAnsi="宋体"/>
        </w:rPr>
      </w:pPr>
    </w:p>
    <w:p>
      <w:pPr>
        <w:ind w:firstLineChars="250" w:firstLine="525"/>
        <w:rPr>
          <w:rFonts w:ascii="宋体" w:hAnsi="宋体"/>
          <w:color w:val="000000" w:themeColor="text1"/>
        </w:rPr>
      </w:pPr>
      <w:r>
        <w:rPr>
          <w:rFonts w:ascii="宋体" w:hAnsi="宋体" w:hint="eastAsia"/>
          <w:color w:val="000000" w:themeColor="text1"/>
        </w:rPr>
        <w:t>报告期末，公司合并口径存续的公司信用类债券中，公司债券余额</w:t>
      </w:r>
      <w:sdt>
        <w:sdtPr>
          <w:rPr>
            <w:rFonts w:ascii="宋体" w:hAnsi="宋体" w:hint="eastAsia"/>
            <w:color w:val="000000" w:themeColor="text1"/>
          </w:rPr>
          <w:alias w:val="公司信用类债券中公司债券余额"/>
          <w:tag w:val="_GBC_eb11fab5555640daafc9128455762cf0"/>
          <w:id w:val="-1217888303"/>
          <w:placeholder>
            <w:docPart w:val="GBC22222222222222222222222222222"/>
          </w:placeholder>
        </w:sdtPr>
        <w:sdtContent>
          <w:r>
            <w:rPr>
              <w:rFonts w:ascii="宋体" w:hAnsi="宋体"/>
              <w:color w:val="000000" w:themeColor="text1"/>
            </w:rPr>
            <w:t>243.47</w:t>
          </w:r>
        </w:sdtContent>
      </w:sdt>
      <w:sdt>
        <w:sdtPr>
          <w:rPr>
            <w:rFonts w:ascii="宋体" w:hAnsi="宋体" w:hint="eastAsia"/>
            <w:color w:val="000000" w:themeColor="text1"/>
          </w:rPr>
          <w:alias w:val="单位：有息债务"/>
          <w:tag w:val="_GBC_a3deb61d2a84444e973cdf6fed4aa266"/>
          <w:id w:val="-1036197951"/>
          <w:placeholder>
            <w:docPart w:val="GBC22222222222222222222222222222"/>
          </w:placeholder>
          <w:dataBinding w:prefixMappings="xmlns:bond='bond'" w:xpath="/*/bond:DanWe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，企业债券余额</w:t>
      </w:r>
      <w:sdt>
        <w:sdtPr>
          <w:rPr>
            <w:rFonts w:ascii="宋体" w:hAnsi="宋体" w:hint="eastAsia"/>
            <w:color w:val="000000" w:themeColor="text1"/>
          </w:rPr>
          <w:alias w:val="公司信用类债券中企业债券余额"/>
          <w:tag w:val="_GBC_58573a4a0d474e54b03ea8b97631ec16"/>
          <w:id w:val="1650477525"/>
          <w:placeholder>
            <w:docPart w:val="GBC22222222222222222222222222222"/>
          </w:placeholder>
        </w:sdtPr>
        <w:sdtContent>
          <w:r>
            <w:rPr>
              <w:rFonts w:ascii="宋体" w:hAnsi="宋体"/>
              <w:color w:val="000000" w:themeColor="text1"/>
            </w:rPr>
            <w:t>0</w:t>
          </w:r>
        </w:sdtContent>
      </w:sdt>
      <w:sdt>
        <w:sdtPr>
          <w:rPr>
            <w:rFonts w:ascii="宋体" w:hAnsi="宋体" w:hint="eastAsia"/>
            <w:color w:val="000000" w:themeColor="text1"/>
          </w:rPr>
          <w:alias w:val="单位：有息债务"/>
          <w:tag w:val="_GBC_669d6c44262a4bd1b65c387737a81590"/>
          <w:id w:val="-1154445338"/>
          <w:placeholder>
            <w:docPart w:val="GBC22222222222222222222222222222"/>
          </w:placeholder>
          <w:dataBinding w:prefixMappings="xmlns:bond='bond'" w:xpath="/*/bond:DanWe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，非金融企业债务融资工具余额</w:t>
      </w:r>
      <w:sdt>
        <w:sdtPr>
          <w:rPr>
            <w:rFonts w:ascii="宋体" w:hAnsi="宋体" w:hint="eastAsia"/>
            <w:color w:val="000000" w:themeColor="text1"/>
          </w:rPr>
          <w:alias w:val="公司信用类债券中非金融企业债务融资工具余额"/>
          <w:tag w:val="_GBC_eafcf1d33a824738aff2c38021be5b16"/>
          <w:id w:val="-702629826"/>
          <w:placeholder>
            <w:docPart w:val="GBC22222222222222222222222222222"/>
          </w:placeholder>
        </w:sdtPr>
        <w:sdtContent>
          <w:r>
            <w:rPr>
              <w:rFonts w:ascii="宋体" w:hAnsi="宋体"/>
              <w:color w:val="000000" w:themeColor="text1"/>
            </w:rPr>
            <w:t>50.40</w:t>
          </w:r>
        </w:sdtContent>
      </w:sdt>
      <w:sdt>
        <w:sdtPr>
          <w:rPr>
            <w:rFonts w:ascii="宋体" w:hAnsi="宋体" w:hint="eastAsia"/>
            <w:color w:val="000000" w:themeColor="text1"/>
          </w:rPr>
          <w:alias w:val="单位：有息债务"/>
          <w:tag w:val="_GBC_29cf0ee4f7964c0996853553ecae48da"/>
          <w:id w:val="2058732211"/>
          <w:placeholder>
            <w:docPart w:val="GBC22222222222222222222222222222"/>
          </w:placeholder>
          <w:dataBinding w:prefixMappings="xmlns:bond='bond'" w:xpath="/*/bond:DanWeiYouXiZhaiWu[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w:t>
      </w:r>
    </w:p>
    <w:p>
      <w:pPr>
        <w:rPr>
          <w:color w:val="000000" w:themeColor="text1"/>
        </w:rPr>
      </w:pPr>
    </w:p>
    <w:p>
      <w:pPr>
        <w:pStyle w:val="6"/>
        <w:numPr>
          <w:ilvl w:val="0"/>
          <w:numId w:val="64"/>
        </w:numPr>
        <w:tabs>
          <w:tab w:val="left" w:pos="360"/>
        </w:tabs>
        <w:rPr>
          <w:rFonts w:ascii="宋体" w:hAnsi="宋体"/>
        </w:rPr>
      </w:pPr>
      <w:bookmarkStart w:id="328" w:name="_Hlk213674860"/>
      <w:bookmarkEnd w:id="327"/>
      <w:r>
        <w:rPr>
          <w:rFonts w:ascii="宋体" w:hAnsi="宋体" w:hint="eastAsia"/>
        </w:rPr>
        <w:t>境外债券情况</w:t>
      </w:r>
    </w:p>
    <w:p>
      <w:pPr>
        <w:ind w:firstLineChars="200" w:firstLine="420"/>
      </w:pPr>
      <w:bookmarkStart w:id="329" w:name="_Hlk200703962"/>
      <w:r>
        <w:rPr>
          <w:rFonts w:hint="eastAsia"/>
          <w:color w:val="000000" w:themeColor="text1"/>
        </w:rPr>
        <w:t>不适用。</w:t>
      </w:r>
    </w:p>
    <w:p>
      <w:pPr>
        <w:rPr>
          <w:color w:val="000000" w:themeColor="text1"/>
        </w:rPr>
      </w:pPr>
    </w:p>
    <w:bookmarkEnd w:id="328"/>
    <w:bookmarkEnd w:id="329"/>
    <w:p>
      <w:pPr>
        <w:pStyle w:val="5"/>
        <w:numPr>
          <w:ilvl w:val="0"/>
          <w:numId w:val="63"/>
        </w:numPr>
        <w:ind w:leftChars="0"/>
        <w:rPr>
          <w:color w:val="000000" w:themeColor="text1"/>
        </w:rPr>
      </w:pPr>
      <w:r>
        <w:rPr>
          <w:rFonts w:hint="eastAsia"/>
          <w:color w:val="000000" w:themeColor="text1"/>
        </w:rPr>
        <w:t>报告期末公司及其子公司存在逾期金额超过</w:t>
      </w:r>
      <w:r>
        <w:rPr>
          <w:rFonts w:hint="eastAsia"/>
          <w:color w:val="000000" w:themeColor="text1"/>
        </w:rPr>
        <w:t>1000</w:t>
      </w:r>
      <w:r>
        <w:rPr>
          <w:rFonts w:hint="eastAsia"/>
          <w:color w:val="000000" w:themeColor="text1"/>
        </w:rPr>
        <w:t>万元的有息债务或者公司信用类债券逾期情况</w:t>
      </w:r>
    </w:p>
    <w:sdt>
      <w:sdtPr>
        <w:rPr>
          <w:color w:val="000000" w:themeColor="text1"/>
        </w:rPr>
        <w:alias w:val="是否适用：逾期金额较大的有息债务或者公司信用类债券逾期[双击切换]"/>
        <w:tag w:val="_GBC_7696b3783d984d6292dce6a1d9f48c8d"/>
        <w:id w:val="-995333728"/>
        <w:placeholder>
          <w:docPart w:val="GBC22222222222222222222222222222"/>
        </w:placeholder>
      </w:sdtPr>
      <w:sdtContent>
        <w:p>
          <w:pPr>
            <w:kinsoku w:val="0"/>
            <w:overflowPunct w:val="0"/>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kinsoku w:val="0"/>
        <w:overflowPunct w:val="0"/>
        <w:rPr>
          <w:color w:val="000000" w:themeColor="text1"/>
        </w:rPr>
      </w:pPr>
    </w:p>
    <w:p>
      <w:pPr>
        <w:pStyle w:val="5"/>
        <w:numPr>
          <w:ilvl w:val="0"/>
          <w:numId w:val="63"/>
        </w:numPr>
        <w:ind w:leftChars="0"/>
        <w:rPr>
          <w:color w:val="000000" w:themeColor="text1"/>
        </w:rPr>
      </w:pPr>
      <w:r>
        <w:rPr>
          <w:rFonts w:hint="eastAsia"/>
          <w:color w:val="000000" w:themeColor="text1"/>
        </w:rPr>
        <w:t>可对抗第三人的优先偿付负债情况</w:t>
      </w:r>
    </w:p>
    <w:p>
      <w:pPr>
        <w:spacing w:beforeLines="50" w:before="120" w:afterLines="50" w:after="120"/>
        <w:rPr>
          <w:color w:val="000000" w:themeColor="text1"/>
        </w:rPr>
      </w:pPr>
      <w:r>
        <w:rPr>
          <w:color w:val="000000" w:themeColor="text1"/>
        </w:rPr>
        <w:t>截至报告期末</w:t>
      </w:r>
      <w:r>
        <w:rPr>
          <w:rFonts w:hint="eastAsia"/>
          <w:color w:val="000000" w:themeColor="text1"/>
        </w:rPr>
        <w:t>，公司合并报表范围内存在</w:t>
      </w:r>
      <w:r>
        <w:rPr>
          <w:color w:val="000000" w:themeColor="text1"/>
        </w:rPr>
        <w:t>可对抗第三人的优先偿付负债</w:t>
      </w:r>
      <w:r>
        <w:rPr>
          <w:rFonts w:hint="eastAsia"/>
          <w:color w:val="000000" w:themeColor="text1"/>
        </w:rPr>
        <w:t>：</w:t>
      </w:r>
    </w:p>
    <w:sdt>
      <w:sdtPr>
        <w:rPr>
          <w:rFonts w:hint="eastAsia"/>
          <w:color w:val="000000" w:themeColor="text1"/>
        </w:rPr>
        <w:alias w:val="是否适用：可对抗第三人的优先偿付负债情况[双击切换]"/>
        <w:tag w:val="_GBC_2bc44d07a9734f1cb6730a343a3126dc"/>
        <w:id w:val="1870101878"/>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321"/>
    <w:bookmarkEnd w:id="324"/>
    <w:p>
      <w:pPr>
        <w:rPr>
          <w:color w:val="000000" w:themeColor="text1"/>
        </w:rPr>
      </w:pPr>
    </w:p>
    <w:p>
      <w:pPr>
        <w:pStyle w:val="4"/>
        <w:rPr>
          <w:color w:val="000000"/>
        </w:rPr>
      </w:pPr>
      <w:bookmarkStart w:id="330" w:name="_Toc206407312"/>
      <w:bookmarkStart w:id="331" w:name="_Hlk217392006"/>
      <w:r>
        <w:rPr>
          <w:rFonts w:hint="eastAsia"/>
          <w:color w:val="000000"/>
        </w:rPr>
        <w:t>报告期内信息披露事务管理制度变更情况</w:t>
      </w:r>
      <w:bookmarkEnd w:id="330"/>
    </w:p>
    <w:p>
      <w:pPr>
        <w:kinsoku w:val="0"/>
        <w:overflowPunct w:val="0"/>
        <w:rPr>
          <w:color w:val="000000"/>
        </w:rPr>
      </w:pPr>
      <w:sdt>
        <w:sdtPr>
          <w:rPr>
            <w:rFonts w:ascii="宋体" w:hAnsi="宋体"/>
            <w:color w:val="000000"/>
          </w:rPr>
          <w:alias w:val="报告期内信息披露事务管理制度变更情况是否发生变更"/>
          <w:tag w:val="_GBC_701b50cc68c34af0990a3442b676217e"/>
          <w:id w:val="-2140801646"/>
          <w:placeholder>
            <w:docPart w:val="GBC22222222222222222222222222222"/>
          </w:placeholder>
        </w:sdtPr>
        <w:sdtContent>
          <w:r>
            <w:rPr>
              <w:rFonts w:ascii="宋体" w:hAnsi="宋体" w:hint="eastAsia"/>
              <w:color w:val="000000"/>
            </w:rPr>
            <w:fldChar w:fldCharType="begin"/>
          </w:r>
          <w:r>
            <w:rPr>
              <w:rFonts w:ascii="宋体" w:hAnsi="宋体"/>
              <w:color w:val="000000"/>
            </w:rPr>
            <w:instrText xml:space="preserve"> MACROBUTTON  SnrToggleCheckbox □发生变更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√未发生变更 </w:instrText>
          </w:r>
          <w:r>
            <w:rPr>
              <w:rFonts w:ascii="宋体" w:hAnsi="宋体" w:hint="eastAsia"/>
              <w:color w:val="000000"/>
            </w:rPr>
            <w:fldChar w:fldCharType="end"/>
          </w:r>
        </w:sdtContent>
      </w:sdt>
    </w:p>
    <w:p>
      <w:pPr>
        <w:rPr>
          <w:color w:val="000000"/>
        </w:rPr>
        <w:sectPr>
          <w:pgSz w:w="11906" w:h="16838"/>
          <w:pgMar w:top="1525" w:right="1276" w:bottom="1440" w:left="1797" w:header="856" w:footer="992" w:gutter="0"/>
          <w:cols w:space="425"/>
          <w:docGrid w:linePitch="312"/>
        </w:sectPr>
      </w:pPr>
    </w:p>
    <w:p>
      <w:pPr>
        <w:pStyle w:val="3"/>
        <w:numPr>
          <w:ilvl w:val="0"/>
          <w:numId w:val="58"/>
        </w:numPr>
        <w:rPr>
          <w:rFonts w:ascii="宋体" w:hAnsi="宋体"/>
        </w:rPr>
      </w:pPr>
      <w:bookmarkStart w:id="332" w:name="_Hlk183693661"/>
      <w:bookmarkEnd w:id="331"/>
      <w:r>
        <w:rPr>
          <w:rFonts w:ascii="宋体" w:hAnsi="宋体" w:hint="eastAsia"/>
        </w:rPr>
        <w:lastRenderedPageBreak/>
        <w:t>银行间债券市场非金融企业债务融资工具</w:t>
      </w:r>
    </w:p>
    <w:sdt>
      <w:sdtPr>
        <w:rPr>
          <w:rFonts w:hint="eastAsia"/>
        </w:rPr>
        <w:alias w:val="是否适用：银行间债券市场非金融企业债务融资工具相关情况[双击切换]"/>
        <w:tag w:val="_GBC_068331f902934673bb4e09fc277065e0"/>
        <w:id w:val="1407268509"/>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4"/>
        <w:numPr>
          <w:ilvl w:val="0"/>
          <w:numId w:val="65"/>
        </w:numPr>
        <w:rPr>
          <w:rFonts w:ascii="宋体" w:hAnsi="宋体" w:cs="宋体"/>
          <w:kern w:val="0"/>
          <w:szCs w:val="24"/>
        </w:rPr>
      </w:pPr>
      <w:r>
        <w:rPr>
          <w:rFonts w:ascii="宋体" w:hAnsi="宋体" w:cs="宋体"/>
          <w:kern w:val="0"/>
          <w:szCs w:val="24"/>
        </w:rPr>
        <w:t>非金融企业债务融资工具</w:t>
      </w:r>
      <w:r>
        <w:rPr>
          <w:rFonts w:ascii="宋体" w:hAnsi="宋体" w:cs="宋体" w:hint="eastAsia"/>
          <w:kern w:val="0"/>
          <w:szCs w:val="24"/>
        </w:rPr>
        <w:t>基本情况</w:t>
      </w:r>
    </w:p>
    <w:p>
      <w:pPr>
        <w:jc w:val="right"/>
      </w:pPr>
      <w:r>
        <w:rPr>
          <w:rFonts w:hint="eastAsia"/>
        </w:rPr>
        <w:t>单位</w:t>
      </w:r>
      <w:r>
        <w:t>：</w:t>
      </w:r>
      <w:sdt>
        <w:sdtPr>
          <w:alias w:val="单位：财务附注：公司债券基本情况"/>
          <w:tag w:val="_GBC_292a3db6e6ac482b829963a2797f2d54"/>
          <w:id w:val="-20835836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亿元</w:t>
          </w:r>
        </w:sdtContent>
      </w:sdt>
      <w:r>
        <w:rPr>
          <w:rFonts w:hint="eastAsia"/>
        </w:rPr>
        <w:t xml:space="preserve">  </w:t>
      </w:r>
      <w:r>
        <w:rPr>
          <w:rFonts w:hint="eastAsia"/>
        </w:rPr>
        <w:t>币种</w:t>
      </w:r>
      <w:r>
        <w:t>：</w:t>
      </w:r>
      <w:sdt>
        <w:sdtPr>
          <w:alias w:val="币种：财务附注：公司债券基本情况"/>
          <w:tag w:val="_GBC_82350e81d1d945d8a0bd5b070aca64ca"/>
          <w:id w:val="-17194267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Style63"/>
        <w:tblW w:w="1587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276"/>
        <w:gridCol w:w="1373"/>
        <w:gridCol w:w="1320"/>
        <w:gridCol w:w="1276"/>
        <w:gridCol w:w="708"/>
        <w:gridCol w:w="851"/>
        <w:gridCol w:w="1559"/>
        <w:gridCol w:w="702"/>
        <w:gridCol w:w="1283"/>
        <w:gridCol w:w="1275"/>
        <w:gridCol w:w="993"/>
      </w:tblGrid>
      <w:tr>
        <w:trPr>
          <w:jc w:val="center"/>
        </w:trPr>
        <w:sdt>
          <w:sdtPr>
            <w:tag w:val="_PLD_cdd0adccd63749bba89a27a885ec8287"/>
            <w:id w:val="-1578817700"/>
          </w:sdtPr>
          <w:sdtContent>
            <w:tc>
              <w:tcPr>
                <w:tcW w:w="1843" w:type="dxa"/>
                <w:vAlign w:val="center"/>
              </w:tcPr>
              <w:p>
                <w:pPr>
                  <w:widowControl w:val="0"/>
                  <w:jc w:val="center"/>
                  <w:rPr>
                    <w:b/>
                    <w:bCs/>
                    <w:kern w:val="2"/>
                  </w:rPr>
                </w:pPr>
                <w:r>
                  <w:rPr>
                    <w:rFonts w:hint="eastAsia"/>
                  </w:rPr>
                  <w:t>债券名称</w:t>
                </w:r>
              </w:p>
            </w:tc>
          </w:sdtContent>
        </w:sdt>
        <w:sdt>
          <w:sdtPr>
            <w:tag w:val="_PLD_cde490b92f994c5297295379ca6990fb"/>
            <w:id w:val="1127120764"/>
          </w:sdtPr>
          <w:sdtContent>
            <w:tc>
              <w:tcPr>
                <w:tcW w:w="1418" w:type="dxa"/>
                <w:vAlign w:val="center"/>
              </w:tcPr>
              <w:p>
                <w:pPr>
                  <w:widowControl w:val="0"/>
                  <w:jc w:val="center"/>
                </w:pPr>
                <w:r>
                  <w:rPr>
                    <w:rFonts w:hint="eastAsia"/>
                  </w:rPr>
                  <w:t>简称</w:t>
                </w:r>
              </w:p>
            </w:tc>
          </w:sdtContent>
        </w:sdt>
        <w:sdt>
          <w:sdtPr>
            <w:tag w:val="_PLD_25272220cd4a45aa84ed1b9fe548c2dd"/>
            <w:id w:val="265662554"/>
          </w:sdtPr>
          <w:sdtContent>
            <w:tc>
              <w:tcPr>
                <w:tcW w:w="1276" w:type="dxa"/>
                <w:vAlign w:val="center"/>
              </w:tcPr>
              <w:p>
                <w:pPr>
                  <w:widowControl w:val="0"/>
                  <w:jc w:val="center"/>
                </w:pPr>
                <w:r>
                  <w:rPr>
                    <w:rFonts w:hint="eastAsia"/>
                  </w:rPr>
                  <w:t>代码</w:t>
                </w:r>
              </w:p>
            </w:tc>
          </w:sdtContent>
        </w:sdt>
        <w:sdt>
          <w:sdtPr>
            <w:tag w:val="_PLD_530d277f6e8d4e6694ae971b4469a6e5"/>
            <w:id w:val="-943227642"/>
          </w:sdtPr>
          <w:sdtContent>
            <w:tc>
              <w:tcPr>
                <w:tcW w:w="1373" w:type="dxa"/>
                <w:vAlign w:val="center"/>
              </w:tcPr>
              <w:p>
                <w:pPr>
                  <w:widowControl w:val="0"/>
                  <w:jc w:val="center"/>
                </w:pPr>
                <w:r>
                  <w:rPr>
                    <w:rFonts w:hint="eastAsia"/>
                  </w:rPr>
                  <w:t>发行日</w:t>
                </w:r>
              </w:p>
            </w:tc>
          </w:sdtContent>
        </w:sdt>
        <w:tc>
          <w:tcPr>
            <w:tcW w:w="1320" w:type="dxa"/>
            <w:vAlign w:val="center"/>
          </w:tcPr>
          <w:sdt>
            <w:sdtPr>
              <w:tag w:val="_PLD_614b03bdf70743299e27b9dba05da3ae"/>
              <w:id w:val="-1347707288"/>
            </w:sdtPr>
            <w:sdtContent>
              <w:p>
                <w:pPr>
                  <w:widowControl w:val="0"/>
                  <w:jc w:val="center"/>
                </w:pPr>
                <w:r>
                  <w:rPr>
                    <w:rFonts w:hint="eastAsia"/>
                  </w:rPr>
                  <w:t>起息日</w:t>
                </w:r>
              </w:p>
            </w:sdtContent>
          </w:sdt>
        </w:tc>
        <w:sdt>
          <w:sdtPr>
            <w:tag w:val="_PLD_aba99328f1714f189df5afab657be604"/>
            <w:id w:val="1678465048"/>
          </w:sdtPr>
          <w:sdtContent>
            <w:tc>
              <w:tcPr>
                <w:tcW w:w="1276" w:type="dxa"/>
                <w:vAlign w:val="center"/>
              </w:tcPr>
              <w:p>
                <w:pPr>
                  <w:widowControl w:val="0"/>
                  <w:jc w:val="center"/>
                </w:pPr>
                <w:r>
                  <w:rPr>
                    <w:rFonts w:hint="eastAsia"/>
                  </w:rPr>
                  <w:t>到期日</w:t>
                </w:r>
              </w:p>
            </w:tc>
          </w:sdtContent>
        </w:sdt>
        <w:sdt>
          <w:sdtPr>
            <w:tag w:val="_PLD_732f45f4de0a4974ab72c3a5d9e71f02"/>
            <w:id w:val="-527944450"/>
          </w:sdtPr>
          <w:sdtContent>
            <w:tc>
              <w:tcPr>
                <w:tcW w:w="708" w:type="dxa"/>
                <w:vAlign w:val="center"/>
              </w:tcPr>
              <w:p>
                <w:pPr>
                  <w:widowControl w:val="0"/>
                  <w:jc w:val="center"/>
                </w:pPr>
                <w:r>
                  <w:rPr>
                    <w:rFonts w:hint="eastAsia"/>
                  </w:rPr>
                  <w:t>债券余额</w:t>
                </w:r>
              </w:p>
            </w:tc>
          </w:sdtContent>
        </w:sdt>
        <w:sdt>
          <w:sdtPr>
            <w:tag w:val="_PLD_7b94b8b6fb2c437c9141b26b95af94b8"/>
            <w:id w:val="845053424"/>
          </w:sdtPr>
          <w:sdtContent>
            <w:tc>
              <w:tcPr>
                <w:tcW w:w="851" w:type="dxa"/>
                <w:vAlign w:val="center"/>
              </w:tcPr>
              <w:p>
                <w:pPr>
                  <w:widowControl w:val="0"/>
                  <w:jc w:val="center"/>
                </w:pPr>
                <w:r>
                  <w:rPr>
                    <w:rFonts w:hint="eastAsia"/>
                  </w:rPr>
                  <w:t>利率（</w:t>
                </w:r>
                <w:r>
                  <w:rPr>
                    <w:rFonts w:hint="eastAsia"/>
                  </w:rPr>
                  <w:t>%</w:t>
                </w:r>
                <w:r>
                  <w:rPr>
                    <w:rFonts w:hint="eastAsia"/>
                  </w:rPr>
                  <w:t>）</w:t>
                </w:r>
              </w:p>
            </w:tc>
          </w:sdtContent>
        </w:sdt>
        <w:sdt>
          <w:sdtPr>
            <w:tag w:val="_PLD_caf6f36467b146a4a23dcdc9c74b3c68"/>
            <w:id w:val="-1134249967"/>
          </w:sdtPr>
          <w:sdtContent>
            <w:tc>
              <w:tcPr>
                <w:tcW w:w="1559" w:type="dxa"/>
                <w:vAlign w:val="center"/>
              </w:tcPr>
              <w:p>
                <w:pPr>
                  <w:widowControl w:val="0"/>
                  <w:jc w:val="center"/>
                </w:pPr>
                <w:r>
                  <w:rPr>
                    <w:rFonts w:hint="eastAsia"/>
                  </w:rPr>
                  <w:t>还本付息方式</w:t>
                </w:r>
              </w:p>
            </w:tc>
          </w:sdtContent>
        </w:sdt>
        <w:sdt>
          <w:sdtPr>
            <w:tag w:val="_PLD_11be763676574e4aa15e9e73e247b7bc"/>
            <w:id w:val="-886572057"/>
          </w:sdtPr>
          <w:sdtContent>
            <w:tc>
              <w:tcPr>
                <w:tcW w:w="702" w:type="dxa"/>
                <w:vAlign w:val="center"/>
              </w:tcPr>
              <w:p>
                <w:pPr>
                  <w:widowControl w:val="0"/>
                  <w:jc w:val="center"/>
                </w:pPr>
                <w:r>
                  <w:rPr>
                    <w:rFonts w:hint="eastAsia"/>
                  </w:rPr>
                  <w:t>交易场所</w:t>
                </w:r>
              </w:p>
            </w:tc>
          </w:sdtContent>
        </w:sdt>
        <w:sdt>
          <w:sdtPr>
            <w:tag w:val="_PLD_a92a7c8d9dbb4768bc68c2072d06c8de"/>
            <w:id w:val="1321157608"/>
          </w:sdtPr>
          <w:sdtContent>
            <w:tc>
              <w:tcPr>
                <w:tcW w:w="1283" w:type="dxa"/>
                <w:vAlign w:val="center"/>
              </w:tcPr>
              <w:p>
                <w:pPr>
                  <w:widowControl w:val="0"/>
                  <w:jc w:val="center"/>
                </w:pPr>
                <w:r>
                  <w:rPr>
                    <w:rFonts w:hint="eastAsia"/>
                  </w:rPr>
                  <w:t>投资者适当性安排（如有）</w:t>
                </w:r>
              </w:p>
            </w:tc>
          </w:sdtContent>
        </w:sdt>
        <w:tc>
          <w:tcPr>
            <w:tcW w:w="1275" w:type="dxa"/>
            <w:vAlign w:val="center"/>
          </w:tcPr>
          <w:sdt>
            <w:sdtPr>
              <w:tag w:val="_PLD_9821e63635b24704a2e650e3e907193d"/>
              <w:id w:val="1997615214"/>
            </w:sdtPr>
            <w:sdtContent>
              <w:p>
                <w:pPr>
                  <w:widowControl w:val="0"/>
                  <w:jc w:val="center"/>
                </w:pPr>
                <w:r>
                  <w:rPr>
                    <w:rFonts w:hint="eastAsia"/>
                  </w:rPr>
                  <w:t>交易机制</w:t>
                </w:r>
              </w:p>
            </w:sdtContent>
          </w:sdt>
        </w:tc>
        <w:sdt>
          <w:sdtPr>
            <w:tag w:val="_PLD_93175a30f2d045a49c4c9b0f4a8fce07"/>
            <w:id w:val="891627343"/>
          </w:sdtPr>
          <w:sdtContent>
            <w:tc>
              <w:tcPr>
                <w:tcW w:w="993" w:type="dxa"/>
                <w:vAlign w:val="center"/>
              </w:tcPr>
              <w:p>
                <w:pPr>
                  <w:widowControl w:val="0"/>
                  <w:jc w:val="center"/>
                </w:pPr>
                <w:r>
                  <w:rPr>
                    <w:rFonts w:hint="eastAsia"/>
                  </w:rPr>
                  <w:t>是否存在终止上市交易的风险</w:t>
                </w:r>
              </w:p>
            </w:tc>
          </w:sdtContent>
        </w:sdt>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2021年度第一期中期票据</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21兖州煤业MTN001</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102101379</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2021/07/22</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2021/07/26</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2026/07/26</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hint="eastAsia"/>
              </w:rPr>
              <w:t>20</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hint="eastAsia"/>
              </w:rPr>
              <w:t>3.80</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cs="宋体"/>
              </w:rPr>
            </w:pPr>
            <w:r>
              <w:rPr>
                <w:rFonts w:ascii="宋体" w:hAnsi="宋体" w:hint="eastAsia"/>
              </w:rPr>
              <w:t>全国银行间债券市场流通转让</w:t>
            </w:r>
          </w:p>
        </w:tc>
        <w:sdt>
          <w:sdtPr>
            <w:alias w:val="公司债券基本情况明细_是否存在终止上市交易的风险 "/>
            <w:tag w:val="_GBC_bd3693a6c2914f90a08447cefd06e642"/>
            <w:id w:val="1473245652"/>
            <w:comboBox>
              <w:listItem w:displayText="是" w:value="是"/>
              <w:listItem w:displayText="否" w:value="否"/>
            </w:comboBox>
          </w:sdtPr>
          <w:sdtContent>
            <w:tc>
              <w:tcPr>
                <w:tcW w:w="993" w:type="dxa"/>
                <w:vAlign w:val="center"/>
              </w:tcPr>
              <w:p>
                <w:pPr>
                  <w:widowControl w:val="0"/>
                  <w:jc w:val="both"/>
                </w:pPr>
                <w:r>
                  <w:t>否</w:t>
                </w:r>
              </w:p>
            </w:tc>
          </w:sdtContent>
        </w:sdt>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2022年度第一期中期票据(品种二)</w:t>
            </w:r>
            <w:r>
              <w:rPr>
                <w:rFonts w:ascii="宋体" w:hAnsi="宋体" w:cstheme="minorBidi" w:hint="eastAsia"/>
                <w:kern w:val="2"/>
                <w:szCs w:val="24"/>
                <w:vertAlign w:val="superscript"/>
                <w:lang w:bidi="ar"/>
              </w:rPr>
              <w:t>①</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22兖矿能源MTN001B</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102281099</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2022/05/18</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2022/05/20</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2027/05/20</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5</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Arial"/>
                <w:color w:val="333333"/>
                <w:szCs w:val="22"/>
                <w:shd w:val="clear" w:color="auto" w:fill="FFFFFF"/>
              </w:rPr>
            </w:pPr>
            <w:r>
              <w:rPr>
                <w:rFonts w:ascii="宋体" w:hAnsi="宋体" w:hint="eastAsia"/>
              </w:rPr>
              <w:t>3.71</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全国银行间债券市场流通转让</w:t>
            </w:r>
          </w:p>
        </w:tc>
        <w:tc>
          <w:tcPr>
            <w:tcW w:w="993" w:type="dxa"/>
            <w:vAlign w:val="center"/>
          </w:tcPr>
          <w:p>
            <w:pPr>
              <w:widowControl w:val="0"/>
              <w:jc w:val="both"/>
            </w:pPr>
            <w:r>
              <w:rPr>
                <w:rFonts w:hint="eastAsia"/>
              </w:rPr>
              <w:t>否</w:t>
            </w:r>
          </w:p>
        </w:tc>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2024年度第一期中期票据(科创票据)</w:t>
            </w:r>
            <w:r>
              <w:rPr>
                <w:rFonts w:ascii="宋体" w:hAnsi="宋体" w:cstheme="minorBidi" w:hint="eastAsia"/>
                <w:kern w:val="2"/>
                <w:szCs w:val="24"/>
                <w:vertAlign w:val="superscript"/>
                <w:lang w:bidi="ar"/>
              </w:rPr>
              <w:t>②</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24兖矿能源MTN001(科创票据)</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102480413</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2024/01/31</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2024/02/02</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zCs w:val="22"/>
                <w:shd w:val="clear" w:color="auto" w:fill="FFFFFF"/>
              </w:rPr>
            </w:pPr>
            <w:r>
              <w:rPr>
                <w:rFonts w:ascii="宋体" w:hAnsi="宋体" w:cs="Arial" w:hint="eastAsia"/>
                <w:color w:val="333333"/>
                <w:shd w:val="clear" w:color="auto" w:fill="FFFFFF"/>
              </w:rPr>
              <w:t>2027/02/02</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30</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2.85</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全国银行间债券市场流通转让</w:t>
            </w:r>
          </w:p>
        </w:tc>
        <w:tc>
          <w:tcPr>
            <w:tcW w:w="993" w:type="dxa"/>
          </w:tcPr>
          <w:p>
            <w:pPr>
              <w:pStyle w:val="Style61"/>
            </w:pPr>
            <w:r>
              <w:rPr>
                <w:rFonts w:hint="eastAsia"/>
              </w:rPr>
              <w:t>否</w:t>
            </w:r>
          </w:p>
        </w:tc>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2024年度第二期中期票据(科创票据)</w:t>
            </w:r>
            <w:r>
              <w:rPr>
                <w:rFonts w:ascii="宋体" w:hAnsi="宋体" w:cstheme="minorBidi" w:hint="eastAsia"/>
                <w:kern w:val="2"/>
                <w:szCs w:val="24"/>
                <w:vertAlign w:val="superscript"/>
                <w:lang w:bidi="ar"/>
              </w:rPr>
              <w:t>③</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24兖矿能源MTN002(科创票据)</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102484700</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2024/10/28</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2024/10/30</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2026/10/30</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15</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2.43</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全国银行间债券市场流通转让</w:t>
            </w:r>
          </w:p>
        </w:tc>
        <w:tc>
          <w:tcPr>
            <w:tcW w:w="993" w:type="dxa"/>
          </w:tcPr>
          <w:p>
            <w:pPr>
              <w:pStyle w:val="Style61"/>
            </w:pPr>
            <w:r>
              <w:rPr>
                <w:rFonts w:hint="eastAsia"/>
              </w:rPr>
              <w:t>否</w:t>
            </w:r>
          </w:p>
        </w:tc>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lastRenderedPageBreak/>
              <w:t>2024年度第三期中期票据(科创票据)</w:t>
            </w:r>
            <w:r>
              <w:rPr>
                <w:rFonts w:ascii="宋体" w:hAnsi="宋体" w:cstheme="minorBidi" w:hint="eastAsia"/>
                <w:kern w:val="2"/>
                <w:szCs w:val="24"/>
                <w:vertAlign w:val="superscript"/>
                <w:lang w:bidi="ar"/>
              </w:rPr>
              <w:t>④</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24兖矿能源MTN003(科创票据)</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102485067</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2024/11/20</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2024/11/22</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2026/11/22</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15</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2.26</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全国银行间债券市场流通转让</w:t>
            </w:r>
          </w:p>
        </w:tc>
        <w:tc>
          <w:tcPr>
            <w:tcW w:w="993" w:type="dxa"/>
          </w:tcPr>
          <w:p>
            <w:pPr>
              <w:pStyle w:val="Style61"/>
            </w:pPr>
            <w:r>
              <w:rPr>
                <w:rFonts w:hint="eastAsia"/>
              </w:rPr>
              <w:t>否</w:t>
            </w:r>
          </w:p>
        </w:tc>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2024年度第四期中期票据</w:t>
            </w:r>
            <w:r>
              <w:rPr>
                <w:rFonts w:ascii="宋体" w:hAnsi="宋体" w:cstheme="minorBidi" w:hint="eastAsia"/>
                <w:kern w:val="2"/>
                <w:szCs w:val="24"/>
                <w:vertAlign w:val="superscript"/>
                <w:lang w:bidi="ar"/>
              </w:rPr>
              <w:t>⑤</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24兖矿能源MTN004</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102485351</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2024/12/09</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2024/12/11</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2026/12/11</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20</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szCs w:val="22"/>
              </w:rPr>
            </w:pPr>
            <w:r>
              <w:rPr>
                <w:rFonts w:ascii="宋体" w:hAnsi="宋体" w:hint="eastAsia"/>
              </w:rPr>
              <w:t>2.06</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szCs w:val="22"/>
              </w:rPr>
            </w:pPr>
            <w:r>
              <w:rPr>
                <w:rFonts w:ascii="宋体" w:hAnsi="宋体" w:hint="eastAsia"/>
              </w:rPr>
              <w:t>全国银行间债券市场流通转让</w:t>
            </w:r>
          </w:p>
        </w:tc>
        <w:tc>
          <w:tcPr>
            <w:tcW w:w="993" w:type="dxa"/>
          </w:tcPr>
          <w:p>
            <w:pPr>
              <w:pStyle w:val="Style61"/>
            </w:pPr>
            <w:r>
              <w:rPr>
                <w:rFonts w:hint="eastAsia"/>
              </w:rPr>
              <w:t>否</w:t>
            </w:r>
          </w:p>
        </w:tc>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2025年度第一期中期票据</w:t>
            </w:r>
            <w:r>
              <w:rPr>
                <w:rFonts w:ascii="宋体" w:hAnsi="宋体" w:cstheme="minorBidi" w:hint="eastAsia"/>
                <w:kern w:val="2"/>
                <w:szCs w:val="24"/>
                <w:vertAlign w:val="superscript"/>
                <w:lang w:bidi="ar"/>
              </w:rPr>
              <w:t>⑥</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Arial" w:hint="eastAsia"/>
                <w:color w:val="333333"/>
                <w:shd w:val="clear" w:color="auto" w:fill="FFFFFF"/>
              </w:rPr>
              <w:t>25兖矿能源MTN001</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Arial" w:hint="eastAsia"/>
                <w:color w:val="333333"/>
                <w:shd w:val="clear" w:color="auto" w:fill="FFFFFF"/>
              </w:rPr>
              <w:t>102581977</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Arial" w:hint="eastAsia"/>
                <w:color w:val="333333"/>
                <w:shd w:val="clear" w:color="auto" w:fill="FFFFFF"/>
              </w:rPr>
              <w:t>2025/04/28</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Arial" w:hint="eastAsia"/>
                <w:color w:val="333333"/>
                <w:shd w:val="clear" w:color="auto" w:fill="FFFFFF"/>
              </w:rPr>
              <w:t>2025/04/29</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Arial" w:hint="eastAsia"/>
                <w:color w:val="333333"/>
                <w:shd w:val="clear" w:color="auto" w:fill="FFFFFF"/>
              </w:rPr>
              <w:t>2027/04/29</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2.09</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全国银行间债券市场流通转让</w:t>
            </w:r>
          </w:p>
        </w:tc>
        <w:tc>
          <w:tcPr>
            <w:tcW w:w="993" w:type="dxa"/>
          </w:tcPr>
          <w:p>
            <w:pPr>
              <w:pStyle w:val="Style61"/>
            </w:pPr>
            <w:r>
              <w:rPr>
                <w:rFonts w:hint="eastAsia"/>
              </w:rPr>
              <w:t>否</w:t>
            </w:r>
          </w:p>
        </w:tc>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2025年度第二期科技创新债券</w:t>
            </w:r>
            <w:r>
              <w:rPr>
                <w:rFonts w:ascii="宋体" w:hAnsi="宋体" w:cstheme="minorBidi" w:hint="eastAsia"/>
                <w:kern w:val="2"/>
                <w:szCs w:val="24"/>
                <w:vertAlign w:val="superscript"/>
                <w:lang w:bidi="ar"/>
              </w:rPr>
              <w:t>⑦</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hint="eastAsia"/>
              </w:rPr>
              <w:t>25兖矿能源MTN002(科创债)</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102584519</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2025/10/27</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2025/10/29</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2027/10/29</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1.96</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全国银行间债券市场流通转让</w:t>
            </w:r>
          </w:p>
        </w:tc>
        <w:tc>
          <w:tcPr>
            <w:tcW w:w="993" w:type="dxa"/>
          </w:tcPr>
          <w:p>
            <w:pPr>
              <w:pStyle w:val="Style61"/>
            </w:pPr>
            <w:r>
              <w:rPr>
                <w:rFonts w:hint="eastAsia"/>
              </w:rPr>
              <w:t>否</w:t>
            </w:r>
          </w:p>
        </w:tc>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2025年度第三期科技创新债券</w:t>
            </w:r>
            <w:r>
              <w:rPr>
                <w:rFonts w:ascii="宋体" w:hAnsi="宋体" w:cstheme="minorBidi" w:hint="eastAsia"/>
                <w:kern w:val="2"/>
                <w:szCs w:val="24"/>
                <w:vertAlign w:val="superscript"/>
                <w:lang w:bidi="ar"/>
              </w:rPr>
              <w:t>⑧</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hint="eastAsia"/>
              </w:rPr>
              <w:t>25兖矿能源MTN003(科创债)</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102584729</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2025/11/12</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2025/11/14</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2028/11/14</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2.06</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每年付息一次，到期一次还本，最后一期利息随本金一起支付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全国银行间债券市场流通转让</w:t>
            </w:r>
          </w:p>
        </w:tc>
        <w:tc>
          <w:tcPr>
            <w:tcW w:w="993" w:type="dxa"/>
          </w:tcPr>
          <w:p>
            <w:pPr>
              <w:pStyle w:val="Style61"/>
            </w:pPr>
            <w:r>
              <w:rPr>
                <w:rFonts w:hint="eastAsia"/>
              </w:rPr>
              <w:t>否</w:t>
            </w:r>
          </w:p>
        </w:tc>
      </w:tr>
      <w:tr>
        <w:trPr>
          <w:jc w:val="center"/>
        </w:trPr>
        <w:tc>
          <w:tcPr>
            <w:tcW w:w="184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cstheme="minorBidi" w:hint="eastAsia"/>
                <w:kern w:val="2"/>
                <w:szCs w:val="24"/>
                <w:lang w:bidi="ar"/>
              </w:rPr>
              <w:t>2025年度第四期科技创新债券</w:t>
            </w:r>
          </w:p>
        </w:tc>
        <w:tc>
          <w:tcPr>
            <w:tcW w:w="1418"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hint="eastAsia"/>
              </w:rPr>
              <w:t>25兖矿能源SCP004(科创债)</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012582997</w:t>
            </w:r>
          </w:p>
        </w:tc>
        <w:tc>
          <w:tcPr>
            <w:tcW w:w="1373"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2025/12/08</w:t>
            </w:r>
          </w:p>
        </w:tc>
        <w:tc>
          <w:tcPr>
            <w:tcW w:w="1320"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2025/12/09</w:t>
            </w:r>
          </w:p>
        </w:tc>
        <w:tc>
          <w:tcPr>
            <w:tcW w:w="1276" w:type="dxa"/>
            <w:tcBorders>
              <w:top w:val="single" w:sz="4" w:space="0" w:color="auto"/>
              <w:left w:val="single" w:sz="4" w:space="0" w:color="auto"/>
              <w:bottom w:val="single" w:sz="4" w:space="0" w:color="auto"/>
              <w:right w:val="single" w:sz="4" w:space="0" w:color="auto"/>
            </w:tcBorders>
            <w:vAlign w:val="center"/>
          </w:tcPr>
          <w:p>
            <w:pPr>
              <w:rPr>
                <w:rFonts w:ascii="宋体" w:hAnsi="宋体" w:cs="Arial"/>
                <w:color w:val="333333"/>
                <w:shd w:val="clear" w:color="auto" w:fill="FFFFFF"/>
              </w:rPr>
            </w:pPr>
            <w:r>
              <w:rPr>
                <w:rFonts w:ascii="宋体" w:hAnsi="宋体" w:cs="Arial" w:hint="eastAsia"/>
                <w:color w:val="333333"/>
                <w:shd w:val="clear" w:color="auto" w:fill="FFFFFF"/>
              </w:rPr>
              <w:t>2026/09/05</w:t>
            </w:r>
          </w:p>
        </w:tc>
        <w:tc>
          <w:tcPr>
            <w:tcW w:w="7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w:t>
            </w: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1.65</w:t>
            </w:r>
          </w:p>
        </w:tc>
        <w:tc>
          <w:tcPr>
            <w:tcW w:w="155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到期一次还本，利息随本金一起支付</w:t>
            </w:r>
          </w:p>
        </w:tc>
        <w:tc>
          <w:tcPr>
            <w:tcW w:w="702"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银行间债券市场</w:t>
            </w:r>
          </w:p>
        </w:tc>
        <w:tc>
          <w:tcPr>
            <w:tcW w:w="1283"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面向银行间债券市场的机构投资者</w:t>
            </w:r>
          </w:p>
        </w:tc>
        <w:tc>
          <w:tcPr>
            <w:tcW w:w="1275"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全国银行间债券市场流通转让</w:t>
            </w:r>
          </w:p>
        </w:tc>
        <w:tc>
          <w:tcPr>
            <w:tcW w:w="993" w:type="dxa"/>
          </w:tcPr>
          <w:p>
            <w:pPr>
              <w:pStyle w:val="Style61"/>
            </w:pPr>
            <w:r>
              <w:rPr>
                <w:rFonts w:hint="eastAsia"/>
              </w:rPr>
              <w:t>否</w:t>
            </w:r>
          </w:p>
        </w:tc>
      </w:tr>
    </w:tbl>
    <w:p>
      <w:pPr>
        <w:pStyle w:val="Style49"/>
      </w:pPr>
    </w:p>
    <w:p>
      <w:pPr>
        <w:ind w:firstLineChars="200" w:firstLine="420"/>
        <w:rPr>
          <w:rFonts w:ascii="宋体" w:hAnsi="宋体"/>
        </w:rPr>
      </w:pPr>
      <w:r>
        <w:rPr>
          <w:rFonts w:ascii="宋体" w:hAnsi="宋体" w:hint="eastAsia"/>
        </w:rPr>
        <w:t>注：</w:t>
      </w:r>
    </w:p>
    <w:p>
      <w:pPr>
        <w:widowControl w:val="0"/>
        <w:ind w:firstLineChars="200" w:firstLine="420"/>
        <w:jc w:val="both"/>
        <w:rPr>
          <w:rFonts w:ascii="宋体" w:hAnsi="宋体"/>
          <w:color w:val="000000"/>
          <w:kern w:val="2"/>
          <w:szCs w:val="24"/>
        </w:rPr>
      </w:pPr>
      <w:r>
        <w:rPr>
          <w:rFonts w:ascii="宋体" w:hAnsi="宋体" w:hint="eastAsia"/>
          <w:kern w:val="2"/>
          <w:szCs w:val="24"/>
        </w:rPr>
        <w:lastRenderedPageBreak/>
        <w:t>①</w:t>
      </w:r>
      <w:r>
        <w:rPr>
          <w:rFonts w:ascii="宋体" w:hAnsi="宋体"/>
          <w:bCs/>
          <w:color w:val="000000"/>
          <w:kern w:val="2"/>
          <w:szCs w:val="24"/>
        </w:rPr>
        <w:t>2022</w:t>
      </w:r>
      <w:r>
        <w:rPr>
          <w:rFonts w:ascii="宋体" w:hAnsi="宋体" w:hint="eastAsia"/>
          <w:bCs/>
          <w:color w:val="000000"/>
          <w:kern w:val="2"/>
          <w:szCs w:val="24"/>
        </w:rPr>
        <w:t>年度第一期中期票据</w:t>
      </w:r>
      <w:r>
        <w:rPr>
          <w:rFonts w:ascii="宋体" w:hAnsi="宋体"/>
          <w:bCs/>
          <w:color w:val="000000"/>
          <w:kern w:val="2"/>
          <w:szCs w:val="24"/>
        </w:rPr>
        <w:t>(</w:t>
      </w:r>
      <w:r>
        <w:rPr>
          <w:rFonts w:ascii="宋体" w:hAnsi="宋体" w:hint="eastAsia"/>
          <w:bCs/>
          <w:color w:val="000000"/>
          <w:kern w:val="2"/>
          <w:szCs w:val="24"/>
        </w:rPr>
        <w:t>品种二</w:t>
      </w:r>
      <w:r>
        <w:rPr>
          <w:rFonts w:ascii="宋体" w:hAnsi="宋体"/>
          <w:bCs/>
          <w:color w:val="000000"/>
          <w:kern w:val="2"/>
          <w:szCs w:val="24"/>
        </w:rPr>
        <w:t>)</w:t>
      </w:r>
      <w:r>
        <w:rPr>
          <w:rFonts w:ascii="宋体" w:hAnsi="宋体" w:hint="eastAsia"/>
          <w:bCs/>
          <w:color w:val="000000"/>
          <w:kern w:val="2"/>
          <w:szCs w:val="24"/>
        </w:rPr>
        <w:t>以每</w:t>
      </w:r>
      <w:r>
        <w:rPr>
          <w:rFonts w:ascii="宋体" w:hAnsi="宋体"/>
          <w:bCs/>
          <w:color w:val="000000"/>
          <w:kern w:val="2"/>
          <w:szCs w:val="24"/>
        </w:rPr>
        <w:t>5</w:t>
      </w:r>
      <w:r>
        <w:rPr>
          <w:rFonts w:ascii="宋体" w:hAnsi="宋体" w:hint="eastAsia"/>
          <w:bCs/>
          <w:color w:val="000000"/>
          <w:kern w:val="2"/>
          <w:szCs w:val="24"/>
        </w:rPr>
        <w:t>个计息年度为</w:t>
      </w:r>
      <w:r>
        <w:rPr>
          <w:rFonts w:ascii="宋体" w:hAnsi="宋体"/>
          <w:bCs/>
          <w:color w:val="000000"/>
          <w:kern w:val="2"/>
          <w:szCs w:val="24"/>
        </w:rPr>
        <w:t>1</w:t>
      </w:r>
      <w:r>
        <w:rPr>
          <w:rFonts w:ascii="宋体" w:hAnsi="宋体" w:hint="eastAsia"/>
          <w:bCs/>
          <w:color w:val="000000"/>
          <w:kern w:val="2"/>
          <w:szCs w:val="24"/>
        </w:rPr>
        <w:t>个周期。在每个周期末，公司有权选择将本期中期票据期限延长</w:t>
      </w:r>
      <w:r>
        <w:rPr>
          <w:rFonts w:ascii="宋体" w:hAnsi="宋体"/>
          <w:bCs/>
          <w:color w:val="000000"/>
          <w:kern w:val="2"/>
          <w:szCs w:val="24"/>
        </w:rPr>
        <w:t>1</w:t>
      </w:r>
      <w:r>
        <w:rPr>
          <w:rFonts w:ascii="宋体" w:hAnsi="宋体" w:hint="eastAsia"/>
          <w:bCs/>
          <w:color w:val="000000"/>
          <w:kern w:val="2"/>
          <w:szCs w:val="24"/>
        </w:rPr>
        <w:t>个周期（即延长</w:t>
      </w:r>
      <w:r>
        <w:rPr>
          <w:rFonts w:ascii="宋体" w:hAnsi="宋体"/>
          <w:bCs/>
          <w:color w:val="000000"/>
          <w:kern w:val="2"/>
          <w:szCs w:val="24"/>
        </w:rPr>
        <w:t>5</w:t>
      </w:r>
      <w:r>
        <w:rPr>
          <w:rFonts w:ascii="宋体" w:hAnsi="宋体" w:hint="eastAsia"/>
          <w:bCs/>
          <w:color w:val="000000"/>
          <w:kern w:val="2"/>
          <w:szCs w:val="24"/>
        </w:rPr>
        <w:t>年），或选择在该周期末到期全额兑付本期中期票据。</w:t>
      </w:r>
    </w:p>
    <w:p>
      <w:pPr>
        <w:widowControl w:val="0"/>
        <w:ind w:firstLineChars="200" w:firstLine="420"/>
        <w:jc w:val="both"/>
        <w:rPr>
          <w:rFonts w:ascii="宋体" w:hAnsi="宋体"/>
          <w:bCs/>
          <w:color w:val="000000"/>
          <w:kern w:val="2"/>
          <w:szCs w:val="24"/>
        </w:rPr>
      </w:pPr>
      <w:r>
        <w:rPr>
          <w:rFonts w:ascii="宋体" w:hAnsi="宋体" w:hint="eastAsia"/>
          <w:kern w:val="2"/>
          <w:szCs w:val="24"/>
        </w:rPr>
        <w:t>②</w:t>
      </w:r>
      <w:r>
        <w:rPr>
          <w:rFonts w:ascii="宋体" w:hAnsi="宋体"/>
          <w:bCs/>
          <w:color w:val="000000"/>
          <w:kern w:val="2"/>
          <w:szCs w:val="24"/>
        </w:rPr>
        <w:t>2024</w:t>
      </w:r>
      <w:r>
        <w:rPr>
          <w:rFonts w:ascii="宋体" w:hAnsi="宋体" w:hint="eastAsia"/>
          <w:bCs/>
          <w:color w:val="000000"/>
          <w:kern w:val="2"/>
          <w:szCs w:val="24"/>
        </w:rPr>
        <w:t>年度第一期中期票据（科创票据）以每</w:t>
      </w:r>
      <w:r>
        <w:rPr>
          <w:rFonts w:ascii="宋体" w:hAnsi="宋体"/>
          <w:bCs/>
          <w:color w:val="000000"/>
          <w:kern w:val="2"/>
          <w:szCs w:val="24"/>
        </w:rPr>
        <w:t>3</w:t>
      </w:r>
      <w:r>
        <w:rPr>
          <w:rFonts w:ascii="宋体" w:hAnsi="宋体" w:hint="eastAsia"/>
          <w:bCs/>
          <w:color w:val="000000"/>
          <w:kern w:val="2"/>
          <w:szCs w:val="24"/>
        </w:rPr>
        <w:t>个计息年度为</w:t>
      </w:r>
      <w:r>
        <w:rPr>
          <w:rFonts w:ascii="宋体" w:hAnsi="宋体"/>
          <w:bCs/>
          <w:color w:val="000000"/>
          <w:kern w:val="2"/>
          <w:szCs w:val="24"/>
        </w:rPr>
        <w:t>1</w:t>
      </w:r>
      <w:r>
        <w:rPr>
          <w:rFonts w:ascii="宋体" w:hAnsi="宋体" w:hint="eastAsia"/>
          <w:bCs/>
          <w:color w:val="000000"/>
          <w:kern w:val="2"/>
          <w:szCs w:val="24"/>
        </w:rPr>
        <w:t>个周期。在每个周期末，公司有权选择将本期中期票据期限延长</w:t>
      </w:r>
      <w:r>
        <w:rPr>
          <w:rFonts w:ascii="宋体" w:hAnsi="宋体"/>
          <w:bCs/>
          <w:color w:val="000000"/>
          <w:kern w:val="2"/>
          <w:szCs w:val="24"/>
        </w:rPr>
        <w:t>1</w:t>
      </w:r>
      <w:r>
        <w:rPr>
          <w:rFonts w:ascii="宋体" w:hAnsi="宋体" w:hint="eastAsia"/>
          <w:bCs/>
          <w:color w:val="000000"/>
          <w:kern w:val="2"/>
          <w:szCs w:val="24"/>
        </w:rPr>
        <w:t>个周期（即延长</w:t>
      </w:r>
      <w:r>
        <w:rPr>
          <w:rFonts w:ascii="宋体" w:hAnsi="宋体"/>
          <w:bCs/>
          <w:color w:val="000000"/>
          <w:kern w:val="2"/>
          <w:szCs w:val="24"/>
        </w:rPr>
        <w:t>3</w:t>
      </w:r>
      <w:r>
        <w:rPr>
          <w:rFonts w:ascii="宋体" w:hAnsi="宋体" w:hint="eastAsia"/>
          <w:bCs/>
          <w:color w:val="000000"/>
          <w:kern w:val="2"/>
          <w:szCs w:val="24"/>
        </w:rPr>
        <w:t>年），或选择在该周期末到期全额兑付本期中期票据。</w:t>
      </w:r>
    </w:p>
    <w:p>
      <w:pPr>
        <w:widowControl w:val="0"/>
        <w:ind w:firstLineChars="200" w:firstLine="420"/>
        <w:jc w:val="both"/>
        <w:rPr>
          <w:rFonts w:ascii="宋体" w:hAnsi="宋体"/>
          <w:color w:val="000000"/>
          <w:kern w:val="2"/>
          <w:szCs w:val="24"/>
        </w:rPr>
      </w:pPr>
      <w:r>
        <w:rPr>
          <w:rFonts w:ascii="宋体" w:hAnsi="宋体" w:hint="eastAsia"/>
          <w:bCs/>
          <w:color w:val="000000"/>
          <w:kern w:val="2"/>
          <w:szCs w:val="24"/>
        </w:rPr>
        <w:t>③</w:t>
      </w:r>
      <w:r>
        <w:rPr>
          <w:rFonts w:ascii="宋体" w:hAnsi="宋体"/>
          <w:bCs/>
          <w:color w:val="000000"/>
          <w:kern w:val="2"/>
          <w:szCs w:val="24"/>
        </w:rPr>
        <w:t>2024</w:t>
      </w:r>
      <w:r>
        <w:rPr>
          <w:rFonts w:ascii="宋体" w:hAnsi="宋体" w:hint="eastAsia"/>
          <w:bCs/>
          <w:color w:val="000000"/>
          <w:kern w:val="2"/>
          <w:szCs w:val="24"/>
        </w:rPr>
        <w:t>年度第二期中期票据（科创票据）以每</w:t>
      </w:r>
      <w:r>
        <w:rPr>
          <w:rFonts w:ascii="宋体" w:hAnsi="宋体"/>
          <w:bCs/>
          <w:color w:val="000000"/>
          <w:kern w:val="2"/>
          <w:szCs w:val="24"/>
        </w:rPr>
        <w:t>2</w:t>
      </w:r>
      <w:r>
        <w:rPr>
          <w:rFonts w:ascii="宋体" w:hAnsi="宋体" w:hint="eastAsia"/>
          <w:bCs/>
          <w:color w:val="000000"/>
          <w:kern w:val="2"/>
          <w:szCs w:val="24"/>
        </w:rPr>
        <w:t>个计息年度为</w:t>
      </w:r>
      <w:r>
        <w:rPr>
          <w:rFonts w:ascii="宋体" w:hAnsi="宋体"/>
          <w:bCs/>
          <w:color w:val="000000"/>
          <w:kern w:val="2"/>
          <w:szCs w:val="24"/>
        </w:rPr>
        <w:t>1</w:t>
      </w:r>
      <w:r>
        <w:rPr>
          <w:rFonts w:ascii="宋体" w:hAnsi="宋体" w:hint="eastAsia"/>
          <w:bCs/>
          <w:color w:val="000000"/>
          <w:kern w:val="2"/>
          <w:szCs w:val="24"/>
        </w:rPr>
        <w:t>个周期。在每个周期末，公司有权选择将本期中期票据期限延长</w:t>
      </w:r>
      <w:r>
        <w:rPr>
          <w:rFonts w:ascii="宋体" w:hAnsi="宋体"/>
          <w:bCs/>
          <w:color w:val="000000"/>
          <w:kern w:val="2"/>
          <w:szCs w:val="24"/>
        </w:rPr>
        <w:t>1</w:t>
      </w:r>
      <w:r>
        <w:rPr>
          <w:rFonts w:ascii="宋体" w:hAnsi="宋体" w:hint="eastAsia"/>
          <w:bCs/>
          <w:color w:val="000000"/>
          <w:kern w:val="2"/>
          <w:szCs w:val="24"/>
        </w:rPr>
        <w:t>个周期（即延长</w:t>
      </w:r>
      <w:r>
        <w:rPr>
          <w:rFonts w:ascii="宋体" w:hAnsi="宋体"/>
          <w:bCs/>
          <w:color w:val="000000"/>
          <w:kern w:val="2"/>
          <w:szCs w:val="24"/>
        </w:rPr>
        <w:t>2</w:t>
      </w:r>
      <w:r>
        <w:rPr>
          <w:rFonts w:ascii="宋体" w:hAnsi="宋体" w:hint="eastAsia"/>
          <w:bCs/>
          <w:color w:val="000000"/>
          <w:kern w:val="2"/>
          <w:szCs w:val="24"/>
        </w:rPr>
        <w:t>年），或选择在该周期末到期全额兑付本期中期票据。</w:t>
      </w:r>
    </w:p>
    <w:p>
      <w:pPr>
        <w:widowControl w:val="0"/>
        <w:ind w:firstLineChars="200" w:firstLine="420"/>
        <w:jc w:val="both"/>
        <w:rPr>
          <w:rFonts w:ascii="宋体" w:hAnsi="宋体"/>
          <w:color w:val="000000"/>
          <w:kern w:val="2"/>
          <w:szCs w:val="24"/>
        </w:rPr>
      </w:pPr>
      <w:r>
        <w:rPr>
          <w:rFonts w:ascii="宋体" w:hAnsi="宋体" w:hint="eastAsia"/>
          <w:bCs/>
          <w:color w:val="000000"/>
          <w:kern w:val="2"/>
          <w:szCs w:val="24"/>
        </w:rPr>
        <w:t>④</w:t>
      </w:r>
      <w:r>
        <w:rPr>
          <w:rFonts w:ascii="宋体" w:hAnsi="宋体"/>
          <w:bCs/>
          <w:color w:val="000000"/>
          <w:kern w:val="2"/>
          <w:szCs w:val="24"/>
        </w:rPr>
        <w:t>2024</w:t>
      </w:r>
      <w:r>
        <w:rPr>
          <w:rFonts w:ascii="宋体" w:hAnsi="宋体" w:hint="eastAsia"/>
          <w:bCs/>
          <w:color w:val="000000"/>
          <w:kern w:val="2"/>
          <w:szCs w:val="24"/>
        </w:rPr>
        <w:t>年度第三期中期票据</w:t>
      </w:r>
      <w:r>
        <w:rPr>
          <w:rFonts w:ascii="宋体" w:hAnsi="宋体"/>
          <w:bCs/>
          <w:color w:val="000000"/>
          <w:kern w:val="2"/>
          <w:szCs w:val="24"/>
        </w:rPr>
        <w:t>(</w:t>
      </w:r>
      <w:r>
        <w:rPr>
          <w:rFonts w:ascii="宋体" w:hAnsi="宋体" w:hint="eastAsia"/>
          <w:bCs/>
          <w:color w:val="000000"/>
          <w:kern w:val="2"/>
          <w:szCs w:val="24"/>
        </w:rPr>
        <w:t>科创票据</w:t>
      </w:r>
      <w:r>
        <w:rPr>
          <w:rFonts w:ascii="宋体" w:hAnsi="宋体"/>
          <w:bCs/>
          <w:color w:val="000000"/>
          <w:kern w:val="2"/>
          <w:szCs w:val="24"/>
        </w:rPr>
        <w:t>)</w:t>
      </w:r>
      <w:r>
        <w:rPr>
          <w:rFonts w:ascii="宋体" w:hAnsi="宋体" w:hint="eastAsia"/>
          <w:bCs/>
          <w:color w:val="000000"/>
          <w:kern w:val="2"/>
          <w:szCs w:val="24"/>
        </w:rPr>
        <w:t>以每</w:t>
      </w:r>
      <w:r>
        <w:rPr>
          <w:rFonts w:ascii="宋体" w:hAnsi="宋体"/>
          <w:bCs/>
          <w:color w:val="000000"/>
          <w:kern w:val="2"/>
          <w:szCs w:val="24"/>
        </w:rPr>
        <w:t>2</w:t>
      </w:r>
      <w:r>
        <w:rPr>
          <w:rFonts w:ascii="宋体" w:hAnsi="宋体" w:hint="eastAsia"/>
          <w:bCs/>
          <w:color w:val="000000"/>
          <w:kern w:val="2"/>
          <w:szCs w:val="24"/>
        </w:rPr>
        <w:t>个计息年度为</w:t>
      </w:r>
      <w:r>
        <w:rPr>
          <w:rFonts w:ascii="宋体" w:hAnsi="宋体"/>
          <w:bCs/>
          <w:color w:val="000000"/>
          <w:kern w:val="2"/>
          <w:szCs w:val="24"/>
        </w:rPr>
        <w:t>1</w:t>
      </w:r>
      <w:r>
        <w:rPr>
          <w:rFonts w:ascii="宋体" w:hAnsi="宋体" w:hint="eastAsia"/>
          <w:bCs/>
          <w:color w:val="000000"/>
          <w:kern w:val="2"/>
          <w:szCs w:val="24"/>
        </w:rPr>
        <w:t>个周期。在每个周期末，公司有权选择将本期中期票据期限延长</w:t>
      </w:r>
      <w:r>
        <w:rPr>
          <w:rFonts w:ascii="宋体" w:hAnsi="宋体"/>
          <w:bCs/>
          <w:color w:val="000000"/>
          <w:kern w:val="2"/>
          <w:szCs w:val="24"/>
        </w:rPr>
        <w:t>1</w:t>
      </w:r>
      <w:r>
        <w:rPr>
          <w:rFonts w:ascii="宋体" w:hAnsi="宋体" w:hint="eastAsia"/>
          <w:bCs/>
          <w:color w:val="000000"/>
          <w:kern w:val="2"/>
          <w:szCs w:val="24"/>
        </w:rPr>
        <w:t>个周期（即延长</w:t>
      </w:r>
      <w:r>
        <w:rPr>
          <w:rFonts w:ascii="宋体" w:hAnsi="宋体"/>
          <w:bCs/>
          <w:color w:val="000000"/>
          <w:kern w:val="2"/>
          <w:szCs w:val="24"/>
        </w:rPr>
        <w:t>2</w:t>
      </w:r>
      <w:r>
        <w:rPr>
          <w:rFonts w:ascii="宋体" w:hAnsi="宋体" w:hint="eastAsia"/>
          <w:bCs/>
          <w:color w:val="000000"/>
          <w:kern w:val="2"/>
          <w:szCs w:val="24"/>
        </w:rPr>
        <w:t>年），或选择在该周期末到期全额兑付本期中期票据。</w:t>
      </w:r>
    </w:p>
    <w:p>
      <w:pPr>
        <w:widowControl w:val="0"/>
        <w:ind w:firstLineChars="200" w:firstLine="420"/>
        <w:jc w:val="both"/>
        <w:rPr>
          <w:rFonts w:ascii="宋体" w:hAnsi="宋体"/>
          <w:color w:val="000000"/>
          <w:kern w:val="2"/>
          <w:szCs w:val="24"/>
        </w:rPr>
      </w:pPr>
      <w:r>
        <w:rPr>
          <w:rFonts w:ascii="宋体" w:hAnsi="宋体" w:hint="eastAsia"/>
          <w:bCs/>
          <w:color w:val="000000"/>
          <w:kern w:val="2"/>
          <w:szCs w:val="24"/>
        </w:rPr>
        <w:t>⑤</w:t>
      </w:r>
      <w:r>
        <w:rPr>
          <w:rFonts w:ascii="宋体" w:hAnsi="宋体"/>
          <w:bCs/>
          <w:color w:val="000000"/>
          <w:kern w:val="2"/>
          <w:szCs w:val="24"/>
        </w:rPr>
        <w:t>2024</w:t>
      </w:r>
      <w:r>
        <w:rPr>
          <w:rFonts w:ascii="宋体" w:hAnsi="宋体" w:hint="eastAsia"/>
          <w:bCs/>
          <w:color w:val="000000"/>
          <w:kern w:val="2"/>
          <w:szCs w:val="24"/>
        </w:rPr>
        <w:t>年度第四期中期票据以每</w:t>
      </w:r>
      <w:r>
        <w:rPr>
          <w:rFonts w:ascii="宋体" w:hAnsi="宋体"/>
          <w:bCs/>
          <w:color w:val="000000"/>
          <w:kern w:val="2"/>
          <w:szCs w:val="24"/>
        </w:rPr>
        <w:t>2</w:t>
      </w:r>
      <w:r>
        <w:rPr>
          <w:rFonts w:ascii="宋体" w:hAnsi="宋体" w:hint="eastAsia"/>
          <w:bCs/>
          <w:color w:val="000000"/>
          <w:kern w:val="2"/>
          <w:szCs w:val="24"/>
        </w:rPr>
        <w:t>个计息年度为</w:t>
      </w:r>
      <w:r>
        <w:rPr>
          <w:rFonts w:ascii="宋体" w:hAnsi="宋体"/>
          <w:bCs/>
          <w:color w:val="000000"/>
          <w:kern w:val="2"/>
          <w:szCs w:val="24"/>
        </w:rPr>
        <w:t>1</w:t>
      </w:r>
      <w:r>
        <w:rPr>
          <w:rFonts w:ascii="宋体" w:hAnsi="宋体" w:hint="eastAsia"/>
          <w:bCs/>
          <w:color w:val="000000"/>
          <w:kern w:val="2"/>
          <w:szCs w:val="24"/>
        </w:rPr>
        <w:t>个周期。在每个周期末，公司有权选择将本期中期票据期限延长</w:t>
      </w:r>
      <w:r>
        <w:rPr>
          <w:rFonts w:ascii="宋体" w:hAnsi="宋体"/>
          <w:bCs/>
          <w:color w:val="000000"/>
          <w:kern w:val="2"/>
          <w:szCs w:val="24"/>
        </w:rPr>
        <w:t>1</w:t>
      </w:r>
      <w:r>
        <w:rPr>
          <w:rFonts w:ascii="宋体" w:hAnsi="宋体" w:hint="eastAsia"/>
          <w:bCs/>
          <w:color w:val="000000"/>
          <w:kern w:val="2"/>
          <w:szCs w:val="24"/>
        </w:rPr>
        <w:t>个周期（即延长</w:t>
      </w:r>
      <w:r>
        <w:rPr>
          <w:rFonts w:ascii="宋体" w:hAnsi="宋体"/>
          <w:bCs/>
          <w:color w:val="000000"/>
          <w:kern w:val="2"/>
          <w:szCs w:val="24"/>
        </w:rPr>
        <w:t>2</w:t>
      </w:r>
      <w:r>
        <w:rPr>
          <w:rFonts w:ascii="宋体" w:hAnsi="宋体" w:hint="eastAsia"/>
          <w:bCs/>
          <w:color w:val="000000"/>
          <w:kern w:val="2"/>
          <w:szCs w:val="24"/>
        </w:rPr>
        <w:t>年），或选择在该周期末到期全额兑付本期中期票据。</w:t>
      </w:r>
    </w:p>
    <w:p>
      <w:pPr>
        <w:widowControl w:val="0"/>
        <w:ind w:firstLineChars="200" w:firstLine="420"/>
        <w:jc w:val="both"/>
        <w:rPr>
          <w:rFonts w:ascii="宋体" w:hAnsi="宋体"/>
          <w:bCs/>
          <w:color w:val="000000"/>
          <w:kern w:val="2"/>
          <w:szCs w:val="24"/>
        </w:rPr>
      </w:pPr>
      <w:r>
        <w:rPr>
          <w:rFonts w:ascii="宋体" w:hAnsi="宋体" w:hint="eastAsia"/>
          <w:bCs/>
          <w:color w:val="000000"/>
          <w:kern w:val="2"/>
          <w:szCs w:val="24"/>
        </w:rPr>
        <w:t>⑥</w:t>
      </w:r>
      <w:r>
        <w:rPr>
          <w:rFonts w:ascii="宋体" w:hAnsi="宋体"/>
          <w:bCs/>
          <w:color w:val="000000"/>
          <w:kern w:val="2"/>
          <w:szCs w:val="24"/>
        </w:rPr>
        <w:t>2025</w:t>
      </w:r>
      <w:r>
        <w:rPr>
          <w:rFonts w:ascii="宋体" w:hAnsi="宋体" w:hint="eastAsia"/>
          <w:bCs/>
          <w:color w:val="000000"/>
          <w:kern w:val="2"/>
          <w:szCs w:val="24"/>
        </w:rPr>
        <w:t>年度第一期中期票据以每</w:t>
      </w:r>
      <w:r>
        <w:rPr>
          <w:rFonts w:ascii="宋体" w:hAnsi="宋体"/>
          <w:bCs/>
          <w:color w:val="000000"/>
          <w:kern w:val="2"/>
          <w:szCs w:val="24"/>
        </w:rPr>
        <w:t>2</w:t>
      </w:r>
      <w:r>
        <w:rPr>
          <w:rFonts w:ascii="宋体" w:hAnsi="宋体" w:hint="eastAsia"/>
          <w:bCs/>
          <w:color w:val="000000"/>
          <w:kern w:val="2"/>
          <w:szCs w:val="24"/>
        </w:rPr>
        <w:t>个计息年度为</w:t>
      </w:r>
      <w:r>
        <w:rPr>
          <w:rFonts w:ascii="宋体" w:hAnsi="宋体"/>
          <w:bCs/>
          <w:color w:val="000000"/>
          <w:kern w:val="2"/>
          <w:szCs w:val="24"/>
        </w:rPr>
        <w:t>1</w:t>
      </w:r>
      <w:r>
        <w:rPr>
          <w:rFonts w:ascii="宋体" w:hAnsi="宋体" w:hint="eastAsia"/>
          <w:bCs/>
          <w:color w:val="000000"/>
          <w:kern w:val="2"/>
          <w:szCs w:val="24"/>
        </w:rPr>
        <w:t>个周期。在每个周期末，公司有权选择将本期中期票据期限延长</w:t>
      </w:r>
      <w:r>
        <w:rPr>
          <w:rFonts w:ascii="宋体" w:hAnsi="宋体"/>
          <w:bCs/>
          <w:color w:val="000000"/>
          <w:kern w:val="2"/>
          <w:szCs w:val="24"/>
        </w:rPr>
        <w:t>1</w:t>
      </w:r>
      <w:r>
        <w:rPr>
          <w:rFonts w:ascii="宋体" w:hAnsi="宋体" w:hint="eastAsia"/>
          <w:bCs/>
          <w:color w:val="000000"/>
          <w:kern w:val="2"/>
          <w:szCs w:val="24"/>
        </w:rPr>
        <w:t>个周期（即延长</w:t>
      </w:r>
      <w:r>
        <w:rPr>
          <w:rFonts w:ascii="宋体" w:hAnsi="宋体"/>
          <w:bCs/>
          <w:color w:val="000000"/>
          <w:kern w:val="2"/>
          <w:szCs w:val="24"/>
        </w:rPr>
        <w:t>2</w:t>
      </w:r>
      <w:r>
        <w:rPr>
          <w:rFonts w:ascii="宋体" w:hAnsi="宋体" w:hint="eastAsia"/>
          <w:bCs/>
          <w:color w:val="000000"/>
          <w:kern w:val="2"/>
          <w:szCs w:val="24"/>
        </w:rPr>
        <w:t>年），或选择在该周期末到期全额兑付本期中期票据。</w:t>
      </w:r>
    </w:p>
    <w:p>
      <w:pPr>
        <w:widowControl w:val="0"/>
        <w:ind w:firstLineChars="200" w:firstLine="420"/>
        <w:jc w:val="both"/>
        <w:rPr>
          <w:rFonts w:ascii="宋体" w:hAnsi="宋体"/>
          <w:bCs/>
          <w:color w:val="000000"/>
          <w:kern w:val="2"/>
          <w:szCs w:val="24"/>
        </w:rPr>
      </w:pPr>
      <w:r>
        <w:rPr>
          <w:rFonts w:ascii="宋体" w:hAnsi="宋体" w:hint="eastAsia"/>
          <w:bCs/>
          <w:color w:val="000000"/>
          <w:kern w:val="2"/>
          <w:szCs w:val="24"/>
        </w:rPr>
        <w:t>⑦2025年度第二期科技创新债券以每2个计息年度为1个周期。在每个周期末，公司有权选择将本期中期票据期限延长1个周期（即延长2年），或选择在该周期末到期全额兑付本期中期票据。</w:t>
      </w:r>
    </w:p>
    <w:p>
      <w:pPr>
        <w:widowControl w:val="0"/>
        <w:ind w:firstLineChars="200" w:firstLine="420"/>
        <w:jc w:val="both"/>
        <w:rPr>
          <w:rFonts w:ascii="宋体" w:hAnsi="宋体"/>
          <w:bCs/>
          <w:color w:val="000000"/>
          <w:kern w:val="2"/>
          <w:szCs w:val="24"/>
        </w:rPr>
      </w:pPr>
      <w:r>
        <w:rPr>
          <w:rFonts w:ascii="宋体" w:hAnsi="宋体" w:hint="eastAsia"/>
          <w:bCs/>
          <w:color w:val="000000"/>
          <w:kern w:val="2"/>
          <w:szCs w:val="24"/>
        </w:rPr>
        <w:t>⑧2025年度第三期科技创新债券以每3个计息年度为1个周期。在每个周期末，公司有权选择将本期中期票据期限延长1个周期（即延长3年），或选择在该周期末到期全额兑付本期中期票据</w:t>
      </w:r>
      <w:r>
        <w:rPr>
          <w:rFonts w:ascii="宋体" w:hAnsi="宋体"/>
          <w:bCs/>
          <w:color w:val="000000"/>
          <w:kern w:val="2"/>
          <w:szCs w:val="24"/>
        </w:rPr>
        <w:t>。</w:t>
      </w:r>
    </w:p>
    <w:p>
      <w:pPr>
        <w:widowControl w:val="0"/>
        <w:ind w:firstLineChars="200" w:firstLine="420"/>
        <w:jc w:val="both"/>
        <w:rPr>
          <w:rFonts w:ascii="宋体" w:hAnsi="宋体"/>
          <w:bCs/>
          <w:color w:val="000000"/>
          <w:kern w:val="2"/>
          <w:szCs w:val="24"/>
        </w:rPr>
      </w:pPr>
    </w:p>
    <w:p>
      <w:pPr>
        <w:pStyle w:val="Style49"/>
      </w:pPr>
    </w:p>
    <w:p>
      <w:pPr>
        <w:pStyle w:val="Style49"/>
      </w:pPr>
    </w:p>
    <w:p>
      <w:pPr>
        <w:pStyle w:val="Style49"/>
      </w:pPr>
      <w:r>
        <w:rPr>
          <w:rFonts w:hint="eastAsia"/>
        </w:rPr>
        <w:t>公司对债券终止上市交易风险的应对措施</w:t>
      </w:r>
    </w:p>
    <w:sdt>
      <w:sdtPr>
        <w:rPr>
          <w:bCs/>
          <w:color w:val="000000" w:themeColor="text1"/>
          <w:kern w:val="2"/>
        </w:rPr>
        <w:alias w:val="是否适用：公司对债券终止上市交易风险的应对措施 [双击切换]"/>
        <w:tag w:val="_GBC_ec6b96e6a98d454dabeebd9fc4c288a4"/>
        <w:id w:val="-1090006432"/>
        <w:placeholder>
          <w:docPart w:val="GBC22222222222222222222222222222"/>
        </w:placeholder>
      </w:sdtPr>
      <w:sdtContent>
        <w:p>
          <w:pPr>
            <w:rPr>
              <w:color w:val="000000" w:themeColor="text1"/>
            </w:rPr>
          </w:pP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p>
      <w:pPr>
        <w:rPr>
          <w:bCs/>
          <w:color w:val="000000" w:themeColor="text1"/>
          <w:kern w:val="2"/>
        </w:rPr>
      </w:pPr>
    </w:p>
    <w:p>
      <w:pPr>
        <w:pStyle w:val="Style49"/>
      </w:pPr>
      <w:r>
        <w:t>逾期未偿还债券</w:t>
      </w:r>
    </w:p>
    <w:sdt>
      <w:sdtPr>
        <w:rPr>
          <w:rFonts w:hint="eastAsia"/>
        </w:rPr>
        <w:alias w:val="是否适用：逾期未偿还债券[双击切换]"/>
        <w:tag w:val="_GBC_9c99cad987204456a655097fa5372558"/>
        <w:id w:val="573017868"/>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bCs/>
          <w:kern w:val="2"/>
        </w:rPr>
      </w:pPr>
    </w:p>
    <w:p>
      <w:pPr>
        <w:rPr>
          <w:rFonts w:ascii="Arial" w:hAnsi="Arial"/>
          <w:bCs/>
          <w:kern w:val="2"/>
        </w:rPr>
      </w:pPr>
      <w:r>
        <w:rPr>
          <w:rFonts w:ascii="Arial" w:hAnsi="Arial" w:hint="eastAsia"/>
          <w:bCs/>
          <w:kern w:val="2"/>
        </w:rPr>
        <w:t>报告期内债券付息兑付情况</w:t>
      </w:r>
    </w:p>
    <w:sdt>
      <w:sdtPr>
        <w:rPr>
          <w:bCs/>
          <w:kern w:val="2"/>
        </w:rPr>
        <w:alias w:val="是否适用：公司债券付息兑付情况 [双击切换]"/>
        <w:tag w:val="_GBC_e28ce686151c403e9669ae8582b4c60f"/>
        <w:id w:val="601148507"/>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tbl>
      <w:tblPr>
        <w:tblStyle w:val="Style63"/>
        <w:tblW w:w="1408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9557"/>
      </w:tblGrid>
      <w:tr>
        <w:sdt>
          <w:sdtPr>
            <w:tag w:val="_PLD_91af169d88c349b3a621df004e1105e0"/>
            <w:id w:val="610245961"/>
          </w:sdtPr>
          <w:sdtContent>
            <w:tc>
              <w:tcPr>
                <w:tcW w:w="4531" w:type="dxa"/>
                <w:vAlign w:val="center"/>
              </w:tcPr>
              <w:p>
                <w:pPr>
                  <w:widowControl w:val="0"/>
                  <w:jc w:val="center"/>
                  <w:rPr>
                    <w:rFonts w:ascii="Arial" w:hAnsi="Arial"/>
                    <w:bCs/>
                    <w:kern w:val="2"/>
                  </w:rPr>
                </w:pPr>
                <w:r>
                  <w:rPr>
                    <w:rFonts w:ascii="Arial" w:hAnsi="Arial"/>
                    <w:bCs/>
                    <w:kern w:val="2"/>
                  </w:rPr>
                  <w:t>债券名称</w:t>
                </w:r>
              </w:p>
            </w:tc>
          </w:sdtContent>
        </w:sdt>
        <w:sdt>
          <w:sdtPr>
            <w:tag w:val="_PLD_1d46fa2250da44ce8ce8c06a97ac25e5"/>
            <w:id w:val="1491597753"/>
          </w:sdtPr>
          <w:sdtContent>
            <w:tc>
              <w:tcPr>
                <w:tcW w:w="9557" w:type="dxa"/>
                <w:vAlign w:val="center"/>
              </w:tcPr>
              <w:p>
                <w:pPr>
                  <w:widowControl w:val="0"/>
                  <w:jc w:val="center"/>
                  <w:rPr>
                    <w:rFonts w:ascii="Arial" w:hAnsi="Arial"/>
                    <w:bCs/>
                    <w:kern w:val="2"/>
                  </w:rPr>
                </w:pPr>
                <w:r>
                  <w:rPr>
                    <w:rFonts w:ascii="Arial" w:hAnsi="Arial" w:hint="eastAsia"/>
                    <w:bCs/>
                    <w:kern w:val="2"/>
                  </w:rPr>
                  <w:t>付息兑付情况的说明</w:t>
                </w:r>
              </w:p>
            </w:tc>
          </w:sdtContent>
        </w:sdt>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2021年度第一期中期票据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2022年度第一期中期票据(品种二)</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2024年度第一期中期票据(科创票据)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2024年度第二期中期票据(科创票据)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lastRenderedPageBreak/>
              <w:t>2024年度第三期中期票据(科创票据)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2024年度第四期中期票据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2022年度第一期中期票据(品种一)</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公司按期兑付了本金及利息，未出现违约行为。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2022年度第二期中期票据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公司按期兑付了本金及利息，未出现违约行为。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2023年度第一期中期票据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公司按期兑付了本金及利息，未出现违约行为。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2023年度第二期中期票据(科创票据)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公司按期兑付了本金及利息，未出现违约行为。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rPr>
            </w:pPr>
            <w:r>
              <w:rPr>
                <w:rFonts w:ascii="宋体" w:hAnsi="宋体" w:cstheme="minorBidi" w:hint="eastAsia"/>
                <w:kern w:val="2"/>
                <w:szCs w:val="24"/>
                <w:lang w:bidi="ar"/>
              </w:rPr>
              <w:t>2024年度第二期超短期融资券(科创票据)</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公司按期兑付了本金及利息，未出现违约行为。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lang w:bidi="ar"/>
              </w:rPr>
            </w:pPr>
            <w:r>
              <w:rPr>
                <w:rFonts w:ascii="宋体" w:hAnsi="宋体" w:cstheme="minorBidi" w:hint="eastAsia"/>
                <w:kern w:val="2"/>
                <w:szCs w:val="24"/>
                <w:lang w:bidi="ar"/>
              </w:rPr>
              <w:t>2024年度第三期超短期融资券</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公司按期兑付了本金及利息，未出现违约行为。</w:t>
            </w:r>
          </w:p>
        </w:tc>
      </w:tr>
      <w:tr>
        <w:tc>
          <w:tcPr>
            <w:tcW w:w="4531" w:type="dxa"/>
            <w:tcBorders>
              <w:top w:val="single" w:sz="4" w:space="0" w:color="auto"/>
              <w:left w:val="single" w:sz="4" w:space="0" w:color="auto"/>
              <w:bottom w:val="single" w:sz="4" w:space="0" w:color="auto"/>
              <w:right w:val="single" w:sz="4" w:space="0" w:color="auto"/>
            </w:tcBorders>
            <w:vAlign w:val="bottom"/>
          </w:tcPr>
          <w:p>
            <w:pPr>
              <w:rPr>
                <w:rFonts w:ascii="宋体" w:hAnsi="宋体"/>
                <w:lang w:bidi="ar"/>
              </w:rPr>
            </w:pPr>
            <w:r>
              <w:rPr>
                <w:rFonts w:ascii="宋体" w:hAnsi="宋体" w:cstheme="minorBidi" w:hint="eastAsia"/>
                <w:kern w:val="2"/>
                <w:szCs w:val="24"/>
                <w:lang w:bidi="ar"/>
              </w:rPr>
              <w:t>2025年度第一期超短期融资券</w:t>
            </w:r>
          </w:p>
        </w:tc>
        <w:tc>
          <w:tcPr>
            <w:tcW w:w="9557"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lang w:bidi="ar"/>
              </w:rPr>
            </w:pPr>
            <w:r>
              <w:rPr>
                <w:rFonts w:ascii="宋体" w:hAnsi="宋体" w:cstheme="minorBidi" w:hint="eastAsia"/>
                <w:kern w:val="2"/>
                <w:szCs w:val="24"/>
                <w:lang w:bidi="ar"/>
              </w:rPr>
              <w:t>公司按期兑付了本金及利息，未出现违约行为。</w:t>
            </w:r>
          </w:p>
        </w:tc>
      </w:tr>
    </w:tbl>
    <w:p>
      <w:pPr>
        <w:rPr>
          <w:kern w:val="2"/>
        </w:rPr>
      </w:pPr>
    </w:p>
    <w:p>
      <w:pPr>
        <w:pStyle w:val="4"/>
        <w:numPr>
          <w:ilvl w:val="0"/>
          <w:numId w:val="65"/>
        </w:numPr>
        <w:rPr>
          <w:rFonts w:ascii="宋体" w:hAnsi="宋体" w:cs="宋体"/>
          <w:kern w:val="0"/>
          <w:szCs w:val="24"/>
        </w:rPr>
      </w:pPr>
      <w:r>
        <w:rPr>
          <w:rFonts w:ascii="宋体" w:hAnsi="宋体" w:cs="宋体"/>
          <w:kern w:val="0"/>
          <w:szCs w:val="24"/>
        </w:rPr>
        <w:t>公司或投资者选择权条款、投资者保护条款的触发和执行情况</w:t>
      </w:r>
    </w:p>
    <w:sdt>
      <w:sdtPr>
        <w:rPr>
          <w:bCs/>
          <w:kern w:val="2"/>
        </w:rPr>
        <w:alias w:val="是否适用：发行人或投资者选择权条款、投资者保护条款的触发和执行情况[双击切换]"/>
        <w:tag w:val="_GBC_29b68446298e49dbadc3c1f0fccb04bd"/>
        <w:id w:val="-1581821407"/>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pStyle w:val="Style49"/>
      </w:pPr>
    </w:p>
    <w:p>
      <w:pPr>
        <w:pStyle w:val="4"/>
        <w:numPr>
          <w:ilvl w:val="0"/>
          <w:numId w:val="65"/>
        </w:numPr>
        <w:rPr>
          <w:rFonts w:ascii="宋体" w:hAnsi="宋体" w:cs="宋体"/>
          <w:kern w:val="0"/>
          <w:szCs w:val="24"/>
        </w:rPr>
      </w:pPr>
      <w:r>
        <w:rPr>
          <w:rFonts w:ascii="宋体" w:hAnsi="宋体" w:cs="宋体"/>
          <w:kern w:val="0"/>
          <w:szCs w:val="24"/>
        </w:rPr>
        <w:t>为债券发行及存续期业务提供服务的中介机构</w:t>
      </w:r>
    </w:p>
    <w:tbl>
      <w:tblPr>
        <w:tblStyle w:val="Style63"/>
        <w:tblW w:w="140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2817"/>
        <w:gridCol w:w="2817"/>
        <w:gridCol w:w="2817"/>
        <w:gridCol w:w="2817"/>
      </w:tblGrid>
      <w:tr>
        <w:trPr>
          <w:trHeight w:val="350"/>
        </w:trPr>
        <w:sdt>
          <w:sdtPr>
            <w:tag w:val="_PLD_8eb147e9f61749b38a4e80de160775ed"/>
            <w:id w:val="124673806"/>
          </w:sdtPr>
          <w:sdtEndPr>
            <w:rPr>
              <w:rFonts w:hint="eastAsia"/>
            </w:rPr>
          </w:sdtEndPr>
          <w:sdtContent>
            <w:tc>
              <w:tcPr>
                <w:tcW w:w="2817" w:type="dxa"/>
                <w:vAlign w:val="center"/>
              </w:tcPr>
              <w:p>
                <w:pPr>
                  <w:widowControl w:val="0"/>
                  <w:jc w:val="center"/>
                </w:pPr>
                <w:r>
                  <w:t>中介</w:t>
                </w:r>
                <w:r>
                  <w:rPr>
                    <w:rFonts w:hint="eastAsia"/>
                  </w:rPr>
                  <w:t>机构名称</w:t>
                </w:r>
              </w:p>
            </w:tc>
          </w:sdtContent>
        </w:sdt>
        <w:sdt>
          <w:sdtPr>
            <w:tag w:val="_PLD_d8c755406d384402b6e9db83baed229e"/>
            <w:id w:val="-231933863"/>
          </w:sdtPr>
          <w:sdtContent>
            <w:tc>
              <w:tcPr>
                <w:tcW w:w="2817" w:type="dxa"/>
                <w:vAlign w:val="center"/>
              </w:tcPr>
              <w:p>
                <w:pPr>
                  <w:widowControl w:val="0"/>
                  <w:jc w:val="center"/>
                </w:pPr>
                <w:r>
                  <w:t>办公地址</w:t>
                </w:r>
              </w:p>
            </w:tc>
          </w:sdtContent>
        </w:sdt>
        <w:sdt>
          <w:sdtPr>
            <w:tag w:val="_PLD_5b3a890e8ee146f4b6998072bb63c99d"/>
            <w:id w:val="-484164944"/>
          </w:sdtPr>
          <w:sdtContent>
            <w:tc>
              <w:tcPr>
                <w:tcW w:w="2817" w:type="dxa"/>
                <w:vAlign w:val="center"/>
              </w:tcPr>
              <w:p>
                <w:pPr>
                  <w:widowControl w:val="0"/>
                  <w:jc w:val="center"/>
                </w:pPr>
                <w:r>
                  <w:t>签字会计师姓名</w:t>
                </w:r>
                <w:r>
                  <w:rPr>
                    <w:rFonts w:hint="eastAsia"/>
                  </w:rPr>
                  <w:t>（如适用）</w:t>
                </w:r>
              </w:p>
            </w:tc>
          </w:sdtContent>
        </w:sdt>
        <w:sdt>
          <w:sdtPr>
            <w:tag w:val="_PLD_05828c1db7714364bc3140c6b14aa392"/>
            <w:id w:val="-831532545"/>
          </w:sdtPr>
          <w:sdtContent>
            <w:tc>
              <w:tcPr>
                <w:tcW w:w="2817" w:type="dxa"/>
                <w:vAlign w:val="center"/>
              </w:tcPr>
              <w:p>
                <w:pPr>
                  <w:widowControl w:val="0"/>
                  <w:jc w:val="center"/>
                </w:pPr>
                <w:r>
                  <w:t>联系人</w:t>
                </w:r>
              </w:p>
            </w:tc>
          </w:sdtContent>
        </w:sdt>
        <w:sdt>
          <w:sdtPr>
            <w:tag w:val="_PLD_0b6d6104bec94adca921a304b7dab0d2"/>
            <w:id w:val="-1619901128"/>
          </w:sdtPr>
          <w:sdtContent>
            <w:tc>
              <w:tcPr>
                <w:tcW w:w="2817" w:type="dxa"/>
                <w:vAlign w:val="center"/>
              </w:tcPr>
              <w:p>
                <w:pPr>
                  <w:widowControl w:val="0"/>
                  <w:jc w:val="center"/>
                </w:pPr>
                <w:r>
                  <w:t>联系电话</w:t>
                </w:r>
              </w:p>
            </w:tc>
          </w:sdtContent>
        </w:sdt>
      </w:tr>
      <w:tr>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招商银行股份有限公司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广东省深圳市福田区深南大道7088号</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冯所腾、范勋</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郭菲</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0531-55663546</w:t>
            </w:r>
          </w:p>
        </w:tc>
      </w:tr>
      <w:tr>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兴业银行股份有限公司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福建省福州市台江区江滨中大道398号</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吴钟鸣、潘盛</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范蕾</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0531-81755630</w:t>
            </w:r>
          </w:p>
        </w:tc>
      </w:tr>
      <w:tr>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联合资信评估股份有限公司</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北京市朝阳区建国门外大街2号中国人保财险大厦17层</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茆广勤</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沈燕</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010-85679696</w:t>
            </w:r>
          </w:p>
        </w:tc>
      </w:tr>
      <w:tr>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中诚信国际信用评级有限责任公司</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北京市东城区南竹杆胡同2号1幢60101</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袁振湘、倪晓璐</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李路易</w:t>
            </w:r>
          </w:p>
        </w:tc>
        <w:tc>
          <w:tcPr>
            <w:tcW w:w="2817"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kern w:val="2"/>
              </w:rPr>
              <w:t>010</w:t>
            </w:r>
            <w:r>
              <w:rPr>
                <w:rFonts w:ascii="宋体" w:hAnsi="宋体"/>
                <w:kern w:val="2"/>
              </w:rPr>
              <w:t>-</w:t>
            </w:r>
            <w:r>
              <w:rPr>
                <w:rFonts w:ascii="宋体" w:hAnsi="宋体" w:hint="eastAsia"/>
                <w:kern w:val="2"/>
              </w:rPr>
              <w:t>66428877</w:t>
            </w:r>
          </w:p>
        </w:tc>
      </w:tr>
    </w:tbl>
    <w:p>
      <w:pPr>
        <w:pStyle w:val="Style49"/>
      </w:pPr>
    </w:p>
    <w:p>
      <w:pPr>
        <w:pStyle w:val="Style49"/>
      </w:pPr>
      <w:r>
        <w:t>上述中介机构发生变更的情况</w:t>
      </w:r>
    </w:p>
    <w:sdt>
      <w:sdtPr>
        <w:rPr>
          <w:rFonts w:hint="eastAsia"/>
          <w:bCs/>
          <w:kern w:val="2"/>
        </w:rPr>
        <w:alias w:val="是否适用：中介机构发生变更的情况[双击切换]"/>
        <w:tag w:val="_GBC_25ec7507c9ce4cc2be25b4cb88ba2dca"/>
        <w:id w:val="-853493519"/>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pStyle w:val="Style49"/>
      </w:pPr>
    </w:p>
    <w:p>
      <w:pPr>
        <w:pStyle w:val="4"/>
        <w:numPr>
          <w:ilvl w:val="0"/>
          <w:numId w:val="65"/>
        </w:numPr>
        <w:rPr>
          <w:rFonts w:ascii="宋体" w:hAnsi="宋体" w:cs="宋体"/>
          <w:kern w:val="0"/>
          <w:szCs w:val="24"/>
        </w:rPr>
      </w:pPr>
      <w:r>
        <w:rPr>
          <w:rFonts w:ascii="宋体" w:hAnsi="宋体" w:cs="宋体"/>
          <w:kern w:val="0"/>
          <w:szCs w:val="24"/>
        </w:rPr>
        <w:t>报告期末募集资金使用情况</w:t>
      </w:r>
    </w:p>
    <w:sdt>
      <w:sdtPr>
        <w:rPr>
          <w:rFonts w:hint="eastAsia"/>
          <w:bCs/>
          <w:kern w:val="2"/>
        </w:rPr>
        <w:alias w:val="是否适用：报告期末募集资金使用情况[双击切换]"/>
        <w:tag w:val="_GBC_e2bff90301e34c89b1186a3302473621"/>
        <w:id w:val="1308357321"/>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jc w:val="right"/>
      </w:pPr>
      <w:r>
        <w:rPr>
          <w:rFonts w:hint="eastAsia"/>
        </w:rPr>
        <w:lastRenderedPageBreak/>
        <w:t>单位</w:t>
      </w:r>
      <w:r>
        <w:t>：</w:t>
      </w:r>
      <w:sdt>
        <w:sdtPr>
          <w:alias w:val="单位：报告期末募集资金使用情况"/>
          <w:tag w:val="_GBC_781679a1f58441f788ba00e507f2fcfc"/>
          <w:id w:val="-198322207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亿元</w:t>
          </w:r>
        </w:sdtContent>
      </w:sdt>
      <w:r>
        <w:rPr>
          <w:rFonts w:hint="eastAsia"/>
        </w:rPr>
        <w:t xml:space="preserve">  </w:t>
      </w:r>
      <w:r>
        <w:rPr>
          <w:rFonts w:hint="eastAsia"/>
        </w:rPr>
        <w:t>币种</w:t>
      </w:r>
      <w:r>
        <w:t>：</w:t>
      </w:r>
      <w:sdt>
        <w:sdtPr>
          <w:alias w:val="币种：报告期末募集资金使用情况"/>
          <w:tag w:val="_GBC_8e772a6c82fa412894a1f2364046bc19"/>
          <w:id w:val="-21228277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Style63"/>
        <w:tblW w:w="140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009"/>
        <w:gridCol w:w="2009"/>
        <w:gridCol w:w="2009"/>
        <w:gridCol w:w="2009"/>
        <w:gridCol w:w="2009"/>
        <w:gridCol w:w="2012"/>
      </w:tblGrid>
      <w:tr>
        <w:sdt>
          <w:sdtPr>
            <w:tag w:val="_PLD_21943ae0cc5e4a83a88ad7a140d8ae2d"/>
            <w:id w:val="33860347"/>
          </w:sdtPr>
          <w:sdtContent>
            <w:tc>
              <w:tcPr>
                <w:tcW w:w="2009" w:type="dxa"/>
                <w:vAlign w:val="center"/>
              </w:tcPr>
              <w:p>
                <w:pPr>
                  <w:widowControl w:val="0"/>
                  <w:jc w:val="center"/>
                  <w:rPr>
                    <w:rFonts w:ascii="Arial" w:hAnsi="Arial"/>
                    <w:bCs/>
                    <w:kern w:val="2"/>
                  </w:rPr>
                </w:pPr>
                <w:r>
                  <w:rPr>
                    <w:rFonts w:ascii="Arial" w:hAnsi="Arial"/>
                    <w:bCs/>
                    <w:kern w:val="2"/>
                  </w:rPr>
                  <w:t>债券名称</w:t>
                </w:r>
              </w:p>
            </w:tc>
          </w:sdtContent>
        </w:sdt>
        <w:sdt>
          <w:sdtPr>
            <w:tag w:val="_PLD_34521678e26049cbac61848e15a7da9f"/>
            <w:id w:val="-1182280138"/>
          </w:sdtPr>
          <w:sdtContent>
            <w:tc>
              <w:tcPr>
                <w:tcW w:w="2009" w:type="dxa"/>
                <w:vAlign w:val="center"/>
              </w:tcPr>
              <w:p>
                <w:pPr>
                  <w:widowControl w:val="0"/>
                  <w:jc w:val="center"/>
                  <w:rPr>
                    <w:rFonts w:ascii="Arial" w:hAnsi="Arial"/>
                    <w:bCs/>
                    <w:kern w:val="2"/>
                  </w:rPr>
                </w:pPr>
                <w:r>
                  <w:rPr>
                    <w:rFonts w:ascii="Arial" w:hAnsi="Arial" w:hint="eastAsia"/>
                    <w:bCs/>
                    <w:kern w:val="2"/>
                  </w:rPr>
                  <w:t>募集资金总金额</w:t>
                </w:r>
              </w:p>
            </w:tc>
          </w:sdtContent>
        </w:sdt>
        <w:sdt>
          <w:sdtPr>
            <w:tag w:val="_PLD_83eeda2ccb4047c9b02dfcccd06b2dfa"/>
            <w:id w:val="1237978216"/>
          </w:sdtPr>
          <w:sdtContent>
            <w:tc>
              <w:tcPr>
                <w:tcW w:w="2009" w:type="dxa"/>
                <w:vAlign w:val="center"/>
              </w:tcPr>
              <w:p>
                <w:pPr>
                  <w:widowControl w:val="0"/>
                  <w:jc w:val="center"/>
                  <w:rPr>
                    <w:rFonts w:ascii="Arial" w:hAnsi="Arial"/>
                    <w:bCs/>
                    <w:kern w:val="2"/>
                  </w:rPr>
                </w:pPr>
                <w:r>
                  <w:rPr>
                    <w:rFonts w:ascii="Arial" w:hAnsi="Arial" w:hint="eastAsia"/>
                    <w:bCs/>
                    <w:kern w:val="2"/>
                  </w:rPr>
                  <w:t>已使用金额</w:t>
                </w:r>
              </w:p>
            </w:tc>
          </w:sdtContent>
        </w:sdt>
        <w:sdt>
          <w:sdtPr>
            <w:tag w:val="_PLD_07703d6483ba4ba28083f27c67e18ea8"/>
            <w:id w:val="749164143"/>
          </w:sdtPr>
          <w:sdtContent>
            <w:tc>
              <w:tcPr>
                <w:tcW w:w="2009" w:type="dxa"/>
                <w:vAlign w:val="center"/>
              </w:tcPr>
              <w:p>
                <w:pPr>
                  <w:widowControl w:val="0"/>
                  <w:jc w:val="center"/>
                  <w:rPr>
                    <w:rFonts w:ascii="Arial" w:hAnsi="Arial"/>
                    <w:bCs/>
                    <w:kern w:val="2"/>
                  </w:rPr>
                </w:pPr>
                <w:r>
                  <w:rPr>
                    <w:rFonts w:ascii="Arial" w:hAnsi="Arial" w:hint="eastAsia"/>
                    <w:bCs/>
                    <w:kern w:val="2"/>
                  </w:rPr>
                  <w:t>未使用金额</w:t>
                </w:r>
              </w:p>
            </w:tc>
          </w:sdtContent>
        </w:sdt>
        <w:sdt>
          <w:sdtPr>
            <w:tag w:val="_PLD_25b6db4e0914413b9e918f93d084824e"/>
            <w:id w:val="1149018981"/>
          </w:sdtPr>
          <w:sdtContent>
            <w:tc>
              <w:tcPr>
                <w:tcW w:w="2009" w:type="dxa"/>
                <w:vAlign w:val="center"/>
              </w:tcPr>
              <w:p>
                <w:pPr>
                  <w:widowControl w:val="0"/>
                  <w:jc w:val="center"/>
                  <w:rPr>
                    <w:rFonts w:ascii="Arial" w:hAnsi="Arial"/>
                    <w:bCs/>
                    <w:kern w:val="2"/>
                  </w:rPr>
                </w:pPr>
                <w:r>
                  <w:rPr>
                    <w:rFonts w:ascii="Arial" w:hAnsi="Arial" w:hint="eastAsia"/>
                    <w:bCs/>
                    <w:kern w:val="2"/>
                  </w:rPr>
                  <w:t>募集资金专项账户运作情况（如有）</w:t>
                </w:r>
              </w:p>
            </w:tc>
          </w:sdtContent>
        </w:sdt>
        <w:sdt>
          <w:sdtPr>
            <w:tag w:val="_PLD_928f8b809f424611bebdd3f6fc10174a"/>
            <w:id w:val="-830905454"/>
          </w:sdtPr>
          <w:sdtContent>
            <w:tc>
              <w:tcPr>
                <w:tcW w:w="2009" w:type="dxa"/>
                <w:vAlign w:val="center"/>
              </w:tcPr>
              <w:p>
                <w:pPr>
                  <w:widowControl w:val="0"/>
                  <w:jc w:val="center"/>
                  <w:rPr>
                    <w:rFonts w:ascii="Arial" w:hAnsi="Arial"/>
                    <w:bCs/>
                    <w:kern w:val="2"/>
                  </w:rPr>
                </w:pPr>
                <w:r>
                  <w:rPr>
                    <w:rFonts w:ascii="Arial" w:hAnsi="Arial" w:hint="eastAsia"/>
                    <w:bCs/>
                    <w:kern w:val="2"/>
                  </w:rPr>
                  <w:t>募集资金违规使用的整改情况（如有）</w:t>
                </w:r>
              </w:p>
            </w:tc>
          </w:sdtContent>
        </w:sdt>
        <w:sdt>
          <w:sdtPr>
            <w:tag w:val="_PLD_225d8dc7a0b8436cb122184030834813"/>
            <w:id w:val="1039940632"/>
          </w:sdtPr>
          <w:sdtContent>
            <w:tc>
              <w:tcPr>
                <w:tcW w:w="2012" w:type="dxa"/>
                <w:vAlign w:val="center"/>
              </w:tcPr>
              <w:p>
                <w:pPr>
                  <w:widowControl w:val="0"/>
                  <w:jc w:val="center"/>
                  <w:rPr>
                    <w:rFonts w:ascii="Arial" w:hAnsi="Arial"/>
                    <w:bCs/>
                    <w:kern w:val="2"/>
                  </w:rPr>
                </w:pPr>
                <w:r>
                  <w:rPr>
                    <w:rFonts w:ascii="Arial" w:hAnsi="Arial" w:hint="eastAsia"/>
                    <w:bCs/>
                    <w:kern w:val="2"/>
                  </w:rPr>
                  <w:t>是否与募集说明书承诺的用途、使用计划及其他约定一致</w:t>
                </w:r>
              </w:p>
            </w:tc>
          </w:sdtContent>
        </w:sdt>
      </w:tr>
      <w:tr>
        <w:tc>
          <w:tcPr>
            <w:tcW w:w="200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2025年度第一期中期票据</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theme="minorBidi" w:hint="eastAsia"/>
                <w:kern w:val="2"/>
                <w:szCs w:val="24"/>
                <w:lang w:bidi="ar"/>
              </w:rPr>
              <w:t>30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theme="minorBidi" w:hint="eastAsia"/>
                <w:kern w:val="2"/>
                <w:szCs w:val="24"/>
                <w:lang w:bidi="ar"/>
              </w:rPr>
              <w:t>30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kern w:val="2"/>
              </w:rPr>
              <w:t>0</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kern w:val="2"/>
              </w:rPr>
              <w:t>不适用</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kern w:val="2"/>
              </w:rPr>
              <w:t>不适用</w:t>
            </w:r>
          </w:p>
        </w:tc>
        <w:sdt>
          <w:sdtPr>
            <w:rPr>
              <w:rFonts w:hint="eastAsia"/>
              <w:bCs/>
              <w:kern w:val="2"/>
            </w:rPr>
            <w:alias w:val="报告期末募集资金使用情况明细_是否与募集说明书承诺的用途、使用计划及其他约定一致"/>
            <w:tag w:val="_GBC_3cf15c1f62da41c2801ac3a1a5e23619"/>
            <w:id w:val="-1478528342"/>
            <w:comboBox>
              <w:listItem w:displayText="是" w:value="是"/>
              <w:listItem w:displayText="否" w:value="否"/>
            </w:comboBox>
          </w:sdtPr>
          <w:sdtContent>
            <w:tc>
              <w:tcPr>
                <w:tcW w:w="2012" w:type="dxa"/>
                <w:vAlign w:val="center"/>
              </w:tcPr>
              <w:p>
                <w:pPr>
                  <w:widowControl w:val="0"/>
                  <w:rPr>
                    <w:bCs/>
                    <w:kern w:val="2"/>
                  </w:rPr>
                </w:pPr>
                <w:r>
                  <w:rPr>
                    <w:rFonts w:hint="eastAsia"/>
                    <w:bCs/>
                    <w:kern w:val="2"/>
                  </w:rPr>
                  <w:t>是</w:t>
                </w:r>
              </w:p>
            </w:tc>
          </w:sdtContent>
        </w:sdt>
      </w:tr>
      <w:tr>
        <w:tc>
          <w:tcPr>
            <w:tcW w:w="200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2025年度第一期超短期融资券</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cstheme="minorBidi" w:hint="eastAsia"/>
                <w:kern w:val="2"/>
                <w:szCs w:val="24"/>
                <w:lang w:bidi="ar"/>
              </w:rPr>
              <w:t>20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cstheme="minorBidi" w:hint="eastAsia"/>
                <w:kern w:val="2"/>
                <w:szCs w:val="24"/>
                <w:lang w:bidi="ar"/>
              </w:rPr>
              <w:t>20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hint="eastAsia"/>
                <w:kern w:val="2"/>
                <w:lang w:bidi="ar"/>
              </w:rPr>
              <w:t>0</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kern w:val="2"/>
              </w:rPr>
              <w:t>不适用</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kern w:val="2"/>
              </w:rPr>
              <w:t>不适用</w:t>
            </w:r>
          </w:p>
        </w:tc>
        <w:tc>
          <w:tcPr>
            <w:tcW w:w="2012" w:type="dxa"/>
            <w:vAlign w:val="center"/>
          </w:tcPr>
          <w:p>
            <w:pPr>
              <w:widowControl w:val="0"/>
              <w:rPr>
                <w:bCs/>
                <w:kern w:val="2"/>
              </w:rPr>
            </w:pPr>
            <w:r>
              <w:rPr>
                <w:rFonts w:hint="eastAsia"/>
                <w:bCs/>
                <w:kern w:val="2"/>
              </w:rPr>
              <w:t>是</w:t>
            </w:r>
          </w:p>
        </w:tc>
      </w:tr>
      <w:tr>
        <w:tc>
          <w:tcPr>
            <w:tcW w:w="200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2025年度第二期科技创新债券</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cstheme="minorBidi" w:hint="eastAsia"/>
                <w:kern w:val="2"/>
                <w:szCs w:val="24"/>
                <w:lang w:bidi="ar"/>
              </w:rPr>
              <w:t>30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cstheme="minorBidi" w:hint="eastAsia"/>
                <w:kern w:val="2"/>
                <w:szCs w:val="24"/>
                <w:lang w:bidi="ar"/>
              </w:rPr>
              <w:t>30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hint="eastAsia"/>
                <w:kern w:val="2"/>
                <w:lang w:bidi="ar"/>
              </w:rPr>
              <w:t>0</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kern w:val="2"/>
              </w:rPr>
              <w:t>不适用</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kern w:val="2"/>
              </w:rPr>
              <w:t>不适用</w:t>
            </w:r>
          </w:p>
        </w:tc>
        <w:tc>
          <w:tcPr>
            <w:tcW w:w="2012" w:type="dxa"/>
            <w:vAlign w:val="center"/>
          </w:tcPr>
          <w:p>
            <w:pPr>
              <w:widowControl w:val="0"/>
              <w:rPr>
                <w:bCs/>
                <w:kern w:val="2"/>
              </w:rPr>
            </w:pPr>
            <w:r>
              <w:rPr>
                <w:rFonts w:hint="eastAsia"/>
                <w:bCs/>
                <w:kern w:val="2"/>
              </w:rPr>
              <w:t>是</w:t>
            </w:r>
          </w:p>
        </w:tc>
      </w:tr>
      <w:tr>
        <w:tc>
          <w:tcPr>
            <w:tcW w:w="200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2025年度第三期科技创新债券</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cstheme="minorBidi" w:hint="eastAsia"/>
                <w:kern w:val="2"/>
                <w:szCs w:val="24"/>
                <w:lang w:bidi="ar"/>
              </w:rPr>
              <w:t>30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cstheme="minorBidi" w:hint="eastAsia"/>
                <w:kern w:val="2"/>
                <w:szCs w:val="24"/>
                <w:lang w:bidi="ar"/>
              </w:rPr>
              <w:t>30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hint="eastAsia"/>
                <w:kern w:val="2"/>
                <w:lang w:bidi="ar"/>
              </w:rPr>
              <w:t>0</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kern w:val="2"/>
              </w:rPr>
              <w:t>不适用</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kern w:val="2"/>
              </w:rPr>
              <w:t>不适用</w:t>
            </w:r>
          </w:p>
        </w:tc>
        <w:tc>
          <w:tcPr>
            <w:tcW w:w="2012" w:type="dxa"/>
            <w:vAlign w:val="center"/>
          </w:tcPr>
          <w:p>
            <w:pPr>
              <w:widowControl w:val="0"/>
              <w:rPr>
                <w:bCs/>
                <w:kern w:val="2"/>
              </w:rPr>
            </w:pPr>
            <w:r>
              <w:rPr>
                <w:rFonts w:hint="eastAsia"/>
                <w:bCs/>
                <w:kern w:val="2"/>
              </w:rPr>
              <w:t>是</w:t>
            </w:r>
          </w:p>
        </w:tc>
      </w:tr>
      <w:tr>
        <w:tc>
          <w:tcPr>
            <w:tcW w:w="2009" w:type="dxa"/>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2025年度第四期科技创新债券</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cstheme="minorBidi" w:hint="eastAsia"/>
                <w:kern w:val="2"/>
                <w:szCs w:val="24"/>
                <w:lang w:bidi="ar"/>
              </w:rPr>
              <w:t>30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cstheme="minorBidi" w:hint="eastAsia"/>
                <w:kern w:val="2"/>
                <w:szCs w:val="24"/>
                <w:lang w:bidi="ar"/>
              </w:rPr>
              <w:t>30</w:t>
            </w:r>
          </w:p>
        </w:tc>
        <w:tc>
          <w:tcPr>
            <w:tcW w:w="20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lang w:bidi="ar"/>
              </w:rPr>
            </w:pPr>
            <w:r>
              <w:rPr>
                <w:rFonts w:ascii="宋体" w:hAnsi="宋体" w:hint="eastAsia"/>
                <w:kern w:val="2"/>
                <w:lang w:bidi="ar"/>
              </w:rPr>
              <w:t>0</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kern w:val="2"/>
              </w:rPr>
              <w:t>不适用</w:t>
            </w:r>
          </w:p>
        </w:tc>
        <w:tc>
          <w:tcPr>
            <w:tcW w:w="20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bCs/>
              </w:rPr>
            </w:pPr>
            <w:r>
              <w:rPr>
                <w:rFonts w:ascii="宋体" w:hAnsi="宋体" w:hint="eastAsia"/>
                <w:kern w:val="2"/>
              </w:rPr>
              <w:t>不适用</w:t>
            </w:r>
          </w:p>
        </w:tc>
        <w:tc>
          <w:tcPr>
            <w:tcW w:w="2012" w:type="dxa"/>
            <w:vAlign w:val="center"/>
          </w:tcPr>
          <w:p>
            <w:pPr>
              <w:widowControl w:val="0"/>
              <w:rPr>
                <w:bCs/>
                <w:kern w:val="2"/>
              </w:rPr>
            </w:pPr>
            <w:r>
              <w:rPr>
                <w:rFonts w:hint="eastAsia"/>
                <w:bCs/>
                <w:kern w:val="2"/>
              </w:rPr>
              <w:t>是</w:t>
            </w:r>
          </w:p>
        </w:tc>
      </w:tr>
    </w:tbl>
    <w:p>
      <w:pPr>
        <w:rPr>
          <w:bCs/>
          <w:color w:val="333399"/>
          <w:kern w:val="2"/>
        </w:rPr>
      </w:pPr>
    </w:p>
    <w:p>
      <w:pPr>
        <w:rPr>
          <w:rFonts w:hAnsi="Arial"/>
          <w:bCs/>
          <w:kern w:val="2"/>
        </w:rPr>
      </w:pPr>
      <w:r>
        <w:rPr>
          <w:rFonts w:hAnsi="Arial" w:hint="eastAsia"/>
          <w:bCs/>
          <w:kern w:val="2"/>
        </w:rPr>
        <w:t>募集资金用于建设项目的进展情况及运营效益</w:t>
      </w:r>
    </w:p>
    <w:sdt>
      <w:sdtPr>
        <w:alias w:val="是否适用：募集资金用于建设项目的进展情况及运营效益[双击切换]"/>
        <w:tag w:val="_GBC_0158e16ca829406aab365a77c67abdd6"/>
        <w:id w:val="878448897"/>
        <w:placeholder>
          <w:docPart w:val="GBC22222222222222222222222222222"/>
        </w:placeholder>
      </w:sdtPr>
      <w:sdtContent>
        <w:p>
          <w:pPr>
            <w:rPr>
              <w:bCs/>
              <w:kern w:val="2"/>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bCs/>
          <w:kern w:val="2"/>
        </w:rPr>
      </w:pPr>
    </w:p>
    <w:p>
      <w:pPr>
        <w:rPr>
          <w:rFonts w:hAnsi="Arial"/>
          <w:bCs/>
          <w:kern w:val="2"/>
        </w:rPr>
      </w:pPr>
      <w:r>
        <w:rPr>
          <w:rFonts w:hAnsi="Arial" w:hint="eastAsia"/>
          <w:bCs/>
          <w:kern w:val="2"/>
        </w:rPr>
        <w:t>报告期内变更上述债券募集资金用途的说明</w:t>
      </w:r>
    </w:p>
    <w:sdt>
      <w:sdtPr>
        <w:alias w:val="是否适用：报告期内变更上述债券募集资金用途的说明 [双击切换]"/>
        <w:tag w:val="_GBC_370a70d6b5eb4e249f9ee8eaed406096"/>
        <w:id w:val="-1810238951"/>
        <w:placeholder>
          <w:docPart w:val="GBC22222222222222222222222222222"/>
        </w:placeholder>
      </w:sdtPr>
      <w:sdtContent>
        <w:p>
          <w:pPr>
            <w:rPr>
              <w:bCs/>
              <w:kern w:val="2"/>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bCs/>
          <w:kern w:val="2"/>
        </w:rPr>
      </w:pPr>
    </w:p>
    <w:p>
      <w:pPr>
        <w:adjustRightInd w:val="0"/>
        <w:snapToGrid w:val="0"/>
        <w:rPr>
          <w:rFonts w:hAnsi="Arial"/>
          <w:bCs/>
          <w:kern w:val="2"/>
        </w:rPr>
      </w:pPr>
      <w:r>
        <w:rPr>
          <w:rFonts w:ascii="Arial" w:hAnsi="Arial" w:hint="eastAsia"/>
          <w:bCs/>
          <w:kern w:val="2"/>
        </w:rPr>
        <w:t>其他说明：</w:t>
      </w:r>
    </w:p>
    <w:sdt>
      <w:sdtPr>
        <w:rPr>
          <w:rFonts w:hAnsi="Arial"/>
          <w:bCs/>
          <w:kern w:val="2"/>
        </w:rPr>
        <w:alias w:val="是否适用：报告期末募集资金使用情况其他说明[双击切换]"/>
        <w:tag w:val="_GBC_8df3925221de4bd5ba94a9f7c198e0b4"/>
        <w:id w:val="257644524"/>
        <w:placeholder>
          <w:docPart w:val="GBC22222222222222222222222222222"/>
        </w:placeholder>
      </w:sdtPr>
      <w:sdtContent>
        <w:p>
          <w:pPr>
            <w:adjustRightInd w:val="0"/>
            <w:snapToGrid w:val="0"/>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rPr>
          <w:b/>
          <w:bCs/>
          <w:kern w:val="2"/>
        </w:rPr>
      </w:pPr>
    </w:p>
    <w:p>
      <w:pPr>
        <w:pStyle w:val="4"/>
        <w:numPr>
          <w:ilvl w:val="0"/>
          <w:numId w:val="65"/>
        </w:numPr>
        <w:rPr>
          <w:rFonts w:ascii="宋体" w:hAnsi="宋体" w:cs="宋体"/>
          <w:kern w:val="0"/>
          <w:szCs w:val="24"/>
        </w:rPr>
      </w:pPr>
      <w:r>
        <w:rPr>
          <w:rFonts w:ascii="宋体" w:hAnsi="宋体" w:cs="宋体"/>
          <w:kern w:val="0"/>
          <w:szCs w:val="24"/>
        </w:rPr>
        <w:t>信用评级结果调整情况</w:t>
      </w:r>
    </w:p>
    <w:sdt>
      <w:sdtPr>
        <w:rPr>
          <w:rFonts w:hint="eastAsia"/>
          <w:bCs/>
          <w:color w:val="000000" w:themeColor="text1"/>
          <w:kern w:val="2"/>
        </w:rPr>
        <w:alias w:val="是否适用：公司债券评级情况[双击切换]"/>
        <w:tag w:val="_GBC_115a5cf8143a47a693a12973b934caac"/>
        <w:id w:val="1412271734"/>
        <w:placeholder>
          <w:docPart w:val="GBC22222222222222222222222222222"/>
        </w:placeholder>
      </w:sdtPr>
      <w:sdtContent>
        <w:p>
          <w:pPr>
            <w:rPr>
              <w:color w:val="000000" w:themeColor="text1"/>
            </w:rPr>
          </w:pP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p>
      <w:pPr>
        <w:rPr>
          <w:color w:val="000000" w:themeColor="text1"/>
        </w:rPr>
      </w:pPr>
    </w:p>
    <w:p>
      <w:pPr>
        <w:adjustRightInd w:val="0"/>
        <w:snapToGrid w:val="0"/>
        <w:rPr>
          <w:rFonts w:hAnsi="Arial"/>
          <w:bCs/>
          <w:kern w:val="2"/>
        </w:rPr>
      </w:pPr>
      <w:r>
        <w:rPr>
          <w:rFonts w:ascii="Arial" w:hAnsi="Arial" w:hint="eastAsia"/>
          <w:bCs/>
          <w:kern w:val="2"/>
        </w:rPr>
        <w:t>其他说明：</w:t>
      </w:r>
    </w:p>
    <w:sdt>
      <w:sdtPr>
        <w:rPr>
          <w:rFonts w:hAnsi="Arial" w:hint="eastAsia"/>
          <w:bCs/>
          <w:kern w:val="2"/>
        </w:rPr>
        <w:alias w:val="是否适用：信用评级结果调整情况其他说明[双击切换]"/>
        <w:tag w:val="_GBC_3883446d7d7345678f7e29fa32ad18f4"/>
        <w:id w:val="-1783942573"/>
        <w:placeholder>
          <w:docPart w:val="GBC22222222222222222222222222222"/>
        </w:placeholder>
      </w:sdtPr>
      <w:sdtContent>
        <w:p>
          <w:pPr>
            <w:adjustRightInd w:val="0"/>
            <w:snapToGrid w:val="0"/>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rPr>
          <w:b/>
          <w:bCs/>
          <w:kern w:val="2"/>
        </w:rPr>
      </w:pPr>
    </w:p>
    <w:p>
      <w:pPr>
        <w:pStyle w:val="4"/>
        <w:numPr>
          <w:ilvl w:val="0"/>
          <w:numId w:val="65"/>
        </w:numPr>
        <w:rPr>
          <w:rFonts w:ascii="宋体" w:hAnsi="宋体" w:cs="宋体"/>
          <w:kern w:val="0"/>
          <w:szCs w:val="24"/>
        </w:rPr>
      </w:pPr>
      <w:r>
        <w:rPr>
          <w:rFonts w:ascii="宋体" w:hAnsi="宋体" w:cs="宋体"/>
          <w:kern w:val="0"/>
          <w:szCs w:val="24"/>
        </w:rPr>
        <w:lastRenderedPageBreak/>
        <w:t>担保情况、偿债计划及其他偿债保障措施在报告期内的执行和变化情况及其影响</w:t>
      </w:r>
    </w:p>
    <w:sdt>
      <w:sdtPr>
        <w:rPr>
          <w:bCs/>
          <w:color w:val="000000" w:themeColor="text1"/>
          <w:kern w:val="2"/>
        </w:rPr>
        <w:alias w:val="是否适用：担保情况、偿债计划及其他偿债保障措施在报告期内的执行情况和变化情况及对债券投资者权益的影响[双击切换]"/>
        <w:tag w:val="_GBC_4adf3afc9c9f48ddb549dc4296576ba1"/>
        <w:id w:val="-68340720"/>
        <w:placeholder>
          <w:docPart w:val="GBC22222222222222222222222222222"/>
        </w:placeholder>
      </w:sdtPr>
      <w:sdtContent>
        <w:p>
          <w:pPr>
            <w:rPr>
              <w:bCs/>
              <w:color w:val="000000" w:themeColor="text1"/>
              <w:kern w:val="2"/>
            </w:rPr>
          </w:pP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□适用 </w:instrText>
          </w:r>
          <w:r>
            <w:rPr>
              <w:rFonts w:ascii="宋体" w:hAnsi="宋体"/>
              <w:bCs/>
              <w:color w:val="000000" w:themeColor="text1"/>
              <w:kern w:val="2"/>
            </w:rPr>
            <w:fldChar w:fldCharType="end"/>
          </w:r>
          <w:r>
            <w:rPr>
              <w:rFonts w:ascii="宋体" w:hAnsi="宋体"/>
              <w:bCs/>
              <w:color w:val="000000" w:themeColor="text1"/>
              <w:kern w:val="2"/>
            </w:rPr>
            <w:fldChar w:fldCharType="begin"/>
          </w:r>
          <w:r>
            <w:rPr>
              <w:rFonts w:ascii="宋体" w:hAnsi="宋体"/>
              <w:bCs/>
              <w:color w:val="000000" w:themeColor="text1"/>
              <w:kern w:val="2"/>
            </w:rPr>
            <w:instrText xml:space="preserve"> MACROBUTTON  SnrToggleCheckbox √不适用 </w:instrText>
          </w:r>
          <w:r>
            <w:rPr>
              <w:rFonts w:ascii="宋体" w:hAnsi="宋体"/>
              <w:bCs/>
              <w:color w:val="000000" w:themeColor="text1"/>
              <w:kern w:val="2"/>
            </w:rPr>
            <w:fldChar w:fldCharType="end"/>
          </w:r>
        </w:p>
      </w:sdtContent>
    </w:sdt>
    <w:p>
      <w:pPr>
        <w:rPr>
          <w:bCs/>
          <w:color w:val="000000" w:themeColor="text1"/>
          <w:kern w:val="2"/>
        </w:rPr>
      </w:pPr>
    </w:p>
    <w:p>
      <w:pPr>
        <w:pStyle w:val="4"/>
        <w:numPr>
          <w:ilvl w:val="0"/>
          <w:numId w:val="65"/>
        </w:numPr>
        <w:rPr>
          <w:rFonts w:ascii="宋体" w:hAnsi="宋体" w:cs="宋体"/>
          <w:kern w:val="0"/>
          <w:szCs w:val="24"/>
        </w:rPr>
      </w:pPr>
      <w:r>
        <w:rPr>
          <w:rFonts w:ascii="宋体" w:hAnsi="宋体" w:cs="宋体"/>
          <w:kern w:val="0"/>
          <w:szCs w:val="24"/>
        </w:rPr>
        <w:t>非金融企业债务融资工具其他情况的说明</w:t>
      </w:r>
    </w:p>
    <w:sdt>
      <w:sdtPr>
        <w:rPr>
          <w:bCs/>
          <w:kern w:val="2"/>
        </w:rPr>
        <w:alias w:val="是否适用：非金融企业债务融资工具其他情况的说明[双击切换]"/>
        <w:tag w:val="_GBC_5899cb6b67de4f5780dbbe891f91a36a"/>
        <w:id w:val="-1840072745"/>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bookmarkEnd w:id="332"/>
    <w:p>
      <w:pPr>
        <w:rPr>
          <w:color w:val="000000" w:themeColor="text1"/>
        </w:rPr>
      </w:pPr>
    </w:p>
    <w:p>
      <w:pPr>
        <w:rPr>
          <w:color w:val="000000" w:themeColor="text1"/>
        </w:rPr>
        <w:sectPr>
          <w:pgSz w:w="16838" w:h="11906" w:orient="landscape"/>
          <w:pgMar w:top="1797" w:right="1525" w:bottom="1276" w:left="1440" w:header="856" w:footer="992" w:gutter="0"/>
          <w:cols w:space="425"/>
          <w:docGrid w:linePitch="312"/>
        </w:sectPr>
      </w:pPr>
    </w:p>
    <w:p>
      <w:pPr>
        <w:pStyle w:val="3"/>
        <w:numPr>
          <w:ilvl w:val="0"/>
          <w:numId w:val="58"/>
        </w:numPr>
        <w:rPr>
          <w:rFonts w:ascii="宋体" w:hAnsi="宋体"/>
        </w:rPr>
      </w:pPr>
      <w:r>
        <w:rPr>
          <w:rFonts w:ascii="宋体" w:hAnsi="宋体" w:hint="eastAsia"/>
        </w:rPr>
        <w:lastRenderedPageBreak/>
        <w:t>公司报告期内合并报表范围亏损超过上年末净资产10%</w:t>
      </w:r>
    </w:p>
    <w:sdt>
      <w:sdtPr>
        <w:rPr>
          <w:bCs/>
          <w:kern w:val="2"/>
        </w:rPr>
        <w:alias w:val="是否适用：公司报告期内合并报表范围亏损超过上年末净资产10% [双击切换]"/>
        <w:tag w:val="_GBC_a7df93b62ba940818039a51a119d0f02"/>
        <w:id w:val="112179988"/>
        <w:placeholder>
          <w:docPart w:val="GBC22222222222222222222222222222"/>
        </w:placeholder>
      </w:sdtPr>
      <w:sdtContent>
        <w:p>
          <w:pPr>
            <w:adjustRightInd w:val="0"/>
            <w:snapToGrid w:val="0"/>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adjustRightInd w:val="0"/>
        <w:snapToGrid w:val="0"/>
        <w:rPr>
          <w:bCs/>
          <w:kern w:val="2"/>
        </w:rPr>
      </w:pPr>
    </w:p>
    <w:p>
      <w:pPr>
        <w:pStyle w:val="3"/>
        <w:numPr>
          <w:ilvl w:val="0"/>
          <w:numId w:val="58"/>
        </w:numPr>
        <w:rPr>
          <w:rFonts w:ascii="宋体" w:hAnsi="宋体"/>
        </w:rPr>
      </w:pPr>
      <w:bookmarkStart w:id="333" w:name="_Hlk89434058"/>
      <w:bookmarkEnd w:id="279"/>
      <w:r>
        <w:rPr>
          <w:rFonts w:ascii="宋体" w:hAnsi="宋体" w:hint="eastAsia"/>
        </w:rPr>
        <w:t>报告期末除债券外的有息债务逾期情况</w:t>
      </w:r>
    </w:p>
    <w:sdt>
      <w:sdtPr>
        <w:rPr>
          <w:rFonts w:ascii="Arial" w:hAnsi="Arial"/>
          <w:bCs/>
          <w:kern w:val="2"/>
        </w:rPr>
        <w:alias w:val="是否适用：报告期末除债券外的有息债务逾期情况[双击切换]"/>
        <w:tag w:val="_GBC_0fb37eae114040d9ac80c1e9f3088a62"/>
        <w:id w:val="1602606917"/>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pStyle w:val="affb"/>
        <w:rPr>
          <w:rFonts w:ascii="宋体" w:hAnsi="宋体"/>
          <w:strike/>
          <w:szCs w:val="21"/>
        </w:rPr>
      </w:pPr>
    </w:p>
    <w:p>
      <w:pPr>
        <w:pStyle w:val="3"/>
        <w:numPr>
          <w:ilvl w:val="0"/>
          <w:numId w:val="58"/>
        </w:numPr>
        <w:rPr>
          <w:rFonts w:ascii="宋体" w:hAnsi="宋体"/>
        </w:rPr>
      </w:pPr>
      <w:bookmarkStart w:id="334" w:name="_Hlk89434062"/>
      <w:bookmarkEnd w:id="333"/>
      <w:r>
        <w:rPr>
          <w:rFonts w:ascii="宋体" w:hAnsi="宋体" w:hint="eastAsia"/>
        </w:rPr>
        <w:t xml:space="preserve"> 报告期内违反法律法规、公司章程、信息披露事务管理制度规定的情况以及债券募集说明书约定或承诺的情况对债券投资者权益的影响</w:t>
      </w:r>
    </w:p>
    <w:sdt>
      <w:sdtPr>
        <w:rPr>
          <w:rFonts w:ascii="Arial" w:hAnsi="Arial"/>
          <w:bCs/>
          <w:kern w:val="2"/>
        </w:rPr>
        <w:alias w:val="是否适用：报告期内违反情况以及对债券投资者权益的影响 [双击切换]"/>
        <w:tag w:val="_GBC_2a67f483721a40bba3fde88f6d6334e1"/>
        <w:id w:val="-298688693"/>
        <w:placeholder>
          <w:docPart w:val="GBC22222222222222222222222222222"/>
        </w:placeholder>
      </w:sdtPr>
      <w:sdtContent>
        <w:p>
          <w:pPr>
            <w:rPr>
              <w:bCs/>
              <w:kern w:val="2"/>
            </w:rPr>
          </w:pPr>
          <w:r>
            <w:rPr>
              <w:rFonts w:ascii="宋体" w:hAnsi="宋体"/>
              <w:bCs/>
              <w:kern w:val="2"/>
            </w:rPr>
            <w:fldChar w:fldCharType="begin"/>
          </w:r>
          <w:r>
            <w:rPr>
              <w:rFonts w:ascii="宋体" w:hAnsi="宋体"/>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bCs/>
              <w:kern w:val="2"/>
            </w:rPr>
            <w:instrText xml:space="preserve"> MACROBUTTON  SnrToggleCheckbox √不适用 </w:instrText>
          </w:r>
          <w:r>
            <w:rPr>
              <w:rFonts w:ascii="宋体" w:hAnsi="宋体"/>
              <w:bCs/>
              <w:kern w:val="2"/>
            </w:rPr>
            <w:fldChar w:fldCharType="end"/>
          </w:r>
        </w:p>
      </w:sdtContent>
    </w:sdt>
    <w:p>
      <w:pPr>
        <w:spacing w:line="360" w:lineRule="auto"/>
        <w:rPr>
          <w:bCs/>
          <w:kern w:val="2"/>
        </w:rPr>
      </w:pPr>
    </w:p>
    <w:bookmarkEnd w:id="334"/>
    <w:p>
      <w:pPr>
        <w:pStyle w:val="3"/>
        <w:numPr>
          <w:ilvl w:val="0"/>
          <w:numId w:val="58"/>
        </w:numPr>
        <w:rPr>
          <w:rFonts w:ascii="宋体" w:hAnsi="宋体"/>
        </w:rPr>
      </w:pPr>
      <w:r>
        <w:rPr>
          <w:rFonts w:ascii="宋体" w:hAnsi="宋体" w:hint="eastAsia"/>
        </w:rPr>
        <w:t>截至报告期末公司近2年的会计数据和财务指标</w:t>
      </w:r>
    </w:p>
    <w:sdt>
      <w:sdtPr>
        <w:alias w:val="是否适用：截至报告期末公司近2年的会计数据和财务指标 [双击切换]"/>
        <w:tag w:val="_GBC_9d2e3e6ec7ce4a28bb2670635d7fa055"/>
        <w:id w:val="431784167"/>
        <w:placeholder>
          <w:docPart w:val="GBC22222222222222222222222222222"/>
        </w:placeholder>
      </w:sdtPr>
      <w:sdtContent>
        <w:p>
          <w:pPr>
            <w:pStyle w:val="Style49"/>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r>
        <w:t>：</w:t>
      </w:r>
      <w:sdt>
        <w:sdtPr>
          <w:alias w:val="单位：财务附注：截至报告期末公司近2年的会计数据和财务指标"/>
          <w:tag w:val="_GBC_d1b00d7bc3024e3b9a201ac818fee5f1"/>
          <w:id w:val="20573531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万元</w:t>
          </w:r>
        </w:sdtContent>
      </w:sdt>
      <w:r>
        <w:rPr>
          <w:rFonts w:hint="eastAsia"/>
        </w:rPr>
        <w:t xml:space="preserve">  </w:t>
      </w:r>
      <w:r>
        <w:rPr>
          <w:rFonts w:hint="eastAsia"/>
        </w:rPr>
        <w:t>币种</w:t>
      </w:r>
      <w:r>
        <w:t>：</w:t>
      </w:r>
      <w:sdt>
        <w:sdtPr>
          <w:alias w:val="币种：财务附注：截至报告期末公司近2年的会计数据和财务指标"/>
          <w:tag w:val="_GBC_48f2942a11ff459dbe700f63e54bd5c3"/>
          <w:id w:val="-5782844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Style63"/>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560"/>
        <w:gridCol w:w="1417"/>
        <w:gridCol w:w="2126"/>
      </w:tblGrid>
      <w:tr>
        <w:sdt>
          <w:sdtPr>
            <w:rPr>
              <w:rFonts w:ascii="宋体" w:hAnsi="宋体"/>
            </w:rPr>
            <w:tag w:val="_PLD_c4a92f21073e443f9446ff7111fb6224"/>
            <w:id w:val="-439677791"/>
          </w:sdtPr>
          <w:sdtContent>
            <w:tc>
              <w:tcPr>
                <w:tcW w:w="3964" w:type="dxa"/>
                <w:vAlign w:val="center"/>
              </w:tcPr>
              <w:p>
                <w:pPr>
                  <w:jc w:val="center"/>
                  <w:rPr>
                    <w:rFonts w:ascii="宋体" w:hAnsi="宋体"/>
                    <w:b/>
                    <w:bCs/>
                  </w:rPr>
                </w:pPr>
                <w:r>
                  <w:rPr>
                    <w:rFonts w:ascii="宋体" w:hAnsi="宋体" w:hint="eastAsia"/>
                  </w:rPr>
                  <w:t>主要指标</w:t>
                </w:r>
              </w:p>
            </w:tc>
          </w:sdtContent>
        </w:sdt>
        <w:sdt>
          <w:sdtPr>
            <w:rPr>
              <w:rFonts w:ascii="宋体" w:hAnsi="宋体"/>
            </w:rPr>
            <w:tag w:val="_PLD_bf5e3f06dc4c4abe895553a22a037989"/>
            <w:id w:val="-924489019"/>
          </w:sdtPr>
          <w:sdtContent>
            <w:tc>
              <w:tcPr>
                <w:tcW w:w="1560" w:type="dxa"/>
                <w:vAlign w:val="center"/>
              </w:tcPr>
              <w:p>
                <w:pPr>
                  <w:jc w:val="center"/>
                  <w:rPr>
                    <w:rFonts w:ascii="宋体" w:hAnsi="宋体"/>
                  </w:rPr>
                </w:pPr>
                <w:r>
                  <w:rPr>
                    <w:rFonts w:ascii="宋体" w:hAnsi="宋体" w:hint="eastAsia"/>
                  </w:rPr>
                  <w:t>2025年</w:t>
                </w:r>
              </w:p>
            </w:tc>
          </w:sdtContent>
        </w:sdt>
        <w:sdt>
          <w:sdtPr>
            <w:rPr>
              <w:rFonts w:ascii="宋体" w:hAnsi="宋体"/>
            </w:rPr>
            <w:tag w:val="_PLD_69413ee8ca194bb698daae7502cf06f5"/>
            <w:id w:val="1753160476"/>
          </w:sdtPr>
          <w:sdtContent>
            <w:tc>
              <w:tcPr>
                <w:tcW w:w="1417" w:type="dxa"/>
                <w:vAlign w:val="center"/>
              </w:tcPr>
              <w:p>
                <w:pPr>
                  <w:jc w:val="center"/>
                  <w:rPr>
                    <w:rFonts w:ascii="宋体" w:hAnsi="宋体"/>
                  </w:rPr>
                </w:pPr>
                <w:r>
                  <w:rPr>
                    <w:rFonts w:ascii="宋体" w:hAnsi="宋体" w:hint="eastAsia"/>
                  </w:rPr>
                  <w:t>2024年</w:t>
                </w:r>
              </w:p>
            </w:tc>
          </w:sdtContent>
        </w:sdt>
        <w:sdt>
          <w:sdtPr>
            <w:rPr>
              <w:rFonts w:ascii="宋体" w:hAnsi="宋体"/>
            </w:rPr>
            <w:tag w:val="_PLD_427de963d346444483f4ac9d33260078"/>
            <w:id w:val="1554127588"/>
          </w:sdtPr>
          <w:sdtContent>
            <w:tc>
              <w:tcPr>
                <w:tcW w:w="2126" w:type="dxa"/>
                <w:vAlign w:val="center"/>
              </w:tcPr>
              <w:p>
                <w:pPr>
                  <w:jc w:val="center"/>
                  <w:rPr>
                    <w:rFonts w:ascii="宋体" w:hAnsi="宋体"/>
                  </w:rPr>
                </w:pPr>
                <w:r>
                  <w:rPr>
                    <w:rFonts w:ascii="宋体" w:hAnsi="宋体" w:hint="eastAsia"/>
                  </w:rPr>
                  <w:t>本期比上年同期增减（%）</w:t>
                </w:r>
              </w:p>
            </w:tc>
          </w:sdtContent>
        </w:sdt>
      </w:tr>
      <w:tr>
        <w:tc>
          <w:tcPr>
            <w:tcW w:w="3964" w:type="dxa"/>
            <w:vAlign w:val="center"/>
          </w:tcPr>
          <w:p>
            <w:pPr>
              <w:pStyle w:val="Style49"/>
              <w:rPr>
                <w:rFonts w:ascii="宋体" w:hAnsi="宋体"/>
              </w:rPr>
            </w:pPr>
            <w:r>
              <w:rPr>
                <w:rFonts w:ascii="宋体" w:hAnsi="宋体" w:hint="eastAsia"/>
              </w:rPr>
              <w:t>归属于上市公司股东的扣除非经常性损益的净利润</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739,899</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1,389,062</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-46.73</w:t>
            </w:r>
          </w:p>
        </w:tc>
      </w:tr>
      <w:tr>
        <w:tc>
          <w:tcPr>
            <w:tcW w:w="3964" w:type="dxa"/>
            <w:vAlign w:val="center"/>
          </w:tcPr>
          <w:p>
            <w:pPr>
              <w:pStyle w:val="Style49"/>
              <w:rPr>
                <w:rFonts w:ascii="宋体" w:hAnsi="宋体"/>
              </w:rPr>
            </w:pPr>
            <w:r>
              <w:rPr>
                <w:rFonts w:ascii="宋体" w:hAnsi="宋体" w:hint="eastAsia"/>
              </w:rPr>
              <w:t>流动比率</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0.84</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0.76</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10.99</w:t>
            </w:r>
          </w:p>
        </w:tc>
      </w:tr>
      <w:tr>
        <w:tc>
          <w:tcPr>
            <w:tcW w:w="3964" w:type="dxa"/>
            <w:vAlign w:val="center"/>
          </w:tcPr>
          <w:p>
            <w:pPr>
              <w:pStyle w:val="Style49"/>
              <w:rPr>
                <w:rFonts w:ascii="宋体" w:hAnsi="宋体"/>
              </w:rPr>
            </w:pPr>
            <w:r>
              <w:rPr>
                <w:rFonts w:ascii="宋体" w:hAnsi="宋体" w:hint="eastAsia"/>
              </w:rPr>
              <w:t>速动比率</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0.74</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0.67</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11.64</w:t>
            </w:r>
          </w:p>
        </w:tc>
      </w:tr>
      <w:tr>
        <w:tc>
          <w:tcPr>
            <w:tcW w:w="3964" w:type="dxa"/>
            <w:vAlign w:val="center"/>
          </w:tcPr>
          <w:p>
            <w:pPr>
              <w:pStyle w:val="Style49"/>
              <w:rPr>
                <w:rFonts w:ascii="宋体" w:hAnsi="宋体"/>
              </w:rPr>
            </w:pPr>
            <w:r>
              <w:rPr>
                <w:rFonts w:ascii="宋体" w:hAnsi="宋体" w:hint="eastAsia"/>
              </w:rPr>
              <w:t>资产负债率（%）</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62.23</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63.68</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减少1.45个百分点</w:t>
            </w:r>
          </w:p>
        </w:tc>
      </w:tr>
      <w:tr>
        <w:tc>
          <w:tcPr>
            <w:tcW w:w="3964" w:type="dxa"/>
            <w:vAlign w:val="center"/>
          </w:tcPr>
          <w:p>
            <w:pPr>
              <w:pStyle w:val="Style49"/>
              <w:rPr>
                <w:rFonts w:ascii="宋体" w:hAnsi="宋体"/>
              </w:rPr>
            </w:pPr>
            <w:r>
              <w:rPr>
                <w:rFonts w:ascii="宋体" w:hAnsi="宋体"/>
              </w:rPr>
              <w:t>EBITDA全部债务比</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3.38</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2.48</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36.42</w:t>
            </w:r>
          </w:p>
        </w:tc>
      </w:tr>
      <w:tr>
        <w:tc>
          <w:tcPr>
            <w:tcW w:w="3964" w:type="dxa"/>
            <w:vAlign w:val="center"/>
          </w:tcPr>
          <w:p>
            <w:pPr>
              <w:pStyle w:val="Style49"/>
              <w:rPr>
                <w:rFonts w:ascii="宋体" w:hAnsi="宋体"/>
              </w:rPr>
            </w:pPr>
            <w:r>
              <w:rPr>
                <w:rFonts w:ascii="宋体" w:hAnsi="宋体" w:hint="eastAsia"/>
              </w:rPr>
              <w:t>利息保障倍数</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5.50</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7.54</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-27.06</w:t>
            </w:r>
          </w:p>
        </w:tc>
      </w:tr>
      <w:tr>
        <w:tc>
          <w:tcPr>
            <w:tcW w:w="3964" w:type="dxa"/>
            <w:vAlign w:val="center"/>
          </w:tcPr>
          <w:p>
            <w:pPr>
              <w:pStyle w:val="Style49"/>
              <w:rPr>
                <w:rFonts w:ascii="宋体" w:hAnsi="宋体"/>
              </w:rPr>
            </w:pPr>
            <w:r>
              <w:rPr>
                <w:rFonts w:ascii="宋体" w:hAnsi="宋体" w:hint="eastAsia"/>
              </w:rPr>
              <w:t>现金利息保障倍数</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5.76</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6.87</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-16.16</w:t>
            </w:r>
          </w:p>
        </w:tc>
      </w:tr>
      <w:tr>
        <w:trPr>
          <w:trHeight w:val="275"/>
        </w:trPr>
        <w:tc>
          <w:tcPr>
            <w:tcW w:w="3964" w:type="dxa"/>
            <w:vAlign w:val="center"/>
          </w:tcPr>
          <w:p>
            <w:pPr>
              <w:pStyle w:val="Style49"/>
              <w:rPr>
                <w:rFonts w:ascii="宋体" w:hAnsi="宋体"/>
              </w:rPr>
            </w:pPr>
            <w:r>
              <w:rPr>
                <w:rFonts w:ascii="宋体" w:hAnsi="宋体"/>
              </w:rPr>
              <w:t>EBITDA利息保障倍数</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9.72</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11.44</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-15.03</w:t>
            </w:r>
          </w:p>
        </w:tc>
      </w:tr>
      <w:tr>
        <w:tc>
          <w:tcPr>
            <w:tcW w:w="3964" w:type="dxa"/>
            <w:vAlign w:val="center"/>
          </w:tcPr>
          <w:p>
            <w:pPr>
              <w:pStyle w:val="Style49"/>
              <w:rPr>
                <w:rFonts w:ascii="宋体" w:hAnsi="宋体"/>
              </w:rPr>
            </w:pPr>
            <w:r>
              <w:rPr>
                <w:rFonts w:ascii="宋体" w:hAnsi="宋体" w:hint="eastAsia"/>
              </w:rPr>
              <w:t>贷款偿还率（%）</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100</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100</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r>
      <w:tr>
        <w:tc>
          <w:tcPr>
            <w:tcW w:w="3964" w:type="dxa"/>
            <w:vAlign w:val="center"/>
          </w:tcPr>
          <w:p>
            <w:pPr>
              <w:pStyle w:val="Style49"/>
              <w:rPr>
                <w:rFonts w:ascii="宋体" w:hAnsi="宋体"/>
              </w:rPr>
            </w:pPr>
            <w:r>
              <w:rPr>
                <w:rFonts w:ascii="宋体" w:hAnsi="宋体" w:hint="eastAsia"/>
              </w:rPr>
              <w:t>利息偿付率（%）</w:t>
            </w:r>
          </w:p>
        </w:tc>
        <w:tc>
          <w:tcPr>
            <w:tcW w:w="156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100</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100</w:t>
            </w:r>
          </w:p>
        </w:tc>
        <w:tc>
          <w:tcPr>
            <w:tcW w:w="21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0</w:t>
            </w:r>
          </w:p>
        </w:tc>
      </w:tr>
    </w:tbl>
    <w:p>
      <w:pPr>
        <w:pStyle w:val="Style49"/>
      </w:pPr>
    </w:p>
    <w:bookmarkEnd w:id="280"/>
    <w:p>
      <w:pPr>
        <w:pStyle w:val="2"/>
        <w:numPr>
          <w:ilvl w:val="0"/>
          <w:numId w:val="57"/>
        </w:numPr>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395903922"/>
        <w:placeholder>
          <w:docPart w:val="GBC22222222222222222222222222222"/>
        </w:placeholder>
      </w:sdtPr>
      <w:sdtContent>
        <w:p>
          <w:pPr>
            <w:pStyle w:val="Style49"/>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Style49"/>
      </w:pPr>
    </w:p>
    <w:bookmarkEnd w:id="277"/>
    <w:p>
      <w:pPr>
        <w:spacing w:line="360" w:lineRule="exact"/>
        <w:ind w:right="5"/>
      </w:pPr>
    </w:p>
    <w:bookmarkEnd w:id="278"/>
    <w:bookmarkEnd w:id="281"/>
    <w:p>
      <w:pPr>
        <w:pStyle w:val="Style49"/>
      </w:pPr>
      <w:r>
        <w:br w:type="page"/>
      </w:r>
    </w:p>
    <w:p>
      <w:pPr>
        <w:numPr>
          <w:ilvl w:val="0"/>
          <w:numId w:val="10"/>
        </w:numPr>
        <w:jc w:val="center"/>
        <w:outlineLvl w:val="0"/>
        <w:rPr>
          <w:rFonts w:ascii="黑体" w:eastAsia="黑体" w:hAnsi="黑体"/>
          <w:b/>
          <w:bCs/>
          <w:sz w:val="28"/>
          <w:szCs w:val="28"/>
        </w:rPr>
      </w:pPr>
      <w:bookmarkStart w:id="335" w:name="_Toc225175017"/>
      <w:bookmarkStart w:id="336" w:name="_Toc407111364"/>
      <w:bookmarkStart w:id="337" w:name="_Toc191024263"/>
      <w:r>
        <w:rPr>
          <w:rFonts w:ascii="黑体" w:eastAsia="黑体" w:hAnsi="黑体" w:hint="eastAsia"/>
          <w:b/>
          <w:bCs/>
          <w:sz w:val="28"/>
          <w:szCs w:val="28"/>
        </w:rPr>
        <w:lastRenderedPageBreak/>
        <w:t>财务报告</w:t>
      </w:r>
      <w:bookmarkEnd w:id="335"/>
    </w:p>
    <w:bookmarkEnd w:id="336"/>
    <w:bookmarkEnd w:id="337"/>
    <w:p>
      <w:pPr>
        <w:pStyle w:val="Style177"/>
        <w:numPr>
          <w:ilvl w:val="0"/>
          <w:numId w:val="66"/>
        </w:numPr>
        <w:rPr>
          <w:rFonts w:ascii="宋体" w:hAnsi="宋体"/>
          <w:szCs w:val="21"/>
        </w:rPr>
      </w:pPr>
      <w:r>
        <w:rPr>
          <w:rFonts w:hint="eastAsia"/>
          <w:szCs w:val="21"/>
        </w:rPr>
        <w:t>审计报告</w:t>
      </w:r>
    </w:p>
    <w:sdt>
      <w:sdtPr>
        <w:alias w:val="是否适用：审计报告[双击切换]"/>
        <w:tag w:val="_GBC_8a37b9861aa34a8d89cae86ad0133ffb"/>
        <w:id w:val="-1561404122"/>
        <w:placeholder>
          <w:docPart w:val="GBC22222222222222222222222222222"/>
        </w:placeholder>
      </w:sdtPr>
      <w:sdtContent>
        <w:p>
          <w:pPr>
            <w:pStyle w:val="Style217"/>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338" w:name="_Toc343000865" w:displacedByCustomXml="next"/>
    <w:bookmarkStart w:id="339" w:name="_Hlk312745141" w:displacedByCustomXml="next"/>
    <w:sdt>
      <w:sdtPr>
        <w:rPr>
          <w:rFonts w:ascii="宋体" w:hAnsi="宋体" w:hint="eastAsia"/>
          <w:sz w:val="20"/>
          <w:szCs w:val="20"/>
        </w:rPr>
        <w:alias w:val="审计报告全文"/>
        <w:tag w:val="_GBC_08aaee8d8997491cb4fc7ef77b493e65"/>
        <w:id w:val="1569843679"/>
        <w:placeholder>
          <w:docPart w:val="GBC22222222222222222222222222222"/>
        </w:placeholder>
      </w:sdtPr>
      <w:sdtEndPr>
        <w:rPr>
          <w:sz w:val="21"/>
        </w:rPr>
      </w:sdtEndPr>
      <w:sdtContent>
        <w:p>
          <w:pPr>
            <w:spacing w:afterLines="50" w:after="120" w:line="360" w:lineRule="exact"/>
            <w:jc w:val="center"/>
            <w:rPr>
              <w:rFonts w:ascii="黑体" w:eastAsia="黑体" w:hAnsi="黑体"/>
              <w:b/>
              <w:bCs/>
              <w:sz w:val="24"/>
              <w:szCs w:val="24"/>
            </w:rPr>
          </w:pPr>
          <w:r>
            <w:rPr>
              <w:rFonts w:ascii="黑体" w:eastAsia="黑体" w:hAnsi="黑体" w:hint="eastAsia"/>
              <w:b/>
              <w:bCs/>
              <w:sz w:val="24"/>
              <w:szCs w:val="24"/>
            </w:rPr>
            <w:t>审计报告</w:t>
          </w:r>
        </w:p>
        <w:p>
          <w:pPr>
            <w:spacing w:afterLines="50" w:after="120" w:line="360" w:lineRule="exact"/>
            <w:jc w:val="right"/>
            <w:rPr>
              <w:rFonts w:ascii="宋体" w:hAnsi="宋体"/>
            </w:rPr>
          </w:pPr>
          <w:r>
            <w:rPr>
              <w:rFonts w:ascii="宋体" w:hAnsi="宋体" w:hint="eastAsia"/>
            </w:rPr>
            <w:t>天职业字[2026]14301号</w:t>
          </w:r>
        </w:p>
        <w:p>
          <w:pPr>
            <w:spacing w:beforeLines="100" w:before="240" w:afterLines="100" w:after="240" w:line="360" w:lineRule="exact"/>
            <w:rPr>
              <w:rFonts w:ascii="宋体" w:hAnsi="宋体"/>
            </w:rPr>
          </w:pPr>
          <w:r>
            <w:rPr>
              <w:rFonts w:ascii="宋体" w:hAnsi="宋体" w:hint="eastAsia"/>
            </w:rPr>
            <w:t>兖矿能源集团股份有限公司全体股东：</w:t>
          </w:r>
        </w:p>
        <w:p>
          <w:pPr>
            <w:spacing w:beforeLines="100" w:before="240" w:afterLines="100" w:after="240" w:line="360" w:lineRule="exact"/>
            <w:ind w:firstLineChars="200" w:firstLine="482"/>
            <w:rPr>
              <w:rFonts w:ascii="黑体" w:eastAsia="黑体" w:hAnsi="宋体"/>
              <w:b/>
              <w:sz w:val="24"/>
            </w:rPr>
          </w:pPr>
          <w:r>
            <w:rPr>
              <w:rFonts w:ascii="黑体" w:eastAsia="黑体" w:hAnsi="宋体" w:hint="eastAsia"/>
              <w:b/>
              <w:sz w:val="24"/>
            </w:rPr>
            <w:t>一、审计意见</w:t>
          </w:r>
        </w:p>
        <w:p>
          <w:pPr>
            <w:spacing w:afterLines="50" w:after="120" w:line="360" w:lineRule="exact"/>
            <w:ind w:firstLineChars="200" w:firstLine="420"/>
            <w:rPr>
              <w:rFonts w:ascii="宋体" w:hAnsi="宋体"/>
            </w:rPr>
          </w:pPr>
          <w:r>
            <w:rPr>
              <w:rFonts w:ascii="宋体" w:hAnsi="宋体" w:hint="eastAsia"/>
            </w:rPr>
            <w:t>我们审计了兖矿能源集团股份有限公司（以下简称“兖矿能源”）财务报表，包括2025年12月31日的合并及母公司资产负债表，</w:t>
          </w:r>
          <w:r>
            <w:rPr>
              <w:rFonts w:ascii="宋体" w:hAnsi="宋体"/>
            </w:rPr>
            <w:t>202</w:t>
          </w:r>
          <w:r>
            <w:rPr>
              <w:rFonts w:ascii="宋体" w:hAnsi="宋体" w:hint="eastAsia"/>
            </w:rPr>
            <w:t>5年度的合并及母公司利润表、合并及母公司现金流量表、合并及母公司股东权益变动表，以及相关财务报表附注。</w:t>
          </w:r>
        </w:p>
        <w:p>
          <w:pPr>
            <w:spacing w:afterLines="50" w:after="120" w:line="360" w:lineRule="exact"/>
            <w:ind w:firstLineChars="200" w:firstLine="420"/>
            <w:rPr>
              <w:rFonts w:ascii="宋体" w:hAnsi="宋体"/>
            </w:rPr>
          </w:pPr>
          <w:r>
            <w:rPr>
              <w:rFonts w:ascii="宋体" w:hAnsi="宋体" w:hint="eastAsia"/>
            </w:rPr>
            <w:t>我们认为，后附的财务报表在所有重大方面按照企业会计准则的规定编制，公允反映了兖矿能源2025年12月31日的合并及母公司财务状况以及2025年度的合并及母公司经营成果和现金流量。</w:t>
          </w:r>
        </w:p>
        <w:p>
          <w:pPr>
            <w:spacing w:beforeLines="100" w:before="240" w:afterLines="100" w:after="240" w:line="360" w:lineRule="exact"/>
            <w:ind w:firstLineChars="200" w:firstLine="482"/>
            <w:rPr>
              <w:rFonts w:ascii="黑体" w:eastAsia="黑体" w:hAnsi="宋体"/>
              <w:b/>
              <w:sz w:val="24"/>
            </w:rPr>
          </w:pPr>
          <w:r>
            <w:rPr>
              <w:rFonts w:ascii="黑体" w:eastAsia="黑体" w:hAnsi="宋体" w:hint="eastAsia"/>
              <w:b/>
              <w:sz w:val="24"/>
            </w:rPr>
            <w:t>二、形成审计意见的基础</w:t>
          </w:r>
        </w:p>
        <w:p>
          <w:pPr>
            <w:spacing w:afterLines="50" w:after="120" w:line="360" w:lineRule="exact"/>
            <w:ind w:firstLineChars="200" w:firstLine="420"/>
            <w:rPr>
              <w:rFonts w:ascii="宋体" w:hAnsi="宋体"/>
            </w:rPr>
          </w:pPr>
          <w:r>
            <w:rPr>
              <w:rFonts w:ascii="宋体" w:hAnsi="宋体" w:hint="eastAsia"/>
            </w:rPr>
            <w:t>我们按照中国注册会计师审计准则的规定执行了审计工作。审计报告的“注册会计师对财务报表审计的责任”部分进一步阐述了我们在这些准则下的责任。按照中国注册会计师独立性准则以及中国注册会计师职业道德守则，我们独立于兖矿能源，适用了对公众利益实体的独立性要求，并履行了职业道德方面的其他责任。我们相信，我们获取的审计证据是充分、适当的，为发表审计意见提供了基础。</w:t>
          </w:r>
        </w:p>
        <w:p>
          <w:pPr>
            <w:spacing w:beforeLines="100" w:before="240" w:afterLines="100" w:after="240" w:line="360" w:lineRule="exact"/>
            <w:ind w:firstLineChars="200" w:firstLine="482"/>
            <w:rPr>
              <w:rFonts w:ascii="黑体" w:eastAsia="黑体" w:hAnsi="宋体"/>
              <w:b/>
              <w:sz w:val="24"/>
            </w:rPr>
          </w:pPr>
          <w:r>
            <w:rPr>
              <w:rFonts w:ascii="黑体" w:eastAsia="黑体" w:hAnsi="宋体" w:hint="eastAsia"/>
              <w:b/>
              <w:sz w:val="24"/>
            </w:rPr>
            <w:t>三、关键审计事项</w:t>
          </w:r>
        </w:p>
        <w:p>
          <w:pPr>
            <w:spacing w:afterLines="50" w:after="120" w:line="360" w:lineRule="exact"/>
            <w:ind w:firstLineChars="200" w:firstLine="420"/>
            <w:rPr>
              <w:rFonts w:ascii="宋体" w:hAnsi="宋体"/>
            </w:rPr>
          </w:pPr>
          <w:r>
            <w:rPr>
              <w:rFonts w:ascii="宋体" w:hAnsi="宋体" w:hint="eastAsia"/>
            </w:rPr>
            <w:t>关键审计事项是我们根据职业判断，认为对本期财务报表审计最为重要的事项。这些事项的应对以对财务报表整体进行审计并形成审计意见为背景，我们不对这些事项单独发表意见。</w:t>
          </w:r>
        </w:p>
        <w:p>
          <w:pPr>
            <w:spacing w:afterLines="50" w:after="120" w:line="360" w:lineRule="exact"/>
            <w:ind w:firstLineChars="200" w:firstLine="420"/>
            <w:rPr>
              <w:rFonts w:ascii="宋体" w:hAnsi="宋体"/>
            </w:rPr>
          </w:pPr>
        </w:p>
        <w:p>
          <w:pPr>
            <w:spacing w:afterLines="50" w:after="120" w:line="360" w:lineRule="exact"/>
            <w:ind w:firstLineChars="200" w:firstLine="420"/>
            <w:rPr>
              <w:rFonts w:ascii="宋体" w:hAnsi="宋体"/>
            </w:rPr>
          </w:pPr>
        </w:p>
        <w:p>
          <w:pPr>
            <w:spacing w:afterLines="50" w:after="120" w:line="360" w:lineRule="exact"/>
            <w:rPr>
              <w:rFonts w:ascii="宋体" w:hAnsi="宋体"/>
            </w:rPr>
          </w:pPr>
        </w:p>
        <w:p>
          <w:pPr>
            <w:spacing w:afterLines="50" w:after="120" w:line="360" w:lineRule="exact"/>
            <w:rPr>
              <w:rFonts w:ascii="宋体" w:hAnsi="宋体"/>
            </w:rPr>
          </w:pPr>
        </w:p>
        <w:p>
          <w:pPr>
            <w:spacing w:afterLines="50" w:after="120" w:line="360" w:lineRule="exact"/>
            <w:rPr>
              <w:rFonts w:ascii="宋体" w:hAnsi="宋体"/>
            </w:rPr>
          </w:pPr>
        </w:p>
        <w:p>
          <w:pPr>
            <w:spacing w:afterLines="50" w:after="120" w:line="360" w:lineRule="exact"/>
            <w:rPr>
              <w:rFonts w:ascii="宋体" w:hAnsi="宋体"/>
            </w:rPr>
          </w:pPr>
        </w:p>
        <w:p>
          <w:pPr>
            <w:spacing w:afterLines="50" w:after="120" w:line="360" w:lineRule="exact"/>
            <w:rPr>
              <w:rFonts w:ascii="宋体" w:hAnsi="宋体"/>
            </w:rPr>
          </w:pPr>
        </w:p>
        <w:p>
          <w:pPr>
            <w:spacing w:afterLines="50" w:after="120" w:line="360" w:lineRule="exact"/>
            <w:ind w:firstLineChars="200" w:firstLine="420"/>
            <w:rPr>
              <w:rFonts w:ascii="宋体" w:hAnsi="宋体"/>
            </w:rPr>
          </w:pPr>
        </w:p>
        <w:tbl>
          <w:tblPr>
            <w:tblStyle w:val="g2"/>
            <w:tblW w:w="9351" w:type="dxa"/>
            <w:jc w:val="center"/>
            <w:tblInd w:w="0" w:type="dxa"/>
            <w:tblLook w:val="04A0" w:firstRow="1" w:lastRow="0" w:firstColumn="1" w:lastColumn="0" w:noHBand="0" w:noVBand="1"/>
          </w:tblPr>
          <w:tblGrid>
            <w:gridCol w:w="3964"/>
            <w:gridCol w:w="5387"/>
          </w:tblGrid>
          <w:tr>
            <w:trPr>
              <w:jc w:val="center"/>
            </w:trPr>
            <w:tc>
              <w:tcPr>
                <w:tcW w:w="3964" w:type="dxa"/>
                <w:vAlign w:val="center"/>
              </w:tcPr>
              <w:p>
                <w:pPr>
                  <w:jc w:val="center"/>
                  <w:rPr>
                    <w:rFonts w:ascii="宋体" w:hAnsi="宋体"/>
                    <w:b/>
                    <w:lang w:eastAsia="zh-TW"/>
                  </w:rPr>
                </w:pPr>
                <w:r>
                  <w:rPr>
                    <w:rFonts w:ascii="宋体" w:hAnsi="宋体" w:hint="eastAsia"/>
                    <w:b/>
                    <w:iCs/>
                  </w:rPr>
                  <w:lastRenderedPageBreak/>
                  <w:t>关键审计事项</w:t>
                </w:r>
              </w:p>
            </w:tc>
            <w:tc>
              <w:tcPr>
                <w:tcW w:w="5387" w:type="dxa"/>
                <w:vAlign w:val="center"/>
              </w:tcPr>
              <w:p>
                <w:pPr>
                  <w:jc w:val="center"/>
                  <w:rPr>
                    <w:rFonts w:ascii="宋体" w:hAnsi="宋体"/>
                    <w:b/>
                  </w:rPr>
                </w:pPr>
                <w:r>
                  <w:rPr>
                    <w:rFonts w:ascii="宋体" w:hAnsi="宋体" w:hint="eastAsia"/>
                    <w:b/>
                    <w:iCs/>
                  </w:rPr>
                  <w:t>该事项在审计中是如何应对的</w:t>
                </w:r>
              </w:p>
            </w:tc>
          </w:tr>
          <w:tr>
            <w:trPr>
              <w:trHeight w:val="335"/>
              <w:jc w:val="center"/>
            </w:trPr>
            <w:tc>
              <w:tcPr>
                <w:tcW w:w="9351" w:type="dxa"/>
                <w:gridSpan w:val="2"/>
                <w:vAlign w:val="center"/>
              </w:tcPr>
              <w:p>
                <w:pPr>
                  <w:spacing w:line="240" w:lineRule="exact"/>
                  <w:rPr>
                    <w:rFonts w:ascii="Arial" w:hAnsi="Arial"/>
                    <w:b/>
                    <w:i/>
                    <w:iCs/>
                  </w:rPr>
                </w:pPr>
                <w:r>
                  <w:rPr>
                    <w:rFonts w:ascii="宋体" w:hAnsi="宋体" w:hint="eastAsia"/>
                    <w:b/>
                    <w:iCs/>
                  </w:rPr>
                  <w:t>长期资产减值事项</w:t>
                </w:r>
              </w:p>
            </w:tc>
          </w:tr>
          <w:tr>
            <w:trPr>
              <w:jc w:val="center"/>
            </w:trPr>
            <w:tc>
              <w:tcPr>
                <w:tcW w:w="3964" w:type="dxa"/>
                <w:vAlign w:val="center"/>
              </w:tcPr>
              <w:p>
                <w:pPr>
                  <w:spacing w:afterLines="50" w:after="120" w:line="360" w:lineRule="exact"/>
                  <w:ind w:firstLineChars="200" w:firstLine="420"/>
                  <w:rPr>
                    <w:rFonts w:ascii="宋体" w:hAnsi="宋体"/>
                  </w:rPr>
                </w:pPr>
                <w:r>
                  <w:rPr>
                    <w:rFonts w:ascii="宋体" w:hAnsi="宋体" w:hint="eastAsia"/>
                  </w:rPr>
                  <w:t>兖矿能源重要经营性长期资产包括投资性房地产、固定资产、在建工程、无形资产，截至2</w:t>
                </w:r>
                <w:r>
                  <w:rPr>
                    <w:rFonts w:ascii="宋体" w:hAnsi="宋体"/>
                  </w:rPr>
                  <w:t>02</w:t>
                </w:r>
                <w:r>
                  <w:rPr>
                    <w:rFonts w:ascii="宋体" w:hAnsi="宋体" w:hint="eastAsia"/>
                  </w:rPr>
                  <w:t>5年1</w:t>
                </w:r>
                <w:r>
                  <w:rPr>
                    <w:rFonts w:ascii="宋体" w:hAnsi="宋体"/>
                  </w:rPr>
                  <w:t>2</w:t>
                </w:r>
                <w:r>
                  <w:rPr>
                    <w:rFonts w:ascii="宋体" w:hAnsi="宋体" w:hint="eastAsia"/>
                  </w:rPr>
                  <w:t>月3</w:t>
                </w:r>
                <w:r>
                  <w:rPr>
                    <w:rFonts w:ascii="宋体" w:hAnsi="宋体"/>
                  </w:rPr>
                  <w:t>1</w:t>
                </w:r>
                <w:r>
                  <w:rPr>
                    <w:rFonts w:ascii="宋体" w:hAnsi="宋体" w:hint="eastAsia"/>
                  </w:rPr>
                  <w:t>日兖矿能源上述长期资产期末余额2,702.58亿元，占资产总额比例59.67%。</w:t>
                </w:r>
              </w:p>
              <w:p>
                <w:pPr>
                  <w:spacing w:afterLines="50" w:after="120" w:line="360" w:lineRule="exact"/>
                  <w:ind w:firstLineChars="200" w:firstLine="420"/>
                  <w:rPr>
                    <w:rFonts w:ascii="宋体" w:hAnsi="宋体"/>
                  </w:rPr>
                </w:pPr>
                <w:r>
                  <w:rPr>
                    <w:rFonts w:ascii="宋体" w:hAnsi="宋体" w:hint="eastAsia"/>
                  </w:rPr>
                  <w:t>鉴于长期资产减值涉及管理层的重大估计与判断，包括折现率以及基于未来市场供需情况的现金流量预测。因此，我们将长期资产的减值事项作为关键审计事项。</w:t>
                </w:r>
              </w:p>
              <w:p>
                <w:pPr>
                  <w:spacing w:afterLines="50" w:after="120" w:line="360" w:lineRule="exact"/>
                  <w:ind w:firstLineChars="200" w:firstLine="420"/>
                  <w:rPr>
                    <w:rFonts w:ascii="宋体" w:hAnsi="宋体"/>
                  </w:rPr>
                </w:pPr>
                <w:r>
                  <w:rPr>
                    <w:rFonts w:ascii="宋体" w:hAnsi="宋体" w:hint="eastAsia"/>
                  </w:rPr>
                  <w:t>关于长期资产减值的会计政策，详见财务报表附注 “五、22投资性房地产、五、23固定资产、五、24在建工程、五、28无形资产、五、30长期资产减值”；长期资产减值披露详见财务报表 “七、20投资性房地产、七、21固定资产、七、22在建工程、七、26无形资产、七、72资产减值损失。</w:t>
                </w:r>
              </w:p>
            </w:tc>
            <w:tc>
              <w:tcPr>
                <w:tcW w:w="5387" w:type="dxa"/>
                <w:vAlign w:val="center"/>
              </w:tcPr>
              <w:p>
                <w:pPr>
                  <w:spacing w:afterLines="50" w:after="120" w:line="360" w:lineRule="exact"/>
                  <w:rPr>
                    <w:rFonts w:ascii="宋体" w:hAnsi="宋体"/>
                  </w:rPr>
                </w:pPr>
                <w:r>
                  <w:rPr>
                    <w:rFonts w:ascii="宋体" w:hAnsi="宋体" w:hint="eastAsia"/>
                  </w:rPr>
                  <w:t>我们针对长期资产减值事项所执行的审计程序包括但不限于：</w:t>
                </w:r>
              </w:p>
              <w:p>
                <w:pPr>
                  <w:spacing w:afterLines="50" w:after="120" w:line="360" w:lineRule="exact"/>
                  <w:rPr>
                    <w:rFonts w:ascii="宋体" w:hAnsi="宋体"/>
                  </w:rPr>
                </w:pPr>
                <w:r>
                  <w:rPr>
                    <w:rFonts w:ascii="宋体" w:hAnsi="宋体" w:hint="eastAsia"/>
                  </w:rPr>
                  <w:t>（1）了解、评价并测试与减值相关控制设计及执行的有效性；</w:t>
                </w:r>
              </w:p>
              <w:p>
                <w:pPr>
                  <w:spacing w:afterLines="50" w:after="120" w:line="360" w:lineRule="exact"/>
                  <w:rPr>
                    <w:rFonts w:ascii="宋体" w:hAnsi="宋体"/>
                  </w:rPr>
                </w:pPr>
                <w:r>
                  <w:rPr>
                    <w:rFonts w:ascii="宋体" w:hAnsi="宋体" w:hint="eastAsia"/>
                  </w:rPr>
                  <w:t>（2）向管理层了解长期资产的使用计划，以及相关盈利情况，是否具有明显的减值迹象；</w:t>
                </w:r>
              </w:p>
              <w:p>
                <w:pPr>
                  <w:spacing w:afterLines="50" w:after="120" w:line="360" w:lineRule="exact"/>
                  <w:rPr>
                    <w:rFonts w:ascii="宋体" w:hAnsi="宋体"/>
                  </w:rPr>
                </w:pPr>
                <w:r>
                  <w:rPr>
                    <w:rFonts w:ascii="宋体" w:hAnsi="宋体" w:hint="eastAsia"/>
                  </w:rPr>
                  <w:t>（3）复核管理层对长期资产减值测试涉及的基本假设、方法、参数以及其他估计是否恰当；</w:t>
                </w:r>
              </w:p>
              <w:p>
                <w:pPr>
                  <w:spacing w:afterLines="50" w:after="120" w:line="360" w:lineRule="exact"/>
                  <w:rPr>
                    <w:rFonts w:ascii="宋体" w:hAnsi="宋体"/>
                  </w:rPr>
                </w:pPr>
                <w:r>
                  <w:rPr>
                    <w:rFonts w:ascii="宋体" w:hAnsi="宋体" w:hint="eastAsia"/>
                  </w:rPr>
                  <w:t>（4）对于具有明显减值迹象的长期资产，提请兖矿能源聘请具有证券资格的评估机构开展基于减值测试为目的的评估；</w:t>
                </w:r>
              </w:p>
              <w:p>
                <w:pPr>
                  <w:spacing w:afterLines="50" w:after="120" w:line="360" w:lineRule="exact"/>
                  <w:rPr>
                    <w:rFonts w:ascii="宋体" w:hAnsi="宋体"/>
                  </w:rPr>
                </w:pPr>
                <w:r>
                  <w:rPr>
                    <w:rFonts w:ascii="宋体" w:hAnsi="宋体" w:hint="eastAsia"/>
                  </w:rPr>
                  <w:t>（5）执行复核并评价专家工作的审计程序，评估专家的胜任能力，对其工作成果进行复核并评价合理性，包括各项假设、参数、指标等数据；</w:t>
                </w:r>
              </w:p>
              <w:p>
                <w:pPr>
                  <w:spacing w:afterLines="50" w:after="120" w:line="360" w:lineRule="exact"/>
                  <w:rPr>
                    <w:rFonts w:ascii="宋体" w:hAnsi="宋体"/>
                  </w:rPr>
                </w:pPr>
                <w:r>
                  <w:rPr>
                    <w:rFonts w:ascii="宋体" w:hAnsi="宋体" w:hint="eastAsia"/>
                  </w:rPr>
                  <w:t>（6）结合上述审计程序执行的结果，评估兖矿能源长期资产减值金额的准确性及财务报表披露的恰当性。</w:t>
                </w:r>
              </w:p>
            </w:tc>
          </w:tr>
        </w:tbl>
        <w:p>
          <w:pPr>
            <w:spacing w:beforeLines="100" w:before="240" w:afterLines="100" w:after="240" w:line="360" w:lineRule="exact"/>
            <w:ind w:firstLineChars="200" w:firstLine="482"/>
            <w:rPr>
              <w:rFonts w:ascii="黑体" w:eastAsia="黑体" w:hAnsi="宋体"/>
              <w:b/>
              <w:sz w:val="24"/>
            </w:rPr>
          </w:pPr>
          <w:r>
            <w:rPr>
              <w:rFonts w:ascii="黑体" w:eastAsia="黑体" w:hAnsi="宋体" w:hint="eastAsia"/>
              <w:b/>
              <w:sz w:val="24"/>
            </w:rPr>
            <w:t>四、其他信息</w:t>
          </w:r>
        </w:p>
        <w:p>
          <w:pPr>
            <w:spacing w:afterLines="50" w:after="120" w:line="360" w:lineRule="exact"/>
            <w:ind w:firstLineChars="200" w:firstLine="420"/>
            <w:rPr>
              <w:rFonts w:ascii="宋体" w:hAnsi="宋体"/>
            </w:rPr>
          </w:pPr>
          <w:r>
            <w:rPr>
              <w:rFonts w:ascii="宋体" w:hAnsi="宋体" w:hint="eastAsia"/>
            </w:rPr>
            <w:t>兖矿能源管理层（以下简称“管理层”）对其他信息负责。其他信息包括2025年财务报告中涵盖的信息，但不包括财务报表和我们的审计报告。</w:t>
          </w:r>
        </w:p>
        <w:p>
          <w:pPr>
            <w:spacing w:afterLines="50" w:after="120" w:line="360" w:lineRule="exact"/>
            <w:ind w:firstLineChars="200" w:firstLine="420"/>
            <w:rPr>
              <w:rFonts w:ascii="宋体" w:hAnsi="宋体"/>
            </w:rPr>
          </w:pPr>
          <w:r>
            <w:rPr>
              <w:rFonts w:ascii="宋体" w:hAnsi="宋体" w:hint="eastAsia"/>
            </w:rPr>
            <w:t>我们对财务报表发表的审计意见不涵盖其他信息，我们也不对其他信息发表任何形式的鉴证结论。</w:t>
          </w:r>
        </w:p>
        <w:p>
          <w:pPr>
            <w:spacing w:afterLines="50" w:after="120" w:line="360" w:lineRule="exact"/>
            <w:ind w:firstLineChars="200" w:firstLine="420"/>
            <w:rPr>
              <w:rFonts w:ascii="宋体" w:hAnsi="宋体"/>
            </w:rPr>
          </w:pPr>
          <w:r>
            <w:rPr>
              <w:rFonts w:ascii="宋体" w:hAnsi="宋体" w:hint="eastAsia"/>
            </w:rPr>
            <w:t>结合我们对财务报表的审计，我们的责任是阅读其他信息，在此过程中，考虑其他信息是否与财务报表或我们在审计过程中了解到的情况存在重大不一致或者似乎存在重大错报。</w:t>
          </w:r>
        </w:p>
        <w:p>
          <w:pPr>
            <w:spacing w:afterLines="50" w:after="120" w:line="360" w:lineRule="exact"/>
            <w:ind w:firstLineChars="200" w:firstLine="420"/>
            <w:rPr>
              <w:rFonts w:ascii="宋体" w:hAnsi="宋体"/>
            </w:rPr>
          </w:pPr>
          <w:r>
            <w:rPr>
              <w:rFonts w:ascii="宋体" w:hAnsi="宋体" w:hint="eastAsia"/>
            </w:rPr>
            <w:t>基于我们已执行的工作，如果我们确定其他信息存在重大错报，我们应当报告该事实。在这方面，我们无任何事项需要报告。</w:t>
          </w:r>
        </w:p>
        <w:p>
          <w:pPr>
            <w:spacing w:afterLines="50" w:after="120" w:line="360" w:lineRule="exact"/>
            <w:ind w:firstLineChars="200" w:firstLine="420"/>
            <w:rPr>
              <w:rFonts w:ascii="宋体" w:hAnsi="宋体"/>
            </w:rPr>
          </w:pPr>
        </w:p>
        <w:p>
          <w:pPr>
            <w:spacing w:afterLines="50" w:after="120" w:line="360" w:lineRule="exact"/>
            <w:ind w:firstLineChars="200" w:firstLine="420"/>
            <w:rPr>
              <w:rFonts w:ascii="宋体" w:hAnsi="宋体"/>
            </w:rPr>
          </w:pPr>
        </w:p>
        <w:p>
          <w:pPr>
            <w:spacing w:afterLines="50" w:after="120" w:line="360" w:lineRule="exact"/>
            <w:ind w:firstLineChars="200" w:firstLine="420"/>
            <w:rPr>
              <w:rFonts w:ascii="宋体" w:hAnsi="宋体"/>
            </w:rPr>
          </w:pPr>
        </w:p>
        <w:p>
          <w:pPr>
            <w:spacing w:beforeLines="100" w:before="240" w:afterLines="100" w:after="240" w:line="360" w:lineRule="exact"/>
            <w:ind w:firstLineChars="200" w:firstLine="482"/>
            <w:rPr>
              <w:rFonts w:ascii="黑体" w:eastAsia="黑体" w:hAnsi="宋体"/>
              <w:b/>
              <w:sz w:val="24"/>
            </w:rPr>
          </w:pPr>
        </w:p>
        <w:p>
          <w:pPr>
            <w:spacing w:beforeLines="100" w:before="240" w:afterLines="100" w:after="240" w:line="360" w:lineRule="exact"/>
            <w:ind w:firstLineChars="200" w:firstLine="482"/>
            <w:rPr>
              <w:rFonts w:asciiTheme="minorEastAsia" w:hAnsiTheme="minorEastAsia"/>
            </w:rPr>
          </w:pPr>
          <w:r>
            <w:rPr>
              <w:rFonts w:ascii="黑体" w:eastAsia="黑体" w:hAnsi="宋体" w:hint="eastAsia"/>
              <w:b/>
              <w:sz w:val="24"/>
            </w:rPr>
            <w:lastRenderedPageBreak/>
            <w:t>五、管理层和治理层对财务报表的责任</w:t>
          </w:r>
        </w:p>
        <w:p>
          <w:pPr>
            <w:spacing w:afterLines="50" w:after="120" w:line="360" w:lineRule="exact"/>
            <w:ind w:firstLineChars="200" w:firstLine="420"/>
            <w:rPr>
              <w:rFonts w:ascii="宋体" w:hAnsi="宋体"/>
            </w:rPr>
          </w:pPr>
          <w:r>
            <w:rPr>
              <w:rFonts w:ascii="宋体" w:hAnsi="宋体" w:hint="eastAsia"/>
            </w:rPr>
            <w:t>管理层负责按照企业会计准则的规定编制财务报表，使其实现公允反映，并设计、执行和维护必要的内部控制，以使财务报表不存在由于舞弊或错误导致的重大错报。</w:t>
          </w:r>
        </w:p>
        <w:p>
          <w:pPr>
            <w:spacing w:afterLines="50" w:after="120" w:line="360" w:lineRule="exact"/>
            <w:ind w:firstLineChars="200" w:firstLine="420"/>
            <w:rPr>
              <w:rFonts w:ascii="宋体" w:hAnsi="宋体"/>
            </w:rPr>
          </w:pPr>
          <w:r>
            <w:rPr>
              <w:rFonts w:ascii="宋体" w:hAnsi="宋体" w:hint="eastAsia"/>
            </w:rPr>
            <w:t>在编制财务报表时，管理层负责评估兖矿能源的持续经营能力，披露与持续经营相关的事项（如适用），并运用持续经营假设，除非管理层计划清算兖矿能源、终止运营或别无其他现实的选择。</w:t>
          </w:r>
        </w:p>
        <w:p>
          <w:pPr>
            <w:spacing w:afterLines="50" w:after="120" w:line="360" w:lineRule="exact"/>
            <w:ind w:firstLineChars="200" w:firstLine="420"/>
            <w:rPr>
              <w:rFonts w:ascii="宋体" w:hAnsi="宋体"/>
            </w:rPr>
          </w:pPr>
          <w:r>
            <w:rPr>
              <w:rFonts w:ascii="宋体" w:hAnsi="宋体" w:hint="eastAsia"/>
            </w:rPr>
            <w:t>治理层负责监督兖矿能源的财务报告过程。</w:t>
          </w:r>
        </w:p>
        <w:p>
          <w:pPr>
            <w:spacing w:beforeLines="100" w:before="240" w:afterLines="100" w:after="240" w:line="360" w:lineRule="exact"/>
            <w:ind w:firstLineChars="200" w:firstLine="482"/>
            <w:rPr>
              <w:rFonts w:ascii="黑体" w:eastAsia="黑体" w:hAnsi="宋体"/>
              <w:b/>
              <w:sz w:val="24"/>
            </w:rPr>
          </w:pPr>
          <w:r>
            <w:rPr>
              <w:rFonts w:ascii="黑体" w:eastAsia="黑体" w:hAnsi="宋体" w:hint="eastAsia"/>
              <w:b/>
              <w:sz w:val="24"/>
            </w:rPr>
            <w:t>六、注册会计师对财务报表审计的责任</w:t>
          </w:r>
        </w:p>
        <w:p>
          <w:pPr>
            <w:spacing w:afterLines="50" w:after="120" w:line="360" w:lineRule="exact"/>
            <w:ind w:firstLineChars="200" w:firstLine="420"/>
            <w:rPr>
              <w:rFonts w:ascii="宋体" w:hAnsi="宋体"/>
            </w:rPr>
          </w:pPr>
          <w:r>
            <w:rPr>
              <w:rFonts w:ascii="宋体" w:hAnsi="宋体" w:hint="eastAsia"/>
            </w:rPr>
            <w:t>我们的目标是对财务报表整体是否不存在由于舞弊或错误导致的重大错报获取合理保证，并出具包含审计意见的审计报告。合理保证是高水平的保证，但并不能保证按照审计准则执行</w:t>
          </w:r>
          <w:r>
            <w:rPr>
              <w:rFonts w:ascii="宋体" w:hAnsi="宋体" w:hint="eastAsia"/>
              <w:spacing w:val="-2"/>
            </w:rPr>
            <w:t>的审计在某一重大错报存在时总能发现。错报可能由于舞弊或错误导致，如果合理预期错报单独或汇总起来可能影响财务报表使用者依据财务报表作出的经济决策，则通常认为错报是重大的。</w:t>
          </w:r>
        </w:p>
        <w:p>
          <w:pPr>
            <w:spacing w:afterLines="50" w:after="120" w:line="360" w:lineRule="exact"/>
            <w:ind w:firstLineChars="200" w:firstLine="420"/>
            <w:rPr>
              <w:rFonts w:ascii="宋体" w:hAnsi="宋体"/>
            </w:rPr>
          </w:pPr>
          <w:r>
            <w:rPr>
              <w:rFonts w:ascii="宋体" w:hAnsi="宋体" w:hint="eastAsia"/>
            </w:rPr>
            <w:t>在按照审计准则执行审计工作的过程中，我们运用职业判断，并保持职业怀疑。同时，我们也执行以下工作：</w:t>
          </w:r>
        </w:p>
        <w:p>
          <w:pPr>
            <w:spacing w:afterLines="50" w:after="120" w:line="360" w:lineRule="exact"/>
            <w:ind w:firstLineChars="200" w:firstLine="420"/>
            <w:rPr>
              <w:rFonts w:ascii="宋体" w:hAnsi="宋体"/>
            </w:rPr>
          </w:pPr>
          <w:r>
            <w:rPr>
              <w:rFonts w:ascii="宋体" w:hAnsi="宋体" w:hint="eastAsia"/>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spacing w:afterLines="50" w:after="120" w:line="360" w:lineRule="exact"/>
            <w:ind w:firstLineChars="200" w:firstLine="420"/>
            <w:rPr>
              <w:rFonts w:ascii="宋体" w:hAnsi="宋体"/>
            </w:rPr>
          </w:pPr>
          <w:r>
            <w:rPr>
              <w:rFonts w:ascii="宋体" w:hAnsi="宋体" w:hint="eastAsia"/>
            </w:rPr>
            <w:t>（2）了解与审计相关的内部控制，以设计恰当的审计程序。</w:t>
          </w:r>
        </w:p>
        <w:p>
          <w:pPr>
            <w:spacing w:afterLines="50" w:after="120" w:line="360" w:lineRule="exact"/>
            <w:ind w:firstLineChars="200" w:firstLine="420"/>
            <w:rPr>
              <w:rFonts w:ascii="宋体" w:hAnsi="宋体"/>
            </w:rPr>
          </w:pPr>
          <w:r>
            <w:rPr>
              <w:rFonts w:ascii="宋体" w:hAnsi="宋体" w:hint="eastAsia"/>
            </w:rPr>
            <w:t>（3）评价管理层选用会计政策的恰当性和作出会计估计及相关披露的合理性。</w:t>
          </w:r>
        </w:p>
        <w:p>
          <w:pPr>
            <w:spacing w:line="360" w:lineRule="exact"/>
            <w:ind w:firstLineChars="200" w:firstLine="420"/>
            <w:rPr>
              <w:rFonts w:ascii="宋体" w:hAnsi="宋体"/>
            </w:rPr>
          </w:pPr>
          <w:r>
            <w:rPr>
              <w:rFonts w:ascii="宋体" w:hAnsi="宋体" w:hint="eastAsia"/>
            </w:rPr>
            <w:t>（4）对管理层使用持续经营假设的恰当性得出结论。同时，根据获取的审计证据，就可能导致对兖矿能源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兖矿能源不能持续经营。</w:t>
          </w:r>
        </w:p>
        <w:p>
          <w:pPr>
            <w:spacing w:beforeLines="50" w:before="120" w:afterLines="50" w:after="120" w:line="360" w:lineRule="exact"/>
            <w:ind w:firstLineChars="200" w:firstLine="404"/>
            <w:rPr>
              <w:rFonts w:ascii="宋体" w:hAnsi="宋体"/>
              <w:spacing w:val="-4"/>
            </w:rPr>
          </w:pPr>
          <w:r>
            <w:rPr>
              <w:rFonts w:ascii="宋体" w:hAnsi="宋体" w:hint="eastAsia"/>
              <w:spacing w:val="-4"/>
            </w:rPr>
            <w:t>（5）评价财务报表的总体列报、结构和内容，并评价财务报表是否公允反映相关交易和事项。</w:t>
          </w:r>
        </w:p>
        <w:p>
          <w:pPr>
            <w:spacing w:beforeLines="50" w:before="120" w:afterLines="50" w:after="120" w:line="360" w:lineRule="exact"/>
            <w:ind w:firstLineChars="200" w:firstLine="404"/>
            <w:rPr>
              <w:rFonts w:ascii="宋体" w:hAnsi="宋体"/>
              <w:spacing w:val="-4"/>
            </w:rPr>
          </w:pPr>
          <w:r>
            <w:rPr>
              <w:rFonts w:ascii="宋体" w:hAnsi="宋体" w:hint="eastAsia"/>
              <w:spacing w:val="-4"/>
            </w:rPr>
            <w:t>（6）就兖矿能源中实体或业务活动的财务信息获取充分、适当的审计证据，对以财务报表发表审计意见。我们负责指导、监督和执行集团审计，并对审计意见承担全部责任。</w:t>
          </w:r>
        </w:p>
        <w:p>
          <w:pPr>
            <w:spacing w:afterLines="50" w:after="120" w:line="360" w:lineRule="exact"/>
            <w:ind w:firstLineChars="200" w:firstLine="420"/>
            <w:rPr>
              <w:rFonts w:ascii="宋体" w:hAnsi="宋体"/>
            </w:rPr>
          </w:pPr>
          <w:r>
            <w:rPr>
              <w:rFonts w:ascii="宋体" w:hAnsi="宋体" w:hint="eastAsia"/>
            </w:rPr>
            <w:t>我们与治理层就计划的审计范围、时间安排和重大审计发现等事项进行沟通，包括沟通我们在审计中识别出的值得关注的内部控制缺陷。</w:t>
          </w:r>
        </w:p>
        <w:p>
          <w:pPr>
            <w:spacing w:afterLines="50" w:after="120" w:line="360" w:lineRule="exact"/>
            <w:ind w:firstLineChars="200" w:firstLine="420"/>
            <w:rPr>
              <w:rFonts w:ascii="宋体" w:hAnsi="宋体"/>
            </w:rPr>
          </w:pPr>
          <w:r>
            <w:rPr>
              <w:rFonts w:ascii="宋体" w:hAnsi="宋体" w:hint="eastAsia"/>
            </w:rPr>
            <w:t>我们还就已遵守与独立性相关的职业道德要求向治理层提供声明，并与治理层沟通可能被合理认为影响我们独立性的所有关系和其他事项，以及相关的防范措施（如适用）。</w:t>
          </w:r>
        </w:p>
        <w:p>
          <w:pPr>
            <w:spacing w:afterLines="50" w:after="120" w:line="360" w:lineRule="exact"/>
            <w:ind w:firstLineChars="200" w:firstLine="420"/>
            <w:rPr>
              <w:rFonts w:ascii="宋体" w:hAnsi="宋体"/>
            </w:rPr>
          </w:pPr>
          <w:r>
            <w:rPr>
              <w:rFonts w:ascii="宋体" w:hAnsi="宋体" w:hint="eastAsia"/>
            </w:rPr>
            <w:lastRenderedPageBreak/>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spacing w:afterLines="50" w:after="120" w:line="360" w:lineRule="exact"/>
            <w:ind w:firstLineChars="200" w:firstLine="420"/>
            <w:rPr>
              <w:rFonts w:ascii="宋体" w:hAnsi="宋体"/>
            </w:rPr>
          </w:pPr>
        </w:p>
        <w:p>
          <w:pPr>
            <w:spacing w:line="360" w:lineRule="exact"/>
            <w:ind w:firstLineChars="200" w:firstLine="420"/>
            <w:rPr>
              <w:rFonts w:ascii="宋体" w:hAnsi="宋体"/>
            </w:rPr>
          </w:pPr>
          <w:r>
            <w:rPr>
              <w:rFonts w:ascii="宋体" w:hAnsi="宋体" w:hint="eastAsia"/>
            </w:rPr>
            <w:t>[以下无正文]</w:t>
          </w:r>
        </w:p>
        <w:p>
          <w:pPr>
            <w:spacing w:line="360" w:lineRule="exact"/>
            <w:ind w:firstLineChars="200" w:firstLine="420"/>
            <w:rPr>
              <w:rFonts w:ascii="宋体" w:hAnsi="宋体"/>
            </w:rPr>
          </w:pPr>
        </w:p>
        <w:p>
          <w:pPr>
            <w:spacing w:line="360" w:lineRule="exact"/>
            <w:ind w:firstLineChars="200" w:firstLine="420"/>
            <w:rPr>
              <w:rFonts w:ascii="宋体" w:hAnsi="宋体"/>
            </w:rPr>
          </w:pPr>
        </w:p>
        <w:p>
          <w:pPr>
            <w:spacing w:line="360" w:lineRule="exact"/>
            <w:ind w:firstLineChars="200" w:firstLine="420"/>
            <w:rPr>
              <w:rFonts w:ascii="宋体" w:hAnsi="宋体"/>
            </w:rPr>
          </w:pPr>
        </w:p>
        <w:p>
          <w:pPr>
            <w:spacing w:line="360" w:lineRule="exact"/>
            <w:ind w:firstLineChars="200" w:firstLine="420"/>
            <w:rPr>
              <w:rFonts w:ascii="宋体" w:hAnsi="宋体"/>
            </w:rPr>
          </w:pPr>
        </w:p>
        <w:p>
          <w:pPr>
            <w:spacing w:line="360" w:lineRule="exact"/>
            <w:ind w:firstLineChars="200" w:firstLine="420"/>
            <w:rPr>
              <w:rFonts w:ascii="宋体" w:hAnsi="宋体"/>
            </w:rPr>
          </w:pPr>
        </w:p>
        <w:p>
          <w:pPr>
            <w:spacing w:line="360" w:lineRule="exact"/>
            <w:ind w:firstLineChars="200" w:firstLine="420"/>
            <w:rPr>
              <w:rFonts w:ascii="宋体" w:hAnsi="宋体"/>
            </w:rPr>
          </w:pPr>
        </w:p>
        <w:p>
          <w:pPr>
            <w:spacing w:line="360" w:lineRule="exact"/>
            <w:ind w:firstLineChars="200" w:firstLine="420"/>
            <w:rPr>
              <w:rFonts w:ascii="宋体" w:hAnsi="宋体"/>
            </w:rPr>
          </w:pPr>
        </w:p>
        <w:p>
          <w:pPr>
            <w:spacing w:line="360" w:lineRule="exact"/>
            <w:ind w:firstLineChars="200" w:firstLine="420"/>
            <w:rPr>
              <w:rFonts w:ascii="宋体" w:hAnsi="宋体"/>
            </w:rPr>
          </w:pPr>
        </w:p>
        <w:p>
          <w:pPr>
            <w:spacing w:line="360" w:lineRule="exact"/>
            <w:ind w:firstLineChars="200" w:firstLine="420"/>
            <w:rPr>
              <w:rFonts w:ascii="宋体" w:hAnsi="宋体"/>
            </w:rPr>
          </w:pPr>
        </w:p>
        <w:p>
          <w:pPr>
            <w:spacing w:line="360" w:lineRule="exact"/>
            <w:ind w:firstLineChars="200" w:firstLine="420"/>
            <w:rPr>
              <w:rFonts w:ascii="宋体" w:hAnsi="宋体"/>
            </w:rPr>
          </w:pPr>
        </w:p>
        <w:tbl>
          <w:tblPr>
            <w:tblStyle w:val="Style100"/>
            <w:tblW w:w="0" w:type="auto"/>
            <w:jc w:val="center"/>
            <w:tblInd w:w="0" w:type="dxa"/>
            <w:tblLook w:val="04A0" w:firstRow="1" w:lastRow="0" w:firstColumn="1" w:lastColumn="0" w:noHBand="0" w:noVBand="1"/>
          </w:tblPr>
          <w:tblGrid>
            <w:gridCol w:w="4284"/>
            <w:gridCol w:w="2320"/>
            <w:gridCol w:w="1964"/>
          </w:tblGrid>
          <w:tr>
            <w:trPr>
              <w:cantSplit/>
              <w:trHeight w:val="1355"/>
              <w:jc w:val="center"/>
            </w:trPr>
            <w:tc>
              <w:tcPr>
                <w:tcW w:w="4284" w:type="dxa"/>
                <w:vMerge w:val="restart"/>
                <w:vAlign w:val="center"/>
              </w:tcPr>
              <w:p>
                <w:pPr>
                  <w:spacing w:line="500" w:lineRule="exact"/>
                  <w:jc w:val="center"/>
                  <w:rPr>
                    <w:rFonts w:ascii="宋体" w:hAnsi="宋体"/>
                  </w:rPr>
                </w:pPr>
                <w:r>
                  <w:rPr>
                    <w:rFonts w:ascii="宋体" w:hAnsi="宋体" w:hint="eastAsia"/>
                  </w:rPr>
                  <w:t>中国·北京</w:t>
                </w:r>
              </w:p>
              <w:p>
                <w:pPr>
                  <w:spacing w:line="500" w:lineRule="exact"/>
                  <w:jc w:val="center"/>
                  <w:rPr>
                    <w:rFonts w:ascii="宋体" w:hAnsi="宋体"/>
                  </w:rPr>
                </w:pPr>
                <w:r>
                  <w:rPr>
                    <w:rFonts w:ascii="宋体" w:hAnsi="宋体" w:hint="eastAsia"/>
                  </w:rPr>
                  <w:t>二○二六年三月二十七日</w:t>
                </w:r>
              </w:p>
            </w:tc>
            <w:tc>
              <w:tcPr>
                <w:tcW w:w="2320" w:type="dxa"/>
                <w:vAlign w:val="center"/>
              </w:tcPr>
              <w:p>
                <w:pPr>
                  <w:spacing w:afterLines="50" w:after="120" w:line="360" w:lineRule="exact"/>
                  <w:jc w:val="center"/>
                  <w:rPr>
                    <w:rFonts w:ascii="宋体" w:hAnsi="宋体"/>
                  </w:rPr>
                </w:pPr>
                <w:r>
                  <w:rPr>
                    <w:rFonts w:ascii="宋体" w:hAnsi="宋体" w:hint="eastAsia"/>
                  </w:rPr>
                  <w:t>中国注册会计师</w:t>
                </w:r>
              </w:p>
              <w:p>
                <w:pPr>
                  <w:spacing w:afterLines="50" w:after="120" w:line="360" w:lineRule="exact"/>
                  <w:jc w:val="center"/>
                  <w:rPr>
                    <w:rFonts w:ascii="宋体" w:hAnsi="宋体"/>
                  </w:rPr>
                </w:pPr>
                <w:r>
                  <w:rPr>
                    <w:rFonts w:asciiTheme="minorEastAsia" w:hAnsiTheme="minorEastAsia" w:hint="eastAsia"/>
                  </w:rPr>
                  <w:t>（项目合伙人）</w:t>
                </w:r>
                <w:r>
                  <w:rPr>
                    <w:rFonts w:ascii="宋体" w:hAnsi="宋体" w:hint="eastAsia"/>
                  </w:rPr>
                  <w:t>：</w:t>
                </w:r>
              </w:p>
            </w:tc>
            <w:tc>
              <w:tcPr>
                <w:tcW w:w="1964" w:type="dxa"/>
                <w:tcBorders>
                  <w:bottom w:val="single" w:sz="4" w:space="0" w:color="auto"/>
                </w:tcBorders>
                <w:vAlign w:val="center"/>
              </w:tcPr>
              <w:p>
                <w:pPr>
                  <w:spacing w:beforeLines="50" w:before="120" w:line="500" w:lineRule="exact"/>
                  <w:jc w:val="center"/>
                  <w:rPr>
                    <w:rFonts w:ascii="宋体" w:hAnsi="宋体"/>
                  </w:rPr>
                </w:pPr>
                <w:r>
                  <w:rPr>
                    <w:rFonts w:ascii="宋体" w:hAnsi="宋体" w:hint="eastAsia"/>
                  </w:rPr>
                  <w:t>付志成</w:t>
                </w:r>
              </w:p>
            </w:tc>
          </w:tr>
          <w:tr>
            <w:trPr>
              <w:cantSplit/>
              <w:trHeight w:val="1355"/>
              <w:jc w:val="center"/>
            </w:trPr>
            <w:tc>
              <w:tcPr>
                <w:tcW w:w="4284" w:type="dxa"/>
                <w:vMerge/>
                <w:vAlign w:val="center"/>
              </w:tcPr>
              <w:p>
                <w:pPr>
                  <w:spacing w:line="500" w:lineRule="exact"/>
                  <w:jc w:val="center"/>
                  <w:rPr>
                    <w:rFonts w:ascii="宋体" w:hAnsi="宋体"/>
                  </w:rPr>
                </w:pPr>
              </w:p>
            </w:tc>
            <w:tc>
              <w:tcPr>
                <w:tcW w:w="2320" w:type="dxa"/>
                <w:vAlign w:val="center"/>
              </w:tcPr>
              <w:p>
                <w:pPr>
                  <w:spacing w:afterLines="50" w:after="120" w:line="360" w:lineRule="exact"/>
                  <w:jc w:val="center"/>
                  <w:rPr>
                    <w:rFonts w:ascii="宋体" w:hAnsi="宋体"/>
                  </w:rPr>
                </w:pPr>
                <w:r>
                  <w:rPr>
                    <w:rFonts w:ascii="宋体" w:hAnsi="宋体" w:hint="eastAsia"/>
                  </w:rPr>
                  <w:t>中国注册会计师：</w:t>
                </w:r>
              </w:p>
            </w:tc>
            <w:tc>
              <w:tcPr>
                <w:tcW w:w="1964" w:type="dxa"/>
                <w:tcBorders>
                  <w:top w:val="single" w:sz="4" w:space="0" w:color="auto"/>
                  <w:bottom w:val="single" w:sz="4" w:space="0" w:color="auto"/>
                </w:tcBorders>
                <w:vAlign w:val="center"/>
              </w:tcPr>
              <w:p>
                <w:pPr>
                  <w:spacing w:beforeLines="50" w:before="120" w:line="500" w:lineRule="exact"/>
                  <w:jc w:val="center"/>
                  <w:rPr>
                    <w:rFonts w:ascii="宋体" w:hAnsi="宋体"/>
                  </w:rPr>
                </w:pPr>
                <w:r>
                  <w:rPr>
                    <w:rFonts w:ascii="宋体" w:hAnsi="宋体" w:hint="eastAsia"/>
                  </w:rPr>
                  <w:t>周春阳</w:t>
                </w:r>
              </w:p>
            </w:tc>
          </w:tr>
          <w:tr>
            <w:trPr>
              <w:cantSplit/>
              <w:trHeight w:val="1355"/>
              <w:jc w:val="center"/>
            </w:trPr>
            <w:tc>
              <w:tcPr>
                <w:tcW w:w="4284" w:type="dxa"/>
                <w:vMerge/>
                <w:vAlign w:val="center"/>
              </w:tcPr>
              <w:p>
                <w:pPr>
                  <w:spacing w:line="500" w:lineRule="exact"/>
                  <w:jc w:val="center"/>
                  <w:rPr>
                    <w:rFonts w:ascii="宋体" w:hAnsi="宋体"/>
                  </w:rPr>
                </w:pPr>
              </w:p>
            </w:tc>
            <w:tc>
              <w:tcPr>
                <w:tcW w:w="2320" w:type="dxa"/>
                <w:vAlign w:val="center"/>
              </w:tcPr>
              <w:p>
                <w:pPr>
                  <w:spacing w:afterLines="50" w:after="120" w:line="360" w:lineRule="exact"/>
                  <w:jc w:val="center"/>
                  <w:rPr>
                    <w:rFonts w:ascii="宋体" w:hAnsi="宋体"/>
                  </w:rPr>
                </w:pPr>
                <w:r>
                  <w:rPr>
                    <w:rFonts w:ascii="宋体" w:hAnsi="宋体" w:hint="eastAsia"/>
                  </w:rPr>
                  <w:t>中国注册会计师：</w:t>
                </w:r>
              </w:p>
            </w:tc>
            <w:tc>
              <w:tcPr>
                <w:tcW w:w="1964" w:type="dxa"/>
                <w:tcBorders>
                  <w:top w:val="single" w:sz="4" w:space="0" w:color="auto"/>
                  <w:bottom w:val="single" w:sz="4" w:space="0" w:color="auto"/>
                </w:tcBorders>
                <w:vAlign w:val="center"/>
              </w:tcPr>
              <w:p>
                <w:pPr>
                  <w:spacing w:beforeLines="50" w:before="120" w:line="500" w:lineRule="exact"/>
                  <w:jc w:val="center"/>
                  <w:rPr>
                    <w:rFonts w:ascii="宋体" w:hAnsi="宋体"/>
                  </w:rPr>
                </w:pPr>
                <w:r>
                  <w:rPr>
                    <w:rFonts w:ascii="宋体" w:hAnsi="宋体" w:hint="eastAsia"/>
                  </w:rPr>
                  <w:t>王明坤</w:t>
                </w:r>
              </w:p>
            </w:tc>
          </w:tr>
          <w:bookmarkEnd w:id="339"/>
          <w:bookmarkEnd w:id="338"/>
        </w:tbl>
        <w:p>
          <w:pPr>
            <w:rPr>
              <w:rFonts w:ascii="宋体" w:hAnsi="宋体"/>
            </w:rPr>
          </w:pPr>
        </w:p>
        <w:p>
          <w:pPr>
            <w:pStyle w:val="Style217"/>
          </w:pPr>
        </w:p>
      </w:sdtContent>
    </w:sdt>
    <w:p>
      <w:pPr>
        <w:sectPr>
          <w:pgSz w:w="11906" w:h="16838"/>
          <w:pgMar w:top="1525" w:right="1276" w:bottom="1440" w:left="1797" w:header="856" w:footer="992" w:gutter="0"/>
          <w:cols w:space="425"/>
          <w:docGrid w:linePitch="312"/>
        </w:sectPr>
      </w:pPr>
      <w:r>
        <w:br w:type="page"/>
      </w:r>
    </w:p>
    <w:p>
      <w:pPr>
        <w:pStyle w:val="Style93"/>
      </w:pPr>
    </w:p>
    <w:p>
      <w:pPr>
        <w:pStyle w:val="Style177"/>
        <w:numPr>
          <w:ilvl w:val="0"/>
          <w:numId w:val="66"/>
        </w:numPr>
        <w:rPr>
          <w:rFonts w:ascii="宋体" w:hAnsi="宋体"/>
        </w:rPr>
      </w:pPr>
      <w:r>
        <w:rPr>
          <w:rFonts w:hint="eastAsia"/>
        </w:rPr>
        <w:t>财务报表</w:t>
      </w:r>
    </w:p>
    <w:p>
      <w:pPr>
        <w:pStyle w:val="Style219"/>
        <w:jc w:val="center"/>
        <w:rPr>
          <w:rFonts w:ascii="宋体" w:hAnsi="宋体"/>
          <w:szCs w:val="21"/>
        </w:rPr>
      </w:pPr>
      <w:bookmarkStart w:id="340" w:name="_Hlk24034092"/>
      <w:bookmarkStart w:id="341" w:name="_Hlk182475374"/>
      <w:bookmarkEnd w:id="340"/>
      <w:r>
        <w:rPr>
          <w:rFonts w:ascii="宋体" w:hAnsi="宋体" w:hint="eastAsia"/>
          <w:szCs w:val="21"/>
        </w:rPr>
        <w:t>合并资产负债表</w:t>
      </w:r>
    </w:p>
    <w:p>
      <w:pPr>
        <w:snapToGrid w:val="0"/>
        <w:spacing w:line="240" w:lineRule="atLeast"/>
        <w:jc w:val="center"/>
        <w:rPr>
          <w:rFonts w:ascii="宋体" w:hAnsi="宋体"/>
          <w:b/>
        </w:rPr>
      </w:pPr>
      <w:r>
        <w:rPr>
          <w:rFonts w:ascii="宋体" w:hAnsi="宋体"/>
        </w:rPr>
        <w:t>2025年12月31日</w:t>
      </w:r>
    </w:p>
    <w:p>
      <w:pPr>
        <w:pStyle w:val="Style217"/>
      </w:pPr>
      <w:r>
        <w:t>编制单位</w:t>
      </w:r>
      <w:r>
        <w:rPr>
          <w:rFonts w:hint="eastAsia"/>
        </w:rPr>
        <w:t>：</w:t>
      </w:r>
      <w:sdt>
        <w:sdtPr>
          <w:alias w:val="公司法定中文名称"/>
          <w:tag w:val="_GBC_22071e1c4bb04578b94539b252cb1c67"/>
          <w:id w:val="1825395229"/>
          <w:placeholder>
            <w:docPart w:val="GBC22222222222222222222222222222"/>
          </w:placeholder>
          <w:dataBinding w:prefixMappings="xmlns:clcid-cgi='clcid-cgi'" w:xpath="/*/clcid-cgi:GongSiFaDingZhongWenMingCheng[not(@periodRef)]" w:storeItemID="{89EBAB94-44A0-46A2-B712-30D997D04A6D}"/>
          <w:text/>
        </w:sdtPr>
        <w:sdtContent>
          <w:r>
            <w:t>兖矿能源集团股份有限公司</w:t>
          </w:r>
        </w:sdtContent>
      </w:sdt>
    </w:p>
    <w:p>
      <w:pPr>
        <w:jc w:val="right"/>
        <w:rPr>
          <w:rFonts w:ascii="宋体" w:hAnsi="宋体"/>
        </w:rPr>
      </w:pPr>
      <w:r>
        <w:rPr>
          <w:rFonts w:ascii="宋体" w:hAnsi="宋体"/>
        </w:rPr>
        <w:t>单位：</w:t>
      </w:r>
      <w:sdt>
        <w:sdtPr>
          <w:rPr>
            <w:rFonts w:ascii="宋体" w:hAnsi="宋体"/>
          </w:rPr>
          <w:alias w:val="单位：合并资产负债表"/>
          <w:tag w:val="_GBC_8c6918f285a44e0f8fb06fefffa27df4"/>
          <w:id w:val="17705027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 xml:space="preserve">千元  </w:t>
          </w:r>
        </w:sdtContent>
      </w:sdt>
      <w:r>
        <w:rPr>
          <w:rFonts w:ascii="宋体" w:hAnsi="宋体"/>
        </w:rPr>
        <w:t>币种：</w:t>
      </w:r>
      <w:sdt>
        <w:sdtPr>
          <w:rPr>
            <w:rFonts w:ascii="宋体" w:hAnsi="宋体"/>
          </w:rPr>
          <w:alias w:val="币种：合并资产负债表"/>
          <w:tag w:val="_GBC_0953b26208a64010937af0b40efed509"/>
          <w:id w:val="13729595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Style w:val="Style100"/>
        <w:tblW w:w="9038"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4"/>
        <w:gridCol w:w="1726"/>
        <w:gridCol w:w="2268"/>
        <w:gridCol w:w="2100"/>
      </w:tblGrid>
      <w:tr>
        <w:bookmarkStart w:id="342" w:name="_Hlk137046697" w:displacedByCustomXml="next"/>
        <w:sdt>
          <w:sdtPr>
            <w:rPr>
              <w:rFonts w:ascii="宋体" w:hAnsi="宋体"/>
            </w:rPr>
            <w:tag w:val="_PLD_e88f994cf669436ebd34aa04979abc4a"/>
            <w:id w:val="-528333371"/>
          </w:sdtPr>
          <w:sdtContent>
            <w:tc>
              <w:tcPr>
                <w:tcW w:w="2944" w:type="dxa"/>
                <w:tcBorders>
                  <w:top w:val="outset" w:sz="6" w:space="0" w:color="auto"/>
                  <w:left w:val="outset" w:sz="6" w:space="0" w:color="auto"/>
                  <w:bottom w:val="outset" w:sz="6" w:space="0" w:color="auto"/>
                  <w:right w:val="outset" w:sz="6" w:space="0" w:color="auto"/>
                </w:tcBorders>
                <w:vAlign w:val="center"/>
              </w:tcPr>
              <w:p>
                <w:pPr>
                  <w:jc w:val="center"/>
                  <w:rPr>
                    <w:rFonts w:ascii="宋体" w:hAnsi="宋体"/>
                    <w:b/>
                    <w:color w:val="000000" w:themeColor="text1"/>
                  </w:rPr>
                </w:pPr>
                <w:r>
                  <w:rPr>
                    <w:rFonts w:ascii="宋体" w:hAnsi="宋体"/>
                    <w:b/>
                    <w:color w:val="000000" w:themeColor="text1"/>
                  </w:rPr>
                  <w:t>项目</w:t>
                </w:r>
              </w:p>
            </w:tc>
          </w:sdtContent>
        </w:sdt>
        <w:sdt>
          <w:sdtPr>
            <w:rPr>
              <w:rFonts w:ascii="宋体" w:hAnsi="宋体"/>
            </w:rPr>
            <w:tag w:val="_PLD_1b1f75a08f0046c7a2abc9d59780d042"/>
            <w:id w:val="-224222802"/>
          </w:sdtPr>
          <w:sdtContent>
            <w:tc>
              <w:tcPr>
                <w:tcW w:w="1726" w:type="dxa"/>
                <w:tcBorders>
                  <w:top w:val="outset" w:sz="6" w:space="0" w:color="auto"/>
                  <w:left w:val="outset" w:sz="6" w:space="0" w:color="auto"/>
                  <w:bottom w:val="outset" w:sz="6" w:space="0" w:color="auto"/>
                  <w:right w:val="outset" w:sz="6" w:space="0" w:color="auto"/>
                </w:tcBorders>
                <w:vAlign w:val="center"/>
              </w:tcPr>
              <w:p>
                <w:pPr>
                  <w:jc w:val="center"/>
                  <w:rPr>
                    <w:rFonts w:ascii="宋体" w:hAnsi="宋体"/>
                    <w:b/>
                    <w:color w:val="000000" w:themeColor="text1"/>
                  </w:rPr>
                </w:pPr>
                <w:r>
                  <w:rPr>
                    <w:rFonts w:ascii="宋体" w:hAnsi="宋体" w:hint="eastAsia"/>
                    <w:b/>
                    <w:color w:val="000000" w:themeColor="text1"/>
                  </w:rPr>
                  <w:t>附注</w:t>
                </w:r>
              </w:p>
            </w:tc>
          </w:sdtContent>
        </w:sdt>
        <w:sdt>
          <w:sdtPr>
            <w:rPr>
              <w:rFonts w:ascii="宋体" w:hAnsi="宋体"/>
            </w:rPr>
            <w:tag w:val="_PLD_afa4cd62e5184f80ba13c8e19e91baa5"/>
            <w:id w:val="-237404732"/>
          </w:sdtPr>
          <w:sdtContent>
            <w:tc>
              <w:tcPr>
                <w:tcW w:w="2268" w:type="dxa"/>
                <w:tcBorders>
                  <w:top w:val="outset" w:sz="6" w:space="0" w:color="auto"/>
                  <w:left w:val="outset" w:sz="6" w:space="0" w:color="auto"/>
                  <w:bottom w:val="outset" w:sz="6" w:space="0" w:color="auto"/>
                  <w:right w:val="outset" w:sz="6" w:space="0" w:color="auto"/>
                </w:tcBorders>
                <w:vAlign w:val="center"/>
              </w:tcPr>
              <w:p>
                <w:pPr>
                  <w:jc w:val="center"/>
                  <w:rPr>
                    <w:rFonts w:ascii="宋体" w:hAnsi="宋体"/>
                    <w:b/>
                    <w:color w:val="000000" w:themeColor="text1"/>
                  </w:rPr>
                </w:pPr>
                <w:r>
                  <w:rPr>
                    <w:rFonts w:ascii="宋体" w:hAnsi="宋体" w:hint="eastAsia"/>
                    <w:b/>
                    <w:color w:val="000000" w:themeColor="text1"/>
                  </w:rPr>
                  <w:t>2025年12月</w:t>
                </w:r>
                <w:r>
                  <w:rPr>
                    <w:rFonts w:ascii="宋体" w:hAnsi="宋体"/>
                    <w:b/>
                    <w:color w:val="000000" w:themeColor="text1"/>
                  </w:rPr>
                  <w:t>3</w:t>
                </w:r>
                <w:r>
                  <w:rPr>
                    <w:rFonts w:ascii="宋体" w:hAnsi="宋体" w:hint="eastAsia"/>
                    <w:b/>
                    <w:color w:val="000000" w:themeColor="text1"/>
                  </w:rPr>
                  <w:t>1日</w:t>
                </w:r>
              </w:p>
            </w:tc>
          </w:sdtContent>
        </w:sdt>
        <w:sdt>
          <w:sdtPr>
            <w:rPr>
              <w:rFonts w:ascii="宋体" w:hAnsi="宋体"/>
            </w:rPr>
            <w:tag w:val="_PLD_af2c4ec348eb42cba64145c988fe0f69"/>
            <w:id w:val="348686045"/>
          </w:sdtPr>
          <w:sdtContent>
            <w:tc>
              <w:tcPr>
                <w:tcW w:w="2100" w:type="dxa"/>
                <w:tcBorders>
                  <w:top w:val="outset" w:sz="6" w:space="0" w:color="auto"/>
                  <w:left w:val="outset" w:sz="6" w:space="0" w:color="auto"/>
                  <w:bottom w:val="outset" w:sz="6" w:space="0" w:color="auto"/>
                  <w:right w:val="outset" w:sz="6" w:space="0" w:color="auto"/>
                </w:tcBorders>
                <w:vAlign w:val="center"/>
              </w:tcPr>
              <w:p>
                <w:pPr>
                  <w:jc w:val="center"/>
                  <w:rPr>
                    <w:rFonts w:ascii="宋体" w:hAnsi="宋体"/>
                    <w:b/>
                    <w:color w:val="000000" w:themeColor="text1"/>
                  </w:rPr>
                </w:pPr>
                <w:r>
                  <w:rPr>
                    <w:rFonts w:ascii="宋体" w:hAnsi="宋体"/>
                    <w:b/>
                    <w:color w:val="000000" w:themeColor="text1"/>
                  </w:rPr>
                  <w:t>2024年12月31日</w:t>
                </w:r>
              </w:p>
            </w:tc>
          </w:sdtContent>
        </w:sdt>
      </w:tr>
      <w:tr>
        <w:sdt>
          <w:sdtPr>
            <w:rPr>
              <w:rFonts w:ascii="宋体" w:hAnsi="宋体"/>
            </w:rPr>
            <w:tag w:val="_PLD_38b46463546242c595dc585220b1a4b3"/>
            <w:id w:val="647568830"/>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rPr>
                    <w:rFonts w:ascii="宋体" w:hAnsi="宋体"/>
                    <w:b/>
                    <w:color w:val="000000" w:themeColor="text1"/>
                  </w:rPr>
                </w:pPr>
                <w:r>
                  <w:rPr>
                    <w:rFonts w:ascii="宋体" w:hAnsi="宋体" w:hint="eastAsia"/>
                    <w:b/>
                    <w:color w:val="000000" w:themeColor="text1"/>
                  </w:rPr>
                  <w:t>流动资产：</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货币资金</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37,428,025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41,078,591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结算备付金</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拆出资金</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交易性金融资产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256,537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166,772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衍生金融资产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应收票据</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1,977,886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1,169,182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应收账款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8,612,468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9,575,687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应收款项融资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七、7</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1,764,903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3,043,593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预付款项</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七、8</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7,319,006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4,785,772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应收保费</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应收分保账款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应收分保合同准备金</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其他应收款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七、9</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23,016,190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3,996,652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其中：应收利息</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400" w:firstLine="840"/>
              <w:rPr>
                <w:rFonts w:ascii="宋体" w:hAnsi="宋体"/>
                <w:color w:val="000000" w:themeColor="text1"/>
              </w:rPr>
            </w:pPr>
            <w:r>
              <w:rPr>
                <w:rFonts w:ascii="宋体" w:hAnsi="宋体" w:hint="eastAsia"/>
                <w:color w:val="000000" w:themeColor="text1"/>
              </w:rPr>
              <w:t>应收股利</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七、9</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65,334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48,320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买入返售金融资产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存货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七、10</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7,564,618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7,868,535</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合同资产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21,198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79,823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持有待售资产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一年内到期的非流动资产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七、12</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2,693,320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4,619,076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其他流动资产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七、13</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34,851,025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25,905,264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流动资产合计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125,505,176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102,288,947</w:t>
            </w:r>
          </w:p>
        </w:tc>
      </w:tr>
      <w:tr>
        <w:sdt>
          <w:sdtPr>
            <w:rPr>
              <w:rFonts w:ascii="宋体" w:hAnsi="宋体"/>
            </w:rPr>
            <w:tag w:val="_PLD_2b01add84ac3492abc16500182326d8e"/>
            <w:id w:val="1435169123"/>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ind w:right="840"/>
                  <w:rPr>
                    <w:rFonts w:ascii="宋体" w:hAnsi="宋体"/>
                    <w:color w:val="000000" w:themeColor="text1"/>
                  </w:rPr>
                </w:pPr>
                <w:r>
                  <w:rPr>
                    <w:rFonts w:ascii="宋体" w:hAnsi="宋体" w:hint="eastAsia"/>
                    <w:b/>
                    <w:color w:val="000000" w:themeColor="text1"/>
                  </w:rPr>
                  <w:t>非流动资产：</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发放贷款和垫款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债权投资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七、14</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71,761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63,999</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其他债权投资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长期应收款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七、16</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3,507,597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2,043,492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长期股权投资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七、17</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26,883,409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25,660,173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其他权益工具投资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七、18</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529,761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529,280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其他非流动金融资产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七、19</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1,386,169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1,447,143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投资性房地产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七、20</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1,747,691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1,234,824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固定资产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七、21</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142,119,759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132,662,663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在建工程</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七、22</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23,146,909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24,866,316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生产性生物资产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油气资产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使用权资产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七、25</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626,965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543,605</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无形资产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七、26</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103,244,109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86,427,681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开发支出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商誉</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七、27</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894,716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829,867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lastRenderedPageBreak/>
              <w:t>长期待摊费用</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1,109,023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833,060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递延所得税资产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七、29</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5,461,913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5,571,935</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其他非流动资产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七、30</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16,709,315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26,900,321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非流动资产合计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327,439,097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309,614,359</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300" w:firstLine="630"/>
              <w:rPr>
                <w:rFonts w:ascii="宋体" w:hAnsi="宋体"/>
                <w:color w:val="000000" w:themeColor="text1"/>
              </w:rPr>
            </w:pPr>
            <w:r>
              <w:rPr>
                <w:rFonts w:ascii="宋体" w:hAnsi="宋体" w:hint="eastAsia"/>
                <w:color w:val="000000" w:themeColor="text1"/>
              </w:rPr>
              <w:t>资产总计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452,944,273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411,903,306</w:t>
            </w:r>
          </w:p>
        </w:tc>
      </w:tr>
      <w:tr>
        <w:sdt>
          <w:sdtPr>
            <w:rPr>
              <w:rFonts w:ascii="宋体" w:hAnsi="宋体"/>
            </w:rPr>
            <w:tag w:val="_PLD_411fdd3766f04bf1851e3afed0dd2f74"/>
            <w:id w:val="-765156942"/>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ind w:right="840"/>
                  <w:rPr>
                    <w:rFonts w:ascii="宋体" w:hAnsi="宋体"/>
                    <w:color w:val="000000" w:themeColor="text1"/>
                  </w:rPr>
                </w:pPr>
                <w:r>
                  <w:rPr>
                    <w:rFonts w:ascii="宋体" w:hAnsi="宋体" w:hint="eastAsia"/>
                    <w:b/>
                    <w:color w:val="000000" w:themeColor="text1"/>
                  </w:rPr>
                  <w:t>流动负债：</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短期借款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七、32</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20,958,181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8,892,716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向中央银行借款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拆入资金</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交易性金融负债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360,192</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538,427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衍生金融负债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应付票据</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七、35</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13,713,215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13,178,973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应付账款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七、36</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29,563,562</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26,230,467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预收款项</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合同负债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七、38</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6,330,233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5,189,166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卖出回购金融资产款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吸收存款及同业存放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代理买卖证券款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代理承销证券款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应付职工薪酬</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七、39</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1,871,338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2,866,377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应交税费</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七、40</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2,730,351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2,650,446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其他应付款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七、41</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38,976,325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40,351,974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其中：应付利息</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400" w:firstLine="840"/>
              <w:rPr>
                <w:rFonts w:ascii="宋体" w:hAnsi="宋体"/>
                <w:color w:val="000000" w:themeColor="text1"/>
              </w:rPr>
            </w:pPr>
            <w:r>
              <w:rPr>
                <w:rFonts w:ascii="宋体" w:hAnsi="宋体" w:hint="eastAsia"/>
                <w:color w:val="000000" w:themeColor="text1"/>
              </w:rPr>
              <w:t>应付股利</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七、41</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6,931,005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3,178,658</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应付手续费及佣金</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应付分保账款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持有待售负债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一年内到期的非流动负债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七、43</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32,074,029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33,592,373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其他流动负债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七、44</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2,359,227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1,237,369</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流动负债合计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148,936,653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134,728,288</w:t>
            </w:r>
          </w:p>
        </w:tc>
      </w:tr>
      <w:tr>
        <w:sdt>
          <w:sdtPr>
            <w:rPr>
              <w:rFonts w:ascii="宋体" w:hAnsi="宋体"/>
            </w:rPr>
            <w:tag w:val="_PLD_371b1fd441234f58b41e1d581fa3f62e"/>
            <w:id w:val="-2000724097"/>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ind w:right="840"/>
                  <w:rPr>
                    <w:rFonts w:ascii="宋体" w:hAnsi="宋体"/>
                    <w:color w:val="000000" w:themeColor="text1"/>
                  </w:rPr>
                </w:pPr>
                <w:r>
                  <w:rPr>
                    <w:rFonts w:ascii="宋体" w:hAnsi="宋体" w:hint="eastAsia"/>
                    <w:b/>
                    <w:color w:val="000000" w:themeColor="text1"/>
                  </w:rPr>
                  <w:t>非流动负债：</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保险合同准备金</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长期借款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七、45</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57,099,723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63,659,263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应付债券</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七、46</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22,964,152</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15,973,544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其中：优先股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leftChars="300" w:left="630" w:firstLineChars="100" w:firstLine="210"/>
              <w:rPr>
                <w:rFonts w:ascii="宋体" w:hAnsi="宋体"/>
                <w:color w:val="000000" w:themeColor="text1"/>
              </w:rPr>
            </w:pPr>
            <w:r>
              <w:rPr>
                <w:rFonts w:ascii="宋体" w:hAnsi="宋体" w:hint="eastAsia"/>
                <w:color w:val="000000" w:themeColor="text1"/>
              </w:rPr>
              <w:t>永续债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租赁负债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七、47</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425,643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344,824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长期应付款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七、48</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16,287,061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10,833,793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长期应付职工薪酬</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七、49</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11,392,802</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12,615,315</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预计负债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七、50</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13,773,969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12,846,272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递延收益</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七、51</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381,510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383,312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递延所得税负债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七、29</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10,580,820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10,887,148</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其他非流动负债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七、52</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5,107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10,695</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非流动负债合计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132,910,787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127,554,166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300" w:firstLine="630"/>
              <w:rPr>
                <w:rFonts w:ascii="宋体" w:hAnsi="宋体"/>
                <w:color w:val="000000" w:themeColor="text1"/>
              </w:rPr>
            </w:pPr>
            <w:r>
              <w:rPr>
                <w:rFonts w:ascii="宋体" w:hAnsi="宋体" w:hint="eastAsia"/>
                <w:color w:val="000000" w:themeColor="text1"/>
              </w:rPr>
              <w:t>负债合计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281,847,440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262,282,454</w:t>
            </w:r>
          </w:p>
        </w:tc>
      </w:tr>
      <w:tr>
        <w:sdt>
          <w:sdtPr>
            <w:rPr>
              <w:rFonts w:ascii="宋体" w:hAnsi="宋体"/>
            </w:rPr>
            <w:tag w:val="_PLD_7d66d1050f504dbab14e7e96bff21c69"/>
            <w:id w:val="-390892289"/>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ind w:right="840"/>
                  <w:rPr>
                    <w:rFonts w:ascii="宋体" w:hAnsi="宋体"/>
                    <w:color w:val="000000" w:themeColor="text1"/>
                  </w:rPr>
                </w:pPr>
                <w:r>
                  <w:rPr>
                    <w:rFonts w:ascii="宋体" w:hAnsi="宋体" w:hint="eastAsia"/>
                    <w:b/>
                    <w:color w:val="000000" w:themeColor="text1"/>
                  </w:rPr>
                  <w:t>所有者权益（或股东权益）：</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实收资本（或股本）</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七、53</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10,037,481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10,039,860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其他权益工具</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七、54</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28,766,651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23,267,221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lastRenderedPageBreak/>
              <w:t>其中：优先股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leftChars="300" w:left="630" w:firstLineChars="100" w:firstLine="210"/>
              <w:rPr>
                <w:rFonts w:ascii="宋体" w:hAnsi="宋体"/>
                <w:color w:val="000000" w:themeColor="text1"/>
              </w:rPr>
            </w:pPr>
            <w:r>
              <w:rPr>
                <w:rFonts w:ascii="宋体" w:hAnsi="宋体" w:hint="eastAsia"/>
                <w:color w:val="000000" w:themeColor="text1"/>
              </w:rPr>
              <w:t>永续债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七、54</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28,766,651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23,267,221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资本公积</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七、55</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16,360,481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7,739,453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减：库存股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七、56</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53,424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112,417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其他综合收益</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七、57</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-6,749,746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-7,915,647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专项储备</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七、58</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3,265,226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3,293,970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盈余公积</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七、59</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554,453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2,841,392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一般风险准备</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未分配利润</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七、60</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48,299,170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48,718,377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归属于母公司所有者权益（或股东权益）合计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100,480,292</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87,872,209</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少数股东权益</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70,616,541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61,748,643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所有者权益（或股东权益）合计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171,096,833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149,620,852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300" w:firstLine="630"/>
              <w:rPr>
                <w:rFonts w:ascii="宋体" w:hAnsi="宋体"/>
                <w:color w:val="000000" w:themeColor="text1"/>
              </w:rPr>
            </w:pPr>
            <w:r>
              <w:rPr>
                <w:rFonts w:ascii="宋体" w:hAnsi="宋体" w:hint="eastAsia"/>
                <w:color w:val="000000" w:themeColor="text1"/>
              </w:rPr>
              <w:t>负债和所有者权益（或股东权益）总计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452,944,273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411,903,306</w:t>
            </w:r>
          </w:p>
        </w:tc>
      </w:tr>
    </w:tbl>
    <w:p>
      <w:pPr>
        <w:ind w:rightChars="-73" w:right="-153"/>
        <w:rPr>
          <w:rFonts w:ascii="宋体" w:hAnsi="宋体"/>
          <w:color w:val="008000"/>
          <w:u w:val="single"/>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295740a12aa8498286bf2ef11896dbe9"/>
          <w:id w:val="-1314946234"/>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李伟</w:t>
          </w:r>
        </w:sdtContent>
      </w:sdt>
      <w:r>
        <w:rPr>
          <w:rFonts w:ascii="宋体" w:hAnsi="宋体"/>
        </w:rPr>
        <w:tab/>
      </w:r>
      <w:r>
        <w:rPr>
          <w:rFonts w:ascii="宋体" w:hAnsi="宋体"/>
        </w:rPr>
        <w:tab/>
      </w:r>
      <w:r>
        <w:rPr>
          <w:rFonts w:ascii="宋体" w:hAnsi="宋体"/>
        </w:rPr>
        <w:tab/>
        <w:t>主管会计工作负责人</w:t>
      </w:r>
      <w:r>
        <w:rPr>
          <w:rFonts w:ascii="宋体" w:hAnsi="宋体" w:hint="eastAsia"/>
        </w:rPr>
        <w:t>：</w:t>
      </w:r>
      <w:sdt>
        <w:sdtPr>
          <w:rPr>
            <w:rFonts w:ascii="宋体" w:hAnsi="宋体" w:hint="eastAsia"/>
          </w:rPr>
          <w:alias w:val="主管会计工作负责人姓名"/>
          <w:tag w:val="_GBC_095c1df7dd6b412590466f3e711cd1e6"/>
          <w:id w:val="2086415816"/>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赵治国</w:t>
          </w:r>
        </w:sdtContent>
      </w:sdt>
      <w:r>
        <w:rPr>
          <w:rFonts w:ascii="宋体" w:hAnsi="宋体"/>
        </w:rPr>
        <w:tab/>
      </w:r>
      <w:r>
        <w:rPr>
          <w:rFonts w:ascii="宋体" w:hAnsi="宋体"/>
        </w:rPr>
        <w:tab/>
      </w:r>
      <w:r>
        <w:rPr>
          <w:rFonts w:ascii="宋体" w:hAnsi="宋体"/>
        </w:rPr>
        <w:tab/>
        <w:t>会计机构负责人</w:t>
      </w:r>
      <w:r>
        <w:rPr>
          <w:rFonts w:ascii="宋体" w:hAnsi="宋体" w:hint="eastAsia"/>
        </w:rPr>
        <w:t>：</w:t>
      </w:r>
      <w:sdt>
        <w:sdtPr>
          <w:rPr>
            <w:rFonts w:ascii="宋体" w:hAnsi="宋体" w:hint="eastAsia"/>
          </w:rPr>
          <w:alias w:val="会计机构负责人姓名"/>
          <w:tag w:val="_GBC_b9cb47d6db784ba8a6b148d9331df451"/>
          <w:id w:val="-1445765444"/>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郭慧</w:t>
          </w:r>
        </w:sdtContent>
      </w:sdt>
    </w:p>
    <w:p>
      <w:pPr>
        <w:rPr>
          <w:rFonts w:ascii="宋体" w:hAnsi="宋体"/>
        </w:rPr>
      </w:pPr>
    </w:p>
    <w:p>
      <w:pPr>
        <w:rPr>
          <w:rFonts w:ascii="宋体" w:hAnsi="宋体"/>
        </w:rPr>
      </w:pPr>
      <w:r>
        <w:rPr>
          <w:rFonts w:ascii="宋体" w:hAnsi="宋体"/>
        </w:rPr>
        <w:br w:type="page"/>
      </w:r>
    </w:p>
    <w:p>
      <w:pPr>
        <w:pStyle w:val="Style219"/>
        <w:jc w:val="center"/>
        <w:rPr>
          <w:rFonts w:ascii="宋体" w:hAnsi="宋体"/>
          <w:szCs w:val="21"/>
        </w:rPr>
      </w:pPr>
      <w:bookmarkStart w:id="343" w:name="_Hlk24034197"/>
      <w:r>
        <w:rPr>
          <w:rFonts w:ascii="宋体" w:hAnsi="宋体" w:hint="eastAsia"/>
          <w:szCs w:val="21"/>
        </w:rPr>
        <w:lastRenderedPageBreak/>
        <w:t>母公司</w:t>
      </w:r>
      <w:r>
        <w:rPr>
          <w:rFonts w:ascii="宋体" w:hAnsi="宋体"/>
          <w:szCs w:val="21"/>
        </w:rPr>
        <w:t>资产负债表</w:t>
      </w:r>
    </w:p>
    <w:p>
      <w:pPr>
        <w:jc w:val="center"/>
        <w:rPr>
          <w:rFonts w:ascii="宋体" w:hAnsi="宋体"/>
          <w:b/>
          <w:bCs/>
        </w:rPr>
      </w:pPr>
      <w:r>
        <w:rPr>
          <w:rFonts w:ascii="宋体" w:hAnsi="宋体"/>
        </w:rPr>
        <w:t>2025年12月31日</w:t>
      </w:r>
    </w:p>
    <w:p>
      <w:pPr>
        <w:rPr>
          <w:rFonts w:ascii="宋体" w:hAnsi="宋体"/>
        </w:rPr>
      </w:pPr>
      <w:r>
        <w:rPr>
          <w:rFonts w:ascii="宋体" w:hAnsi="宋体"/>
        </w:rPr>
        <w:t>编制单位</w:t>
      </w:r>
      <w:r>
        <w:rPr>
          <w:rFonts w:ascii="宋体" w:hAnsi="宋体" w:hint="eastAsia"/>
        </w:rPr>
        <w:t>：</w:t>
      </w:r>
      <w:sdt>
        <w:sdtPr>
          <w:rPr>
            <w:rFonts w:ascii="宋体" w:hAnsi="宋体"/>
          </w:rPr>
          <w:alias w:val="公司法定中文名称"/>
          <w:tag w:val="_GBC_476f9df1cf8d4d36868d3058a4da7d15"/>
          <w:id w:val="-1583909797"/>
          <w:placeholder>
            <w:docPart w:val="GBC22222222222222222222222222222"/>
          </w:placeholder>
          <w:dataBinding w:prefixMappings="xmlns:clcid-cgi='clcid-cgi'" w:xpath="/*/clcid-cgi:GongSiFaDingZhongWenMingCheng[not(@periodRef)]" w:storeItemID="{89EBAB94-44A0-46A2-B712-30D997D04A6D}"/>
          <w:text/>
        </w:sdtPr>
        <w:sdtContent>
          <w:r>
            <w:rPr>
              <w:rFonts w:ascii="宋体" w:hAnsi="宋体"/>
            </w:rPr>
            <w:t>兖矿能源集团股份有限公司</w:t>
          </w:r>
        </w:sdtContent>
      </w:sdt>
    </w:p>
    <w:p>
      <w:pPr>
        <w:jc w:val="right"/>
        <w:rPr>
          <w:rFonts w:ascii="宋体" w:hAnsi="宋体"/>
        </w:rPr>
      </w:pPr>
      <w:r>
        <w:rPr>
          <w:rFonts w:ascii="宋体" w:hAnsi="宋体"/>
        </w:rPr>
        <w:t>单位：</w:t>
      </w:r>
      <w:sdt>
        <w:sdtPr>
          <w:rPr>
            <w:rFonts w:ascii="宋体" w:hAnsi="宋体"/>
          </w:rPr>
          <w:alias w:val="单位：母公司资产负债表"/>
          <w:tag w:val="_GBC_e3e6bb2b9b89482085daf4528af32780"/>
          <w:id w:val="4828234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 xml:space="preserve">千元  </w:t>
          </w:r>
        </w:sdtContent>
      </w:sdt>
      <w:r>
        <w:rPr>
          <w:rFonts w:ascii="宋体" w:hAnsi="宋体"/>
        </w:rPr>
        <w:t>币种：</w:t>
      </w:r>
      <w:sdt>
        <w:sdtPr>
          <w:rPr>
            <w:rFonts w:ascii="宋体" w:hAnsi="宋体"/>
          </w:rPr>
          <w:alias w:val="币种：母公司资产负债表"/>
          <w:tag w:val="_GBC_31e3f7c7e30144c684d9b3387d64ec2f"/>
          <w:id w:val="-653517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Style w:val="Style100"/>
        <w:tblW w:w="9038"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4"/>
        <w:gridCol w:w="1726"/>
        <w:gridCol w:w="2268"/>
        <w:gridCol w:w="2100"/>
      </w:tblGrid>
      <w:tr>
        <w:bookmarkStart w:id="344" w:name="_Hlk105686791" w:displacedByCustomXml="next"/>
        <w:sdt>
          <w:sdtPr>
            <w:rPr>
              <w:rFonts w:ascii="宋体" w:hAnsi="宋体"/>
            </w:rPr>
            <w:tag w:val="_PLD_e123561b4eea486cbee629a83db9ddc0"/>
            <w:id w:val="-260995268"/>
          </w:sdtPr>
          <w:sdtContent>
            <w:tc>
              <w:tcPr>
                <w:tcW w:w="2944" w:type="dxa"/>
                <w:tcBorders>
                  <w:top w:val="outset" w:sz="6" w:space="0" w:color="auto"/>
                  <w:left w:val="outset" w:sz="6" w:space="0" w:color="auto"/>
                  <w:bottom w:val="outset" w:sz="6" w:space="0" w:color="auto"/>
                  <w:right w:val="outset" w:sz="6" w:space="0" w:color="auto"/>
                </w:tcBorders>
                <w:vAlign w:val="center"/>
              </w:tcPr>
              <w:p>
                <w:pPr>
                  <w:jc w:val="center"/>
                  <w:rPr>
                    <w:rFonts w:ascii="宋体" w:hAnsi="宋体"/>
                    <w:b/>
                    <w:bCs/>
                    <w:color w:val="000000" w:themeColor="text1"/>
                  </w:rPr>
                </w:pPr>
                <w:r>
                  <w:rPr>
                    <w:rFonts w:ascii="宋体" w:hAnsi="宋体"/>
                    <w:b/>
                    <w:color w:val="000000" w:themeColor="text1"/>
                  </w:rPr>
                  <w:t>项目</w:t>
                </w:r>
              </w:p>
            </w:tc>
          </w:sdtContent>
        </w:sdt>
        <w:sdt>
          <w:sdtPr>
            <w:rPr>
              <w:rFonts w:ascii="宋体" w:hAnsi="宋体"/>
            </w:rPr>
            <w:tag w:val="_PLD_06c4ac69e0084d108604170c58444649"/>
            <w:id w:val="1403795693"/>
          </w:sdtPr>
          <w:sdtContent>
            <w:tc>
              <w:tcPr>
                <w:tcW w:w="1726" w:type="dxa"/>
                <w:tcBorders>
                  <w:top w:val="outset" w:sz="6" w:space="0" w:color="auto"/>
                  <w:left w:val="outset" w:sz="6" w:space="0" w:color="auto"/>
                  <w:bottom w:val="outset" w:sz="6" w:space="0" w:color="auto"/>
                  <w:right w:val="outset" w:sz="6" w:space="0" w:color="auto"/>
                </w:tcBorders>
                <w:vAlign w:val="center"/>
              </w:tcPr>
              <w:p>
                <w:pPr>
                  <w:jc w:val="center"/>
                  <w:rPr>
                    <w:rFonts w:ascii="宋体" w:hAnsi="宋体"/>
                    <w:b/>
                    <w:bCs/>
                    <w:color w:val="000000" w:themeColor="text1"/>
                  </w:rPr>
                </w:pPr>
                <w:r>
                  <w:rPr>
                    <w:rFonts w:ascii="宋体" w:hAnsi="宋体" w:hint="eastAsia"/>
                    <w:b/>
                    <w:color w:val="000000" w:themeColor="text1"/>
                  </w:rPr>
                  <w:t>附注</w:t>
                </w:r>
              </w:p>
            </w:tc>
          </w:sdtContent>
        </w:sdt>
        <w:sdt>
          <w:sdtPr>
            <w:rPr>
              <w:rFonts w:ascii="宋体" w:hAnsi="宋体"/>
            </w:rPr>
            <w:tag w:val="_PLD_b1c54371985a4504b749b9d71cf1412e"/>
            <w:id w:val="577257013"/>
          </w:sdtPr>
          <w:sdtContent>
            <w:tc>
              <w:tcPr>
                <w:tcW w:w="2268" w:type="dxa"/>
                <w:tcBorders>
                  <w:top w:val="outset" w:sz="6" w:space="0" w:color="auto"/>
                  <w:left w:val="outset" w:sz="6" w:space="0" w:color="auto"/>
                  <w:bottom w:val="outset" w:sz="6" w:space="0" w:color="auto"/>
                  <w:right w:val="outset" w:sz="6" w:space="0" w:color="auto"/>
                </w:tcBorders>
                <w:vAlign w:val="center"/>
              </w:tcPr>
              <w:p>
                <w:pPr>
                  <w:jc w:val="center"/>
                  <w:rPr>
                    <w:rFonts w:ascii="宋体" w:hAnsi="宋体"/>
                    <w:b/>
                    <w:bCs/>
                    <w:color w:val="000000" w:themeColor="text1"/>
                  </w:rPr>
                </w:pPr>
                <w:r>
                  <w:rPr>
                    <w:rFonts w:ascii="宋体" w:hAnsi="宋体" w:hint="eastAsia"/>
                    <w:b/>
                    <w:color w:val="000000" w:themeColor="text1"/>
                  </w:rPr>
                  <w:t>2025年12月</w:t>
                </w:r>
                <w:r>
                  <w:rPr>
                    <w:rFonts w:ascii="宋体" w:hAnsi="宋体"/>
                    <w:b/>
                    <w:color w:val="000000" w:themeColor="text1"/>
                  </w:rPr>
                  <w:t>3</w:t>
                </w:r>
                <w:r>
                  <w:rPr>
                    <w:rFonts w:ascii="宋体" w:hAnsi="宋体" w:hint="eastAsia"/>
                    <w:b/>
                    <w:color w:val="000000" w:themeColor="text1"/>
                  </w:rPr>
                  <w:t>1日</w:t>
                </w:r>
              </w:p>
            </w:tc>
          </w:sdtContent>
        </w:sdt>
        <w:sdt>
          <w:sdtPr>
            <w:rPr>
              <w:rFonts w:ascii="宋体" w:hAnsi="宋体"/>
            </w:rPr>
            <w:tag w:val="_PLD_26edb5cd36ce4083a97dc26772b099ab"/>
            <w:id w:val="-1079746145"/>
          </w:sdtPr>
          <w:sdtContent>
            <w:tc>
              <w:tcPr>
                <w:tcW w:w="2100" w:type="dxa"/>
                <w:tcBorders>
                  <w:top w:val="outset" w:sz="6" w:space="0" w:color="auto"/>
                  <w:left w:val="outset" w:sz="6" w:space="0" w:color="auto"/>
                  <w:bottom w:val="outset" w:sz="6" w:space="0" w:color="auto"/>
                  <w:right w:val="outset" w:sz="6" w:space="0" w:color="auto"/>
                </w:tcBorders>
                <w:vAlign w:val="center"/>
              </w:tcPr>
              <w:p>
                <w:pPr>
                  <w:jc w:val="center"/>
                  <w:rPr>
                    <w:rFonts w:ascii="宋体" w:hAnsi="宋体"/>
                    <w:b/>
                    <w:bCs/>
                    <w:color w:val="000000" w:themeColor="text1"/>
                  </w:rPr>
                </w:pPr>
                <w:r>
                  <w:rPr>
                    <w:rFonts w:ascii="宋体" w:hAnsi="宋体"/>
                    <w:b/>
                    <w:color w:val="000000" w:themeColor="text1"/>
                  </w:rPr>
                  <w:t>2024年12月31日</w:t>
                </w:r>
              </w:p>
            </w:tc>
          </w:sdtContent>
        </w:sdt>
      </w:tr>
      <w:tr>
        <w:sdt>
          <w:sdtPr>
            <w:rPr>
              <w:rFonts w:ascii="宋体" w:hAnsi="宋体"/>
            </w:rPr>
            <w:tag w:val="_PLD_b54d834a04b8464892f4dccc28fbd9e0"/>
            <w:id w:val="1484744414"/>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rPr>
                    <w:rFonts w:ascii="宋体" w:hAnsi="宋体"/>
                    <w:b/>
                    <w:color w:val="000000" w:themeColor="text1"/>
                  </w:rPr>
                </w:pPr>
                <w:r>
                  <w:rPr>
                    <w:rFonts w:ascii="宋体" w:hAnsi="宋体" w:hint="eastAsia"/>
                    <w:b/>
                    <w:color w:val="000000" w:themeColor="text1"/>
                  </w:rPr>
                  <w:t>流动资产：</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货币资金</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4,993,576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4,672,436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交易性金融资产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668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481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衍生金融资产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应收票据</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88,984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应收账款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十九、1</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2,469,377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2,360,288</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应收款项融资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288,920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1,744,868</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预付款项</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15,367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5,089</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其他应收款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十九、2</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72,950,036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52,636,393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其中：应收利息</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400" w:firstLine="840"/>
              <w:rPr>
                <w:rFonts w:ascii="宋体" w:hAnsi="宋体"/>
                <w:color w:val="000000" w:themeColor="text1"/>
              </w:rPr>
            </w:pPr>
            <w:r>
              <w:rPr>
                <w:rFonts w:ascii="宋体" w:hAnsi="宋体" w:hint="eastAsia"/>
                <w:color w:val="000000" w:themeColor="text1"/>
              </w:rPr>
              <w:t>应收股利</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十九、2</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11,090,778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10,657,134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存货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319,091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187,495</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合同资产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持有待售资产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一年内到期的非流动资产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其他流动资产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4,470,299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2,970,131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流动资产合计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85,596,318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64,577,181</w:t>
            </w:r>
          </w:p>
        </w:tc>
      </w:tr>
      <w:tr>
        <w:sdt>
          <w:sdtPr>
            <w:rPr>
              <w:rFonts w:ascii="宋体" w:hAnsi="宋体"/>
            </w:rPr>
            <w:tag w:val="_PLD_3bf4878ec6d14b78be43557bc0d9a302"/>
            <w:id w:val="-1103021795"/>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rPr>
                    <w:rFonts w:ascii="宋体" w:hAnsi="宋体"/>
                    <w:color w:val="000000" w:themeColor="text1"/>
                  </w:rPr>
                </w:pPr>
                <w:r>
                  <w:rPr>
                    <w:rFonts w:ascii="宋体" w:hAnsi="宋体" w:hint="eastAsia"/>
                    <w:b/>
                    <w:color w:val="000000" w:themeColor="text1"/>
                  </w:rPr>
                  <w:t>非流动资产：</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债权投资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其他债权投资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长期应收款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长期股权投资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十九、3</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113,855,885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106,162,570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其他权益工具投资</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4,208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4,073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其他非流动金融资产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投资性房地产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531,803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28,838</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固定资产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14,886,525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12,418,036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在建工程</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581,394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2,349,171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生产性生物资产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油气资产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使用权资产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7,625,484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7,974,824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无形资产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4,531,143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851,852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开发支出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商誉</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长期待摊费用</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767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递延所得税资产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3,783,977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3,094,231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其他非流动资产</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120,184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3,839,158</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非流动资产合计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145,920,609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136,723,520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300" w:firstLine="630"/>
              <w:rPr>
                <w:rFonts w:ascii="宋体" w:hAnsi="宋体"/>
                <w:color w:val="000000" w:themeColor="text1"/>
              </w:rPr>
            </w:pPr>
            <w:r>
              <w:rPr>
                <w:rFonts w:ascii="宋体" w:hAnsi="宋体" w:hint="eastAsia"/>
                <w:color w:val="000000" w:themeColor="text1"/>
              </w:rPr>
              <w:t>资产总计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231,516,927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201,300,701</w:t>
            </w:r>
          </w:p>
        </w:tc>
      </w:tr>
      <w:tr>
        <w:sdt>
          <w:sdtPr>
            <w:rPr>
              <w:rFonts w:ascii="宋体" w:hAnsi="宋体"/>
            </w:rPr>
            <w:tag w:val="_PLD_3c4382c3caa043de84ae1c13bc2ce793"/>
            <w:id w:val="140217684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rPr>
                    <w:rFonts w:ascii="宋体" w:hAnsi="宋体"/>
                    <w:color w:val="000000" w:themeColor="text1"/>
                  </w:rPr>
                </w:pPr>
                <w:r>
                  <w:rPr>
                    <w:rFonts w:ascii="宋体" w:hAnsi="宋体" w:hint="eastAsia"/>
                    <w:b/>
                    <w:color w:val="000000" w:themeColor="text1"/>
                  </w:rPr>
                  <w:t>流动负债：</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短期借款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17,951,000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6,850,000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交易性金融负债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衍生金融负债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lastRenderedPageBreak/>
              <w:t>应付票据</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5,052,077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3,141,444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应付账款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5,348,631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3,942,896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预收款项</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合同负债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813,524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524,564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应付职工薪酬</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85,590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105,367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应交税费</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107,269</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354,202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其他应付款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42,032,194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38,614,385</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其中：应付利息</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400" w:firstLine="840"/>
              <w:rPr>
                <w:rFonts w:ascii="宋体" w:hAnsi="宋体"/>
                <w:color w:val="000000" w:themeColor="text1"/>
              </w:rPr>
            </w:pPr>
            <w:r>
              <w:rPr>
                <w:rFonts w:ascii="宋体" w:hAnsi="宋体" w:hint="eastAsia"/>
                <w:color w:val="000000" w:themeColor="text1"/>
              </w:rPr>
              <w:t>应付股利</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持有待售负债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一年内到期的非流动负债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24,730,150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26,282,910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其他流动负债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113,983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77,842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流动负债合计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96,234,418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79,893,610</w:t>
            </w:r>
          </w:p>
        </w:tc>
      </w:tr>
      <w:tr>
        <w:sdt>
          <w:sdtPr>
            <w:rPr>
              <w:rFonts w:ascii="宋体" w:hAnsi="宋体"/>
            </w:rPr>
            <w:tag w:val="_PLD_96b3279b94864dce855f778a549d0817"/>
            <w:id w:val="-1522309639"/>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rPr>
                    <w:rFonts w:ascii="宋体" w:hAnsi="宋体"/>
                    <w:color w:val="000000" w:themeColor="text1"/>
                  </w:rPr>
                </w:pPr>
                <w:r>
                  <w:rPr>
                    <w:rFonts w:ascii="宋体" w:hAnsi="宋体" w:hint="eastAsia"/>
                    <w:b/>
                    <w:color w:val="000000" w:themeColor="text1"/>
                  </w:rPr>
                  <w:t>非流动负债：</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长期借款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33,914,770</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41,180,900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应付债券</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22,964,152</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15,973,544</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其中：优先股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leftChars="300" w:left="630" w:firstLineChars="100" w:firstLine="210"/>
              <w:rPr>
                <w:rFonts w:ascii="宋体" w:hAnsi="宋体"/>
                <w:color w:val="000000" w:themeColor="text1"/>
              </w:rPr>
            </w:pPr>
            <w:r>
              <w:rPr>
                <w:rFonts w:ascii="宋体" w:hAnsi="宋体" w:hint="eastAsia"/>
                <w:color w:val="000000" w:themeColor="text1"/>
              </w:rPr>
              <w:t>永续债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租赁负债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8,366,666</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8,574,096</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长期应付款</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669,591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426,421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长期应付职工薪酬</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预计负债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1,426,517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1,367,542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递延收益</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192,314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184,497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递延所得税负债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2,178,974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2,281,349</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其他非流动负债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非流动负债合计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69,712,984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69,988,349</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300" w:firstLine="630"/>
              <w:rPr>
                <w:rFonts w:ascii="宋体" w:hAnsi="宋体"/>
                <w:color w:val="000000" w:themeColor="text1"/>
              </w:rPr>
            </w:pPr>
            <w:r>
              <w:rPr>
                <w:rFonts w:ascii="宋体" w:hAnsi="宋体" w:hint="eastAsia"/>
                <w:color w:val="000000" w:themeColor="text1"/>
              </w:rPr>
              <w:t>负债合计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165,947,402</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149,881,959</w:t>
            </w:r>
          </w:p>
        </w:tc>
      </w:tr>
      <w:tr>
        <w:sdt>
          <w:sdtPr>
            <w:rPr>
              <w:rFonts w:ascii="宋体" w:hAnsi="宋体"/>
            </w:rPr>
            <w:tag w:val="_PLD_2b8d2554b6394d8daf706f571f2c850a"/>
            <w:id w:val="178993511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pPr>
                  <w:rPr>
                    <w:rFonts w:ascii="宋体" w:hAnsi="宋体"/>
                    <w:color w:val="000000" w:themeColor="text1"/>
                  </w:rPr>
                </w:pPr>
                <w:r>
                  <w:rPr>
                    <w:rFonts w:ascii="宋体" w:hAnsi="宋体" w:hint="eastAsia"/>
                    <w:b/>
                    <w:color w:val="000000" w:themeColor="text1"/>
                  </w:rPr>
                  <w:t>所有者权益（或股东权益）：</w:t>
                </w:r>
              </w:p>
            </w:tc>
          </w:sdtContent>
        </w:sdt>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实收资本（或股本）</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10,037,481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10,039,860</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其他权益工具</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28,766,651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23,267,221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其中：优先股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 xml:space="preserve">　</w:t>
            </w:r>
          </w:p>
        </w:tc>
      </w:tr>
      <w:tr>
        <w:tc>
          <w:tcPr>
            <w:tcW w:w="2944" w:type="dxa"/>
            <w:tcBorders>
              <w:top w:val="outset" w:sz="6" w:space="0" w:color="auto"/>
              <w:left w:val="outset" w:sz="6" w:space="0" w:color="auto"/>
              <w:bottom w:val="outset" w:sz="6" w:space="0" w:color="auto"/>
              <w:right w:val="outset" w:sz="6" w:space="0" w:color="auto"/>
            </w:tcBorders>
            <w:vAlign w:val="center"/>
          </w:tcPr>
          <w:p>
            <w:pPr>
              <w:ind w:leftChars="300" w:left="630" w:firstLineChars="100" w:firstLine="210"/>
              <w:rPr>
                <w:rFonts w:ascii="宋体" w:hAnsi="宋体"/>
                <w:color w:val="000000" w:themeColor="text1"/>
              </w:rPr>
            </w:pPr>
            <w:r>
              <w:rPr>
                <w:rFonts w:ascii="宋体" w:hAnsi="宋体" w:hint="eastAsia"/>
                <w:color w:val="000000" w:themeColor="text1"/>
              </w:rPr>
              <w:t>永续债</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28,766,651</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23,267,221</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资本公积</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18,010,438</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4,628,743</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减：库存股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53,424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112,417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其他综合收益</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316,517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439,219</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专项储备</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1,143,365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1,140,167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盈余公积</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554,453</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2,841,392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100" w:firstLine="210"/>
              <w:rPr>
                <w:rFonts w:ascii="宋体" w:hAnsi="宋体"/>
                <w:color w:val="000000" w:themeColor="text1"/>
              </w:rPr>
            </w:pPr>
            <w:r>
              <w:rPr>
                <w:rFonts w:ascii="宋体" w:hAnsi="宋体" w:hint="eastAsia"/>
                <w:color w:val="000000" w:themeColor="text1"/>
              </w:rPr>
              <w:t>未分配利润</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6,794,044</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9,174,557</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200" w:firstLine="420"/>
              <w:rPr>
                <w:rFonts w:ascii="宋体" w:hAnsi="宋体"/>
                <w:color w:val="000000" w:themeColor="text1"/>
              </w:rPr>
            </w:pPr>
            <w:r>
              <w:rPr>
                <w:rFonts w:ascii="宋体" w:hAnsi="宋体" w:hint="eastAsia"/>
                <w:color w:val="000000" w:themeColor="text1"/>
              </w:rPr>
              <w:t>所有者权益（或股东权益）合计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65,569,525</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51,418,742</w:t>
            </w:r>
          </w:p>
        </w:tc>
      </w:tr>
      <w:tr>
        <w:tc>
          <w:tcPr>
            <w:tcW w:w="2944" w:type="dxa"/>
            <w:tcBorders>
              <w:top w:val="outset" w:sz="6" w:space="0" w:color="auto"/>
              <w:left w:val="outset" w:sz="6" w:space="0" w:color="auto"/>
              <w:bottom w:val="outset" w:sz="6" w:space="0" w:color="auto"/>
              <w:right w:val="outset" w:sz="6" w:space="0" w:color="auto"/>
            </w:tcBorders>
            <w:vAlign w:val="center"/>
          </w:tcPr>
          <w:p>
            <w:pPr>
              <w:ind w:firstLineChars="300" w:firstLine="630"/>
              <w:rPr>
                <w:rFonts w:ascii="宋体" w:hAnsi="宋体"/>
                <w:color w:val="000000" w:themeColor="text1"/>
              </w:rPr>
            </w:pPr>
            <w:r>
              <w:rPr>
                <w:rFonts w:ascii="宋体" w:hAnsi="宋体" w:hint="eastAsia"/>
                <w:color w:val="000000" w:themeColor="text1"/>
              </w:rPr>
              <w:t>负债和所有者权益（或股东权益）总计</w:t>
            </w:r>
          </w:p>
        </w:tc>
        <w:tc>
          <w:tcPr>
            <w:tcW w:w="1726" w:type="dxa"/>
            <w:tcBorders>
              <w:top w:val="outset" w:sz="6" w:space="0" w:color="auto"/>
              <w:left w:val="outset" w:sz="6" w:space="0" w:color="auto"/>
              <w:bottom w:val="outset" w:sz="6" w:space="0" w:color="auto"/>
              <w:right w:val="outset" w:sz="6" w:space="0" w:color="auto"/>
            </w:tcBorders>
            <w:vAlign w:val="center"/>
          </w:tcPr>
          <w:p>
            <w:pPr>
              <w:rPr>
                <w:rFonts w:ascii="宋体" w:hAnsi="宋体"/>
              </w:rPr>
            </w:pPr>
            <w:r>
              <w:rPr>
                <w:rFonts w:ascii="宋体" w:hAnsi="宋体" w:hint="eastAsia"/>
              </w:rPr>
              <w:t xml:space="preserve">　</w:t>
            </w:r>
          </w:p>
        </w:tc>
        <w:tc>
          <w:tcPr>
            <w:tcW w:w="2268"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231,516,927</w:t>
            </w:r>
          </w:p>
        </w:tc>
        <w:tc>
          <w:tcPr>
            <w:tcW w:w="2100" w:type="dxa"/>
            <w:tcBorders>
              <w:top w:val="outset" w:sz="6" w:space="0" w:color="auto"/>
              <w:left w:val="outset" w:sz="6" w:space="0" w:color="auto"/>
              <w:bottom w:val="outset" w:sz="6" w:space="0" w:color="auto"/>
              <w:right w:val="outset" w:sz="6" w:space="0" w:color="auto"/>
            </w:tcBorders>
            <w:vAlign w:val="center"/>
          </w:tcPr>
          <w:p>
            <w:pPr>
              <w:jc w:val="right"/>
              <w:rPr>
                <w:rFonts w:ascii="宋体" w:hAnsi="宋体"/>
              </w:rPr>
            </w:pPr>
            <w:r>
              <w:rPr>
                <w:rFonts w:ascii="宋体" w:hAnsi="宋体" w:hint="eastAsia"/>
              </w:rPr>
              <w:t>201,300,701</w:t>
            </w:r>
          </w:p>
        </w:tc>
      </w:tr>
    </w:tbl>
    <w:p>
      <w:pPr>
        <w:ind w:rightChars="-73" w:right="-153"/>
        <w:rPr>
          <w:rFonts w:ascii="宋体" w:hAnsi="宋体"/>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a81a61c6d7bb46bfa69f34f205086804"/>
          <w:id w:val="-630173136"/>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李伟</w:t>
          </w:r>
        </w:sdtContent>
      </w:sdt>
      <w:r>
        <w:rPr>
          <w:rFonts w:ascii="宋体" w:hAnsi="宋体"/>
        </w:rPr>
        <w:tab/>
      </w:r>
      <w:r>
        <w:rPr>
          <w:rFonts w:ascii="宋体" w:hAnsi="宋体"/>
        </w:rPr>
        <w:tab/>
      </w:r>
      <w:r>
        <w:rPr>
          <w:rFonts w:ascii="宋体" w:hAnsi="宋体"/>
        </w:rPr>
        <w:tab/>
        <w:t>主管会计工作负责人</w:t>
      </w:r>
      <w:r>
        <w:rPr>
          <w:rFonts w:ascii="宋体" w:hAnsi="宋体" w:hint="eastAsia"/>
        </w:rPr>
        <w:t>：</w:t>
      </w:r>
      <w:sdt>
        <w:sdtPr>
          <w:rPr>
            <w:rFonts w:ascii="宋体" w:hAnsi="宋体" w:hint="eastAsia"/>
          </w:rPr>
          <w:alias w:val="主管会计工作负责人姓名"/>
          <w:tag w:val="_GBC_12b89d18f9094da18899493b997b98a8"/>
          <w:id w:val="1355233157"/>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赵治国</w:t>
          </w:r>
        </w:sdtContent>
      </w:sdt>
      <w:r>
        <w:rPr>
          <w:rFonts w:ascii="宋体" w:hAnsi="宋体"/>
        </w:rPr>
        <w:tab/>
      </w:r>
      <w:r>
        <w:rPr>
          <w:rFonts w:ascii="宋体" w:hAnsi="宋体"/>
        </w:rPr>
        <w:tab/>
      </w:r>
      <w:r>
        <w:rPr>
          <w:rFonts w:ascii="宋体" w:hAnsi="宋体"/>
        </w:rPr>
        <w:tab/>
        <w:t>会计机构负责人</w:t>
      </w:r>
      <w:r>
        <w:rPr>
          <w:rFonts w:ascii="宋体" w:hAnsi="宋体" w:hint="eastAsia"/>
        </w:rPr>
        <w:t>：</w:t>
      </w:r>
      <w:sdt>
        <w:sdtPr>
          <w:rPr>
            <w:rFonts w:ascii="宋体" w:hAnsi="宋体" w:hint="eastAsia"/>
          </w:rPr>
          <w:alias w:val="会计机构负责人姓名"/>
          <w:tag w:val="_GBC_80397291c44b4713afb5a711c98f3ea6"/>
          <w:id w:val="1196896027"/>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郭慧</w:t>
          </w:r>
        </w:sdtContent>
      </w:sdt>
    </w:p>
    <w:bookmarkEnd w:id="342"/>
    <w:bookmarkEnd w:id="344"/>
    <w:p>
      <w:pPr>
        <w:rPr>
          <w:rFonts w:ascii="宋体" w:hAnsi="宋体"/>
        </w:rPr>
      </w:pPr>
    </w:p>
    <w:p>
      <w:pPr>
        <w:rPr>
          <w:rFonts w:asciiTheme="minorEastAsia" w:eastAsiaTheme="minorEastAsia" w:hAnsiTheme="minorEastAsia"/>
          <w:color w:val="FF0000"/>
        </w:rPr>
      </w:pPr>
      <w:bookmarkStart w:id="345" w:name="_Hlk24033458"/>
      <w:bookmarkEnd w:id="341"/>
      <w:bookmarkEnd w:id="343"/>
      <w:bookmarkEnd w:id="345"/>
      <w:r>
        <w:rPr>
          <w:rFonts w:asciiTheme="minorEastAsia" w:eastAsiaTheme="minorEastAsia" w:hAnsiTheme="minorEastAsia"/>
          <w:color w:val="FF0000"/>
        </w:rPr>
        <w:br w:type="page"/>
      </w:r>
    </w:p>
    <w:p>
      <w:pPr>
        <w:pStyle w:val="Style219"/>
        <w:jc w:val="center"/>
        <w:rPr>
          <w:rFonts w:ascii="宋体" w:hAnsi="宋体"/>
          <w:szCs w:val="21"/>
        </w:rPr>
      </w:pPr>
      <w:bookmarkStart w:id="346" w:name="_Hlk24038378"/>
      <w:r>
        <w:rPr>
          <w:rFonts w:ascii="宋体" w:hAnsi="宋体" w:hint="eastAsia"/>
          <w:szCs w:val="21"/>
        </w:rPr>
        <w:lastRenderedPageBreak/>
        <w:t>合并</w:t>
      </w:r>
      <w:r>
        <w:rPr>
          <w:rFonts w:ascii="宋体" w:hAnsi="宋体"/>
          <w:szCs w:val="21"/>
        </w:rPr>
        <w:t>利润表</w:t>
      </w:r>
    </w:p>
    <w:p>
      <w:pPr>
        <w:jc w:val="center"/>
        <w:rPr>
          <w:rFonts w:ascii="宋体" w:hAnsi="宋体"/>
          <w:b/>
          <w:bCs/>
        </w:rPr>
      </w:pPr>
      <w:r>
        <w:rPr>
          <w:rFonts w:ascii="宋体" w:hAnsi="宋体"/>
        </w:rPr>
        <w:t>2025年</w:t>
      </w:r>
      <w:r>
        <w:rPr>
          <w:rFonts w:ascii="宋体" w:hAnsi="宋体" w:hint="eastAsia"/>
        </w:rPr>
        <w:t>1—</w:t>
      </w:r>
      <w:r>
        <w:rPr>
          <w:rFonts w:ascii="宋体" w:hAnsi="宋体"/>
        </w:rPr>
        <w:t>12月</w:t>
      </w:r>
    </w:p>
    <w:p>
      <w:pPr>
        <w:jc w:val="right"/>
        <w:rPr>
          <w:rFonts w:ascii="宋体" w:hAnsi="宋体"/>
        </w:rPr>
      </w:pPr>
      <w:r>
        <w:rPr>
          <w:rFonts w:ascii="宋体" w:hAnsi="宋体"/>
        </w:rPr>
        <w:t>单位：</w:t>
      </w:r>
      <w:sdt>
        <w:sdtPr>
          <w:rPr>
            <w:rFonts w:ascii="宋体" w:hAnsi="宋体"/>
          </w:rPr>
          <w:alias w:val="单位：合并利润表"/>
          <w:tag w:val="_GBC_95830fead96c480388a2e386c3331383"/>
          <w:id w:val="16923277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 xml:space="preserve">千元  </w:t>
          </w:r>
        </w:sdtContent>
      </w:sdt>
      <w:r>
        <w:rPr>
          <w:rFonts w:ascii="宋体" w:hAnsi="宋体"/>
        </w:rPr>
        <w:t>币种：</w:t>
      </w:r>
      <w:sdt>
        <w:sdtPr>
          <w:rPr>
            <w:rFonts w:ascii="宋体" w:hAnsi="宋体"/>
          </w:rPr>
          <w:alias w:val="币种：合并利润表"/>
          <w:tag w:val="_GBC_4902a1798447427ba99922213b04b39b"/>
          <w:id w:val="-11717202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Style w:val="Style100"/>
        <w:tblW w:w="9209" w:type="dxa"/>
        <w:jc w:val="center"/>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07"/>
        <w:gridCol w:w="1516"/>
        <w:gridCol w:w="2008"/>
        <w:gridCol w:w="2178"/>
      </w:tblGrid>
      <w:tr>
        <w:trPr>
          <w:cantSplit/>
          <w:jc w:val="center"/>
        </w:trPr>
        <w:sdt>
          <w:sdtPr>
            <w:rPr>
              <w:rFonts w:ascii="宋体" w:hAnsi="宋体"/>
            </w:rPr>
            <w:tag w:val="_PLD_2e3f33fcce354b339a86add10899a6c5"/>
            <w:id w:val="-1144665726"/>
          </w:sdtPr>
          <w:sdtContent>
            <w:tc>
              <w:tcPr>
                <w:tcW w:w="3507" w:type="dxa"/>
                <w:tcBorders>
                  <w:top w:val="outset" w:sz="4" w:space="0" w:color="auto"/>
                  <w:left w:val="outset" w:sz="4" w:space="0" w:color="auto"/>
                  <w:bottom w:val="outset" w:sz="4" w:space="0" w:color="auto"/>
                  <w:right w:val="outset" w:sz="4" w:space="0" w:color="auto"/>
                </w:tcBorders>
                <w:vAlign w:val="center"/>
              </w:tcPr>
              <w:p>
                <w:pPr>
                  <w:ind w:leftChars="-19" w:hangingChars="19" w:hanging="40"/>
                  <w:jc w:val="center"/>
                  <w:rPr>
                    <w:rFonts w:ascii="宋体" w:hAnsi="宋体"/>
                    <w:b/>
                  </w:rPr>
                </w:pPr>
                <w:r>
                  <w:rPr>
                    <w:rFonts w:ascii="宋体" w:hAnsi="宋体"/>
                    <w:b/>
                  </w:rPr>
                  <w:t>项目</w:t>
                </w:r>
              </w:p>
            </w:tc>
          </w:sdtContent>
        </w:sdt>
        <w:sdt>
          <w:sdtPr>
            <w:rPr>
              <w:rFonts w:ascii="宋体" w:hAnsi="宋体"/>
            </w:rPr>
            <w:tag w:val="_PLD_93edd7a3846d4cd58b14d043e9b33f2c"/>
            <w:id w:val="-655534565"/>
          </w:sdtPr>
          <w:sdtContent>
            <w:tc>
              <w:tcPr>
                <w:tcW w:w="1516" w:type="dxa"/>
                <w:tcBorders>
                  <w:top w:val="outset" w:sz="4" w:space="0" w:color="auto"/>
                  <w:left w:val="outset" w:sz="4" w:space="0" w:color="auto"/>
                  <w:bottom w:val="outset" w:sz="4" w:space="0" w:color="auto"/>
                  <w:right w:val="outset" w:sz="4" w:space="0" w:color="auto"/>
                </w:tcBorders>
                <w:vAlign w:val="center"/>
              </w:tcPr>
              <w:p>
                <w:pPr>
                  <w:jc w:val="center"/>
                  <w:rPr>
                    <w:rFonts w:ascii="宋体" w:hAnsi="宋体"/>
                    <w:b/>
                  </w:rPr>
                </w:pPr>
                <w:r>
                  <w:rPr>
                    <w:rFonts w:ascii="宋体" w:hAnsi="宋体" w:hint="eastAsia"/>
                    <w:b/>
                  </w:rPr>
                  <w:t>附注</w:t>
                </w:r>
              </w:p>
            </w:tc>
          </w:sdtContent>
        </w:sdt>
        <w:sdt>
          <w:sdtPr>
            <w:rPr>
              <w:rFonts w:ascii="宋体" w:hAnsi="宋体"/>
            </w:rPr>
            <w:tag w:val="_PLD_49f84cca199c45e7bc0f9fea5b73078c"/>
            <w:id w:val="-1685817190"/>
          </w:sdtPr>
          <w:sdtContent>
            <w:tc>
              <w:tcPr>
                <w:tcW w:w="2008" w:type="dxa"/>
                <w:tcBorders>
                  <w:top w:val="outset" w:sz="4" w:space="0" w:color="auto"/>
                  <w:left w:val="outset" w:sz="4" w:space="0" w:color="auto"/>
                  <w:bottom w:val="outset" w:sz="4" w:space="0" w:color="auto"/>
                  <w:right w:val="outset" w:sz="4" w:space="0" w:color="auto"/>
                </w:tcBorders>
                <w:vAlign w:val="center"/>
              </w:tcPr>
              <w:p>
                <w:pPr>
                  <w:jc w:val="center"/>
                  <w:rPr>
                    <w:rFonts w:ascii="宋体" w:hAnsi="宋体"/>
                    <w:b/>
                  </w:rPr>
                </w:pPr>
                <w:r>
                  <w:rPr>
                    <w:rFonts w:ascii="宋体" w:hAnsi="宋体" w:hint="eastAsia"/>
                    <w:b/>
                  </w:rPr>
                  <w:t>2025年度</w:t>
                </w:r>
              </w:p>
            </w:tc>
          </w:sdtContent>
        </w:sdt>
        <w:sdt>
          <w:sdtPr>
            <w:rPr>
              <w:rFonts w:ascii="宋体" w:hAnsi="宋体"/>
            </w:rPr>
            <w:tag w:val="_PLD_8b5fde21bc974404b892a88906dec352"/>
            <w:id w:val="242458166"/>
          </w:sdtPr>
          <w:sdtContent>
            <w:tc>
              <w:tcPr>
                <w:tcW w:w="2178" w:type="dxa"/>
                <w:tcBorders>
                  <w:top w:val="outset" w:sz="4" w:space="0" w:color="auto"/>
                  <w:left w:val="outset" w:sz="4" w:space="0" w:color="auto"/>
                  <w:bottom w:val="outset" w:sz="4" w:space="0" w:color="auto"/>
                  <w:right w:val="outset" w:sz="4" w:space="0" w:color="auto"/>
                </w:tcBorders>
                <w:vAlign w:val="center"/>
              </w:tcPr>
              <w:p>
                <w:pPr>
                  <w:jc w:val="center"/>
                  <w:rPr>
                    <w:rFonts w:ascii="宋体" w:hAnsi="宋体"/>
                    <w:b/>
                  </w:rPr>
                </w:pPr>
                <w:r>
                  <w:rPr>
                    <w:rFonts w:ascii="宋体" w:hAnsi="宋体" w:hint="eastAsia"/>
                    <w:b/>
                  </w:rPr>
                  <w:t>2024年度</w:t>
                </w:r>
              </w:p>
            </w:tc>
          </w:sdtContent>
        </w:sdt>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rPr>
              <w:t>一、营业总收入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144,932,859</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156,672,148</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rPr>
              <w:t>其中：营业收入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七、61</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144,932,859</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156,672,148</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color w:val="000000"/>
              </w:rPr>
            </w:pPr>
            <w:r>
              <w:rPr>
                <w:rFonts w:ascii="宋体" w:hAnsi="宋体"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已赚保费</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手续费及佣金收入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rPr>
              <w:t>二、营业总成本</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129,765,671</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129,897,209</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rPr>
              <w:t>其中：营业成本</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七、61</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102,409,181</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100,360,723</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利息支出</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手续费及佣金支出</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退保金</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赔付支出净额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提取保险责任准备金净额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保单红利支出</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分保费用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税金及附加</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七、62</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7,095,476</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7,483,102</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销售费用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七、63</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2,886,082</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4,918,838</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管理费用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七、64</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9,829,073</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10,498,797</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研发费用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七、65</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3,397,880</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3,498,999</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财务费用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七、66</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4,147,979</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3,136,750</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其中：利息费用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七、66</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4,095,650</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4,407,581</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600" w:firstLine="1260"/>
              <w:rPr>
                <w:rFonts w:ascii="宋体" w:hAnsi="宋体"/>
              </w:rPr>
            </w:pPr>
            <w:r>
              <w:rPr>
                <w:rFonts w:ascii="宋体" w:hAnsi="宋体"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七、66</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576,801</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876,353</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加：其他收益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342,188</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390,338</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投资收益（损失以“－”号填列）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七、68</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2,245,356</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2,504,924</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其中：对联营企业和合营企业的投资收益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七、68</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2,426,458</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2,291,749</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550" w:firstLine="1155"/>
              <w:rPr>
                <w:rFonts w:ascii="宋体" w:hAnsi="宋体"/>
              </w:rPr>
            </w:pPr>
            <w:r>
              <w:rPr>
                <w:rFonts w:ascii="宋体" w:hAnsi="宋体" w:hint="eastAsia"/>
              </w:rPr>
              <w:t>以摊余成本计量的金融资产终止确认收益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汇兑收益（损失以“－”号填列）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净敞口套期收益（损失以“</w:t>
            </w:r>
            <w:r>
              <w:rPr>
                <w:rFonts w:ascii="宋体" w:hAnsi="宋体"/>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七、69</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-236,100</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-586,825</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color w:val="000000"/>
              </w:rPr>
            </w:pPr>
            <w:r>
              <w:rPr>
                <w:rFonts w:ascii="宋体" w:hAnsi="宋体" w:hint="eastAsia"/>
              </w:rPr>
              <w:t>公允价值变动收益（损失以“－”号填列）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七、70</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-4,022</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-57,092</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信用减值损失（损失以“</w:t>
            </w:r>
            <w:r>
              <w:rPr>
                <w:rFonts w:ascii="宋体" w:hAnsi="宋体"/>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七、71</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3,445</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-584,143</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资产减值损失（损失以“</w:t>
            </w:r>
            <w:r>
              <w:rPr>
                <w:rFonts w:ascii="宋体" w:hAnsi="宋体"/>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七、72</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-72,628</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-130,733</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资产处置收益（损失以“－”号填列）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七、73</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989,338</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118,431</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rPr>
              <w:t>三、营业利润（亏损以“－”号填列）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18,434,765</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28,429,839</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加：营业外收入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七、74</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468,568</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1,007,664</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减：营业外支出</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七、75</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478,285</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610,961</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rPr>
              <w:lastRenderedPageBreak/>
              <w:t>四、利润总额（亏损总额以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18,425,048</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28,826,542</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减：所得税费用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七、76</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4,199,347</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6,760,688</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rPr>
              <w:t>五、净利润（净亏损以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14,225,701</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22,065,854</w:t>
            </w:r>
          </w:p>
        </w:tc>
      </w:tr>
      <w:tr>
        <w:trPr>
          <w:jc w:val="center"/>
        </w:trPr>
        <w:sdt>
          <w:sdtPr>
            <w:rPr>
              <w:rFonts w:ascii="宋体" w:hAnsi="宋体"/>
            </w:rPr>
            <w:tag w:val="_PLD_9445f61075384ccaafee7a9aff738d9c"/>
            <w:id w:val="-744258358"/>
          </w:sdtPr>
          <w:sdtContent>
            <w:tc>
              <w:tcPr>
                <w:tcW w:w="9209" w:type="dxa"/>
                <w:gridSpan w:val="4"/>
                <w:tcBorders>
                  <w:top w:val="outset" w:sz="4" w:space="0" w:color="auto"/>
                  <w:left w:val="outset" w:sz="4" w:space="0" w:color="auto"/>
                  <w:bottom w:val="outset" w:sz="4" w:space="0" w:color="auto"/>
                  <w:right w:val="outset" w:sz="4" w:space="0" w:color="auto"/>
                </w:tcBorders>
                <w:vAlign w:val="center"/>
              </w:tcPr>
              <w:p>
                <w:pPr>
                  <w:ind w:right="840"/>
                  <w:rPr>
                    <w:rFonts w:ascii="宋体" w:hAnsi="宋体"/>
                  </w:rPr>
                </w:pPr>
                <w:r>
                  <w:rPr>
                    <w:rFonts w:ascii="宋体" w:hAnsi="宋体" w:hint="eastAsia"/>
                  </w:rPr>
                  <w:t>（一）</w:t>
                </w:r>
                <w:r>
                  <w:rPr>
                    <w:rFonts w:ascii="宋体" w:hAnsi="宋体"/>
                  </w:rPr>
                  <w:t>按经营持续性分类</w:t>
                </w:r>
              </w:p>
            </w:tc>
          </w:sdtContent>
        </w:sdt>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1.持续经营净利润（净亏损以“－”号填列）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14,225,701</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22,065,854</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2.终止经营净利润（净亏损以“－”号填列）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sdt>
          <w:sdtPr>
            <w:rPr>
              <w:rFonts w:ascii="宋体" w:hAnsi="宋体"/>
            </w:rPr>
            <w:tag w:val="_PLD_5703d86636cb476dab82350c9f6475fc"/>
            <w:id w:val="-1789201324"/>
          </w:sdtPr>
          <w:sdtContent>
            <w:tc>
              <w:tcPr>
                <w:tcW w:w="9209" w:type="dxa"/>
                <w:gridSpan w:val="4"/>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（二）</w:t>
                </w:r>
                <w:r>
                  <w:rPr>
                    <w:rFonts w:ascii="宋体" w:hAnsi="宋体"/>
                  </w:rPr>
                  <w:t>按所有权归属分类</w:t>
                </w:r>
              </w:p>
            </w:tc>
          </w:sdtContent>
        </w:sdt>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1.</w:t>
            </w:r>
            <w:r>
              <w:rPr>
                <w:rFonts w:ascii="宋体" w:hAnsi="宋体" w:hint="eastAsia"/>
              </w:rPr>
              <w:t>归属于母公司股东的净利润（净亏损以“</w:t>
            </w:r>
            <w:r>
              <w:rPr>
                <w:rFonts w:ascii="宋体" w:hAnsi="宋体"/>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8,380,948</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14,862,943</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2.</w:t>
            </w:r>
            <w:r>
              <w:rPr>
                <w:rFonts w:ascii="宋体" w:hAnsi="宋体" w:hint="eastAsia"/>
              </w:rPr>
              <w:t>归属于母公司其他权益工具持有者的净利润</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627,530</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631,864</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hint="eastAsia"/>
              </w:rPr>
              <w:t>3.少数股东损益（净亏损以“-”号填列）</w:t>
            </w:r>
          </w:p>
        </w:tc>
        <w:sdt>
          <w:sdtPr>
            <w:rPr>
              <w:rFonts w:ascii="宋体" w:hAnsi="宋体"/>
            </w:rPr>
            <w:alias w:val="附注_3.少数股东损益（净亏损以“-”号填列）"/>
            <w:tag w:val="_GBC_ce5530462a13477bb6b92415a13e3eba"/>
            <w:id w:val="-1785497018"/>
          </w:sdtPr>
          <w:sdtContent>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sdtContent>
        </w:sdt>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5,217,223</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6,571,047</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六、其他综合收益的税后净额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1,866,246</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-2,580,109</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归属母公司所有者的其他综合收益的税后净额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1,165,901</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-1,591,669</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1</w:t>
            </w:r>
            <w:r>
              <w:rPr>
                <w:rFonts w:ascii="宋体" w:hAnsi="宋体" w:hint="eastAsia"/>
              </w:rPr>
              <w:t>．不能重分类进损益的其他综合收益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-41,884</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17,839</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（1）</w:t>
            </w:r>
            <w:r>
              <w:rPr>
                <w:rFonts w:ascii="宋体" w:hAnsi="宋体"/>
              </w:rPr>
              <w:t>重新计量设定受益计划变动额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-39,621</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8,502</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（2）</w:t>
            </w:r>
            <w:r>
              <w:rPr>
                <w:rFonts w:ascii="宋体" w:hAnsi="宋体"/>
              </w:rPr>
              <w:t>权益法下不能转损益的其他综合收益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-2,359</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（3）</w:t>
            </w:r>
            <w:r>
              <w:rPr>
                <w:rFonts w:ascii="宋体" w:hAnsi="宋体"/>
              </w:rPr>
              <w:t>其他权益工具投资公允价值变动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96</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9,337</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（4）</w:t>
            </w:r>
            <w:r>
              <w:rPr>
                <w:rFonts w:ascii="宋体" w:hAnsi="宋体"/>
              </w:rPr>
              <w:t>企业自身信用风险公允价值变动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（5）其他</w:t>
            </w:r>
          </w:p>
        </w:tc>
        <w:sdt>
          <w:sdtPr>
            <w:rPr>
              <w:rFonts w:ascii="宋体" w:hAnsi="宋体"/>
            </w:rPr>
            <w:alias w:val="附注_5.其他"/>
            <w:tag w:val="_GBC_d20bacfa3c414c41a17070218cee78ce"/>
            <w:id w:val="630361902"/>
          </w:sdtPr>
          <w:sdtContent>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sdtContent>
        </w:sdt>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2</w:t>
            </w:r>
            <w:r>
              <w:rPr>
                <w:rFonts w:ascii="宋体" w:hAnsi="宋体" w:hint="eastAsia"/>
              </w:rPr>
              <w:t>．将重分类进损益的其他综合收益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1,207,785</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-1,609,508</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（1）</w:t>
            </w:r>
            <w:r>
              <w:rPr>
                <w:rFonts w:ascii="宋体" w:hAnsi="宋体"/>
              </w:rPr>
              <w:t>权益法下可转损益的其他综合收益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-137,027</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248,811</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（2）</w:t>
            </w:r>
            <w:r>
              <w:rPr>
                <w:rFonts w:ascii="宋体" w:hAnsi="宋体"/>
              </w:rPr>
              <w:t>其他债权投资公允价值变动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（3）</w:t>
            </w:r>
            <w:r>
              <w:rPr>
                <w:rFonts w:ascii="宋体" w:hAnsi="宋体"/>
              </w:rPr>
              <w:t>金融资产重分类计入其他综合收益的金额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（4）</w:t>
            </w:r>
            <w:r>
              <w:rPr>
                <w:rFonts w:ascii="宋体" w:hAnsi="宋体"/>
              </w:rPr>
              <w:t>其他债权投资信用减值准备</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（5）</w:t>
            </w:r>
            <w:r>
              <w:rPr>
                <w:rFonts w:ascii="宋体" w:hAnsi="宋体"/>
              </w:rPr>
              <w:t>现金流量套期储备</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102,897</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255,750</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（6）</w:t>
            </w:r>
            <w:r>
              <w:rPr>
                <w:rFonts w:ascii="宋体" w:hAnsi="宋体"/>
              </w:rPr>
              <w:t>外币财务报表折算差额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1,227,615</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-2,114,069</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（7）</w:t>
            </w:r>
            <w:r>
              <w:rPr>
                <w:rFonts w:ascii="宋体" w:hAnsi="宋体"/>
              </w:rPr>
              <w:t>其他</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14,300</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rPr>
              <w:t>（二）</w:t>
            </w:r>
            <w:r>
              <w:rPr>
                <w:rFonts w:ascii="宋体" w:hAnsi="宋体" w:hint="eastAsia"/>
              </w:rPr>
              <w:t>归属于少数股东的其他综合收益的税后净额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700,345</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-988,440</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七、综合收益总额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16,091,947</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19,485,745</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rPr>
              <w:t>（一）</w:t>
            </w:r>
            <w:r>
              <w:rPr>
                <w:rFonts w:ascii="宋体" w:hAnsi="宋体" w:hint="eastAsia"/>
              </w:rPr>
              <w:t>归属于母公司所有者的综合收益总额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七、77</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9,546,849</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13,271,274</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（二）</w:t>
            </w:r>
            <w:r>
              <w:rPr>
                <w:rFonts w:ascii="宋体" w:hAnsi="宋体"/>
              </w:rPr>
              <w:t>归属于母公司其他权益工具持有者的综合收益总额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627,530</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631,864</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rPr>
              <w:lastRenderedPageBreak/>
              <w:t>（</w:t>
            </w:r>
            <w:r>
              <w:rPr>
                <w:rFonts w:ascii="宋体" w:hAnsi="宋体" w:hint="eastAsia"/>
              </w:rPr>
              <w:t>三</w:t>
            </w:r>
            <w:r>
              <w:rPr>
                <w:rFonts w:ascii="宋体" w:hAnsi="宋体"/>
              </w:rPr>
              <w:t>）</w:t>
            </w:r>
            <w:r>
              <w:rPr>
                <w:rFonts w:ascii="宋体" w:hAnsi="宋体" w:hint="eastAsia"/>
              </w:rPr>
              <w:t>归属于少数股东的综合收益总额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5,917,568</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5,582,607</w:t>
            </w:r>
          </w:p>
        </w:tc>
      </w:tr>
      <w:tr>
        <w:trPr>
          <w:jc w:val="center"/>
        </w:trPr>
        <w:sdt>
          <w:sdtPr>
            <w:rPr>
              <w:rFonts w:ascii="宋体" w:hAnsi="宋体"/>
            </w:rPr>
            <w:tag w:val="_PLD_6e9655fe2b7c48e3964f7a74f9c6deea"/>
            <w:id w:val="904498927"/>
          </w:sdtPr>
          <w:sdtContent>
            <w:tc>
              <w:tcPr>
                <w:tcW w:w="9209" w:type="dxa"/>
                <w:gridSpan w:val="4"/>
                <w:tcBorders>
                  <w:top w:val="outset" w:sz="4" w:space="0" w:color="auto"/>
                  <w:left w:val="outset" w:sz="4" w:space="0" w:color="auto"/>
                  <w:bottom w:val="outset" w:sz="4" w:space="0" w:color="auto"/>
                  <w:right w:val="outset" w:sz="4" w:space="0" w:color="auto"/>
                </w:tcBorders>
                <w:vAlign w:val="center"/>
              </w:tcPr>
              <w:p>
                <w:pPr>
                  <w:rPr>
                    <w:rFonts w:ascii="宋体" w:hAnsi="宋体"/>
                    <w:color w:val="008000"/>
                  </w:rPr>
                </w:pPr>
                <w:r>
                  <w:rPr>
                    <w:rFonts w:ascii="宋体" w:hAnsi="宋体" w:hint="eastAsia"/>
                  </w:rPr>
                  <w:t>八、每股收益：</w:t>
                </w:r>
              </w:p>
            </w:tc>
          </w:sdtContent>
        </w:sdt>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rPr>
              <w:t>（一）基本每股收益</w:t>
            </w:r>
            <w:r>
              <w:rPr>
                <w:rFonts w:ascii="宋体" w:hAnsi="宋体" w:hint="eastAsia"/>
              </w:rPr>
              <w:t>(元/股)</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0.8389</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1.5017</w:t>
            </w:r>
          </w:p>
        </w:tc>
      </w:tr>
      <w:tr>
        <w:trPr>
          <w:jc w:val="center"/>
        </w:trP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rPr>
              <w:t>（二）稀释每股收益</w:t>
            </w:r>
            <w:r>
              <w:rPr>
                <w:rFonts w:ascii="宋体" w:hAnsi="宋体" w:hint="eastAsia"/>
              </w:rPr>
              <w:t>(元/股)</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0.8361</w:t>
            </w:r>
          </w:p>
        </w:tc>
        <w:tc>
          <w:tcPr>
            <w:tcW w:w="217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1.4911</w:t>
            </w:r>
          </w:p>
        </w:tc>
      </w:tr>
    </w:tbl>
    <w:p>
      <w:pPr>
        <w:rPr>
          <w:rFonts w:ascii="宋体" w:hAnsi="宋体"/>
        </w:rPr>
      </w:pPr>
    </w:p>
    <w:p>
      <w:pPr>
        <w:rPr>
          <w:rFonts w:ascii="宋体" w:hAnsi="宋体"/>
          <w:b/>
          <w:bCs/>
          <w:color w:val="FF0000"/>
        </w:rPr>
      </w:pPr>
      <w:r>
        <w:rPr>
          <w:rFonts w:ascii="宋体" w:hAnsi="宋体" w:hint="eastAsia"/>
        </w:rPr>
        <w:t>本期发生同一控制下企业合并的，被合并方在合并前实现的净利润为：</w:t>
      </w:r>
      <w:sdt>
        <w:sdtPr>
          <w:rPr>
            <w:rFonts w:ascii="宋体" w:hAnsi="宋体" w:hint="eastAsia"/>
          </w:rPr>
          <w:alias w:val="同一控制下的企业合并中被合并方在合并前实现的净利润"/>
          <w:tag w:val="_GBC_dee3746024314be88287a46c20d21a26"/>
          <w:id w:val="-953858418"/>
          <w:placeholder>
            <w:docPart w:val="GBC22222222222222222222222222222"/>
          </w:placeholder>
        </w:sdtPr>
        <w:sdtContent>
          <w:r>
            <w:rPr>
              <w:rFonts w:ascii="宋体" w:hAnsi="宋体"/>
            </w:rPr>
            <w:t>582,237</w:t>
          </w:r>
          <w:r>
            <w:rPr>
              <w:rFonts w:ascii="宋体" w:hAnsi="宋体" w:hint="eastAsia"/>
            </w:rPr>
            <w:t>千</w:t>
          </w:r>
        </w:sdtContent>
      </w:sdt>
      <w:r>
        <w:rPr>
          <w:rFonts w:ascii="宋体" w:hAnsi="宋体" w:hint="eastAsia"/>
        </w:rPr>
        <w:t>元,上期被合并方实现的净利润为：</w:t>
      </w:r>
      <w:sdt>
        <w:sdtPr>
          <w:rPr>
            <w:rFonts w:ascii="宋体" w:hAnsi="宋体" w:hint="eastAsia"/>
          </w:rPr>
          <w:alias w:val="同一控制下的企业合并中被合并方在合并前实现的净利润"/>
          <w:tag w:val="_GBC_12f9ba898e4e450d82ca7ea5336921ae"/>
          <w:id w:val="179472284"/>
          <w:placeholder>
            <w:docPart w:val="GBC22222222222222222222222222222"/>
          </w:placeholder>
        </w:sdtPr>
        <w:sdtEndPr>
          <w:rPr>
            <w:rFonts w:hint="default"/>
          </w:rPr>
        </w:sdtEndPr>
        <w:sdtContent>
          <w:r>
            <w:rPr>
              <w:rFonts w:ascii="宋体" w:hAnsi="宋体"/>
            </w:rPr>
            <w:t>1,136,444</w:t>
          </w:r>
          <w:r>
            <w:rPr>
              <w:rFonts w:ascii="宋体" w:hAnsi="宋体" w:hint="eastAsia"/>
            </w:rPr>
            <w:t>千</w:t>
          </w:r>
        </w:sdtContent>
      </w:sdt>
      <w:r>
        <w:rPr>
          <w:rFonts w:ascii="宋体" w:hAnsi="宋体" w:hint="eastAsia"/>
        </w:rPr>
        <w:t>元。</w:t>
      </w:r>
    </w:p>
    <w:p>
      <w:pPr>
        <w:rPr>
          <w:rFonts w:ascii="宋体" w:hAnsi="宋体"/>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85589cdf09ed4055b8d177524f5a0df0"/>
          <w:id w:val="-681962885"/>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李伟</w:t>
          </w:r>
        </w:sdtContent>
      </w:sdt>
      <w:r>
        <w:rPr>
          <w:rFonts w:ascii="宋体" w:hAnsi="宋体"/>
        </w:rPr>
        <w:tab/>
      </w:r>
      <w:r>
        <w:rPr>
          <w:rFonts w:ascii="宋体" w:hAnsi="宋体"/>
        </w:rPr>
        <w:tab/>
      </w:r>
      <w:r>
        <w:rPr>
          <w:rFonts w:ascii="宋体" w:hAnsi="宋体"/>
        </w:rPr>
        <w:tab/>
        <w:t>主管会计工作负责人</w:t>
      </w:r>
      <w:r>
        <w:rPr>
          <w:rFonts w:ascii="宋体" w:hAnsi="宋体" w:hint="eastAsia"/>
        </w:rPr>
        <w:t>：</w:t>
      </w:r>
      <w:sdt>
        <w:sdtPr>
          <w:rPr>
            <w:rFonts w:ascii="宋体" w:hAnsi="宋体" w:hint="eastAsia"/>
          </w:rPr>
          <w:alias w:val="主管会计工作负责人姓名"/>
          <w:tag w:val="_GBC_d5d5ec398a544491b9394eef54a56ec6"/>
          <w:id w:val="871044074"/>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赵治国</w:t>
          </w:r>
        </w:sdtContent>
      </w:sdt>
      <w:r>
        <w:rPr>
          <w:rFonts w:ascii="宋体" w:hAnsi="宋体"/>
        </w:rPr>
        <w:tab/>
      </w:r>
      <w:r>
        <w:rPr>
          <w:rFonts w:ascii="宋体" w:hAnsi="宋体"/>
        </w:rPr>
        <w:tab/>
      </w:r>
      <w:r>
        <w:rPr>
          <w:rFonts w:ascii="宋体" w:hAnsi="宋体"/>
        </w:rPr>
        <w:tab/>
        <w:t>会计机构负责人</w:t>
      </w:r>
      <w:r>
        <w:rPr>
          <w:rFonts w:ascii="宋体" w:hAnsi="宋体" w:hint="eastAsia"/>
        </w:rPr>
        <w:t>：</w:t>
      </w:r>
      <w:sdt>
        <w:sdtPr>
          <w:rPr>
            <w:rFonts w:ascii="宋体" w:hAnsi="宋体" w:hint="eastAsia"/>
          </w:rPr>
          <w:alias w:val="会计机构负责人姓名"/>
          <w:tag w:val="_GBC_b776bf38628747739bf5cfe3f08d63a8"/>
          <w:id w:val="1322767900"/>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郭慧</w:t>
          </w:r>
        </w:sdtContent>
      </w:sdt>
    </w:p>
    <w:p>
      <w:pPr>
        <w:rPr>
          <w:rFonts w:ascii="宋体" w:hAnsi="宋体"/>
          <w:color w:val="FF0000"/>
        </w:rPr>
      </w:pPr>
      <w:r>
        <w:rPr>
          <w:rFonts w:ascii="宋体" w:hAnsi="宋体"/>
          <w:color w:val="FF0000"/>
        </w:rPr>
        <w:br w:type="page"/>
      </w:r>
    </w:p>
    <w:p>
      <w:pPr>
        <w:pStyle w:val="Style219"/>
        <w:jc w:val="center"/>
        <w:rPr>
          <w:rFonts w:ascii="宋体" w:hAnsi="宋体"/>
          <w:szCs w:val="21"/>
        </w:rPr>
      </w:pPr>
      <w:bookmarkStart w:id="347" w:name="_Hlk24038476"/>
      <w:r>
        <w:rPr>
          <w:rFonts w:ascii="宋体" w:hAnsi="宋体" w:hint="eastAsia"/>
          <w:szCs w:val="21"/>
        </w:rPr>
        <w:lastRenderedPageBreak/>
        <w:t>母公司</w:t>
      </w:r>
      <w:r>
        <w:rPr>
          <w:rFonts w:ascii="宋体" w:hAnsi="宋体"/>
          <w:szCs w:val="21"/>
        </w:rPr>
        <w:t>利润表</w:t>
      </w:r>
    </w:p>
    <w:p>
      <w:pPr>
        <w:jc w:val="center"/>
        <w:rPr>
          <w:rFonts w:ascii="宋体" w:hAnsi="宋体"/>
          <w:b/>
          <w:bCs/>
        </w:rPr>
      </w:pPr>
      <w:r>
        <w:rPr>
          <w:rFonts w:ascii="宋体" w:hAnsi="宋体"/>
        </w:rPr>
        <w:t>2025年</w:t>
      </w:r>
      <w:r>
        <w:rPr>
          <w:rFonts w:ascii="宋体" w:hAnsi="宋体" w:hint="eastAsia"/>
        </w:rPr>
        <w:t>1—</w:t>
      </w:r>
      <w:r>
        <w:rPr>
          <w:rFonts w:ascii="宋体" w:hAnsi="宋体"/>
        </w:rPr>
        <w:t>12月</w:t>
      </w:r>
    </w:p>
    <w:p>
      <w:pPr>
        <w:snapToGrid w:val="0"/>
        <w:spacing w:line="240" w:lineRule="atLeast"/>
        <w:jc w:val="right"/>
        <w:rPr>
          <w:rFonts w:ascii="宋体" w:hAnsi="宋体"/>
          <w:b/>
          <w:bCs/>
          <w:color w:val="FF0000"/>
        </w:rPr>
      </w:pPr>
      <w:r>
        <w:rPr>
          <w:rFonts w:ascii="宋体" w:hAnsi="宋体"/>
        </w:rPr>
        <w:t>单位：</w:t>
      </w:r>
      <w:sdt>
        <w:sdtPr>
          <w:rPr>
            <w:rFonts w:ascii="宋体" w:hAnsi="宋体"/>
          </w:rPr>
          <w:alias w:val="单位：母公司利润表"/>
          <w:tag w:val="_GBC_f17e8cd8a21b417cb065f4c3b94f9c26"/>
          <w:id w:val="18040361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 xml:space="preserve">千元  </w:t>
          </w:r>
        </w:sdtContent>
      </w:sdt>
      <w:r>
        <w:rPr>
          <w:rFonts w:ascii="宋体" w:hAnsi="宋体"/>
        </w:rPr>
        <w:t>币种：</w:t>
      </w:r>
      <w:sdt>
        <w:sdtPr>
          <w:rPr>
            <w:rFonts w:ascii="宋体" w:hAnsi="宋体"/>
          </w:rPr>
          <w:alias w:val="币种：母公司利润表"/>
          <w:tag w:val="_GBC_514289adafbe4fe995f8f3791e23e392"/>
          <w:id w:val="10194346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07"/>
        <w:gridCol w:w="1516"/>
        <w:gridCol w:w="2008"/>
        <w:gridCol w:w="2018"/>
      </w:tblGrid>
      <w:tr>
        <w:trPr>
          <w:cantSplit/>
        </w:trPr>
        <w:tc>
          <w:tcPr>
            <w:tcW w:w="3507"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a25f325e0afe4d279180290df7e1dd6d"/>
              <w:id w:val="-562404401"/>
            </w:sdtPr>
            <w:sdtContent>
              <w:p>
                <w:pPr>
                  <w:ind w:leftChars="-19" w:hangingChars="19" w:hanging="40"/>
                  <w:jc w:val="center"/>
                  <w:rPr>
                    <w:rFonts w:ascii="宋体" w:hAnsi="宋体"/>
                    <w:b/>
                  </w:rPr>
                </w:pPr>
                <w:r>
                  <w:rPr>
                    <w:rFonts w:ascii="宋体" w:hAnsi="宋体" w:hint="eastAsia"/>
                    <w:b/>
                  </w:rPr>
                  <w:t>项目</w:t>
                </w:r>
              </w:p>
            </w:sdtContent>
          </w:sdt>
        </w:tc>
        <w:tc>
          <w:tcPr>
            <w:tcW w:w="1516"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4bea71a35f204b56bca2b7ea223d4b71"/>
              <w:id w:val="1420987216"/>
            </w:sdtPr>
            <w:sdtContent>
              <w:p>
                <w:pPr>
                  <w:jc w:val="center"/>
                  <w:rPr>
                    <w:rFonts w:ascii="宋体" w:hAnsi="宋体"/>
                    <w:b/>
                  </w:rPr>
                </w:pPr>
                <w:r>
                  <w:rPr>
                    <w:rFonts w:ascii="宋体" w:hAnsi="宋体" w:hint="eastAsia"/>
                    <w:b/>
                  </w:rPr>
                  <w:t>附注</w:t>
                </w:r>
              </w:p>
            </w:sdtContent>
          </w:sdt>
        </w:tc>
        <w:tc>
          <w:tcPr>
            <w:tcW w:w="2008"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a2bf02ec3f0b4ce2b9d25f751262d2b0"/>
              <w:id w:val="-538359217"/>
            </w:sdtPr>
            <w:sdtContent>
              <w:p>
                <w:pPr>
                  <w:jc w:val="center"/>
                  <w:rPr>
                    <w:rFonts w:ascii="宋体" w:hAnsi="宋体"/>
                    <w:b/>
                  </w:rPr>
                </w:pPr>
                <w:r>
                  <w:rPr>
                    <w:rFonts w:ascii="宋体" w:hAnsi="宋体" w:hint="eastAsia"/>
                    <w:b/>
                  </w:rPr>
                  <w:t>2025年度</w:t>
                </w:r>
              </w:p>
            </w:sdtContent>
          </w:sdt>
        </w:tc>
        <w:tc>
          <w:tcPr>
            <w:tcW w:w="2018"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7a01f378d3e3492c9571d4400832431f"/>
              <w:id w:val="264660716"/>
            </w:sdtPr>
            <w:sdtContent>
              <w:p>
                <w:pPr>
                  <w:jc w:val="center"/>
                  <w:rPr>
                    <w:rFonts w:ascii="宋体" w:hAnsi="宋体"/>
                    <w:b/>
                  </w:rPr>
                </w:pPr>
                <w:r>
                  <w:rPr>
                    <w:rFonts w:ascii="宋体" w:hAnsi="宋体" w:hint="eastAsia"/>
                    <w:b/>
                  </w:rPr>
                  <w:t>2024年度</w:t>
                </w:r>
              </w:p>
            </w:sdtContent>
          </w:sdt>
        </w:tc>
      </w:tr>
      <w:tr>
        <w:tc>
          <w:tcPr>
            <w:tcW w:w="3507" w:type="dxa"/>
            <w:tcBorders>
              <w:top w:val="outset" w:sz="4" w:space="0" w:color="auto"/>
              <w:left w:val="outset" w:sz="4" w:space="0" w:color="auto"/>
              <w:bottom w:val="outset" w:sz="4" w:space="0" w:color="auto"/>
              <w:right w:val="outset" w:sz="4" w:space="0" w:color="auto"/>
            </w:tcBorders>
            <w:vAlign w:val="center"/>
          </w:tcPr>
          <w:p>
            <w:pPr>
              <w:ind w:left="-19"/>
              <w:rPr>
                <w:rFonts w:ascii="宋体" w:hAnsi="宋体"/>
                <w:color w:val="000000"/>
              </w:rPr>
            </w:pPr>
            <w:r>
              <w:rPr>
                <w:rFonts w:ascii="宋体" w:hAnsi="宋体" w:hint="eastAsia"/>
              </w:rPr>
              <w:t>一、营业收入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十九、4</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16,683,700</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23,072,525</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减：营业成本</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十九、4</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13,384,183</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14,712,911</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税金及附加</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753,608</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1,068,512</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销售费用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254,458</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239,648</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管理费用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2,985,718</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2,874,295</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研发费用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365,149</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366,536</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财务费用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1,575,671</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1,667,825</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其中：利息费用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3,175,164</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3,254,046</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600" w:firstLine="1260"/>
              <w:rPr>
                <w:rFonts w:ascii="宋体" w:hAnsi="宋体"/>
              </w:rPr>
            </w:pPr>
            <w:r>
              <w:rPr>
                <w:rFonts w:ascii="宋体" w:hAnsi="宋体"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1,666,320</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1,602,840</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加：其他收益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65,838</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43,600</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投资收益（损失以“－”号填列）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十九、5</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8,443,621</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10,805,804</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其中：对联营企业和合营企业的投资收益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十九、5</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494,218</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516,747</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550" w:firstLine="1155"/>
              <w:rPr>
                <w:rFonts w:ascii="宋体" w:hAnsi="宋体"/>
              </w:rPr>
            </w:pPr>
            <w:r>
              <w:rPr>
                <w:rFonts w:ascii="宋体" w:hAnsi="宋体" w:hint="eastAsia"/>
              </w:rPr>
              <w:t>以摊余成本计量的金融资产终止确认收益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bCs/>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净敞口套期收益（损失以“</w:t>
            </w:r>
            <w:r>
              <w:rPr>
                <w:rFonts w:ascii="宋体" w:hAnsi="宋体"/>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color w:val="000000"/>
              </w:rPr>
            </w:pPr>
            <w:r>
              <w:rPr>
                <w:rFonts w:ascii="宋体" w:hAnsi="宋体" w:hint="eastAsia"/>
              </w:rPr>
              <w:t>公允价值变动收益（损失以“－”号填列）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-2,205</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261</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信用减值损失（损失以“</w:t>
            </w:r>
            <w:r>
              <w:rPr>
                <w:rFonts w:ascii="宋体" w:hAnsi="宋体"/>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-611,662</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101,238</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资产减值损失（损失以“</w:t>
            </w:r>
            <w:r>
              <w:rPr>
                <w:rFonts w:ascii="宋体" w:hAnsi="宋体"/>
              </w:rPr>
              <w:t>-”号填列）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-260,240</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rPr>
            </w:pPr>
            <w:r>
              <w:rPr>
                <w:rFonts w:ascii="宋体" w:hAnsi="宋体" w:hint="eastAsia"/>
              </w:rPr>
              <w:t>资产处置收益（损失以“－”号填列）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261,056</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14,445</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19"/>
              <w:rPr>
                <w:rFonts w:ascii="宋体" w:hAnsi="宋体"/>
                <w:color w:val="000000"/>
              </w:rPr>
            </w:pPr>
            <w:r>
              <w:rPr>
                <w:rFonts w:ascii="宋体" w:hAnsi="宋体" w:hint="eastAsia"/>
              </w:rPr>
              <w:t>二、营业利润（亏损以“－”号填列）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5,261,321</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13,108,146</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加：营业外收入</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40,991</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227,066</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减：营业外支出</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64,037</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32,104</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19"/>
              <w:rPr>
                <w:rFonts w:ascii="宋体" w:hAnsi="宋体"/>
                <w:color w:val="000000"/>
              </w:rPr>
            </w:pPr>
            <w:r>
              <w:rPr>
                <w:rFonts w:ascii="宋体" w:hAnsi="宋体" w:hint="eastAsia"/>
              </w:rPr>
              <w:t>三、利润总额（亏损总额以“－”号填列）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5,238,275</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13,303,108</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19" w:firstLineChars="200" w:firstLine="420"/>
              <w:rPr>
                <w:rFonts w:ascii="宋体" w:hAnsi="宋体"/>
                <w:color w:val="000000"/>
              </w:rPr>
            </w:pPr>
            <w:r>
              <w:rPr>
                <w:rFonts w:ascii="宋体" w:hAnsi="宋体" w:hint="eastAsia"/>
              </w:rPr>
              <w:t>减：所得税费用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-933,782</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895,467</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19"/>
              <w:rPr>
                <w:rFonts w:ascii="宋体" w:hAnsi="宋体"/>
                <w:color w:val="000000"/>
              </w:rPr>
            </w:pPr>
            <w:r>
              <w:rPr>
                <w:rFonts w:ascii="宋体" w:hAnsi="宋体" w:hint="eastAsia"/>
              </w:rPr>
              <w:t>四、净利润（净亏损以“－”号填列）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6,172,057</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12,407,641</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8" w:firstLine="227"/>
              <w:rPr>
                <w:rFonts w:ascii="宋体" w:hAnsi="宋体"/>
              </w:rPr>
            </w:pPr>
            <w:r>
              <w:rPr>
                <w:rFonts w:ascii="宋体" w:hAnsi="宋体" w:hint="eastAsia"/>
              </w:rPr>
              <w:t>（一）按经营持续性分类</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6,172,057</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12,407,641</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8" w:firstLine="227"/>
              <w:rPr>
                <w:rFonts w:ascii="宋体" w:hAnsi="宋体"/>
              </w:rPr>
            </w:pPr>
            <w:r>
              <w:rPr>
                <w:rFonts w:ascii="宋体" w:hAnsi="宋体" w:hint="eastAsia"/>
              </w:rPr>
              <w:t>1.持续经营净利润（净亏损以“-”号填列）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6,172,057</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12,407,641</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8" w:firstLine="227"/>
              <w:rPr>
                <w:rFonts w:ascii="宋体" w:hAnsi="宋体"/>
              </w:rPr>
            </w:pPr>
            <w:r>
              <w:rPr>
                <w:rFonts w:ascii="宋体" w:hAnsi="宋体" w:hint="eastAsia"/>
              </w:rPr>
              <w:t>2.终止经营净利润（净亏损以“-”号填列）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8" w:firstLine="227"/>
              <w:rPr>
                <w:rFonts w:ascii="宋体" w:hAnsi="宋体"/>
              </w:rPr>
            </w:pPr>
            <w:r>
              <w:rPr>
                <w:rFonts w:ascii="宋体" w:hAnsi="宋体" w:hint="eastAsia"/>
              </w:rPr>
              <w:t>（二）按所有权归属分类</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6,172,057</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12,407,641</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8" w:firstLine="437"/>
              <w:rPr>
                <w:rFonts w:ascii="宋体" w:hAnsi="宋体"/>
              </w:rPr>
            </w:pPr>
            <w:r>
              <w:rPr>
                <w:rFonts w:ascii="宋体" w:hAnsi="宋体" w:hint="eastAsia"/>
              </w:rPr>
              <w:t>1.归属于母公司所有者的净利润（净亏损以“-”号填列）</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5,544,527</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11,775,778</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Chars="-19" w:left="-40" w:firstLineChars="200" w:firstLine="420"/>
              <w:rPr>
                <w:rFonts w:ascii="宋体" w:hAnsi="宋体"/>
              </w:rPr>
            </w:pPr>
            <w:r>
              <w:rPr>
                <w:rFonts w:ascii="宋体" w:hAnsi="宋体" w:hint="eastAsia"/>
              </w:rPr>
              <w:t>2.归属于母公司其他权益工具持有者的净利润</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627,530</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631,863</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Chars="-19" w:hangingChars="19" w:hanging="40"/>
              <w:rPr>
                <w:rFonts w:ascii="宋体" w:hAnsi="宋体"/>
              </w:rPr>
            </w:pPr>
            <w:r>
              <w:rPr>
                <w:rFonts w:ascii="宋体" w:hAnsi="宋体" w:hint="eastAsia"/>
              </w:rPr>
              <w:lastRenderedPageBreak/>
              <w:t>五、其他综合收益的税后净额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-122,702</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223,636</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（一）不能重分类进损益的其他综合收益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26</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1.重新计量设定受益计划变动额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2.权益法下不能转损益的其他综合收益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-70</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3.其他权益工具投资公允价值变动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96</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4.企业自身信用风险公允价值变动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hint="eastAsia"/>
              </w:rPr>
              <w:t>5.其他</w:t>
            </w:r>
          </w:p>
        </w:tc>
        <w:sdt>
          <w:sdtPr>
            <w:rPr>
              <w:rFonts w:ascii="宋体" w:hAnsi="宋体"/>
            </w:rPr>
            <w:alias w:val="附注_5.其他"/>
            <w:tag w:val="_GBC_597bbda0f875428c8c5f340e5de9dcb8"/>
            <w:id w:val="-746882769"/>
          </w:sdtPr>
          <w:sdtContent>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sdtContent>
        </w:sdt>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（二）将重分类进损益的其他综合收益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-122,728</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223,651</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1.权益法下可转损益的其他综合收益</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-137,028</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223,651</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2.其他债权投资公允价值变动</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3.金融资产重分类计入其他综合收益的金额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4.其他债权投资信用减值准备</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5.现金流量套期储备</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6.外币财务报表折算差额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rPr>
            </w:pPr>
            <w:r>
              <w:rPr>
                <w:rFonts w:ascii="宋体" w:hAnsi="宋体"/>
              </w:rPr>
              <w:t>7.其他</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14,300</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19"/>
              <w:rPr>
                <w:rFonts w:ascii="宋体" w:hAnsi="宋体"/>
              </w:rPr>
            </w:pPr>
            <w:r>
              <w:rPr>
                <w:rFonts w:ascii="宋体" w:hAnsi="宋体" w:hint="eastAsia"/>
              </w:rPr>
              <w:t>六、综合收益总额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6,049,355</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12,631,277</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19"/>
              <w:rPr>
                <w:rFonts w:ascii="宋体" w:hAnsi="宋体"/>
              </w:rPr>
            </w:pPr>
            <w:r>
              <w:rPr>
                <w:rFonts w:ascii="宋体" w:hAnsi="宋体"/>
              </w:rPr>
              <w:t>归属于母公司股东的综合收益总额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5,544,525</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11,999,414</w:t>
            </w:r>
          </w:p>
        </w:tc>
      </w:tr>
      <w:tr>
        <w:tc>
          <w:tcPr>
            <w:tcW w:w="3507" w:type="dxa"/>
            <w:tcBorders>
              <w:top w:val="outset" w:sz="4" w:space="0" w:color="auto"/>
              <w:left w:val="outset" w:sz="4" w:space="0" w:color="auto"/>
              <w:bottom w:val="outset" w:sz="4" w:space="0" w:color="auto"/>
              <w:right w:val="outset" w:sz="4" w:space="0" w:color="auto"/>
            </w:tcBorders>
            <w:vAlign w:val="center"/>
          </w:tcPr>
          <w:p>
            <w:pPr>
              <w:ind w:left="-19"/>
              <w:rPr>
                <w:rFonts w:ascii="宋体" w:hAnsi="宋体"/>
              </w:rPr>
            </w:pPr>
            <w:r>
              <w:rPr>
                <w:rFonts w:ascii="宋体" w:hAnsi="宋体" w:hint="eastAsia"/>
              </w:rPr>
              <w:t>归属于母公司其他权益工具持有者的综合收益总额</w:t>
            </w:r>
          </w:p>
        </w:tc>
        <w:tc>
          <w:tcPr>
            <w:tcW w:w="1516"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00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627,530</w:t>
            </w:r>
          </w:p>
        </w:tc>
        <w:tc>
          <w:tcPr>
            <w:tcW w:w="201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631,863</w:t>
            </w:r>
          </w:p>
        </w:tc>
      </w:tr>
    </w:tbl>
    <w:p>
      <w:pPr>
        <w:rPr>
          <w:rFonts w:ascii="宋体" w:hAnsi="宋体"/>
        </w:rPr>
      </w:pPr>
    </w:p>
    <w:p>
      <w:pPr>
        <w:snapToGrid w:val="0"/>
        <w:spacing w:line="240" w:lineRule="atLeast"/>
        <w:ind w:rightChars="-73" w:right="-153"/>
        <w:rPr>
          <w:rFonts w:ascii="宋体" w:hAnsi="宋体" w:cs="宋体-方正超大字符集"/>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04fbc09e50eb44a79e1d4314733be4f9"/>
          <w:id w:val="1558053444"/>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李伟</w:t>
          </w:r>
        </w:sdtContent>
      </w:sdt>
      <w:r>
        <w:rPr>
          <w:rFonts w:ascii="宋体" w:hAnsi="宋体"/>
        </w:rPr>
        <w:tab/>
      </w:r>
      <w:r>
        <w:rPr>
          <w:rFonts w:ascii="宋体" w:hAnsi="宋体"/>
        </w:rPr>
        <w:tab/>
      </w:r>
      <w:r>
        <w:rPr>
          <w:rFonts w:ascii="宋体" w:hAnsi="宋体"/>
        </w:rPr>
        <w:tab/>
        <w:t>主管会计工作负责人</w:t>
      </w:r>
      <w:r>
        <w:rPr>
          <w:rFonts w:ascii="宋体" w:hAnsi="宋体" w:hint="eastAsia"/>
        </w:rPr>
        <w:t>：</w:t>
      </w:r>
      <w:sdt>
        <w:sdtPr>
          <w:rPr>
            <w:rFonts w:ascii="宋体" w:hAnsi="宋体" w:hint="eastAsia"/>
          </w:rPr>
          <w:alias w:val="主管会计工作负责人姓名"/>
          <w:tag w:val="_GBC_37d9f750e6c04845b9e34ad6da976b56"/>
          <w:id w:val="1196583628"/>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赵治国</w:t>
          </w:r>
        </w:sdtContent>
      </w:sdt>
      <w:r>
        <w:rPr>
          <w:rFonts w:ascii="宋体" w:hAnsi="宋体"/>
        </w:rPr>
        <w:tab/>
      </w:r>
      <w:r>
        <w:rPr>
          <w:rFonts w:ascii="宋体" w:hAnsi="宋体"/>
        </w:rPr>
        <w:tab/>
      </w:r>
      <w:r>
        <w:rPr>
          <w:rFonts w:ascii="宋体" w:hAnsi="宋体"/>
        </w:rPr>
        <w:tab/>
        <w:t>会计机构负责人</w:t>
      </w:r>
      <w:r>
        <w:rPr>
          <w:rFonts w:ascii="宋体" w:hAnsi="宋体" w:hint="eastAsia"/>
        </w:rPr>
        <w:t>：</w:t>
      </w:r>
      <w:sdt>
        <w:sdtPr>
          <w:rPr>
            <w:rFonts w:ascii="宋体" w:hAnsi="宋体" w:hint="eastAsia"/>
          </w:rPr>
          <w:alias w:val="会计机构负责人姓名"/>
          <w:tag w:val="_GBC_b8515644d08d42edafc210cf569b9b08"/>
          <w:id w:val="1873417255"/>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郭慧</w:t>
          </w:r>
        </w:sdtContent>
      </w:sdt>
    </w:p>
    <w:bookmarkEnd w:id="346"/>
    <w:p>
      <w:pPr>
        <w:rPr>
          <w:rFonts w:ascii="宋体" w:hAnsi="宋体"/>
          <w:color w:val="FF0000"/>
        </w:rPr>
      </w:pPr>
    </w:p>
    <w:p>
      <w:pPr>
        <w:rPr>
          <w:rFonts w:ascii="宋体" w:hAnsi="宋体"/>
          <w:color w:val="FF0000"/>
        </w:rPr>
      </w:pPr>
      <w:bookmarkStart w:id="348" w:name="_Hlk24038756"/>
      <w:bookmarkEnd w:id="347"/>
      <w:bookmarkEnd w:id="348"/>
    </w:p>
    <w:p>
      <w:pPr>
        <w:rPr>
          <w:rFonts w:ascii="宋体" w:hAnsi="宋体"/>
          <w:color w:val="FF0000"/>
        </w:rPr>
      </w:pPr>
      <w:r>
        <w:rPr>
          <w:rFonts w:ascii="宋体" w:hAnsi="宋体"/>
          <w:color w:val="FF0000"/>
        </w:rPr>
        <w:br w:type="page"/>
      </w:r>
    </w:p>
    <w:p>
      <w:pPr>
        <w:jc w:val="center"/>
        <w:outlineLvl w:val="2"/>
        <w:rPr>
          <w:rFonts w:ascii="宋体" w:hAnsi="宋体"/>
          <w:b/>
          <w:bCs/>
        </w:rPr>
      </w:pPr>
      <w:bookmarkStart w:id="349" w:name="_Hlk1156136"/>
      <w:r>
        <w:rPr>
          <w:rFonts w:ascii="宋体" w:hAnsi="宋体" w:hint="eastAsia"/>
          <w:b/>
          <w:bCs/>
        </w:rPr>
        <w:lastRenderedPageBreak/>
        <w:t>合并</w:t>
      </w:r>
      <w:r>
        <w:rPr>
          <w:rFonts w:ascii="宋体" w:hAnsi="宋体"/>
          <w:b/>
          <w:bCs/>
        </w:rPr>
        <w:t>现金流量表</w:t>
      </w:r>
    </w:p>
    <w:p>
      <w:pPr>
        <w:jc w:val="center"/>
        <w:rPr>
          <w:rFonts w:ascii="宋体" w:hAnsi="宋体"/>
          <w:b/>
          <w:bCs/>
        </w:rPr>
      </w:pPr>
      <w:r>
        <w:rPr>
          <w:rFonts w:ascii="宋体" w:hAnsi="宋体"/>
        </w:rPr>
        <w:t>2025年</w:t>
      </w:r>
      <w:r>
        <w:rPr>
          <w:rFonts w:ascii="宋体" w:hAnsi="宋体" w:hint="eastAsia"/>
        </w:rPr>
        <w:t>1—12</w:t>
      </w:r>
      <w:r>
        <w:rPr>
          <w:rFonts w:ascii="宋体" w:hAnsi="宋体"/>
        </w:rPr>
        <w:t>月</w:t>
      </w:r>
    </w:p>
    <w:p>
      <w:pPr>
        <w:jc w:val="right"/>
        <w:rPr>
          <w:rFonts w:ascii="宋体" w:hAnsi="宋体"/>
        </w:rPr>
      </w:pPr>
      <w:r>
        <w:rPr>
          <w:rFonts w:ascii="宋体" w:hAnsi="宋体"/>
        </w:rPr>
        <w:t>单位</w:t>
      </w:r>
      <w:r>
        <w:rPr>
          <w:rFonts w:ascii="宋体" w:hAnsi="宋体" w:hint="eastAsia"/>
        </w:rPr>
        <w:t>：</w:t>
      </w:r>
      <w:sdt>
        <w:sdtPr>
          <w:rPr>
            <w:rFonts w:ascii="宋体" w:hAnsi="宋体" w:hint="eastAsia"/>
          </w:rPr>
          <w:alias w:val="单位：合并现金流量表"/>
          <w:tag w:val="_GBC_7049413ddb8f4e5eac9cb9fb4f802433"/>
          <w:id w:val="15282163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 xml:space="preserve">千元  </w:t>
          </w:r>
        </w:sdtContent>
      </w:sdt>
      <w:r>
        <w:rPr>
          <w:rFonts w:ascii="宋体" w:hAnsi="宋体"/>
        </w:rPr>
        <w:t>币种</w:t>
      </w:r>
      <w:r>
        <w:rPr>
          <w:rFonts w:ascii="宋体" w:hAnsi="宋体" w:hint="eastAsia"/>
        </w:rPr>
        <w:t>：</w:t>
      </w:r>
      <w:sdt>
        <w:sdtPr>
          <w:rPr>
            <w:rFonts w:ascii="宋体" w:hAnsi="宋体" w:hint="eastAsia"/>
          </w:rPr>
          <w:alias w:val="币种：合并现金流量表"/>
          <w:tag w:val="_GBC_5ab1c6e244484b228b8cdc6ee3840fd6"/>
          <w:id w:val="-1014216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1"/>
        <w:gridCol w:w="1567"/>
        <w:gridCol w:w="2173"/>
        <w:gridCol w:w="2168"/>
      </w:tblGrid>
      <w:tr>
        <w:tc>
          <w:tcPr>
            <w:tcW w:w="3141"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5a1e687815424d54a4dd8744648aa3cb"/>
              <w:id w:val="1262797328"/>
            </w:sdtPr>
            <w:sdtContent>
              <w:p>
                <w:pPr>
                  <w:jc w:val="center"/>
                  <w:rPr>
                    <w:rFonts w:ascii="宋体" w:hAnsi="宋体"/>
                    <w:b/>
                  </w:rPr>
                </w:pPr>
                <w:r>
                  <w:rPr>
                    <w:rFonts w:ascii="宋体" w:hAnsi="宋体" w:hint="eastAsia"/>
                    <w:b/>
                  </w:rPr>
                  <w:t>项目</w:t>
                </w:r>
              </w:p>
            </w:sdtContent>
          </w:sdt>
        </w:tc>
        <w:tc>
          <w:tcPr>
            <w:tcW w:w="1567"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3c902166982f4ea18b3f3d11c1fe2190"/>
              <w:id w:val="938109989"/>
            </w:sdtPr>
            <w:sdtContent>
              <w:p>
                <w:pPr>
                  <w:jc w:val="center"/>
                  <w:rPr>
                    <w:rFonts w:ascii="宋体" w:hAnsi="宋体"/>
                    <w:b/>
                  </w:rPr>
                </w:pPr>
                <w:r>
                  <w:rPr>
                    <w:rFonts w:ascii="宋体" w:hAnsi="宋体" w:hint="eastAsia"/>
                    <w:b/>
                  </w:rPr>
                  <w:t>附注</w:t>
                </w:r>
              </w:p>
            </w:sdtContent>
          </w:sdt>
        </w:tc>
        <w:tc>
          <w:tcPr>
            <w:tcW w:w="2173"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29a06cc719e5467e82013eb798ebb143"/>
              <w:id w:val="455212827"/>
            </w:sdtPr>
            <w:sdtContent>
              <w:p>
                <w:pPr>
                  <w:autoSpaceDE w:val="0"/>
                  <w:autoSpaceDN w:val="0"/>
                  <w:adjustRightInd w:val="0"/>
                  <w:jc w:val="center"/>
                  <w:rPr>
                    <w:rFonts w:ascii="宋体" w:hAnsi="宋体"/>
                    <w:b/>
                  </w:rPr>
                </w:pPr>
                <w:r>
                  <w:rPr>
                    <w:rFonts w:ascii="宋体" w:hAnsi="宋体" w:hint="eastAsia"/>
                    <w:b/>
                  </w:rPr>
                  <w:t>2025年度</w:t>
                </w:r>
              </w:p>
            </w:sdtContent>
          </w:sdt>
        </w:tc>
        <w:tc>
          <w:tcPr>
            <w:tcW w:w="2168"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0bd5effed8234e5eb21199f6669657c2"/>
              <w:id w:val="302668466"/>
            </w:sdtPr>
            <w:sdtContent>
              <w:p>
                <w:pPr>
                  <w:autoSpaceDE w:val="0"/>
                  <w:autoSpaceDN w:val="0"/>
                  <w:adjustRightInd w:val="0"/>
                  <w:jc w:val="center"/>
                  <w:rPr>
                    <w:rFonts w:ascii="宋体" w:hAnsi="宋体"/>
                    <w:b/>
                  </w:rPr>
                </w:pPr>
                <w:r>
                  <w:rPr>
                    <w:rFonts w:ascii="宋体" w:hAnsi="宋体" w:hint="eastAsia"/>
                    <w:b/>
                  </w:rPr>
                  <w:t>2024年度</w:t>
                </w:r>
              </w:p>
            </w:sdtContent>
          </w:sdt>
        </w:tc>
      </w:tr>
      <w:tr>
        <w:sdt>
          <w:sdtPr>
            <w:rPr>
              <w:rFonts w:ascii="宋体" w:hAnsi="宋体"/>
            </w:rPr>
            <w:tag w:val="_PLD_c03c8258c1684fb989d96332af6834de"/>
            <w:id w:val="-1098021714"/>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b/>
                    <w:bCs/>
                  </w:rPr>
                  <w:t>一、经营活动产生的现金流量：</w:t>
                </w:r>
              </w:p>
            </w:tc>
          </w:sdtContent>
        </w:sdt>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销售商品、提供劳务收到的现金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143,053,085</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147,966,846</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客户存款和同业存放款项净增加额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2,310,857</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-2,390,816</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向中央银行借款净增加额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向其他金融机构拆入资金净增加额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收到原保险合同保费取得的现金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收到再保业务现金净额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保户储金及投资款净增加额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收取利息、手续费及佣金的现金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拆入资金净增加额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回购业务资金净增加额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代理买卖证券收到的现金净额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收到的税费返还</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2,296,578</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2,331,137</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收到其他与经营活动有关的现金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七、79</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42,126,164</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39,801,202</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经营活动现金流入小计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189,786,684</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187,708,369</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购买商品、接受劳务支付的现金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65,993,706</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54,981,818</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客户贷款及垫款净增加额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-794,150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-393,050</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存放中央银行和同业款项净增加额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343,027</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-291,587</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支付原保险合同赔付款项的现金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拆出资金净增加额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支付利息、手续费及佣金的现金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支付保单红利的现金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支付给职工及为职工支付的现金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29,416,406</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29,859,471</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支付的各项税费</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20,643,712</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25,739,826</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支付其他与经营活动有关的现金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七、79</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54,699,189</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51,959,879</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经营活动现金流出小计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170,301,890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161,856,357</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color w:val="000000"/>
              </w:rPr>
            </w:pPr>
            <w:r>
              <w:rPr>
                <w:rFonts w:ascii="宋体" w:hAnsi="宋体" w:hint="eastAsia"/>
              </w:rPr>
              <w:t>经营活动产生的现金流量净额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19,484,794</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25,852,012</w:t>
            </w:r>
          </w:p>
        </w:tc>
      </w:tr>
      <w:tr>
        <w:sdt>
          <w:sdtPr>
            <w:rPr>
              <w:rFonts w:ascii="宋体" w:hAnsi="宋体"/>
            </w:rPr>
            <w:tag w:val="_PLD_cb59aa0e2bd944b8ba7271368c6da00a"/>
            <w:id w:val="1822233546"/>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pPr>
                  <w:rPr>
                    <w:rFonts w:ascii="宋体" w:hAnsi="宋体"/>
                    <w:color w:val="008000"/>
                  </w:rPr>
                </w:pPr>
                <w:r>
                  <w:rPr>
                    <w:rFonts w:ascii="宋体" w:hAnsi="宋体" w:hint="eastAsia"/>
                    <w:b/>
                    <w:bCs/>
                  </w:rPr>
                  <w:t>二、投资活动产生的现金流量：</w:t>
                </w:r>
              </w:p>
            </w:tc>
          </w:sdtContent>
        </w:sdt>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收回投资收到的现金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2,905,488</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5,628,297</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取得投资收益收到的现金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900,838</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1,178,271</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lastRenderedPageBreak/>
              <w:t>处置固定资产、无形资产和其他长期资产收回的现金净额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697,054</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33,685</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处置子公司及其他营业单位收到的现金净额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-35,684</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收到其他与投资活动有关的现金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七、79</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2,239,508</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943,388</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投资活动现金流入小计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6,707,204</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7,783,641</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购建固定资产、无形资产和其他长期资产支付的现金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18,520,825</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18,550,909</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投资支付的现金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1,618,210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204,342</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质押贷款净增加额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取得子公司及其他营业单位支付的现金净额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249,903</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4,270,298</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支付其他与投资活动有关的现金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七、79</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3,269,346</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216,509</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投资活动现金流出小计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23,658,284</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23,242,058</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color w:val="000000"/>
              </w:rPr>
            </w:pPr>
            <w:r>
              <w:rPr>
                <w:rFonts w:ascii="宋体" w:hAnsi="宋体" w:hint="eastAsia"/>
              </w:rPr>
              <w:t>投资活动产生的现金流量净额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-16,951,080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-15,458,417</w:t>
            </w:r>
          </w:p>
        </w:tc>
      </w:tr>
      <w:tr>
        <w:sdt>
          <w:sdtPr>
            <w:rPr>
              <w:rFonts w:ascii="宋体" w:hAnsi="宋体"/>
            </w:rPr>
            <w:tag w:val="_PLD_8e0d926902804b5baefad8990e4523b4"/>
            <w:id w:val="1780600118"/>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pPr>
                  <w:rPr>
                    <w:rFonts w:ascii="宋体" w:hAnsi="宋体"/>
                    <w:color w:val="008000"/>
                  </w:rPr>
                </w:pPr>
                <w:r>
                  <w:rPr>
                    <w:rFonts w:ascii="宋体" w:hAnsi="宋体" w:hint="eastAsia"/>
                    <w:b/>
                    <w:bCs/>
                  </w:rPr>
                  <w:t>三、筹资活动产生的现金流量：</w:t>
                </w:r>
              </w:p>
            </w:tc>
          </w:sdtContent>
        </w:sdt>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吸收投资收到的现金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18,774,185</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17,489,128</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其中：子公司吸收少数股东投资收到的现金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3,776,685</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 xml:space="preserve">　</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rPr>
              <w:t>发行其他权益工具收到的现金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14,997,500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12,995,862</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取得借款收到的现金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72,456,744</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56,877,950</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收到其他与筹资活动有关的现金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1,590,290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6,039,572</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筹资活动现金流入小计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七、79</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92,821,219</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80,406,650</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偿还债务支付的现金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60,195,150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45,058,178</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分配股利、利润或偿付利息支付的现金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18,248,895</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23,575,233</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其中：子公司支付给少数股东的股利、利润</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4,007,410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3,833,411</w:t>
            </w:r>
          </w:p>
        </w:tc>
      </w:tr>
      <w:tr>
        <w:trPr>
          <w:trHeight w:val="55"/>
        </w:trP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支付其他与筹资活动有关的现金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22,038,872</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21,543,274</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筹资活动现金流出小计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七、79</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100,482,917</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90,176,685</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color w:val="000000"/>
              </w:rPr>
            </w:pPr>
            <w:r>
              <w:rPr>
                <w:rFonts w:ascii="宋体" w:hAnsi="宋体" w:hint="eastAsia"/>
              </w:rPr>
              <w:t>筹资活动产生的现金流量净额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w:t>
            </w:r>
            <w:r>
              <w:rPr>
                <w:rFonts w:ascii="宋体" w:hAnsi="宋体" w:hint="eastAsia"/>
              </w:rPr>
              <w:t>7,661,698</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w:t>
            </w:r>
            <w:r>
              <w:rPr>
                <w:rFonts w:ascii="宋体" w:hAnsi="宋体" w:hint="eastAsia"/>
              </w:rPr>
              <w:t>9,770,035</w:t>
            </w:r>
          </w:p>
        </w:tc>
      </w:tr>
      <w:tr>
        <w:tc>
          <w:tcPr>
            <w:tcW w:w="3141"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b/>
                <w:bCs/>
              </w:rPr>
              <w:t>四、汇率变动对现金及现金等价物的影响</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319,249</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-86,684</w:t>
            </w:r>
          </w:p>
        </w:tc>
      </w:tr>
      <w:tr>
        <w:tc>
          <w:tcPr>
            <w:tcW w:w="3141"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b/>
                <w:bCs/>
              </w:rPr>
              <w:t>五、现金及现金等价物净增加额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-4,808,735</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536,876</w:t>
            </w:r>
          </w:p>
        </w:tc>
      </w:tr>
      <w:tr>
        <w:tc>
          <w:tcPr>
            <w:tcW w:w="3141"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加：期初现金及现金等价物余额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七、79</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31,485,290</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30,948,414</w:t>
            </w:r>
          </w:p>
        </w:tc>
      </w:tr>
      <w:tr>
        <w:tc>
          <w:tcPr>
            <w:tcW w:w="3141"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b/>
                <w:bCs/>
              </w:rPr>
              <w:t>六、期末现金及现金等价物余额</w:t>
            </w:r>
          </w:p>
        </w:tc>
        <w:tc>
          <w:tcPr>
            <w:tcW w:w="1567"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七、79</w:t>
            </w:r>
          </w:p>
        </w:tc>
        <w:tc>
          <w:tcPr>
            <w:tcW w:w="2173"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26,676,555</w:t>
            </w:r>
          </w:p>
        </w:tc>
        <w:tc>
          <w:tcPr>
            <w:tcW w:w="21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31,485,290</w:t>
            </w:r>
          </w:p>
        </w:tc>
      </w:tr>
    </w:tbl>
    <w:p>
      <w:pPr>
        <w:rPr>
          <w:rFonts w:ascii="宋体" w:hAnsi="宋体"/>
        </w:rPr>
      </w:pPr>
    </w:p>
    <w:p>
      <w:pPr>
        <w:snapToGrid w:val="0"/>
        <w:spacing w:line="240" w:lineRule="atLeast"/>
        <w:ind w:rightChars="12" w:right="25"/>
        <w:rPr>
          <w:rFonts w:ascii="宋体" w:hAnsi="宋体"/>
          <w:b/>
          <w:bCs/>
          <w:color w:val="FF0000"/>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d1f7cb193ab444ff8482a06aad12f0db"/>
          <w:id w:val="83275234"/>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李伟</w:t>
          </w:r>
        </w:sdtContent>
      </w:sdt>
      <w:r>
        <w:rPr>
          <w:rFonts w:ascii="宋体" w:hAnsi="宋体"/>
        </w:rPr>
        <w:tab/>
      </w:r>
      <w:r>
        <w:rPr>
          <w:rFonts w:ascii="宋体" w:hAnsi="宋体"/>
        </w:rPr>
        <w:tab/>
      </w:r>
      <w:r>
        <w:rPr>
          <w:rFonts w:ascii="宋体" w:hAnsi="宋体"/>
        </w:rPr>
        <w:tab/>
        <w:t>主管会计工作负责人</w:t>
      </w:r>
      <w:r>
        <w:rPr>
          <w:rFonts w:ascii="宋体" w:hAnsi="宋体" w:hint="eastAsia"/>
        </w:rPr>
        <w:t>：</w:t>
      </w:r>
      <w:sdt>
        <w:sdtPr>
          <w:rPr>
            <w:rFonts w:ascii="宋体" w:hAnsi="宋体" w:hint="eastAsia"/>
          </w:rPr>
          <w:alias w:val="主管会计工作负责人姓名"/>
          <w:tag w:val="_GBC_45110b4746914613a7aad68cef7b1bed"/>
          <w:id w:val="159597463"/>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赵治国</w:t>
          </w:r>
        </w:sdtContent>
      </w:sdt>
      <w:r>
        <w:rPr>
          <w:rFonts w:ascii="宋体" w:hAnsi="宋体"/>
        </w:rPr>
        <w:tab/>
      </w:r>
      <w:r>
        <w:rPr>
          <w:rFonts w:ascii="宋体" w:hAnsi="宋体"/>
        </w:rPr>
        <w:tab/>
        <w:t>会计机构负责人</w:t>
      </w:r>
      <w:r>
        <w:rPr>
          <w:rFonts w:ascii="宋体" w:hAnsi="宋体" w:hint="eastAsia"/>
        </w:rPr>
        <w:t>：</w:t>
      </w:r>
      <w:sdt>
        <w:sdtPr>
          <w:rPr>
            <w:rFonts w:ascii="宋体" w:hAnsi="宋体" w:hint="eastAsia"/>
          </w:rPr>
          <w:alias w:val="会计机构负责人姓名"/>
          <w:tag w:val="_GBC_e7d70223996e482d9871cfff87704452"/>
          <w:id w:val="1490060116"/>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郭慧</w:t>
          </w:r>
        </w:sdtContent>
      </w:sdt>
    </w:p>
    <w:p>
      <w:pPr>
        <w:rPr>
          <w:rFonts w:ascii="宋体" w:hAnsi="宋体"/>
          <w:b/>
          <w:bCs/>
        </w:rPr>
      </w:pPr>
      <w:r>
        <w:rPr>
          <w:rFonts w:ascii="宋体" w:hAnsi="宋体"/>
          <w:b/>
          <w:bCs/>
        </w:rPr>
        <w:br w:type="page"/>
      </w:r>
    </w:p>
    <w:p>
      <w:pPr>
        <w:jc w:val="center"/>
        <w:outlineLvl w:val="2"/>
        <w:rPr>
          <w:rFonts w:ascii="宋体" w:hAnsi="宋体"/>
          <w:b/>
          <w:bCs/>
        </w:rPr>
      </w:pPr>
      <w:r>
        <w:rPr>
          <w:rFonts w:ascii="宋体" w:hAnsi="宋体" w:hint="eastAsia"/>
          <w:b/>
          <w:bCs/>
        </w:rPr>
        <w:lastRenderedPageBreak/>
        <w:t>母公司</w:t>
      </w:r>
      <w:r>
        <w:rPr>
          <w:rFonts w:ascii="宋体" w:hAnsi="宋体"/>
          <w:b/>
          <w:bCs/>
        </w:rPr>
        <w:t>现金流量表</w:t>
      </w:r>
    </w:p>
    <w:p>
      <w:pPr>
        <w:jc w:val="center"/>
        <w:rPr>
          <w:rFonts w:ascii="宋体" w:hAnsi="宋体"/>
          <w:b/>
          <w:bCs/>
        </w:rPr>
      </w:pPr>
      <w:r>
        <w:rPr>
          <w:rFonts w:ascii="宋体" w:hAnsi="宋体"/>
        </w:rPr>
        <w:t>2025年</w:t>
      </w:r>
      <w:r>
        <w:rPr>
          <w:rFonts w:ascii="宋体" w:hAnsi="宋体" w:hint="eastAsia"/>
        </w:rPr>
        <w:t>1—12</w:t>
      </w:r>
      <w:r>
        <w:rPr>
          <w:rFonts w:ascii="宋体" w:hAnsi="宋体"/>
        </w:rPr>
        <w:t>月</w:t>
      </w:r>
    </w:p>
    <w:p>
      <w:pPr>
        <w:jc w:val="right"/>
        <w:rPr>
          <w:rFonts w:ascii="宋体" w:hAnsi="宋体"/>
        </w:rPr>
      </w:pPr>
      <w:r>
        <w:rPr>
          <w:rFonts w:ascii="宋体" w:hAnsi="宋体"/>
        </w:rPr>
        <w:t>单位</w:t>
      </w:r>
      <w:r>
        <w:rPr>
          <w:rFonts w:ascii="宋体" w:hAnsi="宋体" w:hint="eastAsia"/>
        </w:rPr>
        <w:t>：</w:t>
      </w:r>
      <w:sdt>
        <w:sdtPr>
          <w:rPr>
            <w:rFonts w:ascii="宋体" w:hAnsi="宋体"/>
          </w:rPr>
          <w:alias w:val="单位：母公司现金流量表"/>
          <w:tag w:val="_GBC_993ead81b27a41dfaccaacfaec8b7c78"/>
          <w:id w:val="-20080502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 xml:space="preserve">千元  </w:t>
          </w:r>
        </w:sdtContent>
      </w:sdt>
      <w:r>
        <w:rPr>
          <w:rFonts w:ascii="宋体" w:hAnsi="宋体"/>
        </w:rPr>
        <w:t>币种</w:t>
      </w:r>
      <w:r>
        <w:rPr>
          <w:rFonts w:ascii="宋体" w:hAnsi="宋体" w:hint="eastAsia"/>
        </w:rPr>
        <w:t>：</w:t>
      </w:r>
      <w:sdt>
        <w:sdtPr>
          <w:rPr>
            <w:rFonts w:ascii="宋体" w:hAnsi="宋体"/>
          </w:rPr>
          <w:alias w:val="币种：母公司现金流量表"/>
          <w:tag w:val="_GBC_2dd4b706d0a244a4b4c21166025356cc"/>
          <w:id w:val="1425566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5"/>
        <w:gridCol w:w="1569"/>
        <w:gridCol w:w="2171"/>
        <w:gridCol w:w="2164"/>
      </w:tblGrid>
      <w:tr>
        <w:tc>
          <w:tcPr>
            <w:tcW w:w="3145"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fa8a4a4fe8df4f0086d4a3f59744ef0c"/>
              <w:id w:val="450284302"/>
            </w:sdtPr>
            <w:sdtContent>
              <w:p>
                <w:pPr>
                  <w:jc w:val="center"/>
                  <w:rPr>
                    <w:rFonts w:ascii="宋体" w:hAnsi="宋体"/>
                    <w:b/>
                  </w:rPr>
                </w:pPr>
                <w:r>
                  <w:rPr>
                    <w:rFonts w:ascii="宋体" w:hAnsi="宋体" w:hint="eastAsia"/>
                    <w:b/>
                  </w:rPr>
                  <w:t>项目</w:t>
                </w:r>
              </w:p>
            </w:sdtContent>
          </w:sdt>
        </w:tc>
        <w:tc>
          <w:tcPr>
            <w:tcW w:w="1569"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e2b9d4cf46994f4f99a9560554670b54"/>
              <w:id w:val="852538770"/>
            </w:sdtPr>
            <w:sdtContent>
              <w:p>
                <w:pPr>
                  <w:autoSpaceDE w:val="0"/>
                  <w:autoSpaceDN w:val="0"/>
                  <w:adjustRightInd w:val="0"/>
                  <w:jc w:val="center"/>
                  <w:rPr>
                    <w:rFonts w:ascii="宋体" w:hAnsi="宋体"/>
                    <w:b/>
                  </w:rPr>
                </w:pPr>
                <w:r>
                  <w:rPr>
                    <w:rFonts w:ascii="宋体" w:hAnsi="宋体" w:hint="eastAsia"/>
                    <w:b/>
                  </w:rPr>
                  <w:t>附注</w:t>
                </w:r>
              </w:p>
            </w:sdtContent>
          </w:sdt>
        </w:tc>
        <w:tc>
          <w:tcPr>
            <w:tcW w:w="2171"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a5e1076b6ae14d71abde0e9180405588"/>
              <w:id w:val="-84303202"/>
            </w:sdtPr>
            <w:sdtContent>
              <w:p>
                <w:pPr>
                  <w:autoSpaceDE w:val="0"/>
                  <w:autoSpaceDN w:val="0"/>
                  <w:adjustRightInd w:val="0"/>
                  <w:jc w:val="center"/>
                  <w:rPr>
                    <w:rFonts w:ascii="宋体" w:hAnsi="宋体"/>
                    <w:b/>
                  </w:rPr>
                </w:pPr>
                <w:r>
                  <w:rPr>
                    <w:rFonts w:ascii="宋体" w:hAnsi="宋体" w:hint="eastAsia"/>
                    <w:b/>
                  </w:rPr>
                  <w:t>2025年度</w:t>
                </w:r>
              </w:p>
            </w:sdtContent>
          </w:sdt>
        </w:tc>
        <w:tc>
          <w:tcPr>
            <w:tcW w:w="2164" w:type="dxa"/>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9f1994ac47d2487c870c64df42698a51"/>
              <w:id w:val="-347641424"/>
            </w:sdtPr>
            <w:sdtContent>
              <w:p>
                <w:pPr>
                  <w:autoSpaceDE w:val="0"/>
                  <w:autoSpaceDN w:val="0"/>
                  <w:adjustRightInd w:val="0"/>
                  <w:jc w:val="center"/>
                  <w:rPr>
                    <w:rFonts w:ascii="宋体" w:hAnsi="宋体"/>
                    <w:b/>
                  </w:rPr>
                </w:pPr>
                <w:r>
                  <w:rPr>
                    <w:rFonts w:ascii="宋体" w:hAnsi="宋体" w:hint="eastAsia"/>
                    <w:b/>
                  </w:rPr>
                  <w:t>2024年度</w:t>
                </w:r>
              </w:p>
            </w:sdtContent>
          </w:sdt>
        </w:tc>
      </w:tr>
      <w:tr>
        <w:sdt>
          <w:sdtPr>
            <w:rPr>
              <w:rFonts w:ascii="宋体" w:hAnsi="宋体"/>
            </w:rPr>
            <w:tag w:val="_PLD_d5384e7a1c2841c78793ee2e647fdb97"/>
            <w:id w:val="-454643930"/>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b/>
                    <w:bCs/>
                  </w:rPr>
                  <w:t>一、经营活动产生的现金流量：</w:t>
                </w:r>
              </w:p>
            </w:tc>
          </w:sdtContent>
        </w:sdt>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销售商品、提供劳务收到的现金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17,288,220</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23,099,244</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收到的税费返还</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60,584</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8,609</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收到其他与经营活动有关的现金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1,830,989</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2,200,218</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经营活动现金流入小计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19,179,793</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25,308,071</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购买商品、接受劳务支付的现金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5,499,691</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7,170,563</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支付给职工及为职工支付的现金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7,171,242</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7,795,745</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支付的各项税费</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2,138,822</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3,880,290</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支付其他与经营活动有关的现金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4,362,332</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2,860,789</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经营活动现金流出小计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19,172,087</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21,707,387</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经营活动产生的现金流量净额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7,706</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3,600,684</w:t>
            </w:r>
          </w:p>
        </w:tc>
      </w:tr>
      <w:tr>
        <w:sdt>
          <w:sdtPr>
            <w:rPr>
              <w:rFonts w:ascii="宋体" w:hAnsi="宋体"/>
            </w:rPr>
            <w:tag w:val="_PLD_ea89a8f6b76943769d484d535b94417c"/>
            <w:id w:val="-1323507881"/>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pPr>
                  <w:rPr>
                    <w:rFonts w:ascii="宋体" w:hAnsi="宋体"/>
                    <w:color w:val="008000"/>
                  </w:rPr>
                </w:pPr>
                <w:r>
                  <w:rPr>
                    <w:rFonts w:ascii="宋体" w:hAnsi="宋体" w:hint="eastAsia"/>
                    <w:b/>
                    <w:bCs/>
                  </w:rPr>
                  <w:t>二、投资活动产生的现金流量：</w:t>
                </w:r>
              </w:p>
            </w:tc>
          </w:sdtContent>
        </w:sdt>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收回投资收到的现金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63</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取得投资收益收到的现金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7,168,872</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4,776,789</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处置固定资产、无形资产和其他长期资产收回的现金净额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101,285</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332</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处置子公司及其他营业单位收到的现金净额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收到其他与投资活动有关的现金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13,612,305</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8,624,342</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投资活动现金流入小计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20,882,525</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13,401,463</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购建固定资产、无形资产和其他长期资产支付的现金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340,222</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3,946,533</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投资支付的现金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5,344,768</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11,933,994</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取得子公司及其他营业单位支付的现金净额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支付其他与投资活动有关的现金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14,499,680</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17,358,370</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投资活动现金流出小计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20,184,670</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33,238,897</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color w:val="000000"/>
              </w:rPr>
            </w:pPr>
            <w:r>
              <w:rPr>
                <w:rFonts w:ascii="宋体" w:hAnsi="宋体" w:hint="eastAsia"/>
              </w:rPr>
              <w:t>投资活动产生的现金流量净额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697,855</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-19,837,434</w:t>
            </w:r>
          </w:p>
        </w:tc>
      </w:tr>
      <w:tr>
        <w:sdt>
          <w:sdtPr>
            <w:rPr>
              <w:rFonts w:ascii="宋体" w:hAnsi="宋体"/>
            </w:rPr>
            <w:tag w:val="_PLD_8b6929c78db14ee1bde1ca4b9a47a65c"/>
            <w:id w:val="2034304655"/>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pPr>
                  <w:rPr>
                    <w:rFonts w:ascii="宋体" w:hAnsi="宋体"/>
                    <w:color w:val="008000"/>
                  </w:rPr>
                </w:pPr>
                <w:r>
                  <w:rPr>
                    <w:rFonts w:ascii="宋体" w:hAnsi="宋体" w:hint="eastAsia"/>
                    <w:b/>
                    <w:bCs/>
                  </w:rPr>
                  <w:t>三、筹资活动产生的现金流量：</w:t>
                </w:r>
              </w:p>
            </w:tc>
          </w:sdtContent>
        </w:sdt>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吸收投资收到的现金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14,997,500</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17,487,402</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取得借款收到的现金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58,631,018</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45,933,323</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收到其他与筹资活动有关的现金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120,069</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4,580,263</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筹资活动现金流入小计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73,748,587</w:t>
            </w:r>
          </w:p>
        </w:tc>
        <w:tc>
          <w:tcPr>
            <w:tcW w:w="2164" w:type="dxa"/>
            <w:tcBorders>
              <w:top w:val="outset" w:sz="4" w:space="0" w:color="auto"/>
              <w:left w:val="outset" w:sz="4" w:space="0" w:color="auto"/>
              <w:bottom w:val="outset" w:sz="4" w:space="0" w:color="auto"/>
              <w:right w:val="outset" w:sz="4" w:space="0" w:color="auto"/>
            </w:tcBorders>
            <w:vAlign w:val="center"/>
          </w:tcPr>
          <w:p>
            <w:pPr>
              <w:tabs>
                <w:tab w:val="center" w:pos="989"/>
                <w:tab w:val="right" w:pos="1979"/>
              </w:tabs>
              <w:jc w:val="right"/>
              <w:rPr>
                <w:rFonts w:ascii="宋体" w:hAnsi="宋体"/>
              </w:rPr>
            </w:pPr>
            <w:r>
              <w:rPr>
                <w:rFonts w:ascii="宋体" w:hAnsi="宋体" w:hint="eastAsia"/>
              </w:rPr>
              <w:t>68,000,988</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t>偿还债务支付的现金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49,409,797</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30,385,486</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rPr>
            </w:pPr>
            <w:r>
              <w:rPr>
                <w:rFonts w:ascii="宋体" w:hAnsi="宋体" w:hint="eastAsia"/>
              </w:rPr>
              <w:lastRenderedPageBreak/>
              <w:t>分配股利、利润或偿付利息支付的现金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10,599,193</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16,721,331</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支付其他与筹资活动有关的现金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15,208,036</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6,307,696</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200" w:firstLine="420"/>
              <w:rPr>
                <w:rFonts w:ascii="宋体" w:hAnsi="宋体"/>
                <w:color w:val="000000"/>
              </w:rPr>
            </w:pPr>
            <w:r>
              <w:rPr>
                <w:rFonts w:ascii="宋体" w:hAnsi="宋体" w:hint="eastAsia"/>
              </w:rPr>
              <w:t>筹资活动现金流出小计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75,217,026</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53,414,513</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300" w:firstLine="630"/>
              <w:rPr>
                <w:rFonts w:ascii="宋体" w:hAnsi="宋体"/>
                <w:color w:val="000000"/>
              </w:rPr>
            </w:pPr>
            <w:r>
              <w:rPr>
                <w:rFonts w:ascii="宋体" w:hAnsi="宋体" w:hint="eastAsia"/>
              </w:rPr>
              <w:t>筹资活动产生的现金流量净额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-1,468,439</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14,586,475</w:t>
            </w:r>
          </w:p>
        </w:tc>
      </w:tr>
      <w:tr>
        <w:tc>
          <w:tcPr>
            <w:tcW w:w="3145"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b/>
                <w:bCs/>
              </w:rPr>
              <w:t>四、汇率变动对现金及现金等价物的影响</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-33,288</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61,157</w:t>
            </w:r>
          </w:p>
        </w:tc>
      </w:tr>
      <w:tr>
        <w:tc>
          <w:tcPr>
            <w:tcW w:w="3145"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b/>
                <w:bCs/>
              </w:rPr>
              <w:t>五、现金及现金等价物净增加额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-796,166</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-1,589,118</w:t>
            </w:r>
          </w:p>
        </w:tc>
      </w:tr>
      <w:tr>
        <w:tc>
          <w:tcPr>
            <w:tcW w:w="3145" w:type="dxa"/>
            <w:tcBorders>
              <w:top w:val="outset" w:sz="4" w:space="0" w:color="auto"/>
              <w:left w:val="outset" w:sz="4" w:space="0" w:color="auto"/>
              <w:bottom w:val="outset" w:sz="4" w:space="0" w:color="auto"/>
              <w:right w:val="outset" w:sz="4" w:space="0" w:color="auto"/>
            </w:tcBorders>
            <w:vAlign w:val="center"/>
          </w:tcPr>
          <w:p>
            <w:pPr>
              <w:ind w:firstLineChars="100" w:firstLine="210"/>
              <w:rPr>
                <w:rFonts w:ascii="宋体" w:hAnsi="宋体"/>
                <w:color w:val="000000"/>
              </w:rPr>
            </w:pPr>
            <w:r>
              <w:rPr>
                <w:rFonts w:ascii="宋体" w:hAnsi="宋体" w:hint="eastAsia"/>
              </w:rPr>
              <w:t>加：期初现金及现金等价物余额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3,856,269</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5,445,387</w:t>
            </w:r>
          </w:p>
        </w:tc>
      </w:tr>
      <w:tr>
        <w:tc>
          <w:tcPr>
            <w:tcW w:w="3145" w:type="dxa"/>
            <w:tcBorders>
              <w:top w:val="outset" w:sz="4" w:space="0" w:color="auto"/>
              <w:left w:val="outset" w:sz="4" w:space="0" w:color="auto"/>
              <w:bottom w:val="outset" w:sz="4" w:space="0" w:color="auto"/>
              <w:right w:val="outset" w:sz="4" w:space="0" w:color="auto"/>
            </w:tcBorders>
            <w:vAlign w:val="center"/>
          </w:tcPr>
          <w:p>
            <w:pPr>
              <w:rPr>
                <w:rFonts w:ascii="宋体" w:hAnsi="宋体"/>
                <w:color w:val="000000"/>
              </w:rPr>
            </w:pPr>
            <w:r>
              <w:rPr>
                <w:rFonts w:ascii="宋体" w:hAnsi="宋体" w:hint="eastAsia"/>
                <w:b/>
                <w:bCs/>
              </w:rPr>
              <w:t>六、期末现金及现金等价物余额</w:t>
            </w:r>
          </w:p>
        </w:tc>
        <w:tc>
          <w:tcPr>
            <w:tcW w:w="1569" w:type="dxa"/>
            <w:tcBorders>
              <w:top w:val="outset" w:sz="4" w:space="0" w:color="auto"/>
              <w:left w:val="outset" w:sz="4" w:space="0" w:color="auto"/>
              <w:bottom w:val="outset" w:sz="4" w:space="0" w:color="auto"/>
              <w:right w:val="outset" w:sz="4" w:space="0" w:color="auto"/>
            </w:tcBorders>
            <w:vAlign w:val="center"/>
          </w:tcPr>
          <w:p>
            <w:pPr>
              <w:rPr>
                <w:rFonts w:ascii="宋体" w:hAnsi="宋体"/>
              </w:rPr>
            </w:pPr>
            <w:r>
              <w:rPr>
                <w:rFonts w:ascii="宋体" w:hAnsi="宋体" w:hint="eastAsia"/>
              </w:rPr>
              <w:t xml:space="preserve">　</w:t>
            </w:r>
          </w:p>
        </w:tc>
        <w:tc>
          <w:tcPr>
            <w:tcW w:w="2171"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3,060,103</w:t>
            </w:r>
          </w:p>
        </w:tc>
        <w:tc>
          <w:tcPr>
            <w:tcW w:w="2164"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hint="eastAsia"/>
              </w:rPr>
              <w:t>3,856,269</w:t>
            </w:r>
          </w:p>
        </w:tc>
      </w:tr>
    </w:tbl>
    <w:p>
      <w:pPr>
        <w:rPr>
          <w:rFonts w:ascii="宋体" w:hAnsi="宋体"/>
        </w:rPr>
      </w:pPr>
    </w:p>
    <w:p>
      <w:pPr>
        <w:snapToGrid w:val="0"/>
        <w:spacing w:line="240" w:lineRule="atLeast"/>
        <w:ind w:rightChars="-73" w:right="-153"/>
        <w:rPr>
          <w:rFonts w:ascii="宋体" w:hAnsi="宋体"/>
          <w:b/>
          <w:bCs/>
          <w:color w:val="FF0000"/>
        </w:rPr>
      </w:pPr>
      <w:r>
        <w:rPr>
          <w:rFonts w:ascii="宋体" w:hAnsi="宋体" w:hint="eastAsia"/>
        </w:rPr>
        <w:t>公司负责</w:t>
      </w:r>
      <w:r>
        <w:rPr>
          <w:rFonts w:ascii="宋体" w:hAnsi="宋体"/>
        </w:rPr>
        <w:t>人</w:t>
      </w:r>
      <w:r>
        <w:rPr>
          <w:rFonts w:ascii="宋体" w:hAnsi="宋体" w:hint="eastAsia"/>
        </w:rPr>
        <w:t>：</w:t>
      </w:r>
      <w:sdt>
        <w:sdtPr>
          <w:rPr>
            <w:rFonts w:ascii="宋体" w:hAnsi="宋体" w:hint="eastAsia"/>
          </w:rPr>
          <w:alias w:val="公司负责人姓名"/>
          <w:tag w:val="_GBC_b872f4b10a12453987b2d73dfe2a5ff9"/>
          <w:id w:val="-394435542"/>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李伟</w:t>
          </w:r>
        </w:sdtContent>
      </w:sdt>
      <w:r>
        <w:rPr>
          <w:rFonts w:ascii="宋体" w:hAnsi="宋体"/>
        </w:rPr>
        <w:tab/>
      </w:r>
      <w:r>
        <w:rPr>
          <w:rFonts w:ascii="宋体" w:hAnsi="宋体"/>
        </w:rPr>
        <w:tab/>
      </w:r>
      <w:r>
        <w:rPr>
          <w:rFonts w:ascii="宋体" w:hAnsi="宋体"/>
        </w:rPr>
        <w:tab/>
        <w:t>主管会计工作负责人</w:t>
      </w:r>
      <w:r>
        <w:rPr>
          <w:rFonts w:ascii="宋体" w:hAnsi="宋体" w:hint="eastAsia"/>
        </w:rPr>
        <w:t>：</w:t>
      </w:r>
      <w:sdt>
        <w:sdtPr>
          <w:rPr>
            <w:rFonts w:ascii="宋体" w:hAnsi="宋体" w:hint="eastAsia"/>
          </w:rPr>
          <w:alias w:val="主管会计工作负责人姓名"/>
          <w:tag w:val="_GBC_29443dd8858043c68f8217b05d1e3346"/>
          <w:id w:val="-110742757"/>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赵治国</w:t>
          </w:r>
        </w:sdtContent>
      </w:sdt>
      <w:r>
        <w:rPr>
          <w:rFonts w:ascii="宋体" w:hAnsi="宋体"/>
        </w:rPr>
        <w:tab/>
      </w:r>
      <w:r>
        <w:rPr>
          <w:rFonts w:ascii="宋体" w:hAnsi="宋体"/>
        </w:rPr>
        <w:tab/>
      </w:r>
      <w:r>
        <w:rPr>
          <w:rFonts w:ascii="宋体" w:hAnsi="宋体"/>
        </w:rPr>
        <w:tab/>
        <w:t>会计机构负责人</w:t>
      </w:r>
      <w:r>
        <w:rPr>
          <w:rFonts w:ascii="宋体" w:hAnsi="宋体" w:hint="eastAsia"/>
        </w:rPr>
        <w:t>：</w:t>
      </w:r>
      <w:sdt>
        <w:sdtPr>
          <w:rPr>
            <w:rFonts w:ascii="宋体" w:hAnsi="宋体" w:hint="eastAsia"/>
          </w:rPr>
          <w:alias w:val="会计机构负责人姓名"/>
          <w:tag w:val="_GBC_952065710c0f41709539d877935c1903"/>
          <w:id w:val="-370309002"/>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郭慧</w:t>
          </w:r>
        </w:sdtContent>
      </w:sdt>
    </w:p>
    <w:p>
      <w:pPr>
        <w:rPr>
          <w:rFonts w:ascii="宋体" w:hAnsi="宋体"/>
          <w:b/>
          <w:bCs/>
          <w:color w:val="FF0000"/>
        </w:rPr>
      </w:pPr>
    </w:p>
    <w:bookmarkEnd w:id="349"/>
    <w:p>
      <w:pPr>
        <w:rPr>
          <w:rFonts w:ascii="宋体" w:hAnsi="宋体"/>
        </w:rPr>
      </w:pPr>
    </w:p>
    <w:p>
      <w:pPr>
        <w:snapToGrid w:val="0"/>
        <w:spacing w:line="240" w:lineRule="atLeast"/>
        <w:ind w:rightChars="-73" w:right="-153"/>
        <w:rPr>
          <w:rFonts w:ascii="宋体" w:hAnsi="宋体"/>
        </w:rPr>
      </w:pPr>
    </w:p>
    <w:p>
      <w:pPr>
        <w:snapToGrid w:val="0"/>
        <w:spacing w:line="240" w:lineRule="atLeast"/>
        <w:ind w:rightChars="-73" w:right="-153"/>
        <w:sectPr>
          <w:pgSz w:w="11906" w:h="16838"/>
          <w:pgMar w:top="1525" w:right="1276" w:bottom="1440" w:left="1797" w:header="856" w:footer="992" w:gutter="0"/>
          <w:cols w:space="425"/>
          <w:docGrid w:linePitch="312"/>
        </w:sectPr>
      </w:pPr>
    </w:p>
    <w:p>
      <w:pPr>
        <w:tabs>
          <w:tab w:val="left" w:pos="10080"/>
        </w:tabs>
        <w:snapToGrid w:val="0"/>
        <w:spacing w:line="240" w:lineRule="atLeast"/>
        <w:ind w:rightChars="12" w:right="25"/>
        <w:jc w:val="center"/>
        <w:rPr>
          <w:b/>
        </w:rPr>
      </w:pPr>
      <w:bookmarkStart w:id="350" w:name="_Hlk533930052"/>
    </w:p>
    <w:p>
      <w:pPr>
        <w:tabs>
          <w:tab w:val="left" w:pos="10080"/>
        </w:tabs>
        <w:snapToGrid w:val="0"/>
        <w:spacing w:line="240" w:lineRule="atLeast"/>
        <w:ind w:rightChars="12" w:right="25"/>
        <w:jc w:val="center"/>
        <w:outlineLvl w:val="2"/>
        <w:rPr>
          <w:rFonts w:asciiTheme="minorEastAsia" w:eastAsiaTheme="minorEastAsia" w:hAnsiTheme="minorEastAsia"/>
          <w:b/>
          <w:sz w:val="18"/>
          <w:szCs w:val="18"/>
        </w:rPr>
      </w:pPr>
      <w:r>
        <w:rPr>
          <w:rFonts w:asciiTheme="minorEastAsia" w:eastAsiaTheme="minorEastAsia" w:hAnsiTheme="minorEastAsia"/>
          <w:b/>
          <w:sz w:val="18"/>
          <w:szCs w:val="18"/>
        </w:rPr>
        <w:t>合并</w:t>
      </w:r>
      <w:r>
        <w:rPr>
          <w:rFonts w:asciiTheme="minorEastAsia" w:eastAsiaTheme="minorEastAsia" w:hAnsiTheme="minorEastAsia" w:hint="eastAsia"/>
          <w:b/>
          <w:sz w:val="18"/>
          <w:szCs w:val="18"/>
        </w:rPr>
        <w:t>所有者权益变动表</w:t>
      </w:r>
    </w:p>
    <w:p>
      <w:pPr>
        <w:tabs>
          <w:tab w:val="left" w:pos="10080"/>
        </w:tabs>
        <w:snapToGrid w:val="0"/>
        <w:spacing w:line="240" w:lineRule="atLeast"/>
        <w:ind w:rightChars="12" w:right="25"/>
        <w:jc w:val="center"/>
        <w:rPr>
          <w:rFonts w:asciiTheme="minorEastAsia" w:eastAsiaTheme="minorEastAsia" w:hAnsiTheme="minorEastAsia"/>
          <w:sz w:val="18"/>
          <w:szCs w:val="18"/>
        </w:rPr>
      </w:pPr>
      <w:r>
        <w:rPr>
          <w:rFonts w:asciiTheme="minorEastAsia" w:eastAsiaTheme="minorEastAsia" w:hAnsiTheme="minorEastAsia"/>
          <w:sz w:val="18"/>
          <w:szCs w:val="18"/>
        </w:rPr>
        <w:t>2025年</w:t>
      </w:r>
      <w:r>
        <w:rPr>
          <w:rFonts w:asciiTheme="minorEastAsia" w:eastAsiaTheme="minorEastAsia" w:hAnsiTheme="minorEastAsia" w:hint="eastAsia"/>
          <w:sz w:val="18"/>
          <w:szCs w:val="18"/>
        </w:rPr>
        <w:t>1—12月</w:t>
      </w:r>
    </w:p>
    <w:p>
      <w:pPr>
        <w:tabs>
          <w:tab w:val="left" w:pos="10080"/>
        </w:tabs>
        <w:snapToGrid w:val="0"/>
        <w:spacing w:line="240" w:lineRule="atLeast"/>
        <w:jc w:val="right"/>
        <w:rPr>
          <w:sz w:val="18"/>
          <w:szCs w:val="18"/>
        </w:rPr>
      </w:pPr>
      <w:r>
        <w:rPr>
          <w:sz w:val="18"/>
          <w:szCs w:val="18"/>
        </w:rPr>
        <w:t>单位</w:t>
      </w:r>
      <w:r>
        <w:rPr>
          <w:rFonts w:hint="eastAsia"/>
          <w:sz w:val="18"/>
          <w:szCs w:val="18"/>
        </w:rPr>
        <w:t>：</w:t>
      </w:r>
      <w:sdt>
        <w:sdtPr>
          <w:rPr>
            <w:sz w:val="18"/>
            <w:szCs w:val="18"/>
          </w:rPr>
          <w:alias w:val="单位：合并股东权益调节表"/>
          <w:tag w:val="_GBC_57faea4e453e49ad93821b7dd6ce8bc4"/>
          <w:id w:val="21002064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 w:val="18"/>
              <w:szCs w:val="18"/>
            </w:rPr>
            <w:t>千元</w:t>
          </w:r>
          <w:r>
            <w:rPr>
              <w:rFonts w:hint="eastAsia"/>
              <w:sz w:val="18"/>
              <w:szCs w:val="18"/>
            </w:rPr>
            <w:t xml:space="preserve">  </w:t>
          </w:r>
        </w:sdtContent>
      </w:sdt>
      <w:r>
        <w:rPr>
          <w:sz w:val="18"/>
          <w:szCs w:val="18"/>
        </w:rPr>
        <w:t>币种</w:t>
      </w:r>
      <w:r>
        <w:rPr>
          <w:rFonts w:hint="eastAsia"/>
          <w:sz w:val="18"/>
          <w:szCs w:val="18"/>
        </w:rPr>
        <w:t>：</w:t>
      </w:r>
      <w:sdt>
        <w:sdtPr>
          <w:rPr>
            <w:sz w:val="18"/>
            <w:szCs w:val="18"/>
          </w:rPr>
          <w:alias w:val="币种：合并股东权益调节表"/>
          <w:tag w:val="_GBC_cef77704267643d794145c73763360e5"/>
          <w:id w:val="16638892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 w:val="18"/>
              <w:szCs w:val="18"/>
            </w:rPr>
            <w:t>人民币</w:t>
          </w:r>
        </w:sdtContent>
      </w:sdt>
    </w:p>
    <w:tbl>
      <w:tblPr>
        <w:tblStyle w:val="Style100"/>
        <w:tblW w:w="1616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425"/>
        <w:gridCol w:w="1276"/>
        <w:gridCol w:w="425"/>
        <w:gridCol w:w="1134"/>
        <w:gridCol w:w="851"/>
        <w:gridCol w:w="1134"/>
        <w:gridCol w:w="1134"/>
        <w:gridCol w:w="1134"/>
        <w:gridCol w:w="567"/>
        <w:gridCol w:w="1134"/>
        <w:gridCol w:w="425"/>
        <w:gridCol w:w="1276"/>
        <w:gridCol w:w="1276"/>
        <w:gridCol w:w="1417"/>
      </w:tblGrid>
      <w:tr>
        <w:trPr>
          <w:cantSplit/>
          <w:trHeight w:val="454"/>
        </w:trPr>
        <w:tc>
          <w:tcPr>
            <w:tcW w:w="1418" w:type="dxa"/>
            <w:vMerge w:val="restart"/>
            <w:vAlign w:val="center"/>
          </w:tcPr>
          <w:sdt>
            <w:sdtPr>
              <w:rPr>
                <w:rFonts w:asciiTheme="minorEastAsia" w:eastAsiaTheme="minorEastAsia" w:hAnsiTheme="minorEastAsia"/>
                <w:sz w:val="18"/>
                <w:szCs w:val="18"/>
              </w:rPr>
              <w:tag w:val="_PLD_245a9e71ca1b403fad3a821efeb272de"/>
              <w:id w:val="1302192489"/>
            </w:sdtPr>
            <w:sdtContent>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项目</w:t>
                </w:r>
              </w:p>
            </w:sdtContent>
          </w:sdt>
        </w:tc>
        <w:tc>
          <w:tcPr>
            <w:tcW w:w="14742" w:type="dxa"/>
            <w:gridSpan w:val="15"/>
            <w:vAlign w:val="center"/>
          </w:tcPr>
          <w:p>
            <w:pPr>
              <w:snapToGrid w:val="0"/>
              <w:spacing w:line="240" w:lineRule="atLeast"/>
              <w:ind w:rightChars="-759" w:right="-1594"/>
              <w:jc w:val="center"/>
              <w:rPr>
                <w:rFonts w:asciiTheme="minorEastAsia" w:eastAsiaTheme="minorEastAsia" w:hAnsiTheme="minorEastAsia"/>
                <w:sz w:val="18"/>
                <w:szCs w:val="18"/>
              </w:rPr>
            </w:pPr>
            <w:sdt>
              <w:sdtPr>
                <w:rPr>
                  <w:rFonts w:asciiTheme="minorEastAsia" w:eastAsiaTheme="minorEastAsia" w:hAnsiTheme="minorEastAsia"/>
                  <w:sz w:val="18"/>
                  <w:szCs w:val="18"/>
                </w:rPr>
                <w:tag w:val="_PLD_74b2c30f72fb403387c8b0e2a353f994"/>
                <w:id w:val="-521007043"/>
              </w:sdtPr>
              <w:sdtContent>
                <w:r>
                  <w:rPr>
                    <w:rFonts w:asciiTheme="minorEastAsia" w:eastAsiaTheme="minorEastAsia" w:hAnsiTheme="minorEastAsia" w:hint="eastAsia"/>
                    <w:sz w:val="18"/>
                    <w:szCs w:val="18"/>
                  </w:rPr>
                  <w:t>2025年度</w:t>
                </w:r>
              </w:sdtContent>
            </w:sdt>
          </w:p>
        </w:tc>
      </w:tr>
      <w:tr>
        <w:trPr>
          <w:cantSplit/>
          <w:trHeight w:val="274"/>
        </w:trPr>
        <w:tc>
          <w:tcPr>
            <w:tcW w:w="1418" w:type="dxa"/>
            <w:vMerge/>
            <w:vAlign w:val="center"/>
          </w:tcPr>
          <w:p>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48b1c4daa55343f0a820ecc94c441958"/>
            <w:id w:val="837116264"/>
          </w:sdtPr>
          <w:sdtContent>
            <w:tc>
              <w:tcPr>
                <w:tcW w:w="12049" w:type="dxa"/>
                <w:gridSpan w:val="13"/>
                <w:vAlign w:val="center"/>
              </w:tcPr>
              <w:p>
                <w:pPr>
                  <w:jc w:val="center"/>
                  <w:rPr>
                    <w:rFonts w:asciiTheme="minorEastAsia" w:eastAsiaTheme="minorEastAsia" w:hAnsiTheme="minorEastAsia"/>
                    <w:sz w:val="18"/>
                    <w:szCs w:val="18"/>
                  </w:rPr>
                </w:pPr>
                <w:r>
                  <w:rPr>
                    <w:rFonts w:asciiTheme="minorEastAsia" w:eastAsiaTheme="minorEastAsia" w:hAnsiTheme="minorEastAsia"/>
                    <w:sz w:val="18"/>
                    <w:szCs w:val="18"/>
                  </w:rPr>
                  <w:t>归属于母公司所有者权益</w:t>
                </w:r>
              </w:p>
            </w:tc>
          </w:sdtContent>
        </w:sdt>
        <w:sdt>
          <w:sdtPr>
            <w:rPr>
              <w:rFonts w:asciiTheme="minorEastAsia" w:eastAsiaTheme="minorEastAsia" w:hAnsiTheme="minorEastAsia"/>
              <w:sz w:val="18"/>
              <w:szCs w:val="18"/>
            </w:rPr>
            <w:tag w:val="_PLD_de4010a56d78401ebd4bb48e62167082"/>
            <w:id w:val="818921211"/>
          </w:sdtPr>
          <w:sdtContent>
            <w:tc>
              <w:tcPr>
                <w:tcW w:w="1276" w:type="dxa"/>
                <w:vMerge w:val="restart"/>
                <w:vAlign w:val="center"/>
              </w:tcPr>
              <w:p>
                <w:pPr>
                  <w:jc w:val="center"/>
                  <w:rPr>
                    <w:rFonts w:asciiTheme="minorEastAsia" w:eastAsiaTheme="minorEastAsia" w:hAnsiTheme="minorEastAsia"/>
                    <w:sz w:val="18"/>
                    <w:szCs w:val="18"/>
                  </w:rPr>
                </w:pPr>
                <w:r>
                  <w:rPr>
                    <w:rFonts w:asciiTheme="minorEastAsia" w:eastAsiaTheme="minorEastAsia" w:hAnsiTheme="minorEastAsia"/>
                    <w:sz w:val="18"/>
                    <w:szCs w:val="18"/>
                  </w:rPr>
                  <w:t>少数股东权益</w:t>
                </w:r>
              </w:p>
            </w:tc>
          </w:sdtContent>
        </w:sdt>
        <w:sdt>
          <w:sdtPr>
            <w:rPr>
              <w:rFonts w:asciiTheme="minorEastAsia" w:eastAsiaTheme="minorEastAsia" w:hAnsiTheme="minorEastAsia"/>
              <w:sz w:val="18"/>
              <w:szCs w:val="18"/>
            </w:rPr>
            <w:tag w:val="_PLD_ff9bc6143ed9429e80e1ed144f5ff16d"/>
            <w:id w:val="278543727"/>
          </w:sdtPr>
          <w:sdtContent>
            <w:tc>
              <w:tcPr>
                <w:tcW w:w="1417" w:type="dxa"/>
                <w:vMerge w:val="restart"/>
                <w:vAlign w:val="center"/>
              </w:tcPr>
              <w:p>
                <w:pPr>
                  <w:jc w:val="center"/>
                  <w:rPr>
                    <w:rFonts w:asciiTheme="minorEastAsia" w:eastAsiaTheme="minorEastAsia" w:hAnsiTheme="minorEastAsia"/>
                    <w:sz w:val="18"/>
                    <w:szCs w:val="18"/>
                  </w:rPr>
                </w:pPr>
                <w:r>
                  <w:rPr>
                    <w:rFonts w:asciiTheme="minorEastAsia" w:eastAsiaTheme="minorEastAsia" w:hAnsiTheme="minorEastAsia"/>
                    <w:sz w:val="18"/>
                    <w:szCs w:val="18"/>
                  </w:rPr>
                  <w:t>所有者权益合计</w:t>
                </w:r>
              </w:p>
            </w:tc>
          </w:sdtContent>
        </w:sdt>
      </w:tr>
      <w:tr>
        <w:trPr>
          <w:cantSplit/>
          <w:trHeight w:val="267"/>
        </w:trPr>
        <w:tc>
          <w:tcPr>
            <w:tcW w:w="1418" w:type="dxa"/>
            <w:vMerge/>
            <w:vAlign w:val="center"/>
          </w:tcPr>
          <w:p>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a43f0f223d141f0855f6cbb9e60b12f"/>
            <w:id w:val="547799327"/>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实收资本(或股本)</w:t>
                </w:r>
              </w:p>
            </w:tc>
          </w:sdtContent>
        </w:sdt>
        <w:sdt>
          <w:sdtPr>
            <w:rPr>
              <w:rFonts w:asciiTheme="minorEastAsia" w:eastAsiaTheme="minorEastAsia" w:hAnsiTheme="minorEastAsia"/>
              <w:sz w:val="18"/>
              <w:szCs w:val="18"/>
            </w:rPr>
            <w:tag w:val="_PLD_39cb94703877409e9e50d4bf964d43e4"/>
            <w:id w:val="749083335"/>
          </w:sdtPr>
          <w:sdtContent>
            <w:tc>
              <w:tcPr>
                <w:tcW w:w="2126" w:type="dxa"/>
                <w:gridSpan w:val="3"/>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0a2a84969d8f4cc5ab2f59451a4cf45c"/>
            <w:id w:val="-1982922929"/>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资本公积</w:t>
                </w:r>
              </w:p>
            </w:tc>
          </w:sdtContent>
        </w:sdt>
        <w:sdt>
          <w:sdtPr>
            <w:rPr>
              <w:rFonts w:asciiTheme="minorEastAsia" w:eastAsiaTheme="minorEastAsia" w:hAnsiTheme="minorEastAsia"/>
              <w:sz w:val="18"/>
              <w:szCs w:val="18"/>
            </w:rPr>
            <w:tag w:val="_PLD_3eb4af6d758d4787987e21e90e79351d"/>
            <w:id w:val="-63174067"/>
          </w:sdtPr>
          <w:sdtContent>
            <w:tc>
              <w:tcPr>
                <w:tcW w:w="851"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减：库存股</w:t>
                </w:r>
              </w:p>
            </w:tc>
          </w:sdtContent>
        </w:sdt>
        <w:sdt>
          <w:sdtPr>
            <w:rPr>
              <w:rFonts w:asciiTheme="minorEastAsia" w:eastAsiaTheme="minorEastAsia" w:hAnsiTheme="minorEastAsia"/>
              <w:sz w:val="18"/>
              <w:szCs w:val="18"/>
            </w:rPr>
            <w:tag w:val="_PLD_63b36aa6d5e74a289a4f2e40e95da929"/>
            <w:id w:val="1856844027"/>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1560331b8c2f411cb5a844cb35b3d2b6"/>
            <w:id w:val="1826170913"/>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6f43f79cacca48dca49685537156084f"/>
            <w:id w:val="-373309234"/>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盈余公积</w:t>
                </w:r>
              </w:p>
            </w:tc>
          </w:sdtContent>
        </w:sdt>
        <w:sdt>
          <w:sdtPr>
            <w:rPr>
              <w:rFonts w:asciiTheme="minorEastAsia" w:eastAsiaTheme="minorEastAsia" w:hAnsiTheme="minorEastAsia"/>
              <w:sz w:val="18"/>
              <w:szCs w:val="18"/>
            </w:rPr>
            <w:tag w:val="_PLD_56a430dce9564c199812862caead59b2"/>
            <w:id w:val="152492505"/>
          </w:sdtPr>
          <w:sdtContent>
            <w:tc>
              <w:tcPr>
                <w:tcW w:w="567"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一般风险准备</w:t>
                </w:r>
              </w:p>
            </w:tc>
          </w:sdtContent>
        </w:sdt>
        <w:sdt>
          <w:sdtPr>
            <w:rPr>
              <w:rFonts w:asciiTheme="minorEastAsia" w:eastAsiaTheme="minorEastAsia" w:hAnsiTheme="minorEastAsia"/>
              <w:sz w:val="18"/>
              <w:szCs w:val="18"/>
            </w:rPr>
            <w:tag w:val="_PLD_cbc8cc4f323b4146bc3e0b624cb6a030"/>
            <w:id w:val="-1014990087"/>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未分配利润</w:t>
                </w:r>
              </w:p>
            </w:tc>
          </w:sdtContent>
        </w:sdt>
        <w:tc>
          <w:tcPr>
            <w:tcW w:w="425" w:type="dxa"/>
            <w:vMerge w:val="restart"/>
            <w:vAlign w:val="center"/>
          </w:tcPr>
          <w:sdt>
            <w:sdtPr>
              <w:rPr>
                <w:rFonts w:asciiTheme="minorEastAsia" w:eastAsiaTheme="minorEastAsia" w:hAnsiTheme="minorEastAsia"/>
                <w:sz w:val="18"/>
                <w:szCs w:val="18"/>
              </w:rPr>
              <w:tag w:val="_PLD_b504a77359e042b99ce9a2513e44008d"/>
              <w:id w:val="-11081523"/>
            </w:sdtPr>
            <w:sdtContent>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sdtContent>
          </w:sdt>
        </w:tc>
        <w:tc>
          <w:tcPr>
            <w:tcW w:w="1276" w:type="dxa"/>
            <w:vMerge w:val="restart"/>
            <w:vAlign w:val="center"/>
          </w:tcPr>
          <w:sdt>
            <w:sdtPr>
              <w:rPr>
                <w:rFonts w:asciiTheme="minorEastAsia" w:eastAsiaTheme="minorEastAsia" w:hAnsiTheme="minorEastAsia"/>
                <w:sz w:val="18"/>
                <w:szCs w:val="18"/>
              </w:rPr>
              <w:tag w:val="_PLD_30b039ff7c714652865f3029df27082b"/>
              <w:id w:val="1572074793"/>
            </w:sdtPr>
            <w:sdtContent>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小计</w:t>
                </w:r>
              </w:p>
            </w:sdtContent>
          </w:sdt>
        </w:tc>
        <w:tc>
          <w:tcPr>
            <w:tcW w:w="1276" w:type="dxa"/>
            <w:vMerge/>
            <w:vAlign w:val="center"/>
          </w:tcPr>
          <w:p>
            <w:pPr>
              <w:jc w:val="center"/>
              <w:rPr>
                <w:rFonts w:asciiTheme="minorEastAsia" w:eastAsiaTheme="minorEastAsia" w:hAnsiTheme="minorEastAsia"/>
                <w:sz w:val="18"/>
                <w:szCs w:val="18"/>
              </w:rPr>
            </w:pPr>
          </w:p>
        </w:tc>
        <w:tc>
          <w:tcPr>
            <w:tcW w:w="1417" w:type="dxa"/>
            <w:vMerge/>
            <w:vAlign w:val="center"/>
          </w:tcPr>
          <w:p>
            <w:pPr>
              <w:jc w:val="center"/>
              <w:rPr>
                <w:rFonts w:asciiTheme="minorEastAsia" w:eastAsiaTheme="minorEastAsia" w:hAnsiTheme="minorEastAsia"/>
                <w:sz w:val="18"/>
                <w:szCs w:val="18"/>
              </w:rPr>
            </w:pPr>
          </w:p>
        </w:tc>
      </w:tr>
      <w:tr>
        <w:trPr>
          <w:cantSplit/>
          <w:trHeight w:val="936"/>
        </w:trPr>
        <w:tc>
          <w:tcPr>
            <w:tcW w:w="1418" w:type="dxa"/>
            <w:vMerge/>
            <w:vAlign w:val="center"/>
          </w:tcPr>
          <w:p>
            <w:pPr>
              <w:snapToGrid w:val="0"/>
              <w:spacing w:line="240" w:lineRule="atLeast"/>
              <w:ind w:rightChars="-759" w:right="-1594"/>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607c17c743149d295a2a79708dbacd2"/>
            <w:id w:val="-2055768922"/>
          </w:sdtPr>
          <w:sdtContent>
            <w:tc>
              <w:tcPr>
                <w:tcW w:w="425" w:type="dxa"/>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ff95d9a5f43c439aac9ba6d07675d878"/>
            <w:id w:val="1762798729"/>
          </w:sdtPr>
          <w:sdtContent>
            <w:tc>
              <w:tcPr>
                <w:tcW w:w="1276" w:type="dxa"/>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172b1cd40c094b6fa71aba6fe6a10f81"/>
            <w:id w:val="-954097061"/>
          </w:sdtPr>
          <w:sdtContent>
            <w:tc>
              <w:tcPr>
                <w:tcW w:w="425" w:type="dxa"/>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Content>
        </w:sdt>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851" w:type="dxa"/>
            <w:vMerge/>
            <w:vAlign w:val="center"/>
          </w:tcPr>
          <w:p>
            <w:pPr>
              <w:snapToGrid w:val="0"/>
              <w:spacing w:line="240" w:lineRule="atLeast"/>
              <w:jc w:val="center"/>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567" w:type="dxa"/>
            <w:vMerge/>
            <w:vAlign w:val="center"/>
          </w:tcPr>
          <w:p>
            <w:pPr>
              <w:snapToGrid w:val="0"/>
              <w:spacing w:line="240" w:lineRule="atLeast"/>
              <w:jc w:val="center"/>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425" w:type="dxa"/>
            <w:vMerge/>
            <w:vAlign w:val="center"/>
          </w:tcPr>
          <w:p>
            <w:pPr>
              <w:jc w:val="center"/>
              <w:rPr>
                <w:rFonts w:asciiTheme="minorEastAsia" w:eastAsiaTheme="minorEastAsia" w:hAnsiTheme="minorEastAsia"/>
                <w:sz w:val="18"/>
                <w:szCs w:val="18"/>
              </w:rPr>
            </w:pPr>
          </w:p>
        </w:tc>
        <w:tc>
          <w:tcPr>
            <w:tcW w:w="1276" w:type="dxa"/>
            <w:vMerge/>
            <w:vAlign w:val="center"/>
          </w:tcPr>
          <w:p>
            <w:pPr>
              <w:jc w:val="center"/>
              <w:rPr>
                <w:rFonts w:asciiTheme="minorEastAsia" w:eastAsiaTheme="minorEastAsia" w:hAnsiTheme="minorEastAsia"/>
                <w:sz w:val="18"/>
                <w:szCs w:val="18"/>
              </w:rPr>
            </w:pPr>
          </w:p>
        </w:tc>
        <w:tc>
          <w:tcPr>
            <w:tcW w:w="1276" w:type="dxa"/>
            <w:vMerge/>
            <w:vAlign w:val="center"/>
          </w:tcPr>
          <w:p>
            <w:pPr>
              <w:jc w:val="center"/>
              <w:rPr>
                <w:rFonts w:asciiTheme="minorEastAsia" w:eastAsiaTheme="minorEastAsia" w:hAnsiTheme="minorEastAsia"/>
                <w:sz w:val="18"/>
                <w:szCs w:val="18"/>
              </w:rPr>
            </w:pPr>
          </w:p>
        </w:tc>
        <w:tc>
          <w:tcPr>
            <w:tcW w:w="1417" w:type="dxa"/>
            <w:vMerge/>
            <w:tcBorders>
              <w:bottom w:val="nil"/>
            </w:tcBorders>
            <w:vAlign w:val="center"/>
          </w:tcPr>
          <w:p>
            <w:pPr>
              <w:jc w:val="center"/>
              <w:rPr>
                <w:rFonts w:asciiTheme="minorEastAsia" w:eastAsiaTheme="minorEastAsia" w:hAnsiTheme="minorEastAsia"/>
                <w:sz w:val="18"/>
                <w:szCs w:val="18"/>
              </w:rPr>
            </w:pPr>
          </w:p>
        </w:tc>
      </w:tr>
      <w:tr>
        <w:trPr>
          <w:trHeight w:val="144"/>
        </w:trPr>
        <w:sdt>
          <w:sdtPr>
            <w:rPr>
              <w:rFonts w:asciiTheme="minorEastAsia" w:eastAsiaTheme="minorEastAsia" w:hAnsiTheme="minorEastAsia"/>
              <w:sz w:val="18"/>
              <w:szCs w:val="18"/>
            </w:rPr>
            <w:tag w:val="_PLD_4fdfc5e6b5c34cfdb08e5d5e3943966e"/>
            <w:id w:val="-760760497"/>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一、上年</w:t>
                </w:r>
                <w:r>
                  <w:rPr>
                    <w:rFonts w:asciiTheme="minorEastAsia" w:eastAsiaTheme="minorEastAsia" w:hAnsiTheme="minorEastAsia" w:hint="eastAsia"/>
                    <w:sz w:val="18"/>
                    <w:szCs w:val="18"/>
                  </w:rPr>
                  <w:t>年</w:t>
                </w:r>
                <w:r>
                  <w:rPr>
                    <w:rFonts w:asciiTheme="minorEastAsia" w:eastAsiaTheme="minorEastAsia" w:hAnsiTheme="minorEastAsia"/>
                    <w:sz w:val="18"/>
                    <w:szCs w:val="18"/>
                  </w:rPr>
                  <w:t>末余额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10,039,860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23,267,221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7,739,453</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112,417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-7,915,647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3,293,970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48,718,377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87,872,209</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61,748,643</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149,620,852</w:t>
            </w:r>
          </w:p>
        </w:tc>
      </w:tr>
      <w:tr>
        <w:trPr>
          <w:trHeight w:val="144"/>
        </w:trPr>
        <w:sdt>
          <w:sdtPr>
            <w:rPr>
              <w:rFonts w:asciiTheme="minorEastAsia" w:eastAsiaTheme="minorEastAsia" w:hAnsiTheme="minorEastAsia"/>
              <w:sz w:val="18"/>
              <w:szCs w:val="18"/>
            </w:rPr>
            <w:tag w:val="_PLD_90f04cf20717467298c2824a1c7b2f71"/>
            <w:id w:val="-1168703221"/>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加：</w:t>
                </w:r>
                <w:r>
                  <w:rPr>
                    <w:rFonts w:asciiTheme="minorEastAsia" w:eastAsiaTheme="minorEastAsia" w:hAnsiTheme="minorEastAsia"/>
                    <w:sz w:val="18"/>
                    <w:szCs w:val="18"/>
                  </w:rPr>
                  <w:t>会计政策变更</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44"/>
        </w:trPr>
        <w:sdt>
          <w:sdtPr>
            <w:rPr>
              <w:rFonts w:asciiTheme="minorEastAsia" w:eastAsiaTheme="minorEastAsia" w:hAnsiTheme="minorEastAsia"/>
              <w:sz w:val="18"/>
              <w:szCs w:val="18"/>
            </w:rPr>
            <w:tag w:val="_PLD_d724580d38484f718fafd008f24a7505"/>
            <w:id w:val="1549108853"/>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前期差错更正</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44"/>
        </w:trPr>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同一控制下企业合并</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44"/>
        </w:trPr>
        <w:sdt>
          <w:sdtPr>
            <w:rPr>
              <w:rFonts w:asciiTheme="minorEastAsia" w:eastAsiaTheme="minorEastAsia" w:hAnsiTheme="minorEastAsia"/>
              <w:sz w:val="18"/>
              <w:szCs w:val="18"/>
            </w:rPr>
            <w:tag w:val="_PLD_122e3287ddd140fb9d031a4dab8a8b13"/>
            <w:id w:val="-1686518355"/>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44"/>
        </w:trPr>
        <w:sdt>
          <w:sdtPr>
            <w:rPr>
              <w:rFonts w:asciiTheme="minorEastAsia" w:eastAsiaTheme="minorEastAsia" w:hAnsiTheme="minorEastAsia"/>
              <w:sz w:val="18"/>
              <w:szCs w:val="18"/>
            </w:rPr>
            <w:tag w:val="_PLD_04db836e110543eab1bb1c6fb46bd857"/>
            <w:id w:val="-161933811"/>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二、本年</w:t>
                </w:r>
                <w:r>
                  <w:rPr>
                    <w:rFonts w:asciiTheme="minorEastAsia" w:eastAsiaTheme="minorEastAsia" w:hAnsiTheme="minorEastAsia" w:hint="eastAsia"/>
                    <w:sz w:val="18"/>
                    <w:szCs w:val="18"/>
                  </w:rPr>
                  <w:t>期</w:t>
                </w:r>
                <w:r>
                  <w:rPr>
                    <w:rFonts w:asciiTheme="minorEastAsia" w:eastAsiaTheme="minorEastAsia" w:hAnsiTheme="minorEastAsia"/>
                    <w:sz w:val="18"/>
                    <w:szCs w:val="18"/>
                  </w:rPr>
                  <w:t>初余额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10,039,860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23,267,221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7,739,453</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112,417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-7,915,647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3,293,970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48,718,377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87,872,209</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61,748,643</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149,620,852</w:t>
            </w:r>
          </w:p>
        </w:tc>
      </w:tr>
      <w:tr>
        <w:trPr>
          <w:trHeight w:val="144"/>
        </w:trPr>
        <w:sdt>
          <w:sdtPr>
            <w:rPr>
              <w:rFonts w:asciiTheme="minorEastAsia" w:eastAsiaTheme="minorEastAsia" w:hAnsiTheme="minorEastAsia"/>
              <w:sz w:val="18"/>
              <w:szCs w:val="18"/>
            </w:rPr>
            <w:tag w:val="_PLD_1ca4768a663c4afc8e9fee3a8dc71bc6"/>
            <w:id w:val="841205066"/>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三、本</w:t>
                </w:r>
                <w:r>
                  <w:rPr>
                    <w:rFonts w:asciiTheme="minorEastAsia" w:eastAsiaTheme="minorEastAsia" w:hAnsiTheme="minorEastAsia" w:hint="eastAsia"/>
                    <w:sz w:val="18"/>
                    <w:szCs w:val="18"/>
                  </w:rPr>
                  <w:t>期</w:t>
                </w:r>
                <w:r>
                  <w:rPr>
                    <w:rFonts w:asciiTheme="minorEastAsia" w:eastAsiaTheme="minorEastAsia" w:hAnsiTheme="minorEastAsia"/>
                    <w:sz w:val="18"/>
                    <w:szCs w:val="18"/>
                  </w:rPr>
                  <w:t>增减变动金额（减少以“－”号填列）</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-2,379</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5,499,430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8,621,028</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-58,993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1,165,901</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-28,744</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-2,286,939</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-419,207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12,608,083</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8,867,898</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21,475,981</w:t>
            </w:r>
          </w:p>
        </w:tc>
      </w:tr>
      <w:tr>
        <w:trPr>
          <w:trHeight w:val="144"/>
        </w:trPr>
        <w:sdt>
          <w:sdtPr>
            <w:rPr>
              <w:rFonts w:asciiTheme="minorEastAsia" w:eastAsiaTheme="minorEastAsia" w:hAnsiTheme="minorEastAsia"/>
              <w:sz w:val="18"/>
              <w:szCs w:val="18"/>
            </w:rPr>
            <w:tag w:val="_PLD_55a20255a0a245fd951d5eb42c559389"/>
            <w:id w:val="80808806"/>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（一）综合收益总额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627,530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1,165,901</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8,380,948</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10,174,379</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5,917,568</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16,091,947</w:t>
            </w:r>
          </w:p>
        </w:tc>
      </w:tr>
      <w:tr>
        <w:trPr>
          <w:trHeight w:val="144"/>
        </w:trPr>
        <w:sdt>
          <w:sdtPr>
            <w:rPr>
              <w:rFonts w:asciiTheme="minorEastAsia" w:eastAsiaTheme="minorEastAsia" w:hAnsiTheme="minorEastAsia"/>
              <w:sz w:val="18"/>
              <w:szCs w:val="18"/>
            </w:rPr>
            <w:tag w:val="_PLD_cabd5a3f22a849b08cf8df11a07115b5"/>
            <w:id w:val="-1589832485"/>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二</w:t>
                </w:r>
                <w:r>
                  <w:rPr>
                    <w:rFonts w:asciiTheme="minorEastAsia" w:eastAsiaTheme="minorEastAsia" w:hAnsiTheme="minorEastAsia"/>
                    <w:sz w:val="18"/>
                    <w:szCs w:val="18"/>
                  </w:rPr>
                  <w:t>）所有者投入和减少资本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-2,379</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15,000,000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-9,391,246</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-58,993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-1,011,510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1,812,466</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5,833,523</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7,645,989</w:t>
            </w:r>
          </w:p>
        </w:tc>
      </w:tr>
      <w:tr>
        <w:trPr>
          <w:trHeight w:val="472"/>
        </w:trPr>
        <w:sdt>
          <w:sdtPr>
            <w:rPr>
              <w:rFonts w:asciiTheme="minorEastAsia" w:eastAsiaTheme="minorEastAsia" w:hAnsiTheme="minorEastAsia"/>
              <w:sz w:val="18"/>
              <w:szCs w:val="18"/>
            </w:rPr>
            <w:tag w:val="_PLD_4d4d24462cb048579eb01f9b1c8956b1"/>
            <w:id w:val="1572072708"/>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1．所有者投入的普通股</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3,405,057</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3,405,057</w:t>
            </w:r>
          </w:p>
        </w:tc>
      </w:tr>
      <w:tr>
        <w:trPr>
          <w:trHeight w:val="697"/>
        </w:trPr>
        <w:sdt>
          <w:sdtPr>
            <w:rPr>
              <w:rFonts w:asciiTheme="minorEastAsia" w:eastAsiaTheme="minorEastAsia" w:hAnsiTheme="minorEastAsia"/>
              <w:sz w:val="18"/>
              <w:szCs w:val="18"/>
            </w:rPr>
            <w:tag w:val="_PLD_2b1df3030d9b41699f4a3e651f6c74e7"/>
            <w:id w:val="327253051"/>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2．其他权益工具持有者投入资本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15,000,000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-9,600</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14,990,400</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1,000,000</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15,990,400</w:t>
            </w:r>
          </w:p>
        </w:tc>
      </w:tr>
      <w:tr>
        <w:trPr>
          <w:trHeight w:val="709"/>
        </w:trPr>
        <w:sdt>
          <w:sdtPr>
            <w:rPr>
              <w:rFonts w:asciiTheme="minorEastAsia" w:eastAsiaTheme="minorEastAsia" w:hAnsiTheme="minorEastAsia"/>
              <w:sz w:val="18"/>
              <w:szCs w:val="18"/>
            </w:rPr>
            <w:tag w:val="_PLD_bf20c7d29dbe4ecc8acea7b1a1149bd3"/>
            <w:id w:val="876665818"/>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．股份支付计入所有者权益的金额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-2,379</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44,688</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-58,993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101,302</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754</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102,056</w:t>
            </w:r>
          </w:p>
        </w:tc>
      </w:tr>
      <w:tr>
        <w:trPr>
          <w:trHeight w:val="472"/>
        </w:trPr>
        <w:sdt>
          <w:sdtPr>
            <w:rPr>
              <w:rFonts w:asciiTheme="minorEastAsia" w:eastAsiaTheme="minorEastAsia" w:hAnsiTheme="minorEastAsia"/>
              <w:sz w:val="18"/>
              <w:szCs w:val="18"/>
            </w:rPr>
            <w:tag w:val="_PLD_d3ce563048a9409f9366506e205c4124"/>
            <w:id w:val="-1457481185"/>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4</w:t>
                </w:r>
                <w:r>
                  <w:rPr>
                    <w:rFonts w:asciiTheme="minorEastAsia" w:eastAsiaTheme="minorEastAsia" w:hAnsiTheme="minorEastAsia"/>
                    <w:sz w:val="18"/>
                    <w:szCs w:val="18"/>
                  </w:rPr>
                  <w:t>．</w:t>
                </w:r>
                <w:r>
                  <w:rPr>
                    <w:rFonts w:asciiTheme="minorEastAsia" w:eastAsiaTheme="minorEastAsia" w:hAnsiTheme="minorEastAsia" w:hint="eastAsia"/>
                    <w:sz w:val="18"/>
                    <w:szCs w:val="18"/>
                  </w:rPr>
                  <w:t>同一控制下企业合并</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-9,426,334</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-1,011,510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-13,279,236</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1,179,945</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-12,099,291</w:t>
            </w:r>
          </w:p>
        </w:tc>
      </w:tr>
      <w:tr>
        <w:trPr>
          <w:trHeight w:val="461"/>
        </w:trPr>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5.收购少数股东股权</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709"/>
        </w:trPr>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6.未丧失控股权持股比例下降</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35"/>
        </w:trPr>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7.其他</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247,767</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247,767</w:t>
            </w:r>
          </w:p>
        </w:tc>
      </w:tr>
      <w:tr>
        <w:trPr>
          <w:trHeight w:val="472"/>
        </w:trPr>
        <w:sdt>
          <w:sdtPr>
            <w:rPr>
              <w:rFonts w:asciiTheme="minorEastAsia" w:eastAsiaTheme="minorEastAsia" w:hAnsiTheme="minorEastAsia"/>
              <w:sz w:val="18"/>
              <w:szCs w:val="18"/>
            </w:rPr>
            <w:tag w:val="_PLD_e5ace973797c4072b589e43841b34142"/>
            <w:id w:val="-280959833"/>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三</w:t>
                </w:r>
                <w:r>
                  <w:rPr>
                    <w:rFonts w:asciiTheme="minorEastAsia" w:eastAsiaTheme="minorEastAsia" w:hAnsiTheme="minorEastAsia"/>
                    <w:sz w:val="18"/>
                    <w:szCs w:val="18"/>
                  </w:rPr>
                  <w:t>）利润分配</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-10,128,100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554,453</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-7,781,439</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-17,355,086</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-3,225,637</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-20,580,723</w:t>
            </w:r>
          </w:p>
        </w:tc>
      </w:tr>
      <w:tr>
        <w:trPr>
          <w:trHeight w:val="461"/>
        </w:trPr>
        <w:sdt>
          <w:sdtPr>
            <w:rPr>
              <w:rFonts w:asciiTheme="minorEastAsia" w:eastAsiaTheme="minorEastAsia" w:hAnsiTheme="minorEastAsia"/>
              <w:sz w:val="18"/>
              <w:szCs w:val="18"/>
            </w:rPr>
            <w:tag w:val="_PLD_56984731c08d48a08692b6a589fbe555"/>
            <w:id w:val="1178080180"/>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1．提取盈余公积</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554,453</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-554,453</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472"/>
        </w:trPr>
        <w:sdt>
          <w:sdtPr>
            <w:rPr>
              <w:rFonts w:asciiTheme="minorEastAsia" w:eastAsiaTheme="minorEastAsia" w:hAnsiTheme="minorEastAsia"/>
              <w:sz w:val="18"/>
              <w:szCs w:val="18"/>
            </w:rPr>
            <w:tag w:val="_PLD_d30e7cefb4de4113b5c1abddf8a241d4"/>
            <w:id w:val="651485926"/>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2．提取一般风险准备</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472"/>
        </w:trPr>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3.对股东的分配</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-7,226,986</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-7,226,986</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-3,347,082</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-10,574,068</w:t>
            </w:r>
          </w:p>
        </w:tc>
      </w:tr>
      <w:tr>
        <w:trPr>
          <w:trHeight w:val="697"/>
        </w:trPr>
        <w:sdt>
          <w:sdtPr>
            <w:rPr>
              <w:rFonts w:asciiTheme="minorEastAsia" w:eastAsiaTheme="minorEastAsia" w:hAnsiTheme="minorEastAsia"/>
              <w:sz w:val="18"/>
              <w:szCs w:val="18"/>
            </w:rPr>
            <w:tag w:val="_PLD_6d573481d9af49e2a8ab22ecd061ccf7"/>
            <w:id w:val="150882785"/>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4</w:t>
                </w:r>
                <w:r>
                  <w:rPr>
                    <w:rFonts w:asciiTheme="minorEastAsia" w:eastAsiaTheme="minorEastAsia" w:hAnsiTheme="minorEastAsia"/>
                    <w:sz w:val="18"/>
                    <w:szCs w:val="18"/>
                  </w:rPr>
                  <w:t>．对</w:t>
                </w:r>
                <w:r>
                  <w:rPr>
                    <w:rFonts w:asciiTheme="minorEastAsia" w:eastAsiaTheme="minorEastAsia" w:hAnsiTheme="minorEastAsia" w:hint="eastAsia"/>
                    <w:sz w:val="18"/>
                    <w:szCs w:val="18"/>
                  </w:rPr>
                  <w:t>其他权益工具持有者的</w:t>
                </w:r>
                <w:r>
                  <w:rPr>
                    <w:rFonts w:asciiTheme="minorEastAsia" w:eastAsiaTheme="minorEastAsia" w:hAnsiTheme="minorEastAsia"/>
                    <w:sz w:val="18"/>
                    <w:szCs w:val="18"/>
                  </w:rPr>
                  <w:t>分配</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472"/>
        </w:trPr>
        <w:sdt>
          <w:sdtPr>
            <w:rPr>
              <w:rFonts w:asciiTheme="minorEastAsia" w:eastAsiaTheme="minorEastAsia" w:hAnsiTheme="minorEastAsia"/>
              <w:sz w:val="18"/>
              <w:szCs w:val="18"/>
            </w:rPr>
            <w:tag w:val="_PLD_dd87d5b565c74b3faf2e05ed9840875a"/>
            <w:id w:val="-1569177736"/>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5</w:t>
                </w:r>
                <w:r>
                  <w:rPr>
                    <w:rFonts w:asciiTheme="minorEastAsia" w:eastAsiaTheme="minorEastAsia" w:hAnsiTheme="minorEastAsia"/>
                    <w:sz w:val="18"/>
                    <w:szCs w:val="18"/>
                  </w:rPr>
                  <w:t>．其他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-10,128,100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-10,128,100</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121,445</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-10,006,655</w:t>
            </w:r>
          </w:p>
        </w:tc>
      </w:tr>
      <w:tr>
        <w:trPr>
          <w:trHeight w:val="709"/>
        </w:trPr>
        <w:sdt>
          <w:sdtPr>
            <w:rPr>
              <w:rFonts w:asciiTheme="minorEastAsia" w:eastAsiaTheme="minorEastAsia" w:hAnsiTheme="minorEastAsia"/>
              <w:sz w:val="18"/>
              <w:szCs w:val="18"/>
            </w:rPr>
            <w:tag w:val="_PLD_92da940e723e49d8b19944c326b0a372"/>
            <w:id w:val="1045793936"/>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四</w:t>
                </w:r>
                <w:r>
                  <w:rPr>
                    <w:rFonts w:asciiTheme="minorEastAsia" w:eastAsiaTheme="minorEastAsia" w:hAnsiTheme="minorEastAsia"/>
                    <w:sz w:val="18"/>
                    <w:szCs w:val="18"/>
                  </w:rPr>
                  <w:t>）所有者权益内部结转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697"/>
        </w:trPr>
        <w:sdt>
          <w:sdtPr>
            <w:rPr>
              <w:rFonts w:asciiTheme="minorEastAsia" w:eastAsiaTheme="minorEastAsia" w:hAnsiTheme="minorEastAsia"/>
              <w:sz w:val="18"/>
              <w:szCs w:val="18"/>
            </w:rPr>
            <w:tag w:val="_PLD_88fb253c66e143fa8d6fda4d400657ec"/>
            <w:id w:val="-1045745659"/>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1．资本公积转增资本（或股本）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709"/>
        </w:trPr>
        <w:sdt>
          <w:sdtPr>
            <w:rPr>
              <w:rFonts w:asciiTheme="minorEastAsia" w:eastAsiaTheme="minorEastAsia" w:hAnsiTheme="minorEastAsia"/>
              <w:sz w:val="18"/>
              <w:szCs w:val="18"/>
            </w:rPr>
            <w:tag w:val="_PLD_15cc23aa9ca343c08333ba7ee1b1325c"/>
            <w:id w:val="2013097733"/>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2．盈余公积转增资本（或股本）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461"/>
        </w:trPr>
        <w:sdt>
          <w:sdtPr>
            <w:rPr>
              <w:rFonts w:asciiTheme="minorEastAsia" w:eastAsiaTheme="minorEastAsia" w:hAnsiTheme="minorEastAsia"/>
              <w:sz w:val="18"/>
              <w:szCs w:val="18"/>
            </w:rPr>
            <w:tag w:val="_PLD_9db953ff4eb242bd9b2d516481ce5c51"/>
            <w:id w:val="1623182520"/>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3．盈余公积弥补亏损</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946"/>
        </w:trPr>
        <w:tc>
          <w:tcPr>
            <w:tcW w:w="1418" w:type="dxa"/>
            <w:vAlign w:val="center"/>
          </w:tcPr>
          <w:sdt>
            <w:sdtPr>
              <w:rPr>
                <w:rFonts w:asciiTheme="minorEastAsia" w:eastAsiaTheme="minorEastAsia" w:hAnsiTheme="minorEastAsia"/>
                <w:sz w:val="18"/>
                <w:szCs w:val="18"/>
              </w:rPr>
              <w:tag w:val="_PLD_4cff15a1162840c480701077d824f063"/>
              <w:id w:val="98999138"/>
            </w:sdtPr>
            <w:sdtContent>
              <w:p>
                <w:pPr>
                  <w:rPr>
                    <w:rFonts w:asciiTheme="minorEastAsia" w:eastAsiaTheme="minorEastAsia" w:hAnsiTheme="minorEastAsia"/>
                    <w:sz w:val="18"/>
                    <w:szCs w:val="18"/>
                  </w:rPr>
                </w:pPr>
                <w:r>
                  <w:rPr>
                    <w:rFonts w:asciiTheme="minorEastAsia" w:eastAsiaTheme="minorEastAsia" w:hAnsiTheme="minorEastAsia"/>
                    <w:sz w:val="18"/>
                    <w:szCs w:val="18"/>
                  </w:rPr>
                  <w:t>4．设定受益计划变动额结转留存收益</w:t>
                </w:r>
              </w:p>
            </w:sdtContent>
          </w:sdt>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709"/>
        </w:trPr>
        <w:tc>
          <w:tcPr>
            <w:tcW w:w="1418" w:type="dxa"/>
            <w:vAlign w:val="center"/>
          </w:tcPr>
          <w:sdt>
            <w:sdtPr>
              <w:rPr>
                <w:rFonts w:asciiTheme="minorEastAsia" w:eastAsiaTheme="minorEastAsia" w:hAnsiTheme="minorEastAsia"/>
                <w:sz w:val="18"/>
                <w:szCs w:val="18"/>
              </w:rPr>
              <w:tag w:val="_PLD_01b44dab85214948b610b65ce91a85dd"/>
              <w:id w:val="1647937831"/>
            </w:sdtPr>
            <w:sdtContent>
              <w:p>
                <w:pPr>
                  <w:rPr>
                    <w:rFonts w:asciiTheme="minorEastAsia" w:eastAsiaTheme="minorEastAsia" w:hAnsiTheme="minorEastAsia"/>
                    <w:sz w:val="18"/>
                    <w:szCs w:val="18"/>
                  </w:rPr>
                </w:pPr>
                <w:r>
                  <w:rPr>
                    <w:rFonts w:asciiTheme="minorEastAsia" w:eastAsiaTheme="minorEastAsia" w:hAnsiTheme="minorEastAsia"/>
                    <w:sz w:val="18"/>
                    <w:szCs w:val="18"/>
                  </w:rPr>
                  <w:t>5．其他综合收益结转留存收益</w:t>
                </w:r>
              </w:p>
            </w:sdtContent>
          </w:sdt>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24"/>
        </w:trPr>
        <w:sdt>
          <w:sdtPr>
            <w:rPr>
              <w:rFonts w:asciiTheme="minorEastAsia" w:eastAsiaTheme="minorEastAsia" w:hAnsiTheme="minorEastAsia"/>
              <w:sz w:val="18"/>
              <w:szCs w:val="18"/>
            </w:rPr>
            <w:tag w:val="_PLD_3ac599075bf24593ba41b1bec2fb0e9e"/>
            <w:id w:val="-398510865"/>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6．其他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472"/>
        </w:trPr>
        <w:sdt>
          <w:sdtPr>
            <w:rPr>
              <w:rFonts w:asciiTheme="minorEastAsia" w:eastAsiaTheme="minorEastAsia" w:hAnsiTheme="minorEastAsia"/>
              <w:sz w:val="18"/>
              <w:szCs w:val="18"/>
            </w:rPr>
            <w:tag w:val="_PLD_e606d8680d944e6999b3743f1fcf75f9"/>
            <w:id w:val="-42139725"/>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（五）专项储备</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-28,744</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-28,744</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79,750</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51,006</w:t>
            </w:r>
          </w:p>
        </w:tc>
      </w:tr>
      <w:tr>
        <w:trPr>
          <w:trHeight w:val="472"/>
        </w:trPr>
        <w:sdt>
          <w:sdtPr>
            <w:rPr>
              <w:rFonts w:asciiTheme="minorEastAsia" w:eastAsiaTheme="minorEastAsia" w:hAnsiTheme="minorEastAsia"/>
              <w:sz w:val="18"/>
              <w:szCs w:val="18"/>
            </w:rPr>
            <w:tag w:val="_PLD_c1e7a107b4eb42c48000b98a786d499c"/>
            <w:id w:val="-362755830"/>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1．本期提取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4,454,174</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4,454,174</w:t>
            </w:r>
          </w:p>
        </w:tc>
        <w:tc>
          <w:tcPr>
            <w:tcW w:w="1276" w:type="dxa"/>
            <w:vAlign w:val="center"/>
          </w:tcPr>
          <w:p>
            <w:pPr>
              <w:jc w:val="right"/>
              <w:rPr>
                <w:rFonts w:ascii="宋体" w:hAnsi="宋体"/>
                <w:sz w:val="18"/>
                <w:szCs w:val="18"/>
              </w:rPr>
            </w:pPr>
            <w:r>
              <w:rPr>
                <w:rFonts w:ascii="宋体" w:hAnsi="宋体" w:hint="eastAsia"/>
                <w:sz w:val="18"/>
                <w:szCs w:val="18"/>
              </w:rPr>
              <w:t>2,813,719</w:t>
            </w:r>
          </w:p>
        </w:tc>
        <w:tc>
          <w:tcPr>
            <w:tcW w:w="1417" w:type="dxa"/>
            <w:vAlign w:val="center"/>
          </w:tcPr>
          <w:p>
            <w:pPr>
              <w:jc w:val="right"/>
              <w:rPr>
                <w:rFonts w:ascii="宋体" w:hAnsi="宋体"/>
                <w:sz w:val="18"/>
                <w:szCs w:val="18"/>
              </w:rPr>
            </w:pPr>
            <w:r>
              <w:rPr>
                <w:rFonts w:ascii="宋体" w:hAnsi="宋体" w:hint="eastAsia"/>
                <w:sz w:val="18"/>
                <w:szCs w:val="18"/>
              </w:rPr>
              <w:t>7,267,893</w:t>
            </w:r>
          </w:p>
        </w:tc>
      </w:tr>
      <w:tr>
        <w:trPr>
          <w:trHeight w:val="461"/>
        </w:trPr>
        <w:sdt>
          <w:sdtPr>
            <w:rPr>
              <w:rFonts w:asciiTheme="minorEastAsia" w:eastAsiaTheme="minorEastAsia" w:hAnsiTheme="minorEastAsia"/>
              <w:sz w:val="18"/>
              <w:szCs w:val="18"/>
            </w:rPr>
            <w:tag w:val="_PLD_69b59bbd4f7a49708a1fc0c2a96e3869"/>
            <w:id w:val="-249270574"/>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2．本期使用</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-4,482,918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-4,482,918</w:t>
            </w:r>
          </w:p>
        </w:tc>
        <w:tc>
          <w:tcPr>
            <w:tcW w:w="1276" w:type="dxa"/>
            <w:vAlign w:val="center"/>
          </w:tcPr>
          <w:p>
            <w:pPr>
              <w:jc w:val="right"/>
              <w:rPr>
                <w:rFonts w:ascii="宋体" w:hAnsi="宋体"/>
                <w:sz w:val="18"/>
                <w:szCs w:val="18"/>
              </w:rPr>
            </w:pPr>
            <w:r>
              <w:rPr>
                <w:rFonts w:ascii="宋体" w:hAnsi="宋体" w:hint="eastAsia"/>
                <w:sz w:val="18"/>
                <w:szCs w:val="18"/>
              </w:rPr>
              <w:t>-2,733,969</w:t>
            </w:r>
          </w:p>
        </w:tc>
        <w:tc>
          <w:tcPr>
            <w:tcW w:w="1417" w:type="dxa"/>
            <w:vAlign w:val="center"/>
          </w:tcPr>
          <w:p>
            <w:pPr>
              <w:jc w:val="right"/>
              <w:rPr>
                <w:rFonts w:ascii="宋体" w:hAnsi="宋体"/>
                <w:sz w:val="18"/>
                <w:szCs w:val="18"/>
              </w:rPr>
            </w:pPr>
            <w:r>
              <w:rPr>
                <w:rFonts w:ascii="宋体" w:hAnsi="宋体" w:hint="eastAsia"/>
                <w:sz w:val="18"/>
                <w:szCs w:val="18"/>
              </w:rPr>
              <w:t>-7,216,887</w:t>
            </w:r>
          </w:p>
        </w:tc>
      </w:tr>
      <w:tr>
        <w:trPr>
          <w:trHeight w:val="472"/>
        </w:trPr>
        <w:sdt>
          <w:sdtPr>
            <w:rPr>
              <w:rFonts w:asciiTheme="minorEastAsia" w:eastAsiaTheme="minorEastAsia" w:hAnsiTheme="minorEastAsia"/>
              <w:sz w:val="18"/>
              <w:szCs w:val="18"/>
            </w:rPr>
            <w:tag w:val="_PLD_8e6f5912872d41cc910f3bdca18b82d0"/>
            <w:id w:val="-645821048"/>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（六）其他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18,012,274</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-7,206</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18,005,068</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262,694</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18,267,762</w:t>
            </w:r>
          </w:p>
        </w:tc>
      </w:tr>
      <w:tr>
        <w:trPr>
          <w:trHeight w:val="472"/>
        </w:trPr>
        <w:sdt>
          <w:sdtPr>
            <w:rPr>
              <w:rFonts w:asciiTheme="minorEastAsia" w:eastAsiaTheme="minorEastAsia" w:hAnsiTheme="minorEastAsia"/>
              <w:sz w:val="18"/>
              <w:szCs w:val="18"/>
            </w:rPr>
            <w:tag w:val="_PLD_f6ec7abefe954758b48497b1b1440546"/>
            <w:id w:val="-270856776"/>
          </w:sdtPr>
          <w:sdtContent>
            <w:tc>
              <w:tcPr>
                <w:tcW w:w="1418"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四、本期期末余额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10,037,481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28,766,651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16,360,481</w:t>
            </w:r>
          </w:p>
        </w:tc>
        <w:tc>
          <w:tcPr>
            <w:tcW w:w="851"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53,424</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-6,749,746</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3,265,226</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554,453</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48,299,170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100,480,292</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70,616,541</w:t>
            </w:r>
          </w:p>
        </w:tc>
        <w:tc>
          <w:tcPr>
            <w:tcW w:w="141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171,096,833</w:t>
            </w:r>
          </w:p>
        </w:tc>
      </w:tr>
    </w:tbl>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rPr>
          <w:rFonts w:asciiTheme="minorEastAsia" w:eastAsiaTheme="minorEastAsia" w:hAnsiTheme="minorEastAsia"/>
          <w:sz w:val="18"/>
          <w:szCs w:val="18"/>
        </w:rPr>
      </w:pPr>
    </w:p>
    <w:p>
      <w:pPr>
        <w:jc w:val="right"/>
        <w:rPr>
          <w:rFonts w:asciiTheme="minorEastAsia" w:eastAsiaTheme="minorEastAsia" w:hAnsiTheme="minorEastAsia"/>
          <w:sz w:val="18"/>
          <w:szCs w:val="18"/>
        </w:rPr>
      </w:pPr>
    </w:p>
    <w:tbl>
      <w:tblPr>
        <w:tblStyle w:val="Style100"/>
        <w:tblW w:w="16444"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134"/>
        <w:gridCol w:w="425"/>
        <w:gridCol w:w="1134"/>
        <w:gridCol w:w="425"/>
        <w:gridCol w:w="1134"/>
        <w:gridCol w:w="993"/>
        <w:gridCol w:w="1134"/>
        <w:gridCol w:w="1134"/>
        <w:gridCol w:w="1134"/>
        <w:gridCol w:w="425"/>
        <w:gridCol w:w="1276"/>
        <w:gridCol w:w="425"/>
        <w:gridCol w:w="1276"/>
        <w:gridCol w:w="1275"/>
        <w:gridCol w:w="1418"/>
      </w:tblGrid>
      <w:tr>
        <w:trPr>
          <w:cantSplit/>
          <w:trHeight w:val="317"/>
        </w:trPr>
        <w:tc>
          <w:tcPr>
            <w:tcW w:w="1702" w:type="dxa"/>
            <w:vMerge w:val="restart"/>
            <w:vAlign w:val="center"/>
          </w:tcPr>
          <w:sdt>
            <w:sdtPr>
              <w:rPr>
                <w:rFonts w:asciiTheme="minorEastAsia" w:eastAsiaTheme="minorEastAsia" w:hAnsiTheme="minorEastAsia"/>
                <w:sz w:val="18"/>
                <w:szCs w:val="18"/>
              </w:rPr>
              <w:tag w:val="_PLD_229212c664af43faa41821d5eec551b8"/>
              <w:id w:val="-1589681987"/>
            </w:sdtPr>
            <w:sdtContent>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项目</w:t>
                </w:r>
              </w:p>
            </w:sdtContent>
          </w:sdt>
        </w:tc>
        <w:tc>
          <w:tcPr>
            <w:tcW w:w="14742" w:type="dxa"/>
            <w:gridSpan w:val="15"/>
            <w:vAlign w:val="center"/>
          </w:tcPr>
          <w:p>
            <w:pPr>
              <w:snapToGrid w:val="0"/>
              <w:spacing w:line="240" w:lineRule="atLeast"/>
              <w:ind w:rightChars="-759" w:right="-1594"/>
              <w:jc w:val="center"/>
              <w:rPr>
                <w:rFonts w:asciiTheme="minorEastAsia" w:eastAsiaTheme="minorEastAsia" w:hAnsiTheme="minorEastAsia"/>
                <w:sz w:val="18"/>
                <w:szCs w:val="18"/>
              </w:rPr>
            </w:pPr>
            <w:sdt>
              <w:sdtPr>
                <w:rPr>
                  <w:rFonts w:asciiTheme="minorEastAsia" w:eastAsiaTheme="minorEastAsia" w:hAnsiTheme="minorEastAsia"/>
                  <w:sz w:val="18"/>
                  <w:szCs w:val="18"/>
                </w:rPr>
                <w:tag w:val="_PLD_5c8dcea3749f4f92b2d283c717162a73"/>
                <w:id w:val="-1834597532"/>
              </w:sdtPr>
              <w:sdtContent>
                <w:r>
                  <w:rPr>
                    <w:rFonts w:asciiTheme="minorEastAsia" w:eastAsiaTheme="minorEastAsia" w:hAnsiTheme="minorEastAsia" w:hint="eastAsia"/>
                    <w:sz w:val="18"/>
                    <w:szCs w:val="18"/>
                  </w:rPr>
                  <w:t>2024年度</w:t>
                </w:r>
              </w:sdtContent>
            </w:sdt>
          </w:p>
        </w:tc>
      </w:tr>
      <w:tr>
        <w:trPr>
          <w:cantSplit/>
          <w:trHeight w:val="639"/>
        </w:trPr>
        <w:tc>
          <w:tcPr>
            <w:tcW w:w="1702" w:type="dxa"/>
            <w:vMerge/>
            <w:vAlign w:val="center"/>
          </w:tcPr>
          <w:p>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725a8cacf9d4d1abedbfeae17c394e0"/>
            <w:id w:val="-1793664456"/>
          </w:sdtPr>
          <w:sdtContent>
            <w:tc>
              <w:tcPr>
                <w:tcW w:w="12049" w:type="dxa"/>
                <w:gridSpan w:val="13"/>
                <w:vAlign w:val="center"/>
              </w:tcPr>
              <w:p>
                <w:pPr>
                  <w:jc w:val="center"/>
                  <w:rPr>
                    <w:rFonts w:asciiTheme="minorEastAsia" w:eastAsiaTheme="minorEastAsia" w:hAnsiTheme="minorEastAsia"/>
                    <w:sz w:val="18"/>
                    <w:szCs w:val="18"/>
                  </w:rPr>
                </w:pPr>
                <w:r>
                  <w:rPr>
                    <w:rFonts w:asciiTheme="minorEastAsia" w:eastAsiaTheme="minorEastAsia" w:hAnsiTheme="minorEastAsia"/>
                    <w:sz w:val="18"/>
                    <w:szCs w:val="18"/>
                  </w:rPr>
                  <w:t>归属于母公司所有者权益</w:t>
                </w:r>
              </w:p>
            </w:tc>
          </w:sdtContent>
        </w:sdt>
        <w:sdt>
          <w:sdtPr>
            <w:rPr>
              <w:rFonts w:asciiTheme="minorEastAsia" w:eastAsiaTheme="minorEastAsia" w:hAnsiTheme="minorEastAsia"/>
              <w:sz w:val="18"/>
              <w:szCs w:val="18"/>
            </w:rPr>
            <w:tag w:val="_PLD_fe6c49384f0941088b29ad945caeb72b"/>
            <w:id w:val="20292912"/>
          </w:sdtPr>
          <w:sdtContent>
            <w:tc>
              <w:tcPr>
                <w:tcW w:w="1275" w:type="dxa"/>
                <w:vMerge w:val="restart"/>
                <w:vAlign w:val="center"/>
              </w:tcPr>
              <w:p>
                <w:pPr>
                  <w:jc w:val="center"/>
                  <w:rPr>
                    <w:rFonts w:asciiTheme="minorEastAsia" w:eastAsiaTheme="minorEastAsia" w:hAnsiTheme="minorEastAsia"/>
                    <w:sz w:val="18"/>
                    <w:szCs w:val="18"/>
                  </w:rPr>
                </w:pPr>
                <w:r>
                  <w:rPr>
                    <w:rFonts w:asciiTheme="minorEastAsia" w:eastAsiaTheme="minorEastAsia" w:hAnsiTheme="minorEastAsia"/>
                    <w:sz w:val="18"/>
                    <w:szCs w:val="18"/>
                  </w:rPr>
                  <w:t>少数股东权益</w:t>
                </w:r>
              </w:p>
            </w:tc>
          </w:sdtContent>
        </w:sdt>
        <w:sdt>
          <w:sdtPr>
            <w:rPr>
              <w:rFonts w:asciiTheme="minorEastAsia" w:eastAsiaTheme="minorEastAsia" w:hAnsiTheme="minorEastAsia"/>
              <w:sz w:val="18"/>
              <w:szCs w:val="18"/>
            </w:rPr>
            <w:tag w:val="_PLD_bbe71d4307504d648ce52638ee90ccd4"/>
            <w:id w:val="-2017688355"/>
          </w:sdtPr>
          <w:sdtContent>
            <w:tc>
              <w:tcPr>
                <w:tcW w:w="1418" w:type="dxa"/>
                <w:vMerge w:val="restart"/>
                <w:vAlign w:val="center"/>
              </w:tcPr>
              <w:p>
                <w:pPr>
                  <w:jc w:val="center"/>
                  <w:rPr>
                    <w:rFonts w:asciiTheme="minorEastAsia" w:eastAsiaTheme="minorEastAsia" w:hAnsiTheme="minorEastAsia"/>
                    <w:sz w:val="18"/>
                    <w:szCs w:val="18"/>
                  </w:rPr>
                </w:pPr>
                <w:r>
                  <w:rPr>
                    <w:rFonts w:asciiTheme="minorEastAsia" w:eastAsiaTheme="minorEastAsia" w:hAnsiTheme="minorEastAsia"/>
                    <w:sz w:val="18"/>
                    <w:szCs w:val="18"/>
                  </w:rPr>
                  <w:t>所有者权益合计</w:t>
                </w:r>
              </w:p>
            </w:tc>
          </w:sdtContent>
        </w:sdt>
      </w:tr>
      <w:tr>
        <w:trPr>
          <w:cantSplit/>
          <w:trHeight w:val="519"/>
        </w:trPr>
        <w:tc>
          <w:tcPr>
            <w:tcW w:w="1702" w:type="dxa"/>
            <w:vMerge/>
            <w:vAlign w:val="center"/>
          </w:tcPr>
          <w:p>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41585ba85eb48fa931876151974e425"/>
            <w:id w:val="1558206934"/>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sz w:val="18"/>
                    <w:szCs w:val="18"/>
                  </w:rPr>
                  <w:t>实收资本(或股本)</w:t>
                </w:r>
              </w:p>
            </w:tc>
          </w:sdtContent>
        </w:sdt>
        <w:sdt>
          <w:sdtPr>
            <w:rPr>
              <w:rFonts w:asciiTheme="minorEastAsia" w:eastAsiaTheme="minorEastAsia" w:hAnsiTheme="minorEastAsia"/>
              <w:sz w:val="18"/>
              <w:szCs w:val="18"/>
            </w:rPr>
            <w:tag w:val="_PLD_4097b1c4c4f449ef94e9dedb67cf7c3a"/>
            <w:id w:val="-1242405850"/>
          </w:sdtPr>
          <w:sdtContent>
            <w:tc>
              <w:tcPr>
                <w:tcW w:w="1984" w:type="dxa"/>
                <w:gridSpan w:val="3"/>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f8441471f9a041ac884142e2c9e87055"/>
            <w:id w:val="1409967667"/>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资本公积</w:t>
                </w:r>
              </w:p>
            </w:tc>
          </w:sdtContent>
        </w:sdt>
        <w:sdt>
          <w:sdtPr>
            <w:rPr>
              <w:rFonts w:asciiTheme="minorEastAsia" w:eastAsiaTheme="minorEastAsia" w:hAnsiTheme="minorEastAsia"/>
              <w:sz w:val="18"/>
              <w:szCs w:val="18"/>
            </w:rPr>
            <w:tag w:val="_PLD_f972a7ccc15d4f409243ecc02ea77629"/>
            <w:id w:val="268283358"/>
          </w:sdtPr>
          <w:sdtContent>
            <w:tc>
              <w:tcPr>
                <w:tcW w:w="993"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减：库存股</w:t>
                </w:r>
              </w:p>
            </w:tc>
          </w:sdtContent>
        </w:sdt>
        <w:sdt>
          <w:sdtPr>
            <w:rPr>
              <w:rFonts w:asciiTheme="minorEastAsia" w:eastAsiaTheme="minorEastAsia" w:hAnsiTheme="minorEastAsia"/>
              <w:sz w:val="18"/>
              <w:szCs w:val="18"/>
            </w:rPr>
            <w:tag w:val="_PLD_32394603dc124fdb904af0ad8606aa79"/>
            <w:id w:val="-1996250517"/>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af29ec23e072452c89c8447237a4831e"/>
            <w:id w:val="1017422261"/>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81a68447a616402b99500dae3d54a22d"/>
            <w:id w:val="-35815773"/>
          </w:sdtPr>
          <w:sdtContent>
            <w:tc>
              <w:tcPr>
                <w:tcW w:w="1134"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盈余公积</w:t>
                </w:r>
              </w:p>
            </w:tc>
          </w:sdtContent>
        </w:sdt>
        <w:sdt>
          <w:sdtPr>
            <w:rPr>
              <w:rFonts w:asciiTheme="minorEastAsia" w:eastAsiaTheme="minorEastAsia" w:hAnsiTheme="minorEastAsia"/>
              <w:sz w:val="18"/>
              <w:szCs w:val="18"/>
            </w:rPr>
            <w:tag w:val="_PLD_ad0dadbaf28f45779fefb69d05b7215d"/>
            <w:id w:val="-1831979684"/>
          </w:sdtPr>
          <w:sdtContent>
            <w:tc>
              <w:tcPr>
                <w:tcW w:w="425"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一般风险准备</w:t>
                </w:r>
              </w:p>
            </w:tc>
          </w:sdtContent>
        </w:sdt>
        <w:sdt>
          <w:sdtPr>
            <w:rPr>
              <w:rFonts w:asciiTheme="minorEastAsia" w:eastAsiaTheme="minorEastAsia" w:hAnsiTheme="minorEastAsia"/>
              <w:sz w:val="18"/>
              <w:szCs w:val="18"/>
            </w:rPr>
            <w:tag w:val="_PLD_a51f5c6bdac744979b275b09b6a9d1d8"/>
            <w:id w:val="1353297428"/>
          </w:sdtPr>
          <w:sdtContent>
            <w:tc>
              <w:tcPr>
                <w:tcW w:w="1276" w:type="dxa"/>
                <w:vMerge w:val="restart"/>
                <w:vAlign w:val="center"/>
              </w:tcPr>
              <w:p>
                <w:pPr>
                  <w:snapToGrid w:val="0"/>
                  <w:spacing w:line="240" w:lineRule="atLeast"/>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未分配利润</w:t>
                </w:r>
              </w:p>
            </w:tc>
          </w:sdtContent>
        </w:sdt>
        <w:tc>
          <w:tcPr>
            <w:tcW w:w="425" w:type="dxa"/>
            <w:vMerge w:val="restart"/>
            <w:vAlign w:val="center"/>
          </w:tcPr>
          <w:sdt>
            <w:sdtPr>
              <w:rPr>
                <w:rFonts w:asciiTheme="minorEastAsia" w:eastAsiaTheme="minorEastAsia" w:hAnsiTheme="minorEastAsia"/>
                <w:sz w:val="18"/>
                <w:szCs w:val="18"/>
              </w:rPr>
              <w:tag w:val="_PLD_ae449a7a80f64d56b34968f1f21d2198"/>
              <w:id w:val="-2034792142"/>
            </w:sdtPr>
            <w:sdtContent>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sdtContent>
          </w:sdt>
        </w:tc>
        <w:tc>
          <w:tcPr>
            <w:tcW w:w="1276" w:type="dxa"/>
            <w:vMerge w:val="restart"/>
            <w:vAlign w:val="center"/>
          </w:tcPr>
          <w:sdt>
            <w:sdtPr>
              <w:rPr>
                <w:rFonts w:asciiTheme="minorEastAsia" w:eastAsiaTheme="minorEastAsia" w:hAnsiTheme="minorEastAsia"/>
                <w:sz w:val="18"/>
                <w:szCs w:val="18"/>
              </w:rPr>
              <w:tag w:val="_PLD_f2691f33b2164ad8b83415f8cd404dea"/>
              <w:id w:val="-1626307995"/>
            </w:sdtPr>
            <w:sdtContent>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小计</w:t>
                </w:r>
              </w:p>
            </w:sdtContent>
          </w:sdt>
        </w:tc>
        <w:tc>
          <w:tcPr>
            <w:tcW w:w="1275" w:type="dxa"/>
            <w:vMerge/>
            <w:vAlign w:val="center"/>
          </w:tcPr>
          <w:p>
            <w:pPr>
              <w:jc w:val="center"/>
              <w:rPr>
                <w:rFonts w:asciiTheme="minorEastAsia" w:eastAsiaTheme="minorEastAsia" w:hAnsiTheme="minorEastAsia"/>
                <w:sz w:val="18"/>
                <w:szCs w:val="18"/>
              </w:rPr>
            </w:pPr>
          </w:p>
        </w:tc>
        <w:tc>
          <w:tcPr>
            <w:tcW w:w="1418" w:type="dxa"/>
            <w:vMerge/>
            <w:vAlign w:val="center"/>
          </w:tcPr>
          <w:p>
            <w:pPr>
              <w:jc w:val="center"/>
              <w:rPr>
                <w:rFonts w:asciiTheme="minorEastAsia" w:eastAsiaTheme="minorEastAsia" w:hAnsiTheme="minorEastAsia"/>
                <w:sz w:val="18"/>
                <w:szCs w:val="18"/>
              </w:rPr>
            </w:pPr>
          </w:p>
        </w:tc>
      </w:tr>
      <w:tr>
        <w:trPr>
          <w:cantSplit/>
          <w:trHeight w:val="411"/>
        </w:trPr>
        <w:tc>
          <w:tcPr>
            <w:tcW w:w="1702" w:type="dxa"/>
            <w:vMerge/>
            <w:vAlign w:val="center"/>
          </w:tcPr>
          <w:p>
            <w:pPr>
              <w:snapToGrid w:val="0"/>
              <w:spacing w:line="240" w:lineRule="atLeast"/>
              <w:ind w:rightChars="-759" w:right="-1594"/>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8e4e3f938444f399262729a0267aa59"/>
            <w:id w:val="-932118322"/>
          </w:sdtPr>
          <w:sdtContent>
            <w:tc>
              <w:tcPr>
                <w:tcW w:w="425" w:type="dxa"/>
                <w:vAlign w:val="center"/>
              </w:tcPr>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70f3796cf4ab4ecbb92343a346942a09"/>
            <w:id w:val="404190093"/>
          </w:sdtPr>
          <w:sdtContent>
            <w:tc>
              <w:tcPr>
                <w:tcW w:w="1134" w:type="dxa"/>
                <w:vAlign w:val="center"/>
              </w:tcPr>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a3d4853d11ed4217a1c5e27cfc45c1c9"/>
            <w:id w:val="1144859077"/>
          </w:sdtPr>
          <w:sdtContent>
            <w:tc>
              <w:tcPr>
                <w:tcW w:w="425" w:type="dxa"/>
                <w:vAlign w:val="center"/>
              </w:tcPr>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Content>
        </w:sdt>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993" w:type="dxa"/>
            <w:vMerge/>
            <w:vAlign w:val="center"/>
          </w:tcPr>
          <w:p>
            <w:pPr>
              <w:snapToGrid w:val="0"/>
              <w:spacing w:line="240" w:lineRule="atLeast"/>
              <w:jc w:val="center"/>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1134" w:type="dxa"/>
            <w:vMerge/>
            <w:vAlign w:val="center"/>
          </w:tcPr>
          <w:p>
            <w:pPr>
              <w:snapToGrid w:val="0"/>
              <w:spacing w:line="240" w:lineRule="atLeast"/>
              <w:jc w:val="center"/>
              <w:rPr>
                <w:rFonts w:asciiTheme="minorEastAsia" w:eastAsiaTheme="minorEastAsia" w:hAnsiTheme="minorEastAsia"/>
                <w:sz w:val="18"/>
                <w:szCs w:val="18"/>
              </w:rPr>
            </w:pPr>
          </w:p>
        </w:tc>
        <w:tc>
          <w:tcPr>
            <w:tcW w:w="425" w:type="dxa"/>
            <w:vMerge/>
            <w:vAlign w:val="center"/>
          </w:tcPr>
          <w:p>
            <w:pPr>
              <w:snapToGrid w:val="0"/>
              <w:spacing w:line="240" w:lineRule="atLeast"/>
              <w:jc w:val="center"/>
              <w:rPr>
                <w:rFonts w:asciiTheme="minorEastAsia" w:eastAsiaTheme="minorEastAsia" w:hAnsiTheme="minorEastAsia"/>
                <w:sz w:val="18"/>
                <w:szCs w:val="18"/>
              </w:rPr>
            </w:pPr>
          </w:p>
        </w:tc>
        <w:tc>
          <w:tcPr>
            <w:tcW w:w="1276" w:type="dxa"/>
            <w:vMerge/>
            <w:vAlign w:val="center"/>
          </w:tcPr>
          <w:p>
            <w:pPr>
              <w:snapToGrid w:val="0"/>
              <w:spacing w:line="240" w:lineRule="atLeast"/>
              <w:jc w:val="center"/>
              <w:rPr>
                <w:rFonts w:asciiTheme="minorEastAsia" w:eastAsiaTheme="minorEastAsia" w:hAnsiTheme="minorEastAsia"/>
                <w:sz w:val="18"/>
                <w:szCs w:val="18"/>
              </w:rPr>
            </w:pPr>
          </w:p>
        </w:tc>
        <w:tc>
          <w:tcPr>
            <w:tcW w:w="425" w:type="dxa"/>
            <w:vMerge/>
            <w:vAlign w:val="center"/>
          </w:tcPr>
          <w:p>
            <w:pPr>
              <w:jc w:val="center"/>
              <w:rPr>
                <w:rFonts w:asciiTheme="minorEastAsia" w:eastAsiaTheme="minorEastAsia" w:hAnsiTheme="minorEastAsia"/>
                <w:sz w:val="18"/>
                <w:szCs w:val="18"/>
              </w:rPr>
            </w:pPr>
          </w:p>
        </w:tc>
        <w:tc>
          <w:tcPr>
            <w:tcW w:w="1276" w:type="dxa"/>
            <w:vMerge/>
            <w:vAlign w:val="center"/>
          </w:tcPr>
          <w:p>
            <w:pPr>
              <w:jc w:val="center"/>
              <w:rPr>
                <w:rFonts w:asciiTheme="minorEastAsia" w:eastAsiaTheme="minorEastAsia" w:hAnsiTheme="minorEastAsia"/>
                <w:sz w:val="18"/>
                <w:szCs w:val="18"/>
              </w:rPr>
            </w:pPr>
          </w:p>
        </w:tc>
        <w:tc>
          <w:tcPr>
            <w:tcW w:w="1275" w:type="dxa"/>
            <w:vMerge/>
            <w:vAlign w:val="center"/>
          </w:tcPr>
          <w:p>
            <w:pPr>
              <w:jc w:val="center"/>
              <w:rPr>
                <w:rFonts w:asciiTheme="minorEastAsia" w:eastAsiaTheme="minorEastAsia" w:hAnsiTheme="minorEastAsia"/>
                <w:sz w:val="18"/>
                <w:szCs w:val="18"/>
              </w:rPr>
            </w:pPr>
          </w:p>
        </w:tc>
        <w:tc>
          <w:tcPr>
            <w:tcW w:w="1418" w:type="dxa"/>
            <w:vMerge/>
            <w:tcBorders>
              <w:bottom w:val="nil"/>
            </w:tcBorders>
            <w:vAlign w:val="center"/>
          </w:tcPr>
          <w:p>
            <w:pPr>
              <w:jc w:val="center"/>
              <w:rPr>
                <w:rFonts w:asciiTheme="minorEastAsia" w:eastAsiaTheme="minorEastAsia" w:hAnsiTheme="minorEastAsia"/>
                <w:sz w:val="18"/>
                <w:szCs w:val="18"/>
              </w:rPr>
            </w:pPr>
          </w:p>
        </w:tc>
      </w:tr>
      <w:tr>
        <w:trPr>
          <w:trHeight w:val="181"/>
        </w:trPr>
        <w:sdt>
          <w:sdtPr>
            <w:rPr>
              <w:rFonts w:asciiTheme="minorEastAsia" w:eastAsiaTheme="minorEastAsia" w:hAnsiTheme="minorEastAsia"/>
              <w:sz w:val="18"/>
              <w:szCs w:val="18"/>
            </w:rPr>
            <w:tag w:val="_PLD_24c39056f5874862855dc37ef7f0d558"/>
            <w:id w:val="-1111271054"/>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一、上年</w:t>
                </w:r>
                <w:r>
                  <w:rPr>
                    <w:rFonts w:asciiTheme="minorEastAsia" w:eastAsiaTheme="minorEastAsia" w:hAnsiTheme="minorEastAsia" w:hint="eastAsia"/>
                    <w:sz w:val="18"/>
                    <w:szCs w:val="18"/>
                  </w:rPr>
                  <w:t>年</w:t>
                </w:r>
                <w:r>
                  <w:rPr>
                    <w:rFonts w:asciiTheme="minorEastAsia" w:eastAsiaTheme="minorEastAsia" w:hAnsiTheme="minorEastAsia"/>
                    <w:sz w:val="18"/>
                    <w:szCs w:val="18"/>
                  </w:rPr>
                  <w:t>末余额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7,439,371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16,541,777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-32,882</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324,980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-6,334,716</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3,586,506</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1,663,815</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50,289,076</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72,827,967</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45,654,643</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118,482,610</w:t>
            </w:r>
          </w:p>
        </w:tc>
      </w:tr>
      <w:tr>
        <w:trPr>
          <w:trHeight w:val="196"/>
        </w:trPr>
        <w:sdt>
          <w:sdtPr>
            <w:rPr>
              <w:rFonts w:asciiTheme="minorEastAsia" w:eastAsiaTheme="minorEastAsia" w:hAnsiTheme="minorEastAsia"/>
              <w:sz w:val="18"/>
              <w:szCs w:val="18"/>
            </w:rPr>
            <w:tag w:val="_PLD_5feb351bb250466a8fad5b20d2922c70"/>
            <w:id w:val="-1238015119"/>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加：</w:t>
                </w:r>
                <w:r>
                  <w:rPr>
                    <w:rFonts w:asciiTheme="minorEastAsia" w:eastAsiaTheme="minorEastAsia" w:hAnsiTheme="minorEastAsia"/>
                    <w:sz w:val="18"/>
                    <w:szCs w:val="18"/>
                  </w:rPr>
                  <w:t>会计政策变更</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sdt>
          <w:sdtPr>
            <w:rPr>
              <w:rFonts w:asciiTheme="minorEastAsia" w:eastAsiaTheme="minorEastAsia" w:hAnsiTheme="minorEastAsia"/>
              <w:sz w:val="18"/>
              <w:szCs w:val="18"/>
            </w:rPr>
            <w:tag w:val="_PLD_b3480764b7144ae885e5b5b29f4f4705"/>
            <w:id w:val="742690389"/>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前期差错更正</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81"/>
        </w:trPr>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同一控制下企业合并</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3,606,839</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10,738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141,043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1,025,734</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4,784,354</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8,179,157</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12,963,511</w:t>
            </w:r>
          </w:p>
        </w:tc>
      </w:tr>
      <w:tr>
        <w:trPr>
          <w:trHeight w:val="196"/>
        </w:trPr>
        <w:sdt>
          <w:sdtPr>
            <w:rPr>
              <w:rFonts w:asciiTheme="minorEastAsia" w:eastAsiaTheme="minorEastAsia" w:hAnsiTheme="minorEastAsia"/>
              <w:sz w:val="18"/>
              <w:szCs w:val="18"/>
            </w:rPr>
            <w:tag w:val="_PLD_3226061f12cf4cf887adc2639edc13d6"/>
            <w:id w:val="-1329670751"/>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sdt>
          <w:sdtPr>
            <w:rPr>
              <w:rFonts w:asciiTheme="minorEastAsia" w:eastAsiaTheme="minorEastAsia" w:hAnsiTheme="minorEastAsia"/>
              <w:sz w:val="18"/>
              <w:szCs w:val="18"/>
            </w:rPr>
            <w:tag w:val="_PLD_6438083d485a4ed1a2cb2a35b3d400f3"/>
            <w:id w:val="-656767477"/>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二、本年</w:t>
                </w:r>
                <w:r>
                  <w:rPr>
                    <w:rFonts w:asciiTheme="minorEastAsia" w:eastAsiaTheme="minorEastAsia" w:hAnsiTheme="minorEastAsia" w:hint="eastAsia"/>
                    <w:sz w:val="18"/>
                    <w:szCs w:val="18"/>
                  </w:rPr>
                  <w:t>期</w:t>
                </w:r>
                <w:r>
                  <w:rPr>
                    <w:rFonts w:asciiTheme="minorEastAsia" w:eastAsiaTheme="minorEastAsia" w:hAnsiTheme="minorEastAsia"/>
                    <w:sz w:val="18"/>
                    <w:szCs w:val="18"/>
                  </w:rPr>
                  <w:t>初余额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7,439,371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16,541,777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3,573,957</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324,980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-6,323,978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3,727,549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1,663,815</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51,314,810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77,612,321</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53,833,800</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131,446,121</w:t>
            </w:r>
          </w:p>
        </w:tc>
      </w:tr>
      <w:tr>
        <w:trPr>
          <w:trHeight w:val="378"/>
        </w:trPr>
        <w:sdt>
          <w:sdtPr>
            <w:rPr>
              <w:rFonts w:asciiTheme="minorEastAsia" w:eastAsiaTheme="minorEastAsia" w:hAnsiTheme="minorEastAsia"/>
              <w:sz w:val="18"/>
              <w:szCs w:val="18"/>
            </w:rPr>
            <w:tag w:val="_PLD_a0d70a8ecfa64251bc0240cb363e3dd7"/>
            <w:id w:val="-1422713222"/>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三、本</w:t>
                </w:r>
                <w:r>
                  <w:rPr>
                    <w:rFonts w:asciiTheme="minorEastAsia" w:eastAsiaTheme="minorEastAsia" w:hAnsiTheme="minorEastAsia" w:hint="eastAsia"/>
                    <w:sz w:val="18"/>
                    <w:szCs w:val="18"/>
                  </w:rPr>
                  <w:t>期</w:t>
                </w:r>
                <w:r>
                  <w:rPr>
                    <w:rFonts w:asciiTheme="minorEastAsia" w:eastAsiaTheme="minorEastAsia" w:hAnsiTheme="minorEastAsia"/>
                    <w:sz w:val="18"/>
                    <w:szCs w:val="18"/>
                  </w:rPr>
                  <w:t>增减变动金额（减少以“－”号填列）</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2,600,489</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6,725,444</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4,165,496</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-212,563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-1,591,669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-433,579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-2,596,433</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10,259,888</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7,914,843</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18,174,731</w:t>
            </w:r>
          </w:p>
        </w:tc>
      </w:tr>
      <w:tr>
        <w:trPr>
          <w:trHeight w:val="196"/>
        </w:trPr>
        <w:sdt>
          <w:sdtPr>
            <w:rPr>
              <w:rFonts w:asciiTheme="minorEastAsia" w:eastAsiaTheme="minorEastAsia" w:hAnsiTheme="minorEastAsia"/>
              <w:sz w:val="18"/>
              <w:szCs w:val="18"/>
            </w:rPr>
            <w:tag w:val="_PLD_d3b5283bf10a4a3c8882e3f3c30046c5"/>
            <w:id w:val="-1977209113"/>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（一）综合收益总额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631,864</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-1,591,669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14,862,943</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13,903,138</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5,582,607</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19,485,745</w:t>
            </w:r>
          </w:p>
        </w:tc>
      </w:tr>
      <w:tr>
        <w:trPr>
          <w:trHeight w:val="196"/>
        </w:trPr>
        <w:sdt>
          <w:sdtPr>
            <w:rPr>
              <w:rFonts w:asciiTheme="minorEastAsia" w:eastAsiaTheme="minorEastAsia" w:hAnsiTheme="minorEastAsia"/>
              <w:sz w:val="18"/>
              <w:szCs w:val="18"/>
            </w:rPr>
            <w:tag w:val="_PLD_ecb1a0919fe148e5893e9977ac112e36"/>
            <w:id w:val="-1401206772"/>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二</w:t>
                </w:r>
                <w:r>
                  <w:rPr>
                    <w:rFonts w:asciiTheme="minorEastAsia" w:eastAsiaTheme="minorEastAsia" w:hAnsiTheme="minorEastAsia"/>
                    <w:sz w:val="18"/>
                    <w:szCs w:val="18"/>
                  </w:rPr>
                  <w:t>）所有者投入和减少资本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283,599</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6,712,330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4,156,832</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-212,563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11,365,324</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1,611,708</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12,977,032</w:t>
            </w:r>
          </w:p>
        </w:tc>
      </w:tr>
      <w:tr>
        <w:trPr>
          <w:trHeight w:val="181"/>
        </w:trPr>
        <w:sdt>
          <w:sdtPr>
            <w:rPr>
              <w:rFonts w:asciiTheme="minorEastAsia" w:eastAsiaTheme="minorEastAsia" w:hAnsiTheme="minorEastAsia"/>
              <w:sz w:val="18"/>
              <w:szCs w:val="18"/>
            </w:rPr>
            <w:tag w:val="_PLD_611ba2ed8c6b439788c9acf67433da0c"/>
            <w:id w:val="1503012664"/>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1．所有者投入的普通股</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285,000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4,229,108</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4,514,108</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1,646,222</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6,160,330</w:t>
            </w:r>
          </w:p>
        </w:tc>
      </w:tr>
      <w:tr>
        <w:trPr>
          <w:trHeight w:val="196"/>
        </w:trPr>
        <w:sdt>
          <w:sdtPr>
            <w:rPr>
              <w:rFonts w:asciiTheme="minorEastAsia" w:eastAsiaTheme="minorEastAsia" w:hAnsiTheme="minorEastAsia"/>
              <w:sz w:val="18"/>
              <w:szCs w:val="18"/>
            </w:rPr>
            <w:tag w:val="_PLD_c90ad87987d54aec9ebb059ca9fe2d83"/>
            <w:id w:val="-785883576"/>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2．其他权益工具持有者投入资本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6,712,330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-22,245</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6,690,085</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6,690,085</w:t>
            </w:r>
          </w:p>
        </w:tc>
      </w:tr>
      <w:tr>
        <w:trPr>
          <w:trHeight w:val="378"/>
        </w:trPr>
        <w:sdt>
          <w:sdtPr>
            <w:rPr>
              <w:rFonts w:asciiTheme="minorEastAsia" w:eastAsiaTheme="minorEastAsia" w:hAnsiTheme="minorEastAsia"/>
              <w:sz w:val="18"/>
              <w:szCs w:val="18"/>
            </w:rPr>
            <w:tag w:val="_PLD_d73580ad15ab461695606b09453b2233"/>
            <w:id w:val="939950744"/>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．股份支付计入所有者权益的金额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-1,401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147,543</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-212,563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358,705</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-17,083</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341,622</w:t>
            </w:r>
          </w:p>
        </w:tc>
      </w:tr>
      <w:tr>
        <w:trPr>
          <w:trHeight w:val="196"/>
        </w:trPr>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4.同一控制下企业合并</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-59,840</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-59,840</w:t>
            </w:r>
          </w:p>
        </w:tc>
        <w:tc>
          <w:tcPr>
            <w:tcW w:w="1275" w:type="dxa"/>
            <w:vAlign w:val="center"/>
          </w:tcPr>
          <w:p>
            <w:pPr>
              <w:jc w:val="right"/>
              <w:rPr>
                <w:rFonts w:ascii="宋体" w:hAnsi="宋体"/>
                <w:sz w:val="18"/>
                <w:szCs w:val="18"/>
              </w:rPr>
            </w:pPr>
            <w:r>
              <w:rPr>
                <w:rFonts w:ascii="宋体" w:hAnsi="宋体" w:hint="eastAsia"/>
                <w:sz w:val="18"/>
                <w:szCs w:val="18"/>
              </w:rPr>
              <w:t>-25,478</w:t>
            </w:r>
          </w:p>
        </w:tc>
        <w:tc>
          <w:tcPr>
            <w:tcW w:w="1418" w:type="dxa"/>
            <w:vAlign w:val="center"/>
          </w:tcPr>
          <w:p>
            <w:pPr>
              <w:jc w:val="right"/>
              <w:rPr>
                <w:rFonts w:ascii="宋体" w:hAnsi="宋体"/>
                <w:sz w:val="18"/>
                <w:szCs w:val="18"/>
              </w:rPr>
            </w:pPr>
            <w:r>
              <w:rPr>
                <w:rFonts w:ascii="宋体" w:hAnsi="宋体" w:hint="eastAsia"/>
                <w:sz w:val="18"/>
                <w:szCs w:val="18"/>
              </w:rPr>
              <w:t>-85,318</w:t>
            </w:r>
          </w:p>
        </w:tc>
      </w:tr>
      <w:tr>
        <w:trPr>
          <w:trHeight w:val="196"/>
        </w:trPr>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5.收购少数股东股权</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-65,984</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-65,984</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-385,033</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-451,017</w:t>
            </w:r>
          </w:p>
        </w:tc>
      </w:tr>
      <w:tr>
        <w:trPr>
          <w:trHeight w:val="181"/>
        </w:trPr>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6.未丧失控股权持股比例下降</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sdt>
          <w:sdtPr>
            <w:rPr>
              <w:rFonts w:asciiTheme="minorEastAsia" w:eastAsiaTheme="minorEastAsia" w:hAnsiTheme="minorEastAsia"/>
              <w:sz w:val="18"/>
              <w:szCs w:val="18"/>
            </w:rPr>
            <w:tag w:val="_PLD_32d1c7d278224bfa80a28845c7639c86"/>
            <w:id w:val="1414049649"/>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7</w:t>
                </w:r>
                <w:r>
                  <w:rPr>
                    <w:rFonts w:asciiTheme="minorEastAsia" w:eastAsiaTheme="minorEastAsia" w:hAnsiTheme="minorEastAsia"/>
                    <w:sz w:val="18"/>
                    <w:szCs w:val="18"/>
                  </w:rPr>
                  <w:t>．其他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-71,750</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-71,750</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393,080</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321,330</w:t>
            </w:r>
          </w:p>
        </w:tc>
      </w:tr>
      <w:tr>
        <w:trPr>
          <w:trHeight w:val="393"/>
        </w:trPr>
        <w:sdt>
          <w:sdtPr>
            <w:rPr>
              <w:rFonts w:asciiTheme="minorEastAsia" w:eastAsiaTheme="minorEastAsia" w:hAnsiTheme="minorEastAsia"/>
              <w:sz w:val="18"/>
              <w:szCs w:val="18"/>
            </w:rPr>
            <w:tag w:val="_PLD_4f4c1a0d22784a4a81a90a7b772560b9"/>
            <w:id w:val="-398680133"/>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三</w:t>
                </w:r>
                <w:r>
                  <w:rPr>
                    <w:rFonts w:asciiTheme="minorEastAsia" w:eastAsiaTheme="minorEastAsia" w:hAnsiTheme="minorEastAsia"/>
                    <w:sz w:val="18"/>
                    <w:szCs w:val="18"/>
                  </w:rPr>
                  <w:t>）利润分配</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2,316,890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-618,750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-17,310,861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-14,435,144</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-3,801,611</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-18,236,755</w:t>
            </w:r>
          </w:p>
        </w:tc>
      </w:tr>
      <w:tr>
        <w:trPr>
          <w:trHeight w:val="181"/>
        </w:trPr>
        <w:sdt>
          <w:sdtPr>
            <w:rPr>
              <w:rFonts w:asciiTheme="minorEastAsia" w:eastAsiaTheme="minorEastAsia" w:hAnsiTheme="minorEastAsia"/>
              <w:sz w:val="18"/>
              <w:szCs w:val="18"/>
            </w:rPr>
            <w:tag w:val="_PLD_73a49eb420a24cdbb4f7f5ce05660344"/>
            <w:id w:val="844369453"/>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1．提取盈余公积</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sdt>
          <w:sdtPr>
            <w:rPr>
              <w:rFonts w:asciiTheme="minorEastAsia" w:eastAsiaTheme="minorEastAsia" w:hAnsiTheme="minorEastAsia"/>
              <w:sz w:val="18"/>
              <w:szCs w:val="18"/>
            </w:rPr>
            <w:tag w:val="_PLD_230083ca1b684aa0b92b69b31995ea1b"/>
            <w:id w:val="253406412"/>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2．提取一般风险准备</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378"/>
        </w:trPr>
        <w:sdt>
          <w:sdtPr>
            <w:rPr>
              <w:rFonts w:asciiTheme="minorEastAsia" w:eastAsiaTheme="minorEastAsia" w:hAnsiTheme="minorEastAsia"/>
              <w:sz w:val="18"/>
              <w:szCs w:val="18"/>
            </w:rPr>
            <w:tag w:val="_PLD_d19b1d04bab14e67b22ee23afd215d76"/>
            <w:id w:val="1597670195"/>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3．对所有者（或股东）的分配</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-13,816,393</w:t>
            </w:r>
          </w:p>
        </w:tc>
        <w:tc>
          <w:tcPr>
            <w:tcW w:w="425" w:type="dxa"/>
            <w:vAlign w:val="center"/>
          </w:tcPr>
          <w:p>
            <w:pPr>
              <w:jc w:val="right"/>
              <w:rPr>
                <w:rFonts w:asciiTheme="minorEastAsia" w:eastAsiaTheme="minorEastAsia" w:hAnsiTheme="minorEastAsia"/>
                <w:sz w:val="18"/>
                <w:szCs w:val="18"/>
              </w:rPr>
            </w:pP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-13,816,393</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-3,801,611</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-17,618,004</w:t>
            </w:r>
          </w:p>
        </w:tc>
      </w:tr>
      <w:tr>
        <w:trPr>
          <w:trHeight w:val="196"/>
        </w:trPr>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4.对其他权益工具持有者的分配</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sdt>
          <w:sdtPr>
            <w:rPr>
              <w:rFonts w:asciiTheme="minorEastAsia" w:eastAsiaTheme="minorEastAsia" w:hAnsiTheme="minorEastAsia"/>
              <w:sz w:val="18"/>
              <w:szCs w:val="18"/>
            </w:rPr>
            <w:tag w:val="_PLD_6e5628e129d04d23a2d71da503cecfdd"/>
            <w:id w:val="-1670327068"/>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5</w:t>
                </w:r>
                <w:r>
                  <w:rPr>
                    <w:rFonts w:asciiTheme="minorEastAsia" w:eastAsiaTheme="minorEastAsia" w:hAnsiTheme="minorEastAsia"/>
                    <w:sz w:val="18"/>
                    <w:szCs w:val="18"/>
                  </w:rPr>
                  <w:t>．其他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2,316,890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-618,750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-2,316,891</w:t>
            </w:r>
          </w:p>
        </w:tc>
        <w:tc>
          <w:tcPr>
            <w:tcW w:w="425" w:type="dxa"/>
            <w:vAlign w:val="center"/>
          </w:tcPr>
          <w:p>
            <w:pPr>
              <w:jc w:val="right"/>
              <w:rPr>
                <w:rFonts w:asciiTheme="minorEastAsia" w:eastAsiaTheme="minorEastAsia" w:hAnsiTheme="minorEastAsia"/>
                <w:sz w:val="18"/>
                <w:szCs w:val="18"/>
              </w:rPr>
            </w:pP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-618,751</w:t>
            </w:r>
          </w:p>
        </w:tc>
        <w:tc>
          <w:tcPr>
            <w:tcW w:w="1275" w:type="dxa"/>
            <w:vAlign w:val="center"/>
          </w:tcPr>
          <w:p>
            <w:pPr>
              <w:jc w:val="right"/>
              <w:rPr>
                <w:rFonts w:asciiTheme="minorEastAsia" w:eastAsiaTheme="minorEastAsia" w:hAnsiTheme="minorEastAsia"/>
                <w:sz w:val="18"/>
                <w:szCs w:val="18"/>
              </w:rPr>
            </w:pP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-618,751</w:t>
            </w:r>
          </w:p>
        </w:tc>
      </w:tr>
      <w:tr>
        <w:trPr>
          <w:trHeight w:val="181"/>
        </w:trPr>
        <w:sdt>
          <w:sdtPr>
            <w:rPr>
              <w:rFonts w:asciiTheme="minorEastAsia" w:eastAsiaTheme="minorEastAsia" w:hAnsiTheme="minorEastAsia"/>
              <w:sz w:val="18"/>
              <w:szCs w:val="18"/>
            </w:rPr>
            <w:tag w:val="_PLD_a953b61d69004a7a91974afa1318df0a"/>
            <w:id w:val="-1540581894"/>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四</w:t>
                </w:r>
                <w:r>
                  <w:rPr>
                    <w:rFonts w:asciiTheme="minorEastAsia" w:eastAsiaTheme="minorEastAsia" w:hAnsiTheme="minorEastAsia"/>
                    <w:sz w:val="18"/>
                    <w:szCs w:val="18"/>
                  </w:rPr>
                  <w:t>）所有者权益内部结转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sdt>
          <w:sdtPr>
            <w:rPr>
              <w:rFonts w:asciiTheme="minorEastAsia" w:eastAsiaTheme="minorEastAsia" w:hAnsiTheme="minorEastAsia"/>
              <w:sz w:val="18"/>
              <w:szCs w:val="18"/>
            </w:rPr>
            <w:tag w:val="_PLD_278fa3d290b3473aacd1d849016a2959"/>
            <w:id w:val="-179352966"/>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1．资本公积转增资本（或股本）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sdt>
          <w:sdtPr>
            <w:rPr>
              <w:rFonts w:asciiTheme="minorEastAsia" w:eastAsiaTheme="minorEastAsia" w:hAnsiTheme="minorEastAsia"/>
              <w:sz w:val="18"/>
              <w:szCs w:val="18"/>
            </w:rPr>
            <w:tag w:val="_PLD_2dbeb2e6cbbd4ba2a65e4f369c7e7929"/>
            <w:id w:val="2122948630"/>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2．盈余公积转增资本（或股本）</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81"/>
        </w:trPr>
        <w:sdt>
          <w:sdtPr>
            <w:rPr>
              <w:rFonts w:asciiTheme="minorEastAsia" w:eastAsiaTheme="minorEastAsia" w:hAnsiTheme="minorEastAsia"/>
              <w:sz w:val="18"/>
              <w:szCs w:val="18"/>
            </w:rPr>
            <w:tag w:val="_PLD_58f2b570df754e85bb72c0f63cdd3f1c"/>
            <w:id w:val="-765689662"/>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3．盈余公积弥补亏损</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393"/>
        </w:trPr>
        <w:tc>
          <w:tcPr>
            <w:tcW w:w="1702" w:type="dxa"/>
            <w:vAlign w:val="center"/>
          </w:tcPr>
          <w:sdt>
            <w:sdtPr>
              <w:rPr>
                <w:rFonts w:asciiTheme="minorEastAsia" w:eastAsiaTheme="minorEastAsia" w:hAnsiTheme="minorEastAsia"/>
                <w:sz w:val="18"/>
                <w:szCs w:val="18"/>
              </w:rPr>
              <w:tag w:val="_PLD_88022ba02c7c4775ba5e9f75f6b07fa4"/>
              <w:id w:val="-387583065"/>
            </w:sdtPr>
            <w:sdtContent>
              <w:p>
                <w:pPr>
                  <w:rPr>
                    <w:rFonts w:asciiTheme="minorEastAsia" w:eastAsiaTheme="minorEastAsia" w:hAnsiTheme="minorEastAsia"/>
                    <w:sz w:val="18"/>
                    <w:szCs w:val="18"/>
                  </w:rPr>
                </w:pPr>
                <w:r>
                  <w:rPr>
                    <w:rFonts w:asciiTheme="minorEastAsia" w:eastAsiaTheme="minorEastAsia" w:hAnsiTheme="minorEastAsia"/>
                    <w:sz w:val="18"/>
                    <w:szCs w:val="18"/>
                  </w:rPr>
                  <w:t>4．设定受益计划变动额结转留存收益</w:t>
                </w:r>
              </w:p>
            </w:sdtContent>
          </w:sdt>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tc>
          <w:tcPr>
            <w:tcW w:w="1702" w:type="dxa"/>
            <w:vAlign w:val="center"/>
          </w:tcPr>
          <w:sdt>
            <w:sdtPr>
              <w:rPr>
                <w:rFonts w:asciiTheme="minorEastAsia" w:eastAsiaTheme="minorEastAsia" w:hAnsiTheme="minorEastAsia"/>
                <w:sz w:val="18"/>
                <w:szCs w:val="18"/>
              </w:rPr>
              <w:tag w:val="_PLD_0259028a18dd4c059a8b77a9e4fe86f9"/>
              <w:id w:val="-1163619569"/>
            </w:sdtPr>
            <w:sdtContent>
              <w:p>
                <w:pPr>
                  <w:rPr>
                    <w:rFonts w:asciiTheme="minorEastAsia" w:eastAsiaTheme="minorEastAsia" w:hAnsiTheme="minorEastAsia"/>
                    <w:sz w:val="18"/>
                    <w:szCs w:val="18"/>
                  </w:rPr>
                </w:pPr>
                <w:r>
                  <w:rPr>
                    <w:rFonts w:asciiTheme="minorEastAsia" w:eastAsiaTheme="minorEastAsia" w:hAnsiTheme="minorEastAsia"/>
                    <w:sz w:val="18"/>
                    <w:szCs w:val="18"/>
                  </w:rPr>
                  <w:t>5．其他综合收益结转留存收益</w:t>
                </w:r>
              </w:p>
            </w:sdtContent>
          </w:sdt>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81"/>
        </w:trPr>
        <w:sdt>
          <w:sdtPr>
            <w:rPr>
              <w:rFonts w:asciiTheme="minorEastAsia" w:eastAsiaTheme="minorEastAsia" w:hAnsiTheme="minorEastAsia"/>
              <w:sz w:val="18"/>
              <w:szCs w:val="18"/>
            </w:rPr>
            <w:tag w:val="_PLD_5844253ac18b45ceaa765e5b2f55d052"/>
            <w:id w:val="-158082659"/>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6．其他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196"/>
        </w:trPr>
        <w:sdt>
          <w:sdtPr>
            <w:rPr>
              <w:rFonts w:asciiTheme="minorEastAsia" w:eastAsiaTheme="minorEastAsia" w:hAnsiTheme="minorEastAsia"/>
              <w:sz w:val="18"/>
              <w:szCs w:val="18"/>
            </w:rPr>
            <w:tag w:val="_PLD_3bbf2260615f4991a49bda77fd1fc28b"/>
            <w:id w:val="-1135013368"/>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（五）专项储备</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-442,498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-442,498</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121,969</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-320,529</w:t>
            </w:r>
          </w:p>
        </w:tc>
      </w:tr>
      <w:tr>
        <w:trPr>
          <w:trHeight w:val="196"/>
        </w:trPr>
        <w:sdt>
          <w:sdtPr>
            <w:rPr>
              <w:rFonts w:asciiTheme="minorEastAsia" w:eastAsiaTheme="minorEastAsia" w:hAnsiTheme="minorEastAsia"/>
              <w:sz w:val="18"/>
              <w:szCs w:val="18"/>
            </w:rPr>
            <w:tag w:val="_PLD_f1e833fa15ec452384f3784c7a9b36fe"/>
            <w:id w:val="444652615"/>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1．本期提取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4,499,156</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4,499,156</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1,859,675</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6,358,831</w:t>
            </w:r>
          </w:p>
        </w:tc>
      </w:tr>
      <w:tr>
        <w:trPr>
          <w:trHeight w:val="181"/>
        </w:trPr>
        <w:sdt>
          <w:sdtPr>
            <w:rPr>
              <w:rFonts w:asciiTheme="minorEastAsia" w:eastAsiaTheme="minorEastAsia" w:hAnsiTheme="minorEastAsia"/>
              <w:sz w:val="18"/>
              <w:szCs w:val="18"/>
            </w:rPr>
            <w:tag w:val="_PLD_301fc21ab7954268be9851ddd0cf2d8a"/>
            <w:id w:val="-390733198"/>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2．本期使用</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-4,941,654</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-4,941,654</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-1,737,706</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-6,679,360</w:t>
            </w:r>
          </w:p>
        </w:tc>
      </w:tr>
      <w:tr>
        <w:trPr>
          <w:trHeight w:val="196"/>
        </w:trPr>
        <w:sdt>
          <w:sdtPr>
            <w:rPr>
              <w:rFonts w:asciiTheme="minorEastAsia" w:eastAsiaTheme="minorEastAsia" w:hAnsiTheme="minorEastAsia"/>
              <w:sz w:val="18"/>
              <w:szCs w:val="18"/>
            </w:rPr>
            <w:tag w:val="_PLD_43b1e5b489b047e98cf38f8c5f130759"/>
            <w:id w:val="-1741933583"/>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（六）其他</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8,664</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8,919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-148,515</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-130,932</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4,400,170</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4,269,238</w:t>
            </w:r>
          </w:p>
        </w:tc>
      </w:tr>
      <w:tr>
        <w:trPr>
          <w:trHeight w:val="181"/>
        </w:trPr>
        <w:sdt>
          <w:sdtPr>
            <w:rPr>
              <w:rFonts w:asciiTheme="minorEastAsia" w:eastAsiaTheme="minorEastAsia" w:hAnsiTheme="minorEastAsia"/>
              <w:sz w:val="18"/>
              <w:szCs w:val="18"/>
            </w:rPr>
            <w:tag w:val="_PLD_7355d7c321c84166a15737d2581911bf"/>
            <w:id w:val="-333153084"/>
          </w:sdtPr>
          <w:sdtContent>
            <w:tc>
              <w:tcPr>
                <w:tcW w:w="1702"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四、本期期末余额</w:t>
                </w:r>
              </w:p>
            </w:tc>
          </w:sdtContent>
        </w:sdt>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10,039,860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23,267,221</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7,739,453</w:t>
            </w:r>
          </w:p>
        </w:tc>
        <w:tc>
          <w:tcPr>
            <w:tcW w:w="993"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112,417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-7,915,647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3,293,970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48,718,377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87,872,209</w:t>
            </w:r>
          </w:p>
        </w:tc>
        <w:tc>
          <w:tcPr>
            <w:tcW w:w="127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61,748,643</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149,620,852</w:t>
            </w:r>
          </w:p>
        </w:tc>
      </w:tr>
    </w:tbl>
    <w:p>
      <w:pPr>
        <w:rPr>
          <w:rFonts w:asciiTheme="minorEastAsia" w:eastAsiaTheme="minorEastAsia" w:hAnsiTheme="minorEastAsia"/>
          <w:sz w:val="18"/>
          <w:szCs w:val="18"/>
        </w:rPr>
      </w:pPr>
    </w:p>
    <w:p>
      <w:pPr>
        <w:snapToGrid w:val="0"/>
        <w:spacing w:line="240" w:lineRule="atLeast"/>
        <w:rPr>
          <w:b/>
          <w:bCs/>
          <w:color w:val="FF0000"/>
          <w:sz w:val="18"/>
          <w:szCs w:val="18"/>
        </w:rPr>
      </w:pPr>
      <w:r>
        <w:rPr>
          <w:rFonts w:hint="eastAsia"/>
          <w:sz w:val="18"/>
          <w:szCs w:val="18"/>
        </w:rPr>
        <w:t>公司负责</w:t>
      </w:r>
      <w:r>
        <w:rPr>
          <w:sz w:val="18"/>
          <w:szCs w:val="18"/>
        </w:rPr>
        <w:t>人</w:t>
      </w:r>
      <w:r>
        <w:rPr>
          <w:rFonts w:hint="eastAsia"/>
          <w:sz w:val="18"/>
          <w:szCs w:val="18"/>
        </w:rPr>
        <w:t>：</w:t>
      </w:r>
      <w:sdt>
        <w:sdtPr>
          <w:rPr>
            <w:rFonts w:hint="eastAsia"/>
            <w:sz w:val="18"/>
            <w:szCs w:val="18"/>
          </w:rPr>
          <w:alias w:val="公司负责人姓名"/>
          <w:tag w:val="_GBC_076a4a0998a840bab20f0ed83e5bab3d"/>
          <w:id w:val="-1264607005"/>
          <w:placeholder>
            <w:docPart w:val="GBC22222222222222222222222222222"/>
          </w:placeholder>
          <w:dataBinding w:prefixMappings="xmlns:clcid-mr='clcid-mr'" w:xpath="/*/clcid-mr:GongSiFuZeRenXingMing[not(@periodRef)]" w:storeItemID="{89EBAB94-44A0-46A2-B712-30D997D04A6D}"/>
          <w:text/>
        </w:sdtPr>
        <w:sdtContent>
          <w:r>
            <w:rPr>
              <w:rFonts w:hint="eastAsia"/>
              <w:sz w:val="18"/>
              <w:szCs w:val="18"/>
            </w:rPr>
            <w:t>李伟</w:t>
          </w:r>
        </w:sdtContent>
      </w:sdt>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主管会计工作负责人</w:t>
      </w:r>
      <w:r>
        <w:rPr>
          <w:rFonts w:hint="eastAsia"/>
          <w:sz w:val="18"/>
          <w:szCs w:val="18"/>
        </w:rPr>
        <w:t>：</w:t>
      </w:r>
      <w:sdt>
        <w:sdtPr>
          <w:rPr>
            <w:rFonts w:hint="eastAsia"/>
            <w:sz w:val="18"/>
            <w:szCs w:val="18"/>
          </w:rPr>
          <w:alias w:val="主管会计工作负责人姓名"/>
          <w:tag w:val="_GBC_5b21002df9e248fa81a6770579ce76cd"/>
          <w:id w:val="-1885324368"/>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 w:val="18"/>
              <w:szCs w:val="18"/>
            </w:rPr>
            <w:t>赵治国</w:t>
          </w:r>
        </w:sdtContent>
      </w:sdt>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会计机构负责人</w:t>
      </w:r>
      <w:r>
        <w:rPr>
          <w:rFonts w:hint="eastAsia"/>
          <w:sz w:val="18"/>
          <w:szCs w:val="18"/>
        </w:rPr>
        <w:t>：</w:t>
      </w:r>
      <w:sdt>
        <w:sdtPr>
          <w:rPr>
            <w:rFonts w:hint="eastAsia"/>
            <w:sz w:val="18"/>
            <w:szCs w:val="18"/>
          </w:rPr>
          <w:alias w:val="会计机构负责人姓名"/>
          <w:tag w:val="_GBC_6a446d6543174dc48c72d440eefb0b71"/>
          <w:id w:val="683561335"/>
          <w:placeholder>
            <w:docPart w:val="GBC22222222222222222222222222222"/>
          </w:placeholder>
          <w:dataBinding w:prefixMappings="xmlns:clcid-mr='clcid-mr'" w:xpath="/*/clcid-mr:KuaiJiJiGouFuZeRenXingMing[not(@periodRef)]" w:storeItemID="{89EBAB94-44A0-46A2-B712-30D997D04A6D}"/>
          <w:text/>
        </w:sdtPr>
        <w:sdtContent>
          <w:r>
            <w:rPr>
              <w:rFonts w:hint="eastAsia"/>
              <w:sz w:val="18"/>
              <w:szCs w:val="18"/>
            </w:rPr>
            <w:t>郭慧</w:t>
          </w:r>
        </w:sdtContent>
      </w:sdt>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rPr>
          <w:sz w:val="11"/>
          <w:szCs w:val="11"/>
        </w:rPr>
      </w:pPr>
    </w:p>
    <w:p>
      <w:pPr>
        <w:tabs>
          <w:tab w:val="left" w:pos="10080"/>
        </w:tabs>
        <w:snapToGrid w:val="0"/>
        <w:spacing w:line="240" w:lineRule="atLeast"/>
        <w:ind w:rightChars="12" w:right="25"/>
        <w:jc w:val="center"/>
        <w:outlineLvl w:val="2"/>
        <w:rPr>
          <w:rFonts w:asciiTheme="minorEastAsia" w:eastAsiaTheme="minorEastAsia" w:hAnsiTheme="minorEastAsia"/>
          <w:b/>
          <w:sz w:val="18"/>
          <w:szCs w:val="18"/>
        </w:rPr>
      </w:pPr>
      <w:r>
        <w:rPr>
          <w:rFonts w:asciiTheme="minorEastAsia" w:eastAsiaTheme="minorEastAsia" w:hAnsiTheme="minorEastAsia"/>
          <w:b/>
          <w:sz w:val="18"/>
          <w:szCs w:val="18"/>
        </w:rPr>
        <w:t>母公司</w:t>
      </w:r>
      <w:r>
        <w:rPr>
          <w:rFonts w:asciiTheme="minorEastAsia" w:eastAsiaTheme="minorEastAsia" w:hAnsiTheme="minorEastAsia" w:hint="eastAsia"/>
          <w:b/>
          <w:sz w:val="18"/>
          <w:szCs w:val="18"/>
        </w:rPr>
        <w:t>所有者权益变动表</w:t>
      </w:r>
    </w:p>
    <w:p>
      <w:pPr>
        <w:tabs>
          <w:tab w:val="left" w:pos="10080"/>
        </w:tabs>
        <w:snapToGrid w:val="0"/>
        <w:spacing w:line="240" w:lineRule="atLeast"/>
        <w:ind w:rightChars="12" w:right="25"/>
        <w:jc w:val="center"/>
        <w:rPr>
          <w:rFonts w:asciiTheme="minorEastAsia" w:eastAsiaTheme="minorEastAsia" w:hAnsiTheme="minorEastAsia"/>
          <w:b/>
          <w:bCs/>
          <w:sz w:val="18"/>
          <w:szCs w:val="18"/>
        </w:rPr>
      </w:pPr>
      <w:r>
        <w:rPr>
          <w:rFonts w:asciiTheme="minorEastAsia" w:eastAsiaTheme="minorEastAsia" w:hAnsiTheme="minorEastAsia"/>
          <w:sz w:val="18"/>
          <w:szCs w:val="18"/>
        </w:rPr>
        <w:t>2025年</w:t>
      </w:r>
      <w:r>
        <w:rPr>
          <w:rFonts w:asciiTheme="minorEastAsia" w:eastAsiaTheme="minorEastAsia" w:hAnsiTheme="minorEastAsia" w:hint="eastAsia"/>
          <w:sz w:val="18"/>
          <w:szCs w:val="18"/>
        </w:rPr>
        <w:t>1—12</w:t>
      </w:r>
      <w:r>
        <w:rPr>
          <w:rFonts w:asciiTheme="minorEastAsia" w:eastAsiaTheme="minorEastAsia" w:hAnsiTheme="minorEastAsia"/>
          <w:sz w:val="18"/>
          <w:szCs w:val="18"/>
        </w:rPr>
        <w:t>月</w:t>
      </w:r>
    </w:p>
    <w:p>
      <w:pPr>
        <w:snapToGrid w:val="0"/>
        <w:spacing w:line="240" w:lineRule="atLeast"/>
        <w:jc w:val="right"/>
        <w:rPr>
          <w:sz w:val="18"/>
          <w:szCs w:val="18"/>
        </w:rPr>
      </w:pPr>
      <w:r>
        <w:rPr>
          <w:sz w:val="18"/>
          <w:szCs w:val="18"/>
        </w:rPr>
        <w:t>单位：</w:t>
      </w:r>
      <w:sdt>
        <w:sdtPr>
          <w:rPr>
            <w:sz w:val="18"/>
            <w:szCs w:val="18"/>
          </w:rPr>
          <w:alias w:val="单位：母公司股东权益调节表"/>
          <w:tag w:val="_GBC_048773409e614c6bb753000b028316a5"/>
          <w:id w:val="-1668942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 w:val="18"/>
              <w:szCs w:val="18"/>
            </w:rPr>
            <w:t>千元</w:t>
          </w:r>
          <w:r>
            <w:rPr>
              <w:rFonts w:hint="eastAsia"/>
              <w:sz w:val="18"/>
              <w:szCs w:val="18"/>
            </w:rPr>
            <w:t xml:space="preserve">  </w:t>
          </w:r>
        </w:sdtContent>
      </w:sdt>
      <w:r>
        <w:rPr>
          <w:sz w:val="18"/>
          <w:szCs w:val="18"/>
        </w:rPr>
        <w:t>币种：</w:t>
      </w:r>
      <w:sdt>
        <w:sdtPr>
          <w:rPr>
            <w:sz w:val="18"/>
            <w:szCs w:val="18"/>
          </w:rPr>
          <w:alias w:val="币种：母公司股东权益调节表"/>
          <w:tag w:val="_GBC_5214b7a188334da286fc3038d017d072"/>
          <w:id w:val="12738204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 w:val="18"/>
              <w:szCs w:val="18"/>
            </w:rPr>
            <w:t>人民币</w:t>
          </w:r>
        </w:sdtContent>
      </w:sdt>
    </w:p>
    <w:tbl>
      <w:tblPr>
        <w:tblStyle w:val="Style100"/>
        <w:tblW w:w="153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276"/>
        <w:gridCol w:w="992"/>
        <w:gridCol w:w="1134"/>
        <w:gridCol w:w="992"/>
        <w:gridCol w:w="1134"/>
        <w:gridCol w:w="1134"/>
        <w:gridCol w:w="1134"/>
        <w:gridCol w:w="1134"/>
        <w:gridCol w:w="1134"/>
        <w:gridCol w:w="1134"/>
        <w:gridCol w:w="567"/>
        <w:gridCol w:w="1418"/>
      </w:tblGrid>
      <w:tr>
        <w:trPr>
          <w:trHeight w:val="20"/>
        </w:trPr>
        <w:sdt>
          <w:sdtPr>
            <w:rPr>
              <w:rFonts w:asciiTheme="minorEastAsia" w:eastAsiaTheme="minorEastAsia" w:hAnsiTheme="minorEastAsia"/>
              <w:sz w:val="18"/>
              <w:szCs w:val="18"/>
            </w:rPr>
            <w:tag w:val="_PLD_6243181199ca48faaab1b52ea7b6f562"/>
            <w:id w:val="553896636"/>
          </w:sdtPr>
          <w:sdtContent>
            <w:tc>
              <w:tcPr>
                <w:tcW w:w="2127"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项目</w:t>
                </w:r>
              </w:p>
            </w:tc>
          </w:sdtContent>
        </w:sdt>
        <w:tc>
          <w:tcPr>
            <w:tcW w:w="13183" w:type="dxa"/>
            <w:gridSpan w:val="12"/>
            <w:vAlign w:val="center"/>
          </w:tcPr>
          <w:p>
            <w:pPr>
              <w:adjustRightInd w:val="0"/>
              <w:snapToGrid w:val="0"/>
              <w:jc w:val="center"/>
              <w:rPr>
                <w:rFonts w:asciiTheme="minorEastAsia" w:eastAsiaTheme="minorEastAsia" w:hAnsiTheme="minorEastAsia"/>
                <w:sz w:val="18"/>
                <w:szCs w:val="18"/>
              </w:rPr>
            </w:pPr>
            <w:sdt>
              <w:sdtPr>
                <w:rPr>
                  <w:rFonts w:asciiTheme="minorEastAsia" w:eastAsiaTheme="minorEastAsia" w:hAnsiTheme="minorEastAsia"/>
                  <w:sz w:val="18"/>
                  <w:szCs w:val="18"/>
                </w:rPr>
                <w:tag w:val="_PLD_53ebc36a4faa4485960520df843f0c63"/>
                <w:id w:val="-429358950"/>
              </w:sdtPr>
              <w:sdtContent>
                <w:r>
                  <w:rPr>
                    <w:rFonts w:asciiTheme="minorEastAsia" w:eastAsiaTheme="minorEastAsia" w:hAnsiTheme="minorEastAsia" w:hint="eastAsia"/>
                    <w:sz w:val="18"/>
                    <w:szCs w:val="18"/>
                  </w:rPr>
                  <w:t>2025年度</w:t>
                </w:r>
              </w:sdtContent>
            </w:sdt>
          </w:p>
        </w:tc>
      </w:tr>
      <w:tr>
        <w:trPr>
          <w:trHeight w:val="315"/>
        </w:trPr>
        <w:tc>
          <w:tcPr>
            <w:tcW w:w="2127" w:type="dxa"/>
            <w:vMerge/>
            <w:vAlign w:val="center"/>
          </w:tcPr>
          <w:p>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d42b0ce5c44e4777bd36491652f20dd8"/>
            <w:id w:val="-121077115"/>
          </w:sdtPr>
          <w:sdtContent>
            <w:tc>
              <w:tcPr>
                <w:tcW w:w="1276" w:type="dxa"/>
                <w:vMerge w:val="restart"/>
                <w:tcBorders>
                  <w:right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实收资本(或股本)</w:t>
                </w:r>
              </w:p>
            </w:tc>
          </w:sdtContent>
        </w:sdt>
        <w:sdt>
          <w:sdtPr>
            <w:rPr>
              <w:rFonts w:asciiTheme="minorEastAsia" w:eastAsiaTheme="minorEastAsia" w:hAnsiTheme="minorEastAsia"/>
              <w:sz w:val="18"/>
              <w:szCs w:val="18"/>
            </w:rPr>
            <w:tag w:val="_PLD_2b96b9233b354a859329aa59fac6fc9e"/>
            <w:id w:val="-1919943233"/>
          </w:sdtPr>
          <w:sdtContent>
            <w:tc>
              <w:tcPr>
                <w:tcW w:w="3118" w:type="dxa"/>
                <w:gridSpan w:val="3"/>
                <w:tcBorders>
                  <w:left w:val="single" w:sz="4" w:space="0" w:color="auto"/>
                  <w:bottom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dafb11707213467d9f285bde7429767a"/>
            <w:id w:val="-170341520"/>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2fb702eaa01c41839715d0f477a28608"/>
            <w:id w:val="-323741894"/>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01fd07c61bdc4289ad848770e21829f0"/>
            <w:id w:val="1466929452"/>
          </w:sdtPr>
          <w:sdtContent>
            <w:tc>
              <w:tcPr>
                <w:tcW w:w="1134" w:type="dxa"/>
                <w:vMerge w:val="restart"/>
                <w:vAlign w:val="center"/>
              </w:tcPr>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90a7206226784441ae3a059bd6e2aeb9"/>
            <w:id w:val="-1396589468"/>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9a70df1813948df997635772bea7de3"/>
            <w:id w:val="-1313021103"/>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9b2be5c2b4a3447c85cf695b1da440fa"/>
            <w:id w:val="276605511"/>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未分配利润</w:t>
                </w:r>
              </w:p>
            </w:tc>
          </w:sdtContent>
        </w:sdt>
        <w:tc>
          <w:tcPr>
            <w:tcW w:w="567"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
          <w:sdtPr>
            <w:rPr>
              <w:rFonts w:asciiTheme="minorEastAsia" w:eastAsiaTheme="minorEastAsia" w:hAnsiTheme="minorEastAsia"/>
              <w:sz w:val="18"/>
              <w:szCs w:val="18"/>
            </w:rPr>
            <w:tag w:val="_PLD_61dd0378fbe645dfb87cfecfbc846206"/>
            <w:id w:val="-1011758616"/>
          </w:sdtPr>
          <w:sdtContent>
            <w:tc>
              <w:tcPr>
                <w:tcW w:w="1418"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所有者权益合计</w:t>
                </w:r>
              </w:p>
            </w:tc>
          </w:sdtContent>
        </w:sdt>
      </w:tr>
      <w:tr>
        <w:trPr>
          <w:trHeight w:val="344"/>
        </w:trPr>
        <w:tc>
          <w:tcPr>
            <w:tcW w:w="2127" w:type="dxa"/>
            <w:vMerge/>
            <w:vAlign w:val="center"/>
          </w:tcPr>
          <w:p>
            <w:pPr>
              <w:adjustRightInd w:val="0"/>
              <w:snapToGrid w:val="0"/>
              <w:rPr>
                <w:rFonts w:asciiTheme="minorEastAsia" w:eastAsiaTheme="minorEastAsia" w:hAnsiTheme="minorEastAsia"/>
                <w:sz w:val="18"/>
                <w:szCs w:val="18"/>
              </w:rPr>
            </w:pPr>
          </w:p>
        </w:tc>
        <w:tc>
          <w:tcPr>
            <w:tcW w:w="1276" w:type="dxa"/>
            <w:vMerge/>
            <w:tcBorders>
              <w:right w:val="single" w:sz="4" w:space="0" w:color="auto"/>
            </w:tcBorders>
            <w:vAlign w:val="center"/>
          </w:tcPr>
          <w:p>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506dd395f17d4bea92c50a0850471ea4"/>
            <w:id w:val="815998071"/>
          </w:sdtPr>
          <w:sdtContent>
            <w:tc>
              <w:tcPr>
                <w:tcW w:w="992" w:type="dxa"/>
                <w:tcBorders>
                  <w:top w:val="single" w:sz="4" w:space="0" w:color="auto"/>
                  <w:left w:val="single" w:sz="4" w:space="0" w:color="auto"/>
                  <w:right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d66ebd59f659426db31ba0d488ae47d0"/>
            <w:id w:val="1091510157"/>
          </w:sdtPr>
          <w:sdtContent>
            <w:tc>
              <w:tcPr>
                <w:tcW w:w="1134" w:type="dxa"/>
                <w:tcBorders>
                  <w:top w:val="single" w:sz="4" w:space="0" w:color="auto"/>
                  <w:left w:val="single" w:sz="4" w:space="0" w:color="auto"/>
                  <w:right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997e05d9124249eeb1a10ac094efcb41"/>
            <w:id w:val="-1450161815"/>
          </w:sdtPr>
          <w:sdtContent>
            <w:tc>
              <w:tcPr>
                <w:tcW w:w="992" w:type="dxa"/>
                <w:tcBorders>
                  <w:top w:val="single" w:sz="4" w:space="0" w:color="auto"/>
                  <w:left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Content>
        </w:sdt>
        <w:tc>
          <w:tcPr>
            <w:tcW w:w="1134" w:type="dxa"/>
            <w:vMerge/>
            <w:vAlign w:val="center"/>
          </w:tcPr>
          <w:p>
            <w:pPr>
              <w:adjustRightInd w:val="0"/>
              <w:snapToGrid w:val="0"/>
              <w:jc w:val="center"/>
              <w:rPr>
                <w:rFonts w:asciiTheme="minorEastAsia" w:eastAsiaTheme="minorEastAsia" w:hAnsiTheme="minorEastAsia"/>
                <w:sz w:val="18"/>
                <w:szCs w:val="18"/>
              </w:rPr>
            </w:pPr>
          </w:p>
        </w:tc>
        <w:tc>
          <w:tcPr>
            <w:tcW w:w="1134" w:type="dxa"/>
            <w:vMerge/>
            <w:vAlign w:val="center"/>
          </w:tcPr>
          <w:p>
            <w:pPr>
              <w:adjustRightInd w:val="0"/>
              <w:snapToGrid w:val="0"/>
              <w:jc w:val="center"/>
              <w:rPr>
                <w:rFonts w:asciiTheme="minorEastAsia" w:eastAsiaTheme="minorEastAsia" w:hAnsiTheme="minorEastAsia"/>
                <w:sz w:val="18"/>
                <w:szCs w:val="18"/>
              </w:rPr>
            </w:pPr>
          </w:p>
        </w:tc>
        <w:tc>
          <w:tcPr>
            <w:tcW w:w="1134" w:type="dxa"/>
            <w:vMerge/>
            <w:vAlign w:val="center"/>
          </w:tcPr>
          <w:p>
            <w:pPr>
              <w:jc w:val="center"/>
              <w:rPr>
                <w:rFonts w:asciiTheme="minorEastAsia" w:eastAsiaTheme="minorEastAsia" w:hAnsiTheme="minorEastAsia"/>
                <w:sz w:val="18"/>
                <w:szCs w:val="18"/>
              </w:rPr>
            </w:pPr>
          </w:p>
        </w:tc>
        <w:tc>
          <w:tcPr>
            <w:tcW w:w="1134" w:type="dxa"/>
            <w:vMerge/>
            <w:vAlign w:val="center"/>
          </w:tcPr>
          <w:p>
            <w:pPr>
              <w:adjustRightInd w:val="0"/>
              <w:snapToGrid w:val="0"/>
              <w:jc w:val="center"/>
              <w:rPr>
                <w:rFonts w:asciiTheme="minorEastAsia" w:eastAsiaTheme="minorEastAsia" w:hAnsiTheme="minorEastAsia"/>
                <w:sz w:val="18"/>
                <w:szCs w:val="18"/>
              </w:rPr>
            </w:pPr>
          </w:p>
        </w:tc>
        <w:tc>
          <w:tcPr>
            <w:tcW w:w="1134" w:type="dxa"/>
            <w:vMerge/>
            <w:vAlign w:val="center"/>
          </w:tcPr>
          <w:p>
            <w:pPr>
              <w:adjustRightInd w:val="0"/>
              <w:snapToGrid w:val="0"/>
              <w:jc w:val="center"/>
              <w:rPr>
                <w:rFonts w:asciiTheme="minorEastAsia" w:eastAsiaTheme="minorEastAsia" w:hAnsiTheme="minorEastAsia"/>
                <w:sz w:val="18"/>
                <w:szCs w:val="18"/>
              </w:rPr>
            </w:pPr>
          </w:p>
        </w:tc>
        <w:tc>
          <w:tcPr>
            <w:tcW w:w="1134" w:type="dxa"/>
            <w:vMerge/>
            <w:vAlign w:val="center"/>
          </w:tcPr>
          <w:p>
            <w:pPr>
              <w:adjustRightInd w:val="0"/>
              <w:snapToGrid w:val="0"/>
              <w:jc w:val="center"/>
              <w:rPr>
                <w:rFonts w:asciiTheme="minorEastAsia" w:eastAsiaTheme="minorEastAsia" w:hAnsiTheme="minorEastAsia"/>
                <w:sz w:val="18"/>
                <w:szCs w:val="18"/>
              </w:rPr>
            </w:pPr>
          </w:p>
        </w:tc>
        <w:tc>
          <w:tcPr>
            <w:tcW w:w="567" w:type="dxa"/>
            <w:vMerge/>
            <w:vAlign w:val="center"/>
          </w:tcPr>
          <w:p>
            <w:pPr>
              <w:adjustRightInd w:val="0"/>
              <w:snapToGrid w:val="0"/>
              <w:jc w:val="center"/>
              <w:rPr>
                <w:rFonts w:asciiTheme="minorEastAsia" w:eastAsiaTheme="minorEastAsia" w:hAnsiTheme="minorEastAsia"/>
                <w:sz w:val="18"/>
                <w:szCs w:val="18"/>
              </w:rPr>
            </w:pPr>
          </w:p>
        </w:tc>
        <w:tc>
          <w:tcPr>
            <w:tcW w:w="1418" w:type="dxa"/>
            <w:vMerge/>
            <w:vAlign w:val="center"/>
          </w:tcPr>
          <w:p>
            <w:pPr>
              <w:adjustRightInd w:val="0"/>
              <w:snapToGrid w:val="0"/>
              <w:jc w:val="center"/>
              <w:rPr>
                <w:rFonts w:asciiTheme="minorEastAsia" w:eastAsiaTheme="minorEastAsia" w:hAnsiTheme="minorEastAsia"/>
                <w:sz w:val="18"/>
                <w:szCs w:val="18"/>
              </w:rPr>
            </w:pPr>
          </w:p>
        </w:tc>
      </w:tr>
      <w:tr>
        <w:trPr>
          <w:trHeight w:val="20"/>
        </w:trPr>
        <w:sdt>
          <w:sdtPr>
            <w:rPr>
              <w:rFonts w:asciiTheme="minorEastAsia" w:eastAsiaTheme="minorEastAsia" w:hAnsiTheme="minorEastAsia"/>
              <w:sz w:val="18"/>
              <w:szCs w:val="18"/>
            </w:rPr>
            <w:tag w:val="_PLD_08f8c5f19f2b42f7ae650f62c6878570"/>
            <w:id w:val="-2005741957"/>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一、上年</w:t>
                </w:r>
                <w:r>
                  <w:rPr>
                    <w:rFonts w:asciiTheme="minorEastAsia" w:eastAsiaTheme="minorEastAsia" w:hAnsiTheme="minorEastAsia" w:hint="eastAsia"/>
                    <w:sz w:val="18"/>
                    <w:szCs w:val="18"/>
                  </w:rPr>
                  <w:t>年</w:t>
                </w:r>
                <w:r>
                  <w:rPr>
                    <w:rFonts w:asciiTheme="minorEastAsia" w:eastAsiaTheme="minorEastAsia" w:hAnsiTheme="minorEastAsia"/>
                    <w:sz w:val="18"/>
                    <w:szCs w:val="18"/>
                  </w:rPr>
                  <w:t>末余额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10,039,860</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23,267,221</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4,628,743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112,417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439,219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1,140,167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9,174,557</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51,418,742</w:t>
            </w:r>
          </w:p>
        </w:tc>
      </w:tr>
      <w:tr>
        <w:trPr>
          <w:trHeight w:val="20"/>
        </w:trPr>
        <w:sdt>
          <w:sdtPr>
            <w:rPr>
              <w:rFonts w:asciiTheme="minorEastAsia" w:eastAsiaTheme="minorEastAsia" w:hAnsiTheme="minorEastAsia"/>
              <w:sz w:val="18"/>
              <w:szCs w:val="18"/>
            </w:rPr>
            <w:tag w:val="_PLD_f977aa291b254801929edbd8e09eff6f"/>
            <w:id w:val="-1298594787"/>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加：会计政策变更</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1dcd3d26f66745c0b48a5fac832ef867"/>
            <w:id w:val="208920998"/>
          </w:sdtPr>
          <w:sdtContent>
            <w:tc>
              <w:tcPr>
                <w:tcW w:w="2127" w:type="dxa"/>
                <w:vAlign w:val="center"/>
              </w:tcPr>
              <w:p>
                <w:pPr>
                  <w:ind w:firstLineChars="200" w:firstLine="360"/>
                  <w:rPr>
                    <w:rFonts w:asciiTheme="minorEastAsia" w:eastAsiaTheme="minorEastAsia" w:hAnsiTheme="minorEastAsia"/>
                    <w:sz w:val="18"/>
                    <w:szCs w:val="18"/>
                  </w:rPr>
                </w:pPr>
                <w:r>
                  <w:rPr>
                    <w:rFonts w:asciiTheme="minorEastAsia" w:eastAsiaTheme="minorEastAsia" w:hAnsiTheme="minorEastAsia"/>
                    <w:sz w:val="18"/>
                    <w:szCs w:val="18"/>
                  </w:rPr>
                  <w:t>前期差错更正</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1e1d4d884e6e401b8c40d08e9d6c5d32"/>
            <w:id w:val="304741081"/>
          </w:sdtPr>
          <w:sdtContent>
            <w:tc>
              <w:tcPr>
                <w:tcW w:w="2127" w:type="dxa"/>
                <w:vAlign w:val="center"/>
              </w:tcPr>
              <w:p>
                <w:pPr>
                  <w:ind w:firstLineChars="200" w:firstLine="360"/>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abc6effbbaad4f92a93b112da199425f"/>
            <w:id w:val="-1183974792"/>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二、本年</w:t>
                </w:r>
                <w:r>
                  <w:rPr>
                    <w:rFonts w:asciiTheme="minorEastAsia" w:eastAsiaTheme="minorEastAsia" w:hAnsiTheme="minorEastAsia" w:hint="eastAsia"/>
                    <w:sz w:val="18"/>
                    <w:szCs w:val="18"/>
                  </w:rPr>
                  <w:t>期</w:t>
                </w:r>
                <w:r>
                  <w:rPr>
                    <w:rFonts w:asciiTheme="minorEastAsia" w:eastAsiaTheme="minorEastAsia" w:hAnsiTheme="minorEastAsia"/>
                    <w:sz w:val="18"/>
                    <w:szCs w:val="18"/>
                  </w:rPr>
                  <w:t>初余额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10,039,860</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23,267,221</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4,628,743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112,417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439,219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1,140,167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9,174,557</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51,418,742</w:t>
            </w:r>
          </w:p>
        </w:tc>
      </w:tr>
      <w:tr>
        <w:trPr>
          <w:trHeight w:val="20"/>
        </w:trPr>
        <w:sdt>
          <w:sdtPr>
            <w:rPr>
              <w:rFonts w:asciiTheme="minorEastAsia" w:eastAsiaTheme="minorEastAsia" w:hAnsiTheme="minorEastAsia"/>
              <w:sz w:val="18"/>
              <w:szCs w:val="18"/>
            </w:rPr>
            <w:tag w:val="_PLD_22eea8f5bd284adbb011ea489737927b"/>
            <w:id w:val="892157753"/>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三、本</w:t>
                </w:r>
                <w:r>
                  <w:rPr>
                    <w:rFonts w:asciiTheme="minorEastAsia" w:eastAsiaTheme="minorEastAsia" w:hAnsiTheme="minorEastAsia" w:hint="eastAsia"/>
                    <w:sz w:val="18"/>
                    <w:szCs w:val="18"/>
                  </w:rPr>
                  <w:t>期</w:t>
                </w:r>
                <w:r>
                  <w:rPr>
                    <w:rFonts w:asciiTheme="minorEastAsia" w:eastAsiaTheme="minorEastAsia" w:hAnsiTheme="minorEastAsia"/>
                    <w:sz w:val="18"/>
                    <w:szCs w:val="18"/>
                  </w:rPr>
                  <w:t>增减变动金额（减少以“－”号填列）</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-2,379</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5,499,430</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13,381,695</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-58,993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-122,702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3,198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-2,286,939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-2,380,513</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14,150,783</w:t>
            </w:r>
          </w:p>
        </w:tc>
      </w:tr>
      <w:tr>
        <w:trPr>
          <w:trHeight w:val="20"/>
        </w:trPr>
        <w:sdt>
          <w:sdtPr>
            <w:rPr>
              <w:rFonts w:asciiTheme="minorEastAsia" w:eastAsiaTheme="minorEastAsia" w:hAnsiTheme="minorEastAsia"/>
              <w:sz w:val="18"/>
              <w:szCs w:val="18"/>
            </w:rPr>
            <w:tag w:val="_PLD_16bc7260292e4c19ad140bdfdf1ee46c"/>
            <w:id w:val="-996806525"/>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（一）综合收益总额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627,530</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-122,702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5,544,527</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6,049,355</w:t>
            </w:r>
          </w:p>
        </w:tc>
      </w:tr>
      <w:tr>
        <w:trPr>
          <w:trHeight w:val="20"/>
        </w:trPr>
        <w:sdt>
          <w:sdtPr>
            <w:rPr>
              <w:rFonts w:asciiTheme="minorEastAsia" w:eastAsiaTheme="minorEastAsia" w:hAnsiTheme="minorEastAsia"/>
              <w:sz w:val="18"/>
              <w:szCs w:val="18"/>
            </w:rPr>
            <w:tag w:val="_PLD_878006a38fe64d8788706ec54fa4a47b"/>
            <w:id w:val="845209962"/>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二</w:t>
                </w:r>
                <w:r>
                  <w:rPr>
                    <w:rFonts w:asciiTheme="minorEastAsia" w:eastAsiaTheme="minorEastAsia" w:hAnsiTheme="minorEastAsia"/>
                    <w:sz w:val="18"/>
                    <w:szCs w:val="18"/>
                  </w:rPr>
                  <w:t>）所有者投入和减少资本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-2,379</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15,000,000</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-4,698,977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-58,993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-143,601</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7,372,644</w:t>
            </w:r>
          </w:p>
        </w:tc>
      </w:tr>
      <w:tr>
        <w:trPr>
          <w:trHeight w:val="20"/>
        </w:trPr>
        <w:sdt>
          <w:sdtPr>
            <w:rPr>
              <w:rFonts w:asciiTheme="minorEastAsia" w:eastAsiaTheme="minorEastAsia" w:hAnsiTheme="minorEastAsia"/>
              <w:sz w:val="18"/>
              <w:szCs w:val="18"/>
            </w:rPr>
            <w:tag w:val="_PLD_87b7ce2356df4876b71161948845f6e6"/>
            <w:id w:val="35416297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1．所有者投入的普通股</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364b722055ed48639a8a73b5223e270d"/>
            <w:id w:val="1014491177"/>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2．其他权益工具持有者投入资本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15,000,000</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-9,600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-7,200</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14,983,200</w:t>
            </w:r>
          </w:p>
        </w:tc>
      </w:tr>
      <w:tr>
        <w:trPr>
          <w:trHeight w:val="20"/>
        </w:trPr>
        <w:sdt>
          <w:sdtPr>
            <w:rPr>
              <w:rFonts w:asciiTheme="minorEastAsia" w:eastAsiaTheme="minorEastAsia" w:hAnsiTheme="minorEastAsia"/>
              <w:sz w:val="18"/>
              <w:szCs w:val="18"/>
            </w:rPr>
            <w:tag w:val="_PLD_224ee219054e4248b57b186593db85a6"/>
            <w:id w:val="-351953485"/>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．股份支付计入所有者权益的金额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-2,379</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46,460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-58,993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103,067</w:t>
            </w:r>
          </w:p>
        </w:tc>
      </w:tr>
      <w:tr>
        <w:trPr>
          <w:trHeight w:val="20"/>
        </w:trPr>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4.同一控制下企业合并</w:t>
            </w:r>
          </w:p>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-4,735,837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-136,394</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-7,713,623</w:t>
            </w:r>
          </w:p>
        </w:tc>
      </w:tr>
      <w:tr>
        <w:trPr>
          <w:trHeight w:val="20"/>
        </w:trPr>
        <w:sdt>
          <w:sdtPr>
            <w:rPr>
              <w:rFonts w:asciiTheme="minorEastAsia" w:eastAsiaTheme="minorEastAsia" w:hAnsiTheme="minorEastAsia"/>
              <w:sz w:val="18"/>
              <w:szCs w:val="18"/>
            </w:rPr>
            <w:tag w:val="_PLD_2bb07b8c813f401e9b889121fc03b9bd"/>
            <w:id w:val="818700921"/>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5</w:t>
                </w:r>
                <w:r>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b280cf7ceeaa4dd8b4b782055ca20607"/>
            <w:id w:val="110485230"/>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三</w:t>
                </w:r>
                <w:r>
                  <w:rPr>
                    <w:rFonts w:asciiTheme="minorEastAsia" w:eastAsiaTheme="minorEastAsia" w:hAnsiTheme="minorEastAsia"/>
                    <w:sz w:val="18"/>
                    <w:szCs w:val="18"/>
                  </w:rPr>
                  <w:t>）利润分配</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-10,128,100</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-7,781,439</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-17,355,086</w:t>
            </w:r>
          </w:p>
        </w:tc>
      </w:tr>
      <w:tr>
        <w:trPr>
          <w:trHeight w:val="20"/>
        </w:trPr>
        <w:sdt>
          <w:sdtPr>
            <w:rPr>
              <w:rFonts w:asciiTheme="minorEastAsia" w:eastAsiaTheme="minorEastAsia" w:hAnsiTheme="minorEastAsia"/>
              <w:sz w:val="18"/>
              <w:szCs w:val="18"/>
            </w:rPr>
            <w:tag w:val="_PLD_bae08be416ce4c01886da1cc65a38bd8"/>
            <w:id w:val="-1004363779"/>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1．提取盈余公积</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-554,453</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4deac8941f8344f99337c17d7e8feb6f"/>
            <w:id w:val="11758352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．对所有者（或股东）的分配</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3.对其他权益工具持有者的分配</w:t>
            </w:r>
          </w:p>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-7,226,986</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-7,226,986</w:t>
            </w:r>
          </w:p>
        </w:tc>
      </w:tr>
      <w:tr>
        <w:trPr>
          <w:trHeight w:val="20"/>
        </w:trPr>
        <w:sdt>
          <w:sdtPr>
            <w:rPr>
              <w:rFonts w:asciiTheme="minorEastAsia" w:eastAsiaTheme="minorEastAsia" w:hAnsiTheme="minorEastAsia"/>
              <w:sz w:val="18"/>
              <w:szCs w:val="18"/>
            </w:rPr>
            <w:tag w:val="_PLD_ff58a7e98f194ea88a1175d96b9527b1"/>
            <w:id w:val="-574585990"/>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4</w:t>
                </w:r>
                <w:r>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-10,128,100</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-10,128,100</w:t>
            </w:r>
          </w:p>
        </w:tc>
      </w:tr>
      <w:tr>
        <w:trPr>
          <w:trHeight w:val="20"/>
        </w:trPr>
        <w:sdt>
          <w:sdtPr>
            <w:rPr>
              <w:rFonts w:asciiTheme="minorEastAsia" w:eastAsiaTheme="minorEastAsia" w:hAnsiTheme="minorEastAsia"/>
              <w:sz w:val="18"/>
              <w:szCs w:val="18"/>
            </w:rPr>
            <w:tag w:val="_PLD_8938fb7f04ef4f54b6183645ffa42f40"/>
            <w:id w:val="1156726415"/>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四</w:t>
                </w:r>
                <w:r>
                  <w:rPr>
                    <w:rFonts w:asciiTheme="minorEastAsia" w:eastAsiaTheme="minorEastAsia" w:hAnsiTheme="minorEastAsia"/>
                    <w:sz w:val="18"/>
                    <w:szCs w:val="18"/>
                  </w:rPr>
                  <w:t>）所有者权益内部结转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805f473e3b5c4efd99b4c472dc99ddb5"/>
            <w:id w:val="1041711365"/>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1．资本公积转增资本（或股本）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c2dd17db22d54e02ba5942412d96f3ac"/>
            <w:id w:val="-116424877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2．盈余公积转增资本（或股本）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de8855f6aaf94578a33d614865e23362"/>
            <w:id w:val="919982472"/>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3．盈余公积弥补亏损</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tc>
          <w:tcPr>
            <w:tcW w:w="2127" w:type="dxa"/>
            <w:vAlign w:val="center"/>
          </w:tcPr>
          <w:sdt>
            <w:sdtPr>
              <w:rPr>
                <w:rFonts w:asciiTheme="minorEastAsia" w:eastAsiaTheme="minorEastAsia" w:hAnsiTheme="minorEastAsia"/>
                <w:sz w:val="18"/>
                <w:szCs w:val="18"/>
              </w:rPr>
              <w:tag w:val="_PLD_0a2eca501c544dfc9dfd8d666c32970b"/>
              <w:id w:val="-1297445716"/>
            </w:sdtPr>
            <w:sdtContent>
              <w:p>
                <w:pPr>
                  <w:rPr>
                    <w:rFonts w:asciiTheme="minorEastAsia" w:eastAsiaTheme="minorEastAsia" w:hAnsiTheme="minorEastAsia"/>
                    <w:sz w:val="18"/>
                    <w:szCs w:val="18"/>
                  </w:rPr>
                </w:pPr>
                <w:r>
                  <w:rPr>
                    <w:rFonts w:asciiTheme="minorEastAsia" w:eastAsiaTheme="minorEastAsia" w:hAnsiTheme="minorEastAsia"/>
                    <w:sz w:val="18"/>
                    <w:szCs w:val="18"/>
                  </w:rPr>
                  <w:t>4．设定受益计划变动额结转留存收益</w:t>
                </w:r>
              </w:p>
            </w:sdtContent>
          </w:sdt>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tc>
          <w:tcPr>
            <w:tcW w:w="2127" w:type="dxa"/>
            <w:vAlign w:val="center"/>
          </w:tcPr>
          <w:sdt>
            <w:sdtPr>
              <w:rPr>
                <w:rFonts w:asciiTheme="minorEastAsia" w:eastAsiaTheme="minorEastAsia" w:hAnsiTheme="minorEastAsia"/>
                <w:sz w:val="18"/>
                <w:szCs w:val="18"/>
              </w:rPr>
              <w:tag w:val="_PLD_e2c794a3876347288864cf2ea4ed53e5"/>
              <w:id w:val="-127855942"/>
            </w:sdtPr>
            <w:sdtContent>
              <w:p>
                <w:pPr>
                  <w:rPr>
                    <w:rFonts w:asciiTheme="minorEastAsia" w:eastAsiaTheme="minorEastAsia" w:hAnsiTheme="minorEastAsia"/>
                    <w:sz w:val="18"/>
                    <w:szCs w:val="18"/>
                  </w:rPr>
                </w:pPr>
                <w:r>
                  <w:rPr>
                    <w:rFonts w:asciiTheme="minorEastAsia" w:eastAsiaTheme="minorEastAsia" w:hAnsiTheme="minorEastAsia"/>
                    <w:sz w:val="18"/>
                    <w:szCs w:val="18"/>
                  </w:rPr>
                  <w:t>5．其他综合收益结转留存收益</w:t>
                </w:r>
              </w:p>
            </w:sdtContent>
          </w:sdt>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tc>
          <w:tcPr>
            <w:tcW w:w="2127" w:type="dxa"/>
            <w:vAlign w:val="center"/>
          </w:tcPr>
          <w:sdt>
            <w:sdtPr>
              <w:rPr>
                <w:rFonts w:asciiTheme="minorEastAsia" w:eastAsiaTheme="minorEastAsia" w:hAnsiTheme="minorEastAsia"/>
                <w:sz w:val="18"/>
                <w:szCs w:val="18"/>
              </w:rPr>
              <w:tag w:val="_PLD_921b15a12ec54658b00654a6a398aa0c"/>
              <w:id w:val="-1340694684"/>
            </w:sdtPr>
            <w:sdtContent>
              <w:p>
                <w:pPr>
                  <w:rPr>
                    <w:rFonts w:asciiTheme="minorEastAsia" w:eastAsiaTheme="minorEastAsia" w:hAnsiTheme="minorEastAsia"/>
                    <w:sz w:val="18"/>
                    <w:szCs w:val="18"/>
                  </w:rPr>
                </w:pPr>
                <w:r>
                  <w:rPr>
                    <w:rFonts w:asciiTheme="minorEastAsia" w:eastAsiaTheme="minorEastAsia" w:hAnsiTheme="minorEastAsia"/>
                    <w:sz w:val="18"/>
                    <w:szCs w:val="18"/>
                  </w:rPr>
                  <w:t>6．其他</w:t>
                </w:r>
              </w:p>
            </w:sdtContent>
          </w:sdt>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ea236cbce24c48eabfeb2f3f4a19c5a8"/>
            <w:id w:val="823632271"/>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（五）专项储备</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3,198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3,198</w:t>
            </w:r>
          </w:p>
        </w:tc>
      </w:tr>
      <w:tr>
        <w:trPr>
          <w:trHeight w:val="20"/>
        </w:trPr>
        <w:sdt>
          <w:sdtPr>
            <w:rPr>
              <w:rFonts w:asciiTheme="minorEastAsia" w:eastAsiaTheme="minorEastAsia" w:hAnsiTheme="minorEastAsia"/>
              <w:sz w:val="18"/>
              <w:szCs w:val="18"/>
            </w:rPr>
            <w:tag w:val="_PLD_f798cf6aa8f24816a06eab77e71e6a42"/>
            <w:id w:val="1593889793"/>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1．本期提取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1,126,060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1,126,060</w:t>
            </w:r>
          </w:p>
        </w:tc>
      </w:tr>
      <w:tr>
        <w:trPr>
          <w:trHeight w:val="20"/>
        </w:trPr>
        <w:sdt>
          <w:sdtPr>
            <w:rPr>
              <w:rFonts w:asciiTheme="minorEastAsia" w:eastAsiaTheme="minorEastAsia" w:hAnsiTheme="minorEastAsia"/>
              <w:sz w:val="18"/>
              <w:szCs w:val="18"/>
            </w:rPr>
            <w:tag w:val="_PLD_294f6f5256724757ad52c27b29a0bb7d"/>
            <w:id w:val="-1739785889"/>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2．本期使用</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-1,122,862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-1,122,862</w:t>
            </w:r>
          </w:p>
        </w:tc>
      </w:tr>
      <w:tr>
        <w:trPr>
          <w:trHeight w:val="20"/>
        </w:trPr>
        <w:sdt>
          <w:sdtPr>
            <w:rPr>
              <w:rFonts w:asciiTheme="minorEastAsia" w:eastAsiaTheme="minorEastAsia" w:hAnsiTheme="minorEastAsia"/>
              <w:sz w:val="18"/>
              <w:szCs w:val="18"/>
            </w:rPr>
            <w:tag w:val="_PLD_6633049a29464fd58ed8f9bdc82f6c7b"/>
            <w:id w:val="421229177"/>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（六）其他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18,080,672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18,080,672</w:t>
            </w:r>
          </w:p>
        </w:tc>
      </w:tr>
      <w:tr>
        <w:trPr>
          <w:trHeight w:val="20"/>
        </w:trPr>
        <w:sdt>
          <w:sdtPr>
            <w:rPr>
              <w:rFonts w:asciiTheme="minorEastAsia" w:eastAsiaTheme="minorEastAsia" w:hAnsiTheme="minorEastAsia"/>
              <w:sz w:val="18"/>
              <w:szCs w:val="18"/>
            </w:rPr>
            <w:tag w:val="_PLD_0d209cea233c428da026233fffdd75cf"/>
            <w:id w:val="-636644031"/>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四、本期期末余额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10,037,481</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28,766,651</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18,010,438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53,424</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316,517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1,143,365</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554,453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6,794,044</w:t>
            </w:r>
          </w:p>
        </w:tc>
        <w:tc>
          <w:tcPr>
            <w:tcW w:w="567"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65,569,525</w:t>
            </w:r>
          </w:p>
        </w:tc>
      </w:tr>
    </w:tbl>
    <w:p>
      <w:pPr>
        <w:rPr>
          <w:sz w:val="11"/>
          <w:szCs w:val="11"/>
        </w:rPr>
      </w:pPr>
    </w:p>
    <w:tbl>
      <w:tblPr>
        <w:tblStyle w:val="Style100"/>
        <w:tblW w:w="15310" w:type="dxa"/>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1276"/>
        <w:gridCol w:w="992"/>
        <w:gridCol w:w="1134"/>
        <w:gridCol w:w="992"/>
        <w:gridCol w:w="1134"/>
        <w:gridCol w:w="1134"/>
        <w:gridCol w:w="1134"/>
        <w:gridCol w:w="1134"/>
        <w:gridCol w:w="1134"/>
        <w:gridCol w:w="1418"/>
        <w:gridCol w:w="425"/>
        <w:gridCol w:w="1276"/>
      </w:tblGrid>
      <w:tr>
        <w:trPr>
          <w:trHeight w:val="20"/>
        </w:trPr>
        <w:tc>
          <w:tcPr>
            <w:tcW w:w="2127" w:type="dxa"/>
            <w:vMerge w:val="restart"/>
            <w:vAlign w:val="center"/>
          </w:tcPr>
          <w:sdt>
            <w:sdtPr>
              <w:rPr>
                <w:rFonts w:asciiTheme="minorEastAsia" w:eastAsiaTheme="minorEastAsia" w:hAnsiTheme="minorEastAsia"/>
                <w:sz w:val="18"/>
                <w:szCs w:val="18"/>
              </w:rPr>
              <w:tag w:val="_PLD_64a794ab75214f6d9d66748804bee4e8"/>
              <w:id w:val="851849199"/>
            </w:sdtPr>
            <w:sdtContent>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项目</w:t>
                </w:r>
              </w:p>
            </w:sdtContent>
          </w:sdt>
        </w:tc>
        <w:tc>
          <w:tcPr>
            <w:tcW w:w="13183" w:type="dxa"/>
            <w:gridSpan w:val="12"/>
            <w:vAlign w:val="center"/>
          </w:tcPr>
          <w:p>
            <w:pPr>
              <w:adjustRightInd w:val="0"/>
              <w:snapToGrid w:val="0"/>
              <w:jc w:val="center"/>
              <w:rPr>
                <w:rFonts w:asciiTheme="minorEastAsia" w:eastAsiaTheme="minorEastAsia" w:hAnsiTheme="minorEastAsia"/>
                <w:sz w:val="18"/>
                <w:szCs w:val="18"/>
              </w:rPr>
            </w:pPr>
            <w:sdt>
              <w:sdtPr>
                <w:rPr>
                  <w:rFonts w:asciiTheme="minorEastAsia" w:eastAsiaTheme="minorEastAsia" w:hAnsiTheme="minorEastAsia"/>
                  <w:sz w:val="18"/>
                  <w:szCs w:val="18"/>
                </w:rPr>
                <w:tag w:val="_PLD_6226137cffd442dfb505b8cfe7d1f423"/>
                <w:id w:val="805974902"/>
              </w:sdtPr>
              <w:sdtContent>
                <w:r>
                  <w:rPr>
                    <w:rFonts w:asciiTheme="minorEastAsia" w:eastAsiaTheme="minorEastAsia" w:hAnsiTheme="minorEastAsia" w:hint="eastAsia"/>
                    <w:sz w:val="18"/>
                    <w:szCs w:val="18"/>
                  </w:rPr>
                  <w:t>2024年度</w:t>
                </w:r>
              </w:sdtContent>
            </w:sdt>
          </w:p>
        </w:tc>
      </w:tr>
      <w:tr>
        <w:trPr>
          <w:trHeight w:val="315"/>
        </w:trPr>
        <w:tc>
          <w:tcPr>
            <w:tcW w:w="2127" w:type="dxa"/>
            <w:vMerge/>
            <w:vAlign w:val="center"/>
          </w:tcPr>
          <w:p>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0e316f064db43a38ddec14c349b4dfa"/>
            <w:id w:val="-2001731732"/>
          </w:sdtPr>
          <w:sdtContent>
            <w:tc>
              <w:tcPr>
                <w:tcW w:w="1276" w:type="dxa"/>
                <w:vMerge w:val="restart"/>
                <w:tcBorders>
                  <w:right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实收资本(或股本)</w:t>
                </w:r>
              </w:p>
            </w:tc>
          </w:sdtContent>
        </w:sdt>
        <w:sdt>
          <w:sdtPr>
            <w:rPr>
              <w:rFonts w:asciiTheme="minorEastAsia" w:eastAsiaTheme="minorEastAsia" w:hAnsiTheme="minorEastAsia"/>
              <w:sz w:val="18"/>
              <w:szCs w:val="18"/>
            </w:rPr>
            <w:tag w:val="_PLD_2c82747108ee4c518651265b45dbebcd"/>
            <w:id w:val="877287215"/>
          </w:sdtPr>
          <w:sdtContent>
            <w:tc>
              <w:tcPr>
                <w:tcW w:w="3118" w:type="dxa"/>
                <w:gridSpan w:val="3"/>
                <w:tcBorders>
                  <w:left w:val="single" w:sz="4" w:space="0" w:color="auto"/>
                  <w:bottom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c459549b516242be83fce2e92cc794e6"/>
            <w:id w:val="-209569715"/>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9979085a666a4b7a9ee698268b0bb615"/>
            <w:id w:val="550349246"/>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3b870c2efbdc421980e0e6ed21bc828a"/>
            <w:id w:val="1386525922"/>
          </w:sdtPr>
          <w:sdtContent>
            <w:tc>
              <w:tcPr>
                <w:tcW w:w="1134" w:type="dxa"/>
                <w:vMerge w:val="restart"/>
                <w:vAlign w:val="center"/>
              </w:tcPr>
              <w:p>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68a9918174cf4752ad67388e59bb3c51"/>
            <w:id w:val="-1697302475"/>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ddda9b1710646a5811c9efb65bf8703"/>
            <w:id w:val="-1434430041"/>
          </w:sdtPr>
          <w:sdtContent>
            <w:tc>
              <w:tcPr>
                <w:tcW w:w="1134"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d210b1f3e63743b7b7ad078da7c00997"/>
            <w:id w:val="815155084"/>
          </w:sdtPr>
          <w:sdtContent>
            <w:tc>
              <w:tcPr>
                <w:tcW w:w="1418"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未分配利润</w:t>
                </w:r>
              </w:p>
            </w:tc>
          </w:sdtContent>
        </w:sdt>
        <w:tc>
          <w:tcPr>
            <w:tcW w:w="425"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
          <w:sdtPr>
            <w:rPr>
              <w:rFonts w:asciiTheme="minorEastAsia" w:eastAsiaTheme="minorEastAsia" w:hAnsiTheme="minorEastAsia"/>
              <w:sz w:val="18"/>
              <w:szCs w:val="18"/>
            </w:rPr>
            <w:tag w:val="_PLD_d0efa115b304401592a693cab0f3a46a"/>
            <w:id w:val="481665920"/>
          </w:sdtPr>
          <w:sdtContent>
            <w:tc>
              <w:tcPr>
                <w:tcW w:w="1276" w:type="dxa"/>
                <w:vMerge w:val="restart"/>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所有者权益合计</w:t>
                </w:r>
              </w:p>
            </w:tc>
          </w:sdtContent>
        </w:sdt>
      </w:tr>
      <w:tr>
        <w:trPr>
          <w:trHeight w:val="294"/>
        </w:trPr>
        <w:tc>
          <w:tcPr>
            <w:tcW w:w="2127" w:type="dxa"/>
            <w:vMerge/>
            <w:vAlign w:val="center"/>
          </w:tcPr>
          <w:p>
            <w:pPr>
              <w:adjustRightInd w:val="0"/>
              <w:snapToGrid w:val="0"/>
              <w:rPr>
                <w:rFonts w:asciiTheme="minorEastAsia" w:eastAsiaTheme="minorEastAsia" w:hAnsiTheme="minorEastAsia"/>
                <w:sz w:val="18"/>
                <w:szCs w:val="18"/>
              </w:rPr>
            </w:pPr>
          </w:p>
        </w:tc>
        <w:tc>
          <w:tcPr>
            <w:tcW w:w="1276" w:type="dxa"/>
            <w:vMerge/>
            <w:tcBorders>
              <w:right w:val="single" w:sz="4" w:space="0" w:color="auto"/>
            </w:tcBorders>
            <w:vAlign w:val="center"/>
          </w:tcPr>
          <w:p>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f219b4732c3e4bd5a67b8c298432fd3d"/>
            <w:id w:val="-1238246128"/>
          </w:sdtPr>
          <w:sdtContent>
            <w:tc>
              <w:tcPr>
                <w:tcW w:w="992" w:type="dxa"/>
                <w:tcBorders>
                  <w:top w:val="single" w:sz="4" w:space="0" w:color="auto"/>
                  <w:left w:val="single" w:sz="4" w:space="0" w:color="auto"/>
                  <w:right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9c8ca36c728447658d99fee93d742edf"/>
            <w:id w:val="616335305"/>
          </w:sdtPr>
          <w:sdtContent>
            <w:tc>
              <w:tcPr>
                <w:tcW w:w="1134" w:type="dxa"/>
                <w:tcBorders>
                  <w:top w:val="single" w:sz="4" w:space="0" w:color="auto"/>
                  <w:left w:val="single" w:sz="4" w:space="0" w:color="auto"/>
                  <w:right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d053abd77b574111883b8fafe3a173d2"/>
            <w:id w:val="-1953469790"/>
          </w:sdtPr>
          <w:sdtContent>
            <w:tc>
              <w:tcPr>
                <w:tcW w:w="992" w:type="dxa"/>
                <w:tcBorders>
                  <w:top w:val="single" w:sz="4" w:space="0" w:color="auto"/>
                  <w:left w:val="single" w:sz="4" w:space="0" w:color="auto"/>
                </w:tcBorders>
                <w:vAlign w:val="center"/>
              </w:tcPr>
              <w:p>
                <w:pPr>
                  <w:adjustRightInd w:val="0"/>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Content>
        </w:sdt>
        <w:tc>
          <w:tcPr>
            <w:tcW w:w="1134" w:type="dxa"/>
            <w:vMerge/>
            <w:vAlign w:val="center"/>
          </w:tcPr>
          <w:p>
            <w:pPr>
              <w:adjustRightInd w:val="0"/>
              <w:snapToGrid w:val="0"/>
              <w:jc w:val="center"/>
              <w:rPr>
                <w:rFonts w:asciiTheme="minorEastAsia" w:eastAsiaTheme="minorEastAsia" w:hAnsiTheme="minorEastAsia"/>
                <w:sz w:val="18"/>
                <w:szCs w:val="18"/>
              </w:rPr>
            </w:pPr>
          </w:p>
        </w:tc>
        <w:tc>
          <w:tcPr>
            <w:tcW w:w="1134" w:type="dxa"/>
            <w:vMerge/>
            <w:vAlign w:val="center"/>
          </w:tcPr>
          <w:p>
            <w:pPr>
              <w:adjustRightInd w:val="0"/>
              <w:snapToGrid w:val="0"/>
              <w:jc w:val="center"/>
              <w:rPr>
                <w:rFonts w:asciiTheme="minorEastAsia" w:eastAsiaTheme="minorEastAsia" w:hAnsiTheme="minorEastAsia"/>
                <w:sz w:val="18"/>
                <w:szCs w:val="18"/>
              </w:rPr>
            </w:pPr>
          </w:p>
        </w:tc>
        <w:tc>
          <w:tcPr>
            <w:tcW w:w="1134" w:type="dxa"/>
            <w:vMerge/>
            <w:vAlign w:val="center"/>
          </w:tcPr>
          <w:p>
            <w:pPr>
              <w:jc w:val="center"/>
              <w:rPr>
                <w:rFonts w:asciiTheme="minorEastAsia" w:eastAsiaTheme="minorEastAsia" w:hAnsiTheme="minorEastAsia"/>
                <w:sz w:val="18"/>
                <w:szCs w:val="18"/>
              </w:rPr>
            </w:pPr>
          </w:p>
        </w:tc>
        <w:tc>
          <w:tcPr>
            <w:tcW w:w="1134" w:type="dxa"/>
            <w:vMerge/>
            <w:vAlign w:val="center"/>
          </w:tcPr>
          <w:p>
            <w:pPr>
              <w:adjustRightInd w:val="0"/>
              <w:snapToGrid w:val="0"/>
              <w:jc w:val="center"/>
              <w:rPr>
                <w:rFonts w:asciiTheme="minorEastAsia" w:eastAsiaTheme="minorEastAsia" w:hAnsiTheme="minorEastAsia"/>
                <w:sz w:val="18"/>
                <w:szCs w:val="18"/>
              </w:rPr>
            </w:pPr>
          </w:p>
        </w:tc>
        <w:tc>
          <w:tcPr>
            <w:tcW w:w="1134" w:type="dxa"/>
            <w:vMerge/>
            <w:vAlign w:val="center"/>
          </w:tcPr>
          <w:p>
            <w:pPr>
              <w:adjustRightInd w:val="0"/>
              <w:snapToGrid w:val="0"/>
              <w:jc w:val="center"/>
              <w:rPr>
                <w:rFonts w:asciiTheme="minorEastAsia" w:eastAsiaTheme="minorEastAsia" w:hAnsiTheme="minorEastAsia"/>
                <w:sz w:val="18"/>
                <w:szCs w:val="18"/>
              </w:rPr>
            </w:pPr>
          </w:p>
        </w:tc>
        <w:tc>
          <w:tcPr>
            <w:tcW w:w="1418" w:type="dxa"/>
            <w:vMerge/>
            <w:vAlign w:val="center"/>
          </w:tcPr>
          <w:p>
            <w:pPr>
              <w:adjustRightInd w:val="0"/>
              <w:snapToGrid w:val="0"/>
              <w:jc w:val="center"/>
              <w:rPr>
                <w:rFonts w:asciiTheme="minorEastAsia" w:eastAsiaTheme="minorEastAsia" w:hAnsiTheme="minorEastAsia"/>
                <w:sz w:val="18"/>
                <w:szCs w:val="18"/>
              </w:rPr>
            </w:pPr>
          </w:p>
        </w:tc>
        <w:tc>
          <w:tcPr>
            <w:tcW w:w="425" w:type="dxa"/>
            <w:vMerge/>
            <w:vAlign w:val="center"/>
          </w:tcPr>
          <w:p>
            <w:pPr>
              <w:adjustRightInd w:val="0"/>
              <w:snapToGrid w:val="0"/>
              <w:jc w:val="center"/>
              <w:rPr>
                <w:rFonts w:asciiTheme="minorEastAsia" w:eastAsiaTheme="minorEastAsia" w:hAnsiTheme="minorEastAsia"/>
                <w:sz w:val="18"/>
                <w:szCs w:val="18"/>
              </w:rPr>
            </w:pPr>
          </w:p>
        </w:tc>
        <w:tc>
          <w:tcPr>
            <w:tcW w:w="1276" w:type="dxa"/>
            <w:vMerge/>
            <w:vAlign w:val="center"/>
          </w:tcPr>
          <w:p>
            <w:pPr>
              <w:adjustRightInd w:val="0"/>
              <w:snapToGrid w:val="0"/>
              <w:jc w:val="center"/>
              <w:rPr>
                <w:rFonts w:asciiTheme="minorEastAsia" w:eastAsiaTheme="minorEastAsia" w:hAnsiTheme="minorEastAsia"/>
                <w:sz w:val="18"/>
                <w:szCs w:val="18"/>
              </w:rPr>
            </w:pPr>
          </w:p>
        </w:tc>
      </w:tr>
      <w:tr>
        <w:trPr>
          <w:trHeight w:val="20"/>
        </w:trPr>
        <w:sdt>
          <w:sdtPr>
            <w:rPr>
              <w:rFonts w:asciiTheme="minorEastAsia" w:eastAsiaTheme="minorEastAsia" w:hAnsiTheme="minorEastAsia"/>
              <w:sz w:val="18"/>
              <w:szCs w:val="18"/>
            </w:rPr>
            <w:tag w:val="_PLD_4b9f68f704bb4acfae62b3d3cbf0d790"/>
            <w:id w:val="746468108"/>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一、上年</w:t>
                </w:r>
                <w:r>
                  <w:rPr>
                    <w:rFonts w:asciiTheme="minorEastAsia" w:eastAsiaTheme="minorEastAsia" w:hAnsiTheme="minorEastAsia" w:hint="eastAsia"/>
                    <w:sz w:val="18"/>
                    <w:szCs w:val="18"/>
                  </w:rPr>
                  <w:t>年</w:t>
                </w:r>
                <w:r>
                  <w:rPr>
                    <w:rFonts w:asciiTheme="minorEastAsia" w:eastAsiaTheme="minorEastAsia" w:hAnsiTheme="minorEastAsia"/>
                    <w:sz w:val="18"/>
                    <w:szCs w:val="18"/>
                  </w:rPr>
                  <w:t>末余额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7,439,371</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16,541,777</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282,863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324,980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215,583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1,431,178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1,663,815</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14,709,639</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41,959,246</w:t>
            </w:r>
          </w:p>
        </w:tc>
      </w:tr>
      <w:tr>
        <w:trPr>
          <w:trHeight w:val="20"/>
        </w:trPr>
        <w:sdt>
          <w:sdtPr>
            <w:rPr>
              <w:rFonts w:asciiTheme="minorEastAsia" w:eastAsiaTheme="minorEastAsia" w:hAnsiTheme="minorEastAsia"/>
              <w:sz w:val="18"/>
              <w:szCs w:val="18"/>
            </w:rPr>
            <w:tag w:val="_PLD_f7c284bf05bc4bb48bad7c818c157aa9"/>
            <w:id w:val="-1396811523"/>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加：会计政策变更</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b84d86ae618141938210b68f81aeafe0"/>
            <w:id w:val="1189643115"/>
          </w:sdtPr>
          <w:sdtContent>
            <w:tc>
              <w:tcPr>
                <w:tcW w:w="2127" w:type="dxa"/>
                <w:vAlign w:val="center"/>
              </w:tcPr>
              <w:p>
                <w:pPr>
                  <w:ind w:firstLineChars="200" w:firstLine="360"/>
                  <w:rPr>
                    <w:rFonts w:asciiTheme="minorEastAsia" w:eastAsiaTheme="minorEastAsia" w:hAnsiTheme="minorEastAsia"/>
                    <w:sz w:val="18"/>
                    <w:szCs w:val="18"/>
                  </w:rPr>
                </w:pPr>
                <w:r>
                  <w:rPr>
                    <w:rFonts w:asciiTheme="minorEastAsia" w:eastAsiaTheme="minorEastAsia" w:hAnsiTheme="minorEastAsia"/>
                    <w:sz w:val="18"/>
                    <w:szCs w:val="18"/>
                  </w:rPr>
                  <w:t>前期差错更正</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ae13695d51ae418dba0671a598b76ffb"/>
            <w:id w:val="57908887"/>
          </w:sdtPr>
          <w:sdtContent>
            <w:tc>
              <w:tcPr>
                <w:tcW w:w="2127" w:type="dxa"/>
                <w:vAlign w:val="center"/>
              </w:tcPr>
              <w:p>
                <w:pPr>
                  <w:ind w:firstLineChars="200" w:firstLine="360"/>
                  <w:rPr>
                    <w:rFonts w:asciiTheme="minorEastAsia" w:eastAsiaTheme="minorEastAsia" w:hAnsiTheme="minorEastAsia"/>
                    <w:sz w:val="18"/>
                    <w:szCs w:val="18"/>
                  </w:rPr>
                </w:pPr>
                <w:r>
                  <w:rPr>
                    <w:rFonts w:asciiTheme="minorEastAsia" w:eastAsiaTheme="minorEastAsia" w:hAnsiTheme="minorEastAsia" w:hint="eastAsia"/>
                    <w:sz w:val="18"/>
                    <w:szCs w:val="18"/>
                  </w:rPr>
                  <w:t>其他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4841ceb909a14a2abffb67eeb3435694"/>
            <w:id w:val="196315269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二、本年</w:t>
                </w:r>
                <w:r>
                  <w:rPr>
                    <w:rFonts w:asciiTheme="minorEastAsia" w:eastAsiaTheme="minorEastAsia" w:hAnsiTheme="minorEastAsia" w:hint="eastAsia"/>
                    <w:sz w:val="18"/>
                    <w:szCs w:val="18"/>
                  </w:rPr>
                  <w:t>期</w:t>
                </w:r>
                <w:r>
                  <w:rPr>
                    <w:rFonts w:asciiTheme="minorEastAsia" w:eastAsiaTheme="minorEastAsia" w:hAnsiTheme="minorEastAsia"/>
                    <w:sz w:val="18"/>
                    <w:szCs w:val="18"/>
                  </w:rPr>
                  <w:t>初余额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7,439,371</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16,541,777</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282,863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324,980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215,583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1,431,178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1,663,815</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14,709,639</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41,959,246</w:t>
            </w:r>
          </w:p>
        </w:tc>
      </w:tr>
      <w:tr>
        <w:trPr>
          <w:trHeight w:val="20"/>
        </w:trPr>
        <w:sdt>
          <w:sdtPr>
            <w:rPr>
              <w:rFonts w:asciiTheme="minorEastAsia" w:eastAsiaTheme="minorEastAsia" w:hAnsiTheme="minorEastAsia"/>
              <w:sz w:val="18"/>
              <w:szCs w:val="18"/>
            </w:rPr>
            <w:tag w:val="_PLD_302909e63784410386a25e7b0c2339c7"/>
            <w:id w:val="-1460175157"/>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三、本</w:t>
                </w:r>
                <w:r>
                  <w:rPr>
                    <w:rFonts w:asciiTheme="minorEastAsia" w:eastAsiaTheme="minorEastAsia" w:hAnsiTheme="minorEastAsia" w:hint="eastAsia"/>
                    <w:sz w:val="18"/>
                    <w:szCs w:val="18"/>
                  </w:rPr>
                  <w:t>期</w:t>
                </w:r>
                <w:r>
                  <w:rPr>
                    <w:rFonts w:asciiTheme="minorEastAsia" w:eastAsiaTheme="minorEastAsia" w:hAnsiTheme="minorEastAsia"/>
                    <w:sz w:val="18"/>
                    <w:szCs w:val="18"/>
                  </w:rPr>
                  <w:t>增减变动金额（减少以“－”号填列）</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2,600,489</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6,725,444</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4,345,880</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-212,563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223,636</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-291,011</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-5,535,082</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9,459,496</w:t>
            </w:r>
          </w:p>
        </w:tc>
      </w:tr>
      <w:tr>
        <w:trPr>
          <w:trHeight w:val="20"/>
        </w:trPr>
        <w:sdt>
          <w:sdtPr>
            <w:rPr>
              <w:rFonts w:asciiTheme="minorEastAsia" w:eastAsiaTheme="minorEastAsia" w:hAnsiTheme="minorEastAsia"/>
              <w:sz w:val="18"/>
              <w:szCs w:val="18"/>
            </w:rPr>
            <w:tag w:val="_PLD_565b6c314fb34fb6b0c677b992754d48"/>
            <w:id w:val="-1935192093"/>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（一）综合收益总额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631,863</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223,636</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11,775,778</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12,631,277</w:t>
            </w:r>
          </w:p>
        </w:tc>
      </w:tr>
      <w:tr>
        <w:trPr>
          <w:trHeight w:val="20"/>
        </w:trPr>
        <w:sdt>
          <w:sdtPr>
            <w:rPr>
              <w:rFonts w:asciiTheme="minorEastAsia" w:eastAsiaTheme="minorEastAsia" w:hAnsiTheme="minorEastAsia"/>
              <w:sz w:val="18"/>
              <w:szCs w:val="18"/>
            </w:rPr>
            <w:tag w:val="_PLD_4f759bcfeb8744e79a2c846685bf5bf7"/>
            <w:id w:val="-40282142"/>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二</w:t>
                </w:r>
                <w:r>
                  <w:rPr>
                    <w:rFonts w:asciiTheme="minorEastAsia" w:eastAsiaTheme="minorEastAsia" w:hAnsiTheme="minorEastAsia"/>
                    <w:sz w:val="18"/>
                    <w:szCs w:val="18"/>
                  </w:rPr>
                  <w:t>）所有者投入和减少资本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283,599</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6,712,330</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4,351,559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-212,563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11,560,051</w:t>
            </w:r>
          </w:p>
        </w:tc>
      </w:tr>
      <w:tr>
        <w:trPr>
          <w:trHeight w:val="20"/>
        </w:trPr>
        <w:sdt>
          <w:sdtPr>
            <w:rPr>
              <w:rFonts w:asciiTheme="minorEastAsia" w:eastAsiaTheme="minorEastAsia" w:hAnsiTheme="minorEastAsia"/>
              <w:sz w:val="18"/>
              <w:szCs w:val="18"/>
            </w:rPr>
            <w:tag w:val="_PLD_2ca71442ff4441faa275f28e1236357f"/>
            <w:id w:val="-803620520"/>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1．所有者投入的普通股</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285,000</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4,229,108</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4,514,108</w:t>
            </w:r>
          </w:p>
        </w:tc>
      </w:tr>
      <w:tr>
        <w:trPr>
          <w:trHeight w:val="20"/>
        </w:trPr>
        <w:sdt>
          <w:sdtPr>
            <w:rPr>
              <w:rFonts w:asciiTheme="minorEastAsia" w:eastAsiaTheme="minorEastAsia" w:hAnsiTheme="minorEastAsia"/>
              <w:sz w:val="18"/>
              <w:szCs w:val="18"/>
            </w:rPr>
            <w:tag w:val="_PLD_c9217abeeb6e46ac8415ee33ff13a461"/>
            <w:id w:val="-87446750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2．其他权益工具持有者投入资本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6,712,330</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-22,245</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6,690,085</w:t>
            </w:r>
          </w:p>
        </w:tc>
      </w:tr>
      <w:tr>
        <w:trPr>
          <w:trHeight w:val="20"/>
        </w:trPr>
        <w:sdt>
          <w:sdtPr>
            <w:rPr>
              <w:rFonts w:asciiTheme="minorEastAsia" w:eastAsiaTheme="minorEastAsia" w:hAnsiTheme="minorEastAsia"/>
              <w:sz w:val="18"/>
              <w:szCs w:val="18"/>
            </w:rPr>
            <w:tag w:val="_PLD_5b62e12f39a04fa3a5e1647793ab3e5e"/>
            <w:id w:val="-1418860295"/>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3</w:t>
                </w:r>
                <w:r>
                  <w:rPr>
                    <w:rFonts w:asciiTheme="minorEastAsia" w:eastAsiaTheme="minorEastAsia" w:hAnsiTheme="minorEastAsia"/>
                    <w:sz w:val="18"/>
                    <w:szCs w:val="18"/>
                  </w:rPr>
                  <w:t>．股份支付计入所有者权益的金额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-1,401</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154,055</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-212,563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365,217</w:t>
            </w:r>
          </w:p>
        </w:tc>
      </w:tr>
      <w:tr>
        <w:trPr>
          <w:trHeight w:val="20"/>
        </w:trPr>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4.同一控制下企业合并</w:t>
            </w:r>
          </w:p>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-9,359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-9,359</w:t>
            </w:r>
          </w:p>
        </w:tc>
      </w:tr>
      <w:tr>
        <w:trPr>
          <w:trHeight w:val="20"/>
        </w:trPr>
        <w:sdt>
          <w:sdtPr>
            <w:rPr>
              <w:rFonts w:asciiTheme="minorEastAsia" w:eastAsiaTheme="minorEastAsia" w:hAnsiTheme="minorEastAsia"/>
              <w:sz w:val="18"/>
              <w:szCs w:val="18"/>
            </w:rPr>
            <w:tag w:val="_PLD_09a354c759244b168ea7e28904658be8"/>
            <w:id w:val="36872985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5</w:t>
                </w:r>
                <w:r>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806901fee79c40f688fa2f02ab1d596d"/>
            <w:id w:val="-812706081"/>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三</w:t>
                </w:r>
                <w:r>
                  <w:rPr>
                    <w:rFonts w:asciiTheme="minorEastAsia" w:eastAsiaTheme="minorEastAsia" w:hAnsiTheme="minorEastAsia"/>
                    <w:sz w:val="18"/>
                    <w:szCs w:val="18"/>
                  </w:rPr>
                  <w:t>）利润分配</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2,316,890</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-618,749</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-17,310,860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-14,435,142</w:t>
            </w:r>
          </w:p>
        </w:tc>
      </w:tr>
      <w:tr>
        <w:trPr>
          <w:trHeight w:val="20"/>
        </w:trPr>
        <w:sdt>
          <w:sdtPr>
            <w:rPr>
              <w:rFonts w:asciiTheme="minorEastAsia" w:eastAsiaTheme="minorEastAsia" w:hAnsiTheme="minorEastAsia"/>
              <w:sz w:val="18"/>
              <w:szCs w:val="18"/>
            </w:rPr>
            <w:tag w:val="_PLD_5936c2d33e22476597644c98158847c6"/>
            <w:id w:val="-139557534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1．提取盈余公积</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-1,177,577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210044b047ac492dbe47ba7aedd16fad"/>
            <w:id w:val="1727949668"/>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w:t>
                </w:r>
                <w:r>
                  <w:rPr>
                    <w:rFonts w:asciiTheme="minorEastAsia" w:eastAsiaTheme="minorEastAsia" w:hAnsiTheme="minorEastAsia"/>
                    <w:sz w:val="18"/>
                    <w:szCs w:val="18"/>
                  </w:rPr>
                  <w:t>．对所有者（或股东）的分配</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3.对其他权益工具持有者的分配</w:t>
            </w:r>
          </w:p>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-13,816,393</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-13,816,393</w:t>
            </w:r>
          </w:p>
        </w:tc>
      </w:tr>
      <w:tr>
        <w:trPr>
          <w:trHeight w:val="20"/>
        </w:trPr>
        <w:sdt>
          <w:sdtPr>
            <w:rPr>
              <w:rFonts w:asciiTheme="minorEastAsia" w:eastAsiaTheme="minorEastAsia" w:hAnsiTheme="minorEastAsia"/>
              <w:sz w:val="18"/>
              <w:szCs w:val="18"/>
            </w:rPr>
            <w:tag w:val="_PLD_65affb7384874e8facf889d04ab4dd24"/>
            <w:id w:val="1093435078"/>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4</w:t>
                </w:r>
                <w:r>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2,316,890</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-618,749</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-2,316,890</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-618,749</w:t>
            </w:r>
          </w:p>
        </w:tc>
      </w:tr>
      <w:tr>
        <w:trPr>
          <w:trHeight w:val="20"/>
        </w:trPr>
        <w:sdt>
          <w:sdtPr>
            <w:rPr>
              <w:rFonts w:asciiTheme="minorEastAsia" w:eastAsiaTheme="minorEastAsia" w:hAnsiTheme="minorEastAsia"/>
              <w:sz w:val="18"/>
              <w:szCs w:val="18"/>
            </w:rPr>
            <w:tag w:val="_PLD_ed39015638e6485d9ecad98bd3aaac6b"/>
            <w:id w:val="-526562875"/>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四</w:t>
                </w:r>
                <w:r>
                  <w:rPr>
                    <w:rFonts w:asciiTheme="minorEastAsia" w:eastAsiaTheme="minorEastAsia" w:hAnsiTheme="minorEastAsia"/>
                    <w:sz w:val="18"/>
                    <w:szCs w:val="18"/>
                  </w:rPr>
                  <w:t>）所有者权益内部结转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16ddc46b3a95453788bdcaaebfae99fa"/>
            <w:id w:val="168054254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1．资本公积转增资本（或股本）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5f2b4bbca85e4693b990e3e25811eeab"/>
            <w:id w:val="-1729448698"/>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2．盈余公积转增资本（或股本）</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15d6c710562e41cc9b0f916bb42a3ecd"/>
            <w:id w:val="-11961597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3．盈余公积弥补亏损</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tc>
          <w:tcPr>
            <w:tcW w:w="2127" w:type="dxa"/>
            <w:vAlign w:val="center"/>
          </w:tcPr>
          <w:sdt>
            <w:sdtPr>
              <w:rPr>
                <w:rFonts w:asciiTheme="minorEastAsia" w:eastAsiaTheme="minorEastAsia" w:hAnsiTheme="minorEastAsia"/>
                <w:sz w:val="18"/>
                <w:szCs w:val="18"/>
              </w:rPr>
              <w:tag w:val="_PLD_f4cb17050ad540c1b6765bbc5ef1d185"/>
              <w:id w:val="-515001315"/>
            </w:sdtPr>
            <w:sdtContent>
              <w:p>
                <w:pPr>
                  <w:rPr>
                    <w:rFonts w:asciiTheme="minorEastAsia" w:eastAsiaTheme="minorEastAsia" w:hAnsiTheme="minorEastAsia"/>
                    <w:sz w:val="18"/>
                    <w:szCs w:val="18"/>
                  </w:rPr>
                </w:pPr>
                <w:r>
                  <w:rPr>
                    <w:rFonts w:asciiTheme="minorEastAsia" w:eastAsiaTheme="minorEastAsia" w:hAnsiTheme="minorEastAsia"/>
                    <w:sz w:val="18"/>
                    <w:szCs w:val="18"/>
                  </w:rPr>
                  <w:t>4．设定受益计划变动额结转留存收益</w:t>
                </w:r>
              </w:p>
            </w:sdtContent>
          </w:sdt>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tc>
          <w:tcPr>
            <w:tcW w:w="2127" w:type="dxa"/>
            <w:vAlign w:val="center"/>
          </w:tcPr>
          <w:sdt>
            <w:sdtPr>
              <w:rPr>
                <w:rFonts w:asciiTheme="minorEastAsia" w:eastAsiaTheme="minorEastAsia" w:hAnsiTheme="minorEastAsia"/>
                <w:sz w:val="18"/>
                <w:szCs w:val="18"/>
              </w:rPr>
              <w:tag w:val="_PLD_d570b02e3d674dc1a938a4710387119c"/>
              <w:id w:val="524906769"/>
            </w:sdtPr>
            <w:sdtContent>
              <w:p>
                <w:pPr>
                  <w:rPr>
                    <w:rFonts w:asciiTheme="minorEastAsia" w:eastAsiaTheme="minorEastAsia" w:hAnsiTheme="minorEastAsia"/>
                    <w:sz w:val="18"/>
                    <w:szCs w:val="18"/>
                  </w:rPr>
                </w:pPr>
                <w:r>
                  <w:rPr>
                    <w:rFonts w:asciiTheme="minorEastAsia" w:eastAsiaTheme="minorEastAsia" w:hAnsiTheme="minorEastAsia"/>
                    <w:sz w:val="18"/>
                    <w:szCs w:val="18"/>
                  </w:rPr>
                  <w:t>5．其他综合收益结转留存收益</w:t>
                </w:r>
              </w:p>
            </w:sdtContent>
          </w:sdt>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tc>
          <w:tcPr>
            <w:tcW w:w="2127" w:type="dxa"/>
            <w:vAlign w:val="center"/>
          </w:tcPr>
          <w:sdt>
            <w:sdtPr>
              <w:rPr>
                <w:rFonts w:asciiTheme="minorEastAsia" w:eastAsiaTheme="minorEastAsia" w:hAnsiTheme="minorEastAsia"/>
                <w:sz w:val="18"/>
                <w:szCs w:val="18"/>
              </w:rPr>
              <w:tag w:val="_PLD_a5cd874c23c44b928dffd9bc4a74c38d"/>
              <w:id w:val="-325596920"/>
            </w:sdtPr>
            <w:sdtContent>
              <w:p>
                <w:pPr>
                  <w:rPr>
                    <w:rFonts w:asciiTheme="minorEastAsia" w:eastAsiaTheme="minorEastAsia" w:hAnsiTheme="minorEastAsia"/>
                    <w:sz w:val="18"/>
                    <w:szCs w:val="18"/>
                  </w:rPr>
                </w:pPr>
                <w:r>
                  <w:rPr>
                    <w:rFonts w:asciiTheme="minorEastAsia" w:eastAsiaTheme="minorEastAsia" w:hAnsiTheme="minorEastAsia"/>
                    <w:sz w:val="18"/>
                    <w:szCs w:val="18"/>
                  </w:rPr>
                  <w:t>6．其他</w:t>
                </w:r>
              </w:p>
            </w:sdtContent>
          </w:sdt>
        </w:tc>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r>
      <w:tr>
        <w:trPr>
          <w:trHeight w:val="20"/>
        </w:trPr>
        <w:sdt>
          <w:sdtPr>
            <w:rPr>
              <w:rFonts w:asciiTheme="minorEastAsia" w:eastAsiaTheme="minorEastAsia" w:hAnsiTheme="minorEastAsia"/>
              <w:sz w:val="18"/>
              <w:szCs w:val="18"/>
            </w:rPr>
            <w:tag w:val="_PLD_b6b13ecec0044452bf1609cb679a8ac5"/>
            <w:id w:val="-1533018044"/>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（五）专项储备</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-291,011</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-291,011</w:t>
            </w:r>
          </w:p>
        </w:tc>
      </w:tr>
      <w:tr>
        <w:trPr>
          <w:trHeight w:val="20"/>
        </w:trPr>
        <w:sdt>
          <w:sdtPr>
            <w:rPr>
              <w:rFonts w:asciiTheme="minorEastAsia" w:eastAsiaTheme="minorEastAsia" w:hAnsiTheme="minorEastAsia"/>
              <w:sz w:val="18"/>
              <w:szCs w:val="18"/>
            </w:rPr>
            <w:tag w:val="_PLD_cbede54ab9934d5ea45cda3f59593c28"/>
            <w:id w:val="-214673139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1．本期提取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1,287,002</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1,287,002</w:t>
            </w:r>
          </w:p>
        </w:tc>
      </w:tr>
      <w:tr>
        <w:trPr>
          <w:trHeight w:val="20"/>
        </w:trPr>
        <w:sdt>
          <w:sdtPr>
            <w:rPr>
              <w:rFonts w:asciiTheme="minorEastAsia" w:eastAsiaTheme="minorEastAsia" w:hAnsiTheme="minorEastAsia"/>
              <w:sz w:val="18"/>
              <w:szCs w:val="18"/>
            </w:rPr>
            <w:tag w:val="_PLD_7900abe823e94277be091b3f1c7a54a5"/>
            <w:id w:val="94141183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2．本期使用</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-1,578,013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-1,578,013</w:t>
            </w:r>
          </w:p>
        </w:tc>
      </w:tr>
      <w:tr>
        <w:trPr>
          <w:trHeight w:val="20"/>
        </w:trPr>
        <w:sdt>
          <w:sdtPr>
            <w:rPr>
              <w:rFonts w:asciiTheme="minorEastAsia" w:eastAsiaTheme="minorEastAsia" w:hAnsiTheme="minorEastAsia"/>
              <w:sz w:val="18"/>
              <w:szCs w:val="18"/>
            </w:rPr>
            <w:tag w:val="_PLD_7cf659a70268475ea7233d8b82adad5a"/>
            <w:id w:val="-1220126096"/>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hint="eastAsia"/>
                    <w:sz w:val="18"/>
                    <w:szCs w:val="18"/>
                  </w:rPr>
                  <w:t>（六）其他</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-5,679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-5,679</w:t>
            </w:r>
          </w:p>
        </w:tc>
      </w:tr>
      <w:tr>
        <w:trPr>
          <w:trHeight w:val="20"/>
        </w:trPr>
        <w:sdt>
          <w:sdtPr>
            <w:rPr>
              <w:rFonts w:asciiTheme="minorEastAsia" w:eastAsiaTheme="minorEastAsia" w:hAnsiTheme="minorEastAsia"/>
              <w:sz w:val="18"/>
              <w:szCs w:val="18"/>
            </w:rPr>
            <w:tag w:val="_PLD_56eacf5a90be4746898504dda5c8a2c0"/>
            <w:id w:val="-1029949794"/>
          </w:sdtPr>
          <w:sdtContent>
            <w:tc>
              <w:tcPr>
                <w:tcW w:w="2127" w:type="dxa"/>
                <w:vAlign w:val="center"/>
              </w:tcPr>
              <w:p>
                <w:pPr>
                  <w:rPr>
                    <w:rFonts w:asciiTheme="minorEastAsia" w:eastAsiaTheme="minorEastAsia" w:hAnsiTheme="minorEastAsia"/>
                    <w:sz w:val="18"/>
                    <w:szCs w:val="18"/>
                  </w:rPr>
                </w:pPr>
                <w:r>
                  <w:rPr>
                    <w:rFonts w:asciiTheme="minorEastAsia" w:eastAsiaTheme="minorEastAsia" w:hAnsiTheme="minorEastAsia"/>
                    <w:sz w:val="18"/>
                    <w:szCs w:val="18"/>
                  </w:rPr>
                  <w:t>四、本期期末余额</w:t>
                </w:r>
              </w:p>
            </w:tc>
          </w:sdtContent>
        </w:sdt>
        <w:tc>
          <w:tcPr>
            <w:tcW w:w="1276" w:type="dxa"/>
            <w:tcBorders>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10,039,860</w:t>
            </w:r>
          </w:p>
        </w:tc>
        <w:tc>
          <w:tcPr>
            <w:tcW w:w="992"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tcBorders>
              <w:left w:val="single" w:sz="4" w:space="0" w:color="auto"/>
              <w:righ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23,267,221</w:t>
            </w:r>
          </w:p>
        </w:tc>
        <w:tc>
          <w:tcPr>
            <w:tcW w:w="992" w:type="dxa"/>
            <w:tcBorders>
              <w:left w:val="single" w:sz="4" w:space="0" w:color="auto"/>
            </w:tcBorders>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4,628,743</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112,417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439,219</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1,140,167</w:t>
            </w:r>
          </w:p>
        </w:tc>
        <w:tc>
          <w:tcPr>
            <w:tcW w:w="1134"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2,841,392</w:t>
            </w:r>
          </w:p>
        </w:tc>
        <w:tc>
          <w:tcPr>
            <w:tcW w:w="1418"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9,174,557</w:t>
            </w:r>
          </w:p>
        </w:tc>
        <w:tc>
          <w:tcPr>
            <w:tcW w:w="425"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tc>
        <w:tc>
          <w:tcPr>
            <w:tcW w:w="1276" w:type="dxa"/>
            <w:vAlign w:val="center"/>
          </w:tcPr>
          <w:p>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51,418,742</w:t>
            </w:r>
          </w:p>
        </w:tc>
      </w:tr>
    </w:tbl>
    <w:p>
      <w:pPr>
        <w:rPr>
          <w:rFonts w:asciiTheme="minorEastAsia" w:eastAsiaTheme="minorEastAsia" w:hAnsiTheme="minorEastAsia"/>
          <w:sz w:val="18"/>
          <w:szCs w:val="18"/>
        </w:rPr>
      </w:pPr>
    </w:p>
    <w:p>
      <w:pPr>
        <w:snapToGrid w:val="0"/>
        <w:spacing w:line="240" w:lineRule="atLeast"/>
        <w:rPr>
          <w:rFonts w:asciiTheme="minorEastAsia" w:eastAsiaTheme="minorEastAsia" w:hAnsiTheme="minorEastAsia"/>
          <w:b/>
          <w:bCs/>
          <w:color w:val="FF0000"/>
          <w:sz w:val="18"/>
          <w:szCs w:val="18"/>
        </w:rPr>
      </w:pPr>
      <w:r>
        <w:rPr>
          <w:rFonts w:asciiTheme="minorEastAsia" w:eastAsiaTheme="minorEastAsia" w:hAnsiTheme="minorEastAsia" w:hint="eastAsia"/>
          <w:sz w:val="18"/>
          <w:szCs w:val="18"/>
        </w:rPr>
        <w:t>公司负责</w:t>
      </w:r>
      <w:r>
        <w:rPr>
          <w:rFonts w:asciiTheme="minorEastAsia" w:eastAsiaTheme="minorEastAsia" w:hAnsiTheme="minorEastAsia"/>
          <w:sz w:val="18"/>
          <w:szCs w:val="18"/>
        </w:rPr>
        <w:t>人</w:t>
      </w:r>
      <w:r>
        <w:rPr>
          <w:rFonts w:asciiTheme="minorEastAsia" w:eastAsiaTheme="minorEastAsia" w:hAnsiTheme="minorEastAsia" w:hint="eastAsia"/>
          <w:sz w:val="18"/>
          <w:szCs w:val="18"/>
        </w:rPr>
        <w:t>：</w:t>
      </w:r>
      <w:sdt>
        <w:sdtPr>
          <w:rPr>
            <w:rFonts w:asciiTheme="minorEastAsia" w:eastAsiaTheme="minorEastAsia" w:hAnsiTheme="minorEastAsia" w:hint="eastAsia"/>
            <w:sz w:val="18"/>
            <w:szCs w:val="18"/>
          </w:rPr>
          <w:alias w:val="公司负责人姓名"/>
          <w:tag w:val="_GBC_6042a2c12168484781348969a4da3e4c"/>
          <w:id w:val="-1779638381"/>
          <w:placeholder>
            <w:docPart w:val="GBC22222222222222222222222222222"/>
          </w:placeholder>
          <w:dataBinding w:prefixMappings="xmlns:clcid-mr='clcid-mr'" w:xpath="/*/clcid-mr:GongSiFuZeRenXingMing[not(@periodRef)]" w:storeItemID="{89EBAB94-44A0-46A2-B712-30D997D04A6D}"/>
          <w:text/>
        </w:sdtPr>
        <w:sdtContent>
          <w:r>
            <w:rPr>
              <w:rFonts w:asciiTheme="minorEastAsia" w:eastAsiaTheme="minorEastAsia" w:hAnsiTheme="minorEastAsia" w:hint="eastAsia"/>
              <w:sz w:val="18"/>
              <w:szCs w:val="18"/>
            </w:rPr>
            <w:t>李伟</w:t>
          </w:r>
        </w:sdtContent>
      </w:sdt>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t>主管会计工作负责人</w:t>
      </w:r>
      <w:r>
        <w:rPr>
          <w:rFonts w:asciiTheme="minorEastAsia" w:eastAsiaTheme="minorEastAsia" w:hAnsiTheme="minorEastAsia" w:hint="eastAsia"/>
          <w:sz w:val="18"/>
          <w:szCs w:val="18"/>
        </w:rPr>
        <w:t>：</w:t>
      </w:r>
      <w:sdt>
        <w:sdtPr>
          <w:rPr>
            <w:rFonts w:asciiTheme="minorEastAsia" w:eastAsiaTheme="minorEastAsia" w:hAnsiTheme="minorEastAsia" w:hint="eastAsia"/>
            <w:sz w:val="18"/>
            <w:szCs w:val="18"/>
          </w:rPr>
          <w:alias w:val="主管会计工作负责人姓名"/>
          <w:tag w:val="_GBC_3008dab61aca43f0a6d82ef192943e79"/>
          <w:id w:val="1918429132"/>
          <w:placeholder>
            <w:docPart w:val="GBC22222222222222222222222222222"/>
          </w:placeholder>
          <w:dataBinding w:prefixMappings="xmlns:clcid-mr='clcid-mr'" w:xpath="/*/clcid-mr:ZhuGuanKuaiJiGongZuoFuZeRenXingMing[not(@periodRef)]" w:storeItemID="{89EBAB94-44A0-46A2-B712-30D997D04A6D}"/>
          <w:text/>
        </w:sdtPr>
        <w:sdtContent>
          <w:r>
            <w:rPr>
              <w:rFonts w:asciiTheme="minorEastAsia" w:eastAsiaTheme="minorEastAsia" w:hAnsiTheme="minorEastAsia" w:hint="eastAsia"/>
              <w:sz w:val="18"/>
              <w:szCs w:val="18"/>
            </w:rPr>
            <w:t>赵治国</w:t>
          </w:r>
        </w:sdtContent>
      </w:sdt>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r>
      <w:r>
        <w:rPr>
          <w:rFonts w:asciiTheme="minorEastAsia" w:eastAsiaTheme="minorEastAsia" w:hAnsiTheme="minorEastAsia"/>
          <w:sz w:val="18"/>
          <w:szCs w:val="18"/>
        </w:rPr>
        <w:tab/>
        <w:t>会计机构负责人</w:t>
      </w:r>
      <w:r>
        <w:rPr>
          <w:rFonts w:asciiTheme="minorEastAsia" w:eastAsiaTheme="minorEastAsia" w:hAnsiTheme="minorEastAsia" w:hint="eastAsia"/>
          <w:sz w:val="18"/>
          <w:szCs w:val="18"/>
        </w:rPr>
        <w:t>：</w:t>
      </w:r>
      <w:sdt>
        <w:sdtPr>
          <w:rPr>
            <w:rFonts w:asciiTheme="minorEastAsia" w:eastAsiaTheme="minorEastAsia" w:hAnsiTheme="minorEastAsia" w:hint="eastAsia"/>
            <w:sz w:val="18"/>
            <w:szCs w:val="18"/>
          </w:rPr>
          <w:alias w:val="会计机构负责人姓名"/>
          <w:tag w:val="_GBC_e6c21b270080402ca8dbdc0cab514bde"/>
          <w:id w:val="-526022389"/>
          <w:placeholder>
            <w:docPart w:val="GBC22222222222222222222222222222"/>
          </w:placeholder>
          <w:dataBinding w:prefixMappings="xmlns:clcid-mr='clcid-mr'" w:xpath="/*/clcid-mr:KuaiJiJiGouFuZeRenXingMing[not(@periodRef)]" w:storeItemID="{89EBAB94-44A0-46A2-B712-30D997D04A6D}"/>
          <w:text/>
        </w:sdtPr>
        <w:sdtContent>
          <w:r>
            <w:rPr>
              <w:rFonts w:asciiTheme="minorEastAsia" w:eastAsiaTheme="minorEastAsia" w:hAnsiTheme="minorEastAsia" w:hint="eastAsia"/>
              <w:sz w:val="18"/>
              <w:szCs w:val="18"/>
            </w:rPr>
            <w:t>郭慧</w:t>
          </w:r>
        </w:sdtContent>
      </w:sdt>
    </w:p>
    <w:p>
      <w:pPr>
        <w:snapToGrid w:val="0"/>
        <w:spacing w:line="240" w:lineRule="atLeast"/>
        <w:ind w:rightChars="-73" w:right="-153"/>
        <w:rPr>
          <w:b/>
          <w:bCs/>
          <w:color w:val="FF0000"/>
          <w:sz w:val="11"/>
          <w:szCs w:val="11"/>
        </w:rPr>
      </w:pPr>
      <w:bookmarkStart w:id="351" w:name="_Hlk24980162"/>
      <w:bookmarkEnd w:id="350"/>
      <w:bookmarkEnd w:id="351"/>
    </w:p>
    <w:p>
      <w:pPr>
        <w:snapToGrid w:val="0"/>
        <w:spacing w:line="240" w:lineRule="atLeast"/>
        <w:sectPr>
          <w:pgSz w:w="16838" w:h="11906" w:orient="landscape"/>
          <w:pgMar w:top="1276" w:right="1440" w:bottom="1797" w:left="1525" w:header="856" w:footer="992" w:gutter="0"/>
          <w:cols w:space="425"/>
          <w:docGrid w:linePitch="312"/>
        </w:sectPr>
      </w:pPr>
      <w:bookmarkStart w:id="352" w:name="_Hlk533930396"/>
    </w:p>
    <w:bookmarkEnd w:id="352"/>
    <w:p>
      <w:pPr>
        <w:pStyle w:val="Style177"/>
        <w:numPr>
          <w:ilvl w:val="0"/>
          <w:numId w:val="66"/>
        </w:numPr>
        <w:rPr>
          <w:rFonts w:ascii="宋体" w:hAnsi="宋体"/>
        </w:rPr>
      </w:pPr>
      <w:r>
        <w:rPr>
          <w:rFonts w:hint="eastAsia"/>
        </w:rPr>
        <w:lastRenderedPageBreak/>
        <w:t>公司基本情况</w:t>
      </w:r>
    </w:p>
    <w:p>
      <w:pPr>
        <w:pStyle w:val="Style178"/>
        <w:numPr>
          <w:ilvl w:val="0"/>
          <w:numId w:val="67"/>
        </w:numPr>
      </w:pPr>
      <w:r>
        <w:rPr>
          <w:rFonts w:hint="eastAsia"/>
        </w:rPr>
        <w:t>公司概况</w:t>
      </w:r>
    </w:p>
    <w:sdt>
      <w:sdtPr>
        <w:rPr>
          <w:rFonts w:hint="eastAsia"/>
        </w:rPr>
        <w:alias w:val="是否适用：公司概况[双击切换]"/>
        <w:tag w:val="_GBC_7b613deb8c7f4027b73602e5cd1d4a2e"/>
        <w:id w:val="-103819929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Times New Roman" w:hAnsi="Times New Roman" w:cs="Times New Roman"/>
          <w:kern w:val="0"/>
          <w:sz w:val="21"/>
          <w:szCs w:val="21"/>
          <w14:ligatures w14:val="none"/>
        </w:rPr>
        <w:alias w:val="公司概况"/>
        <w:tag w:val="_GBC_dfec127af3a7441dade8cb0f67119e66"/>
        <w:id w:val="-9452763"/>
        <w:placeholder>
          <w:docPart w:val="GBC22222222222222222222222222222"/>
        </w:placeholder>
      </w:sdtPr>
      <w:sdtContent>
        <w:p>
          <w:pPr>
            <w:pStyle w:val="Style209"/>
            <w:ind w:left="426"/>
            <w:rPr>
              <w:rStyle w:val="Style103"/>
              <w:rFonts w:ascii="宋体" w:eastAsia="宋体" w:hAnsi="宋体"/>
            </w:rPr>
          </w:pPr>
          <w:r>
            <w:rPr>
              <w:rStyle w:val="Style103"/>
              <w:rFonts w:hint="eastAsia"/>
            </w:rPr>
            <w:t>（</w:t>
          </w:r>
          <w:r>
            <w:rPr>
              <w:rStyle w:val="Style103"/>
            </w:rPr>
            <w:t>1</w:t>
          </w:r>
          <w:r>
            <w:rPr>
              <w:rStyle w:val="Style103"/>
              <w:rFonts w:hint="eastAsia"/>
            </w:rPr>
            <w:t>）</w:t>
          </w:r>
          <w:r>
            <w:rPr>
              <w:rFonts w:eastAsiaTheme="minorEastAsia" w:cs="宋体" w:hint="eastAsia"/>
              <w:kern w:val="0"/>
              <w14:ligatures w14:val="none"/>
            </w:rPr>
            <w:t>公司注册地、组织形式和总部地址</w:t>
          </w:r>
        </w:p>
        <w:p>
          <w:pPr>
            <w:spacing w:afterLines="50" w:after="120" w:line="360" w:lineRule="exact"/>
            <w:ind w:firstLineChars="200" w:firstLine="420"/>
            <w:rPr>
              <w:rFonts w:ascii="宋体" w:hAnsi="宋体"/>
              <w:spacing w:val="2"/>
            </w:rPr>
          </w:pPr>
          <w:r>
            <w:rPr>
              <w:rFonts w:ascii="宋体" w:hAnsi="宋体" w:hint="eastAsia"/>
            </w:rPr>
            <w:t>兖矿能源集团股份有限公司（以下简称“本公司”，在包含子公司时统称本集团）是经中华</w:t>
          </w:r>
          <w:r>
            <w:rPr>
              <w:rFonts w:ascii="宋体" w:hAnsi="宋体" w:hint="eastAsia"/>
              <w:spacing w:val="2"/>
            </w:rPr>
            <w:t>人民共和国国家经济体制改革委员会体改生〔1997〕154号文件批准，由山东能源集团有限公司（原名兖矿集团有限公司，以下简称“山东能源”）作为主发起人成立之股份有限公司。本集团成立于1997年9月，注册地为山东省邹城市，总部办公地址为山东省邹城市凫山南路949号。</w:t>
          </w:r>
        </w:p>
        <w:p>
          <w:pPr>
            <w:spacing w:afterLines="50" w:after="120" w:line="360" w:lineRule="exact"/>
            <w:ind w:firstLineChars="200" w:firstLine="420"/>
            <w:rPr>
              <w:rFonts w:ascii="宋体" w:hAnsi="宋体"/>
            </w:rPr>
          </w:pPr>
          <w:r>
            <w:rPr>
              <w:rFonts w:ascii="宋体" w:hAnsi="宋体" w:hint="eastAsia"/>
            </w:rPr>
            <w:t>本公司设立时总股本为167,000万元，每股面值为1元。于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于1998年6月，本公司发行8,000万股A股，并于1998年7月1日起在上海证券交易所上市交易。于2017年2月16日，本公司美国存托股份从纽约证券交易所退市并取消注册。经多次增发、送股，截至2025年12月31日，本公司股本总额为1,003,748.05万元。</w:t>
          </w:r>
        </w:p>
        <w:p>
          <w:pPr>
            <w:pStyle w:val="Style209"/>
            <w:ind w:left="426"/>
          </w:pPr>
          <w:r>
            <w:rPr>
              <w:rFonts w:hint="eastAsia"/>
            </w:rPr>
            <w:t>（2）公司实际从事的主要经营活动。</w:t>
          </w:r>
        </w:p>
        <w:p>
          <w:pPr>
            <w:spacing w:afterLines="50" w:after="120" w:line="360" w:lineRule="exact"/>
            <w:ind w:firstLineChars="200" w:firstLine="420"/>
            <w:rPr>
              <w:rFonts w:ascii="宋体" w:hAnsi="宋体"/>
            </w:rPr>
          </w:pPr>
          <w:r>
            <w:rPr>
              <w:rFonts w:ascii="宋体" w:hAnsi="宋体" w:hint="eastAsia"/>
            </w:rPr>
            <w:t>本集团主要从事煤炭开采及销售、煤化工产品的生产及销售、物流运输业务以及设备制造和电力业务等。</w:t>
          </w:r>
        </w:p>
        <w:p>
          <w:pPr>
            <w:pStyle w:val="Style209"/>
            <w:ind w:left="426"/>
          </w:pPr>
          <w:r>
            <w:rPr>
              <w:rFonts w:hint="eastAsia"/>
            </w:rPr>
            <w:t>（3）母公司以及集团最终母公司的名称。</w:t>
          </w:r>
        </w:p>
        <w:p>
          <w:pPr>
            <w:spacing w:afterLines="50" w:after="120" w:line="360" w:lineRule="exact"/>
            <w:ind w:firstLineChars="200" w:firstLine="420"/>
            <w:rPr>
              <w:rFonts w:ascii="宋体" w:hAnsi="宋体"/>
            </w:rPr>
          </w:pPr>
          <w:r>
            <w:rPr>
              <w:rFonts w:ascii="宋体" w:hAnsi="宋体" w:hint="eastAsia"/>
            </w:rPr>
            <w:t>本集团的母公司及集团最终母公司为山东能源集团有限公司。</w:t>
          </w:r>
        </w:p>
        <w:p>
          <w:pPr>
            <w:pStyle w:val="Style209"/>
            <w:ind w:left="426"/>
          </w:pPr>
          <w:r>
            <w:rPr>
              <w:rFonts w:hint="eastAsia"/>
            </w:rPr>
            <w:t>（4）财务报告的批准报出机构和财务报告批准报出日。</w:t>
          </w:r>
        </w:p>
        <w:p>
          <w:pPr>
            <w:spacing w:afterLines="50" w:after="120" w:line="360" w:lineRule="exact"/>
            <w:ind w:firstLineChars="200" w:firstLine="420"/>
            <w:rPr>
              <w:rFonts w:ascii="宋体" w:hAnsi="宋体"/>
            </w:rPr>
          </w:pPr>
          <w:r>
            <w:rPr>
              <w:rFonts w:ascii="宋体" w:hAnsi="宋体" w:hint="eastAsia"/>
            </w:rPr>
            <w:t>本报告业经董事会于2026年3月</w:t>
          </w:r>
          <w:r>
            <w:rPr>
              <w:rFonts w:ascii="宋体" w:hAnsi="宋体"/>
            </w:rPr>
            <w:t>2</w:t>
          </w:r>
          <w:r>
            <w:rPr>
              <w:rFonts w:ascii="宋体" w:hAnsi="宋体" w:hint="eastAsia"/>
            </w:rPr>
            <w:t>7日批准报出。</w:t>
          </w:r>
        </w:p>
      </w:sdtContent>
    </w:sdt>
    <w:p>
      <w:pPr>
        <w:pStyle w:val="Style177"/>
        <w:numPr>
          <w:ilvl w:val="0"/>
          <w:numId w:val="66"/>
        </w:numPr>
        <w:rPr>
          <w:rFonts w:ascii="宋体" w:hAnsi="宋体"/>
        </w:rPr>
      </w:pPr>
      <w:r>
        <w:rPr>
          <w:rFonts w:hint="eastAsia"/>
        </w:rPr>
        <w:t>财务报表的编制基础</w:t>
      </w:r>
    </w:p>
    <w:p>
      <w:pPr>
        <w:pStyle w:val="Style178"/>
        <w:numPr>
          <w:ilvl w:val="0"/>
          <w:numId w:val="68"/>
        </w:numPr>
      </w:pPr>
      <w:r>
        <w:t>编制基础</w:t>
      </w:r>
    </w:p>
    <w:sdt>
      <w:sdtPr>
        <w:rPr>
          <w:rFonts w:hint="eastAsia"/>
        </w:rPr>
        <w:alias w:val="财务报表的编制基础"/>
        <w:tag w:val="_GBC_1dc2375ed7ab49628f5badf2d5006405"/>
        <w:id w:val="-1110127769"/>
        <w:placeholder>
          <w:docPart w:val="GBC22222222222222222222222222222"/>
        </w:placeholder>
      </w:sdtPr>
      <w:sdtEndPr>
        <w:rPr>
          <w:rFonts w:hint="default"/>
        </w:rPr>
      </w:sdtEndPr>
      <w:sdtContent>
        <w:p>
          <w:pPr>
            <w:ind w:firstLineChars="200" w:firstLine="420"/>
          </w:pPr>
          <w:r>
            <w:rPr>
              <w:rFonts w:hint="eastAsia"/>
            </w:rPr>
            <w:t>本财务报表以公司持续经营假设为基础，根据实际发生的交易事项，按照企业会计准则的有关规定，并基于以下所述重要会计政策、会计估计进行编制。</w:t>
          </w:r>
        </w:p>
      </w:sdtContent>
    </w:sdt>
    <w:p>
      <w:pPr>
        <w:pStyle w:val="Style178"/>
        <w:numPr>
          <w:ilvl w:val="0"/>
          <w:numId w:val="68"/>
        </w:numPr>
      </w:pPr>
      <w:r>
        <w:rPr>
          <w:rFonts w:hint="eastAsia"/>
        </w:rPr>
        <w:t>持续经营</w:t>
      </w:r>
    </w:p>
    <w:sdt>
      <w:sdtPr>
        <w:rPr>
          <w:rFonts w:hint="eastAsia"/>
        </w:rPr>
        <w:alias w:val="是否适用：持续经营[双击切换]"/>
        <w:tag w:val="_GBC_fa7177dc4f164e56b4df7bebc60acf50"/>
        <w:id w:val="-207249390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持续经营"/>
        <w:tag w:val="_GBC_dc876c24006b428987a041949eb554f3"/>
        <w:id w:val="2043777049"/>
        <w:placeholder>
          <w:docPart w:val="GBC22222222222222222222222222222"/>
        </w:placeholder>
      </w:sdtPr>
      <w:sdtContent>
        <w:p>
          <w:pPr>
            <w:pStyle w:val="Style194"/>
            <w:spacing w:afterLines="50" w:after="120" w:line="360" w:lineRule="exact"/>
            <w:ind w:firstLineChars="200" w:firstLine="400"/>
            <w:rPr>
              <w:rFonts w:ascii="宋体" w:hAnsi="宋体"/>
            </w:rPr>
          </w:pPr>
          <w:r>
            <w:rPr>
              <w:rFonts w:ascii="宋体" w:hAnsi="宋体" w:hint="eastAsia"/>
            </w:rPr>
            <w:t>本集团有近期获利经营的历史且有财务资源支持，自报告期末起12个月具备持续经营能力，无影响持续经营能力的重大事项。因此，本财务报表以持续经营假设为基础编制是合理的。</w:t>
          </w:r>
        </w:p>
      </w:sdtContent>
    </w:sdt>
    <w:p>
      <w:pPr>
        <w:pStyle w:val="Style217"/>
      </w:pPr>
    </w:p>
    <w:p>
      <w:pPr>
        <w:pStyle w:val="Style177"/>
        <w:numPr>
          <w:ilvl w:val="0"/>
          <w:numId w:val="66"/>
        </w:numPr>
        <w:rPr>
          <w:rFonts w:ascii="宋体" w:hAnsi="宋体"/>
        </w:rPr>
      </w:pPr>
      <w:r>
        <w:rPr>
          <w:rFonts w:hint="eastAsia"/>
        </w:rPr>
        <w:t>重要会计政策及会计估计</w:t>
      </w:r>
    </w:p>
    <w:p>
      <w:pPr>
        <w:pStyle w:val="Style217"/>
      </w:pPr>
      <w:r>
        <w:rPr>
          <w:rFonts w:hint="eastAsia"/>
        </w:rPr>
        <w:t>具体会计政策和会计估计提示：</w:t>
      </w:r>
    </w:p>
    <w:sdt>
      <w:sdtPr>
        <w:alias w:val="是否适用：具体会计政策和会计估计提示[双击切换]"/>
        <w:tag w:val="_GBC_86fd142a599649f8a3574e6ddaba5f71"/>
        <w:id w:val="205596108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具体会计政策和会计估计提示"/>
        <w:tag w:val="_GBC_caddaeaf0d1a454ab0bede37f0db7782"/>
        <w:id w:val="-1380236197"/>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69"/>
        </w:numPr>
      </w:pPr>
      <w:r>
        <w:t>遵循企业会计准则的声明</w:t>
      </w:r>
    </w:p>
    <w:sdt>
      <w:sdtPr>
        <w:rPr>
          <w:rFonts w:hint="eastAsia"/>
        </w:rPr>
        <w:alias w:val="会计准则和会计制度"/>
        <w:tag w:val="_GBC_a350b889163a4ef3bb500c021e6a6b47"/>
        <w:id w:val="-1660993218"/>
        <w:placeholder>
          <w:docPart w:val="GBC22222222222222222222222222222"/>
        </w:placeholder>
      </w:sdtPr>
      <w:sdtContent>
        <w:p>
          <w:pPr>
            <w:ind w:firstLineChars="200" w:firstLine="420"/>
          </w:pPr>
          <w:r>
            <w:rPr>
              <w:rFonts w:hint="eastAsia"/>
            </w:rPr>
            <w:t>本集团基于上述编制基础编制的财务报表符合财政部已颁布的最新企业会计准则及其应用指南、解释以及其他相关规定（统称“企业会计准则”）的要求，真实完整地反映了公司的财务状况、经营成果和现金流量等有关信息</w:t>
          </w:r>
          <w:r>
            <w:t>。</w:t>
          </w:r>
        </w:p>
        <w:p>
          <w:pPr>
            <w:ind w:firstLineChars="200" w:firstLine="420"/>
          </w:pPr>
          <w:r>
            <w:rPr>
              <w:rFonts w:hint="eastAsia"/>
            </w:rPr>
            <w:t>此外，本财务报告编制参照了证监会发布的《公开发行证券的公司信息披露编报规则第</w:t>
          </w:r>
          <w:r>
            <w:rPr>
              <w:rFonts w:hint="eastAsia"/>
            </w:rPr>
            <w:t>15</w:t>
          </w:r>
          <w:r>
            <w:rPr>
              <w:rFonts w:hint="eastAsia"/>
            </w:rPr>
            <w:t>号——财务报告的一般规定》（</w:t>
          </w:r>
          <w:r>
            <w:rPr>
              <w:rFonts w:hint="eastAsia"/>
            </w:rPr>
            <w:t>2023</w:t>
          </w:r>
          <w:r>
            <w:rPr>
              <w:rFonts w:hint="eastAsia"/>
            </w:rPr>
            <w:t>年修订）的列报和披露要求。</w:t>
          </w:r>
        </w:p>
      </w:sdtContent>
    </w:sdt>
    <w:p>
      <w:pPr>
        <w:pStyle w:val="Style217"/>
      </w:pPr>
    </w:p>
    <w:p>
      <w:pPr>
        <w:pStyle w:val="Style178"/>
        <w:numPr>
          <w:ilvl w:val="0"/>
          <w:numId w:val="69"/>
        </w:numPr>
      </w:pPr>
      <w:r>
        <w:t>会计期间</w:t>
      </w:r>
    </w:p>
    <w:sdt>
      <w:sdtPr>
        <w:rPr>
          <w:rFonts w:hint="eastAsia"/>
        </w:rPr>
        <w:alias w:val="会计年度"/>
        <w:tag w:val="_GBC_fc896fba50b143f8a06984831f5d5600"/>
        <w:id w:val="959377912"/>
        <w:placeholder>
          <w:docPart w:val="GBC22222222222222222222222222222"/>
        </w:placeholder>
      </w:sdtPr>
      <w:sdtContent>
        <w:p>
          <w:pPr>
            <w:pStyle w:val="Style217"/>
          </w:pPr>
          <w:r>
            <w:rPr>
              <w:rFonts w:hint="eastAsia"/>
            </w:rPr>
            <w:t>本集团的会计年度从公历</w:t>
          </w:r>
          <w:r>
            <w:t>1</w:t>
          </w:r>
          <w:r>
            <w:rPr>
              <w:rFonts w:hint="eastAsia"/>
            </w:rPr>
            <w:t>月</w:t>
          </w:r>
          <w:r>
            <w:t>1</w:t>
          </w:r>
          <w:r>
            <w:rPr>
              <w:rFonts w:hint="eastAsia"/>
            </w:rPr>
            <w:t>日至</w:t>
          </w:r>
          <w:r>
            <w:t>12</w:t>
          </w:r>
          <w:r>
            <w:rPr>
              <w:rFonts w:hint="eastAsia"/>
            </w:rPr>
            <w:t>月</w:t>
          </w:r>
          <w:r>
            <w:t>31</w:t>
          </w:r>
          <w:r>
            <w:rPr>
              <w:rFonts w:hint="eastAsia"/>
            </w:rPr>
            <w:t>日止。</w:t>
          </w:r>
        </w:p>
      </w:sdtContent>
    </w:sdt>
    <w:p>
      <w:pPr>
        <w:pStyle w:val="Style217"/>
      </w:pPr>
    </w:p>
    <w:p>
      <w:pPr>
        <w:pStyle w:val="Style178"/>
        <w:numPr>
          <w:ilvl w:val="0"/>
          <w:numId w:val="69"/>
        </w:numPr>
      </w:pPr>
      <w:r>
        <w:rPr>
          <w:rFonts w:hint="eastAsia"/>
        </w:rPr>
        <w:t>营业周期</w:t>
      </w:r>
    </w:p>
    <w:sdt>
      <w:sdtPr>
        <w:rPr>
          <w:rFonts w:hint="eastAsia"/>
        </w:rPr>
        <w:alias w:val="是否适用：营业周期[双击切换]"/>
        <w:tag w:val="_GBC_41bd09d0a4bd429996597e58a613259e"/>
        <w:id w:val="66143365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营业周期"/>
        <w:tag w:val="_GBC_e145e43187d9463889884f48e9e0b234"/>
        <w:id w:val="-1881535624"/>
        <w:placeholder>
          <w:docPart w:val="GBC22222222222222222222222222222"/>
        </w:placeholder>
      </w:sdtPr>
      <w:sdtEndPr>
        <w:rPr>
          <w:rFonts w:ascii="宋体" w:hAnsi="宋体"/>
        </w:rPr>
      </w:sdtEndPr>
      <w:sdtContent>
        <w:p>
          <w:pPr>
            <w:ind w:firstLineChars="200" w:firstLine="420"/>
            <w:rPr>
              <w:rFonts w:ascii="宋体" w:hAnsi="宋体"/>
            </w:rPr>
          </w:pPr>
          <w:r>
            <w:rPr>
              <w:rFonts w:ascii="宋体" w:hAnsi="宋体" w:hint="eastAsia"/>
            </w:rPr>
            <w:t>营业周期是指企业从购买用于加工的资产起至实现现金或现金等价物的期间。本集团的营业周期为12个月。</w:t>
          </w:r>
        </w:p>
      </w:sdtContent>
    </w:sdt>
    <w:p>
      <w:pPr>
        <w:pStyle w:val="Style178"/>
        <w:numPr>
          <w:ilvl w:val="0"/>
          <w:numId w:val="69"/>
        </w:numPr>
      </w:pPr>
      <w:r>
        <w:t>记账本位币</w:t>
      </w:r>
    </w:p>
    <w:sdt>
      <w:sdtPr>
        <w:rPr>
          <w:rFonts w:ascii="宋体" w:hAnsi="宋体" w:hint="eastAsia"/>
        </w:rPr>
        <w:alias w:val="记账本位币"/>
        <w:tag w:val="_GBC_3749a2357eba44e8b968cb41cda75ff1"/>
        <w:id w:val="852700086"/>
        <w:placeholder>
          <w:docPart w:val="GBC22222222222222222222222222222"/>
        </w:placeholder>
      </w:sdtPr>
      <w:sdtEndPr>
        <w:rPr>
          <w:rFonts w:hint="default"/>
          <w:kern w:val="2"/>
        </w:rPr>
      </w:sdtEndPr>
      <w:sdtContent>
        <w:p>
          <w:pPr>
            <w:ind w:firstLineChars="200" w:firstLine="420"/>
            <w:rPr>
              <w:rFonts w:ascii="宋体" w:hAnsi="宋体"/>
            </w:rPr>
          </w:pPr>
          <w:r>
            <w:rPr>
              <w:rFonts w:ascii="宋体" w:hAnsi="宋体" w:hint="eastAsia"/>
            </w:rPr>
            <w:t>本公司及境内子公司的记账本位币为人民币。本公司境外子公司采用人民币以外的货币作为记账本位币，本公司在编制财务报表时对这些子公司的外币财务报表进行了折算（参见本附注“五、11外币业务和外币报表折算”）。</w:t>
          </w:r>
        </w:p>
      </w:sdtContent>
    </w:sdt>
    <w:p>
      <w:pPr>
        <w:pStyle w:val="Style178"/>
        <w:numPr>
          <w:ilvl w:val="0"/>
          <w:numId w:val="69"/>
        </w:numPr>
        <w:rPr>
          <w:rFonts w:ascii="宋体" w:hAnsi="宋体"/>
          <w:szCs w:val="21"/>
        </w:rPr>
      </w:pPr>
      <w:bookmarkStart w:id="353" w:name="_Hlk167809539"/>
      <w:bookmarkStart w:id="354" w:name="_Hlk182408346"/>
      <w:bookmarkStart w:id="355" w:name="_Hlk169007161"/>
      <w:r>
        <w:rPr>
          <w:rFonts w:ascii="宋体" w:hAnsi="宋体" w:hint="eastAsia"/>
          <w:szCs w:val="21"/>
        </w:rPr>
        <w:t>计量属性在本期发生变化的报表项目及其本期采用的计量属性</w:t>
      </w:r>
    </w:p>
    <w:p>
      <w:pPr>
        <w:ind w:firstLineChars="200" w:firstLine="420"/>
        <w:rPr>
          <w:rFonts w:ascii="宋体" w:hAnsi="宋体"/>
        </w:rPr>
      </w:pPr>
      <w:r>
        <w:rPr>
          <w:rFonts w:ascii="宋体" w:hAnsi="宋体" w:hint="eastAsia"/>
        </w:rPr>
        <w:t>本集团采用的计量属性包括历史成本、重置成本、可变现净值、现值和公允价值。</w:t>
      </w:r>
    </w:p>
    <w:p>
      <w:pPr>
        <w:pStyle w:val="Style178"/>
        <w:numPr>
          <w:ilvl w:val="0"/>
          <w:numId w:val="69"/>
        </w:numPr>
        <w:rPr>
          <w:rFonts w:ascii="宋体" w:hAnsi="宋体"/>
          <w:szCs w:val="21"/>
        </w:rPr>
      </w:pPr>
      <w:r>
        <w:rPr>
          <w:rFonts w:ascii="宋体" w:hAnsi="宋体" w:hint="eastAsia"/>
          <w:szCs w:val="21"/>
        </w:rPr>
        <w:t>重要性标准确定方法和选择依据</w:t>
      </w:r>
    </w:p>
    <w:sdt>
      <w:sdtPr>
        <w:rPr>
          <w:rFonts w:ascii="宋体" w:hAnsi="宋体"/>
          <w:color w:val="000000" w:themeColor="text1"/>
        </w:rPr>
        <w:alias w:val="是否适用：重要性标准确定方法和选择依据[双击切换]"/>
        <w:tag w:val="_GBC_f3fe7ba4d0b64357b4a1c06c771e5b1a"/>
        <w:id w:val="962234862"/>
        <w:placeholder>
          <w:docPart w:val="GBC22222222222222222222222222222"/>
        </w:placeholder>
      </w:sdtPr>
      <w:sdtContent>
        <w:p>
          <w:pPr>
            <w:rPr>
              <w:rFonts w:ascii="宋体" w:hAnsi="宋体"/>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14"/>
        <w:tblW w:w="10065" w:type="dxa"/>
        <w:tblInd w:w="-431" w:type="dxa"/>
        <w:tblLayout w:type="fixed"/>
        <w:tblLook w:val="04A0" w:firstRow="1" w:lastRow="0" w:firstColumn="1" w:lastColumn="0" w:noHBand="0" w:noVBand="1"/>
      </w:tblPr>
      <w:tblGrid>
        <w:gridCol w:w="4254"/>
        <w:gridCol w:w="5811"/>
      </w:tblGrid>
      <w:tr>
        <w:trPr>
          <w:trHeight w:val="283"/>
        </w:trPr>
        <w:sdt>
          <w:sdtPr>
            <w:rPr>
              <w:rFonts w:ascii="宋体" w:hAnsi="宋体"/>
            </w:rPr>
            <w:tag w:val="_PLD_0dcbeb4305c44211925953c92ffe63a0"/>
            <w:id w:val="-801610173"/>
          </w:sdtPr>
          <w:sdtContent>
            <w:tc>
              <w:tcPr>
                <w:tcW w:w="4254" w:type="dxa"/>
                <w:vAlign w:val="center"/>
              </w:tcPr>
              <w:p>
                <w:pPr>
                  <w:jc w:val="center"/>
                  <w:rPr>
                    <w:rFonts w:ascii="宋体" w:hAnsi="宋体"/>
                    <w:color w:val="000000" w:themeColor="text1"/>
                  </w:rPr>
                </w:pPr>
                <w:r>
                  <w:rPr>
                    <w:rFonts w:ascii="宋体" w:hAnsi="宋体" w:hint="eastAsia"/>
                    <w:color w:val="000000" w:themeColor="text1"/>
                  </w:rPr>
                  <w:t>项目</w:t>
                </w:r>
              </w:p>
            </w:tc>
          </w:sdtContent>
        </w:sdt>
        <w:sdt>
          <w:sdtPr>
            <w:rPr>
              <w:rFonts w:ascii="宋体" w:hAnsi="宋体"/>
            </w:rPr>
            <w:tag w:val="_PLD_def90d798dba4c27b8c2b37b31086625"/>
            <w:id w:val="1905327353"/>
          </w:sdtPr>
          <w:sdtContent>
            <w:tc>
              <w:tcPr>
                <w:tcW w:w="5811" w:type="dxa"/>
                <w:vAlign w:val="center"/>
              </w:tcPr>
              <w:p>
                <w:pPr>
                  <w:jc w:val="center"/>
                  <w:rPr>
                    <w:rFonts w:ascii="宋体" w:hAnsi="宋体"/>
                    <w:color w:val="000000" w:themeColor="text1"/>
                  </w:rPr>
                </w:pPr>
                <w:r>
                  <w:rPr>
                    <w:rFonts w:ascii="宋体" w:hAnsi="宋体"/>
                    <w:color w:val="000000" w:themeColor="text1"/>
                  </w:rPr>
                  <w:t>重要性标准</w:t>
                </w:r>
              </w:p>
            </w:tc>
          </w:sdtContent>
        </w:sdt>
      </w:tr>
      <w:tr>
        <w:trPr>
          <w:trHeight w:val="283"/>
        </w:trPr>
        <w:tc>
          <w:tcPr>
            <w:tcW w:w="4254" w:type="dxa"/>
            <w:vAlign w:val="center"/>
          </w:tcPr>
          <w:p>
            <w:pPr>
              <w:pStyle w:val="Style217"/>
            </w:pPr>
            <w:r>
              <w:rPr>
                <w:rFonts w:hint="eastAsia"/>
              </w:rPr>
              <w:t>重要的单项计提坏账准备的应收账款</w:t>
            </w:r>
          </w:p>
        </w:tc>
        <w:tc>
          <w:tcPr>
            <w:tcW w:w="5811" w:type="dxa"/>
            <w:vAlign w:val="center"/>
          </w:tcPr>
          <w:p>
            <w:pPr>
              <w:pStyle w:val="Style217"/>
            </w:pPr>
            <w:r>
              <w:rPr>
                <w:rFonts w:hint="eastAsia"/>
              </w:rPr>
              <w:t>单项计提金额≥500万元</w:t>
            </w:r>
          </w:p>
        </w:tc>
      </w:tr>
      <w:tr>
        <w:trPr>
          <w:trHeight w:val="283"/>
        </w:trPr>
        <w:tc>
          <w:tcPr>
            <w:tcW w:w="4254" w:type="dxa"/>
            <w:vAlign w:val="center"/>
          </w:tcPr>
          <w:p>
            <w:pPr>
              <w:pStyle w:val="Style217"/>
            </w:pPr>
            <w:r>
              <w:rPr>
                <w:rFonts w:hint="eastAsia"/>
              </w:rPr>
              <w:t>重要的单项计提坏账准备的其他应收款</w:t>
            </w:r>
          </w:p>
        </w:tc>
        <w:tc>
          <w:tcPr>
            <w:tcW w:w="5811" w:type="dxa"/>
            <w:vAlign w:val="center"/>
          </w:tcPr>
          <w:p>
            <w:pPr>
              <w:pStyle w:val="Style217"/>
            </w:pPr>
            <w:r>
              <w:rPr>
                <w:rFonts w:hint="eastAsia"/>
              </w:rPr>
              <w:t>单项计提金额≥500万元</w:t>
            </w:r>
          </w:p>
        </w:tc>
      </w:tr>
      <w:tr>
        <w:trPr>
          <w:trHeight w:val="283"/>
        </w:trPr>
        <w:tc>
          <w:tcPr>
            <w:tcW w:w="4254" w:type="dxa"/>
            <w:vAlign w:val="center"/>
          </w:tcPr>
          <w:p>
            <w:pPr>
              <w:pStyle w:val="Style217"/>
            </w:pPr>
            <w:r>
              <w:rPr>
                <w:rFonts w:hint="eastAsia"/>
              </w:rPr>
              <w:t>本期重要的其他应收款核销</w:t>
            </w:r>
          </w:p>
        </w:tc>
        <w:tc>
          <w:tcPr>
            <w:tcW w:w="5811" w:type="dxa"/>
            <w:vAlign w:val="center"/>
          </w:tcPr>
          <w:p>
            <w:pPr>
              <w:pStyle w:val="Style217"/>
            </w:pPr>
            <w:r>
              <w:rPr>
                <w:rFonts w:hint="eastAsia"/>
              </w:rPr>
              <w:t>单项核销金额≥5000万元</w:t>
            </w:r>
          </w:p>
        </w:tc>
      </w:tr>
      <w:tr>
        <w:trPr>
          <w:trHeight w:val="283"/>
        </w:trPr>
        <w:tc>
          <w:tcPr>
            <w:tcW w:w="4254" w:type="dxa"/>
            <w:vAlign w:val="center"/>
          </w:tcPr>
          <w:p>
            <w:pPr>
              <w:pStyle w:val="Style217"/>
            </w:pPr>
            <w:r>
              <w:rPr>
                <w:rFonts w:hint="eastAsia"/>
              </w:rPr>
              <w:t>重要的在建工程</w:t>
            </w:r>
          </w:p>
        </w:tc>
        <w:tc>
          <w:tcPr>
            <w:tcW w:w="5811" w:type="dxa"/>
            <w:vAlign w:val="center"/>
          </w:tcPr>
          <w:p>
            <w:pPr>
              <w:pStyle w:val="Style217"/>
            </w:pPr>
            <w:r>
              <w:rPr>
                <w:rFonts w:hint="eastAsia"/>
              </w:rPr>
              <w:t>单项在建项目的预算金额≥15亿元，且累计发生额≥10亿元</w:t>
            </w:r>
          </w:p>
        </w:tc>
      </w:tr>
      <w:tr>
        <w:trPr>
          <w:trHeight w:val="283"/>
        </w:trPr>
        <w:tc>
          <w:tcPr>
            <w:tcW w:w="4254" w:type="dxa"/>
            <w:vAlign w:val="center"/>
          </w:tcPr>
          <w:p>
            <w:pPr>
              <w:pStyle w:val="Style217"/>
            </w:pPr>
            <w:r>
              <w:rPr>
                <w:rFonts w:hint="eastAsia"/>
              </w:rPr>
              <w:t>账龄超过1年或逾期的重要应付账款</w:t>
            </w:r>
          </w:p>
        </w:tc>
        <w:tc>
          <w:tcPr>
            <w:tcW w:w="5811" w:type="dxa"/>
            <w:vAlign w:val="center"/>
          </w:tcPr>
          <w:p>
            <w:pPr>
              <w:pStyle w:val="Style217"/>
            </w:pPr>
            <w:r>
              <w:rPr>
                <w:rFonts w:hint="eastAsia"/>
              </w:rPr>
              <w:t>单项账龄超过1年的应付账款金额≥1亿元</w:t>
            </w:r>
          </w:p>
        </w:tc>
      </w:tr>
      <w:tr>
        <w:trPr>
          <w:trHeight w:val="283"/>
        </w:trPr>
        <w:tc>
          <w:tcPr>
            <w:tcW w:w="4254" w:type="dxa"/>
            <w:vAlign w:val="center"/>
          </w:tcPr>
          <w:p>
            <w:pPr>
              <w:pStyle w:val="Style217"/>
            </w:pPr>
            <w:r>
              <w:rPr>
                <w:rFonts w:hint="eastAsia"/>
              </w:rPr>
              <w:t>账龄超过1年或逾期的重要其他应付款</w:t>
            </w:r>
          </w:p>
        </w:tc>
        <w:tc>
          <w:tcPr>
            <w:tcW w:w="5811" w:type="dxa"/>
            <w:vAlign w:val="center"/>
          </w:tcPr>
          <w:p>
            <w:pPr>
              <w:pStyle w:val="Style217"/>
            </w:pPr>
            <w:r>
              <w:rPr>
                <w:rFonts w:hint="eastAsia"/>
              </w:rPr>
              <w:t>单项账龄超过1年的其他应付账款金额≥1亿元</w:t>
            </w:r>
          </w:p>
        </w:tc>
      </w:tr>
      <w:tr>
        <w:trPr>
          <w:trHeight w:val="283"/>
        </w:trPr>
        <w:tc>
          <w:tcPr>
            <w:tcW w:w="4254" w:type="dxa"/>
            <w:vAlign w:val="center"/>
          </w:tcPr>
          <w:p>
            <w:pPr>
              <w:pStyle w:val="Style217"/>
            </w:pPr>
            <w:r>
              <w:rPr>
                <w:rFonts w:hint="eastAsia"/>
              </w:rPr>
              <w:t>重要的收回投资收到的现金</w:t>
            </w:r>
          </w:p>
        </w:tc>
        <w:tc>
          <w:tcPr>
            <w:tcW w:w="5811" w:type="dxa"/>
            <w:vAlign w:val="center"/>
          </w:tcPr>
          <w:p>
            <w:pPr>
              <w:pStyle w:val="Style217"/>
            </w:pPr>
            <w:r>
              <w:rPr>
                <w:rFonts w:hint="eastAsia"/>
              </w:rPr>
              <w:t>单项收回投资收到的金额≥5亿元</w:t>
            </w:r>
          </w:p>
        </w:tc>
      </w:tr>
      <w:tr>
        <w:trPr>
          <w:trHeight w:val="283"/>
        </w:trPr>
        <w:tc>
          <w:tcPr>
            <w:tcW w:w="4254" w:type="dxa"/>
            <w:vAlign w:val="center"/>
          </w:tcPr>
          <w:p>
            <w:pPr>
              <w:pStyle w:val="Style217"/>
            </w:pPr>
            <w:r>
              <w:rPr>
                <w:rFonts w:hint="eastAsia"/>
              </w:rPr>
              <w:t>重要的投资支付的现金</w:t>
            </w:r>
          </w:p>
        </w:tc>
        <w:tc>
          <w:tcPr>
            <w:tcW w:w="5811" w:type="dxa"/>
            <w:vAlign w:val="center"/>
          </w:tcPr>
          <w:p>
            <w:pPr>
              <w:pStyle w:val="Style217"/>
            </w:pPr>
            <w:r>
              <w:rPr>
                <w:rFonts w:hint="eastAsia"/>
              </w:rPr>
              <w:t>单项投资支付的金额≥5亿元</w:t>
            </w:r>
          </w:p>
        </w:tc>
      </w:tr>
      <w:tr>
        <w:trPr>
          <w:trHeight w:val="283"/>
        </w:trPr>
        <w:tc>
          <w:tcPr>
            <w:tcW w:w="4254" w:type="dxa"/>
            <w:vAlign w:val="center"/>
          </w:tcPr>
          <w:p>
            <w:pPr>
              <w:pStyle w:val="Style217"/>
            </w:pPr>
            <w:r>
              <w:rPr>
                <w:rFonts w:hint="eastAsia"/>
              </w:rPr>
              <w:t>重要的非全资子公司</w:t>
            </w:r>
          </w:p>
        </w:tc>
        <w:tc>
          <w:tcPr>
            <w:tcW w:w="5811" w:type="dxa"/>
            <w:vAlign w:val="center"/>
          </w:tcPr>
          <w:p>
            <w:pPr>
              <w:pStyle w:val="Style217"/>
            </w:pPr>
            <w:r>
              <w:rPr>
                <w:rFonts w:hint="eastAsia"/>
              </w:rPr>
              <w:t>子公司收入总额占集团收入总额10%以上</w:t>
            </w:r>
          </w:p>
        </w:tc>
      </w:tr>
      <w:tr>
        <w:trPr>
          <w:trHeight w:val="283"/>
        </w:trPr>
        <w:tc>
          <w:tcPr>
            <w:tcW w:w="4254" w:type="dxa"/>
            <w:vAlign w:val="center"/>
          </w:tcPr>
          <w:p>
            <w:pPr>
              <w:pStyle w:val="Style217"/>
            </w:pPr>
            <w:r>
              <w:rPr>
                <w:rFonts w:hint="eastAsia"/>
              </w:rPr>
              <w:t>重要的联营企业或合营企业</w:t>
            </w:r>
          </w:p>
        </w:tc>
        <w:tc>
          <w:tcPr>
            <w:tcW w:w="5811" w:type="dxa"/>
            <w:vAlign w:val="center"/>
          </w:tcPr>
          <w:p>
            <w:pPr>
              <w:pStyle w:val="Style217"/>
            </w:pPr>
            <w:r>
              <w:rPr>
                <w:rFonts w:hint="eastAsia"/>
              </w:rPr>
              <w:t>对单个被投资单位的长期股权投资账面价值≥10亿元</w:t>
            </w:r>
          </w:p>
        </w:tc>
      </w:tr>
    </w:tbl>
    <w:p>
      <w:pPr>
        <w:rPr>
          <w:rFonts w:ascii="宋体" w:hAnsi="宋体"/>
          <w:color w:val="000000" w:themeColor="text1"/>
        </w:rPr>
      </w:pPr>
    </w:p>
    <w:bookmarkEnd w:id="353"/>
    <w:bookmarkEnd w:id="354"/>
    <w:bookmarkEnd w:id="355"/>
    <w:p>
      <w:pPr>
        <w:pStyle w:val="Style178"/>
        <w:numPr>
          <w:ilvl w:val="0"/>
          <w:numId w:val="69"/>
        </w:numPr>
        <w:rPr>
          <w:rFonts w:ascii="宋体" w:hAnsi="宋体"/>
          <w:szCs w:val="21"/>
        </w:rPr>
      </w:pPr>
      <w:r>
        <w:rPr>
          <w:rFonts w:ascii="宋体" w:hAnsi="宋体"/>
          <w:szCs w:val="21"/>
        </w:rP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150963764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rPr>
        <w:alias w:val="同一控制下和非同一控制下企业合并的会计处理方法"/>
        <w:tag w:val="_GBC_ef4b9a8d4ac34f45a0f61a23267bcbb8"/>
        <w:id w:val="-1104958380"/>
        <w:placeholder>
          <w:docPart w:val="GBC22222222222222222222222222222"/>
        </w:placeholder>
      </w:sdtPr>
      <w:sdtContent>
        <w:p>
          <w:pPr>
            <w:ind w:firstLineChars="200" w:firstLine="420"/>
            <w:rPr>
              <w:rFonts w:ascii="宋体" w:hAnsi="宋体"/>
            </w:rPr>
          </w:pPr>
          <w:r>
            <w:rPr>
              <w:rFonts w:ascii="宋体" w:hAnsi="宋体" w:hint="eastAsia"/>
            </w:rPr>
            <w:t>（1）同一控制下企业合并的会计处理方法</w:t>
          </w:r>
        </w:p>
        <w:p>
          <w:pPr>
            <w:ind w:firstLineChars="200" w:firstLine="420"/>
            <w:rPr>
              <w:rFonts w:ascii="宋体" w:hAnsi="宋体"/>
            </w:rPr>
          </w:pPr>
          <w:r>
            <w:rPr>
              <w:rFonts w:ascii="宋体" w:hAnsi="宋体" w:hint="eastAsia"/>
            </w:rPr>
            <w:t>本集团在一次交易取得或通过多次交易分步实现同一控制下企业合并，企业合并中取得的资产和负债，按照合并日被合并方在最终控制方合并财务报表中的的账面价值计量。本集团取得的净资产账面价值与支付的合并对价账面价值（或发行股份面值总额）的差额，调整资本公积；资本公积不足冲减的，调整留存收益。</w:t>
          </w:r>
        </w:p>
        <w:p>
          <w:pPr>
            <w:ind w:firstLineChars="200" w:firstLine="420"/>
            <w:rPr>
              <w:rFonts w:ascii="宋体" w:hAnsi="宋体"/>
            </w:rPr>
          </w:pPr>
          <w:r>
            <w:rPr>
              <w:rFonts w:ascii="宋体" w:hAnsi="宋体" w:hint="eastAsia"/>
            </w:rPr>
            <w:t>（2）非同一控制下企业合并的会计处理方法</w:t>
          </w:r>
        </w:p>
        <w:p>
          <w:pPr>
            <w:ind w:firstLineChars="200" w:firstLine="420"/>
            <w:rPr>
              <w:rFonts w:ascii="宋体" w:hAnsi="宋体"/>
            </w:rPr>
          </w:pPr>
          <w:r>
            <w:rPr>
              <w:rFonts w:ascii="宋体" w:hAnsi="宋体" w:hint="eastAsia"/>
            </w:rPr>
            <w:lastRenderedPageBreak/>
            <w:t>本集团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p>
          <w:pPr>
            <w:ind w:firstLineChars="200" w:firstLine="420"/>
            <w:rPr>
              <w:rFonts w:ascii="宋体" w:hAnsi="宋体"/>
            </w:rPr>
          </w:pPr>
          <w:r>
            <w:rPr>
              <w:rFonts w:ascii="宋体" w:hAnsi="宋体" w:hint="eastAsia"/>
            </w:rPr>
            <w:t>通过多次交易分步实现非同一控制下企业合并，应按以下顺序处理：</w:t>
          </w:r>
        </w:p>
        <w:p>
          <w:pPr>
            <w:ind w:firstLineChars="200" w:firstLine="420"/>
            <w:rPr>
              <w:rFonts w:ascii="宋体" w:hAnsi="宋体"/>
            </w:rPr>
          </w:pPr>
          <w:r>
            <w:rPr>
              <w:rFonts w:ascii="宋体" w:hAnsi="宋体" w:hint="eastAsia"/>
            </w:rPr>
            <w:t>1）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以及持有的其他权益工具投资公允价值变动而产生的其他综合收益除外。</w:t>
          </w:r>
        </w:p>
        <w:p>
          <w:pPr>
            <w:ind w:firstLineChars="200" w:firstLine="420"/>
            <w:rPr>
              <w:rFonts w:ascii="宋体" w:hAnsi="宋体"/>
            </w:rPr>
          </w:pPr>
          <w:r>
            <w:rPr>
              <w:rFonts w:ascii="宋体" w:hAnsi="宋体" w:hint="eastAsia"/>
            </w:rPr>
            <w:t>2）确认商誉（或计入当期损益的金额）。将第一步调整后长期股权投资初始投资成本与购买日应享有子公司可辨认净资产公允价值份额比较，前者大于后者，差额确认为商誉；前者小于后者，差额计入当期损益。</w:t>
          </w:r>
        </w:p>
        <w:p>
          <w:pPr>
            <w:ind w:firstLineChars="200" w:firstLine="420"/>
            <w:rPr>
              <w:rFonts w:ascii="宋体" w:hAnsi="宋体"/>
            </w:rPr>
          </w:pPr>
          <w:r>
            <w:rPr>
              <w:rFonts w:ascii="宋体" w:hAnsi="宋体" w:hint="eastAsia"/>
            </w:rPr>
            <w:t>通过多次交易分步处置股权至丧失对子公司控制权的情形</w:t>
          </w:r>
        </w:p>
        <w:p>
          <w:pPr>
            <w:ind w:firstLineChars="200" w:firstLine="420"/>
            <w:rPr>
              <w:rFonts w:ascii="宋体" w:hAnsi="宋体"/>
            </w:rPr>
          </w:pPr>
          <w:r>
            <w:rPr>
              <w:rFonts w:ascii="宋体" w:hAnsi="宋体" w:hint="eastAsia"/>
            </w:rPr>
            <w:t>1）判断分步处置股权至丧失对子公司控制权过程中的各项交易是否属于“一揽子交易”的原则</w:t>
          </w:r>
        </w:p>
        <w:p>
          <w:pPr>
            <w:ind w:firstLineChars="200" w:firstLine="420"/>
            <w:rPr>
              <w:rFonts w:ascii="宋体" w:hAnsi="宋体"/>
            </w:rPr>
          </w:pPr>
          <w:r>
            <w:rPr>
              <w:rFonts w:ascii="宋体" w:hAnsi="宋体" w:hint="eastAsia"/>
            </w:rPr>
            <w:t>处置对子公司股权投资的各项交易的条款、条件以及经济影响符合以下一种或多种情况，通常表明应将多次交易事项作为一揽子交易进行会计处理：</w:t>
          </w:r>
        </w:p>
        <w:p>
          <w:pPr>
            <w:ind w:left="420"/>
            <w:rPr>
              <w:rFonts w:ascii="宋体" w:hAnsi="宋体"/>
            </w:rPr>
          </w:pPr>
          <w:r>
            <w:rPr>
              <w:rFonts w:ascii="宋体" w:hAnsi="宋体" w:hint="eastAsia"/>
            </w:rPr>
            <w:t>①这些交易是同时或者在考虑了彼此影响的情况下订立的；</w:t>
          </w:r>
        </w:p>
        <w:p>
          <w:pPr>
            <w:ind w:firstLineChars="200" w:firstLine="420"/>
            <w:rPr>
              <w:rFonts w:ascii="宋体" w:hAnsi="宋体"/>
            </w:rPr>
          </w:pPr>
          <w:r>
            <w:rPr>
              <w:rFonts w:ascii="宋体" w:hAnsi="宋体" w:hint="eastAsia"/>
            </w:rPr>
            <w:t>②这些交易整体才能达成一项完整的商业结果；</w:t>
          </w:r>
        </w:p>
        <w:p>
          <w:pPr>
            <w:ind w:firstLineChars="200" w:firstLine="420"/>
            <w:rPr>
              <w:rFonts w:ascii="宋体" w:hAnsi="宋体"/>
            </w:rPr>
          </w:pPr>
          <w:r>
            <w:rPr>
              <w:rFonts w:ascii="宋体" w:hAnsi="宋体" w:hint="eastAsia"/>
            </w:rPr>
            <w:t>③一项交易的发生取决于其他至少一项交易的发生；</w:t>
          </w:r>
        </w:p>
        <w:p>
          <w:pPr>
            <w:ind w:firstLineChars="200" w:firstLine="420"/>
            <w:rPr>
              <w:rFonts w:ascii="宋体" w:hAnsi="宋体"/>
            </w:rPr>
          </w:pPr>
          <w:r>
            <w:rPr>
              <w:rFonts w:ascii="宋体" w:hAnsi="宋体" w:hint="eastAsia"/>
            </w:rPr>
            <w:t>④一项交易单独看是不经济的，但是和其他交易一并考虑时是经济的。</w:t>
          </w:r>
        </w:p>
        <w:p>
          <w:pPr>
            <w:ind w:firstLineChars="200" w:firstLine="420"/>
            <w:rPr>
              <w:rFonts w:ascii="宋体" w:hAnsi="宋体"/>
            </w:rPr>
          </w:pPr>
          <w:r>
            <w:rPr>
              <w:rFonts w:ascii="宋体" w:hAnsi="宋体" w:hint="eastAsia"/>
            </w:rPr>
            <w:t>2）分步处置股权至丧失对子公司控制权过程中的各项交易属于“一揽子交易”的会计处理方法</w:t>
          </w:r>
        </w:p>
        <w:p>
          <w:pPr>
            <w:ind w:firstLineChars="200" w:firstLine="420"/>
            <w:rPr>
              <w:rFonts w:ascii="宋体" w:hAnsi="宋体"/>
            </w:rPr>
          </w:pPr>
          <w:r>
            <w:rPr>
              <w:rFonts w:ascii="宋体" w:hAnsi="宋体" w:hint="eastAsia"/>
            </w:rPr>
            <w:t>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pPr>
            <w:ind w:firstLineChars="200" w:firstLine="420"/>
            <w:rPr>
              <w:rFonts w:ascii="宋体" w:hAnsi="宋体"/>
            </w:rPr>
          </w:pPr>
          <w:r>
            <w:rPr>
              <w:rFonts w:ascii="宋体" w:hAnsi="宋体" w:hint="eastAsia"/>
            </w:rPr>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或留存收益。</w:t>
          </w:r>
        </w:p>
        <w:p>
          <w:pPr>
            <w:ind w:firstLineChars="200" w:firstLine="420"/>
            <w:rPr>
              <w:rFonts w:ascii="宋体" w:hAnsi="宋体"/>
            </w:rPr>
          </w:pPr>
          <w:r>
            <w:rPr>
              <w:rFonts w:ascii="宋体" w:hAnsi="宋体" w:hint="eastAsia"/>
            </w:rPr>
            <w:t>3）分步处置股权至丧失对子公司控制权过程中的各项交易不属于“一揽子交易”的会计处理方法</w:t>
          </w:r>
        </w:p>
        <w:p>
          <w:pPr>
            <w:ind w:firstLineChars="200" w:firstLine="420"/>
            <w:rPr>
              <w:rFonts w:ascii="宋体" w:hAnsi="宋体"/>
            </w:rPr>
          </w:pPr>
          <w:r>
            <w:rPr>
              <w:rFonts w:ascii="宋体" w:hAnsi="宋体" w:hint="eastAsia"/>
            </w:rPr>
            <w:t>处置对子公司的投资未丧失控制权的，合并财务报表中处置价款与处置投资对应的享有该子公司净资产份额的差额计入资本公积（资本溢价或股本溢价），资本溢价不足冲减的，应当调整留存收益。</w:t>
          </w:r>
        </w:p>
        <w:p>
          <w:pPr>
            <w:ind w:firstLineChars="200" w:firstLine="420"/>
            <w:rPr>
              <w:rFonts w:ascii="宋体" w:hAnsi="宋体"/>
              <w:kern w:val="2"/>
            </w:rPr>
          </w:pPr>
          <w:r>
            <w:rPr>
              <w:rFonts w:ascii="宋体" w:hAnsi="宋体" w:hint="eastAsia"/>
            </w:rPr>
            <w:t>处置对子公司的投资丧失控制权的，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应当在丧失控制权时转为当期投资收益或留存收益。</w:t>
          </w:r>
        </w:p>
      </w:sdtContent>
    </w:sdt>
    <w:p>
      <w:pPr>
        <w:pStyle w:val="Style217"/>
      </w:pPr>
    </w:p>
    <w:p>
      <w:pPr>
        <w:pStyle w:val="Style178"/>
        <w:numPr>
          <w:ilvl w:val="0"/>
          <w:numId w:val="69"/>
        </w:numPr>
        <w:rPr>
          <w:rFonts w:ascii="宋体" w:hAnsi="宋体"/>
          <w:szCs w:val="21"/>
        </w:rPr>
      </w:pPr>
      <w:r>
        <w:rPr>
          <w:rFonts w:ascii="宋体" w:hAnsi="宋体" w:cs="宋体" w:hint="eastAsia"/>
          <w:kern w:val="0"/>
          <w:szCs w:val="21"/>
        </w:rPr>
        <w:t>控制的判断标准和</w:t>
      </w:r>
      <w:r>
        <w:rPr>
          <w:rFonts w:ascii="宋体" w:hAnsi="宋体"/>
          <w:szCs w:val="21"/>
        </w:rPr>
        <w:t>合并财务报表的编制方法</w:t>
      </w:r>
    </w:p>
    <w:sdt>
      <w:sdtPr>
        <w:rPr>
          <w:rFonts w:hint="eastAsia"/>
        </w:rPr>
        <w:alias w:val="是否适用：控制的判断标准和合并财务报表的编制方法[双击切换]"/>
        <w:tag w:val="_GBC_d8312ea572e647a59b796bf708b54713"/>
        <w:id w:val="208479912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rPr>
        <w:alias w:val="控制的判断标准和合并财务报表的编制方法"/>
        <w:tag w:val="_GBC_5201beca0c0944939b4a0d8d100d6fcf"/>
        <w:id w:val="-259056046"/>
        <w:placeholder>
          <w:docPart w:val="GBC22222222222222222222222222222"/>
        </w:placeholder>
      </w:sdtPr>
      <w:sdtContent>
        <w:p>
          <w:pPr>
            <w:ind w:firstLineChars="200" w:firstLine="420"/>
            <w:rPr>
              <w:rFonts w:ascii="宋体" w:hAnsi="宋体"/>
            </w:rPr>
          </w:pPr>
          <w:r>
            <w:rPr>
              <w:rFonts w:ascii="宋体" w:hAnsi="宋体" w:hint="eastAsia"/>
            </w:rPr>
            <w:t>本集团合并财务报表的合并范围以控制为基础予以确定，包括本公司及本公司控制的所有子公司（含企业、被投资单位中可分割的部分，以及企业所控制的结构化主体等）。本集团判断控制的标准为，本集团拥有对被投资方的权力，通过参与被投资方的相关活动而享有可变回报，并且有能力运用对被投资方的权力影响其回报金额。</w:t>
          </w:r>
        </w:p>
        <w:p>
          <w:pPr>
            <w:ind w:firstLineChars="200" w:firstLine="420"/>
            <w:rPr>
              <w:rFonts w:ascii="宋体" w:hAnsi="宋体"/>
            </w:rPr>
          </w:pPr>
          <w:r>
            <w:rPr>
              <w:rFonts w:ascii="宋体" w:hAnsi="宋体" w:hint="eastAsia"/>
            </w:rPr>
            <w:lastRenderedPageBreak/>
            <w:t>在编制合并财务报表时，子公司与本公司采用的会计政策或会计期间不一致的，按照本公司的会计政策或会计期间对子公司财务报表进行必要的调整。</w:t>
          </w:r>
        </w:p>
        <w:p>
          <w:pPr>
            <w:ind w:firstLineChars="200" w:firstLine="420"/>
            <w:rPr>
              <w:rFonts w:ascii="宋体" w:hAnsi="宋体"/>
            </w:rPr>
          </w:pPr>
          <w:r>
            <w:rPr>
              <w:rFonts w:ascii="宋体" w:hAnsi="宋体" w:hint="eastAsia"/>
            </w:rPr>
            <w:t>本公司与子公司及子公司相互之间发生的内部交易对合并财务报表的影响于合并时抵消。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pPr>
            <w:ind w:firstLineChars="200" w:firstLine="420"/>
            <w:rPr>
              <w:rFonts w:ascii="宋体" w:hAnsi="宋体"/>
            </w:rPr>
          </w:pPr>
          <w:r>
            <w:rPr>
              <w:rFonts w:ascii="宋体" w:hAnsi="宋体" w:hint="eastAsia"/>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pPr>
            <w:ind w:firstLineChars="200" w:firstLine="420"/>
            <w:rPr>
              <w:rFonts w:ascii="宋体" w:hAnsi="宋体"/>
            </w:rPr>
          </w:pPr>
          <w:r>
            <w:rPr>
              <w:rFonts w:ascii="宋体" w:hAnsi="宋体" w:hint="eastAsia"/>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pPr>
            <w:ind w:firstLineChars="200" w:firstLine="420"/>
            <w:rPr>
              <w:rFonts w:ascii="宋体" w:hAnsi="宋体"/>
            </w:rPr>
          </w:pPr>
          <w:r>
            <w:rPr>
              <w:rFonts w:ascii="宋体" w:hAnsi="宋体" w:hint="eastAsia"/>
            </w:rPr>
            <w:t>本集团在不丧失控制权的情况下部分处置对子公司的长期股权投资，在合并财务报表中，处置价款与处置长期股权投资相对应享有子公司自购买日或合并日开始持续计算的净资产份额之间的差额，调整资本公积（股本溢价），资本公积不足冲减的，调整留存收益。</w:t>
          </w:r>
        </w:p>
        <w:p>
          <w:pPr>
            <w:ind w:firstLineChars="200" w:firstLine="420"/>
            <w:rPr>
              <w:rFonts w:ascii="宋体" w:hAnsi="宋体"/>
            </w:rPr>
          </w:pPr>
          <w:r>
            <w:rPr>
              <w:rFonts w:ascii="宋体" w:hAnsi="宋体" w:hint="eastAsia"/>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pPr>
            <w:ind w:firstLineChars="200" w:firstLine="420"/>
            <w:rPr>
              <w:rFonts w:ascii="宋体" w:hAnsi="宋体"/>
            </w:rPr>
          </w:pPr>
          <w:r>
            <w:rPr>
              <w:rFonts w:ascii="宋体" w:hAnsi="宋体" w:hint="eastAsia"/>
            </w:rPr>
            <w:t>本集团通过多次交易分步处置对子公司股权投资直至丧失控制权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通过多次交易分步处置对子公司股权投资直至丧失控制权，不属于一揽子交易的，对每一项交易按照是否丧失控制权分别进行会计处理。</w:t>
          </w:r>
        </w:p>
      </w:sdtContent>
    </w:sdt>
    <w:p>
      <w:pPr>
        <w:pStyle w:val="Style217"/>
      </w:pPr>
    </w:p>
    <w:p>
      <w:pPr>
        <w:pStyle w:val="Style178"/>
        <w:numPr>
          <w:ilvl w:val="0"/>
          <w:numId w:val="69"/>
        </w:numPr>
        <w:rPr>
          <w:rFonts w:ascii="宋体" w:hAnsi="宋体"/>
          <w:szCs w:val="21"/>
        </w:rPr>
      </w:pPr>
      <w:r>
        <w:rPr>
          <w:rFonts w:ascii="宋体" w:hAnsi="宋体" w:hint="eastAsia"/>
          <w:szCs w:val="21"/>
        </w:rPr>
        <w:t>合营安排分类及共同经营会计处理方法</w:t>
      </w:r>
    </w:p>
    <w:sdt>
      <w:sdtPr>
        <w:rPr>
          <w:rFonts w:hint="eastAsia"/>
        </w:rPr>
        <w:alias w:val="是否适用：合营安排分类及共同经营会计处理方法[双击切换]"/>
        <w:tag w:val="_GBC_e5a2f4bbc77f437e880fdd380b417236"/>
        <w:id w:val="205658044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合营安排分类及共同经营会计处理方法"/>
        <w:tag w:val="_GBC_cf67ede4230c4056b34792c6a0db55e2"/>
        <w:id w:val="-1818345"/>
        <w:placeholder>
          <w:docPart w:val="GBC22222222222222222222222222222"/>
        </w:placeholder>
      </w:sdtPr>
      <w:sdtContent>
        <w:p>
          <w:pPr>
            <w:ind w:firstLineChars="200" w:firstLine="420"/>
            <w:rPr>
              <w:rFonts w:ascii="宋体" w:hAnsi="宋体"/>
            </w:rPr>
          </w:pPr>
          <w:r>
            <w:rPr>
              <w:rFonts w:ascii="宋体" w:hAnsi="宋体" w:hint="eastAsia"/>
            </w:rPr>
            <w:t>（1）合营安排的认定和分类</w:t>
          </w:r>
        </w:p>
        <w:p>
          <w:pPr>
            <w:ind w:firstLineChars="200" w:firstLine="420"/>
            <w:rPr>
              <w:rFonts w:ascii="宋体" w:hAnsi="宋体"/>
            </w:rPr>
          </w:pPr>
          <w:r>
            <w:rPr>
              <w:rFonts w:ascii="宋体" w:hAnsi="宋体" w:hint="eastAsia"/>
            </w:rPr>
            <w:t>合营安排，是指一项由两个或两个以上的参与方共同控制的安排。合营安排具有下列特征：1）各参与方均受到该安排的约束；2）两个或两个以上的参与方对该安排实施共同控制。任何一个参与方都不能够单独控制该安排，对该安排具有共同控制的任何一个参与方均能够阻止其他参与方或参与方组合单独控制该安排。</w:t>
          </w:r>
        </w:p>
        <w:p>
          <w:pPr>
            <w:ind w:firstLineChars="200" w:firstLine="420"/>
            <w:rPr>
              <w:rFonts w:ascii="宋体" w:hAnsi="宋体"/>
            </w:rPr>
          </w:pPr>
          <w:r>
            <w:rPr>
              <w:rFonts w:ascii="宋体" w:hAnsi="宋体" w:hint="eastAsia"/>
            </w:rPr>
            <w:t>共同控制，是指按照相关约定对某项安排所共有的控制，并且该安排的相关活动必须经过分享控制权的参与方一致同意后才能决策。</w:t>
          </w:r>
        </w:p>
        <w:p>
          <w:pPr>
            <w:ind w:firstLineChars="200" w:firstLine="420"/>
            <w:rPr>
              <w:rFonts w:ascii="宋体" w:hAnsi="宋体"/>
            </w:rPr>
          </w:pPr>
          <w:r>
            <w:rPr>
              <w:rFonts w:ascii="宋体" w:hAnsi="宋体" w:hint="eastAsia"/>
            </w:rPr>
            <w:t>合营安排分为共同经营和合营企业。共同经营，是指合营方享有该安排相关资产且承担该安排相关负债的合营安排。合营企业，是指合营方仅对该安排的净资产享有权利的合营安排。</w:t>
          </w:r>
        </w:p>
        <w:p>
          <w:pPr>
            <w:ind w:firstLineChars="200" w:firstLine="420"/>
            <w:rPr>
              <w:rFonts w:ascii="宋体" w:hAnsi="宋体"/>
            </w:rPr>
          </w:pPr>
          <w:r>
            <w:rPr>
              <w:rFonts w:ascii="宋体" w:hAnsi="宋体" w:hint="eastAsia"/>
            </w:rPr>
            <w:t>本集团的合营安排包括共同经营和合营企业。共同经营，是指合营方享有该安排相关资产且承担该安排相关负债的合营安排。合营企业，是指合营方仅对该安排的净资产享有权利的合营安排。</w:t>
          </w:r>
        </w:p>
        <w:p>
          <w:pPr>
            <w:ind w:firstLineChars="200" w:firstLine="420"/>
            <w:rPr>
              <w:rFonts w:ascii="宋体" w:hAnsi="宋体"/>
            </w:rPr>
          </w:pPr>
          <w:r>
            <w:rPr>
              <w:rFonts w:ascii="宋体" w:hAnsi="宋体" w:hint="eastAsia"/>
            </w:rPr>
            <w:t>（2）合营安排的会计处理</w:t>
          </w:r>
        </w:p>
        <w:p>
          <w:pPr>
            <w:ind w:firstLineChars="200" w:firstLine="420"/>
            <w:rPr>
              <w:rFonts w:ascii="宋体" w:hAnsi="宋体"/>
              <w:b/>
              <w:bCs/>
            </w:rPr>
          </w:pPr>
          <w:r>
            <w:rPr>
              <w:rFonts w:ascii="宋体" w:hAnsi="宋体" w:hint="eastAsia"/>
            </w:rPr>
            <w:t>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p>
      <w:pPr>
        <w:pStyle w:val="Style217"/>
      </w:pPr>
    </w:p>
    <w:p>
      <w:pPr>
        <w:pStyle w:val="Style178"/>
        <w:numPr>
          <w:ilvl w:val="0"/>
          <w:numId w:val="69"/>
        </w:numPr>
        <w:rPr>
          <w:rFonts w:ascii="宋体" w:hAnsi="宋体"/>
          <w:szCs w:val="21"/>
        </w:rPr>
      </w:pPr>
      <w:r>
        <w:rPr>
          <w:rFonts w:ascii="宋体" w:hAnsi="宋体"/>
          <w:szCs w:val="21"/>
        </w:rPr>
        <w:lastRenderedPageBreak/>
        <w:t>现金及现金等价物的确定标准</w:t>
      </w:r>
    </w:p>
    <w:sdt>
      <w:sdtPr>
        <w:rPr>
          <w:rFonts w:ascii="宋体" w:hAnsi="宋体" w:hint="eastAsia"/>
        </w:rPr>
        <w:alias w:val="现金及现金等价物的确定标准"/>
        <w:tag w:val="_GBC_54f6bc3e44e840bc85cb3872600823b5"/>
        <w:id w:val="1552118989"/>
        <w:placeholder>
          <w:docPart w:val="GBC22222222222222222222222222222"/>
        </w:placeholder>
      </w:sdtPr>
      <w:sdtContent>
        <w:p>
          <w:pPr>
            <w:ind w:firstLineChars="200" w:firstLine="420"/>
            <w:rPr>
              <w:rFonts w:ascii="宋体" w:hAnsi="宋体"/>
            </w:rPr>
          </w:pPr>
          <w:r>
            <w:rPr>
              <w:rFonts w:ascii="宋体" w:hAnsi="宋体" w:hint="eastAsia"/>
            </w:rPr>
            <w:t>本集团现金流量表之现金指库存现金以及可以随时用于支付的存款。现金流量表之现金等价物指持有期限不超过3个月、流动性强、易于转换为已知金额现金且价值变动风险很小的投资。</w:t>
          </w:r>
        </w:p>
      </w:sdtContent>
    </w:sdt>
    <w:p>
      <w:pPr>
        <w:pStyle w:val="Style217"/>
      </w:pPr>
    </w:p>
    <w:p>
      <w:pPr>
        <w:pStyle w:val="Style178"/>
        <w:numPr>
          <w:ilvl w:val="0"/>
          <w:numId w:val="69"/>
        </w:numPr>
        <w:rPr>
          <w:rFonts w:ascii="宋体" w:hAnsi="宋体"/>
          <w:szCs w:val="21"/>
        </w:rPr>
      </w:pPr>
      <w:r>
        <w:rPr>
          <w:rFonts w:ascii="宋体" w:hAnsi="宋体"/>
          <w:szCs w:val="21"/>
        </w:rPr>
        <w:t>外币业务和外币报表折算</w:t>
      </w:r>
    </w:p>
    <w:sdt>
      <w:sdtPr>
        <w:rPr>
          <w:rFonts w:hint="eastAsia"/>
        </w:rPr>
        <w:alias w:val="是否适用：外币业务和外币报表折算[双击切换]"/>
        <w:tag w:val="_GBC_9c9def5a1d2241b5a3ee696d03433778"/>
        <w:id w:val="107863942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kern w:val="0"/>
          <w:sz w:val="21"/>
          <w:szCs w:val="21"/>
        </w:rPr>
        <w:alias w:val="外币业务核算方法"/>
        <w:tag w:val="_GBC_1703fe5fc56b42a8972c0906a4ac6d6b"/>
        <w:id w:val="-1283254618"/>
        <w:placeholder>
          <w:docPart w:val="GBC22222222222222222222222222222"/>
        </w:placeholder>
      </w:sdtPr>
      <w:sdtContent>
        <w:p>
          <w:pPr>
            <w:pStyle w:val="Style189"/>
            <w:numPr>
              <w:ilvl w:val="0"/>
              <w:numId w:val="70"/>
            </w:numPr>
            <w:ind w:firstLineChars="0"/>
            <w:rPr>
              <w:rFonts w:ascii="宋体" w:hAnsi="宋体"/>
              <w:sz w:val="21"/>
              <w:szCs w:val="21"/>
            </w:rPr>
          </w:pPr>
          <w:r>
            <w:rPr>
              <w:rFonts w:ascii="宋体" w:hAnsi="宋体" w:hint="eastAsia"/>
              <w:sz w:val="21"/>
              <w:szCs w:val="21"/>
            </w:rPr>
            <w:t>外币业务折算</w:t>
          </w:r>
        </w:p>
        <w:p>
          <w:pPr>
            <w:ind w:firstLineChars="200" w:firstLine="420"/>
            <w:rPr>
              <w:rFonts w:ascii="宋体" w:hAnsi="宋体"/>
            </w:rPr>
          </w:pPr>
          <w:r>
            <w:rPr>
              <w:rFonts w:ascii="宋体" w:hAnsi="宋体" w:hint="eastAsia"/>
            </w:rPr>
            <w:t>本集团外币交易在初始确认时，采用交易发生日的即期汇率将外币金额折算为记账本位币金额。于资产负债表日，外币货币性项目采用资产负债表日的即期汇率折算为记账本位币，所产生的折算差额除了为购建或生产符合资本化条件的资产而借入的外币专门借款产生的汇兑差额按资本化的原则处理外，直接计入当期损益；以历史成本计量的外币非货币性项目，仍采用交易发生日的即期汇率折算，不改变其记账本位币金额；以公允价值计量的外币非货币性项目，采用公允价值确定日的即期汇率折算，折算后的记账本位币金额与原记账本位币金额的差额，作为公允价值变动（含汇率变动）处理，计入当期损益；收到投资者以外币投入的资本，采用交易发生日即期汇率折算，外币投入资本与相应的货币性项目的记账本位币金额之间不产生外币资本折算差额。</w:t>
          </w:r>
        </w:p>
        <w:p>
          <w:pPr>
            <w:pStyle w:val="Style189"/>
            <w:numPr>
              <w:ilvl w:val="0"/>
              <w:numId w:val="70"/>
            </w:numPr>
            <w:ind w:firstLineChars="0"/>
            <w:rPr>
              <w:rFonts w:ascii="宋体" w:hAnsi="宋体"/>
              <w:sz w:val="21"/>
              <w:szCs w:val="21"/>
            </w:rPr>
          </w:pPr>
          <w:r>
            <w:rPr>
              <w:rFonts w:ascii="宋体" w:hAnsi="宋体" w:hint="eastAsia"/>
              <w:sz w:val="21"/>
              <w:szCs w:val="21"/>
            </w:rPr>
            <w:t>外币财务报表折算</w:t>
          </w:r>
        </w:p>
        <w:p>
          <w:pPr>
            <w:ind w:firstLineChars="200" w:firstLine="420"/>
            <w:rPr>
              <w:rFonts w:ascii="宋体" w:hAnsi="宋体"/>
            </w:rPr>
          </w:pPr>
          <w:r>
            <w:rPr>
              <w:rFonts w:ascii="宋体" w:hAnsi="宋体" w:hint="eastAsia"/>
            </w:rPr>
            <w:t>本集团在编制合并财务报表时将境外经营的财务报表折算为人民币，其中：外币资产负债表中资产、负债类项目采用资产负债表日的即期汇率折算；所有者权益类项目除“未分配利润”外，均按业务发生时的即期汇率折算；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pPr>
            <w:ind w:firstLineChars="200" w:firstLine="420"/>
            <w:rPr>
              <w:rFonts w:ascii="宋体" w:hAnsi="宋体"/>
              <w:kern w:val="2"/>
            </w:rPr>
          </w:pPr>
          <w:r>
            <w:rPr>
              <w:rFonts w:ascii="宋体" w:hAnsi="宋体" w:hint="eastAsia"/>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p>
      <w:pPr>
        <w:pStyle w:val="Style217"/>
      </w:pPr>
    </w:p>
    <w:p>
      <w:pPr>
        <w:pStyle w:val="Style178"/>
        <w:numPr>
          <w:ilvl w:val="0"/>
          <w:numId w:val="69"/>
        </w:numPr>
        <w:rPr>
          <w:rFonts w:ascii="宋体" w:hAnsi="宋体"/>
          <w:szCs w:val="21"/>
        </w:rPr>
      </w:pPr>
      <w:r>
        <w:rPr>
          <w:rFonts w:ascii="宋体" w:hAnsi="宋体"/>
          <w:szCs w:val="21"/>
        </w:rPr>
        <w:t>金融工具</w:t>
      </w:r>
    </w:p>
    <w:sdt>
      <w:sdtPr>
        <w:rPr>
          <w:rFonts w:hint="eastAsia"/>
        </w:rPr>
        <w:alias w:val="是否适用：金融工具_重要会计政策和估计[双击切换]"/>
        <w:tag w:val="_GBC_1537cea503f244c2af870a2a0d5fd7a9"/>
        <w:id w:val="93973073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rPr>
        <w:alias w:val="金融资产和金融负债的核算方法"/>
        <w:tag w:val="_GBC_b358067bbe2a49bf880c383a5db50d8a"/>
        <w:id w:val="460237244"/>
        <w:placeholder>
          <w:docPart w:val="GBC22222222222222222222222222222"/>
        </w:placeholder>
      </w:sdtPr>
      <w:sdtContent>
        <w:p>
          <w:pPr>
            <w:ind w:firstLineChars="200" w:firstLine="420"/>
            <w:rPr>
              <w:rFonts w:ascii="宋体" w:hAnsi="宋体"/>
            </w:rPr>
          </w:pPr>
          <w:r>
            <w:rPr>
              <w:rFonts w:ascii="宋体" w:hAnsi="宋体" w:hint="eastAsia"/>
            </w:rPr>
            <w:t>（1）金融工具的确认和终止确认</w:t>
          </w:r>
        </w:p>
        <w:p>
          <w:pPr>
            <w:ind w:firstLineChars="200" w:firstLine="420"/>
            <w:rPr>
              <w:rFonts w:ascii="宋体" w:hAnsi="宋体"/>
            </w:rPr>
          </w:pPr>
          <w:r>
            <w:rPr>
              <w:rFonts w:ascii="宋体" w:hAnsi="宋体" w:hint="eastAsia"/>
            </w:rPr>
            <w:t>本集团成为金融工具合同的一方时确认一项金融资产或金融负债。</w:t>
          </w:r>
        </w:p>
        <w:p>
          <w:pPr>
            <w:ind w:firstLineChars="200" w:firstLine="420"/>
            <w:rPr>
              <w:rFonts w:ascii="宋体" w:hAnsi="宋体"/>
            </w:rPr>
          </w:pPr>
          <w:r>
            <w:rPr>
              <w:rFonts w:ascii="宋体" w:hAnsi="宋体" w:hint="eastAsia"/>
            </w:rPr>
            <w:t>满足下列条件的，终止确认金融资产，即从其账户和资产负债表内予以转销：1）收取金融资产现金流量的权利届满；2）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pPr>
            <w:ind w:firstLineChars="200" w:firstLine="420"/>
            <w:rPr>
              <w:rFonts w:ascii="宋体" w:hAnsi="宋体"/>
            </w:rPr>
          </w:pPr>
          <w:r>
            <w:rPr>
              <w:rFonts w:ascii="宋体" w:hAnsi="宋体" w:hint="eastAsia"/>
            </w:rPr>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pPr>
            <w:ind w:firstLineChars="200" w:firstLine="420"/>
            <w:rPr>
              <w:rFonts w:ascii="宋体" w:hAnsi="宋体"/>
            </w:rPr>
          </w:pPr>
          <w:r>
            <w:rPr>
              <w:rFonts w:ascii="宋体" w:hAnsi="宋体" w:hint="eastAsia"/>
            </w:rPr>
            <w:t>以常规方式买卖金融资产，按交易日会计进行确认和终止确认。</w:t>
          </w:r>
        </w:p>
        <w:p>
          <w:pPr>
            <w:ind w:firstLineChars="200" w:firstLine="420"/>
            <w:rPr>
              <w:rFonts w:ascii="宋体" w:hAnsi="宋体"/>
            </w:rPr>
          </w:pPr>
          <w:r>
            <w:rPr>
              <w:rFonts w:ascii="宋体" w:hAnsi="宋体" w:hint="eastAsia"/>
            </w:rPr>
            <w:t>（2）金融资产分类和计量</w:t>
          </w:r>
        </w:p>
        <w:p>
          <w:pPr>
            <w:ind w:firstLineChars="200" w:firstLine="420"/>
            <w:rPr>
              <w:rFonts w:ascii="宋体" w:hAnsi="宋体"/>
            </w:rPr>
          </w:pPr>
          <w:r>
            <w:rPr>
              <w:rFonts w:ascii="宋体" w:hAnsi="宋体" w:hint="eastAsia"/>
            </w:rPr>
            <w:t>本集团的金融资产于初始确认时根据本集团管理金融资产的业务模式和金融资产的合同现金流量特征，将金融资产分类为以摊余成本计量的金融资产、以公允价值计量且其变动计入其他综合收益的金融资产、以公允价值计量且其变动计入当期损益的金融资产。当且仅当本集团改变管理金融资产的业务模式时，才对所有受影响的相关金融资产进行重分类。</w:t>
          </w:r>
        </w:p>
        <w:p>
          <w:pPr>
            <w:ind w:firstLineChars="200" w:firstLine="420"/>
            <w:rPr>
              <w:rFonts w:ascii="宋体" w:hAnsi="宋体"/>
            </w:rPr>
          </w:pPr>
          <w:r>
            <w:rPr>
              <w:rFonts w:ascii="宋体" w:hAnsi="宋体" w:hint="eastAsia"/>
            </w:rPr>
            <w:t>在判断业务模式时，本集团考虑包括企业评价和向关键管理人员报告金融资产业绩的方式、影响金融资产业绩的风险及其管理方式以及相关业务管理人员获得报酬的方式等。在评估是否以</w:t>
          </w:r>
          <w:r>
            <w:rPr>
              <w:rFonts w:ascii="宋体" w:hAnsi="宋体" w:hint="eastAsia"/>
            </w:rPr>
            <w:lastRenderedPageBreak/>
            <w:t>收取合同现金流量为目标时，本集团需要对金融资产到期日前的出售原因、时间、频率和价值等进行分析判断。</w:t>
          </w:r>
        </w:p>
        <w:p>
          <w:pPr>
            <w:ind w:firstLineChars="200" w:firstLine="420"/>
            <w:rPr>
              <w:rFonts w:ascii="宋体" w:hAnsi="宋体"/>
            </w:rPr>
          </w:pPr>
          <w:r>
            <w:rPr>
              <w:rFonts w:ascii="宋体" w:hAnsi="宋体" w:hint="eastAsia"/>
            </w:rPr>
            <w:t>在判断合同现金流量特征时，本集团需要判断合同现金流量是否仅为对本金和以未偿付本金为基础的利息的支付时，包含对货币时间价值的修正进行评估时，需要判断与基准现金流量相比是否具有显著差异；对包含提前还款特征的金融资产，需要判断提前还款特征的公允价值是否非常小等。</w:t>
          </w:r>
        </w:p>
        <w:p>
          <w:pPr>
            <w:ind w:firstLineChars="200" w:firstLine="420"/>
            <w:rPr>
              <w:rFonts w:ascii="宋体" w:hAnsi="宋体"/>
            </w:rPr>
          </w:pPr>
          <w:r>
            <w:rPr>
              <w:rFonts w:ascii="宋体" w:hAnsi="宋体" w:hint="eastAsia"/>
            </w:rPr>
            <w:t>金融资产在初始确认时以公允价值计量，但是因销售商品或提供服务等产生的应收账款或应收票据未包含重大融资成分或不考虑不超过一年的融资成分的，按照交易价格进行初始计量。</w:t>
          </w:r>
        </w:p>
        <w:p>
          <w:pPr>
            <w:ind w:firstLineChars="200" w:firstLine="420"/>
            <w:rPr>
              <w:rFonts w:ascii="宋体" w:hAnsi="宋体"/>
            </w:rPr>
          </w:pPr>
          <w:r>
            <w:rPr>
              <w:rFonts w:ascii="宋体" w:hAnsi="宋体" w:hint="eastAsia"/>
            </w:rPr>
            <w:t>对于以公允价值计量且其变动计入当期损益的金融资产，相关交易费用直接计入当期损益，其他类别的金融资产相关交易费用计入其初始确认金额。</w:t>
          </w:r>
        </w:p>
        <w:p>
          <w:pPr>
            <w:ind w:firstLineChars="200" w:firstLine="420"/>
            <w:rPr>
              <w:rFonts w:ascii="宋体" w:hAnsi="宋体"/>
            </w:rPr>
          </w:pPr>
          <w:r>
            <w:rPr>
              <w:rFonts w:ascii="宋体" w:hAnsi="宋体" w:hint="eastAsia"/>
            </w:rPr>
            <w:t>金融资产的后续计量取决于其分类：</w:t>
          </w:r>
        </w:p>
        <w:p>
          <w:pPr>
            <w:ind w:firstLineChars="200" w:firstLine="420"/>
            <w:rPr>
              <w:rFonts w:ascii="宋体" w:hAnsi="宋体"/>
            </w:rPr>
          </w:pPr>
          <w:r>
            <w:rPr>
              <w:rFonts w:ascii="宋体" w:hAnsi="宋体" w:hint="eastAsia"/>
            </w:rPr>
            <w:t>1）以摊余成本计量的金融资产</w:t>
          </w:r>
        </w:p>
        <w:p>
          <w:pPr>
            <w:ind w:firstLineChars="200" w:firstLine="420"/>
            <w:rPr>
              <w:rFonts w:ascii="宋体" w:hAnsi="宋体"/>
            </w:rPr>
          </w:pPr>
          <w:r>
            <w:rPr>
              <w:rFonts w:ascii="宋体" w:hAnsi="宋体" w:hint="eastAsia"/>
            </w:rPr>
            <w:t>金融资产同时符合下列条件的，分类为以摊余成本计量的金融资产：①管理该金融资产的业务模式是以收取合同现金流量为目标。②该金融资产的合同条款规定，在特定日期产生的现金流量，仅为对本金和以未偿付本金金额为基础的利息的支付。本集团该分类的金融资产主要包括：货币资金、应收票据、应收账款、其他应收款、长期应收款、债权投资、发放贷款及垫款、应收企业借款、应收保理款。</w:t>
          </w:r>
        </w:p>
        <w:p>
          <w:pPr>
            <w:ind w:firstLineChars="200" w:firstLine="420"/>
            <w:rPr>
              <w:rFonts w:ascii="宋体" w:hAnsi="宋体"/>
            </w:rPr>
          </w:pPr>
        </w:p>
        <w:p>
          <w:pPr>
            <w:ind w:firstLineChars="200" w:firstLine="420"/>
            <w:rPr>
              <w:rFonts w:ascii="宋体" w:hAnsi="宋体"/>
            </w:rPr>
          </w:pPr>
          <w:r>
            <w:rPr>
              <w:rFonts w:ascii="宋体" w:hAnsi="宋体" w:hint="eastAsia"/>
            </w:rPr>
            <w:t>2）以公允价值计量且其变动计入其他综合收益的债务工具投资</w:t>
          </w:r>
        </w:p>
        <w:p>
          <w:pPr>
            <w:ind w:firstLineChars="200" w:firstLine="420"/>
            <w:rPr>
              <w:rFonts w:ascii="宋体" w:hAnsi="宋体"/>
            </w:rPr>
          </w:pPr>
          <w:r>
            <w:rPr>
              <w:rFonts w:ascii="宋体" w:hAnsi="宋体" w:hint="eastAsia"/>
            </w:rPr>
            <w:t>金融资产同时符合下列条件的，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额为基础的利息的支付。此类金融资产采用实际利率法确认利息收入。除利息收入、减值损失及汇兑差额确认为当期损益外，其余公允价值变动计入其他综合收益。当金融资产终止确认时，之前计入其他综合收益的累计利得或损失从其他综合收益转出，计入当期损益。本集团该分类的金融资产主要包括：应收款项融资。</w:t>
          </w:r>
        </w:p>
        <w:p>
          <w:pPr>
            <w:ind w:firstLineChars="200" w:firstLine="420"/>
            <w:rPr>
              <w:rFonts w:ascii="宋体" w:hAnsi="宋体"/>
            </w:rPr>
          </w:pPr>
          <w:r>
            <w:rPr>
              <w:rFonts w:ascii="宋体" w:hAnsi="宋体" w:hint="eastAsia"/>
            </w:rPr>
            <w:t>3）以公允价值计量且其变动计入其他综合收益的权益工具投资</w:t>
          </w:r>
        </w:p>
        <w:p>
          <w:pPr>
            <w:ind w:firstLineChars="200" w:firstLine="420"/>
            <w:rPr>
              <w:rFonts w:ascii="宋体" w:hAnsi="宋体"/>
            </w:rPr>
          </w:pPr>
          <w:r>
            <w:rPr>
              <w:rFonts w:ascii="宋体" w:hAnsi="宋体" w:hint="eastAsia"/>
            </w:rPr>
            <w:t>本集团不可撤销地选择将部分非交易性权益工具投资指定为以公允价值计量且其变动计入其他综合收益的金融资产，该指定一经作出，不得撤销。本集团仅将相关股利收入（明确作为投资成本部分收回的股利收入除外）计入当期损益，公允价值的后续变动计入其他综合收益，不需计提减值准备。当金融资产终止确认时，之前计入其他综合收益的累计利得或损失从其他综合收益转出，计入留存收益。本集团该分类的金融资产为其他权益工具投资。</w:t>
          </w:r>
        </w:p>
        <w:p>
          <w:pPr>
            <w:ind w:firstLineChars="200" w:firstLine="420"/>
            <w:rPr>
              <w:rFonts w:ascii="宋体" w:hAnsi="宋体"/>
            </w:rPr>
          </w:pPr>
          <w:r>
            <w:rPr>
              <w:rFonts w:ascii="宋体" w:hAnsi="宋体" w:hint="eastAsia"/>
            </w:rPr>
            <w:t>4）以公允价值计量且其变动计入当期损益的金融资产</w:t>
          </w:r>
        </w:p>
        <w:p>
          <w:pPr>
            <w:ind w:firstLineChars="200" w:firstLine="420"/>
            <w:rPr>
              <w:rFonts w:ascii="宋体" w:hAnsi="宋体"/>
            </w:rPr>
          </w:pPr>
          <w:r>
            <w:rPr>
              <w:rFonts w:ascii="宋体" w:hAnsi="宋体" w:hint="eastAsia"/>
            </w:rPr>
            <w:t>除上述分类为以摊余成本计量的金融资产和分类或指定为以公允价值计量且其变动计入其他综合收益的金融资产之外的金融资产，本集团将其分类为以公允价值计量且其变动计入当期损益的金融资产。此类金融资产按照公允价值进行后续计量，除与套期会计有关外，所有公允价值变动计入当期损益。本集团该分类的金融资产主要包括：交易性金融资产和其他非流动金融资产。</w:t>
          </w:r>
        </w:p>
        <w:p>
          <w:pPr>
            <w:ind w:firstLineChars="200" w:firstLine="420"/>
            <w:rPr>
              <w:rFonts w:ascii="宋体" w:hAnsi="宋体"/>
            </w:rPr>
          </w:pPr>
          <w:r>
            <w:rPr>
              <w:rFonts w:ascii="宋体" w:hAnsi="宋体" w:hint="eastAsia"/>
            </w:rPr>
            <w:t>本集团在非同一控制下的企业合并中确认的或有对价构成金融资产的，该金融资产分类为以公允价值计量且其变动计入当期损益的金融资产。</w:t>
          </w:r>
        </w:p>
        <w:p>
          <w:pPr>
            <w:ind w:firstLineChars="200" w:firstLine="420"/>
            <w:rPr>
              <w:rFonts w:ascii="宋体" w:hAnsi="宋体"/>
            </w:rPr>
          </w:pPr>
          <w:r>
            <w:rPr>
              <w:rFonts w:ascii="宋体" w:hAnsi="宋体" w:hint="eastAsia"/>
            </w:rPr>
            <w:t>（3）金融负债分类和计量</w:t>
          </w:r>
        </w:p>
        <w:p>
          <w:pPr>
            <w:ind w:firstLineChars="200" w:firstLine="420"/>
            <w:rPr>
              <w:rFonts w:ascii="宋体" w:hAnsi="宋体"/>
            </w:rPr>
          </w:pPr>
          <w:r>
            <w:rPr>
              <w:rFonts w:ascii="宋体" w:hAnsi="宋体" w:hint="eastAsia"/>
            </w:rPr>
            <w:t>除了签发的财务担保合同、以低于市场利率贷款的贷款承诺及由于金融资产转移不符合终止确认条件或继续涉入被转移金融资产所形成的金融负债以外，本集团的金融负债于初始确认时分类为：以公允价值计量且其变动计入当期损益的金融负债、以摊余成本计量的金融负债。对于以公允价值计量且其变动计入当期损益的金融负债，相关交易费用直接计入当期损益，以摊余成本计量的金融负债的相关交易费用计入其初始确认金额。</w:t>
          </w:r>
        </w:p>
        <w:p>
          <w:pPr>
            <w:ind w:firstLineChars="200" w:firstLine="420"/>
            <w:rPr>
              <w:rFonts w:ascii="宋体" w:hAnsi="宋体"/>
            </w:rPr>
          </w:pPr>
          <w:r>
            <w:rPr>
              <w:rFonts w:ascii="宋体" w:hAnsi="宋体" w:hint="eastAsia"/>
            </w:rPr>
            <w:t>金融负债的后续计量取决于其分类：</w:t>
          </w:r>
        </w:p>
        <w:p>
          <w:pPr>
            <w:ind w:firstLineChars="200" w:firstLine="420"/>
            <w:rPr>
              <w:rFonts w:ascii="宋体" w:hAnsi="宋体"/>
            </w:rPr>
          </w:pPr>
          <w:r>
            <w:rPr>
              <w:rFonts w:ascii="宋体" w:hAnsi="宋体" w:hint="eastAsia"/>
            </w:rPr>
            <w:t>1）以摊余成本计量的金融负债</w:t>
          </w:r>
        </w:p>
        <w:p>
          <w:pPr>
            <w:ind w:firstLineChars="200" w:firstLine="420"/>
            <w:rPr>
              <w:rFonts w:ascii="宋体" w:hAnsi="宋体"/>
            </w:rPr>
          </w:pPr>
          <w:r>
            <w:rPr>
              <w:rFonts w:ascii="宋体" w:hAnsi="宋体" w:hint="eastAsia"/>
            </w:rPr>
            <w:t>以摊余成本计量的金融负债，采用实际利率法，按照摊余成本进行后续计量。</w:t>
          </w:r>
        </w:p>
        <w:p>
          <w:pPr>
            <w:ind w:firstLineChars="200" w:firstLine="420"/>
            <w:rPr>
              <w:rFonts w:ascii="宋体" w:hAnsi="宋体"/>
            </w:rPr>
          </w:pPr>
          <w:r>
            <w:rPr>
              <w:rFonts w:ascii="宋体" w:hAnsi="宋体" w:hint="eastAsia"/>
            </w:rPr>
            <w:t>2）以公允价值计量且其变动计入当期损益的金融负债</w:t>
          </w:r>
        </w:p>
        <w:p>
          <w:pPr>
            <w:ind w:firstLineChars="200" w:firstLine="420"/>
            <w:rPr>
              <w:rFonts w:ascii="宋体" w:hAnsi="宋体"/>
            </w:rPr>
          </w:pPr>
          <w:r>
            <w:rPr>
              <w:rFonts w:ascii="宋体" w:hAnsi="宋体" w:hint="eastAsia"/>
            </w:rPr>
            <w:lastRenderedPageBreak/>
            <w:t>以公允价值计量且其变动计入当期损益的金融负债（含属于金融负债的衍生工具），包括交易性金融负债和初始确认时指定为以公允价值计量且其变动计入当期损益的金融负债。交易性金融负债（含属于金融负债的衍生工具），按照公允价值进行后续计量，（除与套期会计有关外）所有公允价值变动均计入当期损益。对于指定为以公允价值计量且其变动计入当期损益的金融负债，按照公允价值进行后续计量，除由本集团自身信用风险变动引起的公允价值变动计入其他综合收益之外，其他公允价值变动计入当期损益；如果由本集团自身信用风险变动引起的公允价值变动计入其他综合收益会造成或扩大损益中的会计错配，本集团将所有公允价值变动（包括自身信用风险变动的影响金额）计入当期损益。</w:t>
          </w:r>
        </w:p>
        <w:p>
          <w:pPr>
            <w:ind w:firstLineChars="200" w:firstLine="420"/>
            <w:rPr>
              <w:rFonts w:ascii="宋体" w:hAnsi="宋体"/>
            </w:rPr>
          </w:pPr>
          <w:r>
            <w:rPr>
              <w:rFonts w:ascii="宋体" w:hAnsi="宋体" w:hint="eastAsia"/>
            </w:rPr>
            <w:t>本集团将在非同一控制下的企业合并中作为购买方确认的或有对价形成金融负债的，按照以公允价值计量且其变动计入当期损益进行会计处理。</w:t>
          </w:r>
        </w:p>
        <w:p>
          <w:pPr>
            <w:ind w:firstLineChars="200" w:firstLine="420"/>
            <w:rPr>
              <w:rFonts w:ascii="宋体" w:hAnsi="宋体"/>
            </w:rPr>
          </w:pPr>
          <w:r>
            <w:rPr>
              <w:rFonts w:ascii="宋体" w:hAnsi="宋体" w:hint="eastAsia"/>
            </w:rPr>
            <w:t>（4）金融工具抵销</w:t>
          </w:r>
        </w:p>
        <w:p>
          <w:pPr>
            <w:ind w:firstLineChars="200" w:firstLine="420"/>
            <w:rPr>
              <w:rFonts w:ascii="宋体" w:hAnsi="宋体"/>
            </w:rPr>
          </w:pPr>
          <w:r>
            <w:rPr>
              <w:rFonts w:ascii="宋体" w:hAnsi="宋体" w:hint="eastAsia"/>
            </w:rPr>
            <w:t>本集团的金融资产和金融负债在资产负债表内分别列示，不相互抵销。但同时满足下列条件时，以相互抵销后的净额在资产负债表内列示：1）本集团具有抵销已确认金额的法定权利，且该种法定权利是当前可执行的；2）本集团计划以净额结算，或同时变现该金融资产和清偿该金融负债。</w:t>
          </w:r>
        </w:p>
        <w:p>
          <w:pPr>
            <w:ind w:firstLineChars="200" w:firstLine="420"/>
            <w:rPr>
              <w:rFonts w:ascii="宋体" w:hAnsi="宋体"/>
            </w:rPr>
          </w:pPr>
          <w:r>
            <w:rPr>
              <w:rFonts w:ascii="宋体" w:hAnsi="宋体" w:hint="eastAsia"/>
            </w:rPr>
            <w:t>（5）金融资产减值</w:t>
          </w:r>
        </w:p>
        <w:p>
          <w:pPr>
            <w:ind w:firstLineChars="200" w:firstLine="420"/>
            <w:rPr>
              <w:rFonts w:ascii="宋体" w:hAnsi="宋体"/>
            </w:rPr>
          </w:pPr>
          <w:r>
            <w:rPr>
              <w:rFonts w:ascii="宋体" w:hAnsi="宋体" w:hint="eastAsia"/>
            </w:rPr>
            <w:t>本集团以预期信用损失为基础，对以摊余成本计量的金融资产、以公允价值计量且其变动计入其他综合收益的债权投资、合同资产、租赁应收款、贷款承诺及财务担保合同进行减值处理并确认损失准备。</w:t>
          </w:r>
        </w:p>
        <w:p>
          <w:pPr>
            <w:ind w:firstLineChars="200" w:firstLine="420"/>
            <w:rPr>
              <w:rFonts w:ascii="宋体" w:hAnsi="宋体"/>
            </w:rPr>
          </w:pPr>
          <w:r>
            <w:rPr>
              <w:rFonts w:ascii="宋体" w:hAnsi="宋体" w:hint="eastAsia"/>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本集团考虑预期信用损失计量方法时反映如下要素：①通过评价一系列可能的结果而确定的无偏概率加权平均金额；②货币时间价值；③在资产负债表日无须付出不必要的额外成本或即可获得的有关过去事项、当前状况以及未来经济状况预测的合理且有依据的信息。</w:t>
          </w:r>
        </w:p>
        <w:p>
          <w:pPr>
            <w:ind w:firstLineChars="200" w:firstLine="420"/>
            <w:rPr>
              <w:rFonts w:ascii="宋体" w:hAnsi="宋体"/>
            </w:rPr>
          </w:pPr>
          <w:r>
            <w:rPr>
              <w:rFonts w:ascii="宋体" w:hAnsi="宋体" w:hint="eastAsia"/>
            </w:rPr>
            <w:t>本集团基于单项和组合评估金融工具的预期信用损失，以组合为基础进行评估时，本集团基于共同信用风险特征将金融工具分为不同组别。本集团采用的共同信用风险特征包括：金融工具类型、信用风险评级、债务人所处地理位置、债务人所处行业、逾期信息、应收款项账龄等。</w:t>
          </w:r>
        </w:p>
        <w:p>
          <w:pPr>
            <w:ind w:firstLineChars="200" w:firstLine="420"/>
            <w:rPr>
              <w:rFonts w:ascii="宋体" w:hAnsi="宋体"/>
            </w:rPr>
          </w:pPr>
          <w:r>
            <w:rPr>
              <w:rFonts w:ascii="宋体" w:hAnsi="宋体" w:hint="eastAsia"/>
            </w:rPr>
            <w:t>本集团采用预期信用损失模型对金融工具和合同资产的减值进行评估需要做出重大判断和估计，需考虑所有合理且有依据的信息，包括前瞻性信息。在做出这些判断和估计时，本集团根据历史还款数据结合经济政策、宏观经济指标、行业风险等因素推断债务人信用风险的预期变动。不同的估计可能会影响减值准备的计提，已计提的减值准备可能并不等于未来实际的减值损失金额。</w:t>
          </w:r>
        </w:p>
        <w:p>
          <w:pPr>
            <w:ind w:firstLineChars="200" w:firstLine="420"/>
            <w:rPr>
              <w:rFonts w:ascii="宋体" w:hAnsi="宋体"/>
            </w:rPr>
          </w:pPr>
          <w:r>
            <w:rPr>
              <w:rFonts w:ascii="宋体" w:hAnsi="宋体" w:hint="eastAsia"/>
            </w:rPr>
            <w:t>1）应收款项和合同资产的减值测试方法</w:t>
          </w:r>
        </w:p>
        <w:p>
          <w:pPr>
            <w:ind w:firstLineChars="200" w:firstLine="420"/>
            <w:rPr>
              <w:rFonts w:ascii="宋体" w:hAnsi="宋体"/>
            </w:rPr>
          </w:pPr>
          <w:r>
            <w:rPr>
              <w:rFonts w:ascii="宋体" w:hAnsi="宋体" w:hint="eastAsia"/>
            </w:rPr>
            <w:t>对于因销售商品、提供劳务等日常经营活动形成的不含重大融资成分的应收账款、合同资产等应收款项，本集团运用简化计量方法，按照相当于整个存续期内的预期信用损失金额计量损失准备。</w:t>
          </w:r>
        </w:p>
        <w:p>
          <w:pPr>
            <w:ind w:firstLineChars="200" w:firstLine="420"/>
            <w:rPr>
              <w:rFonts w:ascii="宋体" w:hAnsi="宋体"/>
            </w:rPr>
          </w:pPr>
          <w:r>
            <w:rPr>
              <w:rFonts w:ascii="宋体" w:hAnsi="宋体" w:hint="eastAsia"/>
            </w:rPr>
            <w:t>对于租赁应收款、包含重大融资成分的应收款项以及合同资产、其他应收款、应收票据、应收款项融资，本集团选择运用预期信用损失一般模型计量损失准备。</w:t>
          </w:r>
        </w:p>
        <w:p>
          <w:pPr>
            <w:ind w:firstLineChars="200" w:firstLine="420"/>
            <w:rPr>
              <w:rFonts w:ascii="宋体" w:hAnsi="宋体"/>
            </w:rPr>
          </w:pPr>
          <w:r>
            <w:rPr>
              <w:rFonts w:ascii="宋体" w:hAnsi="宋体" w:hint="eastAsia"/>
            </w:rPr>
            <w:t>本集团将特定客户的应收款项确认为单项金额重大的应收款项。本集团对单项金额重大的应收款项单独进行减值测试。</w:t>
          </w:r>
        </w:p>
        <w:p>
          <w:pPr>
            <w:ind w:firstLineChars="200" w:firstLine="420"/>
            <w:rPr>
              <w:rFonts w:ascii="宋体" w:hAnsi="宋体"/>
            </w:rPr>
          </w:pPr>
          <w:r>
            <w:rPr>
              <w:rFonts w:ascii="宋体" w:hAnsi="宋体" w:hint="eastAsia"/>
            </w:rPr>
            <w:t>对于应收款项，除对单项金额重大且已发生信用减值的款项单项确定其信用损失外，通常按照共同信用风险特征组合的基础上，考虑预期信用损失计量方法应反映的要素，参考历史信用损失经验，编制应收账款逾期天数/应收账款账龄与违约损失率对照表，以此为基础计算预期信用损失。若某一客户信用风险特征与组合中其他客户显著不同，或该客户信用风险特征发生显著变化，例如客户发生严重财务困难，应收该客户款项的预期信用损失率已显著高于其所处于账龄、逾期区间的预期信用损失率等，本集团对应收该客户款项按照单项计提损失准备。</w:t>
          </w:r>
        </w:p>
        <w:p>
          <w:pPr>
            <w:ind w:firstLineChars="200" w:firstLine="420"/>
            <w:rPr>
              <w:rFonts w:ascii="宋体" w:hAnsi="宋体"/>
            </w:rPr>
          </w:pPr>
          <w:r>
            <w:rPr>
              <w:rFonts w:ascii="宋体" w:hAnsi="宋体" w:hint="eastAsia"/>
            </w:rPr>
            <w:t>本集团根据应收账款(与合同资产)的账龄、款项性质、信用风险敞口、历史回款情况等信息为基础，按信用风险特征的相似性和相关性进行分组。对于应收账款（与合同资产），本集团判</w:t>
          </w:r>
          <w:r>
            <w:rPr>
              <w:rFonts w:ascii="宋体" w:hAnsi="宋体" w:hint="eastAsia"/>
            </w:rPr>
            <w:lastRenderedPageBreak/>
            <w:t>断账龄为其信用风险主要影响因素，因此，本集团以账龄组合组合为基础评估其预期信用损失。本集团根据确认收入的日期确定账龄。</w:t>
          </w:r>
        </w:p>
        <w:p>
          <w:pPr>
            <w:ind w:firstLineChars="200" w:firstLine="420"/>
            <w:rPr>
              <w:rFonts w:ascii="宋体" w:hAnsi="宋体"/>
            </w:rPr>
          </w:pPr>
          <w:r>
            <w:rPr>
              <w:rFonts w:ascii="宋体" w:hAnsi="宋体" w:hint="eastAsia"/>
            </w:rPr>
            <w:t>2）债权投资、其他债权投资、贷款承诺、财务担保合同、租赁应收款、应收款项融资及应收票据的减值测试方法</w:t>
          </w:r>
        </w:p>
        <w:p>
          <w:pPr>
            <w:ind w:firstLineChars="200" w:firstLine="420"/>
            <w:rPr>
              <w:rFonts w:ascii="宋体" w:hAnsi="宋体"/>
            </w:rPr>
          </w:pPr>
          <w:r>
            <w:rPr>
              <w:rFonts w:ascii="宋体" w:hAnsi="宋体" w:hint="eastAsia"/>
            </w:rPr>
            <w:t>除上述采用简化计量方法以外的金融资产，本集团采用一般方法（三阶段法）计提预期信用损失。在每个资产负债表日，本集团评估其信用风险自初始确认后是否已经显著增加，如果信用风险自初始确认后未显著增加，处于第一阶段，本集团按照相当于未来12个月内预期信用损失的金额计量损失准备，并按照账面余额和实际利率计算利息收入；如果信用风险自初始确认后已显著增加但尚未发生信用减值的，处于第二阶段，本集团按照相当于整个存续期内预期信用损失的金额计量损失准备，并按照账面余额和实际利率计算利息收入；如果初始确认后发生信用减值的，处于第三阶段，本集团按照相当于整个存续期内预期信用损失的金额计量损失准备，并按照摊余成本和实际利率计算利息收入。对于资产负债表日只具有较低信用风险的金融工具，本集团假设其信用风险自初始确认后未显著增加。</w:t>
          </w:r>
        </w:p>
        <w:p>
          <w:pPr>
            <w:ind w:firstLineChars="200" w:firstLine="420"/>
            <w:rPr>
              <w:rFonts w:ascii="宋体" w:hAnsi="宋体"/>
            </w:rPr>
          </w:pPr>
          <w:r>
            <w:rPr>
              <w:rFonts w:ascii="宋体" w:hAnsi="宋体" w:hint="eastAsia"/>
            </w:rPr>
            <w:t>整个存续期预期信用损失，是指因金融工具整个预计存续期内所有可能发生的违约事件而导致的预期信用损失。未来12个月内预期信用损失，是指因资产负债表日后12个月内(若金融工具的预计存续期少于12个月，则为预计存续期)可能发生的金融工具违约事件而导致的预期信用损失，是整个存续期预期信用损失的一部分。</w:t>
          </w:r>
        </w:p>
        <w:p>
          <w:pPr>
            <w:ind w:firstLineChars="200" w:firstLine="420"/>
            <w:rPr>
              <w:rFonts w:ascii="宋体" w:hAnsi="宋体"/>
            </w:rPr>
          </w:pPr>
          <w:r>
            <w:rPr>
              <w:rFonts w:ascii="宋体" w:hAnsi="宋体" w:hint="eastAsia"/>
            </w:rPr>
            <w:t>（6）金融资产转移</w:t>
          </w:r>
        </w:p>
        <w:p>
          <w:pPr>
            <w:ind w:firstLineChars="200" w:firstLine="420"/>
            <w:rPr>
              <w:rFonts w:ascii="宋体" w:hAnsi="宋体"/>
            </w:rPr>
          </w:pPr>
          <w:r>
            <w:rPr>
              <w:rFonts w:ascii="宋体" w:hAnsi="宋体" w:hint="eastAsia"/>
            </w:rPr>
            <w:t>本集团已将金融资产所有权上几乎所有的风险和报酬转移给转入方的，终止确认该金融资产；保留了金融资产所有权上几乎所有的风险和报酬的，不终止确认该金融资产。</w:t>
          </w:r>
        </w:p>
        <w:p>
          <w:pPr>
            <w:ind w:firstLineChars="200" w:firstLine="420"/>
            <w:rPr>
              <w:rFonts w:ascii="宋体" w:hAnsi="宋体"/>
            </w:rPr>
          </w:pPr>
          <w:r>
            <w:rPr>
              <w:rFonts w:ascii="宋体" w:hAnsi="宋体" w:hint="eastAsia"/>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pPr>
            <w:ind w:firstLineChars="200" w:firstLine="420"/>
            <w:rPr>
              <w:rFonts w:ascii="宋体" w:hAnsi="宋体"/>
            </w:rPr>
          </w:pPr>
          <w:r>
            <w:rPr>
              <w:rFonts w:ascii="宋体" w:hAnsi="宋体" w:hint="eastAsia"/>
            </w:rPr>
            <w:t>通过对所转移金融资产提供财务担保方式继续涉入的，按照金融资产的账面价值和财务担保金额两者之中的较低者，确认继续涉入形成的资产。财务担保金额，是指所收到的对价中，将被要求偿还的最高金额。</w:t>
          </w:r>
        </w:p>
        <w:p>
          <w:pPr>
            <w:ind w:firstLineChars="200" w:firstLine="420"/>
            <w:rPr>
              <w:rFonts w:ascii="宋体" w:hAnsi="宋体"/>
            </w:rPr>
          </w:pPr>
          <w:r>
            <w:rPr>
              <w:rFonts w:ascii="宋体" w:hAnsi="宋体" w:hint="eastAsia"/>
            </w:rPr>
            <w:t>（7）金融负债与权益工具的区分及相关处理方法</w:t>
          </w:r>
        </w:p>
        <w:p>
          <w:pPr>
            <w:ind w:firstLineChars="200" w:firstLine="420"/>
            <w:rPr>
              <w:rFonts w:ascii="宋体" w:hAnsi="宋体"/>
            </w:rPr>
          </w:pPr>
          <w:r>
            <w:rPr>
              <w:rFonts w:ascii="宋体" w:hAnsi="宋体" w:hint="eastAsia"/>
            </w:rPr>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pPr>
            <w:ind w:firstLineChars="200" w:firstLine="420"/>
            <w:rPr>
              <w:rFonts w:ascii="宋体" w:hAnsi="宋体"/>
            </w:rPr>
          </w:pPr>
          <w:r>
            <w:rPr>
              <w:rFonts w:ascii="宋体" w:hAnsi="宋体" w:hint="eastAsia"/>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pPr>
            <w:ind w:firstLineChars="200" w:firstLine="420"/>
            <w:rPr>
              <w:rFonts w:ascii="宋体" w:hAnsi="宋体"/>
            </w:rPr>
          </w:pPr>
          <w:r>
            <w:rPr>
              <w:rFonts w:ascii="宋体" w:hAnsi="宋体" w:hint="eastAsia"/>
            </w:rPr>
            <w:t>本集团根据所发行的永续债的合同条款及其所反映的经济实质，结合金融资产、金融负债和权益工具的定义，在初始确认时将这些金融工具或其组成部分分类为金融资产、金融负债或权益工具。</w:t>
          </w:r>
        </w:p>
        <w:p>
          <w:pPr>
            <w:ind w:firstLineChars="200" w:firstLine="420"/>
            <w:rPr>
              <w:rFonts w:ascii="宋体" w:hAnsi="宋体"/>
            </w:rPr>
          </w:pPr>
          <w:r>
            <w:rPr>
              <w:rFonts w:ascii="宋体" w:hAnsi="宋体" w:hint="eastAsia"/>
            </w:rPr>
            <w:t>金融工具或其组成部分属于金融负债的，相关利息、股利（或股息）、利得或损失，以及赎回或再融资产生的利得或损失等，本集团计入当期损益。</w:t>
          </w:r>
        </w:p>
        <w:p>
          <w:pPr>
            <w:ind w:firstLineChars="200" w:firstLine="420"/>
            <w:rPr>
              <w:rFonts w:ascii="宋体" w:hAnsi="宋体"/>
            </w:rPr>
          </w:pPr>
          <w:r>
            <w:rPr>
              <w:rFonts w:ascii="宋体" w:hAnsi="宋体" w:hint="eastAsia"/>
            </w:rPr>
            <w:t>金融工具或其组成部分属于权益工具的，其发行（含再融资）、回购、出售或注销时，本集团作为权益的变动处理，不确认权益工具的公允价值变动。</w:t>
          </w:r>
        </w:p>
        <w:p>
          <w:pPr>
            <w:ind w:firstLineChars="200" w:firstLine="420"/>
            <w:rPr>
              <w:rFonts w:ascii="宋体" w:hAnsi="宋体"/>
            </w:rPr>
          </w:pPr>
          <w:r>
            <w:rPr>
              <w:rFonts w:ascii="宋体" w:hAnsi="宋体" w:hint="eastAsia"/>
            </w:rPr>
            <w:lastRenderedPageBreak/>
            <w:t>（8）衍生金融工具</w:t>
          </w:r>
        </w:p>
        <w:p>
          <w:pPr>
            <w:ind w:firstLineChars="200" w:firstLine="420"/>
            <w:rPr>
              <w:rFonts w:ascii="宋体" w:hAnsi="宋体"/>
            </w:rPr>
          </w:pPr>
          <w:r>
            <w:rPr>
              <w:rFonts w:ascii="宋体" w:hAnsi="宋体" w:hint="eastAsia"/>
            </w:rPr>
            <w:t>本集团使用衍生金融工具，例如以外汇远期合同、商品远期合同和利率互换，分别对汇率风险、商品价格风险和利率风险进行套期。衍生金融工具初始以衍生交易合同签订当日的公允价值进行计量，并以其公允价值进行后续计量。公允价值为正数的衍生金融工具确认为一项资产，公允价值为负数的确认为一项负债。</w:t>
          </w:r>
        </w:p>
        <w:p>
          <w:pPr>
            <w:ind w:firstLineChars="200" w:firstLine="420"/>
            <w:rPr>
              <w:rFonts w:ascii="宋体" w:hAnsi="宋体"/>
            </w:rPr>
          </w:pPr>
          <w:r>
            <w:rPr>
              <w:rFonts w:ascii="宋体" w:hAnsi="宋体" w:hint="eastAsia"/>
            </w:rPr>
            <w:t>除与套期会计有关外，衍生工具公允价值变动产生的利得或损失直接计入当期损益</w:t>
          </w:r>
        </w:p>
      </w:sdtContent>
    </w:sdt>
    <w:p>
      <w:pPr>
        <w:pStyle w:val="Style217"/>
      </w:pPr>
    </w:p>
    <w:p>
      <w:pPr>
        <w:pStyle w:val="Style178"/>
        <w:numPr>
          <w:ilvl w:val="0"/>
          <w:numId w:val="69"/>
        </w:numPr>
        <w:rPr>
          <w:rFonts w:ascii="宋体" w:hAnsi="宋体"/>
          <w:szCs w:val="21"/>
        </w:rPr>
      </w:pPr>
      <w:bookmarkStart w:id="356"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9036150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356"/>
    <w:p>
      <w:pPr>
        <w:pStyle w:val="Style217"/>
      </w:pPr>
    </w:p>
    <w:p>
      <w:pPr>
        <w:pStyle w:val="Style178"/>
        <w:numPr>
          <w:ilvl w:val="0"/>
          <w:numId w:val="69"/>
        </w:numPr>
        <w:rPr>
          <w:rFonts w:ascii="宋体" w:hAnsi="宋体"/>
          <w:szCs w:val="21"/>
        </w:rPr>
      </w:pPr>
      <w:bookmarkStart w:id="357" w:name="_Hlk152690378"/>
      <w:bookmarkStart w:id="358" w:name="_Hlk533667783"/>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110568969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357"/>
    <w:bookmarkEnd w:id="358"/>
    <w:p>
      <w:pPr>
        <w:pStyle w:val="Style217"/>
      </w:pPr>
    </w:p>
    <w:p>
      <w:pPr>
        <w:pStyle w:val="Style178"/>
        <w:numPr>
          <w:ilvl w:val="0"/>
          <w:numId w:val="69"/>
        </w:numPr>
        <w:rPr>
          <w:rFonts w:ascii="宋体" w:hAnsi="宋体"/>
          <w:szCs w:val="21"/>
        </w:rPr>
      </w:pPr>
      <w:bookmarkStart w:id="359" w:name="_Hlk24102310"/>
      <w:bookmarkStart w:id="360" w:name="_Hlk152690443"/>
      <w:r>
        <w:rPr>
          <w:rFonts w:ascii="宋体" w:hAnsi="宋体" w:hint="eastAsia"/>
          <w:szCs w:val="21"/>
        </w:rPr>
        <w:t>应收款项融资</w:t>
      </w:r>
    </w:p>
    <w:sdt>
      <w:sdtPr>
        <w:alias w:val="是否适用：应收款项融资_重要会计政策和估计[双击切换]"/>
        <w:tag w:val="_GBC_a2e41ba19b9541d683d17977f5a0e631"/>
        <w:id w:val="10639688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359"/>
    <w:bookmarkEnd w:id="360"/>
    <w:p>
      <w:pPr>
        <w:ind w:firstLineChars="200" w:firstLine="420"/>
        <w:rPr>
          <w:rFonts w:ascii="宋体" w:hAnsi="宋体"/>
          <w:bCs/>
          <w:kern w:val="2"/>
        </w:rPr>
      </w:pPr>
      <w:r>
        <w:rPr>
          <w:rFonts w:ascii="宋体" w:hAnsi="宋体" w:hint="eastAsia"/>
          <w:bCs/>
          <w:kern w:val="2"/>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pPr>
        <w:ind w:firstLineChars="200" w:firstLine="420"/>
        <w:rPr>
          <w:rFonts w:ascii="宋体" w:hAnsi="宋体"/>
          <w:bCs/>
          <w:kern w:val="2"/>
        </w:rPr>
      </w:pPr>
      <w:r>
        <w:rPr>
          <w:rFonts w:ascii="宋体" w:hAnsi="宋体" w:hint="eastAsia"/>
          <w:bCs/>
          <w:kern w:val="2"/>
        </w:rPr>
        <w:t>会计处理方法详见本附注“五、12金融工具”中划分为以公允价值计量且其变动计入其他综合收益的金融资产相关内容。</w:t>
      </w:r>
    </w:p>
    <w:p>
      <w:pPr>
        <w:rPr>
          <w:rFonts w:ascii="宋体" w:hAnsi="宋体"/>
          <w:b/>
          <w:kern w:val="2"/>
        </w:rPr>
      </w:pPr>
      <w:r>
        <w:rPr>
          <w:rFonts w:ascii="宋体" w:hAnsi="宋体"/>
          <w:b/>
          <w:kern w:val="2"/>
        </w:rPr>
        <w:t>按照信用风险特征组合计提坏账准备的组合类别及确定依据</w:t>
      </w:r>
    </w:p>
    <w:sdt>
      <w:sdtPr>
        <w:alias w:val="是否适用：应收款项融资按照信用风险特征组合计提坏账准备的组合类别及确定依据[双击切换]"/>
        <w:tag w:val="_GBC_96c4eeead8b040d79bbd069f3f4f2aec"/>
        <w:id w:val="-180021622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宋体" w:hAnsi="宋体"/>
          <w:b/>
          <w:bCs/>
          <w:kern w:val="2"/>
        </w:rPr>
      </w:pPr>
    </w:p>
    <w:p>
      <w:pPr>
        <w:rPr>
          <w:rFonts w:ascii="宋体" w:hAnsi="宋体"/>
          <w:b/>
          <w:kern w:val="2"/>
        </w:rPr>
      </w:pPr>
      <w:r>
        <w:rPr>
          <w:rFonts w:ascii="宋体" w:hAnsi="宋体"/>
          <w:b/>
          <w:kern w:val="2"/>
        </w:rPr>
        <w:t>基于账龄确认信用风险特征组合的账龄计算方法</w:t>
      </w:r>
    </w:p>
    <w:sdt>
      <w:sdtPr>
        <w:alias w:val="是否适用：应收款项融资基于账龄确认信用风险特征组合的账龄计算方法[双击切换]"/>
        <w:tag w:val="_GBC_6088373057ea4aacb1a49ee381004fee"/>
        <w:id w:val="-153695898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宋体" w:hAnsi="宋体"/>
          <w:b/>
          <w:bCs/>
          <w:kern w:val="2"/>
        </w:rPr>
      </w:pPr>
    </w:p>
    <w:p>
      <w:pPr>
        <w:rPr>
          <w:rFonts w:ascii="宋体" w:hAnsi="宋体"/>
          <w:b/>
          <w:kern w:val="2"/>
        </w:rPr>
      </w:pPr>
      <w:r>
        <w:rPr>
          <w:rFonts w:ascii="宋体" w:hAnsi="宋体"/>
          <w:b/>
          <w:kern w:val="2"/>
        </w:rPr>
        <w:t>按照单项计提坏账准备的单项计提判断标准</w:t>
      </w:r>
    </w:p>
    <w:sdt>
      <w:sdtPr>
        <w:alias w:val="是否适用：应收款项融资按照单项计提坏账准备的单项计提判断标准[双击切换]"/>
        <w:tag w:val="_GBC_ee8c0fdee21e477387bf47d167b126ff"/>
        <w:id w:val="146353294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69"/>
        </w:numPr>
        <w:rPr>
          <w:rFonts w:ascii="宋体" w:hAnsi="宋体"/>
          <w:szCs w:val="21"/>
        </w:rPr>
      </w:pPr>
      <w:bookmarkStart w:id="361" w:name="_Hlk533667836"/>
      <w:r>
        <w:rPr>
          <w:rFonts w:ascii="宋体" w:hAnsi="宋体" w:hint="eastAsia"/>
          <w:szCs w:val="21"/>
        </w:rPr>
        <w:t>其他应收款</w:t>
      </w:r>
    </w:p>
    <w:sdt>
      <w:sdtPr>
        <w:rPr>
          <w:rFonts w:hint="eastAsia"/>
        </w:rPr>
        <w:alias w:val="是否适用：其他应收款_重要会计政策和估计[双击切换]"/>
        <w:tag w:val="_GBC_bd9572d7068940d78105aa21662a4f54"/>
        <w:id w:val="81768289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361"/>
    <w:p>
      <w:pPr>
        <w:pStyle w:val="Style217"/>
      </w:pPr>
    </w:p>
    <w:p>
      <w:pPr>
        <w:pStyle w:val="Style178"/>
        <w:numPr>
          <w:ilvl w:val="0"/>
          <w:numId w:val="69"/>
        </w:numPr>
        <w:rPr>
          <w:rFonts w:ascii="宋体" w:hAnsi="宋体"/>
          <w:szCs w:val="21"/>
        </w:rPr>
      </w:pPr>
      <w:r>
        <w:rPr>
          <w:rFonts w:ascii="宋体" w:hAnsi="宋体"/>
          <w:szCs w:val="21"/>
        </w:rPr>
        <w:t>存货</w:t>
      </w:r>
    </w:p>
    <w:sdt>
      <w:sdtPr>
        <w:rPr>
          <w:rFonts w:hint="eastAsia"/>
        </w:rPr>
        <w:alias w:val="是否适用：存货_重要会计政策和估计[双击切换]"/>
        <w:tag w:val="_GBC_dcacbe0db27e4ea5b80fa4aefb3bdbac"/>
        <w:id w:val="-108923321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宋体" w:hAnsi="宋体"/>
          <w:b/>
          <w:kern w:val="2"/>
        </w:rPr>
      </w:pPr>
      <w:bookmarkStart w:id="362" w:name="_Hlk152678121"/>
      <w:r>
        <w:rPr>
          <w:rFonts w:ascii="宋体" w:hAnsi="宋体"/>
          <w:b/>
          <w:kern w:val="2"/>
        </w:rPr>
        <w:t>存货</w:t>
      </w:r>
      <w:r>
        <w:rPr>
          <w:rFonts w:ascii="宋体" w:hAnsi="宋体" w:hint="eastAsia"/>
          <w:b/>
          <w:kern w:val="2"/>
        </w:rPr>
        <w:t>类别、发出计价方法、盘存制度、低值易耗品和包装物的摊销方法</w:t>
      </w:r>
    </w:p>
    <w:bookmarkEnd w:id="362" w:displacedByCustomXml="next"/>
    <w:sdt>
      <w:sdtPr>
        <w:alias w:val="是否适用：存货类别、发出计价方法、盘存制度、低值易耗品和包装物的摊销方法[双击切换]"/>
        <w:tag w:val="_GBC_7a24117441bd45edbee63ef5c75fa013"/>
        <w:id w:val="76326888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存货类别、发出计价方法、盘存制度、低值易耗品和包装物的摊销方法"/>
        <w:tag w:val="_GBC_3fcd1bdad070400f9c9e3e5d4c064f2b"/>
        <w:id w:val="1017734525"/>
        <w:placeholder>
          <w:docPart w:val="GBC22222222222222222222222222222"/>
        </w:placeholder>
      </w:sdtPr>
      <w:sdtContent>
        <w:p>
          <w:pPr>
            <w:ind w:firstLineChars="200" w:firstLine="420"/>
            <w:rPr>
              <w:rFonts w:ascii="宋体" w:hAnsi="宋体"/>
            </w:rPr>
          </w:pPr>
          <w:r>
            <w:rPr>
              <w:rFonts w:ascii="宋体" w:hAnsi="宋体" w:hint="eastAsia"/>
            </w:rPr>
            <w:t>（1）存货的分类</w:t>
          </w:r>
        </w:p>
        <w:p>
          <w:pPr>
            <w:ind w:firstLineChars="200" w:firstLine="420"/>
            <w:rPr>
              <w:rFonts w:ascii="宋体" w:hAnsi="宋体"/>
            </w:rPr>
          </w:pPr>
          <w:r>
            <w:rPr>
              <w:rFonts w:ascii="宋体" w:hAnsi="宋体" w:hint="eastAsia"/>
            </w:rPr>
            <w:t>本集团存货主要包括原材料、煤炭存货、甲醇存货、铁矿石存货、房地产开发成本、矿用设备、机电设备、橡胶制品以及低值易耗品等。</w:t>
          </w:r>
        </w:p>
        <w:p>
          <w:pPr>
            <w:ind w:firstLineChars="200" w:firstLine="420"/>
            <w:rPr>
              <w:rFonts w:ascii="宋体" w:hAnsi="宋体"/>
            </w:rPr>
          </w:pPr>
          <w:r>
            <w:rPr>
              <w:rFonts w:ascii="宋体" w:hAnsi="宋体" w:hint="eastAsia"/>
            </w:rPr>
            <w:t>（2）发出存货的计价方法</w:t>
          </w:r>
        </w:p>
        <w:p>
          <w:pPr>
            <w:ind w:firstLineChars="200" w:firstLine="420"/>
            <w:rPr>
              <w:rFonts w:ascii="宋体" w:hAnsi="宋体"/>
            </w:rPr>
          </w:pPr>
          <w:r>
            <w:rPr>
              <w:rFonts w:ascii="宋体" w:hAnsi="宋体" w:hint="eastAsia"/>
            </w:rPr>
            <w:t>发出存货采用加权平均法。</w:t>
          </w:r>
        </w:p>
        <w:p>
          <w:pPr>
            <w:ind w:firstLineChars="200" w:firstLine="420"/>
            <w:rPr>
              <w:rFonts w:ascii="宋体" w:hAnsi="宋体"/>
            </w:rPr>
          </w:pPr>
          <w:r>
            <w:rPr>
              <w:rFonts w:ascii="宋体" w:hAnsi="宋体" w:hint="eastAsia"/>
            </w:rPr>
            <w:t>（3）存货的盘存制度</w:t>
          </w:r>
        </w:p>
        <w:p>
          <w:pPr>
            <w:ind w:firstLineChars="200" w:firstLine="420"/>
            <w:rPr>
              <w:rFonts w:ascii="宋体" w:hAnsi="宋体"/>
            </w:rPr>
          </w:pPr>
          <w:r>
            <w:rPr>
              <w:rFonts w:ascii="宋体" w:hAnsi="宋体" w:hint="eastAsia"/>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sdtContent>
    </w:sdt>
    <w:p>
      <w:pPr>
        <w:pStyle w:val="Style217"/>
      </w:pPr>
    </w:p>
    <w:p>
      <w:pPr>
        <w:rPr>
          <w:rFonts w:ascii="宋体" w:hAnsi="宋体"/>
          <w:b/>
          <w:kern w:val="2"/>
        </w:rPr>
      </w:pPr>
      <w:r>
        <w:rPr>
          <w:rFonts w:ascii="宋体" w:hAnsi="宋体"/>
          <w:b/>
          <w:kern w:val="2"/>
        </w:rPr>
        <w:t>存货跌价准备的确认标准和计提方法</w:t>
      </w:r>
    </w:p>
    <w:sdt>
      <w:sdtPr>
        <w:alias w:val="是否适用：存货跌价准备的确认标准和计提方法[双击切换]"/>
        <w:tag w:val="_GBC_6e8ebb9994fe404dba2a12ec5c785d83"/>
        <w:id w:val="-111120485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存货跌价准备的确认标准和计提方法"/>
        <w:tag w:val="_GBC_94e79c0b2c2f4552b5ec962b8df1c2f0"/>
        <w:id w:val="-2092615073"/>
        <w:placeholder>
          <w:docPart w:val="GBC22222222222222222222222222222"/>
        </w:placeholder>
      </w:sdtPr>
      <w:sdtContent>
        <w:p>
          <w:pPr>
            <w:ind w:firstLineChars="200" w:firstLine="420"/>
            <w:rPr>
              <w:rFonts w:ascii="宋体" w:hAnsi="宋体"/>
            </w:rPr>
          </w:pPr>
          <w:r>
            <w:rPr>
              <w:rFonts w:ascii="宋体" w:hAnsi="宋体" w:hint="eastAsia"/>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sdtContent>
    </w:sdt>
    <w:p>
      <w:pPr>
        <w:rPr>
          <w:rFonts w:ascii="宋体" w:hAnsi="宋体"/>
          <w:b/>
          <w:kern w:val="2"/>
        </w:rPr>
      </w:pPr>
    </w:p>
    <w:p>
      <w:pPr>
        <w:rPr>
          <w:rFonts w:ascii="宋体" w:hAnsi="宋体"/>
          <w:b/>
          <w:kern w:val="2"/>
        </w:rPr>
      </w:pPr>
      <w:r>
        <w:rPr>
          <w:rFonts w:ascii="宋体" w:hAnsi="宋体"/>
          <w:b/>
          <w:kern w:val="2"/>
        </w:rPr>
        <w:t>按照组合计提存货跌价准备的组合类别及确定依据</w:t>
      </w:r>
      <w:r>
        <w:rPr>
          <w:rFonts w:ascii="宋体" w:hAnsi="宋体" w:hint="eastAsia"/>
          <w:b/>
          <w:bCs/>
          <w:kern w:val="2"/>
        </w:rPr>
        <w:t>、</w:t>
      </w:r>
      <w:r>
        <w:rPr>
          <w:rFonts w:ascii="宋体" w:hAnsi="宋体" w:hint="eastAsia"/>
          <w:b/>
          <w:bCs/>
        </w:rPr>
        <w:t>不同类别存货可变现净值的确定依据</w:t>
      </w:r>
    </w:p>
    <w:sdt>
      <w:sdtPr>
        <w:alias w:val="是否适用：按照组合计提存货跌价准备的组合类别及确定依据、不同类别存货可变现净值的确定依据[双击切换]"/>
        <w:tag w:val="_GBC_497390f68e764f2baa3b06eda7d6c944"/>
        <w:id w:val="-179413141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按照组合计提存货跌价准备的组合类别及确定依据、不同类别存货可变现净值的确定依据"/>
        <w:tag w:val="_GBC_5eb69792631647c9b0f10802bf65ae37"/>
        <w:id w:val="603547378"/>
        <w:placeholder>
          <w:docPart w:val="GBC22222222222222222222222222222"/>
        </w:placeholder>
      </w:sdtPr>
      <w:sdtContent>
        <w:p>
          <w:pPr>
            <w:ind w:firstLineChars="200" w:firstLine="420"/>
            <w:rPr>
              <w:rFonts w:ascii="宋体" w:hAnsi="宋体"/>
            </w:rPr>
          </w:pPr>
          <w:r>
            <w:rPr>
              <w:rFonts w:ascii="宋体" w:hAnsi="宋体" w:hint="eastAsia"/>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p>
      <w:pPr>
        <w:rPr>
          <w:rFonts w:ascii="宋体" w:hAnsi="宋体"/>
          <w:b/>
          <w:kern w:val="2"/>
        </w:rPr>
      </w:pPr>
    </w:p>
    <w:p>
      <w:pPr>
        <w:rPr>
          <w:rFonts w:ascii="宋体" w:hAnsi="宋体"/>
          <w:b/>
          <w:kern w:val="2"/>
        </w:rPr>
      </w:pPr>
      <w:r>
        <w:rPr>
          <w:rFonts w:ascii="宋体" w:hAnsi="宋体"/>
          <w:b/>
          <w:kern w:val="2"/>
        </w:rPr>
        <w:t>基于库龄确认存货可变现净值的各库龄组合可变现净值的计算方法和确定依据</w:t>
      </w:r>
    </w:p>
    <w:sdt>
      <w:sdtPr>
        <w:alias w:val="是否适用：基于库龄确认存货可变现净值的各库龄组合可变现净值的计算方法和确定依据[双击切换]"/>
        <w:tag w:val="_GBC_9d365dfe8a544c55a4c1edb1470b656d"/>
        <w:id w:val="-171981189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69"/>
        </w:numPr>
        <w:rPr>
          <w:rFonts w:ascii="宋体" w:hAnsi="宋体"/>
          <w:szCs w:val="21"/>
        </w:rPr>
      </w:pPr>
      <w:bookmarkStart w:id="363" w:name="_Hlk533667851"/>
      <w:r>
        <w:rPr>
          <w:rFonts w:ascii="宋体" w:hAnsi="宋体" w:hint="eastAsia"/>
          <w:szCs w:val="21"/>
        </w:rPr>
        <w:t>合同资产与合同负债</w:t>
      </w:r>
    </w:p>
    <w:sdt>
      <w:sdtPr>
        <w:rPr>
          <w:rFonts w:hint="eastAsia"/>
        </w:rPr>
        <w:alias w:val="是否适用：合同资产_重要会计政策和估计[双击切换]"/>
        <w:tag w:val="_GBC_5a88c6aff74e4eb184d0541279c7f45e"/>
        <w:id w:val="66128050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宋体" w:hAnsi="宋体"/>
          <w:b/>
          <w:kern w:val="2"/>
        </w:rPr>
      </w:pPr>
      <w:r>
        <w:rPr>
          <w:rFonts w:ascii="宋体" w:hAnsi="宋体" w:hint="eastAsia"/>
          <w:b/>
          <w:kern w:val="2"/>
        </w:rPr>
        <w:t>合同资产的确认方法及标准</w:t>
      </w:r>
    </w:p>
    <w:sdt>
      <w:sdtPr>
        <w:alias w:val="是否适用：合同资产的确定方法、摊销方法和减值测试方法[双击切换]"/>
        <w:tag w:val="_GBC_1b5df72f15664694ad46f712f5c33e91"/>
        <w:id w:val="-211156659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合同资产的确定方法、摊销方法和减值测试方法"/>
        <w:tag w:val="_GBC_82d4491d0bbc4d81ab154bd0c0c35176"/>
        <w:id w:val="-886650808"/>
        <w:placeholder>
          <w:docPart w:val="GBC22222222222222222222222222222"/>
        </w:placeholder>
      </w:sdtPr>
      <w:sdtContent>
        <w:p>
          <w:pPr>
            <w:ind w:firstLineChars="200" w:firstLine="420"/>
            <w:rPr>
              <w:rFonts w:ascii="宋体" w:hAnsi="宋体"/>
            </w:rPr>
          </w:pPr>
          <w:r>
            <w:rPr>
              <w:rFonts w:ascii="宋体" w:hAnsi="宋体" w:hint="eastAsia"/>
            </w:rPr>
            <w:t>（1）合同资产</w:t>
          </w:r>
        </w:p>
        <w:p>
          <w:pPr>
            <w:ind w:firstLineChars="200" w:firstLine="420"/>
            <w:rPr>
              <w:rFonts w:ascii="宋体" w:hAnsi="宋体"/>
            </w:rPr>
          </w:pPr>
          <w:r>
            <w:rPr>
              <w:rFonts w:ascii="宋体" w:hAnsi="宋体"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p>
          <w:pPr>
            <w:ind w:firstLineChars="200" w:firstLine="420"/>
            <w:rPr>
              <w:rFonts w:ascii="宋体" w:hAnsi="宋体"/>
            </w:rPr>
          </w:pPr>
          <w:r>
            <w:rPr>
              <w:rFonts w:ascii="宋体" w:hAnsi="宋体" w:hint="eastAsia"/>
            </w:rPr>
            <w:t>合同资产的预期信用损失的确定方法和会计处理方法，详见上述附注“五、12金融工具”相关内容。</w:t>
          </w:r>
        </w:p>
        <w:p>
          <w:pPr>
            <w:ind w:firstLineChars="200" w:firstLine="420"/>
            <w:rPr>
              <w:rFonts w:ascii="宋体" w:hAnsi="宋体"/>
            </w:rPr>
          </w:pPr>
          <w:r>
            <w:rPr>
              <w:rFonts w:ascii="宋体" w:hAnsi="宋体" w:hint="eastAsia"/>
            </w:rPr>
            <w:t>（</w:t>
          </w:r>
          <w:r>
            <w:rPr>
              <w:rFonts w:ascii="宋体" w:hAnsi="宋体"/>
            </w:rPr>
            <w:t>2</w:t>
          </w:r>
          <w:r>
            <w:rPr>
              <w:rFonts w:ascii="宋体" w:hAnsi="宋体" w:hint="eastAsia"/>
            </w:rPr>
            <w:t>）合同负债</w:t>
          </w:r>
        </w:p>
        <w:p>
          <w:pPr>
            <w:ind w:firstLineChars="200" w:firstLine="420"/>
            <w:rPr>
              <w:rFonts w:ascii="宋体" w:hAnsi="宋体"/>
            </w:rPr>
          </w:pPr>
          <w:r>
            <w:rPr>
              <w:rFonts w:ascii="宋体" w:hAnsi="宋体"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p>
      <w:pPr>
        <w:pStyle w:val="Style217"/>
      </w:pPr>
    </w:p>
    <w:bookmarkEnd w:id="363"/>
    <w:p>
      <w:pPr>
        <w:rPr>
          <w:rFonts w:ascii="宋体" w:hAnsi="宋体"/>
          <w:b/>
          <w:kern w:val="2"/>
        </w:rPr>
      </w:pPr>
      <w:r>
        <w:rPr>
          <w:rFonts w:ascii="宋体" w:hAnsi="宋体"/>
          <w:b/>
          <w:kern w:val="2"/>
        </w:rPr>
        <w:t>按照信用风险特征组合计提坏账准备的组合类别及确定依据</w:t>
      </w:r>
    </w:p>
    <w:sdt>
      <w:sdtPr>
        <w:alias w:val="是否适用：合同资产按照信用风险特征组合计提坏账准备的组合类别及确定依据[双击切换]"/>
        <w:tag w:val="_GBC_ebbe09c3657c4b539cc844981adf91e4"/>
        <w:id w:val="-48430960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宋体" w:hAnsi="宋体"/>
          <w:b/>
          <w:bCs/>
          <w:kern w:val="2"/>
        </w:rPr>
      </w:pPr>
    </w:p>
    <w:p>
      <w:pPr>
        <w:rPr>
          <w:rFonts w:ascii="宋体" w:hAnsi="宋体"/>
          <w:b/>
          <w:kern w:val="2"/>
        </w:rPr>
      </w:pPr>
      <w:r>
        <w:rPr>
          <w:rFonts w:ascii="宋体" w:hAnsi="宋体"/>
          <w:b/>
          <w:kern w:val="2"/>
        </w:rPr>
        <w:t>基于账龄确认信用风险特征组合的账龄计算方法</w:t>
      </w:r>
    </w:p>
    <w:sdt>
      <w:sdtPr>
        <w:alias w:val="是否适用：合同资产基于账龄确认信用风险特征组合的账龄计算方法[双击切换]"/>
        <w:tag w:val="_GBC_3400ff02bc46467bac74fee97f4388c5"/>
        <w:id w:val="-37377807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宋体" w:hAnsi="宋体"/>
          <w:b/>
          <w:bCs/>
          <w:kern w:val="2"/>
        </w:rPr>
      </w:pPr>
    </w:p>
    <w:p>
      <w:pPr>
        <w:rPr>
          <w:rFonts w:ascii="宋体" w:hAnsi="宋体"/>
          <w:b/>
          <w:kern w:val="2"/>
        </w:rPr>
      </w:pPr>
      <w:r>
        <w:rPr>
          <w:rFonts w:ascii="宋体" w:hAnsi="宋体"/>
          <w:b/>
          <w:kern w:val="2"/>
        </w:rPr>
        <w:t>按照单项计提坏账准备的认定单项计提判断标准</w:t>
      </w:r>
    </w:p>
    <w:sdt>
      <w:sdtPr>
        <w:alias w:val="是否适用：合同资产按照单项计提坏账准备的单项计提判断标准[双击切换]"/>
        <w:tag w:val="_GBC_aec9a536d61144fa91c2f954c8ff8473"/>
        <w:id w:val="85978626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78"/>
        <w:numPr>
          <w:ilvl w:val="0"/>
          <w:numId w:val="69"/>
        </w:numPr>
        <w:rPr>
          <w:rFonts w:ascii="宋体" w:hAnsi="宋体"/>
          <w:szCs w:val="21"/>
        </w:rPr>
      </w:pPr>
      <w:r>
        <w:rPr>
          <w:rFonts w:ascii="宋体" w:hAnsi="宋体" w:hint="eastAsia"/>
          <w:szCs w:val="21"/>
        </w:rPr>
        <w:t>与合同成本有关的资产</w:t>
      </w:r>
    </w:p>
    <w:p>
      <w:pPr>
        <w:ind w:firstLineChars="200" w:firstLine="420"/>
        <w:rPr>
          <w:rFonts w:ascii="宋体" w:hAnsi="宋体"/>
        </w:rPr>
      </w:pPr>
      <w:r>
        <w:rPr>
          <w:rFonts w:ascii="宋体" w:hAnsi="宋体" w:hint="eastAsia"/>
        </w:rPr>
        <w:t>（1）与合同成本有关的资产金额的确定方法</w:t>
      </w:r>
    </w:p>
    <w:p>
      <w:pPr>
        <w:ind w:firstLineChars="200" w:firstLine="420"/>
        <w:rPr>
          <w:rFonts w:ascii="宋体" w:hAnsi="宋体"/>
        </w:rPr>
      </w:pPr>
      <w:r>
        <w:rPr>
          <w:rFonts w:ascii="宋体" w:hAnsi="宋体" w:hint="eastAsia"/>
        </w:rPr>
        <w:t>本集团与合同成本有关的资产包括合同履约成本和合同取得成本。根据其流动性，合同履约成本分别列报在存货和其他非流动资产中，合同取得成本分别列报在其他流动资产和其他非流动资产中。</w:t>
      </w:r>
    </w:p>
    <w:p>
      <w:pPr>
        <w:ind w:firstLineChars="200" w:firstLine="420"/>
        <w:rPr>
          <w:rFonts w:ascii="宋体" w:hAnsi="宋体"/>
        </w:rPr>
      </w:pPr>
      <w:r>
        <w:rPr>
          <w:rFonts w:ascii="宋体" w:hAnsi="宋体" w:hint="eastAsia"/>
        </w:rPr>
        <w:t>合同履约成本，即本集团为履行合同发生的成本，不属于存货、固定资产或无形资产等相关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pPr>
        <w:ind w:firstLineChars="200" w:firstLine="420"/>
        <w:rPr>
          <w:rFonts w:ascii="宋体" w:hAnsi="宋体"/>
        </w:rPr>
      </w:pPr>
      <w:r>
        <w:rPr>
          <w:rFonts w:ascii="宋体" w:hAnsi="宋体" w:hint="eastAsia"/>
        </w:rPr>
        <w:lastRenderedPageBreak/>
        <w:t>合同取得成本，即本集团为取得合同发生的增量成本预期能够收回的，作为合同取得成本确认为一项资产。如果该资产摊销期限不超过一年，本集团选择在发生时计入当期损益的简化处理。增量成本，是指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pPr>
        <w:ind w:firstLineChars="200" w:firstLine="420"/>
        <w:rPr>
          <w:rFonts w:ascii="宋体" w:hAnsi="宋体"/>
        </w:rPr>
      </w:pPr>
      <w:r>
        <w:rPr>
          <w:rFonts w:ascii="宋体" w:hAnsi="宋体" w:hint="eastAsia"/>
        </w:rPr>
        <w:t>（2）与合同成本有关的资产的摊销</w:t>
      </w:r>
    </w:p>
    <w:p>
      <w:pPr>
        <w:ind w:firstLineChars="200" w:firstLine="420"/>
        <w:rPr>
          <w:rFonts w:ascii="宋体" w:hAnsi="宋体"/>
        </w:rPr>
      </w:pPr>
      <w:r>
        <w:rPr>
          <w:rFonts w:ascii="宋体" w:hAnsi="宋体" w:hint="eastAsia"/>
        </w:rPr>
        <w:t>本集团与合同成本有关的资产采用与该资产相关的商品收入确认相同的基础进行摊销，计入当期损益。</w:t>
      </w:r>
    </w:p>
    <w:p>
      <w:pPr>
        <w:ind w:firstLineChars="200" w:firstLine="420"/>
        <w:rPr>
          <w:rFonts w:ascii="宋体" w:hAnsi="宋体"/>
        </w:rPr>
      </w:pPr>
      <w:r>
        <w:rPr>
          <w:rFonts w:ascii="宋体" w:hAnsi="宋体" w:hint="eastAsia"/>
        </w:rPr>
        <w:t>（3）与合同成本有关的资产的减值</w:t>
      </w:r>
    </w:p>
    <w:p>
      <w:pPr>
        <w:ind w:firstLineChars="200" w:firstLine="420"/>
        <w:rPr>
          <w:rFonts w:ascii="宋体" w:hAnsi="宋体"/>
        </w:rPr>
      </w:pPr>
      <w:r>
        <w:rPr>
          <w:rFonts w:ascii="宋体" w:hAnsi="宋体" w:hint="eastAsia"/>
        </w:rPr>
        <w:t>本集团与合同成本有关的资产，其账面价值高于下列两项差额的，本集团将超出部分计提减值准备，并确认为资产减值损失：①企业因转让与该资产相关的商品预期能够取得的剩余对价；②为转让该相关商品估计将要发生的成本。</w:t>
      </w:r>
    </w:p>
    <w:p>
      <w:pPr>
        <w:pStyle w:val="Style178"/>
        <w:numPr>
          <w:ilvl w:val="0"/>
          <w:numId w:val="69"/>
        </w:numPr>
        <w:rPr>
          <w:rFonts w:ascii="宋体" w:hAnsi="宋体"/>
          <w:szCs w:val="21"/>
        </w:rPr>
      </w:pPr>
      <w:r>
        <w:rPr>
          <w:rFonts w:ascii="宋体" w:hAnsi="宋体" w:hint="eastAsia"/>
          <w:szCs w:val="21"/>
        </w:rPr>
        <w:t>持有待</w:t>
      </w:r>
      <w:r>
        <w:rPr>
          <w:rFonts w:ascii="宋体" w:hAnsi="宋体"/>
          <w:szCs w:val="21"/>
        </w:rPr>
        <w:t>售的非流动资产或处置组</w:t>
      </w:r>
    </w:p>
    <w:bookmarkStart w:id="364" w:name="_Hlk533151067" w:displacedByCustomXml="next"/>
    <w:sdt>
      <w:sdtPr>
        <w:alias w:val="是否适用：持有待售的非流动资产或处置组[双击切换]"/>
        <w:tag w:val="_GBC_e7f5369a15ba4034bd2498c40687a411"/>
        <w:id w:val="114886328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364"/>
    <w:p>
      <w:pPr>
        <w:rPr>
          <w:rFonts w:ascii="宋体" w:hAnsi="宋体"/>
          <w:b/>
          <w:kern w:val="2"/>
        </w:rPr>
      </w:pPr>
      <w:r>
        <w:rPr>
          <w:rFonts w:ascii="宋体" w:hAnsi="宋体" w:hint="eastAsia"/>
          <w:b/>
          <w:kern w:val="2"/>
        </w:rPr>
        <w:t>划分为持有待售的非流动资产或处置组的确认标准和会计处理方法</w:t>
      </w:r>
    </w:p>
    <w:sdt>
      <w:sdtPr>
        <w:alias w:val="是否适用：划分为持有待售的非流动资产或处置组的确认标准和会计处理方法[双击切换]"/>
        <w:tag w:val="_GBC_cf8b05c4ada54b2aac5743b74b5fdb45"/>
        <w:id w:val="51858483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宋体" w:hAnsi="宋体"/>
          <w:b/>
          <w:kern w:val="2"/>
        </w:rPr>
      </w:pPr>
      <w:r>
        <w:rPr>
          <w:rFonts w:ascii="宋体" w:hAnsi="宋体"/>
          <w:b/>
          <w:kern w:val="2"/>
        </w:rPr>
        <w:t>终止经营的认定标准和列报方法</w:t>
      </w:r>
    </w:p>
    <w:sdt>
      <w:sdtPr>
        <w:alias w:val="是否适用：终止经营的认定标准和列报方法[双击切换]"/>
        <w:tag w:val="_GBC_a323dd7cc84c4bd1bc42320036ce854b"/>
        <w:id w:val="-173377191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69"/>
        </w:numPr>
        <w:rPr>
          <w:rFonts w:ascii="宋体" w:hAnsi="宋体"/>
          <w:szCs w:val="21"/>
        </w:rPr>
      </w:pPr>
      <w:r>
        <w:rPr>
          <w:rFonts w:ascii="宋体" w:hAnsi="宋体"/>
          <w:szCs w:val="21"/>
        </w:rPr>
        <w:t>长期股权投资</w:t>
      </w:r>
    </w:p>
    <w:sdt>
      <w:sdtPr>
        <w:rPr>
          <w:rFonts w:hint="eastAsia"/>
        </w:rPr>
        <w:alias w:val="是否适用：长期股权投资_重要会计政策和估计[双击切换]"/>
        <w:tag w:val="_GBC_990faa4da4e64a5389a573293ba4981b"/>
        <w:id w:val="173781934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Times New Roman" w:hAnsi="Times New Roman"/>
          <w:szCs w:val="21"/>
        </w:rPr>
        <w:alias w:val="长期股权投资的核算方法"/>
        <w:tag w:val="_GBC_3e77074cd50946b1bccdff9bc1c9556f"/>
        <w:id w:val="2059973468"/>
        <w:placeholder>
          <w:docPart w:val="GBC22222222222222222222222222222"/>
        </w:placeholder>
      </w:sdtPr>
      <w:sdtContent>
        <w:p>
          <w:pPr>
            <w:pStyle w:val="Style217"/>
          </w:pPr>
          <w:r>
            <w:rPr>
              <w:rFonts w:hint="eastAsia"/>
            </w:rPr>
            <w:t>本集团长期股权投资包括对子公司的投资、对联营企业的投资和对合营企业的权益性投资</w:t>
          </w:r>
        </w:p>
        <w:p>
          <w:pPr>
            <w:ind w:firstLineChars="200" w:firstLine="420"/>
            <w:rPr>
              <w:rFonts w:ascii="宋体" w:hAnsi="宋体"/>
            </w:rPr>
          </w:pPr>
          <w:r>
            <w:rPr>
              <w:rFonts w:ascii="宋体" w:hAnsi="宋体" w:hint="eastAsia"/>
            </w:rPr>
            <w:t>（1）投资成本的确定</w:t>
          </w:r>
        </w:p>
        <w:p>
          <w:pPr>
            <w:ind w:firstLineChars="200" w:firstLine="420"/>
            <w:rPr>
              <w:rFonts w:ascii="宋体" w:hAnsi="宋体"/>
            </w:rPr>
          </w:pPr>
          <w:r>
            <w:rPr>
              <w:rFonts w:ascii="宋体" w:hAnsi="宋体" w:hint="eastAsia"/>
            </w:rPr>
            <w:t>本集团按照初始投资成本对取得的长期股权投资进行初始计量。</w:t>
          </w:r>
        </w:p>
        <w:p>
          <w:pPr>
            <w:ind w:firstLineChars="200" w:firstLine="420"/>
            <w:rPr>
              <w:rFonts w:ascii="宋体" w:hAnsi="宋体"/>
            </w:rPr>
          </w:pPr>
          <w:r>
            <w:rPr>
              <w:rFonts w:ascii="宋体" w:hAnsi="宋体" w:hint="eastAsia"/>
            </w:rPr>
            <w:t>通过同一控制下的企业合并取得的长期股权投资，以合并日取得被合并方在最终控制方合并报表中净资产的账面价值的份额作为初始投资成本；被合并方在合并日的净资产账面价值为负数的，初始投资成本按零确定。</w:t>
          </w:r>
        </w:p>
        <w:p>
          <w:pPr>
            <w:ind w:firstLineChars="200" w:firstLine="420"/>
            <w:rPr>
              <w:rFonts w:ascii="宋体" w:hAnsi="宋体"/>
            </w:rPr>
          </w:pPr>
          <w:r>
            <w:rPr>
              <w:rFonts w:ascii="宋体" w:hAnsi="宋体" w:hint="eastAsia"/>
            </w:rPr>
            <w:t>通过非同一控制下的企业合并取得的长期股权投资，以合并成本作为初始投资成本；通过多次交易分步实现非同一控制下企业合并，不属于一揽子交易的，以原持有的股权投资账面价值加上新增投资成本之和，作为初始投资成本。</w:t>
          </w:r>
        </w:p>
        <w:p>
          <w:pPr>
            <w:ind w:firstLineChars="200" w:firstLine="420"/>
            <w:rPr>
              <w:rFonts w:ascii="宋体" w:hAnsi="宋体"/>
            </w:rPr>
          </w:pPr>
          <w:r>
            <w:rPr>
              <w:rFonts w:ascii="宋体" w:hAnsi="宋体" w:hint="eastAsia"/>
            </w:rPr>
            <w:t>除企业合并形成的长期股权投资外，以支付现金取得的长期股权投资，按照实际支付的购买价款及与取得长期股权投资直接相关的费用、税金及其他必要支出作为初始投资成本；以发行权益性证券取得的长期股权投资，按照发行权益性证券的公允价值作为投资成本；以债务重组、非货币性资产交换等方式取得的长期股权投资，按相关会计准则的规定确定初始投资成本。</w:t>
          </w:r>
        </w:p>
        <w:p>
          <w:pPr>
            <w:ind w:firstLineChars="200" w:firstLine="420"/>
            <w:rPr>
              <w:rFonts w:ascii="宋体" w:hAnsi="宋体"/>
            </w:rPr>
          </w:pPr>
          <w:r>
            <w:rPr>
              <w:rFonts w:ascii="宋体" w:hAnsi="宋体" w:hint="eastAsia"/>
            </w:rPr>
            <w:t>本公司对子公司投资在个别财务报表中采用成本法核算。采用成本法时，长期股权投资按初始投资成本计价。在追加投资时，按照追加投资支付的成本额公允价值及发生的相关交易费用增加长期股权投资成本的账面价值。被投资单位宣告分派的现金股利或利润，按照应享有的金额确认为当期投资收益。</w:t>
          </w:r>
        </w:p>
        <w:p>
          <w:pPr>
            <w:ind w:firstLineChars="200" w:firstLine="420"/>
            <w:rPr>
              <w:rFonts w:ascii="宋体" w:hAnsi="宋体"/>
            </w:rPr>
          </w:pPr>
          <w:r>
            <w:rPr>
              <w:rFonts w:ascii="宋体" w:hAnsi="宋体" w:hint="eastAsia"/>
            </w:rPr>
            <w:t>本集团对合营企业及联营企业的投资采用权益法核算。采用权益法时，长期股权投资初始投资成本大于投资时应享有被投资单位可辨认净资产公允价值的份额的，不调整长期股权投资账面价值；长期股权投资初始投资成本小于投资时应享有被投资单位可辨认净资产公允价值的份额的，差额调增长期股权投资的账面价值，同时计入取得投资当期损益。</w:t>
          </w:r>
        </w:p>
        <w:p>
          <w:pPr>
            <w:ind w:firstLineChars="200" w:firstLine="420"/>
            <w:rPr>
              <w:rFonts w:ascii="宋体" w:hAnsi="宋体"/>
            </w:rPr>
          </w:pPr>
          <w:r>
            <w:rPr>
              <w:rFonts w:ascii="宋体" w:hAnsi="宋体" w:hint="eastAsia"/>
            </w:rPr>
            <w:t>（2）后续计量及损益确认方法</w:t>
          </w:r>
        </w:p>
        <w:p>
          <w:pPr>
            <w:ind w:firstLineChars="200" w:firstLine="420"/>
            <w:rPr>
              <w:rFonts w:ascii="宋体" w:hAnsi="宋体"/>
            </w:rPr>
          </w:pPr>
          <w:r>
            <w:rPr>
              <w:rFonts w:ascii="宋体" w:hAnsi="宋体" w:hint="eastAsia"/>
            </w:rPr>
            <w:t>后续计量采用权益法核算的长期股权投资，在持有投资期间，随着被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不构成业务的交易产生的未实现内部交易损益</w:t>
          </w:r>
          <w:r>
            <w:rPr>
              <w:rFonts w:ascii="宋体" w:hAnsi="宋体" w:hint="eastAsia"/>
            </w:rPr>
            <w:lastRenderedPageBreak/>
            <w:t>按照应享有比例计算归属于本集团的部分（内部交易损失属于资产减值损失的，全额确认），对被投资单位的净利润进行调整后确认。本集团确认被投资单位发生的净亏损，以长期股权投资的账面价值以及其他实质上构成对被投资单位净投资的长期权益减记至零为限，本集团负有承担额外损失义务的除外。</w:t>
          </w:r>
        </w:p>
        <w:p>
          <w:pPr>
            <w:ind w:firstLineChars="200" w:firstLine="420"/>
            <w:rPr>
              <w:rFonts w:ascii="宋体" w:hAnsi="宋体"/>
            </w:rPr>
          </w:pPr>
          <w:r>
            <w:rPr>
              <w:rFonts w:ascii="宋体" w:hAnsi="宋体" w:hint="eastAsia"/>
            </w:rPr>
            <w:t>（3）确定对被投资单位具有共同控制、重大影响的依据</w:t>
          </w:r>
        </w:p>
        <w:p>
          <w:pPr>
            <w:ind w:firstLineChars="200" w:firstLine="420"/>
            <w:rPr>
              <w:rFonts w:ascii="宋体" w:hAnsi="宋体"/>
            </w:rPr>
          </w:pPr>
          <w:r>
            <w:rPr>
              <w:rFonts w:ascii="宋体" w:hAnsi="宋体" w:hint="eastAsia"/>
            </w:rPr>
            <w:t>本集团对被投资单位具有重大影响的权益性投资，即对联营企业投资。重大影响，是指本集团对被投资方的财务和经营政策有参与决策的权力，但并不能够控制或者与其他方一起共同控制这些政策的制定。本集团直接或通过子公司间接拥有被投资单位20％以上但低于50％的表决权时，通常认为对被投资单位具有重大影响，除非有明确的证据表明本集团不能参与被投资单位的生产经营决策或形成对被投资单位的控制。本集团持有被投资单位20%以下表决权的，如本集团在被投资单位的董事会或类似权力机构中派有代表、或参与被投资单位财务和经营政策制定过程、或与被投资单位之间发生重要交易、或向被投资单位派出管理人员、或向被投资单位提供关键技术资料等（或综合考虑以上多种事实和情况）,本集团认为对被投资单位具有重大影响。</w:t>
          </w:r>
        </w:p>
        <w:p>
          <w:pPr>
            <w:ind w:firstLineChars="200" w:firstLine="420"/>
            <w:rPr>
              <w:rFonts w:ascii="宋体" w:hAnsi="宋体"/>
            </w:rPr>
          </w:pPr>
          <w:r>
            <w:rPr>
              <w:rFonts w:ascii="宋体" w:hAnsi="宋体" w:hint="eastAsia"/>
            </w:rPr>
            <w:t>本集团与其他合营方一同对被投资单位实施共同控制且对被投资单位净资产享有权利的权益性投资，即对合营企业投资。共同控制，是指按照相关约定对某项安排所共有的控制，并且该安排的相关活动必须经过分享控制权的参与方一致同意后才能决策。本集团对共同控制的判断依据是所有参与方或参与方组合集体控制该安排，并且该安排相关活动的决策必须经过这些集体控制该安排的参与方一致同意。</w:t>
          </w:r>
        </w:p>
        <w:p>
          <w:pPr>
            <w:ind w:firstLineChars="200" w:firstLine="420"/>
            <w:rPr>
              <w:rFonts w:ascii="宋体" w:hAnsi="宋体"/>
            </w:rPr>
          </w:pPr>
          <w:r>
            <w:rPr>
              <w:rFonts w:ascii="宋体" w:hAnsi="宋体" w:hint="eastAsia"/>
            </w:rPr>
            <w:t>（4）长期股权投资的处置</w:t>
          </w:r>
        </w:p>
        <w:p>
          <w:pPr>
            <w:ind w:firstLineChars="200" w:firstLine="420"/>
            <w:rPr>
              <w:rFonts w:ascii="宋体" w:hAnsi="宋体"/>
            </w:rPr>
          </w:pPr>
          <w:r>
            <w:rPr>
              <w:rFonts w:ascii="宋体" w:hAnsi="宋体" w:hint="eastAsia"/>
            </w:rPr>
            <w:t>处置长期股权投资，其账面价值与实际取得价款的差额，计入当期投资收益。</w:t>
          </w:r>
        </w:p>
        <w:p>
          <w:pPr>
            <w:ind w:firstLineChars="200" w:firstLine="420"/>
            <w:rPr>
              <w:rFonts w:ascii="宋体" w:hAnsi="宋体"/>
            </w:rPr>
          </w:pPr>
          <w:r>
            <w:rPr>
              <w:rFonts w:ascii="宋体" w:hAnsi="宋体" w:hint="eastAsia"/>
            </w:rPr>
            <w:t>采用权益法核算的长期股权投资，原权益法核算的相关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投资收益。</w:t>
          </w:r>
        </w:p>
        <w:p>
          <w:pPr>
            <w:ind w:firstLineChars="200" w:firstLine="420"/>
            <w:rPr>
              <w:rFonts w:ascii="宋体" w:hAnsi="宋体"/>
            </w:rPr>
          </w:pPr>
          <w:r>
            <w:rPr>
              <w:rFonts w:ascii="宋体" w:hAnsi="宋体" w:hint="eastAsia"/>
            </w:rPr>
            <w:t>因处置部分股权后剩余股权仍采用权益法核算的，原权益法核算的相关其他综合收益采用与被投资单位直接处置相关资产或负债相同的基础处理并按比例结转，因被投资方除净损益、其他综合收益和利润分配以外的其他所有者权益变动而确认的所有者权益，按比例结转入当期投资收益。</w:t>
          </w:r>
        </w:p>
        <w:p>
          <w:pPr>
            <w:ind w:firstLineChars="200" w:firstLine="420"/>
            <w:rPr>
              <w:rFonts w:ascii="宋体" w:hAnsi="宋体"/>
            </w:rPr>
          </w:pPr>
          <w:r>
            <w:rPr>
              <w:rFonts w:ascii="宋体" w:hAnsi="宋体" w:hint="eastAsia"/>
            </w:rPr>
            <w:t>因处置部分股权后丧失了对被投资单位的共同控制或重大影响的，处置后的剩余股权适用《企业会计准则第22号——金融工具确认和计量（财会[2017]7号）》核算的，剩余股权在丧失共同控制或重大影响之日的公允价值与账面价值之间的差额计入当期损益。</w:t>
          </w:r>
        </w:p>
        <w:p>
          <w:pPr>
            <w:ind w:firstLineChars="200" w:firstLine="420"/>
            <w:rPr>
              <w:rFonts w:ascii="宋体" w:hAnsi="宋体"/>
            </w:rPr>
          </w:pPr>
          <w:r>
            <w:rPr>
              <w:rFonts w:ascii="宋体" w:hAnsi="宋体" w:hint="eastAsia"/>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22号——金融工具确认和计量（财会[2017]7号）》进行会计处理，处置股权账面价值和处置对价的差额计入投资收益，剩余股权在丧失控制之日的公允价值与账面价值间的差额计入当期损益。</w:t>
          </w:r>
        </w:p>
        <w:p>
          <w:pPr>
            <w:ind w:firstLineChars="200" w:firstLine="420"/>
            <w:rPr>
              <w:rFonts w:ascii="宋体" w:hAnsi="宋体"/>
            </w:rPr>
          </w:pPr>
          <w:r>
            <w:rPr>
              <w:rFonts w:ascii="宋体" w:hAnsi="宋体" w:hint="eastAsia"/>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p>
          <w:pPr>
            <w:ind w:firstLineChars="200" w:firstLine="420"/>
            <w:rPr>
              <w:rFonts w:ascii="宋体" w:hAnsi="宋体"/>
            </w:rPr>
          </w:pPr>
          <w:r>
            <w:rPr>
              <w:rFonts w:ascii="宋体" w:hAnsi="宋体" w:hint="eastAsia"/>
            </w:rPr>
            <w:t>（5）减值测试方法及减值准备计提方法</w:t>
          </w:r>
        </w:p>
        <w:p>
          <w:pPr>
            <w:ind w:firstLineChars="200" w:firstLine="420"/>
            <w:rPr>
              <w:rFonts w:ascii="宋体" w:hAnsi="宋体"/>
            </w:rPr>
          </w:pPr>
          <w:r>
            <w:rPr>
              <w:rFonts w:ascii="宋体" w:hAnsi="宋体" w:hint="eastAsia"/>
            </w:rPr>
            <w:t>对子公司、联营企业及合营企业的投资，在资产负债表日有客观证据表明其发生减值的，按照账面价值与可收回金额的差额计提相应的减值准备</w:t>
          </w:r>
        </w:p>
      </w:sdtContent>
    </w:sdt>
    <w:p>
      <w:pPr>
        <w:ind w:firstLineChars="200" w:firstLine="420"/>
        <w:rPr>
          <w:rFonts w:ascii="宋体" w:hAnsi="宋体"/>
        </w:rPr>
      </w:pPr>
    </w:p>
    <w:p>
      <w:pPr>
        <w:pStyle w:val="Style178"/>
        <w:numPr>
          <w:ilvl w:val="0"/>
          <w:numId w:val="69"/>
        </w:numPr>
        <w:rPr>
          <w:rFonts w:ascii="宋体" w:hAnsi="宋体"/>
          <w:szCs w:val="21"/>
        </w:rPr>
      </w:pPr>
      <w:r>
        <w:rPr>
          <w:rFonts w:ascii="宋体" w:hAnsi="宋体"/>
          <w:szCs w:val="21"/>
        </w:rPr>
        <w:t>投资性房地产</w:t>
      </w:r>
    </w:p>
    <w:p>
      <w:pPr>
        <w:pStyle w:val="Style217"/>
      </w:pPr>
      <w:r>
        <w:rPr>
          <w:rFonts w:hint="eastAsia"/>
        </w:rPr>
        <w:t>（</w:t>
      </w:r>
      <w:r>
        <w:t>1</w:t>
      </w:r>
      <w:r>
        <w:rPr>
          <w:rFonts w:hint="eastAsia"/>
        </w:rPr>
        <w:t>）投资性房地产包括已出租的土地使用权、持有并准备增值后转让的土地使用权和已出租的建筑物。</w:t>
      </w:r>
    </w:p>
    <w:p>
      <w:pPr>
        <w:pStyle w:val="Style217"/>
      </w:pPr>
      <w:r>
        <w:rPr>
          <w:rFonts w:hint="eastAsia"/>
        </w:rPr>
        <w:lastRenderedPageBreak/>
        <w:t>（</w:t>
      </w:r>
      <w:r>
        <w:t>2</w:t>
      </w:r>
      <w:r>
        <w:rPr>
          <w:rFonts w:hint="eastAsia"/>
        </w:rPr>
        <w:t>）投资性房地产按照成本进行初始计量，采用成本模式进行后续计量，并采用与固定资产和无形资产相同的方法计提折旧或进行摊销。资产负债表日，有迹象表明投资性房地产发生减值的，按照账面价值与可收回金额的差额计提相应的减值准备。</w:t>
      </w:r>
    </w:p>
    <w:p>
      <w:pPr>
        <w:pStyle w:val="Style217"/>
      </w:pPr>
      <w:r>
        <w:rPr>
          <w:rFonts w:hint="eastAsia"/>
        </w:rPr>
        <w:t>（</w:t>
      </w:r>
      <w:r>
        <w:t>3</w:t>
      </w:r>
      <w:r>
        <w:rPr>
          <w:rFonts w:hint="eastAsia"/>
        </w:rPr>
        <w:t>）投资性房地产按照成本进行初始计量，采用公允价值模式进行后续计量。</w:t>
      </w:r>
    </w:p>
    <w:p>
      <w:pPr>
        <w:pStyle w:val="Style217"/>
      </w:pPr>
      <w:r>
        <w:rPr>
          <w:rFonts w:hint="eastAsia"/>
        </w:rPr>
        <w:t>本集团投资性房地产是指为赚取租金或资本增值，或两者兼有而持有的房地产，包括已出租的土地使用权、持有并准备增值后转让的土地使用权、已出租的建筑物。采用公允价值模式计量。</w:t>
      </w:r>
    </w:p>
    <w:p>
      <w:pPr>
        <w:pStyle w:val="Style217"/>
      </w:pPr>
      <w:r>
        <w:rPr>
          <w:rFonts w:hint="eastAsia"/>
        </w:rPr>
        <w:t>本集团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pPr>
        <w:pStyle w:val="Style217"/>
      </w:pPr>
      <w:r>
        <w:rPr>
          <w:rFonts w:hint="eastAsia"/>
        </w:rPr>
        <w:t>本集团采用公允价值模式对投资性房地产进行后续计量，不对投资性房地产计提折旧或进行摊销，在资产负债表日以投资性房地产的公允价值为基础调整其账面价值，公允价值与原账面价值之间的差额计入当期损益。</w:t>
      </w:r>
    </w:p>
    <w:p>
      <w:pPr>
        <w:pStyle w:val="Style217"/>
      </w:pPr>
      <w:r>
        <w:rPr>
          <w:rFonts w:hint="eastAsia"/>
        </w:rPr>
        <w:t>投资性房地产采用公允价值模式进行后续计量的的依据为：</w:t>
      </w:r>
    </w:p>
    <w:p>
      <w:pPr>
        <w:pStyle w:val="Style217"/>
      </w:pPr>
      <w:r>
        <w:t>1</w:t>
      </w:r>
      <w:r>
        <w:rPr>
          <w:rFonts w:hint="eastAsia"/>
        </w:rPr>
        <w:t>）投资性房地产所在地有活跃的房地产交易市场；</w:t>
      </w:r>
    </w:p>
    <w:p>
      <w:pPr>
        <w:pStyle w:val="Style217"/>
      </w:pPr>
      <w:r>
        <w:t>2</w:t>
      </w:r>
      <w:r>
        <w:rPr>
          <w:rFonts w:hint="eastAsia"/>
        </w:rPr>
        <w:t>）本集团能够从房地产交易市场上取得同类或类似房地产的市场价格及其他相关信息，从而对投资性房地产的公允价值作出合理的估计。</w:t>
      </w:r>
    </w:p>
    <w:p>
      <w:pPr>
        <w:pStyle w:val="Style217"/>
      </w:pPr>
      <w:r>
        <w:rPr>
          <w:rFonts w:hint="eastAsia"/>
        </w:rPr>
        <w:t>本集团确定投资性房地产的公允价值时，参照活跃市场上同类或类似房地产的现行市场价格；无法取得同类或类似房地产的现行市场价格的，参照活跃市场上同类或类似房地产的最近交易价格，并考虑资产状况、所在位置、交易情况、交易日期等因素，从而对投资性房地产的公允价值作出合理的估计；或基于预计未来获得的租金收益和有关现金流量的现值确定其公允价值。本集团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pPr>
        <w:pStyle w:val="Style217"/>
      </w:pPr>
      <w:r>
        <w:rPr>
          <w:rFonts w:hint="eastAsia"/>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p>
      <w:pPr>
        <w:pStyle w:val="Style217"/>
      </w:pPr>
    </w:p>
    <w:p>
      <w:pPr>
        <w:pStyle w:val="Style178"/>
        <w:numPr>
          <w:ilvl w:val="0"/>
          <w:numId w:val="69"/>
        </w:numPr>
        <w:rPr>
          <w:rFonts w:ascii="宋体" w:hAnsi="宋体"/>
          <w:szCs w:val="21"/>
        </w:rPr>
      </w:pPr>
      <w:r>
        <w:rPr>
          <w:rFonts w:ascii="宋体" w:hAnsi="宋体"/>
          <w:szCs w:val="21"/>
        </w:rPr>
        <w:t>固定资产</w:t>
      </w:r>
    </w:p>
    <w:p>
      <w:pPr>
        <w:pStyle w:val="Style179"/>
        <w:numPr>
          <w:ilvl w:val="0"/>
          <w:numId w:val="71"/>
        </w:numPr>
        <w:rPr>
          <w:rFonts w:ascii="宋体" w:eastAsia="宋体" w:hAnsi="宋体"/>
          <w:sz w:val="21"/>
          <w:szCs w:val="21"/>
        </w:rPr>
      </w:pPr>
      <w:r>
        <w:rPr>
          <w:rFonts w:ascii="宋体" w:eastAsia="宋体" w:hAnsi="宋体" w:hint="eastAsia"/>
          <w:sz w:val="21"/>
          <w:szCs w:val="21"/>
        </w:rPr>
        <w:t>确认条件</w:t>
      </w:r>
    </w:p>
    <w:sdt>
      <w:sdtPr>
        <w:alias w:val="是否适用：固定资产确认条件[双击切换]"/>
        <w:tag w:val="_GBC_4c768c6eca804bab9e4fc027185bcda6"/>
        <w:id w:val="88568070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Start w:id="365" w:name="_Hlk224762550" w:displacedByCustomXml="next"/>
    <w:sdt>
      <w:sdtPr>
        <w:rPr>
          <w:rFonts w:ascii="Times New Roman" w:hAnsi="宋体" w:cs="Times New Roman"/>
          <w:bCs/>
          <w:kern w:val="0"/>
          <w:sz w:val="21"/>
          <w:szCs w:val="21"/>
          <w14:ligatures w14:val="none"/>
        </w:rPr>
        <w:alias w:val="固定资产确认条件"/>
        <w:tag w:val="_GBC_3044d53470b143fa9477fa34b85d4ec5"/>
        <w:id w:val="1365328155"/>
        <w:placeholder>
          <w:docPart w:val="GBC22222222222222222222222222222"/>
        </w:placeholder>
      </w:sdtPr>
      <w:sdtEndPr>
        <w:rPr>
          <w:rFonts w:ascii="宋体"/>
          <w:bCs w:val="0"/>
          <w:szCs w:val="20"/>
        </w:rPr>
      </w:sdtEndPr>
      <w:sdtContent>
        <w:p>
          <w:pPr>
            <w:pStyle w:val="Style209"/>
            <w:ind w:firstLineChars="200" w:firstLine="420"/>
            <w:rPr>
              <w:rFonts w:hAnsi="宋体"/>
              <w:sz w:val="21"/>
              <w:szCs w:val="21"/>
            </w:rPr>
          </w:pPr>
          <w:r>
            <w:rPr>
              <w:rFonts w:hAnsi="宋体" w:cs="Times New Roman" w:hint="eastAsia"/>
              <w:sz w:val="21"/>
              <w:szCs w:val="21"/>
              <w14:ligatures w14:val="none"/>
            </w:rPr>
            <w:t>1）</w:t>
          </w:r>
          <w:r>
            <w:rPr>
              <w:rFonts w:hAnsi="宋体" w:hint="eastAsia"/>
              <w:sz w:val="21"/>
              <w:szCs w:val="21"/>
            </w:rPr>
            <w:t>固定资产确认条件、计价和折旧方法</w:t>
          </w:r>
        </w:p>
        <w:p>
          <w:pPr>
            <w:pStyle w:val="Style194"/>
            <w:spacing w:afterLines="50" w:after="120" w:line="360" w:lineRule="exact"/>
            <w:ind w:firstLineChars="200" w:firstLine="420"/>
            <w:rPr>
              <w:rFonts w:ascii="宋体" w:hAnsi="宋体"/>
              <w:sz w:val="21"/>
              <w:szCs w:val="21"/>
            </w:rPr>
          </w:pPr>
          <w:r>
            <w:rPr>
              <w:rFonts w:ascii="宋体" w:hAnsi="宋体" w:hint="eastAsia"/>
              <w:sz w:val="21"/>
              <w:szCs w:val="21"/>
            </w:rPr>
            <w:t>本集团固定资产是为生产商品、提供劳务、出租或经营管理而持有的，使用年限超过一年的有形资产。</w:t>
          </w:r>
        </w:p>
        <w:p>
          <w:pPr>
            <w:pStyle w:val="Style194"/>
            <w:spacing w:afterLines="50" w:after="120" w:line="360" w:lineRule="exact"/>
            <w:ind w:firstLineChars="200" w:firstLine="420"/>
            <w:rPr>
              <w:rFonts w:ascii="宋体" w:hAnsi="宋体"/>
              <w:sz w:val="21"/>
              <w:szCs w:val="21"/>
            </w:rPr>
          </w:pPr>
          <w:r>
            <w:rPr>
              <w:rFonts w:ascii="宋体" w:hAnsi="宋体" w:hint="eastAsia"/>
              <w:sz w:val="21"/>
              <w:szCs w:val="21"/>
            </w:rPr>
            <w:t>固定资产在与其有关的经济利益很可能流入本集团、且其成本能够可靠计量时予以确认。本集团固定资产包括房屋建筑物、机器设备、运输设备和其他。确定固定资产成本时，考虑预计弃置费用因素。</w:t>
          </w:r>
        </w:p>
        <w:p>
          <w:pPr>
            <w:pStyle w:val="Style194"/>
            <w:spacing w:afterLines="50" w:after="120" w:line="360" w:lineRule="exact"/>
            <w:ind w:firstLineChars="200" w:firstLine="420"/>
            <w:rPr>
              <w:rFonts w:ascii="宋体" w:hAnsi="宋体"/>
              <w:sz w:val="21"/>
              <w:szCs w:val="21"/>
            </w:rPr>
          </w:pPr>
          <w:r>
            <w:rPr>
              <w:rFonts w:ascii="宋体" w:hAnsi="宋体" w:hint="eastAsia"/>
              <w:sz w:val="21"/>
              <w:szCs w:val="21"/>
            </w:rPr>
            <w:t>除已提足折旧仍继续使用的固定资产和单独计价入账的土地外，本集团对所有固定资产计提折旧。其中矿井建筑物采用产量法计提折旧，其他固定资产采用平均年限法计提折旧。本集团固定资产的分类折旧年限、预计净残值率、折旧率如下：</w:t>
          </w:r>
        </w:p>
        <w:tbl>
          <w:tblPr>
            <w:tblStyle w:val="Style100"/>
            <w:tblW w:w="8579" w:type="dxa"/>
            <w:jc w:val="center"/>
            <w:tblInd w:w="0" w:type="dxa"/>
            <w:tblLayout w:type="fixed"/>
            <w:tblLook w:val="04A0" w:firstRow="1" w:lastRow="0" w:firstColumn="1" w:lastColumn="0" w:noHBand="0" w:noVBand="1"/>
            <w:tblCaption w:val="D:\2025-11-17兖矿2025年年审\0-2025年兖矿能源TB\兖矿2025年审计报告|04.财务附注-2025年度.xlsx|W附注模板|_jds2|0|desc|||0|1"/>
          </w:tblPr>
          <w:tblGrid>
            <w:gridCol w:w="1715"/>
            <w:gridCol w:w="1716"/>
            <w:gridCol w:w="1716"/>
            <w:gridCol w:w="1716"/>
            <w:gridCol w:w="1716"/>
          </w:tblGrid>
          <w:tr>
            <w:trPr>
              <w:trHeight w:val="397"/>
              <w:tblHeader/>
              <w:jc w:val="center"/>
            </w:trPr>
            <w:tc>
              <w:tcPr>
                <w:tcW w:w="1715"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b/>
                    <w:sz w:val="21"/>
                    <w:szCs w:val="21"/>
                  </w:rPr>
                </w:pPr>
                <w:r>
                  <w:rPr>
                    <w:rFonts w:ascii="宋体" w:hAnsi="宋体" w:hint="eastAsia"/>
                    <w:b/>
                    <w:sz w:val="21"/>
                    <w:szCs w:val="21"/>
                  </w:rPr>
                  <w:t>类别</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b/>
                    <w:sz w:val="21"/>
                    <w:szCs w:val="21"/>
                  </w:rPr>
                </w:pPr>
                <w:r>
                  <w:rPr>
                    <w:rFonts w:ascii="宋体" w:hAnsi="宋体" w:hint="eastAsia"/>
                    <w:b/>
                    <w:sz w:val="21"/>
                    <w:szCs w:val="21"/>
                  </w:rPr>
                  <w:t>折旧方法</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b/>
                    <w:sz w:val="21"/>
                    <w:szCs w:val="21"/>
                  </w:rPr>
                </w:pPr>
                <w:r>
                  <w:rPr>
                    <w:rFonts w:ascii="宋体" w:hAnsi="宋体" w:hint="eastAsia"/>
                    <w:b/>
                    <w:sz w:val="21"/>
                    <w:szCs w:val="21"/>
                  </w:rPr>
                  <w:t>折旧年限（年）</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tabs>
                    <w:tab w:val="left" w:pos="1335"/>
                  </w:tabs>
                  <w:spacing w:line="360" w:lineRule="exact"/>
                  <w:jc w:val="center"/>
                  <w:rPr>
                    <w:rFonts w:ascii="宋体" w:hAnsi="宋体"/>
                    <w:b/>
                    <w:sz w:val="21"/>
                    <w:szCs w:val="21"/>
                    <w:highlight w:val="yellow"/>
                  </w:rPr>
                </w:pPr>
                <w:r>
                  <w:rPr>
                    <w:rFonts w:ascii="宋体" w:hAnsi="宋体" w:hint="eastAsia"/>
                    <w:b/>
                    <w:sz w:val="21"/>
                    <w:szCs w:val="21"/>
                  </w:rPr>
                  <w:t>残值率（%）</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b/>
                    <w:sz w:val="21"/>
                    <w:szCs w:val="21"/>
                  </w:rPr>
                </w:pPr>
                <w:r>
                  <w:rPr>
                    <w:rFonts w:ascii="宋体" w:hAnsi="宋体" w:hint="eastAsia"/>
                    <w:b/>
                    <w:sz w:val="21"/>
                    <w:szCs w:val="21"/>
                  </w:rPr>
                  <w:t>年折旧率（%）</w:t>
                </w:r>
              </w:p>
            </w:tc>
          </w:tr>
          <w:tr>
            <w:trPr>
              <w:trHeight w:val="397"/>
              <w:jc w:val="center"/>
            </w:trPr>
            <w:tc>
              <w:tcPr>
                <w:tcW w:w="1715"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rPr>
                    <w:rFonts w:ascii="宋体" w:hAnsi="宋体"/>
                    <w:sz w:val="21"/>
                    <w:szCs w:val="21"/>
                  </w:rPr>
                </w:pPr>
                <w:r>
                  <w:rPr>
                    <w:rFonts w:ascii="宋体" w:hAnsi="宋体" w:hint="eastAsia"/>
                    <w:sz w:val="21"/>
                    <w:szCs w:val="21"/>
                  </w:rPr>
                  <w:t>房屋建筑物</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hint="eastAsia"/>
                    <w:sz w:val="21"/>
                    <w:szCs w:val="21"/>
                  </w:rPr>
                  <w:t>直线法</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10-30</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0</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3.33-10.00</w:t>
                </w:r>
              </w:p>
            </w:tc>
          </w:tr>
          <w:tr>
            <w:trPr>
              <w:trHeight w:val="397"/>
              <w:jc w:val="center"/>
            </w:trPr>
            <w:tc>
              <w:tcPr>
                <w:tcW w:w="1715"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rPr>
                    <w:rFonts w:ascii="宋体" w:hAnsi="宋体"/>
                    <w:sz w:val="21"/>
                    <w:szCs w:val="21"/>
                  </w:rPr>
                </w:pPr>
                <w:r>
                  <w:rPr>
                    <w:rFonts w:ascii="宋体" w:hAnsi="宋体" w:hint="eastAsia"/>
                    <w:sz w:val="21"/>
                    <w:szCs w:val="21"/>
                  </w:rPr>
                  <w:lastRenderedPageBreak/>
                  <w:t>地面建筑物</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hint="eastAsia"/>
                    <w:sz w:val="21"/>
                    <w:szCs w:val="21"/>
                  </w:rPr>
                  <w:t>直线法</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10-25</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0</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4.00-10.00</w:t>
                </w:r>
              </w:p>
            </w:tc>
          </w:tr>
          <w:tr>
            <w:trPr>
              <w:trHeight w:val="397"/>
              <w:jc w:val="center"/>
            </w:trPr>
            <w:tc>
              <w:tcPr>
                <w:tcW w:w="1715"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rPr>
                    <w:rFonts w:ascii="宋体" w:hAnsi="宋体"/>
                    <w:sz w:val="21"/>
                    <w:szCs w:val="21"/>
                  </w:rPr>
                </w:pPr>
                <w:r>
                  <w:rPr>
                    <w:rFonts w:ascii="宋体" w:hAnsi="宋体" w:hint="eastAsia"/>
                    <w:sz w:val="21"/>
                    <w:szCs w:val="21"/>
                  </w:rPr>
                  <w:t>机器设备</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hint="eastAsia"/>
                    <w:sz w:val="21"/>
                    <w:szCs w:val="21"/>
                  </w:rPr>
                  <w:t>直线法</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2.5-25</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0</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4.00-40.00</w:t>
                </w:r>
              </w:p>
            </w:tc>
          </w:tr>
          <w:tr>
            <w:trPr>
              <w:trHeight w:val="397"/>
              <w:jc w:val="center"/>
            </w:trPr>
            <w:tc>
              <w:tcPr>
                <w:tcW w:w="1715"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rPr>
                    <w:rFonts w:ascii="宋体" w:hAnsi="宋体"/>
                    <w:sz w:val="21"/>
                    <w:szCs w:val="21"/>
                  </w:rPr>
                </w:pPr>
                <w:r>
                  <w:rPr>
                    <w:rFonts w:ascii="宋体" w:hAnsi="宋体" w:hint="eastAsia"/>
                    <w:sz w:val="21"/>
                    <w:szCs w:val="21"/>
                  </w:rPr>
                  <w:t>运输设备</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hint="eastAsia"/>
                    <w:sz w:val="21"/>
                    <w:szCs w:val="21"/>
                  </w:rPr>
                  <w:t>直线法</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6-18</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0</w:t>
                </w:r>
              </w:p>
            </w:tc>
            <w:tc>
              <w:tcPr>
                <w:tcW w:w="1716" w:type="dxa"/>
                <w:tcBorders>
                  <w:top w:val="single" w:sz="4" w:space="0" w:color="auto"/>
                  <w:left w:val="single" w:sz="4" w:space="0" w:color="auto"/>
                  <w:bottom w:val="single" w:sz="4" w:space="0" w:color="auto"/>
                  <w:right w:val="single" w:sz="4" w:space="0" w:color="auto"/>
                </w:tcBorders>
                <w:vAlign w:val="center"/>
              </w:tcPr>
              <w:p>
                <w:pPr>
                  <w:pStyle w:val="Style194"/>
                  <w:spacing w:line="360" w:lineRule="exact"/>
                  <w:jc w:val="center"/>
                  <w:rPr>
                    <w:rFonts w:ascii="宋体" w:hAnsi="宋体"/>
                    <w:sz w:val="21"/>
                    <w:szCs w:val="21"/>
                  </w:rPr>
                </w:pPr>
                <w:r>
                  <w:rPr>
                    <w:rFonts w:ascii="宋体" w:hAnsi="宋体"/>
                    <w:sz w:val="21"/>
                    <w:szCs w:val="21"/>
                  </w:rPr>
                  <w:t>5.56-16.67</w:t>
                </w:r>
              </w:p>
            </w:tc>
          </w:tr>
        </w:tbl>
        <w:p>
          <w:pPr>
            <w:pStyle w:val="Style194"/>
            <w:spacing w:line="360" w:lineRule="exact"/>
            <w:rPr>
              <w:rFonts w:ascii="宋体" w:hAnsi="宋体"/>
              <w:sz w:val="21"/>
              <w:szCs w:val="21"/>
            </w:rPr>
          </w:pPr>
        </w:p>
        <w:p>
          <w:pPr>
            <w:pStyle w:val="Style194"/>
            <w:spacing w:afterLines="50" w:after="120" w:line="360" w:lineRule="exact"/>
            <w:ind w:firstLineChars="200" w:firstLine="420"/>
            <w:rPr>
              <w:rFonts w:ascii="宋体" w:hAnsi="宋体"/>
              <w:sz w:val="21"/>
              <w:szCs w:val="21"/>
            </w:rPr>
          </w:pPr>
          <w:r>
            <w:rPr>
              <w:rFonts w:ascii="宋体" w:hAnsi="宋体" w:hint="eastAsia"/>
              <w:sz w:val="21"/>
              <w:szCs w:val="21"/>
            </w:rPr>
            <w:t>除本集团之子公司山东兖煤航运有限公司船舶的折旧年限为18年外，其余运输设备的折旧年限均为6至9年。</w:t>
          </w:r>
        </w:p>
        <w:p>
          <w:pPr>
            <w:pStyle w:val="Style194"/>
            <w:spacing w:afterLines="50" w:after="120" w:line="360" w:lineRule="exact"/>
            <w:ind w:firstLineChars="200" w:firstLine="420"/>
            <w:rPr>
              <w:rFonts w:ascii="宋体" w:hAnsi="宋体"/>
              <w:sz w:val="21"/>
              <w:szCs w:val="21"/>
            </w:rPr>
          </w:pPr>
          <w:r>
            <w:rPr>
              <w:rFonts w:ascii="宋体" w:hAnsi="宋体" w:hint="eastAsia"/>
              <w:sz w:val="21"/>
              <w:szCs w:val="21"/>
            </w:rPr>
            <w:t>土地类固定资产指本集团之澳大利亚子公司拥有的土地，由于拥有永久所有权，所以不计提折旧。</w:t>
          </w:r>
        </w:p>
        <w:p>
          <w:pPr>
            <w:pStyle w:val="Style194"/>
            <w:spacing w:afterLines="50" w:after="120" w:line="360" w:lineRule="exact"/>
            <w:ind w:firstLineChars="200" w:firstLine="420"/>
            <w:rPr>
              <w:rFonts w:ascii="宋体" w:hAnsi="宋体"/>
              <w:sz w:val="21"/>
              <w:szCs w:val="21"/>
            </w:rPr>
          </w:pPr>
          <w:r>
            <w:rPr>
              <w:rFonts w:ascii="宋体" w:hAnsi="宋体" w:hint="eastAsia"/>
              <w:sz w:val="21"/>
              <w:szCs w:val="21"/>
            </w:rPr>
            <w:t>本集团于每年年度终了，对固定资产的预计使用寿命、预计净残值和折旧方法进行复核，如发生改变，则作为会计估计变更处理。</w:t>
          </w:r>
        </w:p>
        <w:p>
          <w:pPr>
            <w:pStyle w:val="Style194"/>
            <w:spacing w:afterLines="50" w:after="120" w:line="360" w:lineRule="exact"/>
            <w:ind w:firstLineChars="200" w:firstLine="420"/>
            <w:rPr>
              <w:rFonts w:ascii="宋体" w:hAnsi="宋体"/>
              <w:sz w:val="21"/>
              <w:szCs w:val="21"/>
            </w:rPr>
          </w:pPr>
          <w:r>
            <w:rPr>
              <w:rFonts w:ascii="宋体" w:hAnsi="宋体" w:hint="eastAsia"/>
              <w:sz w:val="21"/>
              <w:szCs w:val="21"/>
            </w:rPr>
            <w:t>2）固定资产的减值测试方法、减值准备计提方法</w:t>
          </w:r>
        </w:p>
        <w:p>
          <w:pPr>
            <w:pStyle w:val="Style194"/>
            <w:spacing w:afterLines="50" w:after="120" w:line="360" w:lineRule="exact"/>
            <w:ind w:firstLineChars="200" w:firstLine="420"/>
            <w:rPr>
              <w:rFonts w:ascii="宋体" w:hAnsi="宋体"/>
              <w:i/>
              <w:sz w:val="21"/>
              <w:szCs w:val="21"/>
            </w:rPr>
          </w:pPr>
          <w:r>
            <w:rPr>
              <w:rFonts w:ascii="宋体" w:hAnsi="宋体" w:hint="eastAsia"/>
              <w:sz w:val="21"/>
              <w:szCs w:val="21"/>
            </w:rPr>
            <w:t>资产负债表日，有迹象表明固定资产发生减值的，按照账面价值与可收回金额的差额计提相应的减值准备。</w:t>
          </w:r>
        </w:p>
        <w:p>
          <w:pPr>
            <w:pStyle w:val="Style217"/>
          </w:pPr>
        </w:p>
      </w:sdtContent>
    </w:sdt>
    <w:bookmarkEnd w:id="365"/>
    <w:p>
      <w:pPr>
        <w:pStyle w:val="Style179"/>
        <w:numPr>
          <w:ilvl w:val="0"/>
          <w:numId w:val="71"/>
        </w:numPr>
        <w:rPr>
          <w:rFonts w:ascii="宋体" w:eastAsia="宋体" w:hAnsi="宋体"/>
          <w:sz w:val="21"/>
          <w:szCs w:val="21"/>
        </w:rPr>
      </w:pPr>
      <w:r>
        <w:rPr>
          <w:rFonts w:ascii="宋体" w:eastAsia="宋体" w:hAnsi="宋体" w:hint="eastAsia"/>
          <w:sz w:val="21"/>
          <w:szCs w:val="21"/>
        </w:rPr>
        <w:t>折旧方法</w:t>
      </w:r>
    </w:p>
    <w:sdt>
      <w:sdtPr>
        <w:alias w:val="是否适用：固定资产折旧方法[双击切换]"/>
        <w:tag w:val="_GBC_f89f129fe73045168ebdc30031da9fdd"/>
        <w:id w:val="8828989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69"/>
        </w:numPr>
        <w:rPr>
          <w:rFonts w:ascii="宋体" w:hAnsi="宋体"/>
          <w:szCs w:val="21"/>
        </w:rPr>
      </w:pPr>
      <w:r>
        <w:rPr>
          <w:rFonts w:ascii="宋体" w:hAnsi="宋体"/>
          <w:szCs w:val="21"/>
        </w:rPr>
        <w:t>在建工程</w:t>
      </w:r>
    </w:p>
    <w:sdt>
      <w:sdtPr>
        <w:rPr>
          <w:rFonts w:hint="eastAsia"/>
        </w:rPr>
        <w:alias w:val="是否适用：在建工程_重要会计政策和估计[双击切换]"/>
        <w:tag w:val="_GBC_00730441e5ea4f57b3cd3ff1ecc5c1bd"/>
        <w:id w:val="-150789358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rPr>
        <w:alias w:val="在建工程核算方法"/>
        <w:tag w:val="_GBC_ed79f983df814c58add61776fe84c76e"/>
        <w:id w:val="969868379"/>
        <w:placeholder>
          <w:docPart w:val="GBC22222222222222222222222222222"/>
        </w:placeholder>
      </w:sdtPr>
      <w:sdtContent>
        <w:p>
          <w:pPr>
            <w:ind w:firstLineChars="200" w:firstLine="420"/>
            <w:rPr>
              <w:rFonts w:ascii="宋体" w:hAnsi="宋体"/>
            </w:rPr>
          </w:pPr>
          <w:r>
            <w:rPr>
              <w:rFonts w:ascii="宋体" w:hAnsi="宋体" w:hint="eastAsia"/>
            </w:rPr>
            <w:t>（1）在建工程成本按实际工程支出确定，包括在建期间发生的各项必要工程支出、工程达到预定可使用状态前的应予资本化的借款费用以及其他相关费用等。</w:t>
          </w:r>
        </w:p>
        <w:p>
          <w:pPr>
            <w:ind w:firstLineChars="200" w:firstLine="420"/>
            <w:rPr>
              <w:rFonts w:ascii="宋体" w:hAnsi="宋体"/>
            </w:rPr>
          </w:pPr>
          <w:r>
            <w:rPr>
              <w:rFonts w:ascii="宋体" w:hAnsi="宋体" w:hint="eastAsia"/>
            </w:rPr>
            <w:t>在建工程在达到预定可使用状态之日起，根据工程预算、造价或工程实际成本等，按估计的价值结转固定资产，次月起开始计提折旧，待办理了竣工决算手续后再对固定资产原值差异进行调整。</w:t>
          </w:r>
        </w:p>
        <w:p>
          <w:pPr>
            <w:ind w:firstLineChars="200" w:firstLine="420"/>
            <w:rPr>
              <w:rFonts w:ascii="宋体" w:hAnsi="宋体"/>
            </w:rPr>
          </w:pPr>
          <w:r>
            <w:rPr>
              <w:rFonts w:ascii="宋体" w:hAnsi="宋体" w:hint="eastAsia"/>
            </w:rPr>
            <w:t>（2）资产负债表日，有迹象表明在建工程发生减值的，按照账面价值与可收回金额的差额计提相应的减值准备。</w:t>
          </w:r>
        </w:p>
      </w:sdtContent>
    </w:sdt>
    <w:p>
      <w:pPr>
        <w:pStyle w:val="Style217"/>
      </w:pPr>
    </w:p>
    <w:p>
      <w:pPr>
        <w:pStyle w:val="Style178"/>
        <w:numPr>
          <w:ilvl w:val="0"/>
          <w:numId w:val="69"/>
        </w:numPr>
        <w:rPr>
          <w:rFonts w:ascii="宋体" w:hAnsi="宋体"/>
          <w:szCs w:val="21"/>
        </w:rPr>
      </w:pPr>
      <w:r>
        <w:rPr>
          <w:rFonts w:ascii="宋体" w:hAnsi="宋体"/>
          <w:szCs w:val="21"/>
        </w:rPr>
        <w:t>借款费用</w:t>
      </w:r>
    </w:p>
    <w:sdt>
      <w:sdtPr>
        <w:rPr>
          <w:rFonts w:hint="eastAsia"/>
        </w:rPr>
        <w:alias w:val="是否适用：借款费用_重要会计政策和估计[双击切换]"/>
        <w:tag w:val="_GBC_84ea3b60fd54474487b81f25f176d989"/>
        <w:id w:val="163644781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rPr>
        <w:alias w:val="借款费用的会计处理方法"/>
        <w:tag w:val="_GBC_2101c32d32c64f39a8b8fcd2b72dbb0a"/>
        <w:id w:val="-23797782"/>
        <w:placeholder>
          <w:docPart w:val="GBC22222222222222222222222222222"/>
        </w:placeholder>
      </w:sdtPr>
      <w:sdtContent>
        <w:p>
          <w:pPr>
            <w:ind w:firstLineChars="200" w:firstLine="420"/>
            <w:rPr>
              <w:rFonts w:ascii="宋体" w:hAnsi="宋体"/>
            </w:rPr>
          </w:pPr>
          <w:r>
            <w:rPr>
              <w:rFonts w:ascii="宋体" w:hAnsi="宋体" w:hint="eastAsia"/>
            </w:rPr>
            <w:t>（1）借款费用资本化的确认原则</w:t>
          </w:r>
        </w:p>
        <w:p>
          <w:pPr>
            <w:ind w:firstLineChars="200" w:firstLine="420"/>
            <w:rPr>
              <w:rFonts w:ascii="宋体" w:hAnsi="宋体"/>
            </w:rPr>
          </w:pPr>
          <w:r>
            <w:rPr>
              <w:rFonts w:ascii="宋体" w:hAnsi="宋体" w:hint="eastAsia"/>
            </w:rPr>
            <w:t>本集团将发生的可直接归属于符合资本化条件的资产的构建或者生产的借款费用予以资本化，计入相关资产成本，其他借款费用计入当期损益。</w:t>
          </w:r>
        </w:p>
        <w:p>
          <w:pPr>
            <w:ind w:firstLineChars="200" w:firstLine="420"/>
            <w:rPr>
              <w:rFonts w:ascii="宋体" w:hAnsi="宋体"/>
            </w:rPr>
          </w:pPr>
          <w:r>
            <w:rPr>
              <w:rFonts w:ascii="宋体" w:hAnsi="宋体" w:hint="eastAsia"/>
            </w:rPr>
            <w:t>（2）借款费用资本化期间</w:t>
          </w:r>
        </w:p>
        <w:p>
          <w:pPr>
            <w:ind w:firstLineChars="200" w:firstLine="420"/>
            <w:rPr>
              <w:rFonts w:ascii="宋体" w:hAnsi="宋体"/>
            </w:rPr>
          </w:pPr>
          <w:r>
            <w:rPr>
              <w:rFonts w:ascii="宋体" w:hAnsi="宋体" w:hint="eastAsia"/>
            </w:rPr>
            <w:t>本集团确定的符合资本化条件的资产包括需要经过1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3个月，暂停借款费用的资本化，直至资产的购建或生产活动重新开始。</w:t>
          </w:r>
        </w:p>
        <w:p>
          <w:pPr>
            <w:ind w:firstLineChars="200" w:firstLine="420"/>
            <w:rPr>
              <w:rFonts w:ascii="宋体" w:hAnsi="宋体"/>
            </w:rPr>
          </w:pPr>
          <w:r>
            <w:rPr>
              <w:rFonts w:ascii="宋体" w:hAnsi="宋体" w:hint="eastAsia"/>
            </w:rPr>
            <w:lastRenderedPageBreak/>
            <w:t>（3）借款费用资本化金额</w:t>
          </w:r>
        </w:p>
        <w:p>
          <w:pPr>
            <w:ind w:firstLineChars="200" w:firstLine="420"/>
            <w:rPr>
              <w:rFonts w:ascii="宋体" w:hAnsi="宋体"/>
              <w:kern w:val="2"/>
            </w:rPr>
          </w:pPr>
          <w:r>
            <w:rPr>
              <w:rFonts w:ascii="宋体" w:hAnsi="宋体" w:hint="eastAsia"/>
            </w:rPr>
            <w:t>在资本化期间内的每一会计期间，本集团按照以下方法确认借款费用的资本化金额：借入专门借款的，按照当期实际发生的利息费用，扣除尚未动用的借款资金存入银行取得的利息收入或进行暂时性投资取得的投资收益后的金额确定；占用一般借款的，根据累计资产支出超过专门借款部分的资产支出加权平均数乘以所占用一般借款的资本化率确定，其中资本化率根据一般借款加权平均利率计算确定。</w:t>
          </w:r>
        </w:p>
      </w:sdtContent>
    </w:sdt>
    <w:p>
      <w:pPr>
        <w:pStyle w:val="Style217"/>
      </w:pPr>
    </w:p>
    <w:p>
      <w:pPr>
        <w:pStyle w:val="Style178"/>
        <w:numPr>
          <w:ilvl w:val="0"/>
          <w:numId w:val="69"/>
        </w:numPr>
        <w:rPr>
          <w:rFonts w:ascii="宋体" w:hAnsi="宋体"/>
          <w:szCs w:val="21"/>
        </w:rPr>
      </w:pPr>
      <w:r>
        <w:rPr>
          <w:rFonts w:ascii="宋体" w:hAnsi="宋体"/>
          <w:szCs w:val="21"/>
        </w:rPr>
        <w:t>生物资产</w:t>
      </w:r>
    </w:p>
    <w:sdt>
      <w:sdtPr>
        <w:rPr>
          <w:rFonts w:ascii="宋体" w:hAnsi="宋体" w:hint="eastAsia"/>
        </w:rPr>
        <w:alias w:val="是否适用：生物资产_重要会计政策和估计[双击切换]"/>
        <w:tag w:val="_GBC_f511e8d0a6dc417eb1d10eeecb5b05a5"/>
        <w:id w:val="-1956625207"/>
        <w:placeholder>
          <w:docPart w:val="GBC22222222222222222222222222222"/>
        </w:placeholder>
      </w:sdtPr>
      <w:sdtContent>
        <w:p>
          <w:pPr>
            <w:rPr>
              <w:rFonts w:ascii="宋体" w:hAnsi="宋体"/>
              <w:kern w:val="2"/>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8"/>
        <w:numPr>
          <w:ilvl w:val="0"/>
          <w:numId w:val="69"/>
        </w:numPr>
        <w:rPr>
          <w:rFonts w:ascii="宋体" w:hAnsi="宋体"/>
          <w:szCs w:val="21"/>
        </w:rPr>
      </w:pPr>
      <w:r>
        <w:rPr>
          <w:rFonts w:ascii="宋体" w:hAnsi="宋体"/>
          <w:szCs w:val="21"/>
        </w:rPr>
        <w:t>油气资产</w:t>
      </w:r>
    </w:p>
    <w:sdt>
      <w:sdtPr>
        <w:rPr>
          <w:rFonts w:ascii="宋体" w:hAnsi="宋体" w:hint="eastAsia"/>
        </w:rPr>
        <w:alias w:val="是否适用：油气资产_重要会计政策和估计[双击切换]"/>
        <w:tag w:val="_GBC_fb60dd1d8d2346fb9b2e461875c070c9"/>
        <w:id w:val="333585351"/>
        <w:placeholder>
          <w:docPart w:val="GBC22222222222222222222222222222"/>
        </w:placeholder>
      </w:sdtPr>
      <w:sdtContent>
        <w:p>
          <w:pPr>
            <w:rPr>
              <w:rFonts w:ascii="宋体" w:hAnsi="宋体"/>
              <w:kern w:val="2"/>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8"/>
        <w:numPr>
          <w:ilvl w:val="0"/>
          <w:numId w:val="69"/>
        </w:numPr>
        <w:rPr>
          <w:rFonts w:ascii="宋体" w:hAnsi="宋体"/>
          <w:szCs w:val="21"/>
        </w:rPr>
      </w:pPr>
      <w:r>
        <w:rPr>
          <w:rFonts w:ascii="宋体" w:hAnsi="宋体"/>
          <w:szCs w:val="21"/>
        </w:rPr>
        <w:t>无形资产</w:t>
      </w:r>
    </w:p>
    <w:p>
      <w:pPr>
        <w:ind w:firstLineChars="200" w:firstLine="420"/>
        <w:rPr>
          <w:rFonts w:ascii="宋体" w:hAnsi="宋体"/>
        </w:rPr>
      </w:pPr>
      <w:r>
        <w:rPr>
          <w:rFonts w:ascii="宋体" w:hAnsi="宋体" w:hint="eastAsia"/>
        </w:rPr>
        <w:t>本集团无形资产包括采矿权、未探明矿区权益、土地使用权、水资源使用权、专利和专有技术、计算机软件和产能置换支出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进行初始确认时，按公允价值确认计量。</w:t>
      </w:r>
    </w:p>
    <w:p>
      <w:pPr>
        <w:pStyle w:val="Style179"/>
        <w:numPr>
          <w:ilvl w:val="3"/>
          <w:numId w:val="72"/>
        </w:numPr>
        <w:ind w:left="426" w:hanging="426"/>
        <w:rPr>
          <w:rFonts w:ascii="宋体" w:eastAsia="宋体" w:hAnsi="宋体"/>
          <w:sz w:val="21"/>
          <w:szCs w:val="21"/>
        </w:rPr>
      </w:pPr>
      <w:r>
        <w:rPr>
          <w:rFonts w:ascii="宋体" w:eastAsia="宋体" w:hAnsi="宋体" w:hint="eastAsia"/>
          <w:sz w:val="21"/>
          <w:szCs w:val="21"/>
        </w:rPr>
        <w:t>使用寿命及其确定依据、估计情况、摊销方法或复核程序</w:t>
      </w:r>
    </w:p>
    <w:sdt>
      <w:sdtPr>
        <w:alias w:val="是否适用：无形资产计价方法、使用寿命、减值测试[双击切换]"/>
        <w:tag w:val="_GBC_40df8c87b47d48bbbf73a71cc533a892"/>
        <w:id w:val="-10651495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无形资产计价方法、使用寿命、减值测试"/>
        <w:tag w:val="_GBC_a9e64b18f452482eb6674ec605618dcc"/>
        <w:id w:val="1076858886"/>
        <w:placeholder>
          <w:docPart w:val="GBC22222222222222222222222222222"/>
        </w:placeholder>
      </w:sdtPr>
      <w:sdtContent>
        <w:p>
          <w:pPr>
            <w:ind w:firstLineChars="200" w:firstLine="420"/>
            <w:rPr>
              <w:rFonts w:ascii="宋体" w:hAnsi="宋体"/>
            </w:rPr>
          </w:pPr>
          <w:r>
            <w:rPr>
              <w:rFonts w:ascii="宋体" w:hAnsi="宋体" w:hint="eastAsia"/>
            </w:rP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进行摊销。</w:t>
          </w:r>
        </w:p>
        <w:p>
          <w:pPr>
            <w:ind w:firstLineChars="200" w:firstLine="420"/>
            <w:rPr>
              <w:rFonts w:ascii="宋体" w:hAnsi="宋体"/>
            </w:rPr>
          </w:pPr>
          <w:r>
            <w:rPr>
              <w:rFonts w:ascii="宋体" w:hAnsi="宋体" w:hint="eastAsia"/>
            </w:rPr>
            <w:t>未探明矿区权益是矿区经勘探评价活动后估计其潜在经济可采储量（不包括采矿权中已探明及推定煤矿总储量的部分，即不包括上述的煤炭储量）的价值（参见本附注“五、29勘探及评价支出”）。</w:t>
          </w:r>
        </w:p>
        <w:p>
          <w:pPr>
            <w:ind w:firstLineChars="200" w:firstLine="420"/>
            <w:rPr>
              <w:rFonts w:ascii="宋体" w:hAnsi="宋体"/>
            </w:rPr>
          </w:pPr>
          <w:r>
            <w:rPr>
              <w:rFonts w:ascii="宋体" w:hAnsi="宋体" w:hint="eastAsia"/>
            </w:rPr>
            <w:t>土地使用权从出让起始日起，按其出让年限平均摊销。</w:t>
          </w:r>
        </w:p>
        <w:p>
          <w:pPr>
            <w:ind w:firstLineChars="200" w:firstLine="420"/>
            <w:rPr>
              <w:rFonts w:ascii="宋体" w:hAnsi="宋体"/>
            </w:rPr>
          </w:pPr>
          <w:r>
            <w:rPr>
              <w:rFonts w:ascii="宋体" w:hAnsi="宋体" w:hint="eastAsia"/>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pPr>
            <w:ind w:firstLineChars="200" w:firstLine="420"/>
            <w:rPr>
              <w:rFonts w:ascii="宋体" w:hAnsi="宋体"/>
            </w:rPr>
          </w:pPr>
          <w:r>
            <w:rPr>
              <w:rFonts w:ascii="宋体" w:hAnsi="宋体" w:hint="eastAsia"/>
            </w:rPr>
            <w:t>根据国家发改委《关于实施减量置换严控煤炭新增产能有关事项的通知》（发改能源〔2016〕1602号）、《关于做好建设煤矿产能减量置换有关工作的补充通知》（发改能源〔2016〕1897号）和《关于进一步加快建设产能置换工作的通知》（发改能源〔2017〕609号）文件的规定，本集团新建煤矿、核增产能等均进行产能置换指标交易，产能置换支出按照采矿权证剩余年限平均摊销。</w:t>
          </w:r>
        </w:p>
        <w:p>
          <w:pPr>
            <w:ind w:firstLineChars="200" w:firstLine="420"/>
            <w:rPr>
              <w:rFonts w:ascii="宋体" w:hAnsi="宋体"/>
            </w:rPr>
          </w:pPr>
          <w:r>
            <w:rPr>
              <w:rFonts w:ascii="宋体" w:hAnsi="宋体" w:hint="eastAsia"/>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pPr>
        <w:pStyle w:val="Style217"/>
      </w:pPr>
    </w:p>
    <w:p>
      <w:pPr>
        <w:pStyle w:val="Style179"/>
        <w:numPr>
          <w:ilvl w:val="3"/>
          <w:numId w:val="72"/>
        </w:numPr>
        <w:ind w:left="426" w:hanging="426"/>
        <w:rPr>
          <w:rFonts w:ascii="宋体" w:eastAsia="宋体" w:hAnsi="宋体"/>
          <w:sz w:val="21"/>
          <w:szCs w:val="21"/>
        </w:rPr>
      </w:pPr>
      <w:r>
        <w:rPr>
          <w:rFonts w:ascii="宋体" w:eastAsia="宋体" w:hAnsi="宋体" w:hint="eastAsia"/>
          <w:sz w:val="21"/>
          <w:szCs w:val="21"/>
        </w:rPr>
        <w:t>研发支出的归集范围及相关会计处理方法</w:t>
      </w:r>
    </w:p>
    <w:sdt>
      <w:sdtPr>
        <w:alias w:val="是否适用：无形资产内部研究开发支出会计政策[双击切换]"/>
        <w:tag w:val="_GBC_8f6b939ea36a42808f60b7c024994f2b"/>
        <w:id w:val="-168235052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无形资产内部研究、开发支出会计政策"/>
        <w:tag w:val="_GBC_af7b1338d88344dfb8cd34ed66bfe672"/>
        <w:id w:val="-1884542895"/>
        <w:placeholder>
          <w:docPart w:val="GBC22222222222222222222222222222"/>
        </w:placeholder>
      </w:sdtPr>
      <w:sdtContent>
        <w:p>
          <w:pPr>
            <w:ind w:firstLineChars="200" w:firstLine="420"/>
            <w:rPr>
              <w:rFonts w:ascii="宋体" w:hAnsi="宋体"/>
            </w:rPr>
          </w:pPr>
          <w:r>
            <w:rPr>
              <w:rFonts w:ascii="宋体" w:hAnsi="宋体" w:hint="eastAsia"/>
            </w:rPr>
            <w:t>1）研发支出的归集范围</w:t>
          </w:r>
        </w:p>
        <w:p>
          <w:pPr>
            <w:ind w:firstLineChars="200" w:firstLine="420"/>
            <w:rPr>
              <w:rFonts w:ascii="宋体" w:hAnsi="宋体"/>
            </w:rPr>
          </w:pPr>
          <w:r>
            <w:rPr>
              <w:rFonts w:ascii="宋体" w:hAnsi="宋体" w:hint="eastAsia"/>
            </w:rPr>
            <w:t>本集团内部研究开发项目的支出分为研究阶段支出与开发阶段支出。</w:t>
          </w:r>
        </w:p>
        <w:p>
          <w:pPr>
            <w:ind w:firstLineChars="200" w:firstLine="420"/>
            <w:rPr>
              <w:rFonts w:ascii="宋体" w:hAnsi="宋体"/>
            </w:rPr>
          </w:pPr>
          <w:r>
            <w:rPr>
              <w:rFonts w:ascii="宋体" w:hAnsi="宋体" w:hint="eastAsia"/>
            </w:rPr>
            <w:lastRenderedPageBreak/>
            <w:t>2）研发支出相关会计处理方法</w:t>
          </w:r>
        </w:p>
        <w:p>
          <w:pPr>
            <w:ind w:firstLineChars="200" w:firstLine="420"/>
            <w:rPr>
              <w:rFonts w:ascii="宋体" w:hAnsi="宋体"/>
            </w:rPr>
          </w:pPr>
          <w:r>
            <w:rPr>
              <w:rFonts w:ascii="宋体" w:hAnsi="宋体" w:hint="eastAsia"/>
            </w:rPr>
            <w:t>研究阶段的支出，于发生时计入当期损益。开发阶段的支出同时满足下列条件的，确认为无形资产，不能满足下述条件的开发阶段的支出计入当期损益：1)完成该无形资产以使其能够使用或出售在技术上具有可行性；2)具有完成该无形资产并使用或出售的意图；3)无形资产产生经济利益的方式，包括能够证明运用该无形资产生产的产品存在市场或无形资产自身存在市场，无形资产将在内部使用的，能够证明其有用性；4)有足够的技术、财务资源和其他资源支持，以完成该无形资产的开发，并有能力使用或出售该无形资产；5)归属于该无形资产开发阶段的支出能够可靠地计量。无法区分研究阶段支出和开发阶段支出的，将发生的研发支出全部计入当期损益</w:t>
          </w:r>
        </w:p>
      </w:sdtContent>
    </w:sdt>
    <w:p>
      <w:pPr>
        <w:tabs>
          <w:tab w:val="left" w:pos="2082"/>
        </w:tabs>
        <w:rPr>
          <w:rFonts w:ascii="宋体" w:hAnsi="宋体"/>
        </w:rPr>
      </w:pPr>
      <w:r>
        <w:rPr>
          <w:rFonts w:ascii="宋体" w:hAnsi="宋体"/>
        </w:rPr>
        <w:tab/>
      </w:r>
    </w:p>
    <w:p>
      <w:pPr>
        <w:pStyle w:val="Style178"/>
        <w:numPr>
          <w:ilvl w:val="0"/>
          <w:numId w:val="69"/>
        </w:numPr>
        <w:rPr>
          <w:rFonts w:ascii="宋体" w:hAnsi="宋体"/>
          <w:szCs w:val="21"/>
        </w:rPr>
      </w:pPr>
      <w:r>
        <w:rPr>
          <w:rFonts w:ascii="宋体" w:hAnsi="宋体" w:hint="eastAsia"/>
          <w:szCs w:val="21"/>
        </w:rPr>
        <w:t>勘探及评价支出</w:t>
      </w:r>
    </w:p>
    <w:p>
      <w:pPr>
        <w:ind w:firstLineChars="200" w:firstLine="420"/>
        <w:rPr>
          <w:rFonts w:ascii="宋体" w:hAnsi="宋体"/>
        </w:rPr>
      </w:pPr>
      <w:r>
        <w:rPr>
          <w:rFonts w:ascii="宋体" w:hAnsi="宋体" w:hint="eastAsia"/>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pPr>
        <w:ind w:firstLineChars="200" w:firstLine="420"/>
        <w:rPr>
          <w:rFonts w:ascii="宋体" w:hAnsi="宋体"/>
        </w:rPr>
      </w:pPr>
      <w:r>
        <w:rPr>
          <w:rFonts w:ascii="宋体" w:hAnsi="宋体" w:hint="eastAsia"/>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pPr>
        <w:ind w:firstLineChars="200" w:firstLine="420"/>
        <w:rPr>
          <w:rFonts w:ascii="宋体" w:hAnsi="宋体"/>
        </w:rPr>
      </w:pPr>
      <w:r>
        <w:rPr>
          <w:rFonts w:ascii="宋体" w:hAnsi="宋体" w:hint="eastAsia"/>
        </w:rPr>
        <w:t>当生产开始时，相关区域的累计支出按照经济可开采储量的耗用率在该区域的服务年限内摊销。</w:t>
      </w:r>
    </w:p>
    <w:p>
      <w:pPr>
        <w:ind w:firstLineChars="200" w:firstLine="420"/>
        <w:rPr>
          <w:rFonts w:ascii="宋体" w:hAnsi="宋体"/>
        </w:rPr>
      </w:pPr>
      <w:r>
        <w:rPr>
          <w:rFonts w:ascii="宋体" w:hAnsi="宋体" w:hint="eastAsia"/>
        </w:rPr>
        <w:t>于企业合并中取得的勘探和评价资产，以其于收购日的公允价值确认，即于收购日其潜在经济可采储量的公允价值，以未探明矿区权益列示。</w:t>
      </w:r>
    </w:p>
    <w:p>
      <w:pPr>
        <w:ind w:firstLineChars="200" w:firstLine="420"/>
        <w:rPr>
          <w:rFonts w:ascii="宋体" w:hAnsi="宋体"/>
        </w:rPr>
      </w:pPr>
      <w:r>
        <w:rPr>
          <w:rFonts w:ascii="宋体" w:hAnsi="宋体" w:hint="eastAsia"/>
        </w:rPr>
        <w:t>勘探及评价资产根据资产性质被列为固定资产（参见本附注“五、23固定资产”）、在建工程（参见本附注“五、24在建工程”）或无形资产（参见本附注“五、28无形资产”）</w:t>
      </w:r>
    </w:p>
    <w:p>
      <w:pPr>
        <w:pStyle w:val="Style178"/>
        <w:numPr>
          <w:ilvl w:val="0"/>
          <w:numId w:val="69"/>
        </w:numPr>
        <w:rPr>
          <w:rFonts w:ascii="宋体" w:hAnsi="宋体"/>
          <w:szCs w:val="21"/>
        </w:rPr>
      </w:pPr>
      <w:r>
        <w:rPr>
          <w:rFonts w:ascii="宋体" w:hAnsi="宋体" w:hint="eastAsia"/>
          <w:szCs w:val="21"/>
        </w:rPr>
        <w:t>长期资产减值</w:t>
      </w:r>
    </w:p>
    <w:sdt>
      <w:sdtPr>
        <w:rPr>
          <w:rFonts w:hint="eastAsia"/>
        </w:rPr>
        <w:alias w:val="是否适用：长期资产减值_重要会计政策和估计[双击切换]"/>
        <w:tag w:val="_GBC_e9110d6af45c4c0d808e2f284fadf642"/>
        <w:id w:val="-105610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rPr>
        <w:alias w:val="非金融长期资产减值测试方法及会计处理方法"/>
        <w:tag w:val="_GBC_0a065c1269a846f6923598a2c1fc4269"/>
        <w:id w:val="-1311242165"/>
        <w:placeholder>
          <w:docPart w:val="GBC22222222222222222222222222222"/>
        </w:placeholder>
      </w:sdtPr>
      <w:sdtContent>
        <w:p>
          <w:pPr>
            <w:ind w:firstLineChars="200" w:firstLine="420"/>
            <w:rPr>
              <w:rFonts w:ascii="宋体" w:hAnsi="宋体"/>
            </w:rPr>
          </w:pPr>
          <w:r>
            <w:rPr>
              <w:rFonts w:ascii="宋体" w:hAnsi="宋体" w:hint="eastAsia"/>
            </w:rPr>
            <w:t>本集团于每一资产负债表日对长期股权投资、固定资产、在建工程、使用权资产、使用寿命有限的无形资产等项目进行检查，当存在减值迹象时，本集团进行减值测试。对商誉、使用寿命不确定的无形资产、尚未达到预定可使用状态的开发支出无论是否存在减值迹象，每年末均进行减值测试。</w:t>
          </w:r>
        </w:p>
        <w:p>
          <w:pPr>
            <w:ind w:firstLineChars="200" w:firstLine="420"/>
            <w:rPr>
              <w:rFonts w:ascii="宋体" w:hAnsi="宋体"/>
            </w:rPr>
          </w:pPr>
          <w:r>
            <w:rPr>
              <w:rFonts w:ascii="宋体" w:hAnsi="宋体" w:hint="eastAsia"/>
            </w:rPr>
            <w:t>（1）除金融资产之外的非流动资产减值（除商誉外）</w:t>
          </w:r>
        </w:p>
        <w:p>
          <w:pPr>
            <w:ind w:firstLineChars="200" w:firstLine="420"/>
            <w:rPr>
              <w:rFonts w:ascii="宋体" w:hAnsi="宋体"/>
            </w:rPr>
          </w:pPr>
          <w:r>
            <w:rPr>
              <w:rFonts w:ascii="宋体" w:hAnsi="宋体" w:hint="eastAsia"/>
            </w:rPr>
            <w:t>本集团在进行减值测试时，按照资产的公允价值减去处置费用后的净额与资产预计未来现金流量的现值两者之间的较高者确定其可收回金额。减值测试后，若该资产的账面价值超过其可收回金额，其差额确认为减值损失。</w:t>
          </w:r>
        </w:p>
        <w:p>
          <w:pPr>
            <w:ind w:firstLineChars="200" w:firstLine="420"/>
            <w:rPr>
              <w:rFonts w:ascii="宋体" w:hAnsi="宋体"/>
            </w:rPr>
          </w:pPr>
          <w:r>
            <w:rPr>
              <w:rFonts w:ascii="宋体" w:hAnsi="宋体" w:hint="eastAsia"/>
            </w:rPr>
            <w:t>本集团以单项资产为基础估计其可回收金额，难以对单项资产的可回收金额进行估计的，以该资产所属资产组为基础确定资产组的可回收金额。资产组的认定，以资产组产生的主要现金流入是否独立于其他资产或者资产组的现金流入为依据。</w:t>
          </w:r>
        </w:p>
        <w:p>
          <w:pPr>
            <w:ind w:firstLineChars="200" w:firstLine="420"/>
            <w:rPr>
              <w:rFonts w:ascii="宋体" w:hAnsi="宋体"/>
            </w:rPr>
          </w:pPr>
          <w:r>
            <w:rPr>
              <w:rFonts w:ascii="宋体" w:hAnsi="宋体" w:hint="eastAsia"/>
            </w:rPr>
            <w:t>公允价值减去处置费用后的净额，参考公平交易中类似资产的销售协议价格或可观察到的市场价格，减去可直接归属于该资产处置的增量成本确定。预计未来现金流量现值时，管理层必须估计该项资产或资产组的预计未来现金流量，并选择恰当的折现率确定未来现金流量的现值。</w:t>
          </w:r>
        </w:p>
        <w:p>
          <w:pPr>
            <w:ind w:firstLineChars="200" w:firstLine="420"/>
            <w:rPr>
              <w:rFonts w:ascii="宋体" w:hAnsi="宋体"/>
            </w:rPr>
          </w:pPr>
          <w:r>
            <w:rPr>
              <w:rFonts w:ascii="宋体" w:hAnsi="宋体" w:hint="eastAsia"/>
            </w:rPr>
            <w:t>（2）商誉减值</w:t>
          </w:r>
        </w:p>
        <w:p>
          <w:pPr>
            <w:ind w:firstLineChars="200" w:firstLine="420"/>
            <w:rPr>
              <w:rFonts w:ascii="宋体" w:hAnsi="宋体"/>
            </w:rPr>
          </w:pPr>
          <w:r>
            <w:rPr>
              <w:rFonts w:ascii="宋体" w:hAnsi="宋体" w:hint="eastAsia"/>
            </w:rPr>
            <w:t>本集团对企业合并形成的商誉，自购买日起将其账面价值按照合理的方法分摊至相关的资产组，难以分摊至相关的资产组的分摊至相关的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p>
        <w:p>
          <w:pPr>
            <w:ind w:firstLineChars="200" w:firstLine="420"/>
            <w:rPr>
              <w:rFonts w:ascii="宋体" w:hAnsi="宋体"/>
            </w:rPr>
          </w:pPr>
          <w:r>
            <w:rPr>
              <w:rFonts w:ascii="宋体" w:hAnsi="宋体" w:hint="eastAsia"/>
            </w:rPr>
            <w:t>上述资产的减值损失一经确认，在以后会计期间不予转回。</w:t>
          </w:r>
        </w:p>
      </w:sdtContent>
    </w:sdt>
    <w:p>
      <w:pPr>
        <w:pStyle w:val="Style217"/>
      </w:pPr>
    </w:p>
    <w:p>
      <w:pPr>
        <w:pStyle w:val="Style178"/>
        <w:numPr>
          <w:ilvl w:val="0"/>
          <w:numId w:val="69"/>
        </w:numPr>
        <w:rPr>
          <w:rFonts w:ascii="宋体" w:hAnsi="宋体"/>
          <w:szCs w:val="21"/>
        </w:rPr>
      </w:pPr>
      <w:r>
        <w:rPr>
          <w:rFonts w:ascii="宋体" w:hAnsi="宋体"/>
          <w:szCs w:val="21"/>
        </w:rPr>
        <w:t>长期待摊费用</w:t>
      </w:r>
    </w:p>
    <w:sdt>
      <w:sdtPr>
        <w:rPr>
          <w:rFonts w:hint="eastAsia"/>
        </w:rPr>
        <w:alias w:val="是否适用：长期待摊费用_重要会计政策和估计[双击切换]"/>
        <w:tag w:val="_GBC_5f2bbee5e66644d489f8d74ae8f96539"/>
        <w:id w:val="189391412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rPr>
        <w:alias w:val="开办费、长期待摊费用摊销方法"/>
        <w:tag w:val="_GBC_a0e2b7a5a9454eaea97ca201421d7dde"/>
        <w:id w:val="-254679504"/>
        <w:placeholder>
          <w:docPart w:val="GBC22222222222222222222222222222"/>
        </w:placeholder>
      </w:sdtPr>
      <w:sdtContent>
        <w:p>
          <w:pPr>
            <w:ind w:firstLineChars="200" w:firstLine="420"/>
            <w:rPr>
              <w:rFonts w:ascii="宋体" w:hAnsi="宋体"/>
              <w:kern w:val="2"/>
            </w:rPr>
          </w:pPr>
          <w:r>
            <w:rPr>
              <w:rFonts w:ascii="宋体" w:hAnsi="宋体" w:hint="eastAsia"/>
            </w:rPr>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p>
      <w:pPr>
        <w:pStyle w:val="Style217"/>
      </w:pPr>
    </w:p>
    <w:p>
      <w:pPr>
        <w:pStyle w:val="Style178"/>
        <w:numPr>
          <w:ilvl w:val="0"/>
          <w:numId w:val="69"/>
        </w:numPr>
        <w:rPr>
          <w:rFonts w:ascii="宋体" w:hAnsi="宋体"/>
          <w:szCs w:val="21"/>
        </w:rPr>
      </w:pPr>
      <w:bookmarkStart w:id="366" w:name="_Hlk533668008"/>
      <w:r>
        <w:rPr>
          <w:rFonts w:ascii="宋体" w:hAnsi="宋体" w:hint="eastAsia"/>
          <w:szCs w:val="21"/>
        </w:rPr>
        <w:t>合同负债</w:t>
      </w:r>
    </w:p>
    <w:sdt>
      <w:sdtPr>
        <w:alias w:val="是否适用：合同负债的确定方法、摊销方法和减值测试方法[双击切换]"/>
        <w:tag w:val="_GBC_1d0f6a0a7f304d3f94158c9d73a7239a"/>
        <w:id w:val="98474133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firstLineChars="200" w:firstLine="420"/>
        <w:rPr>
          <w:rFonts w:ascii="宋体" w:hAnsi="宋体"/>
        </w:rPr>
      </w:pPr>
      <w:sdt>
        <w:sdtPr>
          <w:rPr>
            <w:rFonts w:ascii="宋体" w:hAnsi="宋体"/>
          </w:rPr>
          <w:alias w:val="合同负债的确定方法、摊销方法和减值测试方法"/>
          <w:tag w:val="_GBC_0555b9144f6c494282d03f175d2fa19d"/>
          <w:id w:val="-397678935"/>
          <w:placeholder>
            <w:docPart w:val="GBC22222222222222222222222222222"/>
          </w:placeholder>
        </w:sdtPr>
        <w:sdtContent>
          <w:r>
            <w:rPr>
              <w:rFonts w:ascii="宋体" w:hAnsi="宋体"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sdtContent>
      </w:sdt>
    </w:p>
    <w:p>
      <w:pPr>
        <w:pStyle w:val="Style217"/>
      </w:pPr>
    </w:p>
    <w:bookmarkEnd w:id="366"/>
    <w:p>
      <w:pPr>
        <w:pStyle w:val="Style178"/>
        <w:numPr>
          <w:ilvl w:val="0"/>
          <w:numId w:val="69"/>
        </w:numPr>
        <w:rPr>
          <w:rFonts w:ascii="宋体" w:hAnsi="宋体"/>
          <w:szCs w:val="21"/>
        </w:rPr>
      </w:pPr>
      <w:r>
        <w:rPr>
          <w:rFonts w:ascii="宋体" w:hAnsi="宋体" w:hint="eastAsia"/>
          <w:szCs w:val="21"/>
        </w:rPr>
        <w:t>职工薪酬</w:t>
      </w:r>
    </w:p>
    <w:p>
      <w:pPr>
        <w:ind w:firstLineChars="100" w:firstLine="210"/>
        <w:rPr>
          <w:rFonts w:ascii="宋体" w:hAnsi="宋体"/>
        </w:rPr>
      </w:pPr>
      <w:r>
        <w:rPr>
          <w:rFonts w:ascii="宋体" w:hAnsi="宋体" w:hint="eastAsia"/>
        </w:rPr>
        <w:t>本集团职工薪酬包括短期薪酬、离职后福利、辞退福利和其他长期福利。</w:t>
      </w:r>
    </w:p>
    <w:p>
      <w:pPr>
        <w:pStyle w:val="Style179"/>
        <w:numPr>
          <w:ilvl w:val="3"/>
          <w:numId w:val="73"/>
        </w:numPr>
        <w:ind w:left="426" w:hanging="426"/>
        <w:rPr>
          <w:rFonts w:ascii="宋体" w:eastAsia="宋体" w:hAnsi="宋体"/>
          <w:sz w:val="21"/>
          <w:szCs w:val="21"/>
        </w:rPr>
      </w:pPr>
      <w:r>
        <w:rPr>
          <w:rFonts w:ascii="宋体" w:eastAsia="宋体" w:hAnsi="宋体" w:hint="eastAsia"/>
          <w:sz w:val="21"/>
          <w:szCs w:val="21"/>
        </w:rPr>
        <w:t>短期薪酬的会计处理方法</w:t>
      </w:r>
    </w:p>
    <w:sdt>
      <w:sdtPr>
        <w:rPr>
          <w:rFonts w:hint="eastAsia"/>
        </w:rPr>
        <w:alias w:val="是否适用：短期薪酬的会计处理方法[双击切换]"/>
        <w:tag w:val="_GBC_efadddc5ff4a48fb9432574c3528c6b3"/>
        <w:id w:val="111848525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短期薪酬的会计处理方法"/>
        <w:tag w:val="_GBC_8fdf44b194ac45fb945d36b9896df796"/>
        <w:id w:val="64230114"/>
        <w:placeholder>
          <w:docPart w:val="GBC22222222222222222222222222222"/>
        </w:placeholder>
      </w:sdtPr>
      <w:sdtContent>
        <w:p>
          <w:pPr>
            <w:ind w:firstLineChars="200" w:firstLine="420"/>
            <w:rPr>
              <w:rFonts w:ascii="宋体" w:hAnsi="宋体"/>
            </w:rPr>
          </w:pPr>
          <w:r>
            <w:rPr>
              <w:rFonts w:ascii="宋体" w:hAnsi="宋体" w:hint="eastAsia"/>
            </w:rPr>
            <w:t>短期薪酬主要包括职工工资、奖金、津贴和补贴，职工福利费，医疗保险费、工伤保险费和生育保险费等社会保险费，住房公积金，工会经费和职工教育经费，短期带薪缺勤等，在职工提供服务的会计期间，将实际发生的短期薪酬确认为负债，并按照受益对象计入当期损益或相关资产成本。</w:t>
          </w:r>
        </w:p>
      </w:sdtContent>
    </w:sdt>
    <w:p>
      <w:pPr>
        <w:pStyle w:val="Style217"/>
      </w:pPr>
    </w:p>
    <w:p>
      <w:pPr>
        <w:pStyle w:val="Style179"/>
        <w:numPr>
          <w:ilvl w:val="3"/>
          <w:numId w:val="73"/>
        </w:numPr>
        <w:ind w:left="426" w:hanging="426"/>
        <w:rPr>
          <w:rFonts w:ascii="宋体" w:eastAsia="宋体" w:hAnsi="宋体"/>
          <w:sz w:val="21"/>
          <w:szCs w:val="21"/>
        </w:rPr>
      </w:pPr>
      <w:r>
        <w:rPr>
          <w:rFonts w:ascii="宋体" w:eastAsia="宋体" w:hAnsi="宋体" w:hint="eastAsia"/>
          <w:sz w:val="21"/>
          <w:szCs w:val="21"/>
        </w:rPr>
        <w:t>离职后福利的会计处理方法</w:t>
      </w:r>
    </w:p>
    <w:sdt>
      <w:sdtPr>
        <w:rPr>
          <w:rFonts w:hint="eastAsia"/>
        </w:rPr>
        <w:alias w:val="是否适用：离职后福利的会计处理方法[双击切换]"/>
        <w:tag w:val="_GBC_64248844b1544474ae8d85d08e7479af"/>
        <w:id w:val="-1118678932"/>
        <w:placeholder>
          <w:docPart w:val="GBC22222222222222222222222222222"/>
        </w:placeholder>
      </w:sdtPr>
      <w:sdtContent>
        <w:p>
          <w:pPr>
            <w:pStyle w:val="Style217"/>
          </w:pPr>
          <w:r>
            <w:fldChar w:fldCharType="begin"/>
          </w:r>
          <w:r>
            <w:tab/>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离职后福利的会计处理方法"/>
        <w:tag w:val="_GBC_3b0bafa6ef784ba99c829e2f60cf828e"/>
        <w:id w:val="-1619681313"/>
        <w:placeholder>
          <w:docPart w:val="GBC22222222222222222222222222222"/>
        </w:placeholder>
      </w:sdtPr>
      <w:sdtContent>
        <w:p>
          <w:pPr>
            <w:ind w:firstLineChars="200" w:firstLine="420"/>
            <w:rPr>
              <w:rFonts w:ascii="宋体" w:hAnsi="宋体"/>
            </w:rPr>
          </w:pPr>
          <w:r>
            <w:rPr>
              <w:rFonts w:ascii="宋体" w:hAnsi="宋体" w:hint="eastAsia"/>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pPr>
        <w:pStyle w:val="Style217"/>
      </w:pPr>
    </w:p>
    <w:p>
      <w:pPr>
        <w:pStyle w:val="Style179"/>
        <w:numPr>
          <w:ilvl w:val="3"/>
          <w:numId w:val="73"/>
        </w:numPr>
        <w:ind w:left="426" w:hanging="426"/>
        <w:rPr>
          <w:rFonts w:ascii="宋体" w:eastAsia="宋体" w:hAnsi="宋体"/>
          <w:sz w:val="21"/>
          <w:szCs w:val="21"/>
        </w:rPr>
      </w:pPr>
      <w:r>
        <w:rPr>
          <w:rFonts w:ascii="宋体" w:eastAsia="宋体" w:hAnsi="宋体" w:hint="eastAsia"/>
          <w:sz w:val="21"/>
          <w:szCs w:val="21"/>
        </w:rPr>
        <w:t>辞退福利的会计处理方法</w:t>
      </w:r>
    </w:p>
    <w:sdt>
      <w:sdtPr>
        <w:rPr>
          <w:rFonts w:hint="eastAsia"/>
        </w:rPr>
        <w:alias w:val="是否适用：辞退福利的会计处理方法[双击切换]"/>
        <w:tag w:val="_GBC_7a3bf6905df64c658fb0148a81f2964d"/>
        <w:id w:val="-199979598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辞退福利的会计处理方法"/>
        <w:tag w:val="_GBC_a93705fb60b24bceb25c88a68ed87432"/>
        <w:id w:val="1048802530"/>
        <w:placeholder>
          <w:docPart w:val="GBC22222222222222222222222222222"/>
        </w:placeholder>
      </w:sdtPr>
      <w:sdtContent>
        <w:p>
          <w:pPr>
            <w:ind w:firstLineChars="200" w:firstLine="420"/>
            <w:rPr>
              <w:rFonts w:ascii="宋体" w:hAnsi="宋体"/>
            </w:rPr>
          </w:pPr>
          <w:r>
            <w:rPr>
              <w:rFonts w:ascii="宋体" w:hAnsi="宋体" w:hint="eastAsia"/>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pPr>
        <w:pStyle w:val="Style217"/>
      </w:pPr>
    </w:p>
    <w:p>
      <w:pPr>
        <w:pStyle w:val="Style179"/>
        <w:numPr>
          <w:ilvl w:val="3"/>
          <w:numId w:val="73"/>
        </w:numPr>
        <w:ind w:left="426" w:hanging="426"/>
        <w:rPr>
          <w:rFonts w:ascii="宋体" w:eastAsia="宋体" w:hAnsi="宋体"/>
          <w:sz w:val="21"/>
          <w:szCs w:val="21"/>
        </w:rPr>
      </w:pPr>
      <w:r>
        <w:rPr>
          <w:rFonts w:ascii="宋体" w:eastAsia="宋体" w:hAnsi="宋体" w:hint="eastAsia"/>
          <w:sz w:val="21"/>
          <w:szCs w:val="21"/>
        </w:rPr>
        <w:t>其他长期职工福利的会计处理方法</w:t>
      </w:r>
    </w:p>
    <w:sdt>
      <w:sdtPr>
        <w:rPr>
          <w:rFonts w:hint="eastAsia"/>
        </w:rPr>
        <w:alias w:val="是否适用：其他长期职工福利的会计处理方法[双击切换]"/>
        <w:tag w:val="_GBC_94d434167e154a30ad2071a069525a71"/>
        <w:id w:val="148297217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其他长期职工福利的会计处理方法"/>
        <w:tag w:val="_GBC_0e549e9400284de7b64ddf6ecc255dea"/>
        <w:id w:val="1075865306"/>
        <w:placeholder>
          <w:docPart w:val="GBC22222222222222222222222222222"/>
        </w:placeholder>
      </w:sdtPr>
      <w:sdtContent>
        <w:p>
          <w:pPr>
            <w:ind w:firstLineChars="200" w:firstLine="420"/>
            <w:rPr>
              <w:rFonts w:ascii="宋体" w:hAnsi="宋体"/>
            </w:rPr>
          </w:pPr>
          <w:r>
            <w:rPr>
              <w:rFonts w:ascii="宋体" w:hAnsi="宋体" w:hint="eastAsia"/>
            </w:rPr>
            <w:t>其他长期福利，是指除短期薪酬、离职后福利、辞退福利之外所有的职工薪酬。</w:t>
          </w:r>
        </w:p>
      </w:sdtContent>
    </w:sdt>
    <w:p>
      <w:pPr>
        <w:pStyle w:val="Style217"/>
      </w:pPr>
    </w:p>
    <w:p>
      <w:pPr>
        <w:pStyle w:val="Style178"/>
        <w:numPr>
          <w:ilvl w:val="0"/>
          <w:numId w:val="69"/>
        </w:numPr>
        <w:rPr>
          <w:rFonts w:ascii="宋体" w:hAnsi="宋体"/>
          <w:szCs w:val="21"/>
        </w:rPr>
      </w:pPr>
      <w:r>
        <w:rPr>
          <w:rFonts w:ascii="宋体" w:hAnsi="宋体"/>
          <w:szCs w:val="21"/>
        </w:rPr>
        <w:t>预计负债</w:t>
      </w:r>
    </w:p>
    <w:sdt>
      <w:sdtPr>
        <w:rPr>
          <w:rFonts w:hint="eastAsia"/>
        </w:rPr>
        <w:alias w:val="是否适用：预计负债_重要会计政策和估计[双击切换]"/>
        <w:tag w:val="_GBC_546a7423773c46d2b57f08fc5fdbc638"/>
        <w:id w:val="24223340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hint="eastAsia"/>
        </w:rPr>
        <w:alias w:val="预计负债的核算方法"/>
        <w:tag w:val="_GBC_d6934772e41e485d9e00e349486f9d7e"/>
        <w:id w:val="1048497077"/>
        <w:placeholder>
          <w:docPart w:val="GBC22222222222222222222222222222"/>
        </w:placeholder>
      </w:sdtPr>
      <w:sdtContent>
        <w:p>
          <w:pPr>
            <w:ind w:firstLineChars="200" w:firstLine="420"/>
            <w:rPr>
              <w:rFonts w:ascii="宋体" w:hAnsi="宋体"/>
            </w:rPr>
          </w:pPr>
          <w:r>
            <w:rPr>
              <w:rFonts w:ascii="宋体" w:hAnsi="宋体" w:hint="eastAsia"/>
            </w:rPr>
            <w:t>（1）当与因开采煤矿而形成的复垦、弃置及环境清理事项，以及对外担保、未决诉讼或仲裁、产品质量保证、裁员计划、亏损合同、重组义务等或有事项相关的业务同时符合以下条件</w:t>
          </w:r>
          <w:r>
            <w:rPr>
              <w:rFonts w:ascii="宋体" w:hAnsi="宋体" w:hint="eastAsia"/>
            </w:rPr>
            <w:lastRenderedPageBreak/>
            <w:t>时，本集团将其确认为负债：该义务是本集团承担的现时义务；该义务的履行很可能导致经济利益流出企业；该义务的金额能够可靠地计量。</w:t>
          </w:r>
        </w:p>
        <w:p>
          <w:pPr>
            <w:ind w:firstLineChars="200" w:firstLine="420"/>
            <w:rPr>
              <w:rFonts w:ascii="宋体" w:hAnsi="宋体"/>
            </w:rPr>
          </w:pPr>
          <w:r>
            <w:rPr>
              <w:rFonts w:ascii="宋体" w:hAnsi="宋体" w:hint="eastAsia"/>
            </w:rPr>
            <w:t>（2）预计负债按照履行相关现时义务所需支出的最佳估计数进行初始计量，并综合考虑与或有事项有关的风险、不确定性和货币时间价值等因素。本集团于资产负债表日对当前最佳估计数进行复核并对预计负债的账面价值进行调整。</w:t>
          </w:r>
        </w:p>
      </w:sdtContent>
    </w:sdt>
    <w:p>
      <w:pPr>
        <w:pStyle w:val="Style217"/>
      </w:pPr>
    </w:p>
    <w:p>
      <w:pPr>
        <w:pStyle w:val="Style178"/>
        <w:numPr>
          <w:ilvl w:val="0"/>
          <w:numId w:val="69"/>
        </w:numPr>
        <w:rPr>
          <w:rFonts w:ascii="宋体" w:hAnsi="宋体"/>
          <w:szCs w:val="21"/>
        </w:rPr>
      </w:pPr>
      <w:r>
        <w:rPr>
          <w:rFonts w:ascii="宋体" w:hAnsi="宋体" w:hint="eastAsia"/>
          <w:szCs w:val="21"/>
        </w:rPr>
        <w:t>股份支付</w:t>
      </w:r>
    </w:p>
    <w:sdt>
      <w:sdtPr>
        <w:rPr>
          <w:rFonts w:hint="eastAsia"/>
        </w:rPr>
        <w:alias w:val="是否适用：股份支付_重要会计政策和估计[双击切换]"/>
        <w:tag w:val="_GBC_7741eb89da65434190830ba1cd87e4dc"/>
        <w:id w:val="131653448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股份支付的核算方法"/>
        <w:tag w:val="_GBC_99e197c555ed4cf8aa00bbd5da2fe98b"/>
        <w:id w:val="1811125352"/>
        <w:placeholder>
          <w:docPart w:val="GBC22222222222222222222222222222"/>
        </w:placeholder>
      </w:sdtPr>
      <w:sdtContent>
        <w:p>
          <w:pPr>
            <w:ind w:firstLineChars="200" w:firstLine="420"/>
            <w:rPr>
              <w:rFonts w:ascii="宋体" w:hAnsi="宋体"/>
            </w:rPr>
          </w:pPr>
          <w:r>
            <w:rPr>
              <w:rFonts w:ascii="宋体" w:hAnsi="宋体" w:hint="eastAsia"/>
            </w:rPr>
            <w:t>用以换取职工提供服务的以权益结算的股份支付，以授予职工权益工具在授予日的公允价值计量。如授予后立即可行权，在授予日按照权益工具的公允价值计入相关成本或费用，相应增加资本公积。如需在完成等待期内的服务或达到规定业绩条件才可行权，在等待期内的每个资产负债表日，以对可行权权益工具数量的最佳估计为基础，按照权益工具授予日的公允价值，将当期取得的服务计入相关成本或费用和资本公积。如果修改了以权益结算的股份支付的条款，至少按照未修改条款的情况确认取得的服务。此外，增加所授予权益工具公允价值的修改，或在修改日对职工有利的变更，均确认取得服务的增加。</w:t>
          </w:r>
        </w:p>
        <w:p>
          <w:pPr>
            <w:ind w:firstLineChars="200" w:firstLine="420"/>
            <w:rPr>
              <w:rFonts w:ascii="宋体" w:hAnsi="宋体"/>
            </w:rPr>
          </w:pPr>
          <w:r>
            <w:rPr>
              <w:rFonts w:ascii="宋体" w:hAnsi="宋体" w:hint="eastAsia"/>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pPr>
            <w:ind w:firstLineChars="200" w:firstLine="420"/>
            <w:rPr>
              <w:rFonts w:ascii="宋体" w:hAnsi="宋体"/>
            </w:rPr>
          </w:pPr>
          <w:r>
            <w:rPr>
              <w:rFonts w:ascii="宋体" w:hAnsi="宋体" w:hint="eastAsia"/>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在相关负债结算前的每个资产负债表日以及结算日，对负债的公允价值重新计量，其变动计入当期损益。</w:t>
          </w:r>
        </w:p>
        <w:p>
          <w:pPr>
            <w:ind w:firstLineChars="200" w:firstLine="420"/>
            <w:rPr>
              <w:rFonts w:ascii="宋体" w:hAnsi="宋体"/>
            </w:rPr>
          </w:pPr>
          <w:r>
            <w:rPr>
              <w:rFonts w:ascii="宋体" w:hAnsi="宋体" w:hint="eastAsia"/>
            </w:rPr>
            <w:t>本集团修改以现金结算的股份支付协议中的条款和条件使其成为以权益结算的股份支付的，在修改日，本集团按照所授予权益工具当日的公允价值计量以权益结算的股份支付，将已取得的服务计入资本公积，同时终止确认以现金结算的股份支付在修改日已确认的负债，两者之间的差额计入当期损益。上述规定同样适用于修改发生在等待期结束后的情形。如果由于修改延长或缩短了等待期，本集团按照修改后的等待期进行上述会计处理(无需考虑不利修改的有关会计处理规定)。如果本集团取消一项以现金结算的股份支付，授予一项以权益结算的股份支付，并在授予权益工具日认定其是用来替代已取消的以现金结算的股份支付(因未满足可行权条件而被取消的除外)的，比照上述情形进行会计处理包括以权益结算的股份支付和以现金结算的股份支付。</w:t>
          </w:r>
        </w:p>
      </w:sdtContent>
    </w:sdt>
    <w:p>
      <w:pPr>
        <w:pStyle w:val="Style217"/>
      </w:pPr>
    </w:p>
    <w:p>
      <w:pPr>
        <w:pStyle w:val="Style178"/>
        <w:numPr>
          <w:ilvl w:val="0"/>
          <w:numId w:val="69"/>
        </w:numPr>
        <w:rPr>
          <w:rFonts w:ascii="宋体" w:hAnsi="宋体"/>
          <w:szCs w:val="21"/>
        </w:rPr>
      </w:pPr>
      <w:r>
        <w:rPr>
          <w:rFonts w:ascii="宋体" w:hAnsi="宋体" w:hint="eastAsia"/>
          <w:szCs w:val="21"/>
        </w:rPr>
        <w:t>优先股、永续债等其他金融工具</w:t>
      </w:r>
    </w:p>
    <w:sdt>
      <w:sdtPr>
        <w:rPr>
          <w:rFonts w:hint="eastAsia"/>
        </w:rPr>
        <w:alias w:val="是否适用：优先股、永续债等其他金融工具[双击切换]"/>
        <w:tag w:val="_GBC_00e1aed4ff2c40d6bda73971e87d6eb8"/>
        <w:id w:val="-121049040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优先股、永续债等其他金融工具的核算方法"/>
        <w:tag w:val="_GBC_4d72f974ad08467694c4c547d6e1f03b"/>
        <w:id w:val="245618834"/>
        <w:placeholder>
          <w:docPart w:val="GBC22222222222222222222222222222"/>
        </w:placeholder>
      </w:sdtPr>
      <w:sdtContent>
        <w:p>
          <w:pPr>
            <w:ind w:firstLineChars="200" w:firstLine="420"/>
            <w:rPr>
              <w:rFonts w:ascii="宋体" w:hAnsi="宋体"/>
            </w:rPr>
          </w:pPr>
          <w:r>
            <w:rPr>
              <w:rFonts w:ascii="宋体" w:hAnsi="宋体" w:hint="eastAsia"/>
            </w:rPr>
            <w:t>归类为债务工具的优先股、永续债，按其公允价值扣除交易费用后的金额进行初始计量，并采用实际利率法按摊余成本进行后续计量，其利息支出或股利分配按照借款费用进行处理，其回购或赎回产生的利得或损失计入当期损益。</w:t>
          </w:r>
        </w:p>
        <w:p>
          <w:pPr>
            <w:ind w:firstLineChars="200" w:firstLine="420"/>
            <w:rPr>
              <w:rFonts w:ascii="宋体" w:hAnsi="宋体"/>
            </w:rPr>
          </w:pPr>
          <w:r>
            <w:rPr>
              <w:rFonts w:ascii="宋体" w:hAnsi="宋体" w:hint="eastAsia"/>
            </w:rPr>
            <w:t>归类为权益工具的优先股、永续债，在发行时收到的对价扣除交易费用后增加所有者权益，其利息支出或股利分配按照利润分配进行处理，回购或注销作为权益变动处理。</w:t>
          </w:r>
        </w:p>
      </w:sdtContent>
    </w:sdt>
    <w:p>
      <w:pPr>
        <w:pStyle w:val="Style217"/>
      </w:pPr>
    </w:p>
    <w:p>
      <w:pPr>
        <w:pStyle w:val="Style178"/>
        <w:numPr>
          <w:ilvl w:val="0"/>
          <w:numId w:val="69"/>
        </w:numPr>
        <w:rPr>
          <w:rFonts w:ascii="宋体" w:hAnsi="宋体"/>
          <w:szCs w:val="21"/>
        </w:rPr>
      </w:pPr>
      <w:r>
        <w:rPr>
          <w:rFonts w:ascii="宋体" w:hAnsi="宋体" w:hint="eastAsia"/>
          <w:szCs w:val="21"/>
        </w:rPr>
        <w:t>露天矿表层土剥采成本</w:t>
      </w:r>
    </w:p>
    <w:p>
      <w:pPr>
        <w:ind w:firstLineChars="200" w:firstLine="420"/>
        <w:rPr>
          <w:rFonts w:ascii="宋体" w:hAnsi="宋体"/>
        </w:rPr>
      </w:pPr>
      <w:r>
        <w:rPr>
          <w:rFonts w:ascii="宋体" w:hAnsi="宋体" w:hint="eastAsia"/>
        </w:rPr>
        <w:t>露天矿表层土剥采成本指为达至煤层而发生的累计支出，包括直接剥离成本及机器设备的运行成本。对能提升矿石的未来开采能力的此类剥采成本在满足特定标准时确认为非流动资产（剥采资产），其余剥采成本在发生当期计入生产成本，结转至存货。</w:t>
      </w:r>
    </w:p>
    <w:p>
      <w:pPr>
        <w:ind w:firstLineChars="200" w:firstLine="420"/>
        <w:rPr>
          <w:rFonts w:ascii="宋体" w:hAnsi="宋体"/>
        </w:rPr>
      </w:pPr>
      <w:r>
        <w:rPr>
          <w:rFonts w:ascii="宋体" w:hAnsi="宋体" w:hint="eastAsia"/>
        </w:rPr>
        <w:lastRenderedPageBreak/>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p>
    <w:p>
      <w:pPr>
        <w:ind w:firstLineChars="200" w:firstLine="420"/>
        <w:rPr>
          <w:rFonts w:ascii="宋体" w:hAnsi="宋体"/>
        </w:rPr>
      </w:pPr>
      <w:r>
        <w:rPr>
          <w:rFonts w:ascii="宋体" w:hAnsi="宋体" w:hint="eastAsia"/>
        </w:rPr>
        <w:t>剥采活动资产应作为与其相关的矿业资产的一部分予以确认。</w:t>
      </w:r>
    </w:p>
    <w:p>
      <w:pPr>
        <w:ind w:firstLineChars="200" w:firstLine="420"/>
        <w:rPr>
          <w:rFonts w:ascii="宋体" w:hAnsi="宋体"/>
        </w:rPr>
      </w:pPr>
      <w:r>
        <w:rPr>
          <w:rFonts w:ascii="宋体" w:hAnsi="宋体" w:hint="eastAsia"/>
        </w:rPr>
        <w:t>剥采资产入账根据其所构成的现有资产的性质分类为有形资产和无形资产。当剥采资产与存货不能独立识别时，剥采成本会根据相应之生产标准分配至剥采资产及存货中。剥采资产将会在与其相关的已识别矿体组成部分的预期剩余使用寿命内计提折旧。</w:t>
      </w:r>
    </w:p>
    <w:p>
      <w:pPr>
        <w:pStyle w:val="Style178"/>
        <w:numPr>
          <w:ilvl w:val="0"/>
          <w:numId w:val="69"/>
        </w:numPr>
        <w:rPr>
          <w:rFonts w:ascii="宋体" w:hAnsi="宋体"/>
          <w:szCs w:val="21"/>
        </w:rPr>
      </w:pPr>
      <w:r>
        <w:rPr>
          <w:rFonts w:ascii="宋体" w:hAnsi="宋体" w:hint="eastAsia"/>
          <w:szCs w:val="21"/>
        </w:rPr>
        <w:t>土地塌陷、复原、重整及环保费</w:t>
      </w:r>
    </w:p>
    <w:p>
      <w:pPr>
        <w:ind w:firstLineChars="200" w:firstLine="420"/>
        <w:rPr>
          <w:rFonts w:ascii="宋体" w:hAnsi="宋体"/>
        </w:rPr>
      </w:pPr>
      <w:r>
        <w:rPr>
          <w:rFonts w:ascii="宋体" w:hAnsi="宋体" w:hint="eastAsia"/>
        </w:rPr>
        <w:t>本集团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pPr>
        <w:ind w:firstLineChars="200" w:firstLine="420"/>
        <w:rPr>
          <w:rFonts w:ascii="宋体" w:hAnsi="宋体"/>
        </w:rPr>
      </w:pPr>
      <w:r>
        <w:rPr>
          <w:rFonts w:ascii="宋体" w:hAnsi="宋体" w:hint="eastAsia"/>
        </w:rPr>
        <w:t>鉴于本集团支付搬迁费用及各项土地塌陷、复原、重整及环保费的时间与相应土地之下矿场的开采时间存在差异，故将由于预付与未来开采有关的土地征地搬迁费用等与支付数小于预提数而形成的与未来支付有关的预提土地塌陷征地、补偿、复原、环保等的差额作为一项流动资产或一项流动负债列报。</w:t>
      </w:r>
    </w:p>
    <w:p>
      <w:pPr>
        <w:pStyle w:val="Style178"/>
        <w:numPr>
          <w:ilvl w:val="0"/>
          <w:numId w:val="69"/>
        </w:numPr>
        <w:rPr>
          <w:rFonts w:ascii="宋体" w:hAnsi="宋体"/>
          <w:szCs w:val="21"/>
        </w:rPr>
      </w:pPr>
      <w:r>
        <w:rPr>
          <w:rFonts w:ascii="宋体" w:hAnsi="宋体" w:hint="eastAsia"/>
          <w:szCs w:val="21"/>
        </w:rPr>
        <w:t>专项储备</w:t>
      </w:r>
    </w:p>
    <w:p>
      <w:pPr>
        <w:ind w:firstLineChars="200" w:firstLine="420"/>
        <w:rPr>
          <w:rFonts w:ascii="宋体" w:hAnsi="宋体"/>
        </w:rPr>
      </w:pPr>
      <w:r>
        <w:rPr>
          <w:rFonts w:ascii="宋体" w:hAnsi="宋体" w:hint="eastAsia"/>
        </w:rPr>
        <w:t>（1）维持简单再生产费用</w:t>
      </w:r>
    </w:p>
    <w:p>
      <w:pPr>
        <w:ind w:firstLineChars="200" w:firstLine="420"/>
        <w:rPr>
          <w:rFonts w:ascii="宋体" w:hAnsi="宋体"/>
        </w:rPr>
      </w:pPr>
      <w:r>
        <w:rPr>
          <w:rFonts w:ascii="宋体" w:hAnsi="宋体" w:hint="eastAsia"/>
        </w:rPr>
        <w:t>根据财政部、国家煤矿安全生产监察局及有关政府部门的规定，本集团及中国境内涉及煤炭业务的子公司根据原煤产量计提维持简单再生产费用(以下简称“维简费”)，用于维持矿区生产以及设备改造等相关支出，各公司计提标准如下：</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3987"/>
      </w:tblGrid>
      <w:tr>
        <w:trPr>
          <w:trHeight w:val="397"/>
          <w:tblHeader/>
          <w:jc w:val="center"/>
        </w:trPr>
        <w:tc>
          <w:tcPr>
            <w:tcW w:w="2500" w:type="pct"/>
            <w:shd w:val="clear" w:color="auto" w:fill="auto"/>
            <w:vAlign w:val="center"/>
          </w:tcPr>
          <w:p>
            <w:pPr>
              <w:ind w:firstLineChars="200" w:firstLine="422"/>
              <w:jc w:val="center"/>
              <w:rPr>
                <w:rFonts w:ascii="宋体" w:hAnsi="宋体"/>
                <w:b/>
                <w:bCs/>
                <w:color w:val="000000"/>
              </w:rPr>
            </w:pPr>
            <w:r>
              <w:rPr>
                <w:rFonts w:ascii="宋体" w:hAnsi="宋体" w:hint="eastAsia"/>
                <w:b/>
                <w:bCs/>
                <w:color w:val="000000"/>
              </w:rPr>
              <w:t>公司名称</w:t>
            </w:r>
          </w:p>
        </w:tc>
        <w:tc>
          <w:tcPr>
            <w:tcW w:w="2500" w:type="pct"/>
            <w:shd w:val="clear" w:color="auto" w:fill="auto"/>
            <w:vAlign w:val="center"/>
          </w:tcPr>
          <w:p>
            <w:pPr>
              <w:ind w:firstLineChars="200" w:firstLine="422"/>
              <w:jc w:val="center"/>
              <w:rPr>
                <w:rFonts w:ascii="宋体" w:hAnsi="宋体"/>
                <w:b/>
                <w:bCs/>
                <w:color w:val="000000"/>
              </w:rPr>
            </w:pPr>
            <w:r>
              <w:rPr>
                <w:rFonts w:ascii="宋体" w:hAnsi="宋体" w:hint="eastAsia"/>
                <w:b/>
                <w:bCs/>
                <w:color w:val="000000"/>
              </w:rPr>
              <w:t>计提标准</w:t>
            </w:r>
          </w:p>
        </w:tc>
      </w:tr>
      <w:tr>
        <w:trPr>
          <w:trHeight w:val="397"/>
          <w:jc w:val="center"/>
        </w:trPr>
        <w:tc>
          <w:tcPr>
            <w:tcW w:w="2500" w:type="pct"/>
            <w:shd w:val="clear" w:color="auto" w:fill="auto"/>
            <w:noWrap/>
            <w:vAlign w:val="center"/>
          </w:tcPr>
          <w:p>
            <w:pPr>
              <w:ind w:firstLineChars="200" w:firstLine="420"/>
              <w:rPr>
                <w:rFonts w:ascii="宋体" w:hAnsi="宋体"/>
                <w:color w:val="000000"/>
              </w:rPr>
            </w:pPr>
            <w:r>
              <w:rPr>
                <w:rFonts w:ascii="宋体" w:hAnsi="宋体" w:hint="eastAsia"/>
                <w:color w:val="000000"/>
              </w:rPr>
              <w:t>本公司及中国境内山东、山西、新疆之子公司</w:t>
            </w:r>
          </w:p>
        </w:tc>
        <w:tc>
          <w:tcPr>
            <w:tcW w:w="2500" w:type="pct"/>
            <w:shd w:val="clear" w:color="auto" w:fill="auto"/>
            <w:noWrap/>
            <w:vAlign w:val="center"/>
          </w:tcPr>
          <w:p>
            <w:pPr>
              <w:ind w:firstLineChars="200" w:firstLine="420"/>
              <w:jc w:val="center"/>
              <w:rPr>
                <w:rFonts w:ascii="宋体" w:hAnsi="宋体"/>
                <w:color w:val="000000"/>
              </w:rPr>
            </w:pPr>
            <w:r>
              <w:rPr>
                <w:rFonts w:ascii="宋体" w:hAnsi="宋体" w:hint="eastAsia"/>
                <w:color w:val="000000"/>
              </w:rPr>
              <w:t>6元/吨、8.5元/吨</w:t>
            </w:r>
          </w:p>
        </w:tc>
      </w:tr>
      <w:tr>
        <w:trPr>
          <w:trHeight w:val="397"/>
          <w:jc w:val="center"/>
        </w:trPr>
        <w:tc>
          <w:tcPr>
            <w:tcW w:w="2500" w:type="pct"/>
            <w:shd w:val="clear" w:color="auto" w:fill="auto"/>
            <w:noWrap/>
            <w:vAlign w:val="center"/>
          </w:tcPr>
          <w:p>
            <w:pPr>
              <w:ind w:firstLineChars="200" w:firstLine="420"/>
              <w:rPr>
                <w:rFonts w:ascii="宋体" w:hAnsi="宋体"/>
                <w:color w:val="000000"/>
              </w:rPr>
            </w:pPr>
            <w:r>
              <w:rPr>
                <w:rFonts w:ascii="宋体" w:hAnsi="宋体" w:hint="eastAsia"/>
                <w:color w:val="000000"/>
              </w:rPr>
              <w:t>本公司所属中国境内内蒙古、陕西之子公司</w:t>
            </w:r>
          </w:p>
        </w:tc>
        <w:tc>
          <w:tcPr>
            <w:tcW w:w="2500" w:type="pct"/>
            <w:shd w:val="clear" w:color="auto" w:fill="auto"/>
            <w:noWrap/>
            <w:vAlign w:val="center"/>
          </w:tcPr>
          <w:p>
            <w:pPr>
              <w:ind w:firstLineChars="200" w:firstLine="420"/>
              <w:jc w:val="center"/>
              <w:rPr>
                <w:rFonts w:ascii="宋体" w:hAnsi="宋体"/>
                <w:color w:val="000000"/>
              </w:rPr>
            </w:pPr>
            <w:r>
              <w:rPr>
                <w:rFonts w:ascii="宋体" w:hAnsi="宋体" w:hint="eastAsia"/>
                <w:color w:val="000000"/>
              </w:rPr>
              <w:t>10.5元/吨</w:t>
            </w:r>
          </w:p>
        </w:tc>
      </w:tr>
    </w:tbl>
    <w:p>
      <w:pPr>
        <w:ind w:firstLineChars="200" w:firstLine="420"/>
        <w:rPr>
          <w:rFonts w:ascii="宋体" w:hAnsi="宋体"/>
        </w:rPr>
      </w:pPr>
    </w:p>
    <w:p>
      <w:pPr>
        <w:ind w:firstLineChars="200" w:firstLine="420"/>
        <w:rPr>
          <w:rFonts w:ascii="宋体" w:hAnsi="宋体"/>
        </w:rPr>
      </w:pPr>
      <w:r>
        <w:rPr>
          <w:rFonts w:ascii="宋体" w:hAnsi="宋体" w:hint="eastAsia"/>
        </w:rPr>
        <w:t>（2）安全生产费用</w:t>
      </w:r>
    </w:p>
    <w:p>
      <w:pPr>
        <w:ind w:firstLineChars="200" w:firstLine="420"/>
        <w:rPr>
          <w:rFonts w:ascii="宋体" w:hAnsi="宋体"/>
        </w:rPr>
      </w:pPr>
      <w:r>
        <w:rPr>
          <w:rFonts w:ascii="宋体" w:hAnsi="宋体" w:hint="eastAsia"/>
        </w:rPr>
        <w:t>根据财政部、国家安全生产监督管理总局、国家煤炭安全监察局及有关地方政府部门的规定，本集团及中国境内涉及煤炭业务的子公司根据原煤产量计提安全生产费用，用于煤炭生产设备和煤炭井巷建筑设施安全支出，各公司计提标准如下：</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2"/>
      </w:tblGrid>
      <w:tr>
        <w:trPr>
          <w:trHeight w:val="397"/>
          <w:tblHeader/>
          <w:jc w:val="center"/>
        </w:trPr>
        <w:tc>
          <w:tcPr>
            <w:tcW w:w="2500" w:type="pct"/>
            <w:shd w:val="clear" w:color="auto" w:fill="auto"/>
            <w:vAlign w:val="center"/>
          </w:tcPr>
          <w:p>
            <w:pPr>
              <w:ind w:firstLineChars="200" w:firstLine="422"/>
              <w:jc w:val="center"/>
              <w:rPr>
                <w:rFonts w:ascii="宋体" w:hAnsi="宋体"/>
                <w:b/>
                <w:bCs/>
                <w:color w:val="000000"/>
              </w:rPr>
            </w:pPr>
            <w:r>
              <w:rPr>
                <w:rFonts w:ascii="宋体" w:hAnsi="宋体" w:hint="eastAsia"/>
                <w:b/>
                <w:bCs/>
                <w:color w:val="000000"/>
              </w:rPr>
              <w:t>公司名称</w:t>
            </w:r>
          </w:p>
        </w:tc>
        <w:tc>
          <w:tcPr>
            <w:tcW w:w="2500" w:type="pct"/>
            <w:shd w:val="clear" w:color="auto" w:fill="auto"/>
            <w:vAlign w:val="center"/>
          </w:tcPr>
          <w:p>
            <w:pPr>
              <w:ind w:firstLineChars="200" w:firstLine="422"/>
              <w:jc w:val="center"/>
              <w:rPr>
                <w:rFonts w:ascii="宋体" w:hAnsi="宋体"/>
                <w:b/>
                <w:bCs/>
                <w:color w:val="000000"/>
              </w:rPr>
            </w:pPr>
            <w:r>
              <w:rPr>
                <w:rFonts w:ascii="宋体" w:hAnsi="宋体" w:hint="eastAsia"/>
                <w:b/>
                <w:bCs/>
                <w:color w:val="000000"/>
              </w:rPr>
              <w:t>计提标准</w:t>
            </w:r>
          </w:p>
        </w:tc>
      </w:tr>
      <w:tr>
        <w:trPr>
          <w:trHeight w:val="397"/>
          <w:jc w:val="center"/>
        </w:trPr>
        <w:tc>
          <w:tcPr>
            <w:tcW w:w="2500" w:type="pct"/>
            <w:shd w:val="clear" w:color="auto" w:fill="auto"/>
            <w:noWrap/>
            <w:vAlign w:val="center"/>
          </w:tcPr>
          <w:p>
            <w:pPr>
              <w:ind w:firstLineChars="200" w:firstLine="420"/>
              <w:rPr>
                <w:rFonts w:ascii="宋体" w:hAnsi="宋体"/>
                <w:color w:val="000000"/>
              </w:rPr>
            </w:pPr>
            <w:r>
              <w:rPr>
                <w:rFonts w:ascii="宋体" w:hAnsi="宋体" w:hint="eastAsia"/>
                <w:color w:val="000000"/>
              </w:rPr>
              <w:t>本公司及山东、山西境内子公司</w:t>
            </w:r>
          </w:p>
        </w:tc>
        <w:tc>
          <w:tcPr>
            <w:tcW w:w="2500" w:type="pct"/>
            <w:shd w:val="clear" w:color="auto" w:fill="auto"/>
            <w:noWrap/>
            <w:vAlign w:val="center"/>
          </w:tcPr>
          <w:p>
            <w:pPr>
              <w:ind w:firstLineChars="200" w:firstLine="420"/>
              <w:jc w:val="center"/>
              <w:rPr>
                <w:rFonts w:ascii="宋体" w:hAnsi="宋体"/>
                <w:color w:val="000000"/>
              </w:rPr>
            </w:pPr>
            <w:r>
              <w:rPr>
                <w:rFonts w:ascii="宋体" w:hAnsi="宋体" w:hint="eastAsia"/>
                <w:color w:val="000000"/>
              </w:rPr>
              <w:t>15元/吨、50元/吨</w:t>
            </w:r>
          </w:p>
        </w:tc>
      </w:tr>
      <w:tr>
        <w:trPr>
          <w:trHeight w:val="397"/>
          <w:jc w:val="center"/>
        </w:trPr>
        <w:tc>
          <w:tcPr>
            <w:tcW w:w="2500" w:type="pct"/>
            <w:shd w:val="clear" w:color="auto" w:fill="auto"/>
            <w:noWrap/>
            <w:vAlign w:val="center"/>
          </w:tcPr>
          <w:p>
            <w:pPr>
              <w:ind w:firstLineChars="200" w:firstLine="420"/>
              <w:rPr>
                <w:rFonts w:ascii="宋体" w:hAnsi="宋体"/>
                <w:color w:val="000000"/>
              </w:rPr>
            </w:pPr>
            <w:r>
              <w:rPr>
                <w:rFonts w:ascii="宋体" w:hAnsi="宋体" w:hint="eastAsia"/>
                <w:color w:val="000000"/>
              </w:rPr>
              <w:t>本公司之内蒙古、陕西境内子公司</w:t>
            </w:r>
          </w:p>
        </w:tc>
        <w:tc>
          <w:tcPr>
            <w:tcW w:w="2500" w:type="pct"/>
            <w:shd w:val="clear" w:color="auto" w:fill="auto"/>
            <w:noWrap/>
            <w:vAlign w:val="center"/>
          </w:tcPr>
          <w:p>
            <w:pPr>
              <w:ind w:firstLineChars="200" w:firstLine="420"/>
              <w:jc w:val="center"/>
              <w:rPr>
                <w:rFonts w:ascii="宋体" w:hAnsi="宋体"/>
                <w:color w:val="000000"/>
              </w:rPr>
            </w:pPr>
            <w:r>
              <w:rPr>
                <w:rFonts w:ascii="宋体" w:hAnsi="宋体" w:hint="eastAsia"/>
                <w:color w:val="000000"/>
              </w:rPr>
              <w:t>30元/吨、50元/吨</w:t>
            </w:r>
          </w:p>
        </w:tc>
      </w:tr>
      <w:tr>
        <w:trPr>
          <w:trHeight w:val="397"/>
          <w:jc w:val="center"/>
        </w:trPr>
        <w:tc>
          <w:tcPr>
            <w:tcW w:w="2500" w:type="pct"/>
            <w:shd w:val="clear" w:color="auto" w:fill="auto"/>
            <w:noWrap/>
            <w:vAlign w:val="center"/>
          </w:tcPr>
          <w:p>
            <w:pPr>
              <w:ind w:firstLineChars="200" w:firstLine="420"/>
              <w:rPr>
                <w:rFonts w:ascii="宋体" w:hAnsi="宋体"/>
                <w:color w:val="000000"/>
              </w:rPr>
            </w:pPr>
            <w:r>
              <w:rPr>
                <w:rFonts w:ascii="宋体" w:hAnsi="宋体" w:hint="eastAsia"/>
                <w:color w:val="000000"/>
              </w:rPr>
              <w:t>本公司之新疆境内子公司</w:t>
            </w:r>
          </w:p>
        </w:tc>
        <w:tc>
          <w:tcPr>
            <w:tcW w:w="2500" w:type="pct"/>
            <w:shd w:val="clear" w:color="auto" w:fill="auto"/>
            <w:noWrap/>
            <w:vAlign w:val="center"/>
          </w:tcPr>
          <w:p>
            <w:pPr>
              <w:ind w:firstLineChars="200" w:firstLine="420"/>
              <w:jc w:val="center"/>
              <w:rPr>
                <w:rFonts w:ascii="宋体" w:hAnsi="宋体"/>
                <w:color w:val="000000"/>
              </w:rPr>
            </w:pPr>
            <w:r>
              <w:rPr>
                <w:rFonts w:ascii="宋体" w:hAnsi="宋体" w:hint="eastAsia"/>
                <w:color w:val="000000"/>
              </w:rPr>
              <w:t>15元/吨、30元/吨、50元/吨</w:t>
            </w:r>
          </w:p>
        </w:tc>
      </w:tr>
    </w:tbl>
    <w:p>
      <w:pPr>
        <w:ind w:firstLineChars="200" w:firstLine="420"/>
        <w:rPr>
          <w:rFonts w:ascii="宋体" w:hAnsi="宋体"/>
        </w:rPr>
      </w:pPr>
    </w:p>
    <w:p>
      <w:pPr>
        <w:ind w:firstLineChars="200" w:firstLine="420"/>
        <w:rPr>
          <w:rFonts w:ascii="宋体" w:hAnsi="宋体"/>
        </w:rPr>
      </w:pPr>
      <w:r>
        <w:rPr>
          <w:rFonts w:ascii="宋体" w:hAnsi="宋体" w:hint="eastAsia"/>
        </w:rPr>
        <w:t>根据财政部、国家安全生产监督管理总局、国家煤炭安全监察局及有关地方政府部门的规定，自2019年9月1日起，冲击地压煤矿应当在国家规定的安全费用提取标准的基础上，按照每吨煤不少于15元加提安全费用。本集团及山东境内子公司所属冲击地压煤矿自2019年9月1日起，在国家规定的安全费用提取标准的基础上，按照每吨煤15元加提安全费用。</w:t>
      </w:r>
    </w:p>
    <w:p>
      <w:pPr>
        <w:ind w:firstLineChars="200" w:firstLine="420"/>
        <w:rPr>
          <w:rFonts w:ascii="宋体" w:hAnsi="宋体"/>
        </w:rPr>
      </w:pPr>
      <w:r>
        <w:rPr>
          <w:rFonts w:ascii="宋体" w:hAnsi="宋体" w:hint="eastAsia"/>
        </w:rPr>
        <w:t>2022年11月21日财政部发布《财政部安全生产费管理办法-财资（2022）136号》，规定自管理办法颁布之日起，冲击地压煤矿按照每吨煤50元计提安全生产费。</w:t>
      </w:r>
    </w:p>
    <w:p>
      <w:pPr>
        <w:ind w:firstLineChars="200" w:firstLine="420"/>
        <w:rPr>
          <w:rFonts w:ascii="宋体" w:hAnsi="宋体"/>
        </w:rPr>
      </w:pPr>
      <w:r>
        <w:rPr>
          <w:rFonts w:ascii="宋体" w:hAnsi="宋体" w:hint="eastAsia"/>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pPr>
        <w:ind w:firstLineChars="200" w:firstLine="420"/>
        <w:rPr>
          <w:rFonts w:ascii="宋体" w:hAnsi="宋体"/>
        </w:rPr>
      </w:pPr>
      <w:r>
        <w:rPr>
          <w:rFonts w:ascii="宋体" w:hAnsi="宋体" w:hint="eastAsia"/>
        </w:rPr>
        <w:t>（3）一般风险准备</w:t>
      </w:r>
    </w:p>
    <w:p>
      <w:pPr>
        <w:ind w:firstLineChars="200" w:firstLine="420"/>
        <w:rPr>
          <w:rFonts w:ascii="宋体" w:hAnsi="宋体"/>
        </w:rPr>
      </w:pPr>
      <w:r>
        <w:rPr>
          <w:rFonts w:ascii="宋体" w:hAnsi="宋体" w:hint="eastAsia"/>
        </w:rPr>
        <w:lastRenderedPageBreak/>
        <w:t>根据财政部《金融企业准备金计提管理办法》（财金〔2012〕20号）规定，本集团之子公司山东能源集团财务有限公司按照不低于风险资产资产负债表日余额的1.5%计提一般风险准备金。</w:t>
      </w:r>
    </w:p>
    <w:p>
      <w:pPr>
        <w:pStyle w:val="Style178"/>
        <w:numPr>
          <w:ilvl w:val="0"/>
          <w:numId w:val="69"/>
        </w:numPr>
        <w:rPr>
          <w:rFonts w:ascii="宋体" w:hAnsi="宋体"/>
          <w:szCs w:val="21"/>
        </w:rPr>
      </w:pPr>
      <w:bookmarkStart w:id="367" w:name="_Hlk533668053"/>
      <w:r>
        <w:rPr>
          <w:rFonts w:ascii="宋体" w:hAnsi="宋体" w:hint="eastAsia"/>
          <w:szCs w:val="21"/>
        </w:rPr>
        <w:t>收入</w:t>
      </w:r>
    </w:p>
    <w:p>
      <w:pPr>
        <w:pStyle w:val="Style179"/>
        <w:numPr>
          <w:ilvl w:val="3"/>
          <w:numId w:val="74"/>
        </w:numPr>
        <w:rPr>
          <w:rFonts w:ascii="宋体" w:eastAsia="宋体" w:hAnsi="宋体"/>
          <w:sz w:val="21"/>
          <w:szCs w:val="21"/>
        </w:rPr>
      </w:pPr>
      <w:r>
        <w:rPr>
          <w:rFonts w:ascii="宋体" w:eastAsia="宋体" w:hAnsi="宋体" w:hint="eastAsia"/>
          <w:sz w:val="21"/>
          <w:szCs w:val="21"/>
        </w:rPr>
        <w:t>按照业务类型披露收入确认和计量所采用的会计政策</w:t>
      </w:r>
    </w:p>
    <w:sdt>
      <w:sdtPr>
        <w:alias w:val="是否适用：收入确认和计量所采用的会计政策[双击切换]"/>
        <w:tag w:val="_GBC_58b9f76eca7b4d9d8e5c5dfd0fba5c09"/>
        <w:id w:val="-71273419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收入确认和计量所采用的会计政策"/>
        <w:tag w:val="_GBC_9ba2713a8f0a44ef9a4ee890aa13e0fb"/>
        <w:id w:val="1744602759"/>
        <w:placeholder>
          <w:docPart w:val="GBC22222222222222222222222222222"/>
        </w:placeholder>
      </w:sdtPr>
      <w:sdtContent>
        <w:p>
          <w:pPr>
            <w:ind w:firstLineChars="200" w:firstLine="420"/>
            <w:rPr>
              <w:rFonts w:ascii="宋体" w:hAnsi="宋体"/>
            </w:rPr>
          </w:pPr>
          <w:r>
            <w:rPr>
              <w:rFonts w:ascii="宋体" w:hAnsi="宋体" w:hint="eastAsia"/>
            </w:rPr>
            <w:t>本集团的营业收入包括销售煤炭、销售甲醇等煤制化工产品、销售电力及热力、销售矿用设备、机电设备、橡胶制品、辅助材料、大宗物资、贷款和租赁、物流运输等业务收入。</w:t>
          </w:r>
        </w:p>
        <w:p>
          <w:pPr>
            <w:ind w:firstLineChars="200" w:firstLine="420"/>
            <w:rPr>
              <w:rFonts w:ascii="宋体" w:hAnsi="宋体"/>
            </w:rPr>
          </w:pPr>
          <w:r>
            <w:rPr>
              <w:rFonts w:ascii="宋体" w:hAnsi="宋体" w:hint="eastAsia"/>
            </w:rPr>
            <w:t>本集团在履行了合同中的履约义务，即在客户取得相关商品或服务的控制权时，确认收入。</w:t>
          </w:r>
        </w:p>
        <w:p>
          <w:pPr>
            <w:ind w:firstLineChars="200" w:firstLine="420"/>
            <w:rPr>
              <w:rFonts w:ascii="宋体" w:hAnsi="宋体"/>
            </w:rPr>
          </w:pPr>
          <w:r>
            <w:rPr>
              <w:rFonts w:ascii="宋体" w:hAnsi="宋体" w:hint="eastAsia"/>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pPr>
            <w:ind w:firstLineChars="200" w:firstLine="420"/>
            <w:rPr>
              <w:rFonts w:ascii="宋体" w:hAnsi="宋体"/>
            </w:rPr>
          </w:pPr>
          <w:r>
            <w:rPr>
              <w:rFonts w:ascii="宋体" w:hAnsi="宋体" w:hint="eastAsia"/>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pPr>
            <w:ind w:firstLineChars="200" w:firstLine="420"/>
            <w:rPr>
              <w:rFonts w:ascii="宋体" w:hAnsi="宋体"/>
            </w:rPr>
          </w:pPr>
          <w:r>
            <w:rPr>
              <w:rFonts w:ascii="宋体" w:hAnsi="宋体" w:hint="eastAsia"/>
            </w:rPr>
            <w:t>满足下列条件之一时，本集团属于在某一段时间内履行履约义务，否则，属于在某一时点履行履约义务：</w:t>
          </w:r>
        </w:p>
        <w:p>
          <w:pPr>
            <w:ind w:firstLineChars="200" w:firstLine="420"/>
            <w:rPr>
              <w:rFonts w:ascii="宋体" w:hAnsi="宋体"/>
            </w:rPr>
          </w:pPr>
          <w:r>
            <w:rPr>
              <w:rFonts w:ascii="宋体" w:hAnsi="宋体" w:hint="eastAsia"/>
            </w:rPr>
            <w:t>1）客户在本集团履约的同时即取得并消耗本集团履约所带来的经济利益；</w:t>
          </w:r>
        </w:p>
        <w:p>
          <w:pPr>
            <w:ind w:firstLineChars="200" w:firstLine="420"/>
            <w:rPr>
              <w:rFonts w:ascii="宋体" w:hAnsi="宋体"/>
            </w:rPr>
          </w:pPr>
          <w:r>
            <w:rPr>
              <w:rFonts w:ascii="宋体" w:hAnsi="宋体" w:hint="eastAsia"/>
            </w:rPr>
            <w:t>2）客户能够控制本集团履约过程中在建的商品；</w:t>
          </w:r>
        </w:p>
        <w:p>
          <w:pPr>
            <w:ind w:firstLineChars="200" w:firstLine="420"/>
            <w:rPr>
              <w:rFonts w:ascii="宋体" w:hAnsi="宋体"/>
            </w:rPr>
          </w:pPr>
          <w:r>
            <w:rPr>
              <w:rFonts w:ascii="宋体" w:hAnsi="宋体" w:hint="eastAsia"/>
            </w:rPr>
            <w:t>3）本集团履约过程中所产出的商品具有不可替代用途，且本集团在整个合同期间内有权就累计至今已完成的履约部分收取款项。</w:t>
          </w:r>
        </w:p>
        <w:p>
          <w:pPr>
            <w:ind w:firstLineChars="200" w:firstLine="420"/>
            <w:rPr>
              <w:rFonts w:ascii="宋体" w:hAnsi="宋体"/>
            </w:rPr>
          </w:pPr>
          <w:r>
            <w:rPr>
              <w:rFonts w:ascii="宋体" w:hAnsi="宋体" w:hint="eastAsia"/>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pPr>
            <w:ind w:firstLineChars="200" w:firstLine="420"/>
            <w:rPr>
              <w:rFonts w:ascii="宋体" w:hAnsi="宋体"/>
            </w:rPr>
          </w:pPr>
          <w:r>
            <w:rPr>
              <w:rFonts w:ascii="宋体" w:hAnsi="宋体" w:hint="eastAsia"/>
            </w:rPr>
            <w:t>对于在某一时点履行的履约义务，本集团在客户取得相关商品或服务控制权时点确认收入。在判断客户是否已取得商品或服务控制权时，本集团会考虑下列迹象：</w:t>
          </w:r>
        </w:p>
        <w:p>
          <w:pPr>
            <w:ind w:firstLineChars="200" w:firstLine="420"/>
            <w:rPr>
              <w:rFonts w:ascii="宋体" w:hAnsi="宋体"/>
            </w:rPr>
          </w:pPr>
          <w:r>
            <w:rPr>
              <w:rFonts w:ascii="宋体" w:hAnsi="宋体" w:hint="eastAsia"/>
            </w:rPr>
            <w:t>1）本集团就该商品或服务享有现时收款权利；</w:t>
          </w:r>
        </w:p>
        <w:p>
          <w:pPr>
            <w:ind w:firstLineChars="200" w:firstLine="420"/>
            <w:rPr>
              <w:rFonts w:ascii="宋体" w:hAnsi="宋体"/>
            </w:rPr>
          </w:pPr>
          <w:r>
            <w:rPr>
              <w:rFonts w:ascii="宋体" w:hAnsi="宋体" w:hint="eastAsia"/>
            </w:rPr>
            <w:t>2）本集团已将该商品的法定所有权转移给客户；</w:t>
          </w:r>
        </w:p>
        <w:p>
          <w:pPr>
            <w:ind w:firstLineChars="200" w:firstLine="420"/>
            <w:rPr>
              <w:rFonts w:ascii="宋体" w:hAnsi="宋体"/>
            </w:rPr>
          </w:pPr>
          <w:r>
            <w:rPr>
              <w:rFonts w:ascii="宋体" w:hAnsi="宋体" w:hint="eastAsia"/>
            </w:rPr>
            <w:t>3）本集团已将该商品的实物转移给客户；</w:t>
          </w:r>
        </w:p>
        <w:p>
          <w:pPr>
            <w:ind w:firstLineChars="200" w:firstLine="420"/>
            <w:rPr>
              <w:rFonts w:ascii="宋体" w:hAnsi="宋体"/>
            </w:rPr>
          </w:pPr>
          <w:r>
            <w:rPr>
              <w:rFonts w:ascii="宋体" w:hAnsi="宋体" w:hint="eastAsia"/>
            </w:rPr>
            <w:t>4）本集团已将该商品所有权上的主要风险和报酬转移给客户；</w:t>
          </w:r>
        </w:p>
        <w:p>
          <w:pPr>
            <w:ind w:firstLineChars="200" w:firstLine="420"/>
            <w:rPr>
              <w:rFonts w:ascii="宋体" w:hAnsi="宋体"/>
            </w:rPr>
          </w:pPr>
          <w:r>
            <w:rPr>
              <w:rFonts w:ascii="宋体" w:hAnsi="宋体" w:hint="eastAsia"/>
            </w:rPr>
            <w:t>5）客户已接受该商品或服务等。</w:t>
          </w:r>
        </w:p>
        <w:p>
          <w:pPr>
            <w:ind w:firstLineChars="200" w:firstLine="420"/>
            <w:rPr>
              <w:rFonts w:ascii="宋体" w:hAnsi="宋体"/>
            </w:rPr>
          </w:pPr>
          <w:r>
            <w:rPr>
              <w:rFonts w:ascii="宋体" w:hAnsi="宋体" w:hint="eastAsia"/>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收对价总额扣除支付给其他相关方的价款后净额，或者按照既定的佣金额比例确定。本集团判断在向客户转让商品前能够控制该商品的情形包括：</w:t>
          </w:r>
        </w:p>
        <w:p>
          <w:pPr>
            <w:ind w:firstLineChars="200" w:firstLine="420"/>
            <w:rPr>
              <w:rFonts w:ascii="宋体" w:hAnsi="宋体"/>
            </w:rPr>
          </w:pPr>
          <w:r>
            <w:rPr>
              <w:rFonts w:ascii="宋体" w:hAnsi="宋体" w:hint="eastAsia"/>
            </w:rPr>
            <w:t>1）本集团自第三方取得商品或其他资产控制权后，再转让给客户；</w:t>
          </w:r>
        </w:p>
        <w:p>
          <w:pPr>
            <w:ind w:firstLineChars="200" w:firstLine="420"/>
            <w:rPr>
              <w:rFonts w:ascii="宋体" w:hAnsi="宋体"/>
            </w:rPr>
          </w:pPr>
          <w:r>
            <w:rPr>
              <w:rFonts w:ascii="宋体" w:hAnsi="宋体" w:hint="eastAsia"/>
            </w:rPr>
            <w:t>2）本集团能够主导第三方代表本集团向客户提供服务；</w:t>
          </w:r>
        </w:p>
        <w:p>
          <w:pPr>
            <w:ind w:firstLineChars="200" w:firstLine="420"/>
            <w:rPr>
              <w:rFonts w:ascii="宋体" w:hAnsi="宋体"/>
            </w:rPr>
          </w:pPr>
          <w:r>
            <w:rPr>
              <w:rFonts w:ascii="宋体" w:hAnsi="宋体" w:hint="eastAsia"/>
            </w:rPr>
            <w:t>3）本集团自第三方取得商品控制权后，通过提供重大的服务将该商品与其他整合成某组产出转让给客户。</w:t>
          </w:r>
        </w:p>
        <w:p>
          <w:pPr>
            <w:ind w:firstLineChars="200" w:firstLine="420"/>
            <w:rPr>
              <w:rFonts w:ascii="宋体" w:hAnsi="宋体"/>
            </w:rPr>
          </w:pPr>
          <w:r>
            <w:rPr>
              <w:rFonts w:ascii="宋体" w:hAnsi="宋体" w:hint="eastAsia"/>
            </w:rPr>
            <w:t>在具体判断向客户转让商品前是否拥有对该商品的控制权时，不仅局限于合同的法律形式，并综合考虑所有相关事实和情况，这些事实和情况包括：</w:t>
          </w:r>
        </w:p>
        <w:p>
          <w:pPr>
            <w:ind w:firstLineChars="200" w:firstLine="420"/>
            <w:rPr>
              <w:rFonts w:ascii="宋体" w:hAnsi="宋体"/>
            </w:rPr>
          </w:pPr>
          <w:r>
            <w:rPr>
              <w:rFonts w:ascii="宋体" w:hAnsi="宋体" w:hint="eastAsia"/>
            </w:rPr>
            <w:t>1）本集团承担向客户转让商品的主要责任；</w:t>
          </w:r>
        </w:p>
        <w:p>
          <w:pPr>
            <w:ind w:firstLineChars="200" w:firstLine="420"/>
            <w:rPr>
              <w:rFonts w:ascii="宋体" w:hAnsi="宋体"/>
            </w:rPr>
          </w:pPr>
          <w:r>
            <w:rPr>
              <w:rFonts w:ascii="宋体" w:hAnsi="宋体" w:hint="eastAsia"/>
            </w:rPr>
            <w:t>2）本集团在转让商品之前或之后承担了该商品的存货风险；</w:t>
          </w:r>
        </w:p>
        <w:p>
          <w:pPr>
            <w:ind w:firstLineChars="200" w:firstLine="420"/>
            <w:rPr>
              <w:rFonts w:ascii="宋体" w:hAnsi="宋体"/>
            </w:rPr>
          </w:pPr>
          <w:r>
            <w:rPr>
              <w:rFonts w:ascii="宋体" w:hAnsi="宋体" w:hint="eastAsia"/>
            </w:rPr>
            <w:t>3）本集团有权自主决定所交易商品的价格；</w:t>
          </w:r>
        </w:p>
        <w:p>
          <w:pPr>
            <w:ind w:firstLineChars="200" w:firstLine="420"/>
            <w:rPr>
              <w:rFonts w:ascii="宋体" w:hAnsi="宋体"/>
            </w:rPr>
          </w:pPr>
          <w:r>
            <w:rPr>
              <w:rFonts w:ascii="宋体" w:hAnsi="宋体" w:hint="eastAsia"/>
            </w:rPr>
            <w:lastRenderedPageBreak/>
            <w:t>4）其他相关事实和情况。</w:t>
          </w:r>
        </w:p>
        <w:p>
          <w:pPr>
            <w:ind w:firstLineChars="200" w:firstLine="420"/>
            <w:rPr>
              <w:rFonts w:ascii="宋体" w:hAnsi="宋体"/>
            </w:rPr>
          </w:pPr>
          <w:r>
            <w:rPr>
              <w:rFonts w:ascii="宋体" w:hAnsi="宋体" w:hint="eastAsia"/>
            </w:rPr>
            <w:t>本集团已向客户转让商品或服务而有权收取对价的权利(且该权利取决于时间流逝之外的其他因素)作为合同资产列示，合同资产以预期信用损失为基础计提减值（参见本附注“五、12（5）金融工具减值”）。本集团拥有的、无条件（仅取决于时间流逝）向客户收取对价的权利作为应收款项列示。本集团已收或应收客户对价而应向客户转让商品或服务的义务作为合同负债列示。</w:t>
          </w:r>
        </w:p>
        <w:p>
          <w:pPr>
            <w:ind w:firstLineChars="200" w:firstLine="420"/>
            <w:rPr>
              <w:rFonts w:ascii="宋体" w:hAnsi="宋体"/>
            </w:rPr>
          </w:pPr>
          <w:r>
            <w:rPr>
              <w:rFonts w:ascii="宋体" w:hAnsi="宋体" w:hint="eastAsia"/>
            </w:rPr>
            <w:t>与本集团取得收入的主要活动相关的具体会计政策描述如下：</w:t>
          </w:r>
        </w:p>
        <w:p>
          <w:pPr>
            <w:ind w:firstLineChars="200" w:firstLine="420"/>
            <w:rPr>
              <w:rFonts w:ascii="宋体" w:hAnsi="宋体"/>
            </w:rPr>
          </w:pPr>
          <w:r>
            <w:rPr>
              <w:rFonts w:ascii="宋体" w:hAnsi="宋体" w:hint="eastAsia"/>
            </w:rPr>
            <w:t>1）本集团煤炭、甲醇等化工产品、热力、矿用设备、机电设备、橡胶制品、辅助材料、大宗物资及其他商品在控制权转移给购货方时予以确认；</w:t>
          </w:r>
        </w:p>
        <w:p>
          <w:pPr>
            <w:ind w:firstLineChars="200" w:firstLine="420"/>
            <w:rPr>
              <w:rFonts w:ascii="宋体" w:hAnsi="宋体"/>
            </w:rPr>
          </w:pPr>
          <w:r>
            <w:rPr>
              <w:rFonts w:ascii="宋体" w:hAnsi="宋体" w:hint="eastAsia"/>
            </w:rPr>
            <w:t>2）本集团电力销售收入在电力供应至各电厂所在地的电网公司，电网公司取得电力的控制权时确认收入，并根据供电量及每年与有关各电力公司确定的适用电价计算；</w:t>
          </w:r>
        </w:p>
        <w:p>
          <w:pPr>
            <w:ind w:firstLineChars="200" w:firstLine="420"/>
            <w:rPr>
              <w:rFonts w:ascii="宋体" w:hAnsi="宋体"/>
            </w:rPr>
          </w:pPr>
          <w:r>
            <w:rPr>
              <w:rFonts w:ascii="宋体" w:hAnsi="宋体" w:hint="eastAsia"/>
            </w:rPr>
            <w:t>3）本集团出售房产开发产品的收入在房产开发产品完工并验收合格，签订具有法律约束力的销售合同，将房产开发产品的控制权转移给购买方时予以确认；</w:t>
          </w:r>
        </w:p>
        <w:p>
          <w:pPr>
            <w:ind w:firstLineChars="200" w:firstLine="420"/>
            <w:rPr>
              <w:rFonts w:ascii="宋体" w:hAnsi="宋体"/>
            </w:rPr>
          </w:pPr>
          <w:r>
            <w:rPr>
              <w:rFonts w:ascii="宋体" w:hAnsi="宋体" w:hint="eastAsia"/>
            </w:rPr>
            <w:t>4）本集团铁路、航运、公路以及其他服务收入在劳务完成时确认；</w:t>
          </w:r>
        </w:p>
        <w:p>
          <w:pPr>
            <w:ind w:firstLineChars="200" w:firstLine="420"/>
            <w:rPr>
              <w:rFonts w:ascii="宋体" w:hAnsi="宋体"/>
            </w:rPr>
          </w:pPr>
          <w:r>
            <w:rPr>
              <w:rFonts w:ascii="宋体" w:hAnsi="宋体" w:hint="eastAsia"/>
            </w:rPr>
            <w:t>5）本集团利息收入按借出货币资金的时间和实际利率计算确定。</w:t>
          </w:r>
        </w:p>
      </w:sdtContent>
    </w:sdt>
    <w:p>
      <w:pPr>
        <w:pStyle w:val="Style217"/>
      </w:pPr>
    </w:p>
    <w:p>
      <w:pPr>
        <w:pStyle w:val="Style179"/>
        <w:numPr>
          <w:ilvl w:val="3"/>
          <w:numId w:val="74"/>
        </w:numPr>
        <w:rPr>
          <w:rFonts w:ascii="宋体" w:eastAsia="宋体" w:hAnsi="宋体"/>
          <w:sz w:val="21"/>
          <w:szCs w:val="21"/>
        </w:rPr>
      </w:pPr>
      <w:bookmarkStart w:id="368" w:name="_Hlk533668087"/>
      <w:bookmarkEnd w:id="367"/>
      <w:r>
        <w:rPr>
          <w:rFonts w:ascii="宋体" w:eastAsia="宋体" w:hAnsi="宋体" w:hint="eastAsia"/>
          <w:sz w:val="21"/>
          <w:szCs w:val="21"/>
        </w:rPr>
        <w:t>同类业务采用不同经营模式涉及不同收入确认方式及计量方法</w:t>
      </w:r>
    </w:p>
    <w:sdt>
      <w:sdtPr>
        <w:alias w:val="是否适用：同类业务采用不同经营模式导致收入确认会计政策存在差异的情况[双击切换]"/>
        <w:tag w:val="_GBC_778cfed951bb4cf4997e2d67e4b1e3a9"/>
        <w:id w:val="142121137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69"/>
        </w:numPr>
        <w:rPr>
          <w:rFonts w:ascii="宋体" w:hAnsi="宋体"/>
          <w:szCs w:val="21"/>
        </w:rPr>
      </w:pPr>
      <w:bookmarkStart w:id="369" w:name="_Hlk533668133"/>
      <w:bookmarkEnd w:id="368"/>
      <w:r>
        <w:rPr>
          <w:rFonts w:ascii="宋体" w:hAnsi="宋体" w:hint="eastAsia"/>
          <w:szCs w:val="21"/>
        </w:rPr>
        <w:t>合同成本</w:t>
      </w:r>
    </w:p>
    <w:sdt>
      <w:sdtPr>
        <w:alias w:val="是否适用：合同成本_重要会计政策和估计[双击切换]"/>
        <w:tag w:val="_GBC_c5b4accd569d48e8a81ed05eb0bf64fb"/>
        <w:id w:val="49985992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rPr>
        <w:alias w:val="合同成本_重要会计政策和估计"/>
        <w:tag w:val="_GBC_74258d199b3d4540b8df00b35751b505"/>
        <w:id w:val="-463189484"/>
        <w:placeholder>
          <w:docPart w:val="GBC22222222222222222222222222222"/>
        </w:placeholder>
      </w:sdtPr>
      <w:sdtContent>
        <w:p>
          <w:pPr>
            <w:ind w:firstLineChars="200" w:firstLine="420"/>
            <w:rPr>
              <w:rFonts w:ascii="宋体" w:hAnsi="宋体"/>
            </w:rPr>
          </w:pPr>
          <w:r>
            <w:rPr>
              <w:rFonts w:ascii="宋体" w:hAnsi="宋体" w:hint="eastAsia"/>
            </w:rPr>
            <w:t>合同成本分为合同履约成本与合同取得成本。</w:t>
          </w:r>
        </w:p>
        <w:p>
          <w:pPr>
            <w:ind w:firstLineChars="200" w:firstLine="420"/>
            <w:rPr>
              <w:rFonts w:ascii="宋体" w:hAnsi="宋体"/>
            </w:rPr>
          </w:pPr>
          <w:r>
            <w:rPr>
              <w:rFonts w:ascii="宋体" w:hAnsi="宋体" w:hint="eastAsia"/>
            </w:rPr>
            <w:t>本集团企业为履行合同发生的成本同时满足下列条件的，作为合同履约成本确认为一项资产：</w:t>
          </w:r>
        </w:p>
        <w:p>
          <w:pPr>
            <w:ind w:firstLineChars="200" w:firstLine="420"/>
            <w:rPr>
              <w:rFonts w:ascii="宋体" w:hAnsi="宋体"/>
            </w:rPr>
          </w:pPr>
          <w:r>
            <w:rPr>
              <w:rFonts w:ascii="宋体" w:hAnsi="宋体" w:hint="eastAsia"/>
            </w:rPr>
            <w:t>（1）该成本与一份当前或预期取得的合同直接相关，包括直接人工、直接材料、制造费用（或类似费用）、明确由客户承担的成本以及仅因该合同而发生的其他成本；</w:t>
          </w:r>
        </w:p>
        <w:p>
          <w:pPr>
            <w:ind w:firstLineChars="200" w:firstLine="420"/>
            <w:rPr>
              <w:rFonts w:ascii="宋体" w:hAnsi="宋体"/>
            </w:rPr>
          </w:pPr>
          <w:r>
            <w:rPr>
              <w:rFonts w:ascii="宋体" w:hAnsi="宋体" w:hint="eastAsia"/>
            </w:rPr>
            <w:t>（2）该成本增加了企业未来用于履行履约义务的资源；</w:t>
          </w:r>
        </w:p>
        <w:p>
          <w:pPr>
            <w:ind w:firstLineChars="200" w:firstLine="420"/>
            <w:rPr>
              <w:rFonts w:ascii="宋体" w:hAnsi="宋体"/>
            </w:rPr>
          </w:pPr>
          <w:r>
            <w:rPr>
              <w:rFonts w:ascii="宋体" w:hAnsi="宋体" w:hint="eastAsia"/>
            </w:rPr>
            <w:t>（3）该成本预期能够收回。</w:t>
          </w:r>
        </w:p>
        <w:p>
          <w:pPr>
            <w:ind w:firstLineChars="200" w:firstLine="420"/>
            <w:rPr>
              <w:rFonts w:ascii="宋体" w:hAnsi="宋体"/>
            </w:rPr>
          </w:pPr>
          <w:r>
            <w:rPr>
              <w:rFonts w:ascii="宋体" w:hAnsi="宋体" w:hint="eastAsia"/>
            </w:rPr>
            <w:t>本集团为取得合同发生的增量成本预期能够收回的，作为合同取得成本确认为一项资产；但是，该资产摊销不超过一年的可以在发生时计入当期损益。</w:t>
          </w:r>
        </w:p>
        <w:p>
          <w:pPr>
            <w:ind w:firstLineChars="200" w:firstLine="420"/>
            <w:rPr>
              <w:rFonts w:ascii="宋体" w:hAnsi="宋体"/>
            </w:rPr>
          </w:pPr>
          <w:r>
            <w:rPr>
              <w:rFonts w:ascii="宋体" w:hAnsi="宋体" w:hint="eastAsia"/>
            </w:rPr>
            <w:t>与合同成本有关的资产采用与该资产相关的商品或服务收入确认相同的基础进行摊销。</w:t>
          </w:r>
        </w:p>
        <w:p>
          <w:pPr>
            <w:ind w:firstLineChars="200" w:firstLine="420"/>
            <w:rPr>
              <w:rFonts w:ascii="宋体" w:hAnsi="宋体"/>
            </w:rPr>
          </w:pPr>
          <w:r>
            <w:rPr>
              <w:rFonts w:ascii="宋体" w:hAnsi="宋体" w:hint="eastAsia"/>
            </w:rPr>
            <w:t>与合同成本有关的资产，其账面价值高于下列两项的差额的，本集团将对于超出部分计提减值准备，并确认为资产减值损失：</w:t>
          </w:r>
        </w:p>
        <w:p>
          <w:pPr>
            <w:ind w:firstLineChars="200" w:firstLine="420"/>
            <w:rPr>
              <w:rFonts w:ascii="宋体" w:hAnsi="宋体"/>
            </w:rPr>
          </w:pPr>
          <w:r>
            <w:rPr>
              <w:rFonts w:ascii="宋体" w:hAnsi="宋体" w:hint="eastAsia"/>
            </w:rPr>
            <w:t>（1）因转让与该资产相关的商品或服务预期能够取得的剩余对价；</w:t>
          </w:r>
        </w:p>
        <w:p>
          <w:pPr>
            <w:ind w:firstLineChars="200" w:firstLine="420"/>
            <w:rPr>
              <w:rFonts w:ascii="宋体" w:hAnsi="宋体"/>
            </w:rPr>
          </w:pPr>
          <w:r>
            <w:rPr>
              <w:rFonts w:ascii="宋体" w:hAnsi="宋体" w:hint="eastAsia"/>
            </w:rPr>
            <w:t>（2）为转让该相关商品或服务估计将要发生的成本。</w:t>
          </w:r>
        </w:p>
        <w:p>
          <w:pPr>
            <w:ind w:firstLineChars="200" w:firstLine="420"/>
            <w:rPr>
              <w:rFonts w:ascii="宋体" w:hAnsi="宋体"/>
            </w:rPr>
          </w:pPr>
          <w:r>
            <w:rPr>
              <w:rFonts w:ascii="宋体" w:hAnsi="宋体" w:hint="eastAsia"/>
            </w:rPr>
            <w:t>上述资产减值准备后续发生转回的，转回后的资产账面价值不超过假定不计提减值准备情况下该资产在转回日的账面价值。</w:t>
          </w:r>
        </w:p>
      </w:sdtContent>
    </w:sdt>
    <w:p>
      <w:pPr>
        <w:pStyle w:val="Style217"/>
      </w:pPr>
    </w:p>
    <w:p>
      <w:pPr>
        <w:pStyle w:val="Style178"/>
        <w:numPr>
          <w:ilvl w:val="0"/>
          <w:numId w:val="69"/>
        </w:numPr>
      </w:pPr>
      <w:bookmarkStart w:id="370" w:name="_Hlk533668149"/>
      <w:bookmarkEnd w:id="369"/>
      <w:r>
        <w:t>政府补助</w:t>
      </w:r>
    </w:p>
    <w:sdt>
      <w:sdtPr>
        <w:alias w:val="是否适用：政府补助_重要会计政策和估计[双击切换]"/>
        <w:tag w:val="_GBC_d8ac76c6a68c49fb952fadc0e46c9ef4"/>
        <w:id w:val="80882659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政府补助_重要会计政策和估计"/>
        <w:tag w:val="_GBC_cbcbe4da2edd4cf1b6108f1c89e035f7"/>
        <w:id w:val="651187521"/>
        <w:placeholder>
          <w:docPart w:val="GBC22222222222222222222222222222"/>
        </w:placeholder>
      </w:sdtPr>
      <w:sdtEndPr>
        <w:rPr>
          <w:rFonts w:ascii="宋体" w:hAnsi="宋体"/>
        </w:rPr>
      </w:sdtEndPr>
      <w:sdtContent>
        <w:p>
          <w:pPr>
            <w:ind w:firstLineChars="200" w:firstLine="420"/>
            <w:rPr>
              <w:rFonts w:ascii="宋体" w:hAnsi="宋体"/>
            </w:rPr>
          </w:pPr>
          <w:r>
            <w:rPr>
              <w:rFonts w:ascii="宋体" w:hAnsi="宋体" w:hint="eastAsia"/>
            </w:rPr>
            <w:t>政府补助在能够满足其所附的条件并且能够收到时，予以确认。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(1元)计量。</w:t>
          </w:r>
        </w:p>
        <w:p>
          <w:pPr>
            <w:ind w:firstLineChars="200" w:firstLine="420"/>
            <w:rPr>
              <w:rFonts w:ascii="宋体" w:hAnsi="宋体"/>
            </w:rPr>
          </w:pPr>
          <w:r>
            <w:rPr>
              <w:rFonts w:ascii="宋体" w:hAnsi="宋体" w:hint="eastAsia"/>
            </w:rPr>
            <w:t>本集团的政府补助包括与资产相关的政府补助、与收益相关的政府补助。其中，与资产相关的政府补助，是指本集团取得的、用于购建或以其他方式形成长期资产的政府补助；与收益相关</w:t>
          </w:r>
          <w:r>
            <w:rPr>
              <w:rFonts w:ascii="宋体" w:hAnsi="宋体" w:hint="eastAsia"/>
            </w:rPr>
            <w:lastRenderedPageBreak/>
            <w:t>的政府补助，是指除与资产相关的政府补助之外的政府补助。如果政府文件中未明确规定补助对象，本集团按照上述区分原则进行判断，难以区分的，整体归类为与收益相关的政府补助。</w:t>
          </w:r>
        </w:p>
        <w:p>
          <w:pPr>
            <w:ind w:firstLineChars="200" w:firstLine="420"/>
            <w:rPr>
              <w:rFonts w:ascii="宋体" w:hAnsi="宋体"/>
            </w:rPr>
          </w:pPr>
          <w:r>
            <w:rPr>
              <w:rFonts w:ascii="宋体" w:hAnsi="宋体" w:hint="eastAsia"/>
            </w:rPr>
            <w:t>与资产相关的政府补助确认为递延收益，在相关资产使用寿命内平均分配计入当期损益。相关资产在使用寿命结束前被出售、转让、报废或发生毁损的，将尚未分配的相关递延收益余额转入资产处置当期的损益。</w:t>
          </w:r>
        </w:p>
        <w:p>
          <w:pPr>
            <w:ind w:firstLineChars="200" w:firstLine="420"/>
            <w:rPr>
              <w:rFonts w:ascii="宋体" w:hAnsi="宋体"/>
            </w:rPr>
          </w:pPr>
          <w:r>
            <w:rPr>
              <w:rFonts w:ascii="宋体" w:hAnsi="宋体" w:hint="eastAsia"/>
            </w:rPr>
            <w:t>与收益相关的政府补助，用于补偿以后期间的相关成本费用或损失的，确认为递延收益，并在确认相关成本费用或损失的期间计入当期损益。与日常活动相关的政府补助，按照经济业务实质，计入其他收益或冲减相关成本费用。与日常活动无关的政府补助，计入营业外收支</w:t>
          </w:r>
        </w:p>
      </w:sdtContent>
    </w:sdt>
    <w:p>
      <w:pPr>
        <w:pStyle w:val="Style217"/>
      </w:pPr>
    </w:p>
    <w:bookmarkEnd w:id="370"/>
    <w:p>
      <w:pPr>
        <w:pStyle w:val="Style178"/>
        <w:numPr>
          <w:ilvl w:val="0"/>
          <w:numId w:val="69"/>
        </w:numPr>
      </w:pPr>
      <w:r>
        <w:t>递延所得税资产</w:t>
      </w:r>
      <w:r>
        <w:t>/</w:t>
      </w:r>
      <w:r>
        <w:t>递延所得税负债</w:t>
      </w:r>
    </w:p>
    <w:sdt>
      <w:sdtPr>
        <w:rPr>
          <w:rFonts w:hint="eastAsia"/>
        </w:rPr>
        <w:alias w:val="是否适用：所得税的会计处理方法[双击切换]"/>
        <w:tag w:val="_GBC_7e8295f4559b44568e5d37a6a605588c"/>
        <w:id w:val="-38071573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所得税的会计处理方法"/>
        <w:tag w:val="_GBC_545dd84ed2b9458fa5e2b87aa1e1cc1c"/>
        <w:id w:val="1204370477"/>
        <w:placeholder>
          <w:docPart w:val="GBC22222222222222222222222222222"/>
        </w:placeholder>
      </w:sdtPr>
      <w:sdtEndPr>
        <w:rPr>
          <w:rFonts w:ascii="宋体" w:hAnsi="宋体"/>
        </w:rPr>
      </w:sdtEndPr>
      <w:sdtContent>
        <w:p>
          <w:pPr>
            <w:ind w:firstLineChars="200" w:firstLine="420"/>
            <w:rPr>
              <w:rFonts w:ascii="宋体" w:hAnsi="宋体"/>
            </w:rPr>
          </w:pPr>
          <w:r>
            <w:rPr>
              <w:rFonts w:ascii="宋体" w:hAnsi="宋体" w:hint="eastAsia"/>
            </w:rPr>
            <w:t>本集团递延所得税资产和递延所得税负债根据资产和负债的计税基础与其账面价值之间的差额、以及未作为资产和负债确认但按照税法规定可以确定其计税基础的项目的计税基础与其账面价值之间的差额产生的(暂时性差异)计算确认。</w:t>
          </w:r>
        </w:p>
        <w:p>
          <w:pPr>
            <w:ind w:firstLineChars="200" w:firstLine="420"/>
            <w:rPr>
              <w:rFonts w:ascii="宋体" w:hAnsi="宋体"/>
            </w:rPr>
          </w:pPr>
          <w:r>
            <w:rPr>
              <w:rFonts w:ascii="宋体" w:hAnsi="宋体" w:hint="eastAsia"/>
            </w:rPr>
            <w:t>本集团对除以下情形外的所有应纳税暂时性差异确认递延所得税负债：（1）暂时性差异产生于商誉的初始确认或既不影响会计利润也不影响应纳税所得额(或可抵扣亏损)的非企业合并的交易中产生的资产或负债的初始确认；（2）与子公司、联营企业及合营企业投资相关的应纳税暂时性差异，本集团能够控制暂时性差异转回的时间且该暂时性差异在可预见的未来很可能不会转回的。</w:t>
          </w:r>
        </w:p>
        <w:p>
          <w:pPr>
            <w:ind w:firstLineChars="200" w:firstLine="420"/>
            <w:rPr>
              <w:rFonts w:ascii="宋体" w:hAnsi="宋体"/>
            </w:rPr>
          </w:pPr>
          <w:r>
            <w:rPr>
              <w:rFonts w:ascii="宋体" w:hAnsi="宋体" w:hint="eastAsia"/>
            </w:rPr>
            <w:t>本集团以很可能取得用来抵扣可抵扣暂时性差异、可抵扣亏损和税款抵减的未来应纳税所得额为限，对除以下情形外产生的可抵扣暂时性差异、可抵扣亏损和税款抵减确认递延所得税资产：（1）暂时性差异产生于既不影响会计利润也不影响应纳税所得额(或可抵扣亏损)的非企业合并的交易中产生的资产或负债的初始确认；（2）与子公司、联营企业及合营企业投资相关的可抵扣暂时性差异，不能同时满足以下条件的：暂时性差异在可预见的未来很可能转回、未来很可能获得用来抵扣可抵扣暂时性差异的应纳税所得额。</w:t>
          </w:r>
        </w:p>
        <w:p>
          <w:pPr>
            <w:ind w:firstLineChars="200" w:firstLine="420"/>
            <w:rPr>
              <w:rFonts w:ascii="宋体" w:hAnsi="宋体"/>
            </w:rPr>
          </w:pPr>
          <w:r>
            <w:rPr>
              <w:rFonts w:ascii="宋体" w:hAnsi="宋体" w:hint="eastAsia"/>
            </w:rPr>
            <w:t>本集团在很可能有足够的应纳税所得额用以抵扣可抵扣亏损的限度内，就所有尚未利用的可抵扣亏损确认递延所得税资产。管理层运用大量的判断来估计未来取得应纳税所得额的时间和金额，结合纳税筹划策略，决定应确认的递延所得税资产的金额，因此存在不确定性。</w:t>
          </w:r>
        </w:p>
        <w:p>
          <w:pPr>
            <w:ind w:firstLineChars="200" w:firstLine="420"/>
            <w:rPr>
              <w:rFonts w:ascii="宋体" w:hAnsi="宋体"/>
            </w:rPr>
          </w:pPr>
          <w:r>
            <w:rPr>
              <w:rFonts w:ascii="宋体" w:hAnsi="宋体" w:hint="eastAsia"/>
            </w:rPr>
            <w:t>于资产负债表日，递延所得税资产和递延所得税负债，按照预期收回该资产或清偿该负债期间的适用税率计量。</w:t>
          </w:r>
        </w:p>
        <w:p>
          <w:pPr>
            <w:ind w:firstLineChars="200" w:firstLine="420"/>
            <w:rPr>
              <w:rFonts w:ascii="宋体" w:hAnsi="宋体"/>
            </w:rPr>
          </w:pPr>
          <w:r>
            <w:rPr>
              <w:rFonts w:ascii="宋体" w:hAnsi="宋体" w:hint="eastAsia"/>
            </w:rPr>
            <w:t>在同时满足下列条件时，本集团将递延所得税资产及递延所得税负债以抵消后的净额列示：本集团拥有以净额结算当期所得税资产及当期递延所得税负债的法定权利；递延所得税资产和递延所得税负债是与同一税收征管部门对同一纳税主体征收的所得税相关或者对不同的纳税主体相关，但在未来每一具有重要性的递延所得税资产和递延所得税负债转回的期间内，涉及的纳税主体体意图以净额结算当期所得税资产及当期所得税负债或是同时取得资产、清偿债务。</w:t>
          </w:r>
        </w:p>
        <w:p>
          <w:pPr>
            <w:ind w:firstLineChars="200" w:firstLine="420"/>
            <w:rPr>
              <w:rFonts w:ascii="宋体" w:hAnsi="宋体"/>
            </w:rPr>
          </w:pPr>
          <w:r>
            <w:rPr>
              <w:rFonts w:ascii="宋体" w:hAnsi="宋体" w:hint="eastAsia"/>
            </w:rPr>
            <w:t>本集团对因单项交易而确认的租赁负债和使用权资产，以及确认的弃置义务相关预计负债和对应的相关资产，产生应纳税暂时性差异和可抵扣暂时性差异的，在交易发生时分别确认相应的递延所得税负债和递延所得税资产。</w:t>
          </w:r>
        </w:p>
      </w:sdtContent>
    </w:sdt>
    <w:p>
      <w:pPr>
        <w:pStyle w:val="Style217"/>
      </w:pPr>
    </w:p>
    <w:p>
      <w:pPr>
        <w:pStyle w:val="Style178"/>
        <w:numPr>
          <w:ilvl w:val="0"/>
          <w:numId w:val="69"/>
        </w:numPr>
      </w:pPr>
      <w:r>
        <w:t>租赁</w:t>
      </w:r>
    </w:p>
    <w:p>
      <w:pPr>
        <w:tabs>
          <w:tab w:val="left" w:pos="2326"/>
        </w:tabs>
      </w:pPr>
      <w:sdt>
        <w:sdtPr>
          <w:alias w:val="是否适用：租赁_重要会计政策和估计[双击切换]"/>
          <w:tag w:val="_GBC_6915a792f5f54d76bb3c5c2090ce337f"/>
          <w:id w:val="-396439320"/>
          <w:placeholder>
            <w:docPart w:val="GBC22222222222222222222222222222"/>
          </w:placeholder>
        </w:sdtPr>
        <w:sdtContent>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r>
        <w:tab/>
      </w:r>
    </w:p>
    <w:p>
      <w:pPr>
        <w:tabs>
          <w:tab w:val="left" w:pos="2326"/>
        </w:tabs>
        <w:ind w:firstLineChars="200" w:firstLine="420"/>
      </w:pPr>
      <w:r>
        <w:rPr>
          <w:rFonts w:hint="eastAsia"/>
        </w:rPr>
        <w:t>在合同开始日，本集团评估合同是否为租赁或者包含租赁。如果合同一方让渡了在一定期间内控制一项或多项已识别资产使用的权利以换取对价，则该合同为租赁或者包含租赁。合同中同时包含多项单独租赁的，本集团将合同予以分拆，并分别各项单独租赁进行会计处。合同中同时包含租赁和非租赁部分的，本集团将租赁和非租赁部分分拆后进行会计处。各租赁部分分别按照租赁准则进行会计处理，非租赁部分按照其他适用的企业会计准则进行会计处理。</w:t>
      </w:r>
    </w:p>
    <w:p>
      <w:pPr>
        <w:rPr>
          <w:rFonts w:ascii="Calibri" w:hAnsi="Calibri"/>
          <w:b/>
          <w:kern w:val="2"/>
          <w:szCs w:val="32"/>
        </w:rPr>
      </w:pPr>
      <w:r>
        <w:rPr>
          <w:rFonts w:ascii="Calibri" w:hAnsi="Calibri"/>
          <w:b/>
          <w:kern w:val="2"/>
          <w:szCs w:val="32"/>
        </w:rPr>
        <w:t>作为承租方对短期租赁和低价值资产租赁进行简化处理的判断依据和会计处理方法</w:t>
      </w:r>
    </w:p>
    <w:sdt>
      <w:sdtPr>
        <w:alias w:val="是否适用：作为承租方对短期租赁和低价值资产租赁进行简化处理的判断依据和会计处理方法[双击切换]"/>
        <w:tag w:val="_GBC_96c8873101a04b4ab58dc379b95e7de7"/>
        <w:id w:val="-129721392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作为承租方对短期租赁和低价值资产租赁进行简化处理的判断依据和会计处理方法"/>
        <w:tag w:val="_GBC_608ebcbb99ad40879d4235963013eef6"/>
        <w:id w:val="-460343684"/>
        <w:placeholder>
          <w:docPart w:val="GBC22222222222222222222222222222"/>
        </w:placeholder>
      </w:sdtPr>
      <w:sdtContent>
        <w:p>
          <w:pPr>
            <w:ind w:firstLineChars="200" w:firstLine="420"/>
            <w:rPr>
              <w:rFonts w:ascii="宋体" w:hAnsi="宋体"/>
            </w:rPr>
          </w:pPr>
          <w:r>
            <w:rPr>
              <w:rFonts w:ascii="宋体" w:hAnsi="宋体" w:hint="eastAsia"/>
            </w:rPr>
            <w:t>（1）租赁确认</w:t>
          </w:r>
        </w:p>
        <w:p>
          <w:pPr>
            <w:ind w:firstLineChars="200" w:firstLine="420"/>
            <w:rPr>
              <w:rFonts w:ascii="宋体" w:hAnsi="宋体"/>
            </w:rPr>
          </w:pPr>
          <w:r>
            <w:rPr>
              <w:rFonts w:ascii="宋体" w:hAnsi="宋体" w:hint="eastAsia"/>
            </w:rPr>
            <w:lastRenderedPageBreak/>
            <w:t>除了短期租赁和低价值资产租赁，在租赁期开始日，本集团对租赁确认使用权资产和租赁负债。</w:t>
          </w:r>
        </w:p>
        <w:p>
          <w:pPr>
            <w:ind w:firstLineChars="200" w:firstLine="420"/>
            <w:rPr>
              <w:rFonts w:ascii="宋体" w:hAnsi="宋体"/>
            </w:rPr>
          </w:pPr>
          <w:r>
            <w:rPr>
              <w:rFonts w:ascii="宋体" w:hAnsi="宋体" w:hint="eastAsia"/>
            </w:rPr>
            <w:t>使用权资产，是指本集团作为承租人可在租赁期内使用租赁资产的权利，按照成本进行初始计量。该成本包括：①租赁负债的初始计量金额；②在租赁期开始日或之前支付的租赁付款额扣除已享受的租赁激励相关金额；③发生的初始直接费用；④为拆卸及移除租赁资产、复原租赁资产所在场地或将租赁资产恢复至租赁条款约定状态预计将发生的成本（属于为生产存货而发生的除外）。本集团按照租赁准则有关规定重新计量租赁负债的，相应调整使用权资产的账面价值。</w:t>
          </w:r>
        </w:p>
        <w:p>
          <w:pPr>
            <w:ind w:firstLineChars="200" w:firstLine="420"/>
            <w:rPr>
              <w:rFonts w:ascii="宋体" w:hAnsi="宋体"/>
            </w:rPr>
          </w:pPr>
          <w:r>
            <w:rPr>
              <w:rFonts w:ascii="宋体" w:hAnsi="宋体" w:hint="eastAsia"/>
            </w:rPr>
            <w:t>本集团根据与使用权资产有关的经济利益的预期消耗方式以直线法对使用权资产计提折旧。能够合理确定租赁期届满时取得租赁资产所有权的，在租赁资产剩余使用寿命内计提折旧；无法合理确定租赁期届满时能够取得租赁资产所有权的，在租赁期与租赁资产剩余使用寿命两者孰短的期间内计提折旧。计提的折旧金额根据使用权资产的用途，计入相关资产的成本或者当期损益。</w:t>
          </w:r>
        </w:p>
        <w:p>
          <w:pPr>
            <w:ind w:firstLineChars="200" w:firstLine="420"/>
            <w:rPr>
              <w:rFonts w:ascii="宋体" w:hAnsi="宋体"/>
            </w:rPr>
          </w:pPr>
          <w:r>
            <w:rPr>
              <w:rFonts w:ascii="宋体" w:hAnsi="宋体" w:hint="eastAsia"/>
            </w:rPr>
            <w:t>本集团按照租赁期开始日尚未支付的租赁付款额的现值对租赁负债进行初始计量。租赁付款额包括：①固定付款额及实质固定付款额，扣除租赁激励相关金额；②取决于指数或比率的可变租赁付款额；③本集团合理确定将行使购买选择权时，购买选择权的行权价格；④租赁期反映出本集团将行使终止租赁选择权时，行使终止租赁选择权需支付的款项；⑤根据本集团提供的担保余值预计应支付的款项。</w:t>
          </w:r>
        </w:p>
        <w:p>
          <w:pPr>
            <w:ind w:firstLineChars="200" w:firstLine="420"/>
            <w:rPr>
              <w:rFonts w:ascii="宋体" w:hAnsi="宋体"/>
            </w:rPr>
          </w:pPr>
          <w:r>
            <w:rPr>
              <w:rFonts w:ascii="宋体" w:hAnsi="宋体" w:hint="eastAsia"/>
            </w:rPr>
            <w:t>在计算租赁付款额的现值时，本集团采用租赁内含利率作为折现率。本集团按照固定的周期性利率计算租赁负债在租赁期内各期间的利息费用，并计入当期损益，但应当资本化的除外。</w:t>
          </w:r>
        </w:p>
        <w:p>
          <w:pPr>
            <w:ind w:firstLineChars="200" w:firstLine="420"/>
            <w:rPr>
              <w:rFonts w:ascii="宋体" w:hAnsi="宋体"/>
            </w:rPr>
          </w:pPr>
          <w:r>
            <w:rPr>
              <w:rFonts w:ascii="宋体" w:hAnsi="宋体" w:hint="eastAsia"/>
            </w:rPr>
            <w:t>在租赁期开始日后，本集团确认租赁负债的利息时，增加租赁负债的账面金额；支付租赁付款额时，减少租赁负债的账面金额。当实质固定付款额发生变动、担保余值预计的应付金额发生变化、用于确定租赁付款额的指数或比率发生变动、购买选择权、续租选择权或终止选择权的评估结果或实际行权情况发生变化时，本集团按照变动后的租赁付款额的现值重新计量租赁负债。</w:t>
          </w:r>
        </w:p>
        <w:p>
          <w:pPr>
            <w:ind w:firstLineChars="200" w:firstLine="420"/>
            <w:rPr>
              <w:rFonts w:ascii="宋体" w:hAnsi="宋体"/>
            </w:rPr>
          </w:pPr>
          <w:r>
            <w:rPr>
              <w:rFonts w:ascii="宋体" w:hAnsi="宋体" w:hint="eastAsia"/>
            </w:rPr>
            <w:t>（2）短期租赁和低价值资产租赁</w:t>
          </w:r>
        </w:p>
        <w:p>
          <w:pPr>
            <w:ind w:firstLineChars="200" w:firstLine="420"/>
            <w:rPr>
              <w:rFonts w:ascii="宋体" w:hAnsi="宋体"/>
            </w:rPr>
          </w:pPr>
          <w:r>
            <w:rPr>
              <w:rFonts w:ascii="宋体" w:hAnsi="宋体" w:hint="eastAsia"/>
            </w:rPr>
            <w:t>对于租赁期不超过12个月的短期租赁和单项租赁资产为全新资产时价值较低的低价值资产租赁，本集团选择不确认使用权资产和租赁负债。本集团将短期租赁和低价值资产租赁的租赁付款额，在租赁期内各个期间按照直线法或其他系统合理的方法计入相关资产成本或当期损益。</w:t>
          </w:r>
        </w:p>
        <w:p>
          <w:pPr>
            <w:ind w:firstLineChars="200" w:firstLine="420"/>
            <w:rPr>
              <w:rFonts w:ascii="宋体" w:hAnsi="宋体"/>
            </w:rPr>
          </w:pPr>
          <w:r>
            <w:rPr>
              <w:rFonts w:ascii="宋体" w:hAnsi="宋体" w:hint="eastAsia"/>
            </w:rPr>
            <w:t>（3）售后回租</w:t>
          </w:r>
        </w:p>
        <w:p>
          <w:pPr>
            <w:ind w:firstLineChars="200" w:firstLine="420"/>
          </w:pPr>
          <w:r>
            <w:rPr>
              <w:rFonts w:ascii="宋体" w:hAnsi="宋体" w:hint="eastAsia"/>
            </w:rPr>
            <w:t>本集团作为售后租回交易中的卖方兼承租人，对相关标的资产转让是否构成销售进行评估。本集团判断不构成销售的，本集团继续确认被转让资产，同时确认一项与转让收入等的金融负债；构成销售的，本集团按原资产账面价值中与租回获得的使用权有关的部分，计量售后租回所形成的使用权资产，并仅就转让至出租人的权利确认相关利得或损失。</w:t>
          </w:r>
        </w:p>
      </w:sdtContent>
    </w:sdt>
    <w:p>
      <w:pPr>
        <w:rPr>
          <w:rFonts w:ascii="Calibri" w:hAnsi="Calibri"/>
          <w:kern w:val="2"/>
          <w:szCs w:val="32"/>
        </w:rPr>
      </w:pPr>
    </w:p>
    <w:p>
      <w:pPr>
        <w:rPr>
          <w:rFonts w:ascii="Calibri" w:hAnsi="Calibri"/>
          <w:b/>
          <w:kern w:val="2"/>
          <w:szCs w:val="32"/>
        </w:rPr>
      </w:pPr>
      <w:r>
        <w:rPr>
          <w:rFonts w:ascii="Calibri" w:hAnsi="Calibri"/>
          <w:b/>
          <w:kern w:val="2"/>
          <w:szCs w:val="32"/>
        </w:rPr>
        <w:t>作为出租方的租赁分类标准和会计处理方法</w:t>
      </w:r>
    </w:p>
    <w:sdt>
      <w:sdtPr>
        <w:alias w:val="是否适用：作为出租方的租赁分类标准和会计处理方法[双击切换]"/>
        <w:tag w:val="_GBC_4ce66446786b4db69563b4f1b2b86d89"/>
        <w:id w:val="39802206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作为出租方的租赁分类标准和会计处理方法"/>
        <w:tag w:val="_GBC_ca849938b2044c5a8ca6cd68a06181a3"/>
        <w:id w:val="1351990110"/>
        <w:placeholder>
          <w:docPart w:val="GBC22222222222222222222222222222"/>
        </w:placeholder>
      </w:sdtPr>
      <w:sdtContent>
        <w:p>
          <w:pPr>
            <w:ind w:firstLineChars="200" w:firstLine="420"/>
            <w:rPr>
              <w:rFonts w:ascii="宋体" w:hAnsi="宋体"/>
            </w:rPr>
          </w:pPr>
          <w:r>
            <w:rPr>
              <w:rFonts w:ascii="宋体" w:hAnsi="宋体" w:hint="eastAsia"/>
            </w:rPr>
            <w:t>本集团作为出租人，如果一项租赁实质上转移了与租赁资产所有权有关的几乎全部风险和报酬，本集团将该项租赁分类为融资租赁，除此之外分类为经营租赁。</w:t>
          </w:r>
        </w:p>
        <w:p>
          <w:pPr>
            <w:ind w:firstLineChars="200" w:firstLine="420"/>
            <w:rPr>
              <w:rFonts w:ascii="宋体" w:hAnsi="宋体"/>
            </w:rPr>
          </w:pPr>
          <w:r>
            <w:rPr>
              <w:rFonts w:ascii="宋体" w:hAnsi="宋体" w:hint="eastAsia"/>
            </w:rPr>
            <w:t>（1）融资租赁</w:t>
          </w:r>
        </w:p>
        <w:p>
          <w:pPr>
            <w:ind w:firstLineChars="200" w:firstLine="420"/>
            <w:rPr>
              <w:rFonts w:ascii="宋体" w:hAnsi="宋体"/>
            </w:rPr>
          </w:pPr>
          <w:r>
            <w:rPr>
              <w:rFonts w:ascii="宋体" w:hAnsi="宋体" w:hint="eastAsia"/>
            </w:rPr>
            <w:t>在租赁期开始日，本集团对融资租赁确认应收融资租赁款，并终止确认融资租赁资产。本集团对应收融资租赁款进行初始计量时，以租赁投资净额作为应收融资租赁款的入账价值。</w:t>
          </w:r>
        </w:p>
        <w:p>
          <w:pPr>
            <w:ind w:firstLineChars="200" w:firstLine="420"/>
            <w:rPr>
              <w:rFonts w:ascii="宋体" w:hAnsi="宋体"/>
            </w:rPr>
          </w:pPr>
          <w:r>
            <w:rPr>
              <w:rFonts w:ascii="宋体" w:hAnsi="宋体" w:hint="eastAsia"/>
            </w:rPr>
            <w:t>租赁投资净额为未担保余值和租赁期开始日尚未收到的租赁收款额按照租赁内含利率折现的现值之和。本集团按照固定的周期性利率计算并确认租赁期内各个期间的利息收入。本集团取得的未纳入租赁投资净额计量的可变租赁付款额在实际发生时计入当期损益。</w:t>
          </w:r>
        </w:p>
        <w:p>
          <w:pPr>
            <w:ind w:firstLineChars="200" w:firstLine="420"/>
            <w:rPr>
              <w:rFonts w:ascii="宋体" w:hAnsi="宋体"/>
            </w:rPr>
          </w:pPr>
          <w:r>
            <w:rPr>
              <w:rFonts w:ascii="宋体" w:hAnsi="宋体" w:hint="eastAsia"/>
            </w:rPr>
            <w:t>（2）经营租赁</w:t>
          </w:r>
        </w:p>
        <w:p>
          <w:pPr>
            <w:ind w:firstLineChars="200" w:firstLine="420"/>
            <w:rPr>
              <w:rFonts w:ascii="宋体" w:hAnsi="宋体"/>
            </w:rPr>
          </w:pPr>
          <w:r>
            <w:rPr>
              <w:rFonts w:ascii="宋体" w:hAnsi="宋体" w:hint="eastAsia"/>
            </w:rPr>
            <w:t>在租赁期内各个期间，本集团采用直线法将经营租赁的租赁收款额确认为租金收入。</w:t>
          </w:r>
        </w:p>
        <w:p>
          <w:pPr>
            <w:ind w:firstLineChars="200" w:firstLine="420"/>
            <w:rPr>
              <w:rFonts w:ascii="宋体" w:hAnsi="宋体"/>
            </w:rPr>
          </w:pPr>
          <w:r>
            <w:rPr>
              <w:rFonts w:ascii="宋体" w:hAnsi="宋体" w:hint="eastAsia"/>
            </w:rPr>
            <w:t>本集团发生的与经营租赁有关的初始直接费用资本化至租赁标的资产的成本，在租赁期内按照与租金收入相同的确认基础分期计入当期损益。本集团取得的与经营租赁有关的未计入租赁收款额的可变租赁付款额,在实际发生时计入当期损益。</w:t>
          </w:r>
        </w:p>
        <w:p>
          <w:pPr>
            <w:ind w:firstLineChars="200" w:firstLine="420"/>
          </w:pPr>
          <w:r>
            <w:rPr>
              <w:rFonts w:ascii="宋体" w:hAnsi="宋体" w:hint="eastAsia"/>
            </w:rPr>
            <w:t>经营租赁发生变更的，本集团自变更生效日开始，将其作为一项新的租赁进行会计处理，与变更前租赁有关的预收或应收租赁收款额视为新租赁的收款额。</w:t>
          </w:r>
        </w:p>
      </w:sdtContent>
    </w:sdt>
    <w:p>
      <w:pPr>
        <w:pStyle w:val="Style178"/>
        <w:numPr>
          <w:ilvl w:val="0"/>
          <w:numId w:val="69"/>
        </w:numPr>
      </w:pPr>
      <w:r>
        <w:rPr>
          <w:rFonts w:hint="eastAsia"/>
        </w:rPr>
        <w:lastRenderedPageBreak/>
        <w:t>持有待售</w:t>
      </w:r>
    </w:p>
    <w:p>
      <w:pPr>
        <w:ind w:firstLineChars="200" w:firstLine="420"/>
      </w:pPr>
      <w:r>
        <w:rPr>
          <w:rFonts w:hint="eastAsia"/>
        </w:rPr>
        <w:t>本集团主要通过出售（包括具有商业实质的非货币性资产交换，下同）而非持续使用一项非流动资产或处置组收回其账面价值的，将其划分为持有待售类别。</w:t>
      </w:r>
    </w:p>
    <w:p>
      <w:pPr>
        <w:ind w:firstLineChars="200" w:firstLine="420"/>
      </w:pPr>
      <w:r>
        <w:rPr>
          <w:rFonts w:hint="eastAsia"/>
        </w:rPr>
        <w:t>本集团将同时符合下列条件的非流动资产或处置组划分为持有待售：①根据类似交易中出售此类资产或处置组的惯例，在当前状况下即可立即出售；②出售极可能发生，即已经就一项出售计划作出决议且获得确定的购买承诺，预计出售将在一年内完成。有关规定要求相关权力机构或者监管部门批准后方可出售的需要获得相关批准。本集团持有的非流动资产或处置组账面价值高于公允价值减去出售费用后的净额的，将账面价值减记至公允价值减去出售费用后的净额，减记的金额确认为资产减值损失，计入当期损益，同时计提持有待售资产减值准备。</w:t>
      </w:r>
    </w:p>
    <w:p>
      <w:pPr>
        <w:ind w:firstLineChars="200" w:firstLine="420"/>
      </w:pPr>
      <w:r>
        <w:rPr>
          <w:rFonts w:hint="eastAsia"/>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pPr>
        <w:ind w:firstLineChars="200" w:firstLine="420"/>
      </w:pPr>
      <w:r>
        <w:rPr>
          <w:rFonts w:hint="eastAsia"/>
        </w:rPr>
        <w:t>持有待售的非流动资产或处置组中的非流动资产不计提折旧或摊销，持有待售的处置组中负债的利息和其他费用继续予以确认。</w:t>
      </w:r>
    </w:p>
    <w:p>
      <w:pPr>
        <w:ind w:firstLineChars="200" w:firstLine="420"/>
      </w:pPr>
      <w:r>
        <w:rPr>
          <w:rFonts w:hint="eastAsia"/>
        </w:rPr>
        <w:t>终止确认持有待售的非流动资产或处置组时，将尚未确认的利得或损失计入当期损益。</w:t>
      </w:r>
    </w:p>
    <w:p>
      <w:pPr>
        <w:pStyle w:val="Style178"/>
        <w:numPr>
          <w:ilvl w:val="0"/>
          <w:numId w:val="69"/>
        </w:numPr>
      </w:pPr>
      <w:r>
        <w:rPr>
          <w:rFonts w:hint="eastAsia"/>
        </w:rPr>
        <w:t>终止经营</w:t>
      </w:r>
    </w:p>
    <w:p>
      <w:pPr>
        <w:ind w:firstLineChars="200" w:firstLine="420"/>
      </w:pPr>
      <w:r>
        <w:rPr>
          <w:rFonts w:hint="eastAsia"/>
        </w:rPr>
        <w:t>终止经营，是指本集团满足下列条件之一的、能够单独区分的组成部分，且该组成部分已经处置或划分为持有待售类别：（</w:t>
      </w:r>
      <w:r>
        <w:rPr>
          <w:rFonts w:hint="eastAsia"/>
        </w:rPr>
        <w:t>1</w:t>
      </w:r>
      <w:r>
        <w:rPr>
          <w:rFonts w:hint="eastAsia"/>
        </w:rPr>
        <w:t>）该组成部分代表一项独立的主要业务或一个单独的主要经营地区；（</w:t>
      </w:r>
      <w:r>
        <w:rPr>
          <w:rFonts w:hint="eastAsia"/>
        </w:rPr>
        <w:t>2</w:t>
      </w:r>
      <w:r>
        <w:rPr>
          <w:rFonts w:hint="eastAsia"/>
        </w:rPr>
        <w:t>）该组成部分是拟对一项独立的主要业务或一个单独的主要经营地区进行处置的一项相关联计划的一部分；（</w:t>
      </w:r>
      <w:r>
        <w:rPr>
          <w:rFonts w:hint="eastAsia"/>
        </w:rPr>
        <w:t>3</w:t>
      </w:r>
      <w:r>
        <w:rPr>
          <w:rFonts w:hint="eastAsia"/>
        </w:rPr>
        <w:t>）该组成部分是专为转售而取得的子公司。</w:t>
      </w:r>
    </w:p>
    <w:p>
      <w:pPr>
        <w:pStyle w:val="Style178"/>
        <w:numPr>
          <w:ilvl w:val="0"/>
          <w:numId w:val="69"/>
        </w:numPr>
      </w:pPr>
      <w:r>
        <w:rPr>
          <w:rFonts w:hint="eastAsia"/>
        </w:rPr>
        <w:t>公允价值</w:t>
      </w:r>
    </w:p>
    <w:p>
      <w:pPr>
        <w:ind w:firstLineChars="200" w:firstLine="420"/>
        <w:rPr>
          <w:rFonts w:ascii="宋体" w:hAnsi="宋体"/>
        </w:rPr>
      </w:pPr>
      <w:r>
        <w:rPr>
          <w:rFonts w:ascii="宋体" w:hAnsi="宋体" w:hint="eastAsia"/>
        </w:rPr>
        <w:t>本集团于每个资产负债表日以公允价值计量投资性房地产、衍生金融工具和权益工具投资。公允价值，是指市场参与者在计量日发生的有序交易中，出售一项资产所能收到或者转移一项负债所需支付的价格。</w:t>
      </w:r>
    </w:p>
    <w:p>
      <w:pPr>
        <w:ind w:firstLineChars="200" w:firstLine="420"/>
        <w:rPr>
          <w:rFonts w:ascii="宋体" w:hAnsi="宋体"/>
        </w:rPr>
      </w:pPr>
      <w:r>
        <w:rPr>
          <w:rFonts w:ascii="宋体" w:hAnsi="宋体" w:hint="eastAsia"/>
        </w:rPr>
        <w:t>在财务报表中以公允价值计量或披露的资产和负债，根据对公允价值计量整体而言具有重要意义的最低层次输入值，确定所属的公允价值层次：第一层次输入值，在计量日能够取得的相同资产或负债在活跃市场上未经调整的报价；第二层次输入值，除第一层次输入值外相关资产或负债直接或间接可观察的输入值；第三层次输入值，相关资产或负债的不可观察输入值。</w:t>
      </w:r>
    </w:p>
    <w:p>
      <w:pPr>
        <w:ind w:firstLineChars="200" w:firstLine="420"/>
        <w:rPr>
          <w:rFonts w:ascii="宋体" w:hAnsi="宋体"/>
        </w:rPr>
      </w:pPr>
      <w:r>
        <w:rPr>
          <w:rFonts w:ascii="宋体" w:hAnsi="宋体" w:hint="eastAsia"/>
        </w:rPr>
        <w:t>对于在活跃市场上交易的金融工具，本集团以其活跃市场报价确定其公允价值；对于不在活跃市场上交易的金融工具，本集团采用估值技术确定其公允价值，所使用的估值模型主要为现金流量折现模型。估值技术的输入值主要包括：债权类为无风险利率、信用溢价和流动性溢价；股权类为估值乘数和流动性折价。</w:t>
      </w:r>
    </w:p>
    <w:p>
      <w:pPr>
        <w:ind w:firstLineChars="200" w:firstLine="420"/>
        <w:rPr>
          <w:rFonts w:ascii="宋体" w:hAnsi="宋体"/>
        </w:rPr>
      </w:pPr>
      <w:r>
        <w:rPr>
          <w:rFonts w:ascii="宋体" w:hAnsi="宋体" w:hint="eastAsia"/>
        </w:rPr>
        <w:t>第三层级的公允价值以本集团的评估模型为依据确定，例如现金流折现模型。本集团还会考虑初始交易价格，相同或类似金融工具的近期交易，或者可比金融工具的完全第三方交易。于2025年12月31日，以公允价值计量的第三层级金融资产在估值时使用贴现率等重大不可观察的输入值，但其公允价值对这些重大不可观察输入值的合理变动无重大敏感性。</w:t>
      </w:r>
    </w:p>
    <w:p>
      <w:pPr>
        <w:ind w:firstLineChars="200" w:firstLine="420"/>
        <w:rPr>
          <w:rFonts w:ascii="宋体" w:hAnsi="宋体"/>
        </w:rPr>
      </w:pPr>
      <w:r>
        <w:rPr>
          <w:rFonts w:ascii="宋体" w:hAnsi="宋体" w:hint="eastAsia"/>
        </w:rPr>
        <w:t>本集团采用市场法确定对非上市股权投资的公允价值。这要求本集团确定可比上市公司、选择市场乘数、对流动性折价进行估计等，因此具有不确定性。</w:t>
      </w:r>
    </w:p>
    <w:p>
      <w:pPr>
        <w:ind w:firstLineChars="200" w:firstLine="420"/>
        <w:rPr>
          <w:rFonts w:ascii="宋体" w:hAnsi="宋体"/>
        </w:rPr>
      </w:pPr>
      <w:r>
        <w:rPr>
          <w:rFonts w:ascii="宋体" w:hAnsi="宋体" w:hint="eastAsia"/>
        </w:rPr>
        <w:t>每个资产负债表日，本集团对在财务报表中确认的持续以公允价值计量的资产和负债进行重新评估，以确定是否在公允价值计量层次之间发生转换。</w:t>
      </w:r>
    </w:p>
    <w:p>
      <w:pPr>
        <w:pStyle w:val="Style178"/>
        <w:numPr>
          <w:ilvl w:val="0"/>
          <w:numId w:val="69"/>
        </w:numPr>
      </w:pPr>
      <w:r>
        <w:rPr>
          <w:rFonts w:hint="eastAsia"/>
        </w:rPr>
        <w:t>所得税的会计核算</w:t>
      </w:r>
    </w:p>
    <w:p>
      <w:pPr>
        <w:ind w:firstLineChars="200" w:firstLine="420"/>
      </w:pPr>
      <w:r>
        <w:rPr>
          <w:rFonts w:hint="eastAsia"/>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pPr>
        <w:ind w:firstLineChars="200" w:firstLine="420"/>
      </w:pPr>
      <w:r>
        <w:rPr>
          <w:rFonts w:hint="eastAsia"/>
        </w:rPr>
        <w:lastRenderedPageBreak/>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pPr>
        <w:pStyle w:val="Style178"/>
        <w:numPr>
          <w:ilvl w:val="0"/>
          <w:numId w:val="69"/>
        </w:numPr>
      </w:pPr>
      <w:r>
        <w:rPr>
          <w:rFonts w:hint="eastAsia"/>
        </w:rPr>
        <w:t>分部信息</w:t>
      </w:r>
    </w:p>
    <w:p>
      <w:pPr>
        <w:ind w:firstLineChars="200" w:firstLine="420"/>
        <w:rPr>
          <w:rFonts w:ascii="宋体" w:hAnsi="宋体"/>
        </w:rPr>
      </w:pPr>
      <w:r>
        <w:rPr>
          <w:rFonts w:ascii="宋体" w:hAnsi="宋体" w:hint="eastAsia"/>
        </w:rPr>
        <w:t>本集团以内部组织结构、管理要求、内部报告制度为依据确定经营分部，以经营分部为基础确定报告分部。经营分部，是指企业内同时满足下列条件的组成部分：</w:t>
      </w:r>
    </w:p>
    <w:p>
      <w:pPr>
        <w:ind w:firstLineChars="200" w:firstLine="420"/>
        <w:rPr>
          <w:rFonts w:ascii="宋体" w:hAnsi="宋体"/>
        </w:rPr>
      </w:pPr>
      <w:r>
        <w:rPr>
          <w:rFonts w:ascii="宋体" w:hAnsi="宋体" w:hint="eastAsia"/>
        </w:rPr>
        <w:t>（1）该组成部分能够在日常活动中产生收入、发生费用；</w:t>
      </w:r>
    </w:p>
    <w:p>
      <w:pPr>
        <w:ind w:firstLineChars="200" w:firstLine="420"/>
        <w:rPr>
          <w:rFonts w:ascii="宋体" w:hAnsi="宋体"/>
        </w:rPr>
      </w:pPr>
      <w:r>
        <w:rPr>
          <w:rFonts w:ascii="宋体" w:hAnsi="宋体" w:hint="eastAsia"/>
        </w:rPr>
        <w:t>（2）本集团管理层能够定期评价该组成部分的经营成果，以决定向其配置资源、评价其业绩；</w:t>
      </w:r>
    </w:p>
    <w:p>
      <w:pPr>
        <w:ind w:firstLineChars="200" w:firstLine="420"/>
        <w:rPr>
          <w:rFonts w:ascii="宋体" w:hAnsi="宋体"/>
        </w:rPr>
      </w:pPr>
      <w:r>
        <w:rPr>
          <w:rFonts w:ascii="宋体" w:hAnsi="宋体" w:hint="eastAsia"/>
        </w:rPr>
        <w:t>（3）本集团能够取得该组成部分的财务状况、经营成果和现金流量等有关会计信息。</w:t>
      </w:r>
    </w:p>
    <w:p>
      <w:pPr>
        <w:pStyle w:val="Style178"/>
        <w:numPr>
          <w:ilvl w:val="0"/>
          <w:numId w:val="69"/>
        </w:numPr>
      </w:pPr>
      <w:r>
        <w:rPr>
          <w:rFonts w:hint="eastAsia"/>
        </w:rPr>
        <w:t>套期业务的处理方法</w:t>
      </w:r>
    </w:p>
    <w:p>
      <w:pPr>
        <w:ind w:firstLineChars="200" w:firstLine="420"/>
        <w:rPr>
          <w:rFonts w:ascii="宋体" w:hAnsi="宋体"/>
        </w:rPr>
      </w:pPr>
      <w:r>
        <w:rPr>
          <w:rFonts w:ascii="宋体" w:hAnsi="宋体" w:hint="eastAsia"/>
        </w:rPr>
        <w:t>本集团使用衍生金融工具如远期外汇合约、利率掉期合约等对与外汇相关的风险及利率波动风险进行现金流量套期。</w:t>
      </w:r>
    </w:p>
    <w:p>
      <w:pPr>
        <w:ind w:firstLineChars="200" w:firstLine="420"/>
        <w:rPr>
          <w:rFonts w:ascii="宋体" w:hAnsi="宋体"/>
        </w:rPr>
      </w:pPr>
      <w:r>
        <w:rPr>
          <w:rFonts w:ascii="宋体" w:hAnsi="宋体" w:hint="eastAsia"/>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pPr>
        <w:ind w:firstLineChars="200" w:firstLine="420"/>
        <w:rPr>
          <w:rFonts w:ascii="宋体" w:hAnsi="宋体"/>
        </w:rPr>
      </w:pPr>
      <w:r>
        <w:rPr>
          <w:rFonts w:ascii="宋体" w:hAnsi="宋体" w:hint="eastAsia"/>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pPr>
        <w:ind w:firstLineChars="200" w:firstLine="420"/>
        <w:rPr>
          <w:rFonts w:ascii="宋体" w:hAnsi="宋体"/>
        </w:rPr>
      </w:pPr>
      <w:r>
        <w:rPr>
          <w:rFonts w:ascii="宋体" w:hAnsi="宋体" w:hint="eastAsia"/>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pPr>
        <w:pStyle w:val="Style178"/>
        <w:numPr>
          <w:ilvl w:val="0"/>
          <w:numId w:val="69"/>
        </w:numPr>
      </w:pPr>
      <w:r>
        <w:rPr>
          <w:rFonts w:hint="eastAsia"/>
        </w:rPr>
        <w:t>其他重要的会计政策和会计估计</w:t>
      </w:r>
    </w:p>
    <w:sdt>
      <w:sdtPr>
        <w:rPr>
          <w:rFonts w:hint="eastAsia"/>
        </w:rPr>
        <w:alias w:val="是否适用：其他重要的会计政策和会计估计[双击切换]"/>
        <w:tag w:val="_GBC_b463c26b00e64f799c5b85b2c1c805fb"/>
        <w:id w:val="152798861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其他主要会计政策会计估计和会计报表的编制方法"/>
        <w:tag w:val="_GBC_5cf318d9d3d148c4af010cce77bc955d"/>
        <w:id w:val="1921915026"/>
        <w:placeholder>
          <w:docPart w:val="GBC22222222222222222222222222222"/>
        </w:placeholder>
      </w:sdtPr>
      <w:sdtContent>
        <w:p>
          <w:pPr>
            <w:ind w:firstLineChars="200" w:firstLine="420"/>
            <w:rPr>
              <w:rFonts w:ascii="宋体" w:hAnsi="宋体"/>
            </w:rPr>
          </w:pPr>
          <w:r>
            <w:rPr>
              <w:rFonts w:ascii="宋体" w:hAnsi="宋体" w:hint="eastAsia"/>
            </w:rPr>
            <w:t>本集团在运用上述的会计政策过程中，由于经营活动内在的不确定性，本集团需要对无法准确计量的报表项目的账面价值进行判断、估计和假设。这些判断、估计和假设是基于本集团管理层过去的历史经验，并在考虑其他相关因素的基础上作出的。实际的结果可能与本集团的估计存在差异。</w:t>
          </w:r>
        </w:p>
        <w:p>
          <w:pPr>
            <w:ind w:firstLineChars="200" w:firstLine="420"/>
            <w:rPr>
              <w:rFonts w:ascii="宋体" w:hAnsi="宋体"/>
            </w:rPr>
          </w:pPr>
          <w:r>
            <w:rPr>
              <w:rFonts w:ascii="宋体" w:hAnsi="宋体" w:hint="eastAsia"/>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pPr>
            <w:ind w:firstLineChars="200" w:firstLine="420"/>
            <w:rPr>
              <w:rFonts w:ascii="宋体" w:hAnsi="宋体"/>
            </w:rPr>
          </w:pPr>
          <w:r>
            <w:rPr>
              <w:rFonts w:ascii="宋体" w:hAnsi="宋体" w:hint="eastAsia"/>
            </w:rPr>
            <w:t>资产负债表日，会计估计中很可能导致未来期间资产、负债账面价值作出重大调整的关键假设和不确定性主要有：</w:t>
          </w:r>
        </w:p>
        <w:p>
          <w:pPr>
            <w:ind w:firstLineChars="200" w:firstLine="420"/>
            <w:rPr>
              <w:rFonts w:ascii="宋体" w:hAnsi="宋体"/>
            </w:rPr>
          </w:pPr>
          <w:r>
            <w:rPr>
              <w:rFonts w:ascii="宋体" w:hAnsi="宋体" w:hint="eastAsia"/>
            </w:rPr>
            <w:t>（1）折旧和摊销</w:t>
          </w:r>
        </w:p>
        <w:p>
          <w:pPr>
            <w:ind w:firstLineChars="200" w:firstLine="420"/>
            <w:rPr>
              <w:rFonts w:ascii="宋体" w:hAnsi="宋体"/>
            </w:rPr>
          </w:pPr>
          <w:r>
            <w:rPr>
              <w:rFonts w:ascii="宋体" w:hAnsi="宋体" w:hint="eastAsia"/>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pPr>
            <w:ind w:firstLineChars="200" w:firstLine="420"/>
            <w:rPr>
              <w:rFonts w:ascii="宋体" w:hAnsi="宋体"/>
            </w:rPr>
          </w:pPr>
          <w:r>
            <w:rPr>
              <w:rFonts w:ascii="宋体" w:hAnsi="宋体" w:hint="eastAsia"/>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pPr>
            <w:ind w:firstLineChars="200" w:firstLine="420"/>
            <w:rPr>
              <w:rFonts w:ascii="宋体" w:hAnsi="宋体"/>
            </w:rPr>
          </w:pPr>
          <w:r>
            <w:rPr>
              <w:rFonts w:ascii="宋体" w:hAnsi="宋体" w:hint="eastAsia"/>
            </w:rPr>
            <w:t>（2）土地塌陷、复垦、重整及环保义务</w:t>
          </w:r>
        </w:p>
        <w:p>
          <w:pPr>
            <w:ind w:firstLineChars="200" w:firstLine="420"/>
            <w:rPr>
              <w:rFonts w:ascii="宋体" w:hAnsi="宋体"/>
            </w:rPr>
          </w:pPr>
          <w:r>
            <w:rPr>
              <w:rFonts w:ascii="宋体" w:hAnsi="宋体" w:hint="eastAsia"/>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w:t>
          </w:r>
          <w:r>
            <w:rPr>
              <w:rFonts w:ascii="宋体" w:hAnsi="宋体" w:hint="eastAsia"/>
            </w:rPr>
            <w:lastRenderedPageBreak/>
            <w:t>取决于其与未来生产活动的相关和估计确定的可靠程度，针对流动与非流动复垦准备相应确认当期损益或计入相关资产。</w:t>
          </w:r>
        </w:p>
        <w:p>
          <w:pPr>
            <w:ind w:firstLineChars="200" w:firstLine="420"/>
            <w:rPr>
              <w:rFonts w:ascii="宋体" w:hAnsi="宋体"/>
            </w:rPr>
          </w:pPr>
          <w:r>
            <w:rPr>
              <w:rFonts w:ascii="宋体" w:hAnsi="宋体" w:hint="eastAsia"/>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Pr>
              <w:rFonts w:ascii="Batang" w:eastAsia="Batang" w:hAnsi="Batang" w:cs="Batang" w:hint="eastAsia"/>
            </w:rPr>
            <w:t>行</w:t>
          </w:r>
          <w:r>
            <w:rPr>
              <w:rFonts w:ascii="宋体" w:hAnsi="宋体" w:cs="宋体" w:hint="eastAsia"/>
            </w:rPr>
            <w:t>，对未来土地及环境的影响变得明显的情况下，有关土地塌陷、复垦、重整及环保费成本的估计可能需不时修订。</w:t>
          </w:r>
        </w:p>
        <w:p>
          <w:pPr>
            <w:ind w:firstLineChars="200" w:firstLine="420"/>
            <w:rPr>
              <w:rFonts w:ascii="宋体" w:hAnsi="宋体"/>
            </w:rPr>
          </w:pPr>
          <w:r>
            <w:rPr>
              <w:rFonts w:ascii="宋体" w:hAnsi="宋体" w:hint="eastAsia"/>
            </w:rPr>
            <w:t>（3）非金融长期资产减值</w:t>
          </w:r>
        </w:p>
        <w:p>
          <w:pPr>
            <w:ind w:firstLineChars="200" w:firstLine="420"/>
            <w:rPr>
              <w:rFonts w:ascii="宋体" w:hAnsi="宋体"/>
            </w:rPr>
          </w:pPr>
          <w:r>
            <w:rPr>
              <w:rFonts w:ascii="宋体" w:hAnsi="宋体" w:hint="eastAsia"/>
            </w:rPr>
            <w:t>如本附注“五、30长期资产减值”所述，本集团在资产负债表日对非金融资产进行减值评估，以确定资产可收回金额是否下跌至低于其账面价值。如果情况显示该资产的账面价值超过其可收回金额，其差额确认为减值损失。</w:t>
          </w:r>
        </w:p>
        <w:p>
          <w:pPr>
            <w:ind w:firstLineChars="200" w:firstLine="420"/>
            <w:rPr>
              <w:rFonts w:ascii="宋体" w:hAnsi="宋体"/>
            </w:rPr>
          </w:pPr>
          <w:r>
            <w:rPr>
              <w:rFonts w:ascii="宋体" w:hAnsi="宋体" w:hint="eastAsia"/>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经营成本、资本性支出以及计算现值时使用的折现率等做出重大判断。本集团在估计可收回金额时会采用所有能够获得的相关资料，根据过往经验及对市场发展之预测来估计，可能与之后期间实际结果不同。</w:t>
          </w:r>
        </w:p>
        <w:p>
          <w:pPr>
            <w:ind w:firstLineChars="200" w:firstLine="420"/>
            <w:rPr>
              <w:rFonts w:ascii="宋体" w:hAnsi="宋体"/>
            </w:rPr>
          </w:pPr>
          <w:r>
            <w:rPr>
              <w:rFonts w:ascii="宋体" w:hAnsi="宋体" w:hint="eastAsia"/>
            </w:rPr>
            <w:t>（4）金融资产分类</w:t>
          </w:r>
        </w:p>
        <w:p>
          <w:pPr>
            <w:ind w:firstLineChars="200" w:firstLine="420"/>
            <w:rPr>
              <w:rFonts w:ascii="宋体" w:hAnsi="宋体"/>
            </w:rPr>
          </w:pPr>
          <w:r>
            <w:rPr>
              <w:rFonts w:ascii="宋体" w:hAnsi="宋体" w:hint="eastAsia"/>
            </w:rPr>
            <w:t>本集团在确定金融资产的分类时涉及的重大判断包括业务模式及合同现金流量特征的分析等。</w:t>
          </w:r>
        </w:p>
        <w:p>
          <w:pPr>
            <w:ind w:firstLineChars="200" w:firstLine="420"/>
            <w:rPr>
              <w:rFonts w:ascii="宋体" w:hAnsi="宋体"/>
            </w:rPr>
          </w:pPr>
          <w:r>
            <w:rPr>
              <w:rFonts w:ascii="宋体" w:hAnsi="宋体" w:hint="eastAsia"/>
            </w:rPr>
            <w:t>本集团在金融资产组合的层次上确定管理金融资产的业务模式，考虑的因素包括评价和向关键管理人员报告金融资产业绩的方式、影响金融资产业绩的风险及其管理方式、以及相关业务管理人员获得报酬的方式等。</w:t>
          </w:r>
        </w:p>
        <w:p>
          <w:pPr>
            <w:ind w:firstLineChars="200" w:firstLine="420"/>
            <w:rPr>
              <w:rFonts w:ascii="宋体" w:hAnsi="宋体"/>
            </w:rPr>
          </w:pPr>
          <w:r>
            <w:rPr>
              <w:rFonts w:ascii="宋体" w:hAnsi="宋体" w:hint="eastAsia"/>
            </w:rPr>
            <w:t>本集团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pPr>
            <w:ind w:firstLineChars="200" w:firstLine="420"/>
            <w:rPr>
              <w:rFonts w:ascii="宋体" w:hAnsi="宋体"/>
            </w:rPr>
          </w:pPr>
          <w:r>
            <w:rPr>
              <w:rFonts w:ascii="宋体" w:hAnsi="宋体" w:hint="eastAsia"/>
            </w:rPr>
            <w:t>（5）预期信用损失的计量</w:t>
          </w:r>
        </w:p>
        <w:p>
          <w:pPr>
            <w:ind w:firstLineChars="200" w:firstLine="420"/>
            <w:rPr>
              <w:rFonts w:ascii="宋体" w:hAnsi="宋体"/>
            </w:rPr>
          </w:pPr>
          <w:r>
            <w:rPr>
              <w:rFonts w:ascii="宋体" w:hAnsi="宋体" w:hint="eastAsia"/>
            </w:rPr>
            <w:t>本集团对以摊余成本计量的金融资产、以公允价值计量且其变动计入其他综合收益的债务工具投资、应收融资租赁款、应收账款、合同资产以及信用承诺，使用预期信用损失模型计量其减值准备；其中涉及关键定义、参数和假设的建立和定期复核，例如对未来的宏观经济情况和债务人的信用行为的估计(例如，客户违约的可能性及相应损失)。对预期信用损失的计量存在许多重大判断，例如：将具有类似信用风险特征的业务划入同一个组合，选择恰当的计量模型，并确定计量相关的关键参数；信用风险显著增加、违约和已发生信用减值的判断标准；用于前瞻性计量的经济指标、经济情景及其权重的采用。</w:t>
          </w:r>
        </w:p>
        <w:p>
          <w:pPr>
            <w:ind w:firstLineChars="200" w:firstLine="420"/>
            <w:rPr>
              <w:rFonts w:ascii="宋体" w:hAnsi="宋体"/>
            </w:rPr>
          </w:pPr>
          <w:r>
            <w:rPr>
              <w:rFonts w:ascii="宋体" w:hAnsi="宋体" w:hint="eastAsia"/>
            </w:rPr>
            <w:t>（6）金融工具的公允价值</w:t>
          </w:r>
        </w:p>
        <w:p>
          <w:pPr>
            <w:ind w:firstLineChars="200" w:firstLine="420"/>
            <w:rPr>
              <w:rFonts w:ascii="宋体" w:hAnsi="宋体"/>
            </w:rPr>
          </w:pPr>
          <w:r>
            <w:rPr>
              <w:rFonts w:ascii="宋体" w:hAnsi="宋体" w:hint="eastAsia"/>
            </w:rPr>
            <w:t>对于不存在活跃市场的金融工具，本集团采用估值技术确定其公允价值。估值技术包括：使用熟悉情况的交易各方自愿进行的近期公平市场交易(若可获得)，参照本质相同的其他金融工具的现行公允价值，折现现金流量分析和期权定价模型。在可行的情况下，估值技术尽可能使用市场参数。然而，当缺乏市场参数时，管理层需就自身和交易对手的信用风险、市场波动率、相关性等方面作出估计。这些相关假设的变化会对金融工具的公允价值产生影响。</w:t>
          </w:r>
        </w:p>
        <w:p>
          <w:pPr>
            <w:ind w:firstLineChars="200" w:firstLine="420"/>
            <w:rPr>
              <w:rFonts w:ascii="宋体" w:hAnsi="宋体"/>
            </w:rPr>
          </w:pPr>
          <w:r>
            <w:rPr>
              <w:rFonts w:ascii="宋体" w:hAnsi="宋体" w:hint="eastAsia"/>
            </w:rPr>
            <w:t>（7）企业合并中采用的公允价值</w:t>
          </w:r>
        </w:p>
        <w:p>
          <w:pPr>
            <w:ind w:firstLineChars="200" w:firstLine="420"/>
            <w:rPr>
              <w:rFonts w:ascii="宋体" w:hAnsi="宋体"/>
            </w:rPr>
          </w:pPr>
          <w:r>
            <w:rPr>
              <w:rFonts w:ascii="宋体" w:hAnsi="宋体" w:hint="eastAsia"/>
            </w:rPr>
            <w:t>非同一控制下企业合并中所取得的被购买方的可辨认资产、负债在收购日的公允价值计量，本集团采用了估值模型，包括使用收益现值法评估探矿权资产、使用重置成本法评估房屋建筑物和设备、使用市场法评估土地等。未来现金流量预测中涉及关键假设及参数，包括投产日期的假设、矿权资产剩余可使用年限的估计、矿产售价的估计、折现率的估计等。</w:t>
          </w:r>
        </w:p>
        <w:p>
          <w:pPr>
            <w:ind w:firstLineChars="200" w:firstLine="420"/>
            <w:rPr>
              <w:rFonts w:ascii="宋体" w:hAnsi="宋体"/>
            </w:rPr>
          </w:pPr>
          <w:r>
            <w:rPr>
              <w:rFonts w:ascii="宋体" w:hAnsi="宋体" w:hint="eastAsia"/>
            </w:rPr>
            <w:t>同一控制下企业合并或有对价的公允价值初始计量，本集团采用了估算模型，包括影响业绩因素的假设、业绩承诺期间实现利润的金额和概率估计，以及折现率的估计。</w:t>
          </w:r>
        </w:p>
        <w:p>
          <w:pPr>
            <w:ind w:firstLineChars="200" w:firstLine="420"/>
            <w:rPr>
              <w:rFonts w:ascii="宋体" w:hAnsi="宋体"/>
            </w:rPr>
          </w:pPr>
          <w:r>
            <w:rPr>
              <w:rFonts w:ascii="宋体" w:hAnsi="宋体" w:hint="eastAsia"/>
            </w:rPr>
            <w:t>（8）税项</w:t>
          </w:r>
        </w:p>
        <w:p>
          <w:pPr>
            <w:ind w:firstLineChars="200" w:firstLine="420"/>
            <w:rPr>
              <w:rFonts w:ascii="宋体" w:hAnsi="宋体"/>
            </w:rPr>
          </w:pPr>
          <w:r>
            <w:rPr>
              <w:rFonts w:ascii="宋体" w:hAnsi="宋体" w:hint="eastAsia"/>
            </w:rPr>
            <w:lastRenderedPageBreak/>
            <w:t>本集团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pPr>
            <w:ind w:firstLineChars="200" w:firstLine="420"/>
          </w:pPr>
          <w:r>
            <w:rPr>
              <w:rFonts w:ascii="宋体" w:hAnsi="宋体" w:hint="eastAsia"/>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sdtContent>
    </w:sdt>
    <w:p>
      <w:pPr>
        <w:pStyle w:val="Style217"/>
      </w:pPr>
    </w:p>
    <w:p>
      <w:pPr>
        <w:pStyle w:val="Style178"/>
        <w:numPr>
          <w:ilvl w:val="0"/>
          <w:numId w:val="69"/>
        </w:numPr>
      </w:pPr>
      <w:r>
        <w:rPr>
          <w:rFonts w:hint="eastAsia"/>
        </w:rPr>
        <w:t>重要</w:t>
      </w:r>
      <w:r>
        <w:t>会计政策</w:t>
      </w:r>
      <w:r>
        <w:rPr>
          <w:rFonts w:hint="eastAsia"/>
        </w:rPr>
        <w:t>和</w:t>
      </w:r>
      <w:r>
        <w:t>会计估计的变更</w:t>
      </w:r>
    </w:p>
    <w:p>
      <w:pPr>
        <w:pStyle w:val="Style217"/>
      </w:pPr>
      <w:bookmarkStart w:id="371" w:name="_Hlk190174246"/>
      <w:r>
        <w:rPr>
          <w:rFonts w:hint="eastAsia"/>
        </w:rPr>
        <w:t>详见“重要事项”的“公司对会计政策、会计估计变更或重大会计差错更正原因和影响的分析说明”。</w:t>
      </w:r>
    </w:p>
    <w:p>
      <w:pPr>
        <w:pStyle w:val="Style217"/>
      </w:pPr>
    </w:p>
    <w:p>
      <w:pPr>
        <w:pStyle w:val="Style178"/>
        <w:numPr>
          <w:ilvl w:val="0"/>
          <w:numId w:val="69"/>
        </w:numPr>
      </w:pPr>
      <w:bookmarkStart w:id="372" w:name="_Hlk10465969"/>
      <w:bookmarkStart w:id="373" w:name="_Hlk24100246"/>
      <w:bookmarkEnd w:id="371"/>
      <w:bookmarkEnd w:id="372"/>
      <w:r>
        <w:rPr>
          <w:rFonts w:asciiTheme="majorEastAsia" w:eastAsiaTheme="majorEastAsia" w:hAnsiTheme="majorEastAsia"/>
        </w:rPr>
        <w:t>2025</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40414026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69"/>
        </w:numPr>
      </w:pPr>
      <w:bookmarkStart w:id="374" w:name="_Hlk24100423"/>
      <w:bookmarkEnd w:id="373"/>
      <w:bookmarkEnd w:id="374"/>
      <w:r>
        <w:rPr>
          <w:rFonts w:hint="eastAsia"/>
        </w:rPr>
        <w:t>其他</w:t>
      </w:r>
    </w:p>
    <w:sdt>
      <w:sdtPr>
        <w:rPr>
          <w:rFonts w:hint="eastAsia"/>
        </w:rPr>
        <w:alias w:val="是否适用：公司主要会计政策、会计估计和前期差错的其他说明[双击切换]"/>
        <w:tag w:val="_GBC_bcb348c2b015461e9de30ce69ad888ae"/>
        <w:id w:val="-104913852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rPr>
      </w:pPr>
      <w:r>
        <w:rPr>
          <w:rFonts w:hint="eastAsia"/>
        </w:rPr>
        <w:t>税项</w:t>
      </w:r>
    </w:p>
    <w:p>
      <w:pPr>
        <w:pStyle w:val="Style178"/>
        <w:tabs>
          <w:tab w:val="left" w:pos="546"/>
        </w:tabs>
      </w:pPr>
      <w:r>
        <w:rPr>
          <w:rFonts w:hint="eastAsia"/>
        </w:rPr>
        <w:t>1</w:t>
      </w:r>
      <w:r>
        <w:rPr>
          <w:rFonts w:hint="eastAsia"/>
        </w:rPr>
        <w:t>、</w:t>
      </w:r>
      <w:r>
        <w:t>主要税种及税率</w:t>
      </w:r>
    </w:p>
    <w:p>
      <w:pPr>
        <w:pStyle w:val="Style217"/>
      </w:pPr>
      <w:r>
        <w:t>主要税种及税率</w:t>
      </w:r>
      <w:r>
        <w:rPr>
          <w:rFonts w:hint="eastAsia"/>
        </w:rPr>
        <w:t>情况</w:t>
      </w:r>
    </w:p>
    <w:sdt>
      <w:sdtPr>
        <w:alias w:val="是否适用：主要税种及税率情况 [双击切换]"/>
        <w:tag w:val="_GBC_f900f926144b41b9ba020b5a24aff3c0"/>
        <w:id w:val="-156131506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1"/>
        <w:gridCol w:w="3145"/>
        <w:gridCol w:w="3121"/>
      </w:tblGrid>
      <w:tr>
        <w:sdt>
          <w:sdtPr>
            <w:tag w:val="_PLD_b5758c089ae1414f99b1cc36321c29a1"/>
            <w:id w:val="-1839453010"/>
          </w:sdtPr>
          <w:sdtContent>
            <w:tc>
              <w:tcPr>
                <w:tcW w:w="2781" w:type="dxa"/>
                <w:vAlign w:val="center"/>
              </w:tcPr>
              <w:p>
                <w:pPr>
                  <w:jc w:val="center"/>
                </w:pPr>
                <w:r>
                  <w:t>税种</w:t>
                </w:r>
              </w:p>
            </w:tc>
          </w:sdtContent>
        </w:sdt>
        <w:sdt>
          <w:sdtPr>
            <w:tag w:val="_PLD_0e1599c84a4d47cc8f6f9b3d3069a1bd"/>
            <w:id w:val="1901391420"/>
          </w:sdtPr>
          <w:sdtContent>
            <w:tc>
              <w:tcPr>
                <w:tcW w:w="3145" w:type="dxa"/>
                <w:vAlign w:val="center"/>
              </w:tcPr>
              <w:p>
                <w:pPr>
                  <w:jc w:val="center"/>
                </w:pPr>
                <w:r>
                  <w:t>计税依据</w:t>
                </w:r>
              </w:p>
            </w:tc>
          </w:sdtContent>
        </w:sdt>
        <w:sdt>
          <w:sdtPr>
            <w:tag w:val="_PLD_74e07bcec6714b078c64caa53447462a"/>
            <w:id w:val="-618924627"/>
          </w:sdtPr>
          <w:sdtContent>
            <w:tc>
              <w:tcPr>
                <w:tcW w:w="3121" w:type="dxa"/>
                <w:vAlign w:val="center"/>
              </w:tcPr>
              <w:p>
                <w:pPr>
                  <w:jc w:val="center"/>
                </w:pPr>
                <w:r>
                  <w:t>税率</w:t>
                </w:r>
              </w:p>
            </w:tc>
          </w:sdtContent>
        </w:sdt>
      </w:tr>
      <w:tr>
        <w:tc>
          <w:tcPr>
            <w:tcW w:w="2781" w:type="dxa"/>
            <w:vAlign w:val="center"/>
          </w:tcPr>
          <w:p>
            <w:pPr>
              <w:jc w:val="center"/>
              <w:rPr>
                <w:rFonts w:ascii="宋体" w:hAnsi="宋体"/>
              </w:rPr>
            </w:pPr>
            <w:r>
              <w:rPr>
                <w:rFonts w:ascii="宋体" w:hAnsi="宋体" w:hint="eastAsia"/>
              </w:rPr>
              <w:t>增值税</w:t>
            </w:r>
          </w:p>
        </w:tc>
        <w:tc>
          <w:tcPr>
            <w:tcW w:w="3145" w:type="dxa"/>
            <w:vAlign w:val="center"/>
          </w:tcPr>
          <w:p>
            <w:pPr>
              <w:jc w:val="center"/>
              <w:rPr>
                <w:rFonts w:ascii="宋体" w:hAnsi="宋体"/>
              </w:rPr>
            </w:pPr>
            <w:r>
              <w:rPr>
                <w:rFonts w:ascii="宋体" w:hAnsi="宋体" w:hint="eastAsia"/>
              </w:rPr>
              <w:t>按税法规定计算的销售货物和应税劳务收入为基础计算销项税额，在扣除当期允许抵扣的进项税额后，差额部分为应缴增值税</w:t>
            </w:r>
          </w:p>
        </w:tc>
        <w:tc>
          <w:tcPr>
            <w:tcW w:w="3121" w:type="dxa"/>
            <w:vAlign w:val="center"/>
          </w:tcPr>
          <w:p>
            <w:pPr>
              <w:jc w:val="center"/>
              <w:rPr>
                <w:rFonts w:ascii="宋体" w:hAnsi="宋体"/>
              </w:rPr>
            </w:pPr>
            <w:r>
              <w:rPr>
                <w:rFonts w:ascii="宋体" w:hAnsi="宋体" w:hint="eastAsia"/>
              </w:rPr>
              <w:t>3%、5%、6%、9%、13%</w:t>
            </w:r>
          </w:p>
        </w:tc>
      </w:tr>
      <w:tr>
        <w:tc>
          <w:tcPr>
            <w:tcW w:w="2781" w:type="dxa"/>
            <w:vAlign w:val="center"/>
          </w:tcPr>
          <w:p>
            <w:pPr>
              <w:jc w:val="center"/>
              <w:rPr>
                <w:rFonts w:ascii="宋体" w:hAnsi="宋体"/>
              </w:rPr>
            </w:pPr>
            <w:r>
              <w:rPr>
                <w:rFonts w:ascii="宋体" w:hAnsi="宋体" w:hint="eastAsia"/>
              </w:rPr>
              <w:t>城市维护建设税</w:t>
            </w:r>
          </w:p>
        </w:tc>
        <w:tc>
          <w:tcPr>
            <w:tcW w:w="3145" w:type="dxa"/>
            <w:vAlign w:val="center"/>
          </w:tcPr>
          <w:p>
            <w:pPr>
              <w:jc w:val="center"/>
              <w:rPr>
                <w:rFonts w:ascii="宋体" w:hAnsi="宋体"/>
              </w:rPr>
            </w:pPr>
            <w:r>
              <w:rPr>
                <w:rFonts w:ascii="宋体" w:hAnsi="宋体" w:hint="eastAsia"/>
              </w:rPr>
              <w:t>按实际缴纳增值税计征</w:t>
            </w:r>
          </w:p>
        </w:tc>
        <w:tc>
          <w:tcPr>
            <w:tcW w:w="3121" w:type="dxa"/>
            <w:vAlign w:val="center"/>
          </w:tcPr>
          <w:p>
            <w:pPr>
              <w:jc w:val="center"/>
              <w:rPr>
                <w:rFonts w:ascii="宋体" w:hAnsi="宋体"/>
              </w:rPr>
            </w:pPr>
            <w:r>
              <w:rPr>
                <w:rFonts w:ascii="宋体" w:hAnsi="宋体" w:hint="eastAsia"/>
              </w:rPr>
              <w:t>1%、5%、7%</w:t>
            </w:r>
          </w:p>
        </w:tc>
      </w:tr>
      <w:tr>
        <w:tc>
          <w:tcPr>
            <w:tcW w:w="2781" w:type="dxa"/>
            <w:vAlign w:val="center"/>
          </w:tcPr>
          <w:p>
            <w:pPr>
              <w:jc w:val="center"/>
              <w:rPr>
                <w:rFonts w:ascii="宋体" w:hAnsi="宋体"/>
              </w:rPr>
            </w:pPr>
            <w:r>
              <w:rPr>
                <w:rFonts w:ascii="宋体" w:hAnsi="宋体" w:hint="eastAsia"/>
              </w:rPr>
              <w:t>教育费附加</w:t>
            </w:r>
          </w:p>
        </w:tc>
        <w:tc>
          <w:tcPr>
            <w:tcW w:w="3145" w:type="dxa"/>
            <w:vAlign w:val="center"/>
          </w:tcPr>
          <w:p>
            <w:pPr>
              <w:jc w:val="center"/>
              <w:rPr>
                <w:rFonts w:ascii="宋体" w:hAnsi="宋体"/>
              </w:rPr>
            </w:pPr>
            <w:r>
              <w:rPr>
                <w:rFonts w:ascii="宋体" w:hAnsi="宋体" w:hint="eastAsia"/>
              </w:rPr>
              <w:t>按实际缴纳增值税计征</w:t>
            </w:r>
          </w:p>
        </w:tc>
        <w:tc>
          <w:tcPr>
            <w:tcW w:w="3121" w:type="dxa"/>
            <w:vAlign w:val="center"/>
          </w:tcPr>
          <w:p>
            <w:pPr>
              <w:jc w:val="center"/>
              <w:rPr>
                <w:rFonts w:ascii="宋体" w:hAnsi="宋体"/>
              </w:rPr>
            </w:pPr>
            <w:r>
              <w:rPr>
                <w:rFonts w:ascii="宋体" w:hAnsi="宋体" w:hint="eastAsia"/>
              </w:rPr>
              <w:t>3%</w:t>
            </w:r>
          </w:p>
        </w:tc>
      </w:tr>
      <w:tr>
        <w:tc>
          <w:tcPr>
            <w:tcW w:w="2781" w:type="dxa"/>
            <w:vAlign w:val="center"/>
          </w:tcPr>
          <w:p>
            <w:pPr>
              <w:jc w:val="center"/>
              <w:rPr>
                <w:rFonts w:ascii="宋体" w:hAnsi="宋体"/>
              </w:rPr>
            </w:pPr>
            <w:r>
              <w:rPr>
                <w:rFonts w:ascii="宋体" w:hAnsi="宋体" w:hint="eastAsia"/>
              </w:rPr>
              <w:t>资源税</w:t>
            </w:r>
          </w:p>
        </w:tc>
        <w:tc>
          <w:tcPr>
            <w:tcW w:w="3145" w:type="dxa"/>
            <w:vAlign w:val="center"/>
          </w:tcPr>
          <w:p>
            <w:pPr>
              <w:jc w:val="center"/>
              <w:rPr>
                <w:rFonts w:ascii="宋体" w:hAnsi="宋体"/>
              </w:rPr>
            </w:pPr>
            <w:r>
              <w:rPr>
                <w:rFonts w:ascii="宋体" w:hAnsi="宋体" w:hint="eastAsia"/>
              </w:rPr>
              <w:t>按煤炭销售金额计征</w:t>
            </w:r>
          </w:p>
        </w:tc>
        <w:tc>
          <w:tcPr>
            <w:tcW w:w="3121" w:type="dxa"/>
            <w:vAlign w:val="center"/>
          </w:tcPr>
          <w:p>
            <w:pPr>
              <w:jc w:val="center"/>
              <w:rPr>
                <w:rFonts w:ascii="宋体" w:hAnsi="宋体"/>
              </w:rPr>
            </w:pPr>
            <w:r>
              <w:rPr>
                <w:rFonts w:ascii="宋体" w:hAnsi="宋体" w:hint="eastAsia"/>
              </w:rPr>
              <w:t>3.5%、4%、5%、6%、8%、9%、9.5%、10%</w:t>
            </w:r>
          </w:p>
        </w:tc>
      </w:tr>
      <w:tr>
        <w:tc>
          <w:tcPr>
            <w:tcW w:w="2781" w:type="dxa"/>
            <w:vAlign w:val="center"/>
          </w:tcPr>
          <w:p>
            <w:pPr>
              <w:jc w:val="center"/>
              <w:rPr>
                <w:rFonts w:ascii="宋体" w:hAnsi="宋体"/>
              </w:rPr>
            </w:pPr>
            <w:r>
              <w:rPr>
                <w:rFonts w:ascii="宋体" w:hAnsi="宋体" w:hint="eastAsia"/>
              </w:rPr>
              <w:t>企业所得税</w:t>
            </w:r>
          </w:p>
        </w:tc>
        <w:tc>
          <w:tcPr>
            <w:tcW w:w="3145" w:type="dxa"/>
            <w:vAlign w:val="center"/>
          </w:tcPr>
          <w:p>
            <w:pPr>
              <w:jc w:val="center"/>
              <w:rPr>
                <w:rFonts w:ascii="宋体" w:hAnsi="宋体"/>
              </w:rPr>
            </w:pPr>
            <w:r>
              <w:rPr>
                <w:rFonts w:ascii="宋体" w:hAnsi="宋体" w:hint="eastAsia"/>
              </w:rPr>
              <w:t>按应纳税所得额计征</w:t>
            </w:r>
          </w:p>
        </w:tc>
        <w:tc>
          <w:tcPr>
            <w:tcW w:w="3121" w:type="dxa"/>
            <w:vAlign w:val="center"/>
          </w:tcPr>
          <w:p>
            <w:pPr>
              <w:jc w:val="center"/>
              <w:rPr>
                <w:rFonts w:ascii="宋体" w:hAnsi="宋体"/>
              </w:rPr>
            </w:pPr>
            <w:r>
              <w:rPr>
                <w:rFonts w:ascii="宋体" w:hAnsi="宋体" w:hint="eastAsia"/>
              </w:rPr>
              <w:t>25%</w:t>
            </w:r>
          </w:p>
        </w:tc>
      </w:tr>
      <w:tr>
        <w:tc>
          <w:tcPr>
            <w:tcW w:w="2781" w:type="dxa"/>
            <w:vAlign w:val="center"/>
          </w:tcPr>
          <w:p>
            <w:pPr>
              <w:jc w:val="center"/>
              <w:rPr>
                <w:rFonts w:ascii="宋体" w:hAnsi="宋体"/>
              </w:rPr>
            </w:pPr>
            <w:r>
              <w:rPr>
                <w:rFonts w:ascii="宋体" w:hAnsi="宋体" w:hint="eastAsia"/>
              </w:rPr>
              <w:t>环保税</w:t>
            </w:r>
          </w:p>
        </w:tc>
        <w:tc>
          <w:tcPr>
            <w:tcW w:w="3145" w:type="dxa"/>
            <w:vAlign w:val="center"/>
          </w:tcPr>
          <w:p>
            <w:pPr>
              <w:jc w:val="center"/>
              <w:rPr>
                <w:rFonts w:ascii="宋体" w:hAnsi="宋体"/>
              </w:rPr>
            </w:pPr>
            <w:r>
              <w:rPr>
                <w:rFonts w:ascii="宋体" w:hAnsi="宋体" w:hint="eastAsia"/>
              </w:rPr>
              <w:t>按实际排污量</w:t>
            </w:r>
          </w:p>
        </w:tc>
        <w:tc>
          <w:tcPr>
            <w:tcW w:w="3121" w:type="dxa"/>
            <w:vAlign w:val="center"/>
          </w:tcPr>
          <w:p>
            <w:pPr>
              <w:jc w:val="center"/>
              <w:rPr>
                <w:rFonts w:ascii="宋体" w:hAnsi="宋体"/>
              </w:rPr>
            </w:pPr>
            <w:r>
              <w:rPr>
                <w:rFonts w:ascii="宋体" w:hAnsi="宋体" w:hint="eastAsia"/>
              </w:rPr>
              <w:t>1.2至6元/污染当量</w:t>
            </w:r>
          </w:p>
        </w:tc>
      </w:tr>
      <w:tr>
        <w:tc>
          <w:tcPr>
            <w:tcW w:w="2781" w:type="dxa"/>
            <w:vAlign w:val="center"/>
          </w:tcPr>
          <w:p>
            <w:pPr>
              <w:jc w:val="center"/>
              <w:rPr>
                <w:rFonts w:ascii="宋体" w:hAnsi="宋体"/>
              </w:rPr>
            </w:pPr>
            <w:r>
              <w:rPr>
                <w:rFonts w:ascii="宋体" w:hAnsi="宋体" w:hint="eastAsia"/>
              </w:rPr>
              <w:t>水资源税</w:t>
            </w:r>
          </w:p>
        </w:tc>
        <w:tc>
          <w:tcPr>
            <w:tcW w:w="3145" w:type="dxa"/>
            <w:vAlign w:val="center"/>
          </w:tcPr>
          <w:p>
            <w:pPr>
              <w:jc w:val="center"/>
              <w:rPr>
                <w:rFonts w:ascii="宋体" w:hAnsi="宋体"/>
              </w:rPr>
            </w:pPr>
            <w:r>
              <w:rPr>
                <w:rFonts w:ascii="宋体" w:hAnsi="宋体" w:hint="eastAsia"/>
              </w:rPr>
              <w:t>按实际取水量或排水量</w:t>
            </w:r>
          </w:p>
        </w:tc>
        <w:tc>
          <w:tcPr>
            <w:tcW w:w="3121" w:type="dxa"/>
            <w:vAlign w:val="center"/>
          </w:tcPr>
          <w:p>
            <w:pPr>
              <w:jc w:val="center"/>
              <w:rPr>
                <w:rFonts w:ascii="宋体" w:hAnsi="宋体"/>
              </w:rPr>
            </w:pPr>
            <w:r>
              <w:rPr>
                <w:rFonts w:ascii="宋体" w:hAnsi="宋体" w:hint="eastAsia"/>
              </w:rPr>
              <w:t>0.4至5元/立方米</w:t>
            </w:r>
          </w:p>
        </w:tc>
      </w:tr>
      <w:tr>
        <w:tc>
          <w:tcPr>
            <w:tcW w:w="2781" w:type="dxa"/>
            <w:vAlign w:val="center"/>
          </w:tcPr>
          <w:p>
            <w:pPr>
              <w:jc w:val="center"/>
              <w:rPr>
                <w:rFonts w:ascii="宋体" w:hAnsi="宋体"/>
              </w:rPr>
            </w:pPr>
            <w:r>
              <w:rPr>
                <w:rFonts w:ascii="宋体" w:hAnsi="宋体" w:hint="eastAsia"/>
              </w:rPr>
              <w:t>消费税</w:t>
            </w:r>
          </w:p>
        </w:tc>
        <w:tc>
          <w:tcPr>
            <w:tcW w:w="3145" w:type="dxa"/>
            <w:vAlign w:val="center"/>
          </w:tcPr>
          <w:p>
            <w:pPr>
              <w:jc w:val="center"/>
              <w:rPr>
                <w:rFonts w:ascii="宋体" w:hAnsi="宋体"/>
              </w:rPr>
            </w:pPr>
            <w:r>
              <w:rPr>
                <w:rFonts w:ascii="宋体" w:hAnsi="宋体" w:hint="eastAsia"/>
              </w:rPr>
              <w:t>按实际销量</w:t>
            </w:r>
          </w:p>
        </w:tc>
        <w:tc>
          <w:tcPr>
            <w:tcW w:w="3121" w:type="dxa"/>
            <w:vAlign w:val="center"/>
          </w:tcPr>
          <w:p>
            <w:pPr>
              <w:jc w:val="center"/>
              <w:rPr>
                <w:rFonts w:ascii="宋体" w:hAnsi="宋体"/>
              </w:rPr>
            </w:pPr>
            <w:r>
              <w:rPr>
                <w:rFonts w:ascii="宋体" w:hAnsi="宋体" w:hint="eastAsia"/>
              </w:rPr>
              <w:t>1.2至1.52元/升</w:t>
            </w:r>
          </w:p>
        </w:tc>
      </w:tr>
    </w:tbl>
    <w:p>
      <w:pPr>
        <w:pStyle w:val="Style217"/>
      </w:pPr>
      <w:r>
        <w:rPr>
          <w:rFonts w:hint="eastAsia"/>
        </w:rPr>
        <w:t>本集团之澳大利亚子公司适用的主要税种及其税率列示如下：</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2860"/>
        <w:gridCol w:w="2860"/>
      </w:tblGrid>
      <w:tr>
        <w:trPr>
          <w:trHeight w:val="397"/>
          <w:tblHeader/>
          <w:jc w:val="center"/>
        </w:trPr>
        <w:tc>
          <w:tcPr>
            <w:tcW w:w="2859" w:type="dxa"/>
            <w:shd w:val="clear" w:color="auto" w:fill="auto"/>
            <w:vAlign w:val="center"/>
          </w:tcPr>
          <w:p>
            <w:pPr>
              <w:jc w:val="center"/>
              <w:rPr>
                <w:rFonts w:ascii="宋体" w:hAnsi="宋体" w:cs="宋体"/>
                <w:b/>
                <w:bCs/>
                <w:color w:val="000000"/>
              </w:rPr>
            </w:pPr>
            <w:r>
              <w:rPr>
                <w:rFonts w:ascii="宋体" w:hAnsi="宋体" w:cs="宋体" w:hint="eastAsia"/>
                <w:b/>
                <w:bCs/>
                <w:color w:val="000000"/>
              </w:rPr>
              <w:t>税种</w:t>
            </w:r>
          </w:p>
        </w:tc>
        <w:tc>
          <w:tcPr>
            <w:tcW w:w="2860" w:type="dxa"/>
            <w:shd w:val="clear" w:color="auto" w:fill="auto"/>
            <w:vAlign w:val="center"/>
          </w:tcPr>
          <w:p>
            <w:pPr>
              <w:jc w:val="center"/>
              <w:rPr>
                <w:rFonts w:ascii="宋体" w:hAnsi="宋体" w:cs="宋体"/>
                <w:b/>
                <w:bCs/>
                <w:color w:val="000000"/>
              </w:rPr>
            </w:pPr>
            <w:r>
              <w:rPr>
                <w:rFonts w:ascii="宋体" w:hAnsi="宋体" w:cs="宋体" w:hint="eastAsia"/>
                <w:b/>
                <w:bCs/>
                <w:color w:val="000000"/>
              </w:rPr>
              <w:t>计税依据</w:t>
            </w:r>
          </w:p>
        </w:tc>
        <w:tc>
          <w:tcPr>
            <w:tcW w:w="2860" w:type="dxa"/>
            <w:shd w:val="clear" w:color="auto" w:fill="auto"/>
            <w:vAlign w:val="center"/>
          </w:tcPr>
          <w:p>
            <w:pPr>
              <w:jc w:val="center"/>
              <w:rPr>
                <w:rFonts w:ascii="宋体" w:hAnsi="宋体" w:cs="宋体"/>
                <w:b/>
                <w:bCs/>
                <w:color w:val="000000"/>
              </w:rPr>
            </w:pPr>
            <w:r>
              <w:rPr>
                <w:rFonts w:ascii="宋体" w:hAnsi="宋体" w:cs="宋体" w:hint="eastAsia"/>
                <w:b/>
                <w:bCs/>
                <w:color w:val="000000"/>
              </w:rPr>
              <w:t>税率</w:t>
            </w:r>
          </w:p>
        </w:tc>
      </w:tr>
      <w:tr>
        <w:trPr>
          <w:trHeight w:val="397"/>
          <w:jc w:val="center"/>
        </w:trPr>
        <w:tc>
          <w:tcPr>
            <w:tcW w:w="2859" w:type="dxa"/>
            <w:shd w:val="clear" w:color="auto" w:fill="auto"/>
            <w:vAlign w:val="center"/>
          </w:tcPr>
          <w:p>
            <w:pPr>
              <w:rPr>
                <w:rFonts w:ascii="宋体" w:hAnsi="宋体" w:cs="宋体"/>
                <w:color w:val="000000"/>
              </w:rPr>
            </w:pPr>
            <w:r>
              <w:rPr>
                <w:rFonts w:ascii="宋体" w:hAnsi="宋体" w:cs="宋体" w:hint="eastAsia"/>
                <w:color w:val="000000"/>
              </w:rPr>
              <w:t>企业所得税（注）</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应纳税所得额</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30%</w:t>
            </w:r>
          </w:p>
        </w:tc>
      </w:tr>
      <w:tr>
        <w:trPr>
          <w:trHeight w:val="397"/>
          <w:jc w:val="center"/>
        </w:trPr>
        <w:tc>
          <w:tcPr>
            <w:tcW w:w="2859" w:type="dxa"/>
            <w:shd w:val="clear" w:color="auto" w:fill="auto"/>
            <w:vAlign w:val="center"/>
          </w:tcPr>
          <w:p>
            <w:pPr>
              <w:rPr>
                <w:rFonts w:ascii="宋体" w:hAnsi="宋体" w:cs="宋体"/>
                <w:color w:val="000000"/>
              </w:rPr>
            </w:pPr>
            <w:r>
              <w:rPr>
                <w:rFonts w:ascii="宋体" w:hAnsi="宋体" w:cs="宋体" w:hint="eastAsia"/>
                <w:color w:val="000000"/>
              </w:rPr>
              <w:t>商品及服务税</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应纳税增值额</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10%</w:t>
            </w:r>
          </w:p>
        </w:tc>
      </w:tr>
      <w:tr>
        <w:trPr>
          <w:trHeight w:val="397"/>
          <w:jc w:val="center"/>
        </w:trPr>
        <w:tc>
          <w:tcPr>
            <w:tcW w:w="2859" w:type="dxa"/>
            <w:shd w:val="clear" w:color="auto" w:fill="auto"/>
            <w:vAlign w:val="center"/>
          </w:tcPr>
          <w:p>
            <w:pPr>
              <w:rPr>
                <w:rFonts w:ascii="宋体" w:hAnsi="宋体" w:cs="宋体"/>
                <w:color w:val="000000"/>
              </w:rPr>
            </w:pPr>
            <w:r>
              <w:rPr>
                <w:rFonts w:ascii="宋体" w:hAnsi="宋体" w:cs="宋体" w:hint="eastAsia"/>
                <w:color w:val="000000"/>
              </w:rPr>
              <w:t>资源税</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煤炭销售收入</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7%-40%</w:t>
            </w:r>
          </w:p>
        </w:tc>
      </w:tr>
      <w:tr>
        <w:trPr>
          <w:trHeight w:val="397"/>
          <w:jc w:val="center"/>
        </w:trPr>
        <w:tc>
          <w:tcPr>
            <w:tcW w:w="2859" w:type="dxa"/>
            <w:shd w:val="clear" w:color="auto" w:fill="auto"/>
            <w:vAlign w:val="center"/>
          </w:tcPr>
          <w:p>
            <w:pPr>
              <w:rPr>
                <w:rFonts w:ascii="宋体" w:hAnsi="宋体" w:cs="宋体"/>
                <w:color w:val="000000"/>
              </w:rPr>
            </w:pPr>
            <w:r>
              <w:rPr>
                <w:rFonts w:ascii="宋体" w:hAnsi="宋体" w:cs="宋体" w:hint="eastAsia"/>
                <w:color w:val="000000"/>
              </w:rPr>
              <w:t>职工薪酬税-昆士兰州</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职工工资总额</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4.75%、4.95%</w:t>
            </w:r>
          </w:p>
        </w:tc>
      </w:tr>
      <w:tr>
        <w:trPr>
          <w:trHeight w:val="397"/>
          <w:jc w:val="center"/>
        </w:trPr>
        <w:tc>
          <w:tcPr>
            <w:tcW w:w="2859" w:type="dxa"/>
            <w:shd w:val="clear" w:color="auto" w:fill="auto"/>
            <w:vAlign w:val="center"/>
          </w:tcPr>
          <w:p>
            <w:pPr>
              <w:rPr>
                <w:rFonts w:ascii="宋体" w:hAnsi="宋体" w:cs="宋体"/>
                <w:color w:val="000000"/>
              </w:rPr>
            </w:pPr>
            <w:r>
              <w:rPr>
                <w:rFonts w:ascii="宋体" w:hAnsi="宋体" w:cs="宋体" w:hint="eastAsia"/>
                <w:color w:val="000000"/>
              </w:rPr>
              <w:t>职工薪酬税-新南威尔士州</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职工工资总额</w:t>
            </w:r>
          </w:p>
        </w:tc>
        <w:tc>
          <w:tcPr>
            <w:tcW w:w="2860" w:type="dxa"/>
            <w:shd w:val="clear" w:color="auto" w:fill="auto"/>
            <w:vAlign w:val="center"/>
          </w:tcPr>
          <w:p>
            <w:pPr>
              <w:jc w:val="center"/>
              <w:rPr>
                <w:rFonts w:ascii="宋体" w:hAnsi="宋体" w:cs="宋体"/>
                <w:color w:val="000000"/>
              </w:rPr>
            </w:pPr>
            <w:r>
              <w:rPr>
                <w:rFonts w:ascii="宋体" w:hAnsi="宋体" w:cs="宋体" w:hint="eastAsia"/>
                <w:color w:val="000000"/>
              </w:rPr>
              <w:t>5.45%</w:t>
            </w:r>
          </w:p>
        </w:tc>
      </w:tr>
    </w:tbl>
    <w:p>
      <w:pPr>
        <w:pStyle w:val="Style217"/>
      </w:pPr>
    </w:p>
    <w:p>
      <w:pPr>
        <w:pStyle w:val="Style217"/>
      </w:pPr>
      <w:r>
        <w:rPr>
          <w:rFonts w:hint="eastAsia"/>
        </w:rPr>
        <w:t>注：本集团之子公司兖煤澳大利亚有限公司所得税适用税率为</w:t>
      </w:r>
      <w:r>
        <w:t>30%。</w:t>
      </w:r>
      <w:r>
        <w:rPr>
          <w:rFonts w:hint="eastAsia"/>
        </w:rPr>
        <w:t>兖煤澳大利亚有限公司及其全资拥有的子公司根据澳大利亚合并纳税的规定构成一家所得税合并纳税集团；兖煤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煤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sdt>
      <w:sdtPr>
        <w:alias w:val="是否适用：存在不同企业所得税税率纳税主体的，披露情况说明[双击切换]"/>
        <w:tag w:val="_GBC_f117cb1e9d6f4e82900861637cf6a799"/>
        <w:id w:val="138128581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1"/>
        <w:gridCol w:w="2026"/>
        <w:gridCol w:w="2130"/>
        <w:gridCol w:w="2381"/>
      </w:tblGrid>
      <w:tr>
        <w:sdt>
          <w:sdtPr>
            <w:tag w:val="_PLD_45211f01b9764dbc9a13b86554731418"/>
            <w:id w:val="-1862195591"/>
          </w:sdtPr>
          <w:sdtContent>
            <w:tc>
              <w:tcPr>
                <w:tcW w:w="2511" w:type="dxa"/>
                <w:vAlign w:val="center"/>
              </w:tcPr>
              <w:p>
                <w:pPr>
                  <w:jc w:val="center"/>
                </w:pPr>
                <w:r>
                  <w:rPr>
                    <w:rFonts w:hint="eastAsia"/>
                  </w:rPr>
                  <w:t>纳税主体名称</w:t>
                </w:r>
              </w:p>
            </w:tc>
          </w:sdtContent>
        </w:sdt>
        <w:tc>
          <w:tcPr>
            <w:tcW w:w="2026" w:type="dxa"/>
          </w:tcPr>
          <w:p>
            <w:pPr>
              <w:jc w:val="center"/>
            </w:pPr>
            <w:r>
              <w:rPr>
                <w:rFonts w:hint="eastAsia"/>
              </w:rPr>
              <w:t>税种</w:t>
            </w:r>
          </w:p>
        </w:tc>
        <w:tc>
          <w:tcPr>
            <w:tcW w:w="2130" w:type="dxa"/>
          </w:tcPr>
          <w:p>
            <w:pPr>
              <w:jc w:val="center"/>
            </w:pPr>
            <w:r>
              <w:rPr>
                <w:rFonts w:hint="eastAsia"/>
              </w:rPr>
              <w:t>计税依据</w:t>
            </w:r>
          </w:p>
        </w:tc>
        <w:sdt>
          <w:sdtPr>
            <w:tag w:val="_PLD_f364076e1daa46149b120da21925a155"/>
            <w:id w:val="1247157258"/>
          </w:sdtPr>
          <w:sdtContent>
            <w:tc>
              <w:tcPr>
                <w:tcW w:w="2381" w:type="dxa"/>
                <w:vAlign w:val="center"/>
              </w:tcPr>
              <w:p>
                <w:pPr>
                  <w:jc w:val="center"/>
                </w:pPr>
                <w:r>
                  <w:rPr>
                    <w:rFonts w:hint="eastAsia"/>
                  </w:rPr>
                  <w:t>所得税税率（</w:t>
                </w:r>
                <w:r>
                  <w:rPr>
                    <w:rFonts w:hint="eastAsia"/>
                  </w:rPr>
                  <w:t>%</w:t>
                </w:r>
                <w:r>
                  <w:rPr>
                    <w:rFonts w:hint="eastAsia"/>
                  </w:rPr>
                  <w:t>）</w:t>
                </w:r>
              </w:p>
            </w:tc>
          </w:sdtContent>
        </w:sdt>
      </w:tr>
      <w:tr>
        <w:tc>
          <w:tcPr>
            <w:tcW w:w="2511" w:type="dxa"/>
            <w:vAlign w:val="center"/>
          </w:tcPr>
          <w:p>
            <w:pPr>
              <w:jc w:val="center"/>
              <w:rPr>
                <w:rFonts w:ascii="宋体" w:hAnsi="宋体"/>
              </w:rPr>
            </w:pPr>
            <w:r>
              <w:rPr>
                <w:rFonts w:ascii="宋体" w:hAnsi="宋体" w:hint="eastAsia"/>
              </w:rPr>
              <w:t>香港</w:t>
            </w:r>
          </w:p>
        </w:tc>
        <w:tc>
          <w:tcPr>
            <w:tcW w:w="2026" w:type="dxa"/>
            <w:vAlign w:val="center"/>
          </w:tcPr>
          <w:p>
            <w:pPr>
              <w:jc w:val="center"/>
              <w:rPr>
                <w:rFonts w:ascii="宋体" w:hAnsi="宋体"/>
              </w:rPr>
            </w:pPr>
            <w:r>
              <w:rPr>
                <w:rFonts w:ascii="宋体" w:hAnsi="宋体" w:hint="eastAsia"/>
              </w:rPr>
              <w:t>企业所得税</w:t>
            </w:r>
          </w:p>
        </w:tc>
        <w:tc>
          <w:tcPr>
            <w:tcW w:w="2130" w:type="dxa"/>
            <w:vAlign w:val="center"/>
          </w:tcPr>
          <w:p>
            <w:pPr>
              <w:jc w:val="center"/>
              <w:rPr>
                <w:rFonts w:ascii="宋体" w:hAnsi="宋体"/>
              </w:rPr>
            </w:pPr>
            <w:r>
              <w:rPr>
                <w:rFonts w:ascii="宋体" w:hAnsi="宋体" w:hint="eastAsia"/>
              </w:rPr>
              <w:t>应纳税所得额</w:t>
            </w:r>
          </w:p>
        </w:tc>
        <w:tc>
          <w:tcPr>
            <w:tcW w:w="2381" w:type="dxa"/>
            <w:vAlign w:val="center"/>
          </w:tcPr>
          <w:p>
            <w:pPr>
              <w:jc w:val="center"/>
              <w:rPr>
                <w:rFonts w:ascii="宋体" w:hAnsi="宋体"/>
              </w:rPr>
            </w:pPr>
            <w:r>
              <w:rPr>
                <w:rFonts w:ascii="宋体" w:hAnsi="宋体" w:hint="eastAsia"/>
              </w:rPr>
              <w:t>16.5%</w:t>
            </w:r>
          </w:p>
        </w:tc>
      </w:tr>
      <w:tr>
        <w:tc>
          <w:tcPr>
            <w:tcW w:w="2511" w:type="dxa"/>
            <w:vAlign w:val="center"/>
          </w:tcPr>
          <w:p>
            <w:pPr>
              <w:jc w:val="center"/>
              <w:rPr>
                <w:rFonts w:ascii="宋体" w:hAnsi="宋体"/>
              </w:rPr>
            </w:pPr>
            <w:r>
              <w:rPr>
                <w:rFonts w:ascii="宋体" w:hAnsi="宋体" w:hint="eastAsia"/>
              </w:rPr>
              <w:t>卢森堡</w:t>
            </w:r>
          </w:p>
        </w:tc>
        <w:tc>
          <w:tcPr>
            <w:tcW w:w="2026" w:type="dxa"/>
            <w:vAlign w:val="center"/>
          </w:tcPr>
          <w:p>
            <w:pPr>
              <w:jc w:val="center"/>
              <w:rPr>
                <w:rFonts w:ascii="宋体" w:hAnsi="宋体"/>
              </w:rPr>
            </w:pPr>
            <w:r>
              <w:rPr>
                <w:rFonts w:ascii="宋体" w:hAnsi="宋体" w:hint="eastAsia"/>
              </w:rPr>
              <w:t>企业所得税</w:t>
            </w:r>
          </w:p>
        </w:tc>
        <w:tc>
          <w:tcPr>
            <w:tcW w:w="2130" w:type="dxa"/>
            <w:vAlign w:val="center"/>
          </w:tcPr>
          <w:p>
            <w:pPr>
              <w:jc w:val="center"/>
              <w:rPr>
                <w:rFonts w:ascii="宋体" w:hAnsi="宋体"/>
              </w:rPr>
            </w:pPr>
            <w:r>
              <w:rPr>
                <w:rFonts w:ascii="宋体" w:hAnsi="宋体" w:hint="eastAsia"/>
              </w:rPr>
              <w:t>应纳税所得额</w:t>
            </w:r>
          </w:p>
        </w:tc>
        <w:tc>
          <w:tcPr>
            <w:tcW w:w="2381" w:type="dxa"/>
            <w:vAlign w:val="center"/>
          </w:tcPr>
          <w:p>
            <w:pPr>
              <w:jc w:val="center"/>
              <w:rPr>
                <w:rFonts w:ascii="宋体" w:hAnsi="宋体"/>
              </w:rPr>
            </w:pPr>
            <w:r>
              <w:rPr>
                <w:rFonts w:ascii="宋体" w:hAnsi="宋体" w:hint="eastAsia"/>
              </w:rPr>
              <w:t>24.9%</w:t>
            </w:r>
          </w:p>
        </w:tc>
      </w:tr>
      <w:tr>
        <w:tc>
          <w:tcPr>
            <w:tcW w:w="2511" w:type="dxa"/>
            <w:vAlign w:val="center"/>
          </w:tcPr>
          <w:p>
            <w:pPr>
              <w:jc w:val="center"/>
              <w:rPr>
                <w:rFonts w:ascii="宋体" w:hAnsi="宋体"/>
              </w:rPr>
            </w:pPr>
            <w:r>
              <w:rPr>
                <w:rFonts w:ascii="宋体" w:hAnsi="宋体" w:hint="eastAsia"/>
              </w:rPr>
              <w:t>加拿大</w:t>
            </w:r>
          </w:p>
        </w:tc>
        <w:tc>
          <w:tcPr>
            <w:tcW w:w="2026" w:type="dxa"/>
            <w:vAlign w:val="center"/>
          </w:tcPr>
          <w:p>
            <w:pPr>
              <w:jc w:val="center"/>
              <w:rPr>
                <w:rFonts w:ascii="宋体" w:hAnsi="宋体"/>
              </w:rPr>
            </w:pPr>
            <w:r>
              <w:rPr>
                <w:rFonts w:ascii="宋体" w:hAnsi="宋体" w:hint="eastAsia"/>
              </w:rPr>
              <w:t>货物及服务税</w:t>
            </w:r>
          </w:p>
        </w:tc>
        <w:tc>
          <w:tcPr>
            <w:tcW w:w="2130" w:type="dxa"/>
            <w:vAlign w:val="center"/>
          </w:tcPr>
          <w:p>
            <w:pPr>
              <w:jc w:val="center"/>
              <w:rPr>
                <w:rFonts w:ascii="宋体" w:hAnsi="宋体"/>
              </w:rPr>
            </w:pPr>
            <w:r>
              <w:rPr>
                <w:rFonts w:ascii="宋体" w:hAnsi="宋体" w:hint="eastAsia"/>
              </w:rPr>
              <w:t>商品计税价格</w:t>
            </w:r>
          </w:p>
        </w:tc>
        <w:tc>
          <w:tcPr>
            <w:tcW w:w="2381" w:type="dxa"/>
            <w:vAlign w:val="center"/>
          </w:tcPr>
          <w:p>
            <w:pPr>
              <w:jc w:val="center"/>
              <w:rPr>
                <w:rFonts w:ascii="宋体" w:hAnsi="宋体"/>
              </w:rPr>
            </w:pPr>
            <w:r>
              <w:rPr>
                <w:rFonts w:ascii="宋体" w:hAnsi="宋体" w:hint="eastAsia"/>
              </w:rPr>
              <w:t>5%</w:t>
            </w:r>
          </w:p>
        </w:tc>
      </w:tr>
      <w:tr>
        <w:tc>
          <w:tcPr>
            <w:tcW w:w="2511" w:type="dxa"/>
            <w:vAlign w:val="center"/>
          </w:tcPr>
          <w:p>
            <w:pPr>
              <w:jc w:val="center"/>
              <w:rPr>
                <w:rFonts w:ascii="宋体" w:hAnsi="宋体"/>
              </w:rPr>
            </w:pPr>
            <w:r>
              <w:rPr>
                <w:rFonts w:ascii="宋体" w:hAnsi="宋体" w:hint="eastAsia"/>
              </w:rPr>
              <w:t>加拿大</w:t>
            </w:r>
          </w:p>
        </w:tc>
        <w:tc>
          <w:tcPr>
            <w:tcW w:w="2026" w:type="dxa"/>
            <w:vAlign w:val="center"/>
          </w:tcPr>
          <w:p>
            <w:pPr>
              <w:jc w:val="center"/>
              <w:rPr>
                <w:rFonts w:ascii="宋体" w:hAnsi="宋体"/>
              </w:rPr>
            </w:pPr>
            <w:r>
              <w:rPr>
                <w:rFonts w:ascii="宋体" w:hAnsi="宋体" w:hint="eastAsia"/>
              </w:rPr>
              <w:t>企业所得税</w:t>
            </w:r>
          </w:p>
        </w:tc>
        <w:tc>
          <w:tcPr>
            <w:tcW w:w="2130" w:type="dxa"/>
            <w:vAlign w:val="center"/>
          </w:tcPr>
          <w:p>
            <w:pPr>
              <w:jc w:val="center"/>
              <w:rPr>
                <w:rFonts w:ascii="宋体" w:hAnsi="宋体"/>
              </w:rPr>
            </w:pPr>
            <w:r>
              <w:rPr>
                <w:rFonts w:ascii="宋体" w:hAnsi="宋体" w:hint="eastAsia"/>
              </w:rPr>
              <w:t>应纳税所得额</w:t>
            </w:r>
          </w:p>
        </w:tc>
        <w:tc>
          <w:tcPr>
            <w:tcW w:w="2381" w:type="dxa"/>
            <w:vAlign w:val="center"/>
          </w:tcPr>
          <w:p>
            <w:pPr>
              <w:jc w:val="center"/>
              <w:rPr>
                <w:rFonts w:ascii="宋体" w:hAnsi="宋体"/>
              </w:rPr>
            </w:pPr>
            <w:r>
              <w:rPr>
                <w:rFonts w:ascii="宋体" w:hAnsi="宋体" w:hint="eastAsia"/>
              </w:rPr>
              <w:t>27</w:t>
            </w:r>
            <w:r>
              <w:rPr>
                <w:rFonts w:ascii="宋体" w:hAnsi="宋体"/>
              </w:rPr>
              <w:t>%</w:t>
            </w:r>
          </w:p>
        </w:tc>
      </w:tr>
      <w:tr>
        <w:tc>
          <w:tcPr>
            <w:tcW w:w="2511" w:type="dxa"/>
            <w:vAlign w:val="center"/>
          </w:tcPr>
          <w:p>
            <w:pPr>
              <w:jc w:val="center"/>
              <w:rPr>
                <w:rFonts w:ascii="宋体" w:hAnsi="宋体"/>
              </w:rPr>
            </w:pPr>
            <w:r>
              <w:rPr>
                <w:rFonts w:ascii="宋体" w:hAnsi="宋体" w:hint="eastAsia"/>
              </w:rPr>
              <w:t>德国</w:t>
            </w:r>
          </w:p>
        </w:tc>
        <w:tc>
          <w:tcPr>
            <w:tcW w:w="2026" w:type="dxa"/>
            <w:vAlign w:val="center"/>
          </w:tcPr>
          <w:p>
            <w:pPr>
              <w:jc w:val="center"/>
              <w:rPr>
                <w:rFonts w:ascii="宋体" w:hAnsi="宋体"/>
              </w:rPr>
            </w:pPr>
            <w:r>
              <w:rPr>
                <w:rFonts w:ascii="宋体" w:hAnsi="宋体" w:hint="eastAsia"/>
              </w:rPr>
              <w:t>企业所得税</w:t>
            </w:r>
          </w:p>
        </w:tc>
        <w:tc>
          <w:tcPr>
            <w:tcW w:w="2130" w:type="dxa"/>
            <w:vAlign w:val="center"/>
          </w:tcPr>
          <w:p>
            <w:pPr>
              <w:jc w:val="center"/>
              <w:rPr>
                <w:rFonts w:ascii="宋体" w:hAnsi="宋体"/>
              </w:rPr>
            </w:pPr>
            <w:r>
              <w:rPr>
                <w:rFonts w:ascii="宋体" w:hAnsi="宋体" w:hint="eastAsia"/>
              </w:rPr>
              <w:t>应纳税所得额</w:t>
            </w:r>
          </w:p>
        </w:tc>
        <w:tc>
          <w:tcPr>
            <w:tcW w:w="2381" w:type="dxa"/>
            <w:vAlign w:val="center"/>
          </w:tcPr>
          <w:p>
            <w:pPr>
              <w:jc w:val="center"/>
              <w:rPr>
                <w:rFonts w:ascii="宋体" w:hAnsi="宋体"/>
              </w:rPr>
            </w:pPr>
            <w:r>
              <w:rPr>
                <w:rFonts w:ascii="宋体" w:hAnsi="宋体" w:hint="eastAsia"/>
              </w:rPr>
              <w:t>32.1%</w:t>
            </w:r>
          </w:p>
        </w:tc>
      </w:tr>
      <w:tr>
        <w:tc>
          <w:tcPr>
            <w:tcW w:w="2511" w:type="dxa"/>
            <w:vAlign w:val="center"/>
          </w:tcPr>
          <w:p>
            <w:pPr>
              <w:jc w:val="center"/>
              <w:rPr>
                <w:rFonts w:ascii="宋体" w:hAnsi="宋体"/>
              </w:rPr>
            </w:pPr>
            <w:r>
              <w:rPr>
                <w:rFonts w:ascii="宋体" w:hAnsi="宋体" w:hint="eastAsia"/>
              </w:rPr>
              <w:t>俄罗斯</w:t>
            </w:r>
          </w:p>
        </w:tc>
        <w:tc>
          <w:tcPr>
            <w:tcW w:w="2026" w:type="dxa"/>
            <w:vAlign w:val="center"/>
          </w:tcPr>
          <w:p>
            <w:pPr>
              <w:jc w:val="center"/>
              <w:rPr>
                <w:rFonts w:ascii="宋体" w:hAnsi="宋体"/>
              </w:rPr>
            </w:pPr>
            <w:r>
              <w:rPr>
                <w:rFonts w:ascii="宋体" w:hAnsi="宋体" w:hint="eastAsia"/>
              </w:rPr>
              <w:t>企业所得税</w:t>
            </w:r>
          </w:p>
        </w:tc>
        <w:tc>
          <w:tcPr>
            <w:tcW w:w="2130" w:type="dxa"/>
            <w:vAlign w:val="center"/>
          </w:tcPr>
          <w:p>
            <w:pPr>
              <w:jc w:val="center"/>
              <w:rPr>
                <w:rFonts w:ascii="宋体" w:hAnsi="宋体"/>
              </w:rPr>
            </w:pPr>
            <w:r>
              <w:rPr>
                <w:rFonts w:ascii="宋体" w:hAnsi="宋体" w:hint="eastAsia"/>
              </w:rPr>
              <w:t>应纳税所得额</w:t>
            </w:r>
          </w:p>
        </w:tc>
        <w:tc>
          <w:tcPr>
            <w:tcW w:w="2381" w:type="dxa"/>
            <w:vAlign w:val="center"/>
          </w:tcPr>
          <w:p>
            <w:pPr>
              <w:jc w:val="center"/>
              <w:rPr>
                <w:rFonts w:ascii="宋体" w:hAnsi="宋体"/>
              </w:rPr>
            </w:pPr>
            <w:r>
              <w:rPr>
                <w:rFonts w:ascii="宋体" w:hAnsi="宋体" w:hint="eastAsia"/>
              </w:rPr>
              <w:t>20%</w:t>
            </w:r>
          </w:p>
        </w:tc>
      </w:tr>
      <w:tr>
        <w:tc>
          <w:tcPr>
            <w:tcW w:w="2511" w:type="dxa"/>
            <w:vAlign w:val="center"/>
          </w:tcPr>
          <w:p>
            <w:pPr>
              <w:jc w:val="center"/>
              <w:rPr>
                <w:rFonts w:ascii="宋体" w:hAnsi="宋体"/>
              </w:rPr>
            </w:pPr>
            <w:r>
              <w:rPr>
                <w:rFonts w:ascii="宋体" w:hAnsi="宋体" w:hint="eastAsia"/>
              </w:rPr>
              <w:t>南非</w:t>
            </w:r>
          </w:p>
        </w:tc>
        <w:tc>
          <w:tcPr>
            <w:tcW w:w="2026" w:type="dxa"/>
            <w:vAlign w:val="center"/>
          </w:tcPr>
          <w:p>
            <w:pPr>
              <w:jc w:val="center"/>
              <w:rPr>
                <w:rFonts w:ascii="宋体" w:hAnsi="宋体"/>
              </w:rPr>
            </w:pPr>
            <w:r>
              <w:rPr>
                <w:rFonts w:ascii="宋体" w:hAnsi="宋体" w:hint="eastAsia"/>
              </w:rPr>
              <w:t>企业所得税</w:t>
            </w:r>
          </w:p>
        </w:tc>
        <w:tc>
          <w:tcPr>
            <w:tcW w:w="2130" w:type="dxa"/>
            <w:vAlign w:val="center"/>
          </w:tcPr>
          <w:p>
            <w:pPr>
              <w:jc w:val="center"/>
              <w:rPr>
                <w:rFonts w:ascii="宋体" w:hAnsi="宋体"/>
              </w:rPr>
            </w:pPr>
            <w:r>
              <w:rPr>
                <w:rFonts w:ascii="宋体" w:hAnsi="宋体" w:hint="eastAsia"/>
              </w:rPr>
              <w:t>应纳税所得额</w:t>
            </w:r>
          </w:p>
        </w:tc>
        <w:tc>
          <w:tcPr>
            <w:tcW w:w="2381" w:type="dxa"/>
            <w:vAlign w:val="center"/>
          </w:tcPr>
          <w:p>
            <w:pPr>
              <w:jc w:val="center"/>
              <w:rPr>
                <w:rFonts w:ascii="宋体" w:hAnsi="宋体"/>
              </w:rPr>
            </w:pPr>
            <w:r>
              <w:rPr>
                <w:rFonts w:ascii="宋体" w:hAnsi="宋体" w:hint="eastAsia"/>
              </w:rPr>
              <w:t>27%</w:t>
            </w:r>
          </w:p>
        </w:tc>
      </w:tr>
      <w:tr>
        <w:tc>
          <w:tcPr>
            <w:tcW w:w="2511" w:type="dxa"/>
            <w:vAlign w:val="center"/>
          </w:tcPr>
          <w:p>
            <w:pPr>
              <w:jc w:val="center"/>
              <w:rPr>
                <w:rFonts w:ascii="宋体" w:hAnsi="宋体"/>
              </w:rPr>
            </w:pPr>
            <w:r>
              <w:rPr>
                <w:rFonts w:ascii="宋体" w:hAnsi="宋体" w:hint="eastAsia"/>
              </w:rPr>
              <w:t>智利</w:t>
            </w:r>
          </w:p>
        </w:tc>
        <w:tc>
          <w:tcPr>
            <w:tcW w:w="2026" w:type="dxa"/>
            <w:vAlign w:val="center"/>
          </w:tcPr>
          <w:p>
            <w:pPr>
              <w:jc w:val="center"/>
              <w:rPr>
                <w:rFonts w:ascii="宋体" w:hAnsi="宋体"/>
              </w:rPr>
            </w:pPr>
            <w:r>
              <w:rPr>
                <w:rFonts w:ascii="宋体" w:hAnsi="宋体" w:hint="eastAsia"/>
              </w:rPr>
              <w:t>企业所得税</w:t>
            </w:r>
          </w:p>
        </w:tc>
        <w:tc>
          <w:tcPr>
            <w:tcW w:w="2130" w:type="dxa"/>
            <w:vAlign w:val="center"/>
          </w:tcPr>
          <w:p>
            <w:pPr>
              <w:jc w:val="center"/>
              <w:rPr>
                <w:rFonts w:ascii="宋体" w:hAnsi="宋体"/>
              </w:rPr>
            </w:pPr>
            <w:r>
              <w:rPr>
                <w:rFonts w:ascii="宋体" w:hAnsi="宋体" w:hint="eastAsia"/>
              </w:rPr>
              <w:t>应纳税所得额</w:t>
            </w:r>
          </w:p>
        </w:tc>
        <w:tc>
          <w:tcPr>
            <w:tcW w:w="2381" w:type="dxa"/>
            <w:vAlign w:val="center"/>
          </w:tcPr>
          <w:p>
            <w:pPr>
              <w:jc w:val="center"/>
              <w:rPr>
                <w:rFonts w:ascii="宋体" w:hAnsi="宋体"/>
              </w:rPr>
            </w:pPr>
            <w:r>
              <w:rPr>
                <w:rFonts w:ascii="宋体" w:hAnsi="宋体" w:hint="eastAsia"/>
              </w:rPr>
              <w:t>10%或25%</w:t>
            </w:r>
          </w:p>
        </w:tc>
      </w:tr>
      <w:tr>
        <w:tc>
          <w:tcPr>
            <w:tcW w:w="2511" w:type="dxa"/>
            <w:vAlign w:val="center"/>
          </w:tcPr>
          <w:p>
            <w:pPr>
              <w:jc w:val="center"/>
              <w:rPr>
                <w:rFonts w:ascii="宋体" w:hAnsi="宋体"/>
              </w:rPr>
            </w:pPr>
            <w:r>
              <w:rPr>
                <w:rFonts w:ascii="宋体" w:hAnsi="宋体" w:hint="eastAsia"/>
              </w:rPr>
              <w:t>波兰</w:t>
            </w:r>
          </w:p>
        </w:tc>
        <w:tc>
          <w:tcPr>
            <w:tcW w:w="2026" w:type="dxa"/>
            <w:vAlign w:val="center"/>
          </w:tcPr>
          <w:p>
            <w:pPr>
              <w:jc w:val="center"/>
              <w:rPr>
                <w:rFonts w:ascii="宋体" w:hAnsi="宋体"/>
              </w:rPr>
            </w:pPr>
            <w:r>
              <w:rPr>
                <w:rFonts w:ascii="宋体" w:hAnsi="宋体" w:hint="eastAsia"/>
              </w:rPr>
              <w:t>企业所得税</w:t>
            </w:r>
          </w:p>
        </w:tc>
        <w:tc>
          <w:tcPr>
            <w:tcW w:w="2130" w:type="dxa"/>
            <w:vAlign w:val="center"/>
          </w:tcPr>
          <w:p>
            <w:pPr>
              <w:jc w:val="center"/>
              <w:rPr>
                <w:rFonts w:ascii="宋体" w:hAnsi="宋体"/>
              </w:rPr>
            </w:pPr>
            <w:r>
              <w:rPr>
                <w:rFonts w:ascii="宋体" w:hAnsi="宋体" w:hint="eastAsia"/>
              </w:rPr>
              <w:t>应纳税所得额</w:t>
            </w:r>
          </w:p>
        </w:tc>
        <w:tc>
          <w:tcPr>
            <w:tcW w:w="2381" w:type="dxa"/>
            <w:vAlign w:val="center"/>
          </w:tcPr>
          <w:p>
            <w:pPr>
              <w:jc w:val="center"/>
              <w:rPr>
                <w:rFonts w:ascii="宋体" w:hAnsi="宋体"/>
              </w:rPr>
            </w:pPr>
            <w:r>
              <w:rPr>
                <w:rFonts w:ascii="宋体" w:hAnsi="宋体" w:hint="eastAsia"/>
              </w:rPr>
              <w:t>19%</w:t>
            </w:r>
          </w:p>
        </w:tc>
      </w:tr>
    </w:tbl>
    <w:p>
      <w:pPr>
        <w:pStyle w:val="Style217"/>
      </w:pPr>
    </w:p>
    <w:p>
      <w:pPr>
        <w:pStyle w:val="Style178"/>
        <w:tabs>
          <w:tab w:val="left" w:pos="546"/>
        </w:tabs>
      </w:pPr>
      <w:r>
        <w:rPr>
          <w:rFonts w:hint="eastAsia"/>
        </w:rPr>
        <w:t>2</w:t>
      </w:r>
      <w:r>
        <w:rPr>
          <w:rFonts w:hint="eastAsia"/>
        </w:rPr>
        <w:t>、</w:t>
      </w:r>
      <w:r>
        <w:t>税收优惠</w:t>
      </w:r>
    </w:p>
    <w:sdt>
      <w:sdtPr>
        <w:rPr>
          <w:rFonts w:hint="eastAsia"/>
        </w:rPr>
        <w:alias w:val="是否适用：税收优惠[双击切换]"/>
        <w:tag w:val="_GBC_7b649dcf8ab54475bffc51edb3c33588"/>
        <w:id w:val="-38795616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优惠税赋及批文"/>
        <w:tag w:val="_GBC_3bbdacdaa3ba421fb8a81b9bda047bb4"/>
        <w:id w:val="-904071925"/>
        <w:placeholder>
          <w:docPart w:val="GBC22222222222222222222222222222"/>
        </w:placeholder>
      </w:sdtPr>
      <w:sdtContent>
        <w:p>
          <w:pPr>
            <w:ind w:firstLineChars="200" w:firstLine="420"/>
            <w:rPr>
              <w:rFonts w:ascii="宋体" w:hAnsi="宋体"/>
            </w:rPr>
          </w:pPr>
          <w:r>
            <w:rPr>
              <w:rFonts w:ascii="宋体" w:hAnsi="宋体" w:hint="eastAsia"/>
            </w:rPr>
            <w:t>（1）增值税税收优惠</w:t>
          </w:r>
        </w:p>
        <w:p>
          <w:pPr>
            <w:ind w:firstLineChars="200" w:firstLine="420"/>
            <w:rPr>
              <w:rFonts w:ascii="宋体" w:hAnsi="宋体"/>
            </w:rPr>
          </w:pPr>
          <w:r>
            <w:rPr>
              <w:rFonts w:ascii="宋体" w:hAnsi="宋体" w:hint="eastAsia"/>
            </w:rPr>
            <w:t>根据财政部、税务总局《关于增值税小规模纳税人减免增值税政策的公告》2023年第19号，自2023年8月1日至2027年12月31日，允许增值税小规模纳税人适用3%征收率的应税销售收入，减按1%征收率征收增值税；适用3%预征率的预缴增值税项目，减按1%预征率预缴增值税。</w:t>
          </w:r>
        </w:p>
        <w:p>
          <w:pPr>
            <w:ind w:firstLineChars="200" w:firstLine="420"/>
            <w:rPr>
              <w:rFonts w:ascii="宋体" w:hAnsi="宋体"/>
            </w:rPr>
          </w:pPr>
          <w:r>
            <w:rPr>
              <w:rFonts w:ascii="宋体" w:hAnsi="宋体" w:hint="eastAsia"/>
            </w:rPr>
            <w:t>根据财政部、国家税务总局关于印发《资源综合利用产品和劳务增值税优惠目录》的通知(财税(2015)78号)本集团之下属子公司兖煤菏泽能化有限公司赵楼煤矿及山东兖矿济三电力有限公司享受电力、热力实现的增值税即征即退50%的政策。</w:t>
          </w:r>
        </w:p>
        <w:p>
          <w:pPr>
            <w:ind w:firstLineChars="200" w:firstLine="420"/>
            <w:rPr>
              <w:rFonts w:ascii="宋体" w:hAnsi="宋体"/>
            </w:rPr>
          </w:pPr>
          <w:r>
            <w:rPr>
              <w:rFonts w:ascii="宋体" w:hAnsi="宋体" w:hint="eastAsia"/>
            </w:rPr>
            <w:t>（2）资源税税收优惠</w:t>
          </w:r>
        </w:p>
        <w:p>
          <w:pPr>
            <w:ind w:firstLineChars="200" w:firstLine="420"/>
            <w:rPr>
              <w:rFonts w:ascii="宋体" w:hAnsi="宋体"/>
            </w:rPr>
          </w:pPr>
          <w:r>
            <w:rPr>
              <w:rFonts w:ascii="宋体" w:hAnsi="宋体" w:hint="eastAsia"/>
            </w:rPr>
            <w:t>根据《财政部、国家税务总局关于实施煤炭资源税改革的通知》（财税〔2014〕72号）对衰竭期煤矿开采的煤炭，资源税减征30%。衰竭期煤矿，是指剩余可采储量下降到原设计可采储量的20%（含）以下，或者剩余服务年限不超过5年的煤矿。本集团南屯煤矿、鲍店煤矿、兴隆庄煤矿、济宁二号煤矿自2015年起享受此优惠。杨村煤矿自2017年起享受此优惠。</w:t>
          </w:r>
        </w:p>
        <w:p>
          <w:pPr>
            <w:ind w:firstLineChars="200" w:firstLine="420"/>
            <w:rPr>
              <w:rFonts w:ascii="宋体" w:hAnsi="宋体"/>
            </w:rPr>
          </w:pPr>
          <w:r>
            <w:rPr>
              <w:rFonts w:ascii="宋体" w:hAnsi="宋体" w:hint="eastAsia"/>
            </w:rPr>
            <w:t>（3）企业所得税税收优惠</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843"/>
            <w:gridCol w:w="1496"/>
          </w:tblGrid>
          <w:tr>
            <w:trPr>
              <w:trHeight w:val="397"/>
              <w:tblHeader/>
              <w:jc w:val="center"/>
            </w:trPr>
            <w:tc>
              <w:tcPr>
                <w:tcW w:w="5240" w:type="dxa"/>
                <w:shd w:val="clear" w:color="auto" w:fill="auto"/>
                <w:vAlign w:val="center"/>
              </w:tcPr>
              <w:p>
                <w:pPr>
                  <w:ind w:firstLineChars="200" w:firstLine="422"/>
                  <w:jc w:val="center"/>
                  <w:rPr>
                    <w:rFonts w:ascii="宋体" w:hAnsi="宋体" w:cs="宋体"/>
                    <w:b/>
                    <w:bCs/>
                    <w:color w:val="000000"/>
                  </w:rPr>
                </w:pPr>
                <w:r>
                  <w:rPr>
                    <w:rFonts w:ascii="宋体" w:hAnsi="宋体" w:cs="宋体" w:hint="eastAsia"/>
                    <w:b/>
                    <w:bCs/>
                    <w:color w:val="000000"/>
                  </w:rPr>
                  <w:t>子公司</w:t>
                </w:r>
              </w:p>
            </w:tc>
            <w:tc>
              <w:tcPr>
                <w:tcW w:w="1843" w:type="dxa"/>
                <w:shd w:val="clear" w:color="auto" w:fill="auto"/>
                <w:vAlign w:val="center"/>
              </w:tcPr>
              <w:p>
                <w:pPr>
                  <w:ind w:firstLineChars="200" w:firstLine="422"/>
                  <w:jc w:val="center"/>
                  <w:rPr>
                    <w:rFonts w:ascii="宋体" w:hAnsi="宋体" w:cs="宋体"/>
                    <w:b/>
                    <w:bCs/>
                    <w:color w:val="000000"/>
                  </w:rPr>
                </w:pPr>
                <w:r>
                  <w:rPr>
                    <w:rFonts w:ascii="宋体" w:hAnsi="宋体" w:cs="宋体" w:hint="eastAsia"/>
                    <w:b/>
                    <w:bCs/>
                    <w:color w:val="000000"/>
                  </w:rPr>
                  <w:t>税率</w:t>
                </w:r>
              </w:p>
            </w:tc>
            <w:tc>
              <w:tcPr>
                <w:tcW w:w="1496" w:type="dxa"/>
                <w:shd w:val="clear" w:color="auto" w:fill="auto"/>
                <w:vAlign w:val="center"/>
              </w:tcPr>
              <w:p>
                <w:pPr>
                  <w:ind w:firstLineChars="200" w:firstLine="422"/>
                  <w:jc w:val="center"/>
                  <w:rPr>
                    <w:rFonts w:ascii="宋体" w:hAnsi="宋体" w:cs="宋体"/>
                    <w:b/>
                    <w:bCs/>
                    <w:color w:val="000000"/>
                  </w:rPr>
                </w:pPr>
                <w:r>
                  <w:rPr>
                    <w:rFonts w:ascii="宋体" w:hAnsi="宋体" w:cs="宋体" w:hint="eastAsia"/>
                    <w:b/>
                    <w:bCs/>
                    <w:color w:val="000000"/>
                  </w:rPr>
                  <w:t>注释</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鄂尔多斯市转龙湾煤炭有限公司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内蒙古荣信化工有限公司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兖州煤业榆林能化有限公司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陕西未来能源化工有限公司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鄂尔多斯市锋威光电有限公司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内蒙古昊盛煤业有限公司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内蒙古蒙达铁路有限公司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lastRenderedPageBreak/>
                  <w:t>新汶矿业集团（伊犁）能源开发有限责任公司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伊犁新矿煤业有限责任公司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陕西正通煤业有限责任公司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内蒙古黄陶勒盖煤炭有限责任公司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平凉五举煤业有限公司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内蒙古双欣矿业有限公司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注1</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兖矿东华重工有限公司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兖矿集团邹城金通橡胶有限公司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山东兖矿集团长龙电缆制造有限公司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兖矿集团唐村实业有限公司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兖矿榆林精细化工有限公司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兖矿鲁南化工有限公司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兖矿济宁化工装备有限公司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卡松科技股份有限公司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山东兖矿国拓科技工程股份有限公司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兖矿新疆矿业有限公司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兖矿新疆煤化工有限公司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山东盟鲁采矿工程有限公司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上海钢软信息技术工程股份有限公司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物泊（上海）数字科技有限公司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陕西未来清洁化学品有限公司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陕西博选科技有限公司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陕西长武亭南煤业有限责任公司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rPr>
                </w:pPr>
                <w:r>
                  <w:rPr>
                    <w:rFonts w:ascii="宋体" w:hAnsi="宋体" w:cs="宋体" w:hint="eastAsia"/>
                  </w:rPr>
                  <w:t>淄博爱科工矿机械有限公司</w:t>
                </w:r>
              </w:p>
            </w:tc>
            <w:tc>
              <w:tcPr>
                <w:tcW w:w="1843" w:type="dxa"/>
                <w:shd w:val="clear" w:color="auto" w:fill="auto"/>
                <w:vAlign w:val="center"/>
              </w:tcPr>
              <w:p>
                <w:pPr>
                  <w:ind w:firstLineChars="200" w:firstLine="420"/>
                  <w:jc w:val="center"/>
                  <w:rPr>
                    <w:rFonts w:ascii="宋体" w:hAnsi="宋体" w:cs="宋体"/>
                  </w:rPr>
                </w:pPr>
                <w:r>
                  <w:rPr>
                    <w:rFonts w:ascii="宋体" w:hAnsi="宋体" w:cs="宋体" w:hint="eastAsia"/>
                  </w:rPr>
                  <w:t>15%</w:t>
                </w:r>
              </w:p>
            </w:tc>
            <w:tc>
              <w:tcPr>
                <w:tcW w:w="1496" w:type="dxa"/>
                <w:shd w:val="clear" w:color="auto" w:fill="auto"/>
                <w:noWrap/>
                <w:vAlign w:val="center"/>
              </w:tcPr>
              <w:p>
                <w:pPr>
                  <w:ind w:firstLineChars="200" w:firstLine="420"/>
                  <w:jc w:val="center"/>
                  <w:rPr>
                    <w:rFonts w:ascii="宋体" w:hAnsi="宋体" w:cs="宋体"/>
                  </w:rPr>
                </w:pPr>
                <w:r>
                  <w:rPr>
                    <w:rFonts w:ascii="宋体" w:hAnsi="宋体" w:cs="宋体" w:hint="eastAsia"/>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甘肃灵台邵寨煤业有限公司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注2</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端信供应链（深圳）有限公司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15%</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注3</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山东兖煤航运有限公司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邹城诚验材料检测试验有限公司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河南中原云工有限责任公司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内蒙古物泊科技有限公司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连云港物云智能科技有限公司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邯郸市物泊物流科技有限公司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物泊车联网（深圳）有限公司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lastRenderedPageBreak/>
                  <w:t>连云港星链物流有限公司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四川物泊科技有限公司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山东山港舟道物泊信息科技有限公司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物泊科技（祁县）有限公司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宁波物泊明程物流有限公司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山西晋钢物泊运输有限公司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物泊国际物流（营口）有限公司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物泊科技（武安）有限公司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物泊科技(乌鲁木齐)有限公司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物泊科技(新疆)有限公司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天津物泊供应链管理有限公司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物泊科技(江苏)有限公司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贵州物泊科技有限公司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重庆物泊快一点科技有限公司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湖南物泊智慧物流科技有限公司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蚂蚁城（西安）科技有限公司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r>
            <w:trPr>
              <w:trHeight w:val="397"/>
              <w:jc w:val="center"/>
            </w:trPr>
            <w:tc>
              <w:tcPr>
                <w:tcW w:w="5240" w:type="dxa"/>
                <w:shd w:val="clear" w:color="auto" w:fill="auto"/>
                <w:noWrap/>
                <w:vAlign w:val="center"/>
              </w:tcPr>
              <w:p>
                <w:pPr>
                  <w:ind w:firstLineChars="200" w:firstLine="420"/>
                  <w:rPr>
                    <w:rFonts w:ascii="宋体" w:hAnsi="宋体" w:cs="宋体"/>
                    <w:color w:val="000000"/>
                  </w:rPr>
                </w:pPr>
                <w:r>
                  <w:rPr>
                    <w:rFonts w:ascii="宋体" w:hAnsi="宋体" w:cs="宋体" w:hint="eastAsia"/>
                    <w:color w:val="000000"/>
                  </w:rPr>
                  <w:t>山西物泊绿能第一运输有限公司</w:t>
                </w:r>
              </w:p>
            </w:tc>
            <w:tc>
              <w:tcPr>
                <w:tcW w:w="1843" w:type="dxa"/>
                <w:shd w:val="clear" w:color="auto" w:fill="auto"/>
                <w:vAlign w:val="center"/>
              </w:tcPr>
              <w:p>
                <w:pPr>
                  <w:ind w:firstLineChars="200" w:firstLine="420"/>
                  <w:jc w:val="center"/>
                  <w:rPr>
                    <w:rFonts w:ascii="宋体" w:hAnsi="宋体" w:cs="宋体"/>
                    <w:color w:val="000000"/>
                  </w:rPr>
                </w:pPr>
                <w:r>
                  <w:rPr>
                    <w:rFonts w:ascii="宋体" w:hAnsi="宋体" w:cs="宋体" w:hint="eastAsia"/>
                    <w:color w:val="000000"/>
                  </w:rPr>
                  <w:t>20%</w:t>
                </w:r>
              </w:p>
            </w:tc>
            <w:tc>
              <w:tcPr>
                <w:tcW w:w="1496" w:type="dxa"/>
                <w:shd w:val="clear" w:color="auto" w:fill="auto"/>
                <w:noWrap/>
                <w:vAlign w:val="center"/>
              </w:tcPr>
              <w:p>
                <w:pPr>
                  <w:ind w:firstLineChars="200" w:firstLine="420"/>
                  <w:jc w:val="center"/>
                  <w:rPr>
                    <w:rFonts w:ascii="宋体" w:hAnsi="宋体" w:cs="宋体"/>
                    <w:color w:val="000000"/>
                  </w:rPr>
                </w:pPr>
                <w:r>
                  <w:rPr>
                    <w:rFonts w:ascii="宋体" w:hAnsi="宋体" w:cs="宋体" w:hint="eastAsia"/>
                    <w:color w:val="000000"/>
                  </w:rPr>
                  <w:t>注4</w:t>
                </w:r>
              </w:p>
            </w:tc>
          </w:tr>
        </w:tbl>
        <w:p>
          <w:pPr>
            <w:ind w:firstLineChars="200" w:firstLine="420"/>
            <w:rPr>
              <w:rFonts w:ascii="宋体" w:hAnsi="宋体"/>
            </w:rPr>
          </w:pPr>
        </w:p>
        <w:p>
          <w:pPr>
            <w:ind w:firstLineChars="200" w:firstLine="420"/>
            <w:rPr>
              <w:rFonts w:ascii="宋体" w:hAnsi="宋体"/>
            </w:rPr>
          </w:pPr>
          <w:r>
            <w:rPr>
              <w:rFonts w:ascii="宋体" w:hAnsi="宋体" w:hint="eastAsia"/>
            </w:rPr>
            <w:t>注1：鄂尔多斯市转龙湾煤炭有限公司、内蒙古荣信化工有限公司、兖州煤业榆林能化有限公司、陕西未来能源化工有限公司、鄂尔多斯市锋威光电有限公司、内蒙古昊盛煤业有限公司、内蒙古蒙达铁路有限公司、新汶矿业集团（伊犁）能源开发有限责任公司、伊犁新矿煤业有限责任公司、陕西正通煤业有限责任公司、内蒙古黄陶勒盖煤炭有限责任公司、平凉五举煤业有限公司和内蒙古双欣矿业有限公司，根据《中共中央国务院关于深入实施西部大开发战略的若干意见》(中发〔2010〕11号)、《按照财政部、税务总局、国家发展改革委关于延续西部大开发企业所得税政策的公告》(财税发2020年第23号)的相关规定，符合西部大开发鼓励类产业优惠政策条件，适用的企业所得税税率为15%。其中内蒙古荣信化工有限公司、兖州煤业榆林能化有限公司、陕西未来能源化工有限公司除可享受西部大开发企业所得税优惠政策外，亦具备高新技术企业资质，其在企业所得税申报时选择适用西部大开发相关优惠政策。</w:t>
          </w:r>
        </w:p>
        <w:p>
          <w:pPr>
            <w:ind w:firstLineChars="200" w:firstLine="420"/>
            <w:rPr>
              <w:rFonts w:ascii="宋体" w:hAnsi="宋体"/>
            </w:rPr>
          </w:pPr>
          <w:r>
            <w:rPr>
              <w:rFonts w:ascii="宋体" w:hAnsi="宋体" w:hint="eastAsia"/>
            </w:rPr>
            <w:t>注2：兖矿东华重工有限公司、兖矿集团邹城金通橡胶有限公司、山东兖矿集团长龙电缆制造有限公司、兖矿集团唐村实业有限公司、兖矿榆林精细化工有限公司、兖矿鲁南化工有限公司、兖矿济宁化工装备有限公司、卡松科技股份有限公司、山东兖矿国拓科技工程股份有限公司、兖矿新疆矿业有限公司、兖矿新疆煤化工有限公司、上海钢软信息技术工程股份有限公司、物泊（上海）数字科技有限公司、山东盟鲁采矿工程有限公司、陕西未来清洁化学品有限公司、陕西博选科技有限公司、陕西长武亭南煤业有限责任公司、淄博爱科工矿机械有限公司和甘肃灵台邵寨煤业有限公司，获得高新技术企业认定，符合科技部财政部国家税务总局《关于修订印发高新技术企业认定管理办法的通知》国家国科发火（2016）32号和《关于修订印发高新技术企业认定管理工作指引的通知》国科发火（2016）195号、《中华人民共和国企业所得税法》第二十八条、《中华人民共和国企业所得税法实施条例》第九十三条的相关规定，适用的企业所得税税率为15%。</w:t>
          </w:r>
        </w:p>
        <w:p>
          <w:pPr>
            <w:ind w:firstLineChars="200" w:firstLine="420"/>
            <w:rPr>
              <w:rFonts w:ascii="宋体" w:hAnsi="宋体"/>
            </w:rPr>
          </w:pPr>
          <w:r>
            <w:rPr>
              <w:rFonts w:ascii="宋体" w:hAnsi="宋体" w:hint="eastAsia"/>
            </w:rPr>
            <w:t>注3：端信供应链（深圳）有限公司根据财政部、国家税务总局《关于广东横琴新区福建平潭综合实验区深圳前海深港现代服务业合作区企业所得税优惠政策及优惠目录的通知》（财税</w:t>
          </w:r>
          <w:r>
            <w:rPr>
              <w:rFonts w:ascii="宋体" w:hAnsi="宋体" w:hint="eastAsia"/>
            </w:rPr>
            <w:lastRenderedPageBreak/>
            <w:t>〔2014〕26号）的规定，对设在横琴新区、平潭综合实验区和前海深港现代服务业合作区的鼓励类产业企业减按15%的税率征收企业所得税。</w:t>
          </w:r>
        </w:p>
        <w:p>
          <w:pPr>
            <w:ind w:firstLineChars="200" w:firstLine="420"/>
          </w:pPr>
          <w:r>
            <w:rPr>
              <w:rFonts w:ascii="宋体" w:hAnsi="宋体" w:hint="eastAsia"/>
            </w:rPr>
            <w:t>注4：山东兖煤航运有限公司、邹城诚验材料检测试验有限公司、河南中原云工有限责任公司、内蒙古物泊科技有限公司、连云港物云智能科技有限公司、邯郸市物泊物流科技有限公司、物泊车联网（深圳）有限公司、连云港星链物流有限公司、四川物泊科技有限公司、山东山港舟道物泊信息科技有限公司、物泊科技（祁县）有限公司、宁波物泊明程物流有限公司、山西晋钢物泊运输有限公司、物泊国际物流（营口）有限公司、物泊科技（武安）有限公司、物泊科技(乌鲁木齐)有限公司、物泊科技(新疆)有限公司、天津物泊供应链管理有限公司、物泊科技(江苏)有限公司、贵州物泊科技有限公司、重庆物泊快一点科技有限公司、湖南物泊智慧物流科技有限公司、山西物泊绿能第一运输有限公司和蚂蚁城（西安）科技有限公司属于符合小型微利企业认定标准的企业，根据财政部、税务总局《关于进一步支持小微企业和个体工商户发展有关税费政策的公告》（财税〔2023〕12号）规定，小微企业即：从事国家非限制和禁止行业，同时满足年度应纳税所得额不超过300万元、从业人数不超过300人、资产总额不超过5000万元等三项条件。根据政策规定，其应纳税所得额减按25%计入后，按20%税率缴纳企业所得税（实际税负5%），该项优惠政策执行期限延续至2027年12月31日。</w:t>
          </w:r>
        </w:p>
      </w:sdtContent>
    </w:sdt>
    <w:p>
      <w:pPr>
        <w:rPr>
          <w:rFonts w:asciiTheme="minorEastAsia" w:eastAsiaTheme="minorEastAsia" w:hAnsiTheme="minorEastAsia"/>
        </w:rPr>
      </w:pPr>
    </w:p>
    <w:p>
      <w:pPr>
        <w:pStyle w:val="Style178"/>
        <w:tabs>
          <w:tab w:val="left" w:pos="546"/>
        </w:tabs>
      </w:pPr>
      <w:r>
        <w:rPr>
          <w:rFonts w:hint="eastAsia"/>
        </w:rPr>
        <w:t>3</w:t>
      </w:r>
      <w:r>
        <w:rPr>
          <w:rFonts w:hint="eastAsia"/>
        </w:rPr>
        <w:t>、</w:t>
      </w:r>
      <w:r>
        <w:t>其他</w:t>
      </w:r>
    </w:p>
    <w:sdt>
      <w:sdtPr>
        <w:rPr>
          <w:rFonts w:hint="eastAsia"/>
        </w:rPr>
        <w:alias w:val="是否适用：税项说明[双击切换]"/>
        <w:tag w:val="_GBC_cb15d487e8d84ad7877bd8820156d381"/>
        <w:id w:val="21809847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rPr>
      </w:pPr>
      <w:r>
        <w:rPr>
          <w:rFonts w:hint="eastAsia"/>
        </w:rPr>
        <w:t>合并财务报表项目注释</w:t>
      </w:r>
    </w:p>
    <w:p>
      <w:pPr>
        <w:pStyle w:val="Style178"/>
        <w:numPr>
          <w:ilvl w:val="0"/>
          <w:numId w:val="75"/>
        </w:numPr>
        <w:rPr>
          <w:szCs w:val="21"/>
        </w:rPr>
      </w:pPr>
      <w:r>
        <w:rPr>
          <w:szCs w:val="21"/>
        </w:rPr>
        <w:t>货币资金</w:t>
      </w:r>
    </w:p>
    <w:sdt>
      <w:sdtPr>
        <w:rPr>
          <w:rFonts w:hint="eastAsia"/>
        </w:rPr>
        <w:alias w:val="是否适用：货币资金[双击切换]"/>
        <w:tag w:val="_GBC_7583a9a918ef405ba2d26448cc628ff5"/>
        <w:id w:val="-1271770692"/>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rPr>
            <w:rFonts w:hint="eastAsia"/>
          </w:rPr>
          <w:alias w:val="单位：财务附注：货币资金"/>
          <w:tag w:val="_GBC_837f4fb04cac4b8aa6bed7dc457a1486"/>
          <w:id w:val="-654992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货币资金"/>
          <w:tag w:val="_GBC_6a1d907ad1af44b1a90a92ac03d51b34"/>
          <w:id w:val="-646533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275"/>
        <w:gridCol w:w="3379"/>
        <w:gridCol w:w="3404"/>
      </w:tblGrid>
      <w:tr>
        <w:trPr>
          <w:cantSplit/>
        </w:trPr>
        <w:sdt>
          <w:sdtPr>
            <w:tag w:val="_PLD_640e7daf451b4f14ba49162bfbbd1e72"/>
            <w:id w:val="-468431922"/>
          </w:sdtPr>
          <w:sdtContent>
            <w:tc>
              <w:tcPr>
                <w:tcW w:w="2275" w:type="dxa"/>
                <w:vAlign w:val="center"/>
              </w:tcPr>
              <w:p>
                <w:pPr>
                  <w:autoSpaceDE w:val="0"/>
                  <w:autoSpaceDN w:val="0"/>
                  <w:adjustRightInd w:val="0"/>
                  <w:snapToGrid w:val="0"/>
                  <w:spacing w:line="240" w:lineRule="atLeast"/>
                  <w:jc w:val="center"/>
                </w:pPr>
                <w:r>
                  <w:rPr>
                    <w:rFonts w:hint="eastAsia"/>
                  </w:rPr>
                  <w:t>项目</w:t>
                </w:r>
              </w:p>
            </w:tc>
          </w:sdtContent>
        </w:sdt>
        <w:sdt>
          <w:sdtPr>
            <w:tag w:val="_PLD_79d1e78073b542bda1ea85bf8925b2cd"/>
            <w:id w:val="2008097569"/>
          </w:sdtPr>
          <w:sdtContent>
            <w:tc>
              <w:tcPr>
                <w:tcW w:w="3379" w:type="dxa"/>
                <w:vAlign w:val="center"/>
              </w:tcPr>
              <w:p>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408462953"/>
          </w:sdtPr>
          <w:sdtContent>
            <w:tc>
              <w:tcPr>
                <w:tcW w:w="3404" w:type="dxa"/>
                <w:vAlign w:val="center"/>
              </w:tcPr>
              <w:p>
                <w:pPr>
                  <w:autoSpaceDE w:val="0"/>
                  <w:autoSpaceDN w:val="0"/>
                  <w:adjustRightInd w:val="0"/>
                  <w:snapToGrid w:val="0"/>
                  <w:spacing w:line="240" w:lineRule="atLeast"/>
                  <w:jc w:val="center"/>
                </w:pPr>
                <w:r>
                  <w:rPr>
                    <w:rFonts w:hint="eastAsia"/>
                  </w:rPr>
                  <w:t>期初余额</w:t>
                </w:r>
              </w:p>
            </w:tc>
          </w:sdtContent>
        </w:sdt>
      </w:tr>
      <w:tr>
        <w:trPr>
          <w:cantSplit/>
        </w:trPr>
        <w:tc>
          <w:tcPr>
            <w:tcW w:w="2275" w:type="dxa"/>
            <w:vAlign w:val="center"/>
          </w:tcPr>
          <w:p>
            <w:pPr>
              <w:autoSpaceDE w:val="0"/>
              <w:autoSpaceDN w:val="0"/>
              <w:adjustRightInd w:val="0"/>
              <w:snapToGrid w:val="0"/>
              <w:spacing w:line="240" w:lineRule="atLeast"/>
            </w:pPr>
            <w:r>
              <w:rPr>
                <w:rFonts w:hint="eastAsia"/>
              </w:rPr>
              <w:t>库存现金</w:t>
            </w:r>
          </w:p>
        </w:tc>
        <w:tc>
          <w:tcPr>
            <w:tcW w:w="3379" w:type="dxa"/>
            <w:vAlign w:val="center"/>
          </w:tcPr>
          <w:p>
            <w:pPr>
              <w:autoSpaceDE w:val="0"/>
              <w:autoSpaceDN w:val="0"/>
              <w:adjustRightInd w:val="0"/>
              <w:snapToGrid w:val="0"/>
              <w:spacing w:line="240" w:lineRule="atLeast"/>
              <w:jc w:val="right"/>
              <w:rPr>
                <w:rFonts w:ascii="宋体" w:hAnsi="宋体"/>
              </w:rPr>
            </w:pPr>
            <w:r>
              <w:rPr>
                <w:rFonts w:ascii="宋体" w:hAnsi="宋体" w:cs="宋体" w:hint="eastAsia"/>
              </w:rPr>
              <w:t>144</w:t>
            </w:r>
          </w:p>
        </w:tc>
        <w:tc>
          <w:tcPr>
            <w:tcW w:w="3404" w:type="dxa"/>
            <w:vAlign w:val="center"/>
          </w:tcPr>
          <w:p>
            <w:pPr>
              <w:autoSpaceDE w:val="0"/>
              <w:autoSpaceDN w:val="0"/>
              <w:adjustRightInd w:val="0"/>
              <w:snapToGrid w:val="0"/>
              <w:spacing w:line="240" w:lineRule="atLeast"/>
              <w:jc w:val="right"/>
              <w:rPr>
                <w:rFonts w:ascii="宋体" w:hAnsi="宋体"/>
              </w:rPr>
            </w:pPr>
            <w:r>
              <w:rPr>
                <w:rFonts w:ascii="宋体" w:hAnsi="宋体" w:cs="宋体" w:hint="eastAsia"/>
              </w:rPr>
              <w:t>204</w:t>
            </w:r>
          </w:p>
        </w:tc>
      </w:tr>
      <w:tr>
        <w:trPr>
          <w:cantSplit/>
        </w:trPr>
        <w:tc>
          <w:tcPr>
            <w:tcW w:w="2275" w:type="dxa"/>
            <w:vAlign w:val="center"/>
          </w:tcPr>
          <w:p>
            <w:pPr>
              <w:autoSpaceDE w:val="0"/>
              <w:autoSpaceDN w:val="0"/>
              <w:adjustRightInd w:val="0"/>
              <w:snapToGrid w:val="0"/>
              <w:spacing w:line="240" w:lineRule="atLeast"/>
            </w:pPr>
            <w:r>
              <w:rPr>
                <w:rFonts w:hint="eastAsia"/>
              </w:rPr>
              <w:t>银行存款</w:t>
            </w:r>
          </w:p>
        </w:tc>
        <w:tc>
          <w:tcPr>
            <w:tcW w:w="3379" w:type="dxa"/>
          </w:tcPr>
          <w:p>
            <w:pPr>
              <w:autoSpaceDE w:val="0"/>
              <w:autoSpaceDN w:val="0"/>
              <w:adjustRightInd w:val="0"/>
              <w:snapToGrid w:val="0"/>
              <w:spacing w:line="240" w:lineRule="atLeast"/>
              <w:jc w:val="right"/>
              <w:rPr>
                <w:rFonts w:ascii="宋体" w:hAnsi="宋体"/>
              </w:rPr>
            </w:pPr>
            <w:r>
              <w:rPr>
                <w:rFonts w:ascii="宋体" w:hAnsi="宋体"/>
              </w:rPr>
              <w:t>26,676,411</w:t>
            </w:r>
          </w:p>
        </w:tc>
        <w:tc>
          <w:tcPr>
            <w:tcW w:w="3404" w:type="dxa"/>
            <w:vAlign w:val="center"/>
          </w:tcPr>
          <w:p>
            <w:pPr>
              <w:autoSpaceDE w:val="0"/>
              <w:autoSpaceDN w:val="0"/>
              <w:adjustRightInd w:val="0"/>
              <w:snapToGrid w:val="0"/>
              <w:spacing w:line="240" w:lineRule="atLeast"/>
              <w:jc w:val="right"/>
              <w:rPr>
                <w:rFonts w:ascii="宋体" w:hAnsi="宋体"/>
              </w:rPr>
            </w:pPr>
            <w:r>
              <w:rPr>
                <w:rFonts w:ascii="宋体" w:hAnsi="宋体" w:cs="宋体" w:hint="eastAsia"/>
              </w:rPr>
              <w:t>31,485,086</w:t>
            </w:r>
          </w:p>
        </w:tc>
      </w:tr>
      <w:tr>
        <w:trPr>
          <w:cantSplit/>
        </w:trPr>
        <w:tc>
          <w:tcPr>
            <w:tcW w:w="2275" w:type="dxa"/>
            <w:vAlign w:val="center"/>
          </w:tcPr>
          <w:p>
            <w:pPr>
              <w:autoSpaceDE w:val="0"/>
              <w:autoSpaceDN w:val="0"/>
              <w:adjustRightInd w:val="0"/>
              <w:snapToGrid w:val="0"/>
              <w:spacing w:line="240" w:lineRule="atLeast"/>
            </w:pPr>
            <w:r>
              <w:rPr>
                <w:rFonts w:hint="eastAsia"/>
              </w:rPr>
              <w:t>其他货币资金</w:t>
            </w:r>
          </w:p>
        </w:tc>
        <w:tc>
          <w:tcPr>
            <w:tcW w:w="3379" w:type="dxa"/>
          </w:tcPr>
          <w:p>
            <w:pPr>
              <w:autoSpaceDE w:val="0"/>
              <w:autoSpaceDN w:val="0"/>
              <w:adjustRightInd w:val="0"/>
              <w:snapToGrid w:val="0"/>
              <w:spacing w:line="240" w:lineRule="atLeast"/>
              <w:jc w:val="right"/>
              <w:rPr>
                <w:rFonts w:ascii="宋体" w:hAnsi="宋体"/>
              </w:rPr>
            </w:pPr>
            <w:r>
              <w:rPr>
                <w:rFonts w:ascii="宋体" w:hAnsi="宋体"/>
              </w:rPr>
              <w:t>10,751,470</w:t>
            </w:r>
          </w:p>
        </w:tc>
        <w:tc>
          <w:tcPr>
            <w:tcW w:w="3404" w:type="dxa"/>
            <w:vAlign w:val="center"/>
          </w:tcPr>
          <w:p>
            <w:pPr>
              <w:autoSpaceDE w:val="0"/>
              <w:autoSpaceDN w:val="0"/>
              <w:adjustRightInd w:val="0"/>
              <w:snapToGrid w:val="0"/>
              <w:spacing w:line="240" w:lineRule="atLeast"/>
              <w:jc w:val="right"/>
              <w:rPr>
                <w:rFonts w:ascii="宋体" w:hAnsi="宋体"/>
              </w:rPr>
            </w:pPr>
            <w:r>
              <w:rPr>
                <w:rFonts w:ascii="宋体" w:hAnsi="宋体" w:cs="宋体" w:hint="eastAsia"/>
              </w:rPr>
              <w:t>9,593,301</w:t>
            </w:r>
          </w:p>
        </w:tc>
      </w:tr>
      <w:tr>
        <w:trPr>
          <w:cantSplit/>
        </w:trPr>
        <w:tc>
          <w:tcPr>
            <w:tcW w:w="2275" w:type="dxa"/>
            <w:vAlign w:val="center"/>
          </w:tcPr>
          <w:p>
            <w:pPr>
              <w:autoSpaceDE w:val="0"/>
              <w:autoSpaceDN w:val="0"/>
              <w:adjustRightInd w:val="0"/>
              <w:snapToGrid w:val="0"/>
              <w:spacing w:line="240" w:lineRule="atLeast"/>
            </w:pPr>
            <w:r>
              <w:rPr>
                <w:rFonts w:hint="eastAsia"/>
              </w:rPr>
              <w:t>合计</w:t>
            </w:r>
          </w:p>
        </w:tc>
        <w:tc>
          <w:tcPr>
            <w:tcW w:w="3379" w:type="dxa"/>
            <w:vAlign w:val="center"/>
          </w:tcPr>
          <w:p>
            <w:pPr>
              <w:autoSpaceDE w:val="0"/>
              <w:autoSpaceDN w:val="0"/>
              <w:adjustRightInd w:val="0"/>
              <w:snapToGrid w:val="0"/>
              <w:spacing w:line="240" w:lineRule="atLeast"/>
              <w:jc w:val="right"/>
              <w:rPr>
                <w:rFonts w:ascii="宋体" w:hAnsi="宋体"/>
              </w:rPr>
            </w:pPr>
            <w:r>
              <w:rPr>
                <w:rFonts w:ascii="宋体" w:hAnsi="宋体" w:cs="宋体" w:hint="eastAsia"/>
              </w:rPr>
              <w:t>37,428,025</w:t>
            </w:r>
          </w:p>
        </w:tc>
        <w:tc>
          <w:tcPr>
            <w:tcW w:w="3404" w:type="dxa"/>
            <w:vAlign w:val="center"/>
          </w:tcPr>
          <w:p>
            <w:pPr>
              <w:autoSpaceDE w:val="0"/>
              <w:autoSpaceDN w:val="0"/>
              <w:adjustRightInd w:val="0"/>
              <w:snapToGrid w:val="0"/>
              <w:spacing w:line="240" w:lineRule="atLeast"/>
              <w:jc w:val="right"/>
              <w:rPr>
                <w:rFonts w:ascii="宋体" w:hAnsi="宋体"/>
              </w:rPr>
            </w:pPr>
            <w:r>
              <w:rPr>
                <w:rFonts w:ascii="宋体" w:hAnsi="宋体" w:cs="宋体" w:hint="eastAsia"/>
              </w:rPr>
              <w:t>41,078,591</w:t>
            </w:r>
          </w:p>
        </w:tc>
      </w:tr>
      <w:tr>
        <w:trPr>
          <w:cantSplit/>
        </w:trPr>
        <w:tc>
          <w:tcPr>
            <w:tcW w:w="2275" w:type="dxa"/>
            <w:vAlign w:val="center"/>
          </w:tcPr>
          <w:p>
            <w:pPr>
              <w:autoSpaceDE w:val="0"/>
              <w:autoSpaceDN w:val="0"/>
              <w:adjustRightInd w:val="0"/>
              <w:snapToGrid w:val="0"/>
              <w:ind w:firstLineChars="200" w:firstLine="420"/>
            </w:pPr>
            <w:r>
              <w:rPr>
                <w:rFonts w:hint="eastAsia"/>
              </w:rPr>
              <w:t>其中：存放在境外的款项总额</w:t>
            </w:r>
          </w:p>
        </w:tc>
        <w:tc>
          <w:tcPr>
            <w:tcW w:w="3379" w:type="dxa"/>
            <w:vAlign w:val="center"/>
          </w:tcPr>
          <w:p>
            <w:pPr>
              <w:autoSpaceDE w:val="0"/>
              <w:autoSpaceDN w:val="0"/>
              <w:adjustRightInd w:val="0"/>
              <w:snapToGrid w:val="0"/>
              <w:spacing w:line="240" w:lineRule="atLeast"/>
              <w:jc w:val="right"/>
              <w:rPr>
                <w:rFonts w:ascii="宋体" w:hAnsi="宋体"/>
              </w:rPr>
            </w:pPr>
            <w:r>
              <w:rPr>
                <w:rFonts w:ascii="宋体" w:hAnsi="宋体" w:cs="宋体" w:hint="eastAsia"/>
              </w:rPr>
              <w:t>11,683,039</w:t>
            </w:r>
          </w:p>
        </w:tc>
        <w:tc>
          <w:tcPr>
            <w:tcW w:w="3404" w:type="dxa"/>
            <w:vAlign w:val="center"/>
          </w:tcPr>
          <w:p>
            <w:pPr>
              <w:autoSpaceDE w:val="0"/>
              <w:autoSpaceDN w:val="0"/>
              <w:adjustRightInd w:val="0"/>
              <w:snapToGrid w:val="0"/>
              <w:spacing w:line="240" w:lineRule="atLeast"/>
              <w:jc w:val="right"/>
              <w:rPr>
                <w:rFonts w:ascii="宋体" w:hAnsi="宋体"/>
              </w:rPr>
            </w:pPr>
            <w:r>
              <w:rPr>
                <w:rFonts w:ascii="宋体" w:hAnsi="宋体" w:cs="宋体" w:hint="eastAsia"/>
              </w:rPr>
              <w:t>13,155,149</w:t>
            </w:r>
          </w:p>
        </w:tc>
      </w:tr>
    </w:tbl>
    <w:p>
      <w:pPr>
        <w:pStyle w:val="Style217"/>
      </w:pPr>
    </w:p>
    <w:p>
      <w:pPr>
        <w:pStyle w:val="Style217"/>
      </w:pPr>
      <w:r>
        <w:rPr>
          <w:rFonts w:hint="eastAsia"/>
        </w:rPr>
        <w:t>其他说明：</w:t>
      </w:r>
    </w:p>
    <w:sdt>
      <w:sdtPr>
        <w:alias w:val="货币资金的说明"/>
        <w:tag w:val="_GBC_672a863055084dfabbc1ba40f04a68b4"/>
        <w:id w:val="1446969586"/>
        <w:placeholder>
          <w:docPart w:val="GBC22222222222222222222222222222"/>
        </w:placeholder>
      </w:sdtPr>
      <w:sdtContent>
        <w:p>
          <w:pPr>
            <w:pStyle w:val="Style217"/>
          </w:pPr>
          <w:r>
            <w:t>本集团限制用途的资金主要包括</w:t>
          </w:r>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275"/>
            <w:gridCol w:w="3379"/>
            <w:gridCol w:w="3404"/>
          </w:tblGrid>
          <w:tr>
            <w:trPr>
              <w:cantSplit/>
            </w:trPr>
            <w:tc>
              <w:tcPr>
                <w:tcW w:w="2275" w:type="dxa"/>
                <w:vAlign w:val="center"/>
              </w:tcPr>
              <w:p>
                <w:pPr>
                  <w:autoSpaceDE w:val="0"/>
                  <w:autoSpaceDN w:val="0"/>
                  <w:adjustRightInd w:val="0"/>
                  <w:snapToGrid w:val="0"/>
                  <w:spacing w:line="240" w:lineRule="atLeast"/>
                  <w:jc w:val="center"/>
                </w:pPr>
                <w:r>
                  <w:rPr>
                    <w:rFonts w:ascii="宋体" w:hAnsi="宋体" w:hint="eastAsia"/>
                    <w:color w:val="000000"/>
                  </w:rPr>
                  <w:t>项目</w:t>
                </w:r>
              </w:p>
            </w:tc>
            <w:tc>
              <w:tcPr>
                <w:tcW w:w="3379" w:type="dxa"/>
                <w:vAlign w:val="center"/>
              </w:tcPr>
              <w:p>
                <w:pPr>
                  <w:autoSpaceDE w:val="0"/>
                  <w:autoSpaceDN w:val="0"/>
                  <w:adjustRightInd w:val="0"/>
                  <w:snapToGrid w:val="0"/>
                  <w:spacing w:line="240" w:lineRule="atLeast"/>
                  <w:jc w:val="center"/>
                </w:pPr>
                <w:r>
                  <w:rPr>
                    <w:rFonts w:ascii="宋体" w:hAnsi="宋体" w:hint="eastAsia"/>
                    <w:color w:val="000000"/>
                  </w:rPr>
                  <w:t>期末余额</w:t>
                </w:r>
              </w:p>
            </w:tc>
            <w:tc>
              <w:tcPr>
                <w:tcW w:w="3404" w:type="dxa"/>
                <w:vAlign w:val="center"/>
              </w:tcPr>
              <w:p>
                <w:pPr>
                  <w:autoSpaceDE w:val="0"/>
                  <w:autoSpaceDN w:val="0"/>
                  <w:adjustRightInd w:val="0"/>
                  <w:snapToGrid w:val="0"/>
                  <w:spacing w:line="240" w:lineRule="atLeast"/>
                  <w:jc w:val="center"/>
                </w:pPr>
                <w:r>
                  <w:rPr>
                    <w:rFonts w:ascii="宋体" w:hAnsi="宋体" w:hint="eastAsia"/>
                    <w:color w:val="000000"/>
                  </w:rPr>
                  <w:t>期初余额</w:t>
                </w:r>
              </w:p>
            </w:tc>
          </w:tr>
          <w:tr>
            <w:trPr>
              <w:cantSplit/>
            </w:trPr>
            <w:tc>
              <w:tcPr>
                <w:tcW w:w="2275" w:type="dxa"/>
                <w:vAlign w:val="center"/>
              </w:tcPr>
              <w:p>
                <w:pPr>
                  <w:autoSpaceDE w:val="0"/>
                  <w:autoSpaceDN w:val="0"/>
                  <w:adjustRightInd w:val="0"/>
                  <w:snapToGrid w:val="0"/>
                  <w:spacing w:line="240" w:lineRule="atLeast"/>
                </w:pPr>
                <w:r>
                  <w:rPr>
                    <w:rFonts w:ascii="宋体" w:hAnsi="宋体" w:hint="eastAsia"/>
                    <w:color w:val="000000"/>
                  </w:rPr>
                  <w:t>票据及信用证保证金</w:t>
                </w:r>
              </w:p>
            </w:tc>
            <w:tc>
              <w:tcPr>
                <w:tcW w:w="3379" w:type="dxa"/>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color w:val="000000"/>
                  </w:rPr>
                  <w:t>3,170,035</w:t>
                </w:r>
              </w:p>
            </w:tc>
            <w:tc>
              <w:tcPr>
                <w:tcW w:w="3404" w:type="dxa"/>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color w:val="000000"/>
                  </w:rPr>
                  <w:t>3,459,211</w:t>
                </w:r>
              </w:p>
            </w:tc>
          </w:tr>
          <w:tr>
            <w:trPr>
              <w:cantSplit/>
            </w:trPr>
            <w:tc>
              <w:tcPr>
                <w:tcW w:w="2275" w:type="dxa"/>
                <w:vAlign w:val="center"/>
              </w:tcPr>
              <w:p>
                <w:pPr>
                  <w:autoSpaceDE w:val="0"/>
                  <w:autoSpaceDN w:val="0"/>
                  <w:adjustRightInd w:val="0"/>
                  <w:snapToGrid w:val="0"/>
                  <w:spacing w:line="240" w:lineRule="atLeast"/>
                </w:pPr>
                <w:r>
                  <w:rPr>
                    <w:rFonts w:ascii="宋体" w:hAnsi="宋体" w:hint="eastAsia"/>
                    <w:color w:val="000000"/>
                  </w:rPr>
                  <w:t>环境恢复治理基金</w:t>
                </w:r>
              </w:p>
            </w:tc>
            <w:tc>
              <w:tcPr>
                <w:tcW w:w="3379" w:type="dxa"/>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color w:val="000000"/>
                  </w:rPr>
                  <w:t>5,495,680</w:t>
                </w:r>
              </w:p>
            </w:tc>
            <w:tc>
              <w:tcPr>
                <w:tcW w:w="3404" w:type="dxa"/>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color w:val="000000"/>
                  </w:rPr>
                  <w:t>4,761,678</w:t>
                </w:r>
              </w:p>
            </w:tc>
          </w:tr>
          <w:tr>
            <w:trPr>
              <w:cantSplit/>
            </w:trPr>
            <w:tc>
              <w:tcPr>
                <w:tcW w:w="2275" w:type="dxa"/>
                <w:vAlign w:val="center"/>
              </w:tcPr>
              <w:p>
                <w:pPr>
                  <w:autoSpaceDE w:val="0"/>
                  <w:autoSpaceDN w:val="0"/>
                  <w:adjustRightInd w:val="0"/>
                  <w:snapToGrid w:val="0"/>
                  <w:spacing w:line="240" w:lineRule="atLeast"/>
                </w:pPr>
                <w:r>
                  <w:rPr>
                    <w:rFonts w:ascii="宋体" w:hAnsi="宋体" w:hint="eastAsia"/>
                    <w:color w:val="000000"/>
                  </w:rPr>
                  <w:t>法定存款保证金</w:t>
                </w:r>
              </w:p>
            </w:tc>
            <w:tc>
              <w:tcPr>
                <w:tcW w:w="3379" w:type="dxa"/>
                <w:shd w:val="clear" w:color="auto" w:fill="auto"/>
                <w:vAlign w:val="center"/>
              </w:tcPr>
              <w:p>
                <w:pPr>
                  <w:autoSpaceDE w:val="0"/>
                  <w:autoSpaceDN w:val="0"/>
                  <w:adjustRightInd w:val="0"/>
                  <w:snapToGrid w:val="0"/>
                  <w:spacing w:line="240" w:lineRule="atLeast"/>
                  <w:jc w:val="right"/>
                  <w:rPr>
                    <w:rFonts w:ascii="宋体" w:hAnsi="宋体" w:cs="宋体"/>
                  </w:rPr>
                </w:pPr>
                <w:r>
                  <w:rPr>
                    <w:rFonts w:ascii="宋体" w:hAnsi="宋体"/>
                    <w:color w:val="000000"/>
                  </w:rPr>
                  <w:t>1,575,697</w:t>
                </w:r>
              </w:p>
            </w:tc>
            <w:tc>
              <w:tcPr>
                <w:tcW w:w="3404" w:type="dxa"/>
                <w:shd w:val="clear" w:color="auto" w:fill="auto"/>
                <w:vAlign w:val="center"/>
              </w:tcPr>
              <w:p>
                <w:pPr>
                  <w:autoSpaceDE w:val="0"/>
                  <w:autoSpaceDN w:val="0"/>
                  <w:adjustRightInd w:val="0"/>
                  <w:snapToGrid w:val="0"/>
                  <w:spacing w:line="240" w:lineRule="atLeast"/>
                  <w:jc w:val="right"/>
                  <w:rPr>
                    <w:rFonts w:ascii="宋体" w:hAnsi="宋体" w:cs="宋体"/>
                  </w:rPr>
                </w:pPr>
                <w:r>
                  <w:rPr>
                    <w:rFonts w:ascii="宋体" w:hAnsi="宋体"/>
                    <w:color w:val="000000"/>
                  </w:rPr>
                  <w:t>1,232,669</w:t>
                </w:r>
              </w:p>
            </w:tc>
          </w:tr>
          <w:tr>
            <w:trPr>
              <w:cantSplit/>
            </w:trPr>
            <w:tc>
              <w:tcPr>
                <w:tcW w:w="2275" w:type="dxa"/>
                <w:vAlign w:val="center"/>
              </w:tcPr>
              <w:p>
                <w:pPr>
                  <w:autoSpaceDE w:val="0"/>
                  <w:autoSpaceDN w:val="0"/>
                  <w:adjustRightInd w:val="0"/>
                  <w:snapToGrid w:val="0"/>
                  <w:spacing w:line="240" w:lineRule="atLeast"/>
                </w:pPr>
                <w:r>
                  <w:rPr>
                    <w:rFonts w:ascii="宋体" w:hAnsi="宋体" w:hint="eastAsia"/>
                    <w:color w:val="000000"/>
                  </w:rPr>
                  <w:t>冻结资金</w:t>
                </w:r>
              </w:p>
            </w:tc>
            <w:tc>
              <w:tcPr>
                <w:tcW w:w="3379" w:type="dxa"/>
                <w:shd w:val="clear" w:color="auto" w:fill="auto"/>
                <w:vAlign w:val="center"/>
              </w:tcPr>
              <w:p>
                <w:pPr>
                  <w:autoSpaceDE w:val="0"/>
                  <w:autoSpaceDN w:val="0"/>
                  <w:adjustRightInd w:val="0"/>
                  <w:snapToGrid w:val="0"/>
                  <w:spacing w:line="240" w:lineRule="atLeast"/>
                  <w:jc w:val="right"/>
                  <w:rPr>
                    <w:rFonts w:ascii="宋体" w:hAnsi="宋体" w:cs="宋体"/>
                  </w:rPr>
                </w:pPr>
                <w:r>
                  <w:rPr>
                    <w:rFonts w:ascii="宋体" w:hAnsi="宋体"/>
                    <w:color w:val="000000"/>
                  </w:rPr>
                  <w:t>31,996</w:t>
                </w:r>
              </w:p>
            </w:tc>
            <w:tc>
              <w:tcPr>
                <w:tcW w:w="3404" w:type="dxa"/>
                <w:shd w:val="clear" w:color="auto" w:fill="auto"/>
                <w:vAlign w:val="center"/>
              </w:tcPr>
              <w:p>
                <w:pPr>
                  <w:autoSpaceDE w:val="0"/>
                  <w:autoSpaceDN w:val="0"/>
                  <w:adjustRightInd w:val="0"/>
                  <w:snapToGrid w:val="0"/>
                  <w:spacing w:line="240" w:lineRule="atLeast"/>
                  <w:jc w:val="right"/>
                  <w:rPr>
                    <w:rFonts w:ascii="宋体" w:hAnsi="宋体" w:cs="宋体"/>
                  </w:rPr>
                </w:pPr>
                <w:r>
                  <w:rPr>
                    <w:rFonts w:ascii="宋体" w:hAnsi="宋体"/>
                    <w:color w:val="000000"/>
                  </w:rPr>
                  <w:t>16,504</w:t>
                </w:r>
              </w:p>
            </w:tc>
          </w:tr>
          <w:tr>
            <w:trPr>
              <w:cantSplit/>
            </w:trPr>
            <w:tc>
              <w:tcPr>
                <w:tcW w:w="2275" w:type="dxa"/>
                <w:vAlign w:val="center"/>
              </w:tcPr>
              <w:p>
                <w:pPr>
                  <w:autoSpaceDE w:val="0"/>
                  <w:autoSpaceDN w:val="0"/>
                  <w:adjustRightInd w:val="0"/>
                  <w:snapToGrid w:val="0"/>
                  <w:spacing w:line="240" w:lineRule="atLeast"/>
                </w:pPr>
                <w:r>
                  <w:rPr>
                    <w:rFonts w:ascii="宋体" w:hAnsi="宋体" w:hint="eastAsia"/>
                    <w:color w:val="000000"/>
                  </w:rPr>
                  <w:t>质押的定期存款</w:t>
                </w:r>
              </w:p>
            </w:tc>
            <w:tc>
              <w:tcPr>
                <w:tcW w:w="3379" w:type="dxa"/>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color w:val="000000"/>
                  </w:rPr>
                  <w:t>3,340</w:t>
                </w:r>
              </w:p>
            </w:tc>
            <w:tc>
              <w:tcPr>
                <w:tcW w:w="3404" w:type="dxa"/>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color w:val="000000"/>
                  </w:rPr>
                  <w:t>14,720</w:t>
                </w:r>
              </w:p>
            </w:tc>
          </w:tr>
          <w:tr>
            <w:trPr>
              <w:cantSplit/>
            </w:trPr>
            <w:tc>
              <w:tcPr>
                <w:tcW w:w="2275" w:type="dxa"/>
                <w:vAlign w:val="center"/>
              </w:tcPr>
              <w:p>
                <w:pPr>
                  <w:autoSpaceDE w:val="0"/>
                  <w:autoSpaceDN w:val="0"/>
                  <w:adjustRightInd w:val="0"/>
                  <w:snapToGrid w:val="0"/>
                  <w:spacing w:line="240" w:lineRule="atLeast"/>
                </w:pPr>
                <w:r>
                  <w:rPr>
                    <w:rFonts w:ascii="宋体" w:hAnsi="宋体" w:hint="eastAsia"/>
                    <w:color w:val="000000"/>
                  </w:rPr>
                  <w:t>其他保证金</w:t>
                </w:r>
              </w:p>
            </w:tc>
            <w:tc>
              <w:tcPr>
                <w:tcW w:w="3379" w:type="dxa"/>
                <w:shd w:val="clear" w:color="auto" w:fill="auto"/>
              </w:tcPr>
              <w:p>
                <w:pPr>
                  <w:autoSpaceDE w:val="0"/>
                  <w:autoSpaceDN w:val="0"/>
                  <w:adjustRightInd w:val="0"/>
                  <w:snapToGrid w:val="0"/>
                  <w:spacing w:line="240" w:lineRule="atLeast"/>
                  <w:jc w:val="right"/>
                  <w:rPr>
                    <w:rFonts w:ascii="宋体" w:hAnsi="宋体"/>
                  </w:rPr>
                </w:pPr>
                <w:r>
                  <w:rPr>
                    <w:rFonts w:ascii="宋体" w:hAnsi="宋体"/>
                  </w:rPr>
                  <w:t>474,722</w:t>
                </w:r>
              </w:p>
            </w:tc>
            <w:tc>
              <w:tcPr>
                <w:tcW w:w="3404" w:type="dxa"/>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hint="eastAsia"/>
                    <w:color w:val="000000"/>
                  </w:rPr>
                  <w:t>108,519</w:t>
                </w:r>
              </w:p>
            </w:tc>
          </w:tr>
          <w:tr>
            <w:trPr>
              <w:cantSplit/>
            </w:trPr>
            <w:tc>
              <w:tcPr>
                <w:tcW w:w="2275" w:type="dxa"/>
                <w:vAlign w:val="center"/>
              </w:tcPr>
              <w:p>
                <w:pPr>
                  <w:autoSpaceDE w:val="0"/>
                  <w:autoSpaceDN w:val="0"/>
                  <w:adjustRightInd w:val="0"/>
                  <w:snapToGrid w:val="0"/>
                  <w:ind w:firstLineChars="200" w:firstLine="420"/>
                </w:pPr>
                <w:r>
                  <w:rPr>
                    <w:rFonts w:ascii="宋体" w:hAnsi="宋体" w:hint="eastAsia"/>
                    <w:color w:val="000000"/>
                  </w:rPr>
                  <w:t>合计</w:t>
                </w:r>
              </w:p>
            </w:tc>
            <w:tc>
              <w:tcPr>
                <w:tcW w:w="3379" w:type="dxa"/>
                <w:shd w:val="clear" w:color="auto" w:fill="auto"/>
              </w:tcPr>
              <w:p>
                <w:pPr>
                  <w:autoSpaceDE w:val="0"/>
                  <w:autoSpaceDN w:val="0"/>
                  <w:adjustRightInd w:val="0"/>
                  <w:snapToGrid w:val="0"/>
                  <w:spacing w:line="240" w:lineRule="atLeast"/>
                  <w:jc w:val="right"/>
                  <w:rPr>
                    <w:rFonts w:ascii="宋体" w:hAnsi="宋体"/>
                  </w:rPr>
                </w:pPr>
                <w:r>
                  <w:rPr>
                    <w:rFonts w:ascii="宋体" w:hAnsi="宋体"/>
                  </w:rPr>
                  <w:t>10,751,470</w:t>
                </w:r>
              </w:p>
            </w:tc>
            <w:tc>
              <w:tcPr>
                <w:tcW w:w="3404" w:type="dxa"/>
                <w:shd w:val="clear" w:color="auto" w:fill="auto"/>
                <w:vAlign w:val="center"/>
              </w:tcPr>
              <w:p>
                <w:pPr>
                  <w:autoSpaceDE w:val="0"/>
                  <w:autoSpaceDN w:val="0"/>
                  <w:adjustRightInd w:val="0"/>
                  <w:snapToGrid w:val="0"/>
                  <w:spacing w:line="240" w:lineRule="atLeast"/>
                  <w:jc w:val="right"/>
                  <w:rPr>
                    <w:rFonts w:ascii="宋体" w:hAnsi="宋体"/>
                  </w:rPr>
                </w:pPr>
                <w:r>
                  <w:rPr>
                    <w:rFonts w:ascii="宋体" w:hAnsi="宋体" w:hint="eastAsia"/>
                    <w:color w:val="000000"/>
                  </w:rPr>
                  <w:t>9,593,301</w:t>
                </w:r>
              </w:p>
            </w:tc>
          </w:tr>
        </w:tbl>
        <w:p>
          <w:pPr>
            <w:pStyle w:val="Style217"/>
          </w:pPr>
        </w:p>
      </w:sdtContent>
    </w:sdt>
    <w:p>
      <w:pPr>
        <w:pStyle w:val="Style217"/>
      </w:pPr>
    </w:p>
    <w:p>
      <w:pPr>
        <w:pStyle w:val="Style178"/>
        <w:numPr>
          <w:ilvl w:val="0"/>
          <w:numId w:val="75"/>
        </w:numPr>
        <w:rPr>
          <w:szCs w:val="21"/>
        </w:rPr>
      </w:pPr>
      <w:r>
        <w:rPr>
          <w:szCs w:val="21"/>
        </w:rPr>
        <w:t>交易性金融资产</w:t>
      </w:r>
    </w:p>
    <w:sdt>
      <w:sdtPr>
        <w:alias w:val="是否适用：交易性金融资产[双击切换]"/>
        <w:tag w:val="_GBC_c852c730c6fa4a3e8930f5cbbab9909f"/>
        <w:id w:val="-202739621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left="420" w:right="44"/>
        <w:jc w:val="right"/>
      </w:pPr>
      <w:r>
        <w:rPr>
          <w:rFonts w:hint="eastAsia"/>
        </w:rPr>
        <w:t>单位：</w:t>
      </w:r>
      <w:sdt>
        <w:sdtPr>
          <w:rPr>
            <w:rFonts w:hint="eastAsia"/>
          </w:rPr>
          <w:alias w:val="单位：财务附注：交易性金融资产"/>
          <w:tag w:val="_GBC_cba5007820a8401a8539607d9d055f75"/>
          <w:id w:val="-7055704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交易性金融资产"/>
          <w:tag w:val="_GBC_e8e3367ec5e14f73842c7a3ca8b264a2"/>
          <w:id w:val="10369302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2068"/>
        <w:gridCol w:w="2086"/>
        <w:gridCol w:w="2087"/>
      </w:tblGrid>
      <w:tr>
        <w:sdt>
          <w:sdtPr>
            <w:tag w:val="_PLD_3b99f59eccaa43478dfbfc184cd2ce48"/>
            <w:id w:val="-1060399222"/>
          </w:sdtPr>
          <w:sdtContent>
            <w:tc>
              <w:tcPr>
                <w:tcW w:w="2808" w:type="dxa"/>
                <w:vAlign w:val="center"/>
              </w:tcPr>
              <w:p>
                <w:pPr>
                  <w:jc w:val="center"/>
                </w:pPr>
                <w:r>
                  <w:rPr>
                    <w:rFonts w:hint="eastAsia"/>
                  </w:rPr>
                  <w:t>项目</w:t>
                </w:r>
              </w:p>
            </w:tc>
          </w:sdtContent>
        </w:sdt>
        <w:sdt>
          <w:sdtPr>
            <w:tag w:val="_PLD_caf9d9000b3e44c1817249ef4121d5db"/>
            <w:id w:val="-646666647"/>
          </w:sdtPr>
          <w:sdtContent>
            <w:tc>
              <w:tcPr>
                <w:tcW w:w="2068" w:type="dxa"/>
                <w:vAlign w:val="center"/>
              </w:tcPr>
              <w:p>
                <w:pPr>
                  <w:autoSpaceDE w:val="0"/>
                  <w:autoSpaceDN w:val="0"/>
                  <w:adjustRightInd w:val="0"/>
                  <w:snapToGrid w:val="0"/>
                  <w:spacing w:line="240" w:lineRule="atLeast"/>
                  <w:jc w:val="center"/>
                </w:pPr>
                <w:r>
                  <w:rPr>
                    <w:rFonts w:hint="eastAsia"/>
                  </w:rPr>
                  <w:t>期末余额</w:t>
                </w:r>
              </w:p>
            </w:tc>
          </w:sdtContent>
        </w:sdt>
        <w:sdt>
          <w:sdtPr>
            <w:tag w:val="_PLD_fd58d8f4bb044aef9b5735371503f591"/>
            <w:id w:val="1897161339"/>
          </w:sdtPr>
          <w:sdtContent>
            <w:tc>
              <w:tcPr>
                <w:tcW w:w="2086" w:type="dxa"/>
                <w:vAlign w:val="center"/>
              </w:tcPr>
              <w:p>
                <w:pPr>
                  <w:autoSpaceDE w:val="0"/>
                  <w:autoSpaceDN w:val="0"/>
                  <w:adjustRightInd w:val="0"/>
                  <w:snapToGrid w:val="0"/>
                  <w:spacing w:line="240" w:lineRule="atLeast"/>
                  <w:jc w:val="center"/>
                </w:pPr>
                <w:r>
                  <w:rPr>
                    <w:rFonts w:hint="eastAsia"/>
                  </w:rPr>
                  <w:t>期初余额</w:t>
                </w:r>
              </w:p>
            </w:tc>
          </w:sdtContent>
        </w:sdt>
        <w:tc>
          <w:tcPr>
            <w:tcW w:w="2087" w:type="dxa"/>
            <w:vAlign w:val="center"/>
          </w:tcPr>
          <w:sdt>
            <w:sdtPr>
              <w:tag w:val="_PLD_e55b7f6937ab489e93d6d5561f99f11e"/>
              <w:id w:val="1769892061"/>
            </w:sdtPr>
            <w:sdtContent>
              <w:p>
                <w:pPr>
                  <w:autoSpaceDE w:val="0"/>
                  <w:autoSpaceDN w:val="0"/>
                  <w:adjustRightInd w:val="0"/>
                  <w:snapToGrid w:val="0"/>
                  <w:spacing w:line="240" w:lineRule="atLeast"/>
                  <w:jc w:val="center"/>
                </w:pPr>
                <w:r>
                  <w:rPr>
                    <w:rFonts w:hint="eastAsia"/>
                  </w:rPr>
                  <w:t>指定理由和依据</w:t>
                </w:r>
              </w:p>
            </w:sdtContent>
          </w:sdt>
        </w:tc>
      </w:tr>
      <w:tr>
        <w:tc>
          <w:tcPr>
            <w:tcW w:w="2808" w:type="dxa"/>
            <w:vAlign w:val="center"/>
          </w:tcPr>
          <w:p>
            <w:pPr>
              <w:autoSpaceDE w:val="0"/>
              <w:autoSpaceDN w:val="0"/>
              <w:adjustRightInd w:val="0"/>
            </w:pPr>
            <w:r>
              <w:rPr>
                <w:rFonts w:hint="eastAsia"/>
              </w:rPr>
              <w:lastRenderedPageBreak/>
              <w:t>以公允价值计量且其变动计入当期损益的金融资产</w:t>
            </w:r>
          </w:p>
        </w:tc>
        <w:tc>
          <w:tcPr>
            <w:tcW w:w="2068" w:type="dxa"/>
            <w:vAlign w:val="center"/>
          </w:tcPr>
          <w:p>
            <w:pPr>
              <w:autoSpaceDE w:val="0"/>
              <w:autoSpaceDN w:val="0"/>
              <w:adjustRightInd w:val="0"/>
              <w:snapToGrid w:val="0"/>
              <w:spacing w:line="240" w:lineRule="atLeast"/>
              <w:jc w:val="right"/>
              <w:rPr>
                <w:rFonts w:ascii="宋体" w:hAnsi="宋体"/>
                <w:color w:val="000000"/>
              </w:rPr>
            </w:pPr>
            <w:r>
              <w:rPr>
                <w:rFonts w:ascii="宋体" w:hAnsi="宋体"/>
                <w:color w:val="000000"/>
              </w:rPr>
              <w:t>256,537</w:t>
            </w:r>
          </w:p>
        </w:tc>
        <w:tc>
          <w:tcPr>
            <w:tcW w:w="2086" w:type="dxa"/>
            <w:vAlign w:val="center"/>
          </w:tcPr>
          <w:p>
            <w:pPr>
              <w:autoSpaceDE w:val="0"/>
              <w:autoSpaceDN w:val="0"/>
              <w:adjustRightInd w:val="0"/>
              <w:snapToGrid w:val="0"/>
              <w:spacing w:line="240" w:lineRule="atLeast"/>
              <w:jc w:val="right"/>
              <w:rPr>
                <w:rFonts w:ascii="宋体" w:hAnsi="宋体"/>
                <w:color w:val="000000"/>
              </w:rPr>
            </w:pPr>
            <w:r>
              <w:rPr>
                <w:rFonts w:ascii="宋体" w:hAnsi="宋体" w:hint="eastAsia"/>
                <w:color w:val="000000"/>
              </w:rPr>
              <w:t>166,772</w:t>
            </w:r>
          </w:p>
        </w:tc>
        <w:tc>
          <w:tcPr>
            <w:tcW w:w="2087" w:type="dxa"/>
            <w:vAlign w:val="center"/>
          </w:tcPr>
          <w:p>
            <w:pPr>
              <w:jc w:val="right"/>
            </w:pPr>
            <w:r>
              <w:rPr>
                <w:rFonts w:hint="eastAsia"/>
              </w:rPr>
              <w:t>/</w:t>
            </w:r>
          </w:p>
        </w:tc>
      </w:tr>
      <w:tr>
        <w:sdt>
          <w:sdtPr>
            <w:rPr>
              <w:rFonts w:ascii="宋体" w:hAnsi="宋体"/>
            </w:rPr>
            <w:tag w:val="_PLD_147bedd0b80c463ab365e4b926d8c081"/>
            <w:id w:val="759337248"/>
          </w:sdtPr>
          <w:sdtContent>
            <w:tc>
              <w:tcPr>
                <w:tcW w:w="9049" w:type="dxa"/>
                <w:gridSpan w:val="4"/>
                <w:vAlign w:val="center"/>
              </w:tcPr>
              <w:p>
                <w:pPr>
                  <w:rPr>
                    <w:rFonts w:ascii="宋体" w:hAnsi="宋体"/>
                  </w:rPr>
                </w:pPr>
                <w:r>
                  <w:rPr>
                    <w:rFonts w:ascii="宋体" w:hAnsi="宋体" w:hint="eastAsia"/>
                  </w:rPr>
                  <w:t>其中：</w:t>
                </w:r>
              </w:p>
            </w:tc>
          </w:sdtContent>
        </w:sdt>
      </w:tr>
      <w:tr>
        <w:tc>
          <w:tcPr>
            <w:tcW w:w="2808" w:type="dxa"/>
            <w:vAlign w:val="center"/>
          </w:tcPr>
          <w:p>
            <w:pPr>
              <w:autoSpaceDE w:val="0"/>
              <w:autoSpaceDN w:val="0"/>
              <w:adjustRightInd w:val="0"/>
              <w:ind w:firstLineChars="270" w:firstLine="567"/>
              <w:rPr>
                <w:rFonts w:asciiTheme="minorEastAsia" w:eastAsiaTheme="minorEastAsia" w:hAnsiTheme="minorEastAsia"/>
              </w:rPr>
            </w:pPr>
            <w:r>
              <w:rPr>
                <w:rFonts w:asciiTheme="minorEastAsia" w:eastAsiaTheme="minorEastAsia" w:hAnsiTheme="minorEastAsia" w:hint="eastAsia"/>
                <w:color w:val="000000"/>
              </w:rPr>
              <w:t>特别收益权（注1）</w:t>
            </w:r>
          </w:p>
        </w:tc>
        <w:tc>
          <w:tcPr>
            <w:tcW w:w="2068" w:type="dxa"/>
            <w:vAlign w:val="center"/>
          </w:tcPr>
          <w:p>
            <w:pPr>
              <w:jc w:val="right"/>
              <w:rPr>
                <w:rFonts w:ascii="宋体" w:hAnsi="宋体"/>
              </w:rPr>
            </w:pPr>
            <w:r>
              <w:rPr>
                <w:rFonts w:ascii="宋体" w:hAnsi="宋体"/>
              </w:rPr>
              <w:t>80,514</w:t>
            </w:r>
          </w:p>
        </w:tc>
        <w:tc>
          <w:tcPr>
            <w:tcW w:w="2086" w:type="dxa"/>
            <w:vAlign w:val="center"/>
          </w:tcPr>
          <w:p>
            <w:pPr>
              <w:jc w:val="right"/>
              <w:rPr>
                <w:rFonts w:ascii="宋体" w:hAnsi="宋体"/>
              </w:rPr>
            </w:pPr>
            <w:r>
              <w:rPr>
                <w:rFonts w:ascii="宋体" w:hAnsi="宋体"/>
              </w:rPr>
              <w:t>88,987</w:t>
            </w:r>
          </w:p>
        </w:tc>
        <w:tc>
          <w:tcPr>
            <w:tcW w:w="2087" w:type="dxa"/>
            <w:vAlign w:val="center"/>
          </w:tcPr>
          <w:p>
            <w:pPr>
              <w:jc w:val="right"/>
              <w:rPr>
                <w:rFonts w:asciiTheme="minorEastAsia" w:eastAsiaTheme="minorEastAsia" w:hAnsiTheme="minorEastAsia"/>
              </w:rPr>
            </w:pPr>
            <w:r>
              <w:rPr>
                <w:rFonts w:asciiTheme="minorEastAsia" w:eastAsiaTheme="minorEastAsia" w:hAnsiTheme="minorEastAsia" w:hint="eastAsia"/>
              </w:rPr>
              <w:t>/</w:t>
            </w:r>
          </w:p>
        </w:tc>
      </w:tr>
      <w:tr>
        <w:tc>
          <w:tcPr>
            <w:tcW w:w="2808" w:type="dxa"/>
            <w:vAlign w:val="center"/>
          </w:tcPr>
          <w:p>
            <w:pPr>
              <w:autoSpaceDE w:val="0"/>
              <w:autoSpaceDN w:val="0"/>
              <w:adjustRightInd w:val="0"/>
              <w:ind w:firstLineChars="270" w:firstLine="567"/>
              <w:rPr>
                <w:rFonts w:asciiTheme="minorEastAsia" w:eastAsiaTheme="minorEastAsia" w:hAnsiTheme="minorEastAsia"/>
              </w:rPr>
            </w:pPr>
            <w:r>
              <w:rPr>
                <w:rFonts w:asciiTheme="minorEastAsia" w:eastAsiaTheme="minorEastAsia" w:hAnsiTheme="minorEastAsia" w:hint="eastAsia"/>
                <w:color w:val="000000"/>
              </w:rPr>
              <w:t>权益工具投资（注2）</w:t>
            </w:r>
          </w:p>
        </w:tc>
        <w:tc>
          <w:tcPr>
            <w:tcW w:w="2068" w:type="dxa"/>
            <w:vAlign w:val="center"/>
          </w:tcPr>
          <w:p>
            <w:pPr>
              <w:jc w:val="right"/>
              <w:rPr>
                <w:rFonts w:ascii="宋体" w:hAnsi="宋体"/>
              </w:rPr>
            </w:pPr>
            <w:r>
              <w:rPr>
                <w:rFonts w:ascii="宋体" w:hAnsi="宋体"/>
              </w:rPr>
              <w:t>668</w:t>
            </w:r>
          </w:p>
        </w:tc>
        <w:tc>
          <w:tcPr>
            <w:tcW w:w="2086" w:type="dxa"/>
            <w:vAlign w:val="center"/>
          </w:tcPr>
          <w:p>
            <w:pPr>
              <w:jc w:val="right"/>
              <w:rPr>
                <w:rFonts w:ascii="宋体" w:hAnsi="宋体"/>
              </w:rPr>
            </w:pPr>
            <w:r>
              <w:rPr>
                <w:rFonts w:ascii="宋体" w:hAnsi="宋体"/>
              </w:rPr>
              <w:t>481</w:t>
            </w:r>
          </w:p>
        </w:tc>
        <w:tc>
          <w:tcPr>
            <w:tcW w:w="2087" w:type="dxa"/>
            <w:vAlign w:val="center"/>
          </w:tcPr>
          <w:p>
            <w:pPr>
              <w:jc w:val="right"/>
              <w:rPr>
                <w:rFonts w:asciiTheme="minorEastAsia" w:eastAsiaTheme="minorEastAsia" w:hAnsiTheme="minorEastAsia"/>
              </w:rPr>
            </w:pPr>
            <w:r>
              <w:rPr>
                <w:rFonts w:asciiTheme="minorEastAsia" w:eastAsiaTheme="minorEastAsia" w:hAnsiTheme="minorEastAsia" w:hint="eastAsia"/>
              </w:rPr>
              <w:t>/</w:t>
            </w:r>
          </w:p>
        </w:tc>
      </w:tr>
      <w:tr>
        <w:tc>
          <w:tcPr>
            <w:tcW w:w="2808" w:type="dxa"/>
            <w:vAlign w:val="center"/>
          </w:tcPr>
          <w:p>
            <w:pPr>
              <w:autoSpaceDE w:val="0"/>
              <w:autoSpaceDN w:val="0"/>
              <w:adjustRightInd w:val="0"/>
              <w:ind w:firstLineChars="270" w:firstLine="567"/>
              <w:rPr>
                <w:rFonts w:asciiTheme="minorEastAsia" w:eastAsiaTheme="minorEastAsia" w:hAnsiTheme="minorEastAsia"/>
              </w:rPr>
            </w:pPr>
            <w:bookmarkStart w:id="375" w:name="_Hlk533595247"/>
            <w:r>
              <w:rPr>
                <w:rFonts w:asciiTheme="minorEastAsia" w:eastAsiaTheme="minorEastAsia" w:hAnsiTheme="minorEastAsia" w:hint="eastAsia"/>
                <w:color w:val="000000"/>
              </w:rPr>
              <w:t>或有对价（注3）</w:t>
            </w:r>
          </w:p>
        </w:tc>
        <w:tc>
          <w:tcPr>
            <w:tcW w:w="2068" w:type="dxa"/>
            <w:vAlign w:val="center"/>
          </w:tcPr>
          <w:p>
            <w:pPr>
              <w:jc w:val="right"/>
              <w:rPr>
                <w:rFonts w:ascii="宋体" w:hAnsi="宋体"/>
              </w:rPr>
            </w:pPr>
            <w:r>
              <w:rPr>
                <w:rFonts w:ascii="宋体" w:hAnsi="宋体"/>
              </w:rPr>
              <w:t>6,805</w:t>
            </w:r>
          </w:p>
        </w:tc>
        <w:tc>
          <w:tcPr>
            <w:tcW w:w="2086" w:type="dxa"/>
            <w:vAlign w:val="center"/>
          </w:tcPr>
          <w:p>
            <w:pPr>
              <w:jc w:val="right"/>
              <w:rPr>
                <w:rFonts w:ascii="宋体" w:hAnsi="宋体"/>
              </w:rPr>
            </w:pPr>
            <w:r>
              <w:rPr>
                <w:rFonts w:ascii="宋体" w:hAnsi="宋体"/>
              </w:rPr>
              <w:t>77,304</w:t>
            </w:r>
          </w:p>
        </w:tc>
        <w:tc>
          <w:tcPr>
            <w:tcW w:w="2087" w:type="dxa"/>
            <w:vAlign w:val="center"/>
          </w:tcPr>
          <w:p>
            <w:pPr>
              <w:jc w:val="right"/>
              <w:rPr>
                <w:rFonts w:asciiTheme="minorEastAsia" w:eastAsiaTheme="minorEastAsia" w:hAnsiTheme="minorEastAsia"/>
              </w:rPr>
            </w:pPr>
            <w:r>
              <w:rPr>
                <w:rFonts w:asciiTheme="minorEastAsia" w:eastAsiaTheme="minorEastAsia" w:hAnsiTheme="minorEastAsia" w:hint="eastAsia"/>
              </w:rPr>
              <w:t>/</w:t>
            </w:r>
          </w:p>
        </w:tc>
      </w:tr>
      <w:tr>
        <w:tc>
          <w:tcPr>
            <w:tcW w:w="2808" w:type="dxa"/>
            <w:vAlign w:val="center"/>
          </w:tcPr>
          <w:p>
            <w:pPr>
              <w:autoSpaceDE w:val="0"/>
              <w:autoSpaceDN w:val="0"/>
              <w:adjustRightInd w:val="0"/>
              <w:ind w:firstLineChars="270" w:firstLine="567"/>
              <w:rPr>
                <w:rFonts w:asciiTheme="minorEastAsia" w:eastAsiaTheme="minorEastAsia" w:hAnsiTheme="minorEastAsia"/>
              </w:rPr>
            </w:pPr>
            <w:r>
              <w:rPr>
                <w:rFonts w:asciiTheme="minorEastAsia" w:eastAsiaTheme="minorEastAsia" w:hAnsiTheme="minorEastAsia" w:hint="eastAsia"/>
                <w:color w:val="000000"/>
              </w:rPr>
              <w:t>货币基金（注4）</w:t>
            </w:r>
          </w:p>
        </w:tc>
        <w:tc>
          <w:tcPr>
            <w:tcW w:w="2068" w:type="dxa"/>
            <w:vAlign w:val="center"/>
          </w:tcPr>
          <w:p>
            <w:pPr>
              <w:jc w:val="right"/>
              <w:rPr>
                <w:rFonts w:ascii="宋体" w:hAnsi="宋体"/>
              </w:rPr>
            </w:pPr>
            <w:r>
              <w:rPr>
                <w:rFonts w:ascii="宋体" w:hAnsi="宋体"/>
                <w:color w:val="000000"/>
              </w:rPr>
              <w:t>168,550</w:t>
            </w:r>
          </w:p>
        </w:tc>
        <w:tc>
          <w:tcPr>
            <w:tcW w:w="2086" w:type="dxa"/>
            <w:vAlign w:val="center"/>
          </w:tcPr>
          <w:p>
            <w:pPr>
              <w:jc w:val="right"/>
              <w:rPr>
                <w:rFonts w:ascii="宋体" w:hAnsi="宋体"/>
              </w:rPr>
            </w:pPr>
          </w:p>
        </w:tc>
        <w:tc>
          <w:tcPr>
            <w:tcW w:w="2087" w:type="dxa"/>
            <w:vAlign w:val="center"/>
          </w:tcPr>
          <w:p>
            <w:pPr>
              <w:jc w:val="right"/>
              <w:rPr>
                <w:rFonts w:asciiTheme="minorEastAsia" w:eastAsiaTheme="minorEastAsia" w:hAnsiTheme="minorEastAsia"/>
              </w:rPr>
            </w:pPr>
            <w:r>
              <w:rPr>
                <w:rFonts w:asciiTheme="minorEastAsia" w:eastAsiaTheme="minorEastAsia" w:hAnsiTheme="minorEastAsia" w:hint="eastAsia"/>
              </w:rPr>
              <w:t>/</w:t>
            </w:r>
          </w:p>
        </w:tc>
      </w:tr>
      <w:bookmarkEnd w:id="375"/>
      <w:tr>
        <w:tc>
          <w:tcPr>
            <w:tcW w:w="2808" w:type="dxa"/>
            <w:vAlign w:val="center"/>
          </w:tcPr>
          <w:p>
            <w:pPr>
              <w:jc w:val="center"/>
              <w:rPr>
                <w:rFonts w:asciiTheme="minorEastAsia" w:eastAsiaTheme="minorEastAsia" w:hAnsiTheme="minorEastAsia"/>
              </w:rPr>
            </w:pPr>
            <w:r>
              <w:rPr>
                <w:rFonts w:asciiTheme="minorEastAsia" w:eastAsiaTheme="minorEastAsia" w:hAnsiTheme="minorEastAsia" w:hint="eastAsia"/>
              </w:rPr>
              <w:t>合计</w:t>
            </w:r>
          </w:p>
        </w:tc>
        <w:tc>
          <w:tcPr>
            <w:tcW w:w="2068" w:type="dxa"/>
            <w:vAlign w:val="center"/>
          </w:tcPr>
          <w:p>
            <w:pPr>
              <w:jc w:val="right"/>
              <w:rPr>
                <w:rFonts w:ascii="宋体" w:hAnsi="宋体"/>
              </w:rPr>
            </w:pPr>
            <w:r>
              <w:rPr>
                <w:rFonts w:ascii="宋体" w:hAnsi="宋体"/>
              </w:rPr>
              <w:t>256,537</w:t>
            </w:r>
          </w:p>
        </w:tc>
        <w:tc>
          <w:tcPr>
            <w:tcW w:w="2086" w:type="dxa"/>
            <w:vAlign w:val="center"/>
          </w:tcPr>
          <w:p>
            <w:pPr>
              <w:jc w:val="right"/>
              <w:rPr>
                <w:rFonts w:ascii="宋体" w:hAnsi="宋体"/>
              </w:rPr>
            </w:pPr>
            <w:r>
              <w:rPr>
                <w:rFonts w:ascii="宋体" w:hAnsi="宋体" w:hint="eastAsia"/>
              </w:rPr>
              <w:t>166,772</w:t>
            </w:r>
          </w:p>
        </w:tc>
        <w:tc>
          <w:tcPr>
            <w:tcW w:w="2087" w:type="dxa"/>
            <w:vAlign w:val="center"/>
          </w:tcPr>
          <w:p>
            <w:pPr>
              <w:jc w:val="right"/>
              <w:rPr>
                <w:rFonts w:asciiTheme="minorEastAsia" w:eastAsiaTheme="minorEastAsia" w:hAnsiTheme="minorEastAsia"/>
              </w:rPr>
            </w:pPr>
            <w:r>
              <w:rPr>
                <w:rFonts w:asciiTheme="minorEastAsia" w:eastAsiaTheme="minorEastAsia" w:hAnsiTheme="minorEastAsia" w:hint="eastAsia"/>
              </w:rPr>
              <w:t>/</w:t>
            </w:r>
          </w:p>
        </w:tc>
      </w:tr>
    </w:tbl>
    <w:p>
      <w:pPr>
        <w:rPr>
          <w:rFonts w:asciiTheme="minorEastAsia" w:eastAsiaTheme="minorEastAsia" w:hAnsiTheme="minorEastAsia"/>
        </w:rPr>
      </w:pPr>
      <w:r>
        <w:rPr>
          <w:rFonts w:asciiTheme="minorEastAsia" w:eastAsiaTheme="minorEastAsia" w:hAnsiTheme="minorEastAsia" w:hint="eastAsia"/>
        </w:rPr>
        <w:t>其他</w:t>
      </w:r>
      <w:r>
        <w:rPr>
          <w:rFonts w:asciiTheme="minorEastAsia" w:eastAsiaTheme="minorEastAsia" w:hAnsiTheme="minorEastAsia"/>
        </w:rPr>
        <w:t>说明：</w:t>
      </w:r>
    </w:p>
    <w:sdt>
      <w:sdtPr>
        <w:alias w:val="是否适用：交易性金融资产的说明[双击切换]"/>
        <w:tag w:val="_GBC_9bed9315a85147e7ac11c2b4bac78358"/>
        <w:id w:val="-52694248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交易性金融资产的说明"/>
        <w:tag w:val="_GBC_20a177fc99e145c4bb7b3119682db963"/>
        <w:id w:val="-1399206077"/>
        <w:placeholder>
          <w:docPart w:val="GBC22222222222222222222222222222"/>
        </w:placeholder>
      </w:sdtPr>
      <w:sdtContent>
        <w:p>
          <w:pPr>
            <w:spacing w:afterLines="50" w:after="120" w:line="360" w:lineRule="exact"/>
            <w:ind w:firstLine="420"/>
            <w:rPr>
              <w:rFonts w:ascii="宋体" w:hAnsi="宋体" w:cs="宋体"/>
            </w:rPr>
          </w:pPr>
          <w:r>
            <w:rPr>
              <w:rFonts w:ascii="宋体" w:hAnsi="宋体" w:cs="宋体" w:hint="eastAsia"/>
            </w:rPr>
            <w:t>注1：交易性金融资产之特别收益权系本集团之子公司格罗斯特煤炭有限公司拥有的在中山矿项目中取得其按离港煤炭销售价4%计算的特别收益之权利。公司管理层于每报告日，对此项权利依据未来现金流量折现后的现值进行计量，变动损益计入当期损益。截至2025年12月31日，将未来一年内将取得的收益80,514千元作为交易性金融资产，超过一年将取得的收益825,585千元作为其他非流动金融资产。</w:t>
          </w:r>
        </w:p>
        <w:p>
          <w:pPr>
            <w:spacing w:afterLines="50" w:after="120" w:line="360" w:lineRule="exact"/>
            <w:ind w:firstLineChars="200" w:firstLine="420"/>
            <w:rPr>
              <w:rFonts w:ascii="宋体" w:hAnsi="宋体" w:cs="宋体"/>
            </w:rPr>
          </w:pPr>
          <w:r>
            <w:rPr>
              <w:rFonts w:ascii="宋体" w:hAnsi="宋体" w:cs="宋体" w:hint="eastAsia"/>
            </w:rPr>
            <w:t>注2：交易性金融资产之权益工具投资系本集团根据重庆力帆汽车销售有限公司重整计划，取得的重庆千里科技股份有限公司62,875股A股股票，报告期末以该股票2025年12月31日的收盘价作为公允价值计价，变动损益计入当期损益。</w:t>
          </w:r>
        </w:p>
        <w:p>
          <w:pPr>
            <w:spacing w:afterLines="50" w:after="120" w:line="360" w:lineRule="exact"/>
            <w:ind w:firstLineChars="200" w:firstLine="420"/>
            <w:rPr>
              <w:rFonts w:ascii="宋体" w:hAnsi="宋体" w:cs="宋体"/>
            </w:rPr>
          </w:pPr>
          <w:r>
            <w:rPr>
              <w:rFonts w:ascii="宋体" w:hAnsi="宋体" w:cs="宋体" w:hint="eastAsia"/>
            </w:rPr>
            <w:t>注3: 交易性金融资产之或有对价系本集团上期收购物泊科技股份有限公司（以下简称“物泊科技”）45%的股权，附有业绩补偿承诺形成的金融资产，以公允价值计量，变动计入当期损益。</w:t>
          </w:r>
        </w:p>
        <w:p>
          <w:pPr>
            <w:spacing w:afterLines="50" w:after="120" w:line="360" w:lineRule="exact"/>
            <w:ind w:firstLineChars="200" w:firstLine="420"/>
            <w:rPr>
              <w:rFonts w:ascii="宋体" w:hAnsi="宋体" w:cs="宋体"/>
            </w:rPr>
          </w:pPr>
          <w:r>
            <w:rPr>
              <w:rFonts w:ascii="宋体" w:hAnsi="宋体" w:cs="宋体" w:hint="eastAsia"/>
            </w:rPr>
            <w:t>注4:交易性金融资产之货币基金，主要包括本集团之子公司SMTScharfAfrica投资的货币基金（AshburtonStableIncomeFundC）</w:t>
          </w:r>
          <w:r>
            <w:rPr>
              <w:rFonts w:ascii="宋体" w:hAnsi="宋体" w:cs="宋体"/>
            </w:rPr>
            <w:t>8,903</w:t>
          </w:r>
          <w:r>
            <w:rPr>
              <w:rFonts w:ascii="宋体" w:hAnsi="宋体" w:cs="宋体" w:hint="eastAsia"/>
            </w:rPr>
            <w:t>千元。本集团之子公司山东能源集团财务有限公司投资的嘉实快线货币基金、富国安益货币基金、万家货币基金等，合计</w:t>
          </w:r>
          <w:r>
            <w:rPr>
              <w:rFonts w:ascii="宋体" w:hAnsi="宋体" w:cs="宋体"/>
            </w:rPr>
            <w:t>159,647</w:t>
          </w:r>
          <w:r>
            <w:rPr>
              <w:rFonts w:ascii="宋体" w:hAnsi="宋体" w:cs="宋体" w:hint="eastAsia"/>
            </w:rPr>
            <w:t>千元。上述金融资产于报告期末按公允价值计量，其变动计入当期损益。</w:t>
          </w:r>
        </w:p>
      </w:sdtContent>
    </w:sdt>
    <w:p>
      <w:pPr>
        <w:pStyle w:val="Style217"/>
      </w:pPr>
    </w:p>
    <w:p>
      <w:pPr>
        <w:pStyle w:val="Style178"/>
        <w:numPr>
          <w:ilvl w:val="0"/>
          <w:numId w:val="75"/>
        </w:numPr>
        <w:rPr>
          <w:szCs w:val="21"/>
        </w:rPr>
      </w:pPr>
      <w:r>
        <w:rPr>
          <w:szCs w:val="21"/>
        </w:rPr>
        <w:t>衍生金融资产</w:t>
      </w:r>
    </w:p>
    <w:sdt>
      <w:sdtPr>
        <w:alias w:val="是否适用：衍生金融资产[双击切换]"/>
        <w:tag w:val="_GBC_d17bfaab262c4a499d0afca62045c5e0"/>
        <w:id w:val="-144290422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ind w:left="1470" w:rightChars="12" w:right="25" w:hangingChars="700" w:hanging="1470"/>
      </w:pPr>
    </w:p>
    <w:p>
      <w:pPr>
        <w:pStyle w:val="Style178"/>
        <w:numPr>
          <w:ilvl w:val="0"/>
          <w:numId w:val="75"/>
        </w:numPr>
        <w:rPr>
          <w:szCs w:val="21"/>
        </w:rPr>
      </w:pPr>
      <w:r>
        <w:rPr>
          <w:szCs w:val="21"/>
        </w:rPr>
        <w:t>应收票据</w:t>
      </w:r>
    </w:p>
    <w:p>
      <w:pPr>
        <w:pStyle w:val="Style179"/>
        <w:numPr>
          <w:ilvl w:val="3"/>
          <w:numId w:val="76"/>
        </w:numPr>
        <w:ind w:left="426" w:hanging="426"/>
      </w:pPr>
      <w:r>
        <w:rPr>
          <w:rFonts w:hint="eastAsia"/>
        </w:rPr>
        <w:t>应收票据分类列示</w:t>
      </w:r>
    </w:p>
    <w:sdt>
      <w:sdtPr>
        <w:alias w:val="是否适用：应收票据分类列示[双击切换]"/>
        <w:tag w:val="_GBC_bdf010020d484a01ae60c52d7465a06a"/>
        <w:id w:val="64354300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jc w:val="right"/>
      </w:pPr>
      <w:r>
        <w:rPr>
          <w:rFonts w:hint="eastAsia"/>
        </w:rPr>
        <w:t>单位：</w:t>
      </w:r>
      <w:sdt>
        <w:sdtPr>
          <w:rPr>
            <w:rFonts w:hint="eastAsia"/>
          </w:rPr>
          <w:alias w:val="单位：财务附注：应收票据分类"/>
          <w:tag w:val="_GBC_4fa3399364a4449485326bfdb1de5245"/>
          <w:id w:val="6829519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收票据分类"/>
          <w:tag w:val="_GBC_0daf818486924555b786788616dee3e7"/>
          <w:id w:val="15473358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991"/>
        <w:gridCol w:w="3128"/>
        <w:gridCol w:w="2936"/>
      </w:tblGrid>
      <w:tr>
        <w:trPr>
          <w:cantSplit/>
        </w:trPr>
        <w:sdt>
          <w:sdtPr>
            <w:tag w:val="_PLD_bd44f6beac5e4b8688c30e166c6780c8"/>
            <w:id w:val="940189263"/>
          </w:sdtPr>
          <w:sdtContent>
            <w:tc>
              <w:tcPr>
                <w:tcW w:w="2991" w:type="dxa"/>
                <w:vAlign w:val="center"/>
              </w:tcPr>
              <w:p>
                <w:pPr>
                  <w:autoSpaceDE w:val="0"/>
                  <w:autoSpaceDN w:val="0"/>
                  <w:adjustRightInd w:val="0"/>
                  <w:snapToGrid w:val="0"/>
                  <w:spacing w:line="240" w:lineRule="atLeast"/>
                  <w:jc w:val="center"/>
                </w:pPr>
                <w:r>
                  <w:rPr>
                    <w:rFonts w:hint="eastAsia"/>
                  </w:rPr>
                  <w:t>项目</w:t>
                </w:r>
              </w:p>
            </w:tc>
          </w:sdtContent>
        </w:sdt>
        <w:sdt>
          <w:sdtPr>
            <w:tag w:val="_PLD_dea2f5c6a1cb487287096a3435e5e8de"/>
            <w:id w:val="-400287627"/>
          </w:sdtPr>
          <w:sdtContent>
            <w:tc>
              <w:tcPr>
                <w:tcW w:w="3128" w:type="dxa"/>
                <w:vAlign w:val="center"/>
              </w:tcPr>
              <w:p>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1787262015"/>
          </w:sdtPr>
          <w:sdtContent>
            <w:tc>
              <w:tcPr>
                <w:tcW w:w="2936" w:type="dxa"/>
                <w:vAlign w:val="center"/>
              </w:tcPr>
              <w:p>
                <w:pPr>
                  <w:autoSpaceDE w:val="0"/>
                  <w:autoSpaceDN w:val="0"/>
                  <w:adjustRightInd w:val="0"/>
                  <w:snapToGrid w:val="0"/>
                  <w:spacing w:line="240" w:lineRule="atLeast"/>
                  <w:jc w:val="center"/>
                </w:pPr>
                <w:r>
                  <w:rPr>
                    <w:rFonts w:hint="eastAsia"/>
                  </w:rPr>
                  <w:t>期初余额</w:t>
                </w:r>
              </w:p>
            </w:tc>
          </w:sdtContent>
        </w:sdt>
      </w:tr>
      <w:tr>
        <w:trPr>
          <w:cantSplit/>
        </w:trPr>
        <w:tc>
          <w:tcPr>
            <w:tcW w:w="2991" w:type="dxa"/>
            <w:vAlign w:val="center"/>
          </w:tcPr>
          <w:p>
            <w:pPr>
              <w:autoSpaceDE w:val="0"/>
              <w:autoSpaceDN w:val="0"/>
              <w:adjustRightInd w:val="0"/>
              <w:snapToGrid w:val="0"/>
              <w:spacing w:line="240" w:lineRule="atLeast"/>
            </w:pPr>
            <w:r>
              <w:rPr>
                <w:rFonts w:hint="eastAsia"/>
              </w:rPr>
              <w:t>银行承兑票据</w:t>
            </w:r>
          </w:p>
        </w:tc>
        <w:tc>
          <w:tcPr>
            <w:tcW w:w="3128" w:type="dxa"/>
            <w:vAlign w:val="center"/>
          </w:tcPr>
          <w:p>
            <w:pPr>
              <w:ind w:right="13"/>
              <w:jc w:val="right"/>
            </w:pPr>
            <w:r>
              <w:rPr>
                <w:rFonts w:ascii="宋体" w:hAnsi="宋体"/>
              </w:rPr>
              <w:t>1,977,650</w:t>
            </w:r>
          </w:p>
        </w:tc>
        <w:tc>
          <w:tcPr>
            <w:tcW w:w="2936" w:type="dxa"/>
            <w:vAlign w:val="center"/>
          </w:tcPr>
          <w:p>
            <w:pPr>
              <w:ind w:right="13"/>
              <w:jc w:val="right"/>
            </w:pPr>
            <w:r>
              <w:rPr>
                <w:rFonts w:ascii="宋体" w:hAnsi="宋体"/>
              </w:rPr>
              <w:t>1,157,423</w:t>
            </w:r>
          </w:p>
        </w:tc>
      </w:tr>
      <w:tr>
        <w:trPr>
          <w:cantSplit/>
        </w:trPr>
        <w:tc>
          <w:tcPr>
            <w:tcW w:w="2991" w:type="dxa"/>
            <w:vAlign w:val="center"/>
          </w:tcPr>
          <w:p>
            <w:pPr>
              <w:autoSpaceDE w:val="0"/>
              <w:autoSpaceDN w:val="0"/>
              <w:adjustRightInd w:val="0"/>
              <w:snapToGrid w:val="0"/>
              <w:spacing w:line="240" w:lineRule="atLeast"/>
            </w:pPr>
            <w:r>
              <w:rPr>
                <w:rFonts w:hint="eastAsia"/>
              </w:rPr>
              <w:t>商业承兑票据</w:t>
            </w:r>
          </w:p>
        </w:tc>
        <w:tc>
          <w:tcPr>
            <w:tcW w:w="3128" w:type="dxa"/>
            <w:vAlign w:val="center"/>
          </w:tcPr>
          <w:p>
            <w:pPr>
              <w:ind w:right="13"/>
              <w:jc w:val="right"/>
            </w:pPr>
            <w:r>
              <w:rPr>
                <w:rFonts w:ascii="宋体" w:hAnsi="宋体"/>
              </w:rPr>
              <w:t>236</w:t>
            </w:r>
          </w:p>
        </w:tc>
        <w:tc>
          <w:tcPr>
            <w:tcW w:w="2936" w:type="dxa"/>
            <w:vAlign w:val="center"/>
          </w:tcPr>
          <w:p>
            <w:pPr>
              <w:ind w:right="13"/>
              <w:jc w:val="right"/>
            </w:pPr>
            <w:r>
              <w:rPr>
                <w:rFonts w:ascii="宋体" w:hAnsi="宋体"/>
              </w:rPr>
              <w:t>11,759</w:t>
            </w:r>
          </w:p>
        </w:tc>
      </w:tr>
      <w:tr>
        <w:trPr>
          <w:cantSplit/>
        </w:trPr>
        <w:tc>
          <w:tcPr>
            <w:tcW w:w="2991" w:type="dxa"/>
            <w:vAlign w:val="center"/>
          </w:tcPr>
          <w:p>
            <w:pPr>
              <w:autoSpaceDE w:val="0"/>
              <w:autoSpaceDN w:val="0"/>
              <w:adjustRightInd w:val="0"/>
              <w:snapToGrid w:val="0"/>
              <w:spacing w:line="240" w:lineRule="atLeast"/>
              <w:jc w:val="center"/>
            </w:pPr>
            <w:r>
              <w:rPr>
                <w:rFonts w:hint="eastAsia"/>
              </w:rPr>
              <w:t>合计</w:t>
            </w:r>
          </w:p>
        </w:tc>
        <w:tc>
          <w:tcPr>
            <w:tcW w:w="3128" w:type="dxa"/>
            <w:vAlign w:val="center"/>
          </w:tcPr>
          <w:p>
            <w:pPr>
              <w:jc w:val="right"/>
            </w:pPr>
            <w:r>
              <w:rPr>
                <w:rFonts w:ascii="宋体" w:hAnsi="宋体"/>
              </w:rPr>
              <w:t>1,977,886</w:t>
            </w:r>
          </w:p>
        </w:tc>
        <w:tc>
          <w:tcPr>
            <w:tcW w:w="2936" w:type="dxa"/>
            <w:vAlign w:val="center"/>
          </w:tcPr>
          <w:p>
            <w:pPr>
              <w:autoSpaceDE w:val="0"/>
              <w:autoSpaceDN w:val="0"/>
              <w:adjustRightInd w:val="0"/>
              <w:jc w:val="right"/>
            </w:pPr>
            <w:r>
              <w:rPr>
                <w:rFonts w:ascii="宋体" w:hAnsi="宋体"/>
              </w:rPr>
              <w:t>1,169,182</w:t>
            </w:r>
          </w:p>
        </w:tc>
      </w:tr>
    </w:tbl>
    <w:p>
      <w:pPr>
        <w:snapToGrid w:val="0"/>
        <w:spacing w:line="240" w:lineRule="atLeast"/>
      </w:pPr>
    </w:p>
    <w:p>
      <w:pPr>
        <w:pStyle w:val="Style179"/>
        <w:numPr>
          <w:ilvl w:val="3"/>
          <w:numId w:val="76"/>
        </w:numPr>
        <w:ind w:left="426" w:hanging="426"/>
      </w:pPr>
      <w:r>
        <w:rPr>
          <w:rFonts w:hint="eastAsia"/>
        </w:rPr>
        <w:t>期末公司已质押的应收票据</w:t>
      </w:r>
    </w:p>
    <w:sdt>
      <w:sdtPr>
        <w:alias w:val="是否适用：期末公司已质押的应收票据[双击切换]"/>
        <w:tag w:val="_GBC_5281ffb2b9304a49a6db0c913bbaac53"/>
        <w:id w:val="-90190888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期末公司已抵押的应收票据情况"/>
          <w:tag w:val="_GBC_88ae26bc06554889af4ca1b04af173a2"/>
          <w:id w:val="4020292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期末公司已抵押的应收票据情况"/>
          <w:tag w:val="_GBC_eae6c4df7ed442a192f280eac97a6bbe"/>
          <w:id w:val="7694324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8"/>
        <w:gridCol w:w="4660"/>
      </w:tblGrid>
      <w:tr>
        <w:sdt>
          <w:sdtPr>
            <w:tag w:val="_PLD_6fba821574d940ccb2b29fd9faa1df4d"/>
            <w:id w:val="22831842"/>
          </w:sdtPr>
          <w:sdtContent>
            <w:tc>
              <w:tcPr>
                <w:tcW w:w="4388"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center"/>
                </w:pPr>
                <w:r>
                  <w:rPr>
                    <w:rFonts w:hint="eastAsia"/>
                  </w:rPr>
                  <w:t>项目</w:t>
                </w:r>
              </w:p>
            </w:tc>
          </w:sdtContent>
        </w:sdt>
        <w:sdt>
          <w:sdtPr>
            <w:tag w:val="_PLD_6b8ef906a8a84040b5e0c0175f20353a"/>
            <w:id w:val="-1049844118"/>
          </w:sdtPr>
          <w:sdtContent>
            <w:tc>
              <w:tcPr>
                <w:tcW w:w="4660"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center"/>
                </w:pPr>
                <w:r>
                  <w:rPr>
                    <w:rFonts w:hint="eastAsia"/>
                  </w:rPr>
                  <w:t>期末已质押金额</w:t>
                </w:r>
              </w:p>
            </w:tc>
          </w:sdtContent>
        </w:sdt>
      </w:tr>
      <w:tr>
        <w:tc>
          <w:tcPr>
            <w:tcW w:w="4388"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pPr>
            <w:r>
              <w:rPr>
                <w:rFonts w:hint="eastAsia"/>
              </w:rPr>
              <w:t>银行承兑票据</w:t>
            </w:r>
          </w:p>
        </w:tc>
        <w:tc>
          <w:tcPr>
            <w:tcW w:w="4660"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pPr>
            <w:r>
              <w:rPr>
                <w:rFonts w:ascii="宋体" w:hAnsi="宋体"/>
              </w:rPr>
              <w:t>226,534</w:t>
            </w:r>
          </w:p>
        </w:tc>
      </w:tr>
      <w:tr>
        <w:tc>
          <w:tcPr>
            <w:tcW w:w="438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合计</w:t>
            </w:r>
          </w:p>
        </w:tc>
        <w:tc>
          <w:tcPr>
            <w:tcW w:w="466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226,534</w:t>
            </w:r>
          </w:p>
        </w:tc>
      </w:tr>
    </w:tbl>
    <w:p>
      <w:pPr>
        <w:pStyle w:val="Style217"/>
      </w:pPr>
    </w:p>
    <w:p>
      <w:pPr>
        <w:pStyle w:val="Style179"/>
        <w:numPr>
          <w:ilvl w:val="3"/>
          <w:numId w:val="76"/>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57890310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4696282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期末公司已背书或贴现且在资产负债表日尚未到期的应收票据"/>
          <w:tag w:val="_GBC_79202e45cde04e34a385187ee9a018f7"/>
          <w:id w:val="16587332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49"/>
        <w:gridCol w:w="3121"/>
      </w:tblGrid>
      <w:tr>
        <w:sdt>
          <w:sdtPr>
            <w:tag w:val="_PLD_76a87ff67e5b45fd8796a3a35ba8193e"/>
            <w:id w:val="285003784"/>
          </w:sdtPr>
          <w:sdtContent>
            <w:tc>
              <w:tcPr>
                <w:tcW w:w="2877" w:type="dxa"/>
                <w:vAlign w:val="center"/>
              </w:tcPr>
              <w:p>
                <w:pPr>
                  <w:jc w:val="center"/>
                </w:pPr>
                <w:r>
                  <w:rPr>
                    <w:rFonts w:hint="eastAsia"/>
                  </w:rPr>
                  <w:t>项目</w:t>
                </w:r>
              </w:p>
            </w:tc>
          </w:sdtContent>
        </w:sdt>
        <w:sdt>
          <w:sdtPr>
            <w:tag w:val="_PLD_f9150e3257574b5dab33b7c7a9c74bd0"/>
            <w:id w:val="909811669"/>
          </w:sdtPr>
          <w:sdtContent>
            <w:tc>
              <w:tcPr>
                <w:tcW w:w="3049" w:type="dxa"/>
                <w:vAlign w:val="center"/>
              </w:tcPr>
              <w:p>
                <w:pPr>
                  <w:jc w:val="center"/>
                </w:pPr>
                <w:r>
                  <w:rPr>
                    <w:rFonts w:hint="eastAsia"/>
                  </w:rPr>
                  <w:t>期末终止确认金额</w:t>
                </w:r>
              </w:p>
            </w:tc>
          </w:sdtContent>
        </w:sdt>
        <w:sdt>
          <w:sdtPr>
            <w:tag w:val="_PLD_4f99e6fe1d4c4c57bab686890f8d0f57"/>
            <w:id w:val="167456790"/>
          </w:sdtPr>
          <w:sdtContent>
            <w:tc>
              <w:tcPr>
                <w:tcW w:w="3121" w:type="dxa"/>
                <w:vAlign w:val="center"/>
              </w:tcPr>
              <w:p>
                <w:pPr>
                  <w:jc w:val="center"/>
                </w:pPr>
                <w:r>
                  <w:rPr>
                    <w:rFonts w:hint="eastAsia"/>
                  </w:rPr>
                  <w:t>期末未终止确认金额</w:t>
                </w:r>
              </w:p>
            </w:tc>
          </w:sdtContent>
        </w:sdt>
      </w:tr>
      <w:tr>
        <w:tc>
          <w:tcPr>
            <w:tcW w:w="2877" w:type="dxa"/>
            <w:vAlign w:val="center"/>
          </w:tcPr>
          <w:p>
            <w:pPr>
              <w:pStyle w:val="Style217"/>
            </w:pPr>
            <w:r>
              <w:rPr>
                <w:rFonts w:hint="eastAsia"/>
              </w:rPr>
              <w:t>银行承兑票据</w:t>
            </w:r>
          </w:p>
        </w:tc>
        <w:tc>
          <w:tcPr>
            <w:tcW w:w="3049" w:type="dxa"/>
            <w:vAlign w:val="center"/>
          </w:tcPr>
          <w:p>
            <w:pPr>
              <w:jc w:val="right"/>
            </w:pPr>
            <w:r>
              <w:rPr>
                <w:rFonts w:ascii="宋体" w:hAnsi="宋体"/>
              </w:rPr>
              <w:t>1,590,671</w:t>
            </w:r>
          </w:p>
        </w:tc>
        <w:tc>
          <w:tcPr>
            <w:tcW w:w="3121" w:type="dxa"/>
            <w:vAlign w:val="center"/>
          </w:tcPr>
          <w:p>
            <w:pPr>
              <w:jc w:val="right"/>
            </w:pPr>
            <w:r>
              <w:rPr>
                <w:rFonts w:ascii="宋体" w:hAnsi="宋体"/>
              </w:rPr>
              <w:t xml:space="preserve"> 1,278,781 </w:t>
            </w:r>
          </w:p>
        </w:tc>
      </w:tr>
      <w:tr>
        <w:tc>
          <w:tcPr>
            <w:tcW w:w="2877" w:type="dxa"/>
            <w:vAlign w:val="center"/>
          </w:tcPr>
          <w:p>
            <w:pPr>
              <w:pStyle w:val="Style217"/>
            </w:pPr>
            <w:r>
              <w:rPr>
                <w:rFonts w:hint="eastAsia"/>
              </w:rPr>
              <w:t>商业承兑票据</w:t>
            </w:r>
          </w:p>
        </w:tc>
        <w:tc>
          <w:tcPr>
            <w:tcW w:w="3049" w:type="dxa"/>
            <w:vAlign w:val="center"/>
          </w:tcPr>
          <w:p>
            <w:pPr>
              <w:jc w:val="right"/>
            </w:pPr>
          </w:p>
        </w:tc>
        <w:tc>
          <w:tcPr>
            <w:tcW w:w="3121" w:type="dxa"/>
            <w:vAlign w:val="center"/>
          </w:tcPr>
          <w:p>
            <w:pPr>
              <w:jc w:val="right"/>
            </w:pPr>
          </w:p>
        </w:tc>
      </w:tr>
      <w:tr>
        <w:tc>
          <w:tcPr>
            <w:tcW w:w="2877" w:type="dxa"/>
            <w:vAlign w:val="center"/>
          </w:tcPr>
          <w:p>
            <w:pPr>
              <w:jc w:val="center"/>
            </w:pPr>
            <w:r>
              <w:rPr>
                <w:rFonts w:hint="eastAsia"/>
              </w:rPr>
              <w:t>合计</w:t>
            </w:r>
          </w:p>
        </w:tc>
        <w:tc>
          <w:tcPr>
            <w:tcW w:w="3049" w:type="dxa"/>
            <w:vAlign w:val="center"/>
          </w:tcPr>
          <w:p>
            <w:pPr>
              <w:jc w:val="right"/>
              <w:rPr>
                <w:rFonts w:ascii="宋体" w:hAnsi="宋体"/>
              </w:rPr>
            </w:pPr>
            <w:r>
              <w:rPr>
                <w:rFonts w:ascii="宋体" w:hAnsi="宋体" w:hint="eastAsia"/>
              </w:rPr>
              <w:t>1,590,671</w:t>
            </w:r>
          </w:p>
        </w:tc>
        <w:tc>
          <w:tcPr>
            <w:tcW w:w="3121" w:type="dxa"/>
            <w:vAlign w:val="center"/>
          </w:tcPr>
          <w:p>
            <w:pPr>
              <w:jc w:val="right"/>
              <w:rPr>
                <w:rFonts w:ascii="宋体" w:hAnsi="宋体"/>
              </w:rPr>
            </w:pPr>
            <w:r>
              <w:rPr>
                <w:rFonts w:ascii="宋体" w:hAnsi="宋体" w:hint="eastAsia"/>
              </w:rPr>
              <w:t xml:space="preserve"> 1,278,781 </w:t>
            </w:r>
          </w:p>
        </w:tc>
      </w:tr>
    </w:tbl>
    <w:p>
      <w:pPr>
        <w:rPr>
          <w:kern w:val="2"/>
        </w:rPr>
      </w:pPr>
    </w:p>
    <w:p>
      <w:pPr>
        <w:pStyle w:val="Style179"/>
        <w:numPr>
          <w:ilvl w:val="3"/>
          <w:numId w:val="76"/>
        </w:numPr>
        <w:ind w:left="426" w:hanging="426"/>
      </w:pPr>
      <w:bookmarkStart w:id="376" w:name="_Hlk533596246"/>
      <w:r>
        <w:rPr>
          <w:rFonts w:hint="eastAsia"/>
        </w:rPr>
        <w:t>按坏账计提方法分类披露</w:t>
      </w:r>
    </w:p>
    <w:sdt>
      <w:sdtPr>
        <w:alias w:val="是否适用：应收票据按坏账计提方法分类披露[双击切换]"/>
        <w:tag w:val="_GBC_806abc31b942462ba4b46f92c99312a5"/>
        <w:id w:val="31361534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1826713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应收票据按坏账计提方法分类披露"/>
          <w:tag w:val="_GBC_601e6cb0999d4fd599cfcacf79d2aa28"/>
          <w:id w:val="-12268327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070"/>
        <w:gridCol w:w="584"/>
        <w:gridCol w:w="584"/>
        <w:gridCol w:w="584"/>
        <w:gridCol w:w="1070"/>
        <w:gridCol w:w="1070"/>
        <w:gridCol w:w="681"/>
        <w:gridCol w:w="681"/>
        <w:gridCol w:w="681"/>
        <w:gridCol w:w="1167"/>
      </w:tblGrid>
      <w:tr>
        <w:trPr>
          <w:cantSplit/>
          <w:trHeight w:val="259"/>
        </w:trPr>
        <w:bookmarkStart w:id="377" w:name="_Hlk533511527" w:displacedByCustomXml="next"/>
        <w:sdt>
          <w:sdtPr>
            <w:tag w:val="_PLD_694877484ae448bcbdceead91da15b38"/>
            <w:id w:val="-379246965"/>
          </w:sdtPr>
          <w:sdtContent>
            <w:tc>
              <w:tcPr>
                <w:tcW w:w="3969" w:type="dxa"/>
                <w:vMerge w:val="restart"/>
                <w:tcBorders>
                  <w:top w:val="single" w:sz="4" w:space="0" w:color="auto"/>
                  <w:left w:val="single" w:sz="4" w:space="0" w:color="auto"/>
                  <w:right w:val="single" w:sz="4" w:space="0" w:color="auto"/>
                </w:tcBorders>
                <w:vAlign w:val="center"/>
              </w:tcPr>
              <w:p>
                <w:pPr>
                  <w:jc w:val="center"/>
                </w:pPr>
                <w:r>
                  <w:rPr>
                    <w:rFonts w:hint="eastAsia"/>
                  </w:rPr>
                  <w:t>类别</w:t>
                </w:r>
              </w:p>
            </w:tc>
          </w:sdtContent>
        </w:sdt>
        <w:sdt>
          <w:sdtPr>
            <w:tag w:val="_PLD_fafb5208264e4d4bb8e6b267fb648c20"/>
            <w:id w:val="47734462"/>
          </w:sdtPr>
          <w:sdtContent>
            <w:tc>
              <w:tcPr>
                <w:tcW w:w="2268" w:type="dxa"/>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期末余额</w:t>
                </w:r>
              </w:p>
            </w:tc>
          </w:sdtContent>
        </w:sdt>
        <w:sdt>
          <w:sdtPr>
            <w:tag w:val="_PLD_8205b68975c546be850548a72e9a6054"/>
            <w:id w:val="-166711658"/>
          </w:sdtPr>
          <w:sdtContent>
            <w:tc>
              <w:tcPr>
                <w:tcW w:w="2835" w:type="dxa"/>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期初余额</w:t>
                </w:r>
              </w:p>
            </w:tc>
          </w:sdtContent>
        </w:sdt>
      </w:tr>
      <w:tr>
        <w:trPr>
          <w:cantSplit/>
          <w:trHeight w:val="227"/>
        </w:trPr>
        <w:tc>
          <w:tcPr>
            <w:tcW w:w="3969" w:type="dxa"/>
            <w:vMerge/>
            <w:tcBorders>
              <w:left w:val="single" w:sz="4" w:space="0" w:color="auto"/>
              <w:right w:val="single" w:sz="4" w:space="0" w:color="auto"/>
            </w:tcBorders>
            <w:vAlign w:val="center"/>
          </w:tcPr>
          <w:p>
            <w:pPr>
              <w:pStyle w:val="Style217"/>
            </w:pPr>
          </w:p>
        </w:tc>
        <w:sdt>
          <w:sdtPr>
            <w:tag w:val="_PLD_7056cf81ea5945de8de7b1a9d0e25fd7"/>
            <w:id w:val="-2024550342"/>
          </w:sdtPr>
          <w:sdtContent>
            <w:tc>
              <w:tcPr>
                <w:tcW w:w="2268"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账面余额</w:t>
                </w:r>
              </w:p>
            </w:tc>
          </w:sdtContent>
        </w:sdt>
        <w:sdt>
          <w:sdtPr>
            <w:tag w:val="_PLD_34f16de3fbfe4d57907bcde799e70cf5"/>
            <w:id w:val="-1190370953"/>
          </w:sdtPr>
          <w:sdtContent>
            <w:tc>
              <w:tcPr>
                <w:tcW w:w="2268"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坏账准备</w:t>
                </w:r>
              </w:p>
            </w:tc>
          </w:sdtContent>
        </w:sdt>
        <w:sdt>
          <w:sdtPr>
            <w:tag w:val="_PLD_cd77106f5f004386a9ab2d4ac038ed51"/>
            <w:id w:val="1632372146"/>
          </w:sdtPr>
          <w:sdtContent>
            <w:tc>
              <w:tcPr>
                <w:tcW w:w="5103" w:type="dxa"/>
                <w:vMerge w:val="restart"/>
                <w:tcBorders>
                  <w:top w:val="single" w:sz="4" w:space="0" w:color="auto"/>
                  <w:left w:val="single" w:sz="4" w:space="0" w:color="auto"/>
                  <w:right w:val="single" w:sz="4" w:space="0" w:color="auto"/>
                </w:tcBorders>
                <w:vAlign w:val="center"/>
              </w:tcPr>
              <w:p>
                <w:pPr>
                  <w:jc w:val="center"/>
                </w:pPr>
                <w:r>
                  <w:rPr>
                    <w:rFonts w:hint="eastAsia"/>
                  </w:rPr>
                  <w:t>账面</w:t>
                </w:r>
              </w:p>
              <w:p>
                <w:pPr>
                  <w:jc w:val="center"/>
                </w:pPr>
                <w:r>
                  <w:rPr>
                    <w:rFonts w:hint="eastAsia"/>
                  </w:rPr>
                  <w:t>价值</w:t>
                </w:r>
              </w:p>
            </w:tc>
          </w:sdtContent>
        </w:sdt>
        <w:sdt>
          <w:sdtPr>
            <w:tag w:val="_PLD_f426e0de2bf0466d9f5f3a3cac025942"/>
            <w:id w:val="-1101559809"/>
          </w:sdtPr>
          <w:sdtContent>
            <w:tc>
              <w:tcPr>
                <w:tcW w:w="2835" w:type="dxa"/>
                <w:gridSpan w:val="2"/>
                <w:tcBorders>
                  <w:top w:val="single" w:sz="4" w:space="0" w:color="auto"/>
                  <w:left w:val="single" w:sz="4" w:space="0" w:color="auto"/>
                  <w:right w:val="single" w:sz="4" w:space="0" w:color="auto"/>
                </w:tcBorders>
                <w:vAlign w:val="center"/>
              </w:tcPr>
              <w:p>
                <w:pPr>
                  <w:jc w:val="center"/>
                </w:pPr>
                <w:r>
                  <w:rPr>
                    <w:rFonts w:hint="eastAsia"/>
                  </w:rPr>
                  <w:t>账面余额</w:t>
                </w:r>
              </w:p>
            </w:tc>
          </w:sdtContent>
        </w:sdt>
        <w:sdt>
          <w:sdtPr>
            <w:tag w:val="_PLD_42ed37b6856f4ff3b7f03ee8855d758a"/>
            <w:id w:val="-1337533449"/>
          </w:sdtPr>
          <w:sdtContent>
            <w:tc>
              <w:tcPr>
                <w:tcW w:w="2835" w:type="dxa"/>
                <w:gridSpan w:val="2"/>
                <w:tcBorders>
                  <w:top w:val="single" w:sz="4" w:space="0" w:color="auto"/>
                  <w:left w:val="single" w:sz="4" w:space="0" w:color="auto"/>
                  <w:right w:val="single" w:sz="4" w:space="0" w:color="auto"/>
                </w:tcBorders>
                <w:vAlign w:val="center"/>
              </w:tcPr>
              <w:p>
                <w:pPr>
                  <w:jc w:val="center"/>
                </w:pPr>
                <w:r>
                  <w:rPr>
                    <w:rFonts w:hint="eastAsia"/>
                  </w:rPr>
                  <w:t>坏账准备</w:t>
                </w:r>
              </w:p>
            </w:tc>
          </w:sdtContent>
        </w:sdt>
        <w:sdt>
          <w:sdtPr>
            <w:tag w:val="_PLD_f82bf84717ad44b1847dfdc19cbcf7f8"/>
            <w:id w:val="108321121"/>
          </w:sdtPr>
          <w:sdtContent>
            <w:tc>
              <w:tcPr>
                <w:tcW w:w="5670" w:type="dxa"/>
                <w:vMerge w:val="restart"/>
                <w:tcBorders>
                  <w:top w:val="single" w:sz="4" w:space="0" w:color="auto"/>
                  <w:left w:val="single" w:sz="4" w:space="0" w:color="auto"/>
                  <w:right w:val="single" w:sz="4" w:space="0" w:color="auto"/>
                </w:tcBorders>
                <w:vAlign w:val="center"/>
              </w:tcPr>
              <w:p>
                <w:pPr>
                  <w:jc w:val="center"/>
                </w:pPr>
                <w:r>
                  <w:rPr>
                    <w:rFonts w:hint="eastAsia"/>
                  </w:rPr>
                  <w:t>账面</w:t>
                </w:r>
              </w:p>
              <w:p>
                <w:pPr>
                  <w:jc w:val="center"/>
                </w:pPr>
                <w:r>
                  <w:rPr>
                    <w:rFonts w:hint="eastAsia"/>
                  </w:rPr>
                  <w:t>价值</w:t>
                </w:r>
              </w:p>
            </w:tc>
          </w:sdtContent>
        </w:sdt>
      </w:tr>
      <w:tr>
        <w:trPr>
          <w:cantSplit/>
          <w:trHeight w:val="375"/>
        </w:trPr>
        <w:tc>
          <w:tcPr>
            <w:tcW w:w="3969" w:type="dxa"/>
            <w:vMerge/>
            <w:tcBorders>
              <w:left w:val="single" w:sz="4" w:space="0" w:color="auto"/>
              <w:bottom w:val="single" w:sz="4" w:space="0" w:color="auto"/>
              <w:right w:val="single" w:sz="4" w:space="0" w:color="auto"/>
            </w:tcBorders>
            <w:vAlign w:val="center"/>
          </w:tcPr>
          <w:p>
            <w:pPr>
              <w:pStyle w:val="Style217"/>
            </w:pPr>
          </w:p>
        </w:tc>
        <w:sdt>
          <w:sdtPr>
            <w:tag w:val="_PLD_aa10a65b20404088a51399b13bc1f8a5"/>
            <w:id w:val="-816107666"/>
          </w:sdtPr>
          <w:sdtContent>
            <w:tc>
              <w:tcPr>
                <w:tcW w:w="5103"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5ca29603eb73434e9c2b6a938262bcf4"/>
            <w:id w:val="-517772936"/>
          </w:sdtPr>
          <w:sdtContent>
            <w:tc>
              <w:tcPr>
                <w:tcW w:w="2268" w:type="dxa"/>
                <w:tcBorders>
                  <w:left w:val="single" w:sz="4" w:space="0" w:color="auto"/>
                  <w:bottom w:val="single" w:sz="4" w:space="0" w:color="auto"/>
                  <w:right w:val="single" w:sz="4" w:space="0" w:color="auto"/>
                </w:tcBorders>
                <w:vAlign w:val="center"/>
              </w:tcPr>
              <w:p>
                <w:pPr>
                  <w:jc w:val="center"/>
                </w:pPr>
                <w:r>
                  <w:rPr>
                    <w:rFonts w:hint="eastAsia"/>
                  </w:rPr>
                  <w:t>比例</w:t>
                </w:r>
                <w:r>
                  <w:t>(%)</w:t>
                </w:r>
              </w:p>
            </w:tc>
          </w:sdtContent>
        </w:sdt>
        <w:sdt>
          <w:sdtPr>
            <w:tag w:val="_PLD_6964d79d10954e17b7bb61b577242def"/>
            <w:id w:val="1933006200"/>
          </w:sdtPr>
          <w:sdtContent>
            <w:tc>
              <w:tcPr>
                <w:tcW w:w="2268"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3b8eaa1922a244bea17eec1b5b1e71f7"/>
            <w:id w:val="665522653"/>
          </w:sdtPr>
          <w:sdtContent>
            <w:tc>
              <w:tcPr>
                <w:tcW w:w="2268" w:type="dxa"/>
                <w:tcBorders>
                  <w:left w:val="single" w:sz="4" w:space="0" w:color="auto"/>
                  <w:bottom w:val="single" w:sz="4" w:space="0" w:color="auto"/>
                  <w:right w:val="single" w:sz="4" w:space="0" w:color="auto"/>
                </w:tcBorders>
                <w:vAlign w:val="center"/>
              </w:tcPr>
              <w:p>
                <w:pPr>
                  <w:jc w:val="center"/>
                </w:pPr>
                <w:r>
                  <w:rPr>
                    <w:rFonts w:hint="eastAsia"/>
                  </w:rPr>
                  <w:t>计提比例</w:t>
                </w:r>
                <w:r>
                  <w:t>(%)</w:t>
                </w:r>
              </w:p>
            </w:tc>
          </w:sdtContent>
        </w:sdt>
        <w:tc>
          <w:tcPr>
            <w:tcW w:w="5103" w:type="dxa"/>
            <w:vMerge/>
            <w:tcBorders>
              <w:left w:val="single" w:sz="4" w:space="0" w:color="auto"/>
              <w:bottom w:val="single" w:sz="4" w:space="0" w:color="auto"/>
              <w:right w:val="single" w:sz="4" w:space="0" w:color="auto"/>
            </w:tcBorders>
            <w:vAlign w:val="center"/>
          </w:tcPr>
          <w:p>
            <w:pPr>
              <w:jc w:val="center"/>
            </w:pPr>
          </w:p>
        </w:tc>
        <w:sdt>
          <w:sdtPr>
            <w:tag w:val="_PLD_2643b99ff0364343807a178f0f8dd5da"/>
            <w:id w:val="-2054605028"/>
          </w:sdtPr>
          <w:sdtContent>
            <w:tc>
              <w:tcPr>
                <w:tcW w:w="5103"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889230571c2941e88f231f43b4b8a99e"/>
            <w:id w:val="1928307337"/>
          </w:sdtPr>
          <w:sdtContent>
            <w:tc>
              <w:tcPr>
                <w:tcW w:w="2835" w:type="dxa"/>
                <w:tcBorders>
                  <w:left w:val="single" w:sz="4" w:space="0" w:color="auto"/>
                  <w:bottom w:val="single" w:sz="4" w:space="0" w:color="auto"/>
                  <w:right w:val="single" w:sz="4" w:space="0" w:color="auto"/>
                </w:tcBorders>
                <w:vAlign w:val="center"/>
              </w:tcPr>
              <w:p>
                <w:pPr>
                  <w:jc w:val="center"/>
                </w:pPr>
                <w:r>
                  <w:rPr>
                    <w:rFonts w:hint="eastAsia"/>
                  </w:rPr>
                  <w:t>比例</w:t>
                </w:r>
                <w:r>
                  <w:t>(%)</w:t>
                </w:r>
              </w:p>
            </w:tc>
          </w:sdtContent>
        </w:sdt>
        <w:sdt>
          <w:sdtPr>
            <w:tag w:val="_PLD_e1c946a6d26548c493697d23050b8325"/>
            <w:id w:val="-1117291904"/>
          </w:sdtPr>
          <w:sdtContent>
            <w:tc>
              <w:tcPr>
                <w:tcW w:w="2835"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8bfda0f6261147ccb519211fb86f82f6"/>
            <w:id w:val="-662548865"/>
          </w:sdtPr>
          <w:sdtContent>
            <w:tc>
              <w:tcPr>
                <w:tcW w:w="2835" w:type="dxa"/>
                <w:tcBorders>
                  <w:left w:val="single" w:sz="4" w:space="0" w:color="auto"/>
                  <w:bottom w:val="single" w:sz="4" w:space="0" w:color="auto"/>
                  <w:right w:val="single" w:sz="4" w:space="0" w:color="auto"/>
                </w:tcBorders>
                <w:vAlign w:val="center"/>
              </w:tcPr>
              <w:p>
                <w:pPr>
                  <w:jc w:val="center"/>
                </w:pPr>
                <w:r>
                  <w:rPr>
                    <w:rFonts w:hint="eastAsia"/>
                  </w:rPr>
                  <w:t>计提比例</w:t>
                </w:r>
                <w:r>
                  <w:t>(%)</w:t>
                </w:r>
              </w:p>
            </w:tc>
          </w:sdtContent>
        </w:sdt>
        <w:tc>
          <w:tcPr>
            <w:tcW w:w="5670" w:type="dxa"/>
            <w:vMerge/>
            <w:tcBorders>
              <w:left w:val="single" w:sz="4" w:space="0" w:color="auto"/>
              <w:bottom w:val="single" w:sz="4" w:space="0" w:color="auto"/>
              <w:right w:val="single" w:sz="4" w:space="0" w:color="auto"/>
            </w:tcBorders>
            <w:vAlign w:val="center"/>
          </w:tcPr>
          <w:p>
            <w:pPr>
              <w:jc w:val="center"/>
            </w:pPr>
          </w:p>
        </w:tc>
      </w:tr>
      <w:tr>
        <w:trPr>
          <w:cantSplit/>
        </w:trPr>
        <w:tc>
          <w:tcPr>
            <w:tcW w:w="396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按组合计提坏账准备</w:t>
            </w:r>
          </w:p>
        </w:tc>
        <w:tc>
          <w:tcPr>
            <w:tcW w:w="510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1,978,036</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100</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150</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0.01</w:t>
            </w:r>
          </w:p>
        </w:tc>
        <w:tc>
          <w:tcPr>
            <w:tcW w:w="510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1,977,886</w:t>
            </w:r>
          </w:p>
        </w:tc>
        <w:tc>
          <w:tcPr>
            <w:tcW w:w="510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1,169,566</w:t>
            </w:r>
          </w:p>
        </w:tc>
        <w:tc>
          <w:tcPr>
            <w:tcW w:w="2835"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100</w:t>
            </w:r>
          </w:p>
        </w:tc>
        <w:tc>
          <w:tcPr>
            <w:tcW w:w="2835"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384</w:t>
            </w:r>
          </w:p>
        </w:tc>
        <w:tc>
          <w:tcPr>
            <w:tcW w:w="2835"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0.03</w:t>
            </w:r>
          </w:p>
        </w:tc>
        <w:tc>
          <w:tcPr>
            <w:tcW w:w="567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1,169,182</w:t>
            </w:r>
          </w:p>
        </w:tc>
      </w:tr>
      <w:tr>
        <w:trPr>
          <w:cantSplit/>
        </w:trPr>
        <w:tc>
          <w:tcPr>
            <w:tcW w:w="396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合计</w:t>
            </w:r>
          </w:p>
        </w:tc>
        <w:tc>
          <w:tcPr>
            <w:tcW w:w="510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1,978,036</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150</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w:t>
            </w:r>
          </w:p>
        </w:tc>
        <w:tc>
          <w:tcPr>
            <w:tcW w:w="510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1,977,886</w:t>
            </w:r>
          </w:p>
        </w:tc>
        <w:tc>
          <w:tcPr>
            <w:tcW w:w="510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1,169,566</w:t>
            </w:r>
          </w:p>
        </w:tc>
        <w:tc>
          <w:tcPr>
            <w:tcW w:w="283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w:t>
            </w:r>
          </w:p>
        </w:tc>
        <w:tc>
          <w:tcPr>
            <w:tcW w:w="2835"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384</w:t>
            </w:r>
          </w:p>
        </w:tc>
        <w:tc>
          <w:tcPr>
            <w:tcW w:w="283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w:t>
            </w:r>
          </w:p>
        </w:tc>
        <w:tc>
          <w:tcPr>
            <w:tcW w:w="567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1,169,182</w:t>
            </w:r>
          </w:p>
        </w:tc>
      </w:tr>
    </w:tbl>
    <w:p>
      <w:pPr>
        <w:pStyle w:val="Style217"/>
      </w:pPr>
    </w:p>
    <w:bookmarkEnd w:id="376"/>
    <w:bookmarkEnd w:id="377"/>
    <w:p>
      <w:pPr>
        <w:pStyle w:val="Style217"/>
      </w:pPr>
      <w:r>
        <w:rPr>
          <w:rFonts w:hint="eastAsia"/>
        </w:rPr>
        <w:t>按单项计提坏账准备：</w:t>
      </w:r>
    </w:p>
    <w:sdt>
      <w:sdtPr>
        <w:rPr>
          <w:rFonts w:hint="eastAsia"/>
        </w:rPr>
        <w:alias w:val="是否适用：按单项计提坏账准备的应收票据详细情况[双击切换]"/>
        <w:tag w:val="_GBC_9f41f638de8f4c42b9d00ca6755931fb"/>
        <w:id w:val="-154142984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bookmarkStart w:id="378" w:name="_Hlk533597423"/>
    </w:p>
    <w:bookmarkEnd w:id="378" w:displacedByCustomXml="next"/>
    <w:sdt>
      <w:sdtPr>
        <w:tag w:val="_PLD_c5822df72e094b5083c45a32639c6995"/>
        <w:id w:val="-1026179718"/>
      </w:sdtPr>
      <w:sdtContent>
        <w:p>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443262224"/>
        <w:placeholder>
          <w:docPart w:val="GBC22222222222222222222222222222"/>
        </w:placeholder>
      </w:sdtPr>
      <w:sdtContent>
        <w:p>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pPr>
        <w:rPr>
          <w:rFonts w:asciiTheme="minorHAnsi" w:hAnsiTheme="minorHAnsi" w:cstheme="minorBidi"/>
          <w:bCs/>
          <w:szCs w:val="22"/>
        </w:rPr>
      </w:pPr>
      <w:bookmarkStart w:id="379" w:name="_Hlk533601037"/>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464160070"/>
          <w:placeholder>
            <w:docPart w:val="GBC22222222222222222222222222222"/>
          </w:placeholder>
          <w:comboBox/>
        </w:sdtPr>
        <w:sdtContent>
          <w:r>
            <w:rPr>
              <w:rFonts w:asciiTheme="minorHAnsi" w:hAnsiTheme="minorHAnsi" w:cstheme="minorBidi" w:hint="eastAsia"/>
              <w:bCs/>
              <w:szCs w:val="22"/>
            </w:rPr>
            <w:t>-</w:t>
          </w:r>
        </w:sdtContent>
      </w:sdt>
    </w:p>
    <w:p>
      <w:pPr>
        <w:autoSpaceDE w:val="0"/>
        <w:autoSpaceDN w:val="0"/>
        <w:adjustRightInd w:val="0"/>
        <w:ind w:left="5880" w:right="105"/>
        <w:jc w:val="right"/>
      </w:pPr>
      <w:r>
        <w:rPr>
          <w:rFonts w:hint="eastAsia"/>
        </w:rPr>
        <w:t>单位：</w:t>
      </w:r>
      <w:sdt>
        <w:sdtPr>
          <w:rPr>
            <w:rFonts w:hint="eastAsia"/>
          </w:rPr>
          <w:alias w:val="单位：按组合计提坏账准备的应收票据详细情况"/>
          <w:tag w:val="_GBC_dd22ce6fdcd5426dbe2948860a8cd0a2"/>
          <w:id w:val="9993870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按组合计提坏账准备的应收票据详细情况"/>
          <w:tag w:val="_GBC_6593230bd891417499c638314f150d60"/>
          <w:id w:val="-8436260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309"/>
        <w:gridCol w:w="2350"/>
        <w:gridCol w:w="2294"/>
      </w:tblGrid>
      <w:tr>
        <w:sdt>
          <w:sdtPr>
            <w:tag w:val="_PLD_74ad584541ec46019bc0ec583b56e6dc"/>
            <w:id w:val="-1208329455"/>
          </w:sdtPr>
          <w:sdtContent>
            <w:tc>
              <w:tcPr>
                <w:tcW w:w="2095" w:type="dxa"/>
                <w:vMerge w:val="restart"/>
                <w:vAlign w:val="center"/>
              </w:tcPr>
              <w:p>
                <w:pPr>
                  <w:jc w:val="center"/>
                </w:pPr>
                <w:r>
                  <w:rPr>
                    <w:rFonts w:hint="eastAsia"/>
                  </w:rPr>
                  <w:t>名称</w:t>
                </w:r>
              </w:p>
            </w:tc>
          </w:sdtContent>
        </w:sdt>
        <w:sdt>
          <w:sdtPr>
            <w:tag w:val="_PLD_4cf87ed9c9624586a738a40c94ad8178"/>
            <w:id w:val="-220517500"/>
          </w:sdtPr>
          <w:sdtContent>
            <w:tc>
              <w:tcPr>
                <w:tcW w:w="6953" w:type="dxa"/>
                <w:gridSpan w:val="3"/>
                <w:vAlign w:val="center"/>
              </w:tcPr>
              <w:p>
                <w:pPr>
                  <w:jc w:val="center"/>
                </w:pPr>
                <w:r>
                  <w:rPr>
                    <w:rFonts w:hint="eastAsia"/>
                  </w:rPr>
                  <w:t>期末余额</w:t>
                </w:r>
              </w:p>
            </w:tc>
          </w:sdtContent>
        </w:sdt>
      </w:tr>
      <w:tr>
        <w:tc>
          <w:tcPr>
            <w:tcW w:w="2095" w:type="dxa"/>
            <w:vMerge/>
            <w:vAlign w:val="center"/>
          </w:tcPr>
          <w:p>
            <w:pPr>
              <w:jc w:val="center"/>
            </w:pPr>
          </w:p>
        </w:tc>
        <w:sdt>
          <w:sdtPr>
            <w:tag w:val="_PLD_c7947e62ac1341a0ab9934cdaf575521"/>
            <w:id w:val="-1359501421"/>
          </w:sdtPr>
          <w:sdtContent>
            <w:tc>
              <w:tcPr>
                <w:tcW w:w="2309" w:type="dxa"/>
                <w:vAlign w:val="center"/>
              </w:tcPr>
              <w:p>
                <w:pPr>
                  <w:jc w:val="center"/>
                </w:pPr>
                <w:r>
                  <w:rPr>
                    <w:rFonts w:hint="eastAsia"/>
                  </w:rPr>
                  <w:t>账面余额</w:t>
                </w:r>
              </w:p>
            </w:tc>
          </w:sdtContent>
        </w:sdt>
        <w:sdt>
          <w:sdtPr>
            <w:tag w:val="_PLD_b0f88303dbd14344a84ee332cb6d53f9"/>
            <w:id w:val="268208454"/>
          </w:sdtPr>
          <w:sdtContent>
            <w:tc>
              <w:tcPr>
                <w:tcW w:w="2350" w:type="dxa"/>
                <w:vAlign w:val="center"/>
              </w:tcPr>
              <w:p>
                <w:pPr>
                  <w:jc w:val="center"/>
                </w:pPr>
                <w:r>
                  <w:rPr>
                    <w:rFonts w:hint="eastAsia"/>
                  </w:rPr>
                  <w:t>坏账准备</w:t>
                </w:r>
              </w:p>
            </w:tc>
          </w:sdtContent>
        </w:sdt>
        <w:sdt>
          <w:sdtPr>
            <w:tag w:val="_PLD_2ac8d6b7fbbb4250ab600dfdbe0fcb56"/>
            <w:id w:val="-1755959877"/>
          </w:sdtPr>
          <w:sdtContent>
            <w:tc>
              <w:tcPr>
                <w:tcW w:w="2294" w:type="dxa"/>
                <w:vAlign w:val="center"/>
              </w:tcPr>
              <w:p>
                <w:pPr>
                  <w:jc w:val="center"/>
                </w:pPr>
                <w:r>
                  <w:t>计提比例</w:t>
                </w:r>
                <w:r>
                  <w:rPr>
                    <w:rFonts w:hint="eastAsia"/>
                  </w:rPr>
                  <w:t>（</w:t>
                </w:r>
                <w:r>
                  <w:rPr>
                    <w:rFonts w:hint="eastAsia"/>
                  </w:rPr>
                  <w:t>%</w:t>
                </w:r>
                <w:r>
                  <w:rPr>
                    <w:rFonts w:hint="eastAsia"/>
                  </w:rPr>
                  <w:t>）</w:t>
                </w:r>
              </w:p>
            </w:tc>
          </w:sdtContent>
        </w:sdt>
      </w:tr>
      <w:tr>
        <w:tc>
          <w:tcPr>
            <w:tcW w:w="2095" w:type="dxa"/>
            <w:vAlign w:val="center"/>
          </w:tcPr>
          <w:p>
            <w:pPr>
              <w:pStyle w:val="Style217"/>
            </w:pPr>
            <w:r>
              <w:rPr>
                <w:rFonts w:hint="eastAsia"/>
              </w:rPr>
              <w:t>1年以内（含1年）</w:t>
            </w:r>
          </w:p>
        </w:tc>
        <w:tc>
          <w:tcPr>
            <w:tcW w:w="2309" w:type="dxa"/>
            <w:vAlign w:val="center"/>
          </w:tcPr>
          <w:p>
            <w:pPr>
              <w:jc w:val="right"/>
            </w:pPr>
            <w:r>
              <w:rPr>
                <w:rFonts w:ascii="宋体" w:hAnsi="宋体" w:cs="宋体" w:hint="eastAsia"/>
              </w:rPr>
              <w:t>1,978,036</w:t>
            </w:r>
          </w:p>
        </w:tc>
        <w:tc>
          <w:tcPr>
            <w:tcW w:w="2350" w:type="dxa"/>
            <w:vAlign w:val="center"/>
          </w:tcPr>
          <w:p>
            <w:pPr>
              <w:jc w:val="right"/>
            </w:pPr>
            <w:r>
              <w:rPr>
                <w:rFonts w:ascii="宋体" w:hAnsi="宋体" w:cs="宋体" w:hint="eastAsia"/>
              </w:rPr>
              <w:t>150</w:t>
            </w:r>
          </w:p>
        </w:tc>
        <w:tc>
          <w:tcPr>
            <w:tcW w:w="2294" w:type="dxa"/>
            <w:vAlign w:val="center"/>
          </w:tcPr>
          <w:p>
            <w:pPr>
              <w:jc w:val="right"/>
            </w:pPr>
            <w:r>
              <w:rPr>
                <w:rFonts w:ascii="宋体" w:hAnsi="宋体" w:cs="宋体"/>
              </w:rPr>
              <w:t>0.01</w:t>
            </w:r>
          </w:p>
        </w:tc>
      </w:tr>
      <w:tr>
        <w:tc>
          <w:tcPr>
            <w:tcW w:w="2095" w:type="dxa"/>
            <w:vAlign w:val="center"/>
          </w:tcPr>
          <w:p>
            <w:pPr>
              <w:jc w:val="center"/>
            </w:pPr>
            <w:r>
              <w:rPr>
                <w:rFonts w:hint="eastAsia"/>
              </w:rPr>
              <w:t>合计</w:t>
            </w:r>
          </w:p>
        </w:tc>
        <w:tc>
          <w:tcPr>
            <w:tcW w:w="2309" w:type="dxa"/>
            <w:vAlign w:val="center"/>
          </w:tcPr>
          <w:p>
            <w:pPr>
              <w:jc w:val="right"/>
            </w:pPr>
            <w:r>
              <w:rPr>
                <w:rFonts w:ascii="宋体" w:hAnsi="宋体" w:cs="宋体" w:hint="eastAsia"/>
              </w:rPr>
              <w:t>1,978,036</w:t>
            </w:r>
          </w:p>
        </w:tc>
        <w:tc>
          <w:tcPr>
            <w:tcW w:w="2350" w:type="dxa"/>
            <w:vAlign w:val="center"/>
          </w:tcPr>
          <w:p>
            <w:pPr>
              <w:jc w:val="right"/>
            </w:pPr>
            <w:r>
              <w:rPr>
                <w:rFonts w:ascii="宋体" w:hAnsi="宋体" w:cs="宋体" w:hint="eastAsia"/>
              </w:rPr>
              <w:t>150</w:t>
            </w:r>
          </w:p>
        </w:tc>
        <w:tc>
          <w:tcPr>
            <w:tcW w:w="2294" w:type="dxa"/>
            <w:vAlign w:val="center"/>
          </w:tcPr>
          <w:p>
            <w:pPr>
              <w:jc w:val="right"/>
            </w:pPr>
            <w:r>
              <w:rPr>
                <w:rFonts w:ascii="宋体" w:hAnsi="宋体" w:cs="宋体"/>
              </w:rPr>
              <w:t>0.01</w:t>
            </w:r>
          </w:p>
        </w:tc>
      </w:tr>
    </w:tbl>
    <w:p>
      <w:pPr>
        <w:pStyle w:val="Style217"/>
      </w:pPr>
      <w:r>
        <w:rPr>
          <w:rFonts w:hint="eastAsia"/>
        </w:rPr>
        <w:t>按组合计提坏账准备的说明</w:t>
      </w:r>
    </w:p>
    <w:sdt>
      <w:sdtPr>
        <w:alias w:val="是否适用：按组合计提坏账准备的应收票据确认标准[双击切换]"/>
        <w:tag w:val="_GBC_8da9c261e1b645a580319dc9ae336a84"/>
        <w:id w:val="-150835828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Theme="minorHAnsi" w:hAnsiTheme="minorHAnsi" w:cstheme="minorBidi"/>
          <w:b/>
          <w:bCs/>
          <w:szCs w:val="22"/>
        </w:rPr>
      </w:pPr>
    </w:p>
    <w:p>
      <w:pPr>
        <w:rPr>
          <w:rFonts w:cstheme="minorBidi"/>
          <w:bCs/>
          <w:szCs w:val="22"/>
        </w:rPr>
      </w:pPr>
      <w:bookmarkStart w:id="380" w:name="_Hlk153356892"/>
      <w:bookmarkEnd w:id="379"/>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660618484"/>
        <w:placeholder>
          <w:docPart w:val="GBC22222222222222222222222222222"/>
        </w:placeholder>
      </w:sdtPr>
      <w:sdtContent>
        <w:p>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pPr>
        <w:autoSpaceDE w:val="0"/>
        <w:autoSpaceDN w:val="0"/>
        <w:adjustRightInd w:val="0"/>
        <w:ind w:leftChars="86" w:left="181" w:rightChars="50" w:right="105"/>
        <w:jc w:val="right"/>
      </w:pPr>
      <w:r>
        <w:rPr>
          <w:rFonts w:hint="eastAsia"/>
        </w:rPr>
        <w:t>单位：</w:t>
      </w:r>
      <w:sdt>
        <w:sdtPr>
          <w:rPr>
            <w:rFonts w:hint="eastAsia"/>
          </w:rPr>
          <w:alias w:val="单位：按预期信用损失一般模型计提坏账准备"/>
          <w:tag w:val="_GBC_2cc2d909d1754ff19f99ac2c6fa788c1"/>
          <w:id w:val="44026623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按预期信用损失一般模型计提坏账准备"/>
          <w:tag w:val="_GBC_c3a3fe554de74bdea2977c4831944e52"/>
          <w:id w:val="17301848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558"/>
        <w:gridCol w:w="1701"/>
        <w:gridCol w:w="1701"/>
        <w:gridCol w:w="1427"/>
      </w:tblGrid>
      <w:tr>
        <w:sdt>
          <w:sdtPr>
            <w:tag w:val="_PLD_c5549b0384f346caa49bcbb13ecda128"/>
            <w:id w:val="-556703279"/>
          </w:sdtPr>
          <w:sdtContent>
            <w:tc>
              <w:tcPr>
                <w:tcW w:w="2660" w:type="dxa"/>
                <w:vMerge w:val="restart"/>
                <w:vAlign w:val="center"/>
              </w:tcPr>
              <w:p>
                <w:pPr>
                  <w:pStyle w:val="Style123"/>
                  <w:spacing w:after="0" w:line="240" w:lineRule="auto"/>
                  <w:ind w:leftChars="86" w:left="181"/>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23311567934e470ab7a42b1192d0de3f"/>
            <w:id w:val="-332764125"/>
          </w:sdtPr>
          <w:sdtContent>
            <w:tc>
              <w:tcPr>
                <w:tcW w:w="1558" w:type="dxa"/>
                <w:vAlign w:val="center"/>
              </w:tcPr>
              <w:p>
                <w:pPr>
                  <w:pStyle w:val="Style123"/>
                  <w:spacing w:after="0" w:line="240" w:lineRule="auto"/>
                  <w:ind w:leftChars="86" w:left="181"/>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5a4e1b8ab26e4af8b3eadbc3b8ec74d1"/>
            <w:id w:val="-444233796"/>
          </w:sdtPr>
          <w:sdtContent>
            <w:tc>
              <w:tcPr>
                <w:tcW w:w="1701" w:type="dxa"/>
                <w:vAlign w:val="center"/>
              </w:tcPr>
              <w:p>
                <w:pPr>
                  <w:pStyle w:val="Style123"/>
                  <w:spacing w:after="0" w:line="240" w:lineRule="auto"/>
                  <w:ind w:leftChars="86" w:left="181"/>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d99cc0b8d26441cd993d62176f15af01"/>
            <w:id w:val="-1923472106"/>
          </w:sdtPr>
          <w:sdtContent>
            <w:tc>
              <w:tcPr>
                <w:tcW w:w="1701" w:type="dxa"/>
                <w:vAlign w:val="center"/>
              </w:tcPr>
              <w:p>
                <w:pPr>
                  <w:pStyle w:val="Style123"/>
                  <w:spacing w:after="0" w:line="240" w:lineRule="auto"/>
                  <w:ind w:leftChars="86" w:left="181"/>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7d52ff3a7394af2969b68057bdf6514"/>
            <w:id w:val="431247275"/>
          </w:sdtPr>
          <w:sdtContent>
            <w:tc>
              <w:tcPr>
                <w:tcW w:w="1427" w:type="dxa"/>
                <w:vMerge w:val="restart"/>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tc>
          <w:tcPr>
            <w:tcW w:w="2660" w:type="dxa"/>
            <w:vMerge/>
            <w:vAlign w:val="center"/>
          </w:tcPr>
          <w:p>
            <w:pPr>
              <w:ind w:leftChars="86" w:left="181"/>
              <w:jc w:val="center"/>
              <w:rPr>
                <w:color w:val="008000"/>
              </w:rPr>
            </w:pPr>
          </w:p>
        </w:tc>
        <w:sdt>
          <w:sdtPr>
            <w:tag w:val="_PLD_1f5ad5e6387b4ff5abfa0a20e9963330"/>
            <w:id w:val="-1680500387"/>
          </w:sdtPr>
          <w:sdtContent>
            <w:tc>
              <w:tcPr>
                <w:tcW w:w="1558"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d369752d8d7f4916b33ff278fc0ba846"/>
            <w:id w:val="-680284082"/>
          </w:sdtPr>
          <w:sdtContent>
            <w:tc>
              <w:tcPr>
                <w:tcW w:w="1701"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ed206a945b84444b7609cf21b57962a"/>
            <w:id w:val="367189563"/>
          </w:sdtPr>
          <w:sdtContent>
            <w:tc>
              <w:tcPr>
                <w:tcW w:w="1701"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1427" w:type="dxa"/>
            <w:vMerge/>
            <w:vAlign w:val="center"/>
          </w:tcPr>
          <w:p>
            <w:pPr>
              <w:ind w:leftChars="86" w:left="181"/>
              <w:jc w:val="center"/>
              <w:rPr>
                <w:color w:val="008000"/>
              </w:rPr>
            </w:pPr>
          </w:p>
        </w:tc>
      </w:tr>
      <w:tr>
        <w:tc>
          <w:tcPr>
            <w:tcW w:w="2660"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1月1日余额</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r>
              <w:rPr>
                <w:rFonts w:ascii="宋体" w:hAnsi="宋体" w:hint="eastAsia"/>
                <w:bCs/>
              </w:rPr>
              <w:t>384</w:t>
            </w: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bCs/>
              </w:rPr>
            </w:pPr>
            <w:r>
              <w:rPr>
                <w:rFonts w:ascii="宋体" w:hAnsi="宋体" w:hint="eastAsia"/>
                <w:bCs/>
              </w:rPr>
              <w:t>384</w:t>
            </w:r>
          </w:p>
        </w:tc>
      </w:tr>
      <w:tr>
        <w:tc>
          <w:tcPr>
            <w:tcW w:w="2660"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lastRenderedPageBreak/>
              <w:t>2025年1月1日余额在本期</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rPr>
            </w:pPr>
          </w:p>
        </w:tc>
      </w:tr>
      <w:tr>
        <w:tc>
          <w:tcPr>
            <w:tcW w:w="2660" w:type="dxa"/>
            <w:vAlign w:val="center"/>
          </w:tcPr>
          <w:p>
            <w:pPr>
              <w:pStyle w:val="Style123"/>
              <w:spacing w:after="0" w:line="240" w:lineRule="auto"/>
              <w:ind w:leftChars="86" w:left="181"/>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rPr>
            </w:pPr>
          </w:p>
        </w:tc>
      </w:tr>
      <w:tr>
        <w:tc>
          <w:tcPr>
            <w:tcW w:w="2660" w:type="dxa"/>
            <w:vAlign w:val="center"/>
          </w:tcPr>
          <w:p>
            <w:pPr>
              <w:pStyle w:val="Style123"/>
              <w:spacing w:after="0" w:line="240" w:lineRule="auto"/>
              <w:ind w:leftChars="86" w:left="181"/>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rPr>
            </w:pPr>
          </w:p>
        </w:tc>
      </w:tr>
      <w:tr>
        <w:tc>
          <w:tcPr>
            <w:tcW w:w="2660" w:type="dxa"/>
            <w:vAlign w:val="center"/>
          </w:tcPr>
          <w:p>
            <w:pPr>
              <w:pStyle w:val="Style123"/>
              <w:spacing w:after="0" w:line="240" w:lineRule="auto"/>
              <w:ind w:leftChars="86" w:left="181"/>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rPr>
            </w:pPr>
          </w:p>
        </w:tc>
      </w:tr>
      <w:tr>
        <w:tc>
          <w:tcPr>
            <w:tcW w:w="2660" w:type="dxa"/>
            <w:vAlign w:val="center"/>
          </w:tcPr>
          <w:p>
            <w:pPr>
              <w:pStyle w:val="Style123"/>
              <w:spacing w:after="0" w:line="240" w:lineRule="auto"/>
              <w:ind w:leftChars="86" w:left="181"/>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rPr>
            </w:pPr>
          </w:p>
        </w:tc>
      </w:tr>
      <w:tr>
        <w:tc>
          <w:tcPr>
            <w:tcW w:w="2660"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1558" w:type="dxa"/>
            <w:vAlign w:val="center"/>
          </w:tcPr>
          <w:p>
            <w:pPr>
              <w:ind w:leftChars="86" w:left="181"/>
              <w:jc w:val="right"/>
              <w:rPr>
                <w:rFonts w:ascii="宋体" w:hAnsi="宋体"/>
              </w:rPr>
            </w:pPr>
          </w:p>
        </w:tc>
        <w:tc>
          <w:tcPr>
            <w:tcW w:w="1701" w:type="dxa"/>
          </w:tcPr>
          <w:p>
            <w:pPr>
              <w:ind w:leftChars="86" w:left="181"/>
              <w:jc w:val="right"/>
              <w:rPr>
                <w:rFonts w:ascii="宋体" w:hAnsi="宋体"/>
              </w:rPr>
            </w:pPr>
            <w:r>
              <w:rPr>
                <w:rFonts w:ascii="宋体" w:hAnsi="宋体"/>
              </w:rPr>
              <w:t>150</w:t>
            </w:r>
          </w:p>
        </w:tc>
        <w:tc>
          <w:tcPr>
            <w:tcW w:w="1701" w:type="dxa"/>
          </w:tcPr>
          <w:p>
            <w:pPr>
              <w:ind w:leftChars="86" w:left="181"/>
              <w:jc w:val="right"/>
              <w:rPr>
                <w:rFonts w:ascii="宋体" w:hAnsi="宋体"/>
              </w:rPr>
            </w:pPr>
          </w:p>
        </w:tc>
        <w:tc>
          <w:tcPr>
            <w:tcW w:w="1427" w:type="dxa"/>
          </w:tcPr>
          <w:p>
            <w:pPr>
              <w:ind w:leftChars="86" w:left="181"/>
              <w:jc w:val="right"/>
              <w:rPr>
                <w:rFonts w:ascii="宋体" w:hAnsi="宋体"/>
              </w:rPr>
            </w:pPr>
            <w:r>
              <w:rPr>
                <w:rFonts w:ascii="宋体" w:hAnsi="宋体"/>
              </w:rPr>
              <w:t>150</w:t>
            </w:r>
          </w:p>
        </w:tc>
      </w:tr>
      <w:tr>
        <w:tc>
          <w:tcPr>
            <w:tcW w:w="2660" w:type="dxa"/>
            <w:vAlign w:val="center"/>
          </w:tcPr>
          <w:p>
            <w:pPr>
              <w:pStyle w:val="Style123"/>
              <w:spacing w:after="0" w:line="240" w:lineRule="auto"/>
              <w:rPr>
                <w:rFonts w:ascii="宋体" w:eastAsia="宋体" w:hAnsi="宋体"/>
                <w:sz w:val="21"/>
                <w:szCs w:val="21"/>
              </w:rPr>
            </w:pPr>
            <w:r>
              <w:rPr>
                <w:rFonts w:ascii="宋体" w:eastAsia="宋体" w:hAnsi="宋体" w:hint="eastAsia"/>
                <w:sz w:val="21"/>
                <w:szCs w:val="21"/>
              </w:rPr>
              <w:t>本期转回</w:t>
            </w:r>
          </w:p>
        </w:tc>
        <w:tc>
          <w:tcPr>
            <w:tcW w:w="1558" w:type="dxa"/>
            <w:vAlign w:val="center"/>
          </w:tcPr>
          <w:p>
            <w:pPr>
              <w:ind w:leftChars="86" w:left="181"/>
              <w:jc w:val="right"/>
              <w:rPr>
                <w:rFonts w:ascii="宋体" w:hAnsi="宋体"/>
              </w:rPr>
            </w:pPr>
          </w:p>
        </w:tc>
        <w:tc>
          <w:tcPr>
            <w:tcW w:w="1701" w:type="dxa"/>
          </w:tcPr>
          <w:p>
            <w:pPr>
              <w:ind w:leftChars="86" w:left="181"/>
              <w:jc w:val="right"/>
              <w:rPr>
                <w:rFonts w:ascii="宋体" w:hAnsi="宋体"/>
              </w:rPr>
            </w:pPr>
            <w:r>
              <w:rPr>
                <w:rFonts w:ascii="宋体" w:hAnsi="宋体"/>
              </w:rPr>
              <w:t>384</w:t>
            </w:r>
          </w:p>
        </w:tc>
        <w:tc>
          <w:tcPr>
            <w:tcW w:w="1701" w:type="dxa"/>
          </w:tcPr>
          <w:p>
            <w:pPr>
              <w:ind w:leftChars="86" w:left="181"/>
              <w:jc w:val="right"/>
              <w:rPr>
                <w:rFonts w:ascii="宋体" w:hAnsi="宋体"/>
              </w:rPr>
            </w:pPr>
          </w:p>
        </w:tc>
        <w:tc>
          <w:tcPr>
            <w:tcW w:w="1427" w:type="dxa"/>
          </w:tcPr>
          <w:p>
            <w:pPr>
              <w:ind w:leftChars="86" w:left="181"/>
              <w:jc w:val="right"/>
              <w:rPr>
                <w:rFonts w:ascii="宋体" w:hAnsi="宋体"/>
              </w:rPr>
            </w:pPr>
            <w:r>
              <w:rPr>
                <w:rFonts w:ascii="宋体" w:hAnsi="宋体"/>
              </w:rPr>
              <w:t>384</w:t>
            </w:r>
          </w:p>
        </w:tc>
      </w:tr>
      <w:tr>
        <w:tc>
          <w:tcPr>
            <w:tcW w:w="2660"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rPr>
            </w:pPr>
          </w:p>
        </w:tc>
      </w:tr>
      <w:tr>
        <w:tc>
          <w:tcPr>
            <w:tcW w:w="2660" w:type="dxa"/>
            <w:vAlign w:val="center"/>
          </w:tcPr>
          <w:p>
            <w:pPr>
              <w:pStyle w:val="Style123"/>
              <w:spacing w:after="0" w:line="240" w:lineRule="auto"/>
              <w:rPr>
                <w:rFonts w:ascii="宋体" w:eastAsia="宋体" w:hAnsi="宋体"/>
                <w:sz w:val="21"/>
                <w:szCs w:val="21"/>
              </w:rPr>
            </w:pPr>
            <w:r>
              <w:rPr>
                <w:rFonts w:ascii="宋体" w:eastAsia="宋体" w:hAnsi="宋体" w:cs="宋体" w:hint="eastAsia"/>
                <w:sz w:val="21"/>
                <w:szCs w:val="21"/>
                <w:lang w:eastAsia="zh-CN"/>
              </w:rPr>
              <w:t>本期核销</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rPr>
            </w:pPr>
          </w:p>
        </w:tc>
      </w:tr>
      <w:tr>
        <w:tc>
          <w:tcPr>
            <w:tcW w:w="2660"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rPr>
            </w:pPr>
          </w:p>
        </w:tc>
      </w:tr>
      <w:tr>
        <w:tc>
          <w:tcPr>
            <w:tcW w:w="2660"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t>余额</w:t>
            </w:r>
          </w:p>
        </w:tc>
        <w:tc>
          <w:tcPr>
            <w:tcW w:w="1558" w:type="dxa"/>
            <w:vAlign w:val="center"/>
          </w:tcPr>
          <w:p>
            <w:pPr>
              <w:ind w:leftChars="86" w:left="181"/>
              <w:jc w:val="right"/>
              <w:rPr>
                <w:rFonts w:ascii="宋体" w:hAnsi="宋体"/>
              </w:rPr>
            </w:pPr>
          </w:p>
        </w:tc>
        <w:tc>
          <w:tcPr>
            <w:tcW w:w="1701" w:type="dxa"/>
            <w:vAlign w:val="center"/>
          </w:tcPr>
          <w:p>
            <w:pPr>
              <w:ind w:leftChars="86" w:left="181"/>
              <w:jc w:val="right"/>
              <w:rPr>
                <w:rFonts w:ascii="宋体" w:hAnsi="宋体"/>
              </w:rPr>
            </w:pPr>
            <w:r>
              <w:rPr>
                <w:rFonts w:ascii="宋体" w:hAnsi="宋体" w:hint="eastAsia"/>
                <w:bCs/>
              </w:rPr>
              <w:t>150</w:t>
            </w:r>
          </w:p>
        </w:tc>
        <w:tc>
          <w:tcPr>
            <w:tcW w:w="1701" w:type="dxa"/>
            <w:vAlign w:val="center"/>
          </w:tcPr>
          <w:p>
            <w:pPr>
              <w:ind w:leftChars="86" w:left="181"/>
              <w:jc w:val="right"/>
              <w:rPr>
                <w:rFonts w:ascii="宋体" w:hAnsi="宋体"/>
              </w:rPr>
            </w:pPr>
          </w:p>
        </w:tc>
        <w:tc>
          <w:tcPr>
            <w:tcW w:w="1427" w:type="dxa"/>
            <w:vAlign w:val="center"/>
          </w:tcPr>
          <w:p>
            <w:pPr>
              <w:ind w:leftChars="86" w:left="181"/>
              <w:jc w:val="right"/>
              <w:rPr>
                <w:rFonts w:ascii="宋体" w:hAnsi="宋体"/>
                <w:bCs/>
              </w:rPr>
            </w:pPr>
            <w:r>
              <w:rPr>
                <w:rFonts w:ascii="宋体" w:hAnsi="宋体" w:hint="eastAsia"/>
                <w:bCs/>
              </w:rPr>
              <w:t>150</w:t>
            </w:r>
          </w:p>
        </w:tc>
      </w:tr>
    </w:tbl>
    <w:p>
      <w:pPr>
        <w:autoSpaceDE w:val="0"/>
        <w:autoSpaceDN w:val="0"/>
        <w:adjustRightInd w:val="0"/>
        <w:ind w:rightChars="50" w:right="105"/>
        <w:rPr>
          <w:rFonts w:ascii="宋体" w:hAnsi="宋体"/>
        </w:rPr>
      </w:pPr>
    </w:p>
    <w:p>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64b745b874a741e0959d6b23dbf1c56a"/>
        <w:id w:val="-147752223"/>
        <w:placeholder>
          <w:docPart w:val="GBC22222222222222222222222222222"/>
        </w:placeholder>
      </w:sdtPr>
      <w:sdtContent>
        <w:p>
          <w:pPr>
            <w:rPr>
              <w:bCs/>
              <w:szCs w:val="22"/>
            </w:rPr>
          </w:pPr>
          <w:r>
            <w:rPr>
              <w:rFonts w:hint="eastAsia"/>
              <w:bCs/>
              <w:szCs w:val="22"/>
            </w:rPr>
            <w:t>-</w:t>
          </w:r>
        </w:p>
      </w:sdtContent>
    </w:sdt>
    <w:p>
      <w:pPr>
        <w:rPr>
          <w:rFonts w:asciiTheme="minorHAnsi" w:hAnsiTheme="minorHAnsi" w:cstheme="minorBidi"/>
          <w:b/>
          <w:bCs/>
          <w:szCs w:val="22"/>
        </w:rPr>
      </w:pPr>
    </w:p>
    <w:p>
      <w:pPr>
        <w:pStyle w:val="Style201"/>
      </w:pPr>
      <w:r>
        <w:rPr>
          <w:rFonts w:hint="eastAsia"/>
        </w:rPr>
        <w:t>对本期发生损失准备变动的应收票据账面余额显著变动的情况说明：</w:t>
      </w:r>
    </w:p>
    <w:sdt>
      <w:sdtPr>
        <w:alias w:val="是否适用：对本期发生损失准备变动的账面余额显著变动的情况说明[双击切换]"/>
        <w:tag w:val="_GBC_2f34fd35c9654c8fa0b6583125cc946c"/>
        <w:id w:val="1868333239"/>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asciiTheme="minorHAnsi" w:hAnsiTheme="minorHAnsi" w:cstheme="minorBidi"/>
          <w:b/>
          <w:bCs/>
          <w:szCs w:val="22"/>
        </w:rPr>
      </w:pPr>
    </w:p>
    <w:p>
      <w:pPr>
        <w:pStyle w:val="Style179"/>
        <w:numPr>
          <w:ilvl w:val="3"/>
          <w:numId w:val="76"/>
        </w:numPr>
        <w:ind w:left="426" w:hanging="426"/>
      </w:pPr>
      <w:bookmarkStart w:id="381" w:name="_Hlk532980547"/>
      <w:bookmarkStart w:id="382" w:name="_Hlk154148795"/>
      <w:bookmarkEnd w:id="380"/>
      <w:r>
        <w:rPr>
          <w:rFonts w:hint="eastAsia"/>
        </w:rPr>
        <w:t>坏账准备的情况</w:t>
      </w:r>
    </w:p>
    <w:sdt>
      <w:sdtPr>
        <w:alias w:val="是否适用：应收票据坏账准备情况[双击切换]"/>
        <w:tag w:val="_GBC_3c7b44ae9e3b4aa6a67012163093206f"/>
        <w:id w:val="116874797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3657938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应收票据坏账准备情况"/>
          <w:tag w:val="_GBC_2ca7f0c4216640399e139055a5b3f6df"/>
          <w:id w:val="8788238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90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696"/>
        <w:gridCol w:w="1134"/>
        <w:gridCol w:w="1075"/>
        <w:gridCol w:w="1357"/>
        <w:gridCol w:w="1487"/>
        <w:gridCol w:w="1085"/>
        <w:gridCol w:w="1221"/>
      </w:tblGrid>
      <w:tr>
        <w:sdt>
          <w:sdtPr>
            <w:tag w:val="_PLD_5c2e077065ea4069947c5dad1aefe7c9"/>
            <w:id w:val="-833143782"/>
          </w:sdtPr>
          <w:sdtContent>
            <w:tc>
              <w:tcPr>
                <w:tcW w:w="1696" w:type="dxa"/>
                <w:vMerge w:val="restart"/>
                <w:shd w:val="clear" w:color="auto" w:fill="FFFFFF"/>
                <w:vAlign w:val="center"/>
              </w:tcPr>
              <w:p>
                <w:pPr>
                  <w:widowControl w:val="0"/>
                  <w:jc w:val="center"/>
                </w:pPr>
                <w:r>
                  <w:t>类别</w:t>
                </w:r>
              </w:p>
            </w:tc>
          </w:sdtContent>
        </w:sdt>
        <w:sdt>
          <w:sdtPr>
            <w:tag w:val="_PLD_be42aed4ff82447ca43a862394d9d8b0"/>
            <w:id w:val="352839758"/>
          </w:sdtPr>
          <w:sdtContent>
            <w:tc>
              <w:tcPr>
                <w:tcW w:w="1134" w:type="dxa"/>
                <w:vMerge w:val="restart"/>
                <w:shd w:val="clear" w:color="auto" w:fill="FFFFFF"/>
                <w:vAlign w:val="center"/>
              </w:tcPr>
              <w:p>
                <w:pPr>
                  <w:widowControl w:val="0"/>
                  <w:jc w:val="center"/>
                </w:pPr>
                <w:r>
                  <w:t>期初余额</w:t>
                </w:r>
              </w:p>
            </w:tc>
          </w:sdtContent>
        </w:sdt>
        <w:sdt>
          <w:sdtPr>
            <w:tag w:val="_PLD_6aa2190a976944ebbcbd0551027474a9"/>
            <w:id w:val="1585182945"/>
          </w:sdtPr>
          <w:sdtContent>
            <w:tc>
              <w:tcPr>
                <w:tcW w:w="5004" w:type="dxa"/>
                <w:gridSpan w:val="4"/>
                <w:shd w:val="clear" w:color="auto" w:fill="FFFFFF"/>
                <w:vAlign w:val="center"/>
              </w:tcPr>
              <w:p>
                <w:pPr>
                  <w:widowControl w:val="0"/>
                  <w:jc w:val="center"/>
                </w:pPr>
                <w:r>
                  <w:rPr>
                    <w:rFonts w:hint="eastAsia"/>
                  </w:rPr>
                  <w:t>本期变动</w:t>
                </w:r>
                <w:r>
                  <w:t>金额</w:t>
                </w:r>
              </w:p>
            </w:tc>
          </w:sdtContent>
        </w:sdt>
        <w:sdt>
          <w:sdtPr>
            <w:tag w:val="_PLD_b9edf7d7d59c4a92b06644af7a055d81"/>
            <w:id w:val="1150868920"/>
          </w:sdtPr>
          <w:sdtContent>
            <w:tc>
              <w:tcPr>
                <w:tcW w:w="1221" w:type="dxa"/>
                <w:vMerge w:val="restart"/>
                <w:shd w:val="clear" w:color="auto" w:fill="FFFFFF"/>
                <w:vAlign w:val="center"/>
              </w:tcPr>
              <w:p>
                <w:pPr>
                  <w:widowControl w:val="0"/>
                  <w:jc w:val="center"/>
                </w:pPr>
                <w:r>
                  <w:t>期末余额</w:t>
                </w:r>
              </w:p>
            </w:tc>
          </w:sdtContent>
        </w:sdt>
      </w:tr>
      <w:tr>
        <w:tc>
          <w:tcPr>
            <w:tcW w:w="1696" w:type="dxa"/>
            <w:vMerge/>
            <w:shd w:val="clear" w:color="auto" w:fill="FFFFFF"/>
            <w:vAlign w:val="center"/>
          </w:tcPr>
          <w:p>
            <w:pPr>
              <w:widowControl w:val="0"/>
              <w:jc w:val="center"/>
            </w:pPr>
          </w:p>
        </w:tc>
        <w:tc>
          <w:tcPr>
            <w:tcW w:w="1134" w:type="dxa"/>
            <w:vMerge/>
            <w:shd w:val="clear" w:color="auto" w:fill="FFFFFF"/>
            <w:vAlign w:val="center"/>
          </w:tcPr>
          <w:p>
            <w:pPr>
              <w:widowControl w:val="0"/>
              <w:jc w:val="right"/>
            </w:pPr>
          </w:p>
        </w:tc>
        <w:sdt>
          <w:sdtPr>
            <w:tag w:val="_PLD_36062efa6f854d3c8eee6ca1e0b72bca"/>
            <w:id w:val="1500235686"/>
          </w:sdtPr>
          <w:sdtContent>
            <w:tc>
              <w:tcPr>
                <w:tcW w:w="1075" w:type="dxa"/>
                <w:shd w:val="clear" w:color="auto" w:fill="FFFFFF"/>
                <w:vAlign w:val="center"/>
              </w:tcPr>
              <w:p>
                <w:pPr>
                  <w:widowControl w:val="0"/>
                  <w:jc w:val="center"/>
                </w:pPr>
                <w:r>
                  <w:t>计提</w:t>
                </w:r>
              </w:p>
            </w:tc>
          </w:sdtContent>
        </w:sdt>
        <w:sdt>
          <w:sdtPr>
            <w:tag w:val="_PLD_0b4224d18fad47e08fa90eb4f8c7e612"/>
            <w:id w:val="-1621062719"/>
          </w:sdtPr>
          <w:sdtContent>
            <w:tc>
              <w:tcPr>
                <w:tcW w:w="1357" w:type="dxa"/>
                <w:shd w:val="clear" w:color="auto" w:fill="FFFFFF"/>
                <w:vAlign w:val="center"/>
              </w:tcPr>
              <w:p>
                <w:pPr>
                  <w:widowControl w:val="0"/>
                  <w:jc w:val="center"/>
                </w:pPr>
                <w:r>
                  <w:rPr>
                    <w:rFonts w:hint="eastAsia"/>
                  </w:rPr>
                  <w:t>收回或转回</w:t>
                </w:r>
              </w:p>
            </w:tc>
          </w:sdtContent>
        </w:sdt>
        <w:tc>
          <w:tcPr>
            <w:tcW w:w="1487" w:type="dxa"/>
            <w:shd w:val="clear" w:color="auto" w:fill="FFFFFF"/>
            <w:vAlign w:val="center"/>
          </w:tcPr>
          <w:sdt>
            <w:sdtPr>
              <w:tag w:val="_PLD_dff8ef418de94a2b8e2615f6e297e890"/>
              <w:id w:val="-858891331"/>
            </w:sdtPr>
            <w:sdtContent>
              <w:p>
                <w:pPr>
                  <w:widowControl w:val="0"/>
                  <w:jc w:val="center"/>
                </w:pPr>
                <w:r>
                  <w:rPr>
                    <w:rFonts w:hint="eastAsia"/>
                  </w:rPr>
                  <w:t>转销或核销</w:t>
                </w:r>
              </w:p>
            </w:sdtContent>
          </w:sdt>
        </w:tc>
        <w:tc>
          <w:tcPr>
            <w:tcW w:w="1085" w:type="dxa"/>
            <w:shd w:val="clear" w:color="auto" w:fill="FFFFFF"/>
            <w:vAlign w:val="center"/>
          </w:tcPr>
          <w:sdt>
            <w:sdtPr>
              <w:tag w:val="_PLD_529e6104ed0640fcab7db5615e37639f"/>
              <w:id w:val="-1318725310"/>
            </w:sdtPr>
            <w:sdtContent>
              <w:p>
                <w:pPr>
                  <w:widowControl w:val="0"/>
                  <w:jc w:val="center"/>
                </w:pPr>
                <w:r>
                  <w:rPr>
                    <w:rFonts w:hint="eastAsia"/>
                  </w:rPr>
                  <w:t>其他变动</w:t>
                </w:r>
              </w:p>
            </w:sdtContent>
          </w:sdt>
        </w:tc>
        <w:tc>
          <w:tcPr>
            <w:tcW w:w="1221" w:type="dxa"/>
            <w:vMerge/>
            <w:shd w:val="clear" w:color="auto" w:fill="FFFFFF"/>
            <w:vAlign w:val="center"/>
          </w:tcPr>
          <w:p>
            <w:pPr>
              <w:widowControl w:val="0"/>
              <w:jc w:val="right"/>
            </w:pPr>
          </w:p>
        </w:tc>
      </w:tr>
      <w:tr>
        <w:tc>
          <w:tcPr>
            <w:tcW w:w="1696" w:type="dxa"/>
            <w:vAlign w:val="center"/>
          </w:tcPr>
          <w:p>
            <w:pPr>
              <w:widowControl w:val="0"/>
            </w:pPr>
            <w:r>
              <w:rPr>
                <w:rFonts w:ascii="宋体" w:hAnsi="宋体" w:hint="eastAsia"/>
                <w:sz w:val="18"/>
                <w:szCs w:val="18"/>
              </w:rPr>
              <w:t>应收票据坏账准备</w:t>
            </w:r>
          </w:p>
        </w:tc>
        <w:tc>
          <w:tcPr>
            <w:tcW w:w="1134" w:type="dxa"/>
            <w:vAlign w:val="center"/>
          </w:tcPr>
          <w:p>
            <w:pPr>
              <w:widowControl w:val="0"/>
              <w:jc w:val="right"/>
              <w:rPr>
                <w:rFonts w:ascii="宋体" w:hAnsi="宋体"/>
              </w:rPr>
            </w:pPr>
            <w:r>
              <w:rPr>
                <w:rFonts w:ascii="宋体" w:hAnsi="宋体" w:hint="eastAsia"/>
              </w:rPr>
              <w:t>384</w:t>
            </w:r>
          </w:p>
        </w:tc>
        <w:tc>
          <w:tcPr>
            <w:tcW w:w="1075" w:type="dxa"/>
          </w:tcPr>
          <w:p>
            <w:pPr>
              <w:widowControl w:val="0"/>
              <w:jc w:val="right"/>
              <w:rPr>
                <w:rFonts w:ascii="宋体" w:hAnsi="宋体"/>
              </w:rPr>
            </w:pPr>
            <w:r>
              <w:rPr>
                <w:rFonts w:ascii="宋体" w:hAnsi="宋体"/>
              </w:rPr>
              <w:t>150</w:t>
            </w:r>
          </w:p>
        </w:tc>
        <w:tc>
          <w:tcPr>
            <w:tcW w:w="1357" w:type="dxa"/>
          </w:tcPr>
          <w:p>
            <w:pPr>
              <w:widowControl w:val="0"/>
              <w:jc w:val="right"/>
              <w:rPr>
                <w:rFonts w:ascii="宋体" w:hAnsi="宋体"/>
              </w:rPr>
            </w:pPr>
            <w:r>
              <w:rPr>
                <w:rFonts w:ascii="宋体" w:hAnsi="宋体"/>
              </w:rPr>
              <w:t>384</w:t>
            </w:r>
          </w:p>
        </w:tc>
        <w:tc>
          <w:tcPr>
            <w:tcW w:w="1487" w:type="dxa"/>
            <w:vAlign w:val="center"/>
          </w:tcPr>
          <w:p>
            <w:pPr>
              <w:widowControl w:val="0"/>
              <w:jc w:val="right"/>
              <w:rPr>
                <w:rFonts w:ascii="宋体" w:hAnsi="宋体"/>
              </w:rPr>
            </w:pPr>
          </w:p>
        </w:tc>
        <w:tc>
          <w:tcPr>
            <w:tcW w:w="1085" w:type="dxa"/>
            <w:vAlign w:val="center"/>
          </w:tcPr>
          <w:p>
            <w:pPr>
              <w:widowControl w:val="0"/>
              <w:jc w:val="right"/>
              <w:rPr>
                <w:rFonts w:ascii="宋体" w:hAnsi="宋体"/>
              </w:rPr>
            </w:pPr>
          </w:p>
        </w:tc>
        <w:tc>
          <w:tcPr>
            <w:tcW w:w="1221" w:type="dxa"/>
            <w:vAlign w:val="center"/>
          </w:tcPr>
          <w:p>
            <w:pPr>
              <w:widowControl w:val="0"/>
              <w:jc w:val="right"/>
              <w:rPr>
                <w:rFonts w:ascii="宋体" w:hAnsi="宋体"/>
              </w:rPr>
            </w:pPr>
            <w:r>
              <w:rPr>
                <w:rFonts w:ascii="宋体" w:hAnsi="宋体" w:hint="eastAsia"/>
              </w:rPr>
              <w:t>150</w:t>
            </w:r>
          </w:p>
        </w:tc>
      </w:tr>
      <w:tr>
        <w:tc>
          <w:tcPr>
            <w:tcW w:w="1696" w:type="dxa"/>
            <w:vAlign w:val="center"/>
          </w:tcPr>
          <w:p>
            <w:pPr>
              <w:widowControl w:val="0"/>
              <w:jc w:val="center"/>
            </w:pPr>
            <w:r>
              <w:rPr>
                <w:rFonts w:hint="eastAsia"/>
              </w:rPr>
              <w:t>合计</w:t>
            </w:r>
          </w:p>
        </w:tc>
        <w:tc>
          <w:tcPr>
            <w:tcW w:w="1134" w:type="dxa"/>
            <w:vAlign w:val="center"/>
          </w:tcPr>
          <w:p>
            <w:pPr>
              <w:widowControl w:val="0"/>
              <w:jc w:val="right"/>
              <w:rPr>
                <w:rFonts w:ascii="宋体" w:hAnsi="宋体"/>
              </w:rPr>
            </w:pPr>
            <w:r>
              <w:rPr>
                <w:rFonts w:ascii="宋体" w:hAnsi="宋体" w:hint="eastAsia"/>
              </w:rPr>
              <w:t>384</w:t>
            </w:r>
          </w:p>
        </w:tc>
        <w:tc>
          <w:tcPr>
            <w:tcW w:w="1075" w:type="dxa"/>
          </w:tcPr>
          <w:p>
            <w:pPr>
              <w:widowControl w:val="0"/>
              <w:jc w:val="right"/>
              <w:rPr>
                <w:rFonts w:ascii="宋体" w:hAnsi="宋体"/>
              </w:rPr>
            </w:pPr>
            <w:r>
              <w:rPr>
                <w:rFonts w:ascii="宋体" w:hAnsi="宋体"/>
              </w:rPr>
              <w:t>150</w:t>
            </w:r>
          </w:p>
        </w:tc>
        <w:tc>
          <w:tcPr>
            <w:tcW w:w="1357" w:type="dxa"/>
          </w:tcPr>
          <w:p>
            <w:pPr>
              <w:widowControl w:val="0"/>
              <w:jc w:val="right"/>
              <w:rPr>
                <w:rFonts w:ascii="宋体" w:hAnsi="宋体"/>
              </w:rPr>
            </w:pPr>
            <w:r>
              <w:rPr>
                <w:rFonts w:ascii="宋体" w:hAnsi="宋体"/>
              </w:rPr>
              <w:t>384</w:t>
            </w:r>
          </w:p>
        </w:tc>
        <w:tc>
          <w:tcPr>
            <w:tcW w:w="1487" w:type="dxa"/>
            <w:vAlign w:val="center"/>
          </w:tcPr>
          <w:p>
            <w:pPr>
              <w:widowControl w:val="0"/>
              <w:jc w:val="right"/>
              <w:rPr>
                <w:rFonts w:ascii="宋体" w:hAnsi="宋体"/>
              </w:rPr>
            </w:pPr>
          </w:p>
        </w:tc>
        <w:tc>
          <w:tcPr>
            <w:tcW w:w="1085" w:type="dxa"/>
            <w:vAlign w:val="center"/>
          </w:tcPr>
          <w:p>
            <w:pPr>
              <w:widowControl w:val="0"/>
              <w:jc w:val="right"/>
              <w:rPr>
                <w:rFonts w:ascii="宋体" w:hAnsi="宋体"/>
              </w:rPr>
            </w:pPr>
          </w:p>
        </w:tc>
        <w:tc>
          <w:tcPr>
            <w:tcW w:w="1221" w:type="dxa"/>
            <w:vAlign w:val="center"/>
          </w:tcPr>
          <w:p>
            <w:pPr>
              <w:widowControl w:val="0"/>
              <w:jc w:val="right"/>
              <w:rPr>
                <w:rFonts w:ascii="宋体" w:hAnsi="宋体"/>
              </w:rPr>
            </w:pPr>
            <w:r>
              <w:rPr>
                <w:rFonts w:ascii="宋体" w:hAnsi="宋体" w:hint="eastAsia"/>
              </w:rPr>
              <w:t>150</w:t>
            </w:r>
          </w:p>
        </w:tc>
      </w:tr>
    </w:tbl>
    <w:p>
      <w:pPr>
        <w:pStyle w:val="Style217"/>
      </w:pPr>
    </w:p>
    <w:p>
      <w:pPr>
        <w:pStyle w:val="Style217"/>
      </w:pPr>
      <w:r>
        <w:rPr>
          <w:rFonts w:hint="eastAsia"/>
        </w:rPr>
        <w:t>其中本期坏账准备收回或转回金额重要的：</w:t>
      </w:r>
    </w:p>
    <w:p>
      <w:pPr>
        <w:tabs>
          <w:tab w:val="left" w:pos="2545"/>
        </w:tabs>
      </w:pPr>
      <w:sdt>
        <w:sdtPr>
          <w:rPr>
            <w:rFonts w:hint="eastAsia"/>
          </w:rPr>
          <w:alias w:val="是否适用：应收票据本期坏账准备收回或转回金额重要的[双击切换]"/>
          <w:tag w:val="_GBC_a6a792a8896944378df4570674cd83e4"/>
          <w:id w:val="474810120"/>
          <w:placeholder>
            <w:docPart w:val="GBC22222222222222222222222222222"/>
          </w:placeholder>
        </w:sdtPr>
        <w:sdtContent>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pPr>
        <w:tabs>
          <w:tab w:val="left" w:pos="2545"/>
        </w:tabs>
      </w:pPr>
    </w:p>
    <w:p>
      <w:pPr>
        <w:pStyle w:val="Style217"/>
      </w:pPr>
      <w:r>
        <w:rPr>
          <w:rFonts w:hint="eastAsia"/>
        </w:rPr>
        <w:t>其他说明：</w:t>
      </w:r>
    </w:p>
    <w:sdt>
      <w:sdtPr>
        <w:rPr>
          <w:rFonts w:cstheme="minorBidi"/>
          <w:bCs/>
          <w:szCs w:val="22"/>
        </w:rPr>
        <w:alias w:val="应收票据坏账准备的其他说明"/>
        <w:tag w:val="_GBC_861db5fd771c449390c4ea436bc9ad1e"/>
        <w:id w:val="387766393"/>
        <w:placeholder>
          <w:docPart w:val="GBC22222222222222222222222222222"/>
        </w:placeholder>
      </w:sdtPr>
      <w:sdtEndPr>
        <w:rPr>
          <w:rFonts w:asciiTheme="minorHAnsi" w:hAnsiTheme="minorHAnsi"/>
          <w:b/>
        </w:rPr>
      </w:sdtEndPr>
      <w:sdtContent>
        <w:p>
          <w:pPr>
            <w:rPr>
              <w:rFonts w:asciiTheme="minorHAnsi" w:hAnsiTheme="minorHAnsi" w:cstheme="minorBidi"/>
              <w:b/>
              <w:bCs/>
              <w:szCs w:val="22"/>
            </w:rPr>
          </w:pPr>
          <w:r>
            <w:rPr>
              <w:rFonts w:cstheme="minorBidi" w:hint="eastAsia"/>
              <w:bCs/>
              <w:szCs w:val="22"/>
            </w:rPr>
            <w:t>-</w:t>
          </w:r>
        </w:p>
      </w:sdtContent>
    </w:sdt>
    <w:p>
      <w:pPr>
        <w:rPr>
          <w:rFonts w:asciiTheme="minorHAnsi" w:hAnsiTheme="minorHAnsi" w:cstheme="minorBidi"/>
          <w:b/>
          <w:bCs/>
          <w:szCs w:val="22"/>
        </w:rPr>
      </w:pPr>
    </w:p>
    <w:p>
      <w:pPr>
        <w:pStyle w:val="Style179"/>
        <w:numPr>
          <w:ilvl w:val="3"/>
          <w:numId w:val="76"/>
        </w:numPr>
        <w:ind w:left="426" w:hanging="426"/>
      </w:pPr>
      <w:bookmarkStart w:id="383" w:name="_Hlk152837614"/>
      <w:bookmarkStart w:id="384" w:name="_Hlk532982011"/>
      <w:bookmarkEnd w:id="381"/>
      <w:bookmarkEnd w:id="382"/>
      <w:r>
        <w:rPr>
          <w:rFonts w:hint="eastAsia"/>
        </w:rPr>
        <w:t>本期实际核销的应收票据情况</w:t>
      </w:r>
    </w:p>
    <w:sdt>
      <w:sdtPr>
        <w:alias w:val="是否适用：实际核销的应收票据[双击切换]"/>
        <w:tag w:val="_GBC_a0d8af67abfc4a1698fd198064d3b108"/>
        <w:id w:val="30775068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bookmarkStart w:id="385" w:name="_Hlk152837635"/>
      <w:bookmarkEnd w:id="383"/>
      <w:r>
        <w:rPr>
          <w:rFonts w:hint="eastAsia"/>
        </w:rPr>
        <w:t>其中重要的应收票据核销情况：</w:t>
      </w:r>
    </w:p>
    <w:sdt>
      <w:sdtPr>
        <w:alias w:val="是否适用：重要的应收票据核销[双击切换]"/>
        <w:tag w:val="_GBC_8a4eb0fe2cd044db955869f172508ff4"/>
        <w:id w:val="94033728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bookmarkStart w:id="386" w:name="_Hlk152837641"/>
      <w:bookmarkEnd w:id="385"/>
      <w:r>
        <w:rPr>
          <w:rFonts w:hint="eastAsia"/>
        </w:rPr>
        <w:t>应收票据核销说明：</w:t>
      </w:r>
    </w:p>
    <w:sdt>
      <w:sdtPr>
        <w:rPr>
          <w:rFonts w:asciiTheme="minorHAnsi" w:hAnsiTheme="minorHAnsi" w:cstheme="minorBidi"/>
          <w:bCs/>
          <w:szCs w:val="22"/>
        </w:rPr>
        <w:alias w:val="是否适用：应收票据核销说明[双击切换]"/>
        <w:tag w:val="_GBC_8e9a6863f024409f96d0d85cebbd362b"/>
        <w:id w:val="-1485151791"/>
        <w:placeholder>
          <w:docPart w:val="GBC22222222222222222222222222222"/>
        </w:placeholder>
      </w:sdtPr>
      <w:sdtContent>
        <w:p>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pPr>
        <w:rPr>
          <w:rFonts w:asciiTheme="minorHAnsi" w:hAnsiTheme="minorHAnsi" w:cstheme="minorBidi"/>
          <w:b/>
          <w:bCs/>
          <w:szCs w:val="22"/>
        </w:rPr>
      </w:pPr>
    </w:p>
    <w:bookmarkEnd w:id="384"/>
    <w:bookmarkEnd w:id="386"/>
    <w:p>
      <w:pPr>
        <w:pStyle w:val="Style217"/>
      </w:pPr>
      <w:r>
        <w:rPr>
          <w:rFonts w:hint="eastAsia"/>
        </w:rPr>
        <w:t>其他说明：</w:t>
      </w:r>
    </w:p>
    <w:sdt>
      <w:sdtPr>
        <w:alias w:val="是否适用：应收票据的说明[双击切换]"/>
        <w:tag w:val="_GBC_dc21e09520924a5db7020ba029631550"/>
        <w:id w:val="-32674353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78"/>
        <w:numPr>
          <w:ilvl w:val="0"/>
          <w:numId w:val="75"/>
        </w:numPr>
        <w:rPr>
          <w:szCs w:val="21"/>
        </w:rPr>
      </w:pPr>
      <w:r>
        <w:rPr>
          <w:szCs w:val="21"/>
        </w:rPr>
        <w:t>应收账款</w:t>
      </w:r>
    </w:p>
    <w:p>
      <w:pPr>
        <w:pStyle w:val="Style179"/>
        <w:numPr>
          <w:ilvl w:val="3"/>
          <w:numId w:val="77"/>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1196719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20136429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单项金额不重大但按信用风险特征组合后该组合的风险较大的应收账款"/>
          <w:tag w:val="_GBC_380b2c118777445781c47a562212f944"/>
          <w:id w:val="-18762321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3051"/>
        <w:gridCol w:w="3051"/>
      </w:tblGrid>
      <w:tr>
        <w:trPr>
          <w:cantSplit/>
        </w:trPr>
        <w:sdt>
          <w:sdtPr>
            <w:tag w:val="_PLD_987827fb8f754c15801979884cb78127"/>
            <w:id w:val="336353072"/>
          </w:sdtPr>
          <w:sdtContent>
            <w:tc>
              <w:tcPr>
                <w:tcW w:w="294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账龄</w:t>
                </w:r>
              </w:p>
            </w:tc>
          </w:sdtContent>
        </w:sdt>
        <w:sdt>
          <w:sdtPr>
            <w:tag w:val="_PLD_53a2def126e844eabd4ea223442a8a87"/>
            <w:id w:val="520056543"/>
          </w:sdtPr>
          <w:sdtContent>
            <w:tc>
              <w:tcPr>
                <w:tcW w:w="305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期末账面余额</w:t>
                </w:r>
              </w:p>
            </w:tc>
          </w:sdtContent>
        </w:sdt>
        <w:sdt>
          <w:sdtPr>
            <w:tag w:val="_PLD_a827d93406c24ad3bf1a17438f1117c1"/>
            <w:id w:val="-1222907466"/>
          </w:sdtPr>
          <w:sdtContent>
            <w:tc>
              <w:tcPr>
                <w:tcW w:w="305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期初账面余额</w:t>
                </w:r>
              </w:p>
            </w:tc>
          </w:sdtContent>
        </w:sdt>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1年以内（含1年）</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7,519,524</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8,992,027</w:t>
            </w:r>
          </w:p>
        </w:tc>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1至2年</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871,950</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416,479</w:t>
            </w:r>
          </w:p>
        </w:tc>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2至3年</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248,922</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268,947</w:t>
            </w:r>
          </w:p>
        </w:tc>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3年以上</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989,922</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870,445</w:t>
            </w:r>
          </w:p>
        </w:tc>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9,630,318</w:t>
            </w:r>
          </w:p>
        </w:tc>
        <w:tc>
          <w:tcPr>
            <w:tcW w:w="305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rPr>
              <w:t>10,547,898</w:t>
            </w:r>
          </w:p>
        </w:tc>
      </w:tr>
    </w:tbl>
    <w:p>
      <w:pPr>
        <w:pStyle w:val="Style217"/>
      </w:pPr>
    </w:p>
    <w:p>
      <w:pPr>
        <w:pStyle w:val="Style179"/>
        <w:numPr>
          <w:ilvl w:val="3"/>
          <w:numId w:val="77"/>
        </w:numPr>
        <w:ind w:left="426" w:hanging="426"/>
      </w:pPr>
      <w:bookmarkStart w:id="387" w:name="_Hlk533601584"/>
      <w:r>
        <w:rPr>
          <w:rFonts w:hint="eastAsia"/>
        </w:rPr>
        <w:t>按坏账计提方法分类披露</w:t>
      </w:r>
    </w:p>
    <w:sdt>
      <w:sdtPr>
        <w:alias w:val="是否适用：应收账款分类披露[双击切换]"/>
        <w:tag w:val="_GBC_5532cbb0484a40fcb185be4bb8709d46"/>
        <w:id w:val="156027688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5135809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财务附注：应收账款按种类披露"/>
          <w:tag w:val="_GBC_45ed90b2e73740bfa8c1f5d7d12ff35e"/>
          <w:id w:val="20740834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1148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7"/>
        <w:gridCol w:w="850"/>
        <w:gridCol w:w="1276"/>
        <w:gridCol w:w="709"/>
        <w:gridCol w:w="1275"/>
        <w:gridCol w:w="1401"/>
        <w:gridCol w:w="867"/>
        <w:gridCol w:w="993"/>
        <w:gridCol w:w="850"/>
        <w:gridCol w:w="1276"/>
      </w:tblGrid>
      <w:tr>
        <w:trPr>
          <w:cantSplit/>
          <w:trHeight w:val="259"/>
        </w:trPr>
        <w:sdt>
          <w:sdtPr>
            <w:tag w:val="_PLD_f8d5a19b9b724da98e30475a6df20be9"/>
            <w:id w:val="1910109413"/>
          </w:sdtPr>
          <w:sdtContent>
            <w:tc>
              <w:tcPr>
                <w:tcW w:w="709" w:type="dxa"/>
                <w:vMerge w:val="restart"/>
                <w:tcBorders>
                  <w:top w:val="single" w:sz="4" w:space="0" w:color="auto"/>
                  <w:left w:val="single" w:sz="4" w:space="0" w:color="auto"/>
                  <w:right w:val="single" w:sz="4" w:space="0" w:color="auto"/>
                </w:tcBorders>
                <w:vAlign w:val="center"/>
              </w:tcPr>
              <w:p>
                <w:pPr>
                  <w:jc w:val="center"/>
                </w:pPr>
                <w:r>
                  <w:rPr>
                    <w:rFonts w:hint="eastAsia"/>
                  </w:rPr>
                  <w:t>类别</w:t>
                </w:r>
              </w:p>
            </w:tc>
          </w:sdtContent>
        </w:sdt>
        <w:sdt>
          <w:sdtPr>
            <w:tag w:val="_PLD_8e6cd64a5cc84d259bab748be3f49169"/>
            <w:id w:val="1639456808"/>
          </w:sdtPr>
          <w:sdtContent>
            <w:tc>
              <w:tcPr>
                <w:tcW w:w="5387" w:type="dxa"/>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期末余额</w:t>
                </w:r>
              </w:p>
            </w:tc>
          </w:sdtContent>
        </w:sdt>
        <w:sdt>
          <w:sdtPr>
            <w:tag w:val="_PLD_f3718624b866493ab3b8d8edadf10560"/>
            <w:id w:val="-80917447"/>
          </w:sdtPr>
          <w:sdtContent>
            <w:tc>
              <w:tcPr>
                <w:tcW w:w="5387" w:type="dxa"/>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期初余额</w:t>
                </w:r>
              </w:p>
            </w:tc>
          </w:sdtContent>
        </w:sdt>
      </w:tr>
      <w:tr>
        <w:trPr>
          <w:cantSplit/>
          <w:trHeight w:val="227"/>
        </w:trPr>
        <w:tc>
          <w:tcPr>
            <w:tcW w:w="709" w:type="dxa"/>
            <w:vMerge/>
            <w:tcBorders>
              <w:left w:val="single" w:sz="4" w:space="0" w:color="auto"/>
              <w:right w:val="single" w:sz="4" w:space="0" w:color="auto"/>
            </w:tcBorders>
            <w:vAlign w:val="center"/>
          </w:tcPr>
          <w:p>
            <w:pPr>
              <w:pStyle w:val="Style217"/>
            </w:pPr>
          </w:p>
        </w:tc>
        <w:sdt>
          <w:sdtPr>
            <w:tag w:val="_PLD_696c52ce758e49deb616a7fb8df8ee20"/>
            <w:id w:val="-1936359758"/>
          </w:sdtPr>
          <w:sdtContent>
            <w:tc>
              <w:tcPr>
                <w:tcW w:w="2127"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账面余额</w:t>
                </w:r>
              </w:p>
            </w:tc>
          </w:sdtContent>
        </w:sdt>
        <w:sdt>
          <w:sdtPr>
            <w:tag w:val="_PLD_1ca261fa1763424688ba2be8550f43e1"/>
            <w:id w:val="1649474215"/>
          </w:sdtPr>
          <w:sdtContent>
            <w:tc>
              <w:tcPr>
                <w:tcW w:w="1985"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坏账准备</w:t>
                </w:r>
              </w:p>
            </w:tc>
          </w:sdtContent>
        </w:sdt>
        <w:sdt>
          <w:sdtPr>
            <w:tag w:val="_PLD_caaf7fb85a4a432890635f2eb9c38cd5"/>
            <w:id w:val="919218974"/>
          </w:sdtPr>
          <w:sdtContent>
            <w:tc>
              <w:tcPr>
                <w:tcW w:w="1275" w:type="dxa"/>
                <w:vMerge w:val="restart"/>
                <w:tcBorders>
                  <w:top w:val="single" w:sz="4" w:space="0" w:color="auto"/>
                  <w:left w:val="single" w:sz="4" w:space="0" w:color="auto"/>
                  <w:right w:val="single" w:sz="4" w:space="0" w:color="auto"/>
                </w:tcBorders>
                <w:vAlign w:val="center"/>
              </w:tcPr>
              <w:p>
                <w:pPr>
                  <w:jc w:val="center"/>
                </w:pPr>
                <w:r>
                  <w:rPr>
                    <w:rFonts w:hint="eastAsia"/>
                  </w:rPr>
                  <w:t>账面</w:t>
                </w:r>
              </w:p>
              <w:p>
                <w:pPr>
                  <w:jc w:val="center"/>
                </w:pPr>
                <w:r>
                  <w:rPr>
                    <w:rFonts w:hint="eastAsia"/>
                  </w:rPr>
                  <w:t>价值</w:t>
                </w:r>
              </w:p>
            </w:tc>
          </w:sdtContent>
        </w:sdt>
        <w:sdt>
          <w:sdtPr>
            <w:tag w:val="_PLD_f01498a5d6634d7ab63dd393e266902a"/>
            <w:id w:val="2124258475"/>
          </w:sdtPr>
          <w:sdtContent>
            <w:tc>
              <w:tcPr>
                <w:tcW w:w="2268" w:type="dxa"/>
                <w:gridSpan w:val="2"/>
                <w:tcBorders>
                  <w:top w:val="single" w:sz="4" w:space="0" w:color="auto"/>
                  <w:left w:val="single" w:sz="4" w:space="0" w:color="auto"/>
                  <w:right w:val="single" w:sz="4" w:space="0" w:color="auto"/>
                </w:tcBorders>
                <w:vAlign w:val="center"/>
              </w:tcPr>
              <w:p>
                <w:pPr>
                  <w:jc w:val="center"/>
                </w:pPr>
                <w:r>
                  <w:rPr>
                    <w:rFonts w:hint="eastAsia"/>
                  </w:rPr>
                  <w:t>账面余额</w:t>
                </w:r>
              </w:p>
            </w:tc>
          </w:sdtContent>
        </w:sdt>
        <w:sdt>
          <w:sdtPr>
            <w:tag w:val="_PLD_e9336373677a4e1781b6e81f705c1bec"/>
            <w:id w:val="-1502650465"/>
          </w:sdtPr>
          <w:sdtContent>
            <w:tc>
              <w:tcPr>
                <w:tcW w:w="1843" w:type="dxa"/>
                <w:gridSpan w:val="2"/>
                <w:tcBorders>
                  <w:top w:val="single" w:sz="4" w:space="0" w:color="auto"/>
                  <w:left w:val="single" w:sz="4" w:space="0" w:color="auto"/>
                  <w:right w:val="single" w:sz="4" w:space="0" w:color="auto"/>
                </w:tcBorders>
                <w:vAlign w:val="center"/>
              </w:tcPr>
              <w:p>
                <w:pPr>
                  <w:jc w:val="center"/>
                </w:pPr>
                <w:r>
                  <w:rPr>
                    <w:rFonts w:hint="eastAsia"/>
                  </w:rPr>
                  <w:t>坏账准备</w:t>
                </w:r>
              </w:p>
            </w:tc>
          </w:sdtContent>
        </w:sdt>
        <w:sdt>
          <w:sdtPr>
            <w:tag w:val="_PLD_09bacc527e7b4910a0c82606fe4a5754"/>
            <w:id w:val="-1335839912"/>
          </w:sdtPr>
          <w:sdtContent>
            <w:tc>
              <w:tcPr>
                <w:tcW w:w="1276" w:type="dxa"/>
                <w:vMerge w:val="restart"/>
                <w:tcBorders>
                  <w:top w:val="single" w:sz="4" w:space="0" w:color="auto"/>
                  <w:left w:val="single" w:sz="4" w:space="0" w:color="auto"/>
                  <w:right w:val="single" w:sz="4" w:space="0" w:color="auto"/>
                </w:tcBorders>
                <w:vAlign w:val="center"/>
              </w:tcPr>
              <w:p>
                <w:pPr>
                  <w:jc w:val="center"/>
                </w:pPr>
                <w:r>
                  <w:rPr>
                    <w:rFonts w:hint="eastAsia"/>
                  </w:rPr>
                  <w:t>账面</w:t>
                </w:r>
              </w:p>
              <w:p>
                <w:pPr>
                  <w:jc w:val="center"/>
                </w:pPr>
                <w:r>
                  <w:rPr>
                    <w:rFonts w:hint="eastAsia"/>
                  </w:rPr>
                  <w:t>价值</w:t>
                </w:r>
              </w:p>
            </w:tc>
          </w:sdtContent>
        </w:sdt>
      </w:tr>
      <w:tr>
        <w:trPr>
          <w:cantSplit/>
          <w:trHeight w:val="375"/>
        </w:trPr>
        <w:tc>
          <w:tcPr>
            <w:tcW w:w="709" w:type="dxa"/>
            <w:vMerge/>
            <w:tcBorders>
              <w:left w:val="single" w:sz="4" w:space="0" w:color="auto"/>
              <w:bottom w:val="single" w:sz="4" w:space="0" w:color="auto"/>
              <w:right w:val="single" w:sz="4" w:space="0" w:color="auto"/>
            </w:tcBorders>
            <w:vAlign w:val="center"/>
          </w:tcPr>
          <w:p>
            <w:pPr>
              <w:pStyle w:val="Style217"/>
            </w:pPr>
          </w:p>
        </w:tc>
        <w:sdt>
          <w:sdtPr>
            <w:tag w:val="_PLD_9a908e63a38c4885ae2f80c1b860b93a"/>
            <w:id w:val="-1791883730"/>
          </w:sdtPr>
          <w:sdtContent>
            <w:tc>
              <w:tcPr>
                <w:tcW w:w="1277"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df211ff0344e48aa8266bff852c13d4a"/>
            <w:id w:val="1769281317"/>
          </w:sdtPr>
          <w:sdtContent>
            <w:tc>
              <w:tcPr>
                <w:tcW w:w="850" w:type="dxa"/>
                <w:tcBorders>
                  <w:left w:val="single" w:sz="4" w:space="0" w:color="auto"/>
                  <w:bottom w:val="single" w:sz="4" w:space="0" w:color="auto"/>
                  <w:right w:val="single" w:sz="4" w:space="0" w:color="auto"/>
                </w:tcBorders>
                <w:vAlign w:val="center"/>
              </w:tcPr>
              <w:p>
                <w:pPr>
                  <w:jc w:val="center"/>
                </w:pPr>
                <w:r>
                  <w:rPr>
                    <w:rFonts w:hint="eastAsia"/>
                  </w:rPr>
                  <w:t>比例</w:t>
                </w:r>
                <w:r>
                  <w:t>(%)</w:t>
                </w:r>
              </w:p>
            </w:tc>
          </w:sdtContent>
        </w:sdt>
        <w:sdt>
          <w:sdtPr>
            <w:tag w:val="_PLD_bc7278fbd5c542a3abfb9a55090a49e0"/>
            <w:id w:val="809749676"/>
          </w:sdtPr>
          <w:sdtContent>
            <w:tc>
              <w:tcPr>
                <w:tcW w:w="1276"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98f107e07b5b44938d61d6b0984d9e2b"/>
            <w:id w:val="1462296239"/>
          </w:sdtPr>
          <w:sdtContent>
            <w:tc>
              <w:tcPr>
                <w:tcW w:w="709" w:type="dxa"/>
                <w:tcBorders>
                  <w:left w:val="single" w:sz="4" w:space="0" w:color="auto"/>
                  <w:bottom w:val="single" w:sz="4" w:space="0" w:color="auto"/>
                  <w:right w:val="single" w:sz="4" w:space="0" w:color="auto"/>
                </w:tcBorders>
                <w:vAlign w:val="center"/>
              </w:tcPr>
              <w:p>
                <w:pPr>
                  <w:jc w:val="center"/>
                </w:pPr>
                <w:r>
                  <w:rPr>
                    <w:rFonts w:hint="eastAsia"/>
                  </w:rPr>
                  <w:t>计提比例</w:t>
                </w:r>
                <w:r>
                  <w:t>(%)</w:t>
                </w:r>
              </w:p>
            </w:tc>
          </w:sdtContent>
        </w:sdt>
        <w:tc>
          <w:tcPr>
            <w:tcW w:w="1275" w:type="dxa"/>
            <w:vMerge/>
            <w:tcBorders>
              <w:left w:val="single" w:sz="4" w:space="0" w:color="auto"/>
              <w:bottom w:val="single" w:sz="4" w:space="0" w:color="auto"/>
              <w:right w:val="single" w:sz="4" w:space="0" w:color="auto"/>
            </w:tcBorders>
            <w:vAlign w:val="center"/>
          </w:tcPr>
          <w:p>
            <w:pPr>
              <w:jc w:val="center"/>
            </w:pPr>
          </w:p>
        </w:tc>
        <w:sdt>
          <w:sdtPr>
            <w:tag w:val="_PLD_27c35a851bfc461b93652bdd1c4da46e"/>
            <w:id w:val="1364780914"/>
          </w:sdtPr>
          <w:sdtContent>
            <w:tc>
              <w:tcPr>
                <w:tcW w:w="1401"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8cdcb4d0cfc74ea299eeda00998b7eed"/>
            <w:id w:val="1706907856"/>
          </w:sdtPr>
          <w:sdtContent>
            <w:tc>
              <w:tcPr>
                <w:tcW w:w="867" w:type="dxa"/>
                <w:tcBorders>
                  <w:left w:val="single" w:sz="4" w:space="0" w:color="auto"/>
                  <w:bottom w:val="single" w:sz="4" w:space="0" w:color="auto"/>
                  <w:right w:val="single" w:sz="4" w:space="0" w:color="auto"/>
                </w:tcBorders>
                <w:vAlign w:val="center"/>
              </w:tcPr>
              <w:p>
                <w:pPr>
                  <w:jc w:val="center"/>
                </w:pPr>
                <w:r>
                  <w:rPr>
                    <w:rFonts w:hint="eastAsia"/>
                  </w:rPr>
                  <w:t>比例</w:t>
                </w:r>
                <w:r>
                  <w:t>(%)</w:t>
                </w:r>
              </w:p>
            </w:tc>
          </w:sdtContent>
        </w:sdt>
        <w:sdt>
          <w:sdtPr>
            <w:tag w:val="_PLD_205ec069d7004eaba20d3af25a7dfeda"/>
            <w:id w:val="-2133392794"/>
          </w:sdtPr>
          <w:sdtContent>
            <w:tc>
              <w:tcPr>
                <w:tcW w:w="993"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cee6517bce154e26a5f2a917cc143a54"/>
            <w:id w:val="1319464913"/>
          </w:sdtPr>
          <w:sdtContent>
            <w:tc>
              <w:tcPr>
                <w:tcW w:w="850" w:type="dxa"/>
                <w:tcBorders>
                  <w:left w:val="single" w:sz="4" w:space="0" w:color="auto"/>
                  <w:bottom w:val="single" w:sz="4" w:space="0" w:color="auto"/>
                  <w:right w:val="single" w:sz="4" w:space="0" w:color="auto"/>
                </w:tcBorders>
                <w:vAlign w:val="center"/>
              </w:tcPr>
              <w:p>
                <w:pPr>
                  <w:jc w:val="center"/>
                </w:pPr>
                <w:r>
                  <w:rPr>
                    <w:rFonts w:hint="eastAsia"/>
                  </w:rPr>
                  <w:t>计提比例</w:t>
                </w:r>
                <w:r>
                  <w:t>(%)</w:t>
                </w:r>
              </w:p>
            </w:tc>
          </w:sdtContent>
        </w:sdt>
        <w:tc>
          <w:tcPr>
            <w:tcW w:w="1276" w:type="dxa"/>
            <w:vMerge/>
            <w:tcBorders>
              <w:left w:val="single" w:sz="4" w:space="0" w:color="auto"/>
              <w:bottom w:val="single" w:sz="4" w:space="0" w:color="auto"/>
              <w:right w:val="single" w:sz="4" w:space="0" w:color="auto"/>
            </w:tcBorders>
            <w:vAlign w:val="center"/>
          </w:tcPr>
          <w:p>
            <w:pPr>
              <w:jc w:val="center"/>
            </w:pPr>
          </w:p>
        </w:tc>
      </w:tr>
      <w:tr>
        <w:trPr>
          <w:cantSplit/>
        </w:trPr>
        <w:tc>
          <w:tcPr>
            <w:tcW w:w="70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按单项计提坏账准备</w:t>
            </w:r>
          </w:p>
        </w:tc>
        <w:tc>
          <w:tcPr>
            <w:tcW w:w="12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942,853</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9.79</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942,853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100</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931,645</w:t>
            </w:r>
          </w:p>
        </w:tc>
        <w:tc>
          <w:tcPr>
            <w:tcW w:w="8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8.84</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885,527</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95.05</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46,118</w:t>
            </w:r>
          </w:p>
        </w:tc>
      </w:tr>
      <w:tr>
        <w:trPr>
          <w:cantSplit/>
        </w:trPr>
        <w:tc>
          <w:tcPr>
            <w:tcW w:w="70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按组合计提坏账准备</w:t>
            </w:r>
          </w:p>
        </w:tc>
        <w:tc>
          <w:tcPr>
            <w:tcW w:w="12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8,687,465</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90.21</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74,997</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0.86</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8,612,468</w:t>
            </w:r>
          </w:p>
        </w:tc>
        <w:tc>
          <w:tcPr>
            <w:tcW w:w="14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9,616,253</w:t>
            </w:r>
          </w:p>
        </w:tc>
        <w:tc>
          <w:tcPr>
            <w:tcW w:w="8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91.16</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86,684</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0.90</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9,529,569</w:t>
            </w:r>
          </w:p>
        </w:tc>
      </w:tr>
      <w:tr>
        <w:trPr>
          <w:cantSplit/>
        </w:trPr>
        <w:sdt>
          <w:sdtPr>
            <w:rPr>
              <w:rFonts w:ascii="宋体" w:hAnsi="宋体"/>
            </w:rPr>
            <w:tag w:val="_PLD_ce0cfa8fc80147608db7db4b7ce1db69"/>
            <w:id w:val="278149166"/>
          </w:sdtPr>
          <w:sdtContent>
            <w:tc>
              <w:tcPr>
                <w:tcW w:w="11483" w:type="dxa"/>
                <w:gridSpan w:val="11"/>
                <w:tcBorders>
                  <w:top w:val="single" w:sz="4" w:space="0" w:color="auto"/>
                  <w:left w:val="single" w:sz="4" w:space="0" w:color="auto"/>
                  <w:bottom w:val="single" w:sz="4" w:space="0" w:color="auto"/>
                  <w:right w:val="single" w:sz="4" w:space="0" w:color="auto"/>
                </w:tcBorders>
                <w:vAlign w:val="center"/>
              </w:tcPr>
              <w:p>
                <w:pPr>
                  <w:rPr>
                    <w:rFonts w:ascii="宋体" w:hAnsi="宋体"/>
                  </w:rPr>
                </w:pPr>
                <w:r>
                  <w:rPr>
                    <w:rFonts w:ascii="宋体" w:hAnsi="宋体" w:hint="eastAsia"/>
                  </w:rPr>
                  <w:t>其中：</w:t>
                </w:r>
              </w:p>
            </w:tc>
          </w:sdtContent>
        </w:sdt>
      </w:tr>
      <w:tr>
        <w:trPr>
          <w:cantSplit/>
        </w:trPr>
        <w:sdt>
          <w:sdtPr>
            <w:alias w:val="按组合计提坏账准备的应收账款明细-组合名称"/>
            <w:tag w:val="_GBC_a216a551f9d54c89b88dad6bcecd942d"/>
            <w:id w:val="2078478990"/>
          </w:sdtPr>
          <w:sdtContent>
            <w:tc>
              <w:tcPr>
                <w:tcW w:w="709" w:type="dxa"/>
                <w:tcBorders>
                  <w:top w:val="single" w:sz="4" w:space="0" w:color="auto"/>
                  <w:left w:val="single" w:sz="4" w:space="0" w:color="auto"/>
                  <w:bottom w:val="single" w:sz="4" w:space="0" w:color="auto"/>
                  <w:right w:val="single" w:sz="4" w:space="0" w:color="auto"/>
                </w:tcBorders>
                <w:vAlign w:val="center"/>
              </w:tcPr>
              <w:p>
                <w:pPr>
                  <w:jc w:val="both"/>
                  <w:rPr>
                    <w:color w:val="808080"/>
                  </w:rPr>
                </w:pPr>
                <w:r>
                  <w:rPr>
                    <w:rFonts w:hint="eastAsia"/>
                  </w:rPr>
                  <w:t>账龄组合</w:t>
                </w:r>
              </w:p>
            </w:tc>
          </w:sdtContent>
        </w:sdt>
        <w:tc>
          <w:tcPr>
            <w:tcW w:w="12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6,971,782</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72.39</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74,997</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1.08</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6,896,785</w:t>
            </w:r>
          </w:p>
        </w:tc>
        <w:tc>
          <w:tcPr>
            <w:tcW w:w="14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7,073,670</w:t>
            </w:r>
          </w:p>
        </w:tc>
        <w:tc>
          <w:tcPr>
            <w:tcW w:w="8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67.05</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86,684</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1.23</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6,986,986</w:t>
            </w:r>
          </w:p>
        </w:tc>
      </w:tr>
      <w:tr>
        <w:trPr>
          <w:cantSplit/>
        </w:trPr>
        <w:sdt>
          <w:sdtPr>
            <w:alias w:val="按组合计提坏账准备的应收账款明细-组合名称"/>
            <w:tag w:val="_GBC_a216a551f9d54c89b88dad6bcecd942d"/>
            <w:id w:val="704608901"/>
          </w:sdtPr>
          <w:sdtContent>
            <w:tc>
              <w:tcPr>
                <w:tcW w:w="709" w:type="dxa"/>
                <w:tcBorders>
                  <w:top w:val="single" w:sz="4" w:space="0" w:color="auto"/>
                  <w:left w:val="single" w:sz="4" w:space="0" w:color="auto"/>
                  <w:bottom w:val="single" w:sz="4" w:space="0" w:color="auto"/>
                  <w:right w:val="single" w:sz="4" w:space="0" w:color="auto"/>
                </w:tcBorders>
                <w:vAlign w:val="center"/>
              </w:tcPr>
              <w:p>
                <w:pPr>
                  <w:jc w:val="both"/>
                  <w:rPr>
                    <w:color w:val="808080"/>
                  </w:rPr>
                </w:pPr>
                <w:r>
                  <w:rPr>
                    <w:rFonts w:hint="eastAsia"/>
                  </w:rPr>
                  <w:t>关联方组合</w:t>
                </w:r>
              </w:p>
            </w:tc>
          </w:sdtContent>
        </w:sdt>
        <w:tc>
          <w:tcPr>
            <w:tcW w:w="12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1,715,683</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17.82</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1,715,683</w:t>
            </w:r>
          </w:p>
        </w:tc>
        <w:tc>
          <w:tcPr>
            <w:tcW w:w="14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2,542,583</w:t>
            </w:r>
          </w:p>
        </w:tc>
        <w:tc>
          <w:tcPr>
            <w:tcW w:w="8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24.11</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2,542,583</w:t>
            </w:r>
          </w:p>
        </w:tc>
      </w:tr>
      <w:tr>
        <w:trPr>
          <w:cantSplit/>
        </w:trPr>
        <w:tc>
          <w:tcPr>
            <w:tcW w:w="70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合计</w:t>
            </w:r>
          </w:p>
        </w:tc>
        <w:tc>
          <w:tcPr>
            <w:tcW w:w="127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9,630,318</w:t>
            </w: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100</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1,017,850</w:t>
            </w:r>
          </w:p>
        </w:tc>
        <w:tc>
          <w:tcPr>
            <w:tcW w:w="70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8,612,468</w:t>
            </w:r>
          </w:p>
        </w:tc>
        <w:tc>
          <w:tcPr>
            <w:tcW w:w="14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10,547,898</w:t>
            </w:r>
          </w:p>
        </w:tc>
        <w:tc>
          <w:tcPr>
            <w:tcW w:w="8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100</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972,211</w:t>
            </w:r>
          </w:p>
        </w:tc>
        <w:tc>
          <w:tcPr>
            <w:tcW w:w="85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rPr>
              <w:t>9,575,687</w:t>
            </w:r>
          </w:p>
        </w:tc>
      </w:tr>
    </w:tbl>
    <w:p>
      <w:pPr>
        <w:pStyle w:val="Style217"/>
      </w:pPr>
    </w:p>
    <w:p>
      <w:pPr>
        <w:pStyle w:val="Style217"/>
      </w:pPr>
      <w:bookmarkStart w:id="388" w:name="_Hlk533606785"/>
      <w:bookmarkEnd w:id="387"/>
      <w:r>
        <w:rPr>
          <w:rFonts w:hint="eastAsia"/>
        </w:rPr>
        <w:t>按单项计提坏账准备：</w:t>
      </w:r>
    </w:p>
    <w:sdt>
      <w:sdtPr>
        <w:rPr>
          <w:rFonts w:hint="eastAsia"/>
        </w:rPr>
        <w:alias w:val="是否适用：按单项计提坏账准备的应收账款详细情况[双击切换]"/>
        <w:tag w:val="_GBC_1add32cead514597854ff8ba7f5bf59e"/>
        <w:id w:val="-135965618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895a0edb0a3a4e12b8b3c0e2c547284e"/>
          <w:id w:val="-12360855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按单项计提坏账准备的应收账款详细情况"/>
          <w:tag w:val="_GBC_ceb9b753925d4115a51bdbcf043dc1b2"/>
          <w:id w:val="5377945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699"/>
        <w:gridCol w:w="1701"/>
        <w:gridCol w:w="1699"/>
        <w:gridCol w:w="1851"/>
      </w:tblGrid>
      <w:tr>
        <w:sdt>
          <w:sdtPr>
            <w:tag w:val="_PLD_97fa41067b8749859d9b8b001dab9dde"/>
            <w:id w:val="-1259127944"/>
          </w:sdtPr>
          <w:sdtContent>
            <w:tc>
              <w:tcPr>
                <w:tcW w:w="2099" w:type="dxa"/>
                <w:vMerge w:val="restart"/>
                <w:vAlign w:val="center"/>
              </w:tcPr>
              <w:p>
                <w:pPr>
                  <w:jc w:val="center"/>
                </w:pPr>
                <w:r>
                  <w:rPr>
                    <w:rFonts w:hint="eastAsia"/>
                  </w:rPr>
                  <w:t>名称</w:t>
                </w:r>
              </w:p>
            </w:tc>
          </w:sdtContent>
        </w:sdt>
        <w:sdt>
          <w:sdtPr>
            <w:tag w:val="_PLD_53121e07f76046af9290059d0b8136d4"/>
            <w:id w:val="-1322343886"/>
          </w:sdtPr>
          <w:sdtContent>
            <w:tc>
              <w:tcPr>
                <w:tcW w:w="6950" w:type="dxa"/>
                <w:gridSpan w:val="4"/>
                <w:vAlign w:val="center"/>
              </w:tcPr>
              <w:p>
                <w:pPr>
                  <w:jc w:val="center"/>
                </w:pPr>
                <w:r>
                  <w:rPr>
                    <w:rFonts w:hint="eastAsia"/>
                  </w:rPr>
                  <w:t>期末余额</w:t>
                </w:r>
              </w:p>
            </w:tc>
          </w:sdtContent>
        </w:sdt>
      </w:tr>
      <w:tr>
        <w:tc>
          <w:tcPr>
            <w:tcW w:w="2099" w:type="dxa"/>
            <w:vMerge/>
            <w:vAlign w:val="center"/>
          </w:tcPr>
          <w:p>
            <w:pPr>
              <w:jc w:val="center"/>
            </w:pPr>
          </w:p>
        </w:tc>
        <w:sdt>
          <w:sdtPr>
            <w:tag w:val="_PLD_89b2d64d2083464fae141734d17523d3"/>
            <w:id w:val="-1329748290"/>
          </w:sdtPr>
          <w:sdtContent>
            <w:tc>
              <w:tcPr>
                <w:tcW w:w="1699" w:type="dxa"/>
                <w:vAlign w:val="center"/>
              </w:tcPr>
              <w:p>
                <w:pPr>
                  <w:jc w:val="center"/>
                </w:pPr>
                <w:r>
                  <w:rPr>
                    <w:rFonts w:hint="eastAsia"/>
                  </w:rPr>
                  <w:t>账面余额</w:t>
                </w:r>
              </w:p>
            </w:tc>
          </w:sdtContent>
        </w:sdt>
        <w:sdt>
          <w:sdtPr>
            <w:tag w:val="_PLD_ace529544c544606915552a352f0e13b"/>
            <w:id w:val="433337913"/>
          </w:sdtPr>
          <w:sdtContent>
            <w:tc>
              <w:tcPr>
                <w:tcW w:w="1701" w:type="dxa"/>
                <w:vAlign w:val="center"/>
              </w:tcPr>
              <w:p>
                <w:pPr>
                  <w:jc w:val="center"/>
                </w:pPr>
                <w:r>
                  <w:rPr>
                    <w:rFonts w:hint="eastAsia"/>
                  </w:rPr>
                  <w:t>坏账准备</w:t>
                </w:r>
              </w:p>
            </w:tc>
          </w:sdtContent>
        </w:sdt>
        <w:sdt>
          <w:sdtPr>
            <w:tag w:val="_PLD_8fd7658c68a540cf9892f97231c626d7"/>
            <w:id w:val="-2126610962"/>
          </w:sdtPr>
          <w:sdtContent>
            <w:tc>
              <w:tcPr>
                <w:tcW w:w="1699" w:type="dxa"/>
                <w:vAlign w:val="center"/>
              </w:tcPr>
              <w:p>
                <w:pPr>
                  <w:jc w:val="center"/>
                </w:pPr>
                <w:r>
                  <w:t>计提比例</w:t>
                </w:r>
                <w:r>
                  <w:rPr>
                    <w:rFonts w:hint="eastAsia"/>
                  </w:rPr>
                  <w:t>（</w:t>
                </w:r>
                <w:r>
                  <w:rPr>
                    <w:rFonts w:hint="eastAsia"/>
                  </w:rPr>
                  <w:t>%</w:t>
                </w:r>
                <w:r>
                  <w:rPr>
                    <w:rFonts w:hint="eastAsia"/>
                  </w:rPr>
                  <w:t>）</w:t>
                </w:r>
              </w:p>
            </w:tc>
          </w:sdtContent>
        </w:sdt>
        <w:sdt>
          <w:sdtPr>
            <w:tag w:val="_PLD_e9726e8171bb463ba9719bc643c14988"/>
            <w:id w:val="1635452163"/>
          </w:sdtPr>
          <w:sdtContent>
            <w:tc>
              <w:tcPr>
                <w:tcW w:w="1851" w:type="dxa"/>
                <w:vAlign w:val="center"/>
              </w:tcPr>
              <w:p>
                <w:pPr>
                  <w:jc w:val="center"/>
                </w:pPr>
                <w:r>
                  <w:rPr>
                    <w:rFonts w:hint="eastAsia"/>
                  </w:rPr>
                  <w:t>计提理由</w:t>
                </w:r>
              </w:p>
            </w:tc>
          </w:sdtContent>
        </w:sdt>
      </w:tr>
      <w:tr>
        <w:tc>
          <w:tcPr>
            <w:tcW w:w="2099" w:type="dxa"/>
            <w:vAlign w:val="center"/>
          </w:tcPr>
          <w:p>
            <w:pPr>
              <w:rPr>
                <w:rFonts w:asciiTheme="minorEastAsia" w:eastAsiaTheme="minorEastAsia" w:hAnsiTheme="minorEastAsia"/>
              </w:rPr>
            </w:pPr>
            <w:r>
              <w:rPr>
                <w:rFonts w:ascii="宋体" w:hAnsi="宋体" w:cs="宋体" w:hint="eastAsia"/>
              </w:rPr>
              <w:t>鄂尔多斯市绿能光电有限公司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310,740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310,740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宝塔石化集团财务有限公司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235,410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235,410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中融盛国际融资租赁（天津）有限公司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97,565</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97,565</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靖宇县大地煤业有限公司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26,069</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26,069</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济南钢城万祥经贸有限公司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19,900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19,900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lastRenderedPageBreak/>
              <w:t>贵州五轮山煤业有限公司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19,678</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19,678</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府谷煤业集团有限公司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19,070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19,070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北方重工集团有限公司国际贸易分公司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12,072</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12,072</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察右前旗富安马莲滩煤矿</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11,868</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11,868</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山东美好未来实业发展有限公司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10,660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10,660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鄂尔多斯市三同圆煤炭有限责任公司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9,195</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9,195</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国家能源集团国源电力有限公司北京物资分公司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8,800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8,800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朔州同煤万通源二铺煤炭运销有限公司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8,630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8,630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华润电力（锡林郭勒）煤业有限公司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8,300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8,300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兖矿集团大陆机械有限公司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8,185</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8,185</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山西潞安环保能源开发股份有限公司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7,459</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7,459</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中直能源新疆投资有限公司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6,700</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6,700</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山西冀兴科技有限公司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5,895</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5,895</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山西煤炭运销集团吕梁孝龙煤炭综合物流园区（有限公司）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5,773</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5,773</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中钢集团山东富全矿业有限公司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5,707</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5,707</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山东颐养健康集团龙盛地产有限公司</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5,563</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5,563</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rPr>
                <w:rFonts w:asciiTheme="minorEastAsia" w:eastAsiaTheme="minorEastAsia" w:hAnsiTheme="minorEastAsia"/>
              </w:rPr>
            </w:pPr>
            <w:r>
              <w:rPr>
                <w:rFonts w:ascii="宋体" w:hAnsi="宋体" w:cs="宋体" w:hint="eastAsia"/>
              </w:rPr>
              <w:t>其他不重大客户</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99,614</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99,614</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100</w:t>
            </w:r>
          </w:p>
        </w:tc>
        <w:tc>
          <w:tcPr>
            <w:tcW w:w="1851" w:type="dxa"/>
            <w:vAlign w:val="center"/>
          </w:tcPr>
          <w:p>
            <w:pPr>
              <w:rPr>
                <w:rFonts w:asciiTheme="minorEastAsia" w:eastAsiaTheme="minorEastAsia" w:hAnsiTheme="minorEastAsia"/>
              </w:rPr>
            </w:pPr>
            <w:r>
              <w:rPr>
                <w:rFonts w:asciiTheme="minorEastAsia" w:eastAsiaTheme="minorEastAsia" w:hAnsiTheme="minorEastAsia" w:cs="宋体" w:hint="eastAsia"/>
              </w:rPr>
              <w:t>预计无法收回</w:t>
            </w:r>
          </w:p>
        </w:tc>
      </w:tr>
      <w:tr>
        <w:tc>
          <w:tcPr>
            <w:tcW w:w="2099" w:type="dxa"/>
            <w:vAlign w:val="center"/>
          </w:tcPr>
          <w:p>
            <w:pPr>
              <w:jc w:val="center"/>
              <w:rPr>
                <w:rFonts w:asciiTheme="minorEastAsia" w:eastAsiaTheme="minorEastAsia" w:hAnsiTheme="minorEastAsia"/>
              </w:rPr>
            </w:pPr>
            <w:r>
              <w:rPr>
                <w:rFonts w:asciiTheme="minorEastAsia" w:eastAsiaTheme="minorEastAsia" w:hAnsiTheme="minorEastAsia" w:hint="eastAsia"/>
              </w:rPr>
              <w:t>合计</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942,853</w:t>
            </w:r>
          </w:p>
        </w:tc>
        <w:tc>
          <w:tcPr>
            <w:tcW w:w="1701" w:type="dxa"/>
            <w:vAlign w:val="center"/>
          </w:tcPr>
          <w:p>
            <w:pPr>
              <w:jc w:val="right"/>
              <w:rPr>
                <w:rFonts w:asciiTheme="minorEastAsia" w:eastAsiaTheme="minorEastAsia" w:hAnsiTheme="minorEastAsia"/>
              </w:rPr>
            </w:pPr>
            <w:r>
              <w:rPr>
                <w:rFonts w:asciiTheme="minorEastAsia" w:eastAsiaTheme="minorEastAsia" w:hAnsiTheme="minorEastAsia" w:cs="宋体" w:hint="eastAsia"/>
              </w:rPr>
              <w:t>942,853</w:t>
            </w:r>
          </w:p>
        </w:tc>
        <w:tc>
          <w:tcPr>
            <w:tcW w:w="1699" w:type="dxa"/>
            <w:vAlign w:val="center"/>
          </w:tcPr>
          <w:p>
            <w:pPr>
              <w:jc w:val="right"/>
              <w:rPr>
                <w:rFonts w:asciiTheme="minorEastAsia" w:eastAsiaTheme="minorEastAsia" w:hAnsiTheme="minorEastAsia"/>
              </w:rPr>
            </w:pPr>
            <w:r>
              <w:rPr>
                <w:rFonts w:asciiTheme="minorEastAsia" w:eastAsiaTheme="minorEastAsia" w:hAnsiTheme="minorEastAsia" w:hint="eastAsia"/>
              </w:rPr>
              <w:t>100</w:t>
            </w:r>
          </w:p>
        </w:tc>
        <w:tc>
          <w:tcPr>
            <w:tcW w:w="1851" w:type="dxa"/>
            <w:vAlign w:val="center"/>
          </w:tcPr>
          <w:p>
            <w:pPr>
              <w:jc w:val="center"/>
              <w:rPr>
                <w:rFonts w:asciiTheme="minorEastAsia" w:eastAsiaTheme="minorEastAsia" w:hAnsiTheme="minorEastAsia"/>
              </w:rPr>
            </w:pPr>
            <w:r>
              <w:rPr>
                <w:rFonts w:asciiTheme="minorEastAsia" w:eastAsiaTheme="minorEastAsia" w:hAnsiTheme="minorEastAsia" w:hint="eastAsia"/>
              </w:rPr>
              <w:t>/</w:t>
            </w:r>
          </w:p>
        </w:tc>
      </w:tr>
    </w:tbl>
    <w:p>
      <w:pPr>
        <w:pStyle w:val="Style217"/>
      </w:pPr>
      <w:r>
        <w:rPr>
          <w:rFonts w:hint="eastAsia"/>
        </w:rPr>
        <w:t>按单项计提坏账准备的说明：</w:t>
      </w:r>
    </w:p>
    <w:sdt>
      <w:sdtPr>
        <w:alias w:val="是否适用：按单项计提坏账准备的应收账款说明[双击切换]"/>
        <w:tag w:val="_GBC_e665d0e996124f458355f06bf32118ca"/>
        <w:id w:val="-200581627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388" w:displacedByCustomXml="next"/>
    <w:sdt>
      <w:sdtPr>
        <w:tag w:val="_PLD_21b31dda4e9f44bd901ccb9e126e1392"/>
        <w:id w:val="-1829818967"/>
      </w:sdtPr>
      <w:sdtContent>
        <w:p>
          <w:pPr>
            <w:pStyle w:val="Style217"/>
          </w:pPr>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21054176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bookmarkStart w:id="389" w:name="_Hlk533607573"/>
      <w:r>
        <w:rPr>
          <w:rFonts w:hint="eastAsia"/>
        </w:rPr>
        <w:t>组合计提项目：</w:t>
      </w:r>
      <w:sdt>
        <w:sdtPr>
          <w:rPr>
            <w:rFonts w:hint="eastAsia"/>
          </w:rPr>
          <w:alias w:val="按组合计提坏账准备的应收账款明细-组合名称"/>
          <w:tag w:val="_GBC_a99af83acd7e492a99d5eed2536b8adb"/>
          <w:id w:val="-1316958126"/>
          <w:placeholder>
            <w:docPart w:val="GBC22222222222222222222222222222"/>
          </w:placeholder>
          <w:comboBox>
            <w:listItem w:displayText="关联方组合" w:value="关联方组合"/>
            <w:listItem w:displayText="账龄组合" w:value="账龄组合"/>
          </w:comboBox>
        </w:sdtPr>
        <w:sdtContent>
          <w:r>
            <w:rPr>
              <w:rFonts w:hint="eastAsia"/>
            </w:rPr>
            <w:t>账龄组合</w:t>
          </w:r>
        </w:sdtContent>
      </w:sdt>
    </w:p>
    <w:p>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9462803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按组合计提坏账准备的应收账款详细情况"/>
          <w:tag w:val="_GBC_2a89eacddb4842daa40a2883ae740824"/>
          <w:id w:val="-11718745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309"/>
        <w:gridCol w:w="2350"/>
        <w:gridCol w:w="2294"/>
      </w:tblGrid>
      <w:tr>
        <w:sdt>
          <w:sdtPr>
            <w:rPr>
              <w:rFonts w:asciiTheme="minorEastAsia" w:eastAsiaTheme="minorEastAsia" w:hAnsiTheme="minorEastAsia"/>
            </w:rPr>
            <w:tag w:val="_PLD_76fac25a376f4d4b884d95c8c8b4cdbd"/>
            <w:id w:val="1326019204"/>
          </w:sdtPr>
          <w:sdtContent>
            <w:tc>
              <w:tcPr>
                <w:tcW w:w="2095" w:type="dxa"/>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名称</w:t>
                </w:r>
              </w:p>
            </w:tc>
          </w:sdtContent>
        </w:sdt>
        <w:sdt>
          <w:sdtPr>
            <w:rPr>
              <w:rFonts w:asciiTheme="minorEastAsia" w:eastAsiaTheme="minorEastAsia" w:hAnsiTheme="minorEastAsia"/>
            </w:rPr>
            <w:tag w:val="_PLD_2ea73da2ba22410090605fad4228c06a"/>
            <w:id w:val="2144695539"/>
          </w:sdtPr>
          <w:sdtContent>
            <w:tc>
              <w:tcPr>
                <w:tcW w:w="6953" w:type="dxa"/>
                <w:gridSpan w:val="3"/>
                <w:vAlign w:val="center"/>
              </w:tcPr>
              <w:p>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tr>
      <w:tr>
        <w:tc>
          <w:tcPr>
            <w:tcW w:w="2095" w:type="dxa"/>
            <w:vMerge/>
            <w:vAlign w:val="center"/>
          </w:tcPr>
          <w:p>
            <w:pPr>
              <w:jc w:val="center"/>
              <w:rPr>
                <w:rFonts w:asciiTheme="minorEastAsia" w:eastAsiaTheme="minorEastAsia" w:hAnsiTheme="minorEastAsia"/>
              </w:rPr>
            </w:pPr>
          </w:p>
        </w:tc>
        <w:sdt>
          <w:sdtPr>
            <w:rPr>
              <w:rFonts w:asciiTheme="minorEastAsia" w:eastAsiaTheme="minorEastAsia" w:hAnsiTheme="minorEastAsia"/>
            </w:rPr>
            <w:tag w:val="_PLD_841eb33e3b60464dbe6b3cefac602503"/>
            <w:id w:val="-252818218"/>
          </w:sdtPr>
          <w:sdtContent>
            <w:tc>
              <w:tcPr>
                <w:tcW w:w="2309" w:type="dxa"/>
                <w:vAlign w:val="center"/>
              </w:tcPr>
              <w:p>
                <w:pPr>
                  <w:jc w:val="center"/>
                  <w:rPr>
                    <w:rFonts w:asciiTheme="minorEastAsia" w:eastAsiaTheme="minorEastAsia" w:hAnsiTheme="minorEastAsia"/>
                  </w:rPr>
                </w:pPr>
                <w:r>
                  <w:rPr>
                    <w:rFonts w:asciiTheme="minorEastAsia" w:eastAsiaTheme="minorEastAsia" w:hAnsiTheme="minorEastAsia" w:hint="eastAsia"/>
                  </w:rPr>
                  <w:t>账面余额</w:t>
                </w:r>
              </w:p>
            </w:tc>
          </w:sdtContent>
        </w:sdt>
        <w:sdt>
          <w:sdtPr>
            <w:rPr>
              <w:rFonts w:asciiTheme="minorEastAsia" w:eastAsiaTheme="minorEastAsia" w:hAnsiTheme="minorEastAsia"/>
            </w:rPr>
            <w:tag w:val="_PLD_b28da65f0aac478c80ab20a817d350ac"/>
            <w:id w:val="356090934"/>
          </w:sdtPr>
          <w:sdtContent>
            <w:tc>
              <w:tcPr>
                <w:tcW w:w="2350" w:type="dxa"/>
                <w:vAlign w:val="center"/>
              </w:tcPr>
              <w:p>
                <w:pPr>
                  <w:jc w:val="center"/>
                  <w:rPr>
                    <w:rFonts w:asciiTheme="minorEastAsia" w:eastAsiaTheme="minorEastAsia" w:hAnsiTheme="minorEastAsia"/>
                  </w:rPr>
                </w:pPr>
                <w:r>
                  <w:rPr>
                    <w:rFonts w:asciiTheme="minorEastAsia" w:eastAsiaTheme="minorEastAsia" w:hAnsiTheme="minorEastAsia" w:hint="eastAsia"/>
                  </w:rPr>
                  <w:t>坏账准备</w:t>
                </w:r>
              </w:p>
            </w:tc>
          </w:sdtContent>
        </w:sdt>
        <w:sdt>
          <w:sdtPr>
            <w:rPr>
              <w:rFonts w:asciiTheme="minorEastAsia" w:eastAsiaTheme="minorEastAsia" w:hAnsiTheme="minorEastAsia"/>
            </w:rPr>
            <w:tag w:val="_PLD_98321f537bf94701b17705eae6c543e2"/>
            <w:id w:val="1984895865"/>
          </w:sdtPr>
          <w:sdtContent>
            <w:tc>
              <w:tcPr>
                <w:tcW w:w="2294" w:type="dxa"/>
                <w:vAlign w:val="center"/>
              </w:tcPr>
              <w:p>
                <w:pPr>
                  <w:jc w:val="center"/>
                  <w:rPr>
                    <w:rFonts w:asciiTheme="minorEastAsia" w:eastAsiaTheme="minorEastAsia" w:hAnsiTheme="minorEastAsia"/>
                  </w:rPr>
                </w:pPr>
                <w:r>
                  <w:rPr>
                    <w:rFonts w:asciiTheme="minorEastAsia" w:eastAsiaTheme="minorEastAsia" w:hAnsiTheme="minorEastAsia"/>
                  </w:rPr>
                  <w:t>计提比例</w:t>
                </w:r>
                <w:r>
                  <w:rPr>
                    <w:rFonts w:asciiTheme="minorEastAsia" w:eastAsiaTheme="minorEastAsia" w:hAnsiTheme="minorEastAsia" w:hint="eastAsia"/>
                  </w:rPr>
                  <w:t>（%）</w:t>
                </w:r>
              </w:p>
            </w:tc>
          </w:sdtContent>
        </w:sdt>
      </w:tr>
      <w:tr>
        <w:tc>
          <w:tcPr>
            <w:tcW w:w="2095" w:type="dxa"/>
            <w:vAlign w:val="center"/>
          </w:tcPr>
          <w:p>
            <w:pPr>
              <w:rPr>
                <w:rFonts w:asciiTheme="minorEastAsia" w:eastAsiaTheme="minorEastAsia" w:hAnsiTheme="minorEastAsia"/>
              </w:rPr>
            </w:pPr>
            <w:r>
              <w:rPr>
                <w:rFonts w:asciiTheme="minorEastAsia" w:eastAsiaTheme="minorEastAsia" w:hAnsiTheme="minorEastAsia" w:cs="宋体" w:hint="eastAsia"/>
              </w:rPr>
              <w:t>1年以内（含1年）</w:t>
            </w:r>
          </w:p>
        </w:tc>
        <w:tc>
          <w:tcPr>
            <w:tcW w:w="2309"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hint="eastAsia"/>
              </w:rPr>
              <w:t>6,184,715</w:t>
            </w:r>
          </w:p>
        </w:tc>
        <w:tc>
          <w:tcPr>
            <w:tcW w:w="2350" w:type="dxa"/>
            <w:shd w:val="clear" w:color="auto" w:fill="auto"/>
            <w:vAlign w:val="center"/>
          </w:tcPr>
          <w:p>
            <w:pPr>
              <w:jc w:val="right"/>
              <w:rPr>
                <w:rFonts w:ascii="宋体" w:hAnsi="宋体"/>
              </w:rPr>
            </w:pPr>
            <w:r>
              <w:rPr>
                <w:rFonts w:ascii="宋体" w:hAnsi="宋体"/>
              </w:rPr>
              <w:t>40,107</w:t>
            </w:r>
          </w:p>
        </w:tc>
        <w:tc>
          <w:tcPr>
            <w:tcW w:w="2294"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hint="eastAsia"/>
              </w:rPr>
              <w:t>0.65</w:t>
            </w:r>
          </w:p>
        </w:tc>
      </w:tr>
      <w:tr>
        <w:tc>
          <w:tcPr>
            <w:tcW w:w="2095" w:type="dxa"/>
            <w:vAlign w:val="center"/>
          </w:tcPr>
          <w:p>
            <w:pPr>
              <w:rPr>
                <w:rFonts w:asciiTheme="minorEastAsia" w:eastAsiaTheme="minorEastAsia" w:hAnsiTheme="minorEastAsia"/>
              </w:rPr>
            </w:pPr>
            <w:r>
              <w:rPr>
                <w:rFonts w:asciiTheme="minorEastAsia" w:eastAsiaTheme="minorEastAsia" w:hAnsiTheme="minorEastAsia" w:cs="宋体" w:hint="eastAsia"/>
              </w:rPr>
              <w:t>1-2年</w:t>
            </w:r>
          </w:p>
        </w:tc>
        <w:tc>
          <w:tcPr>
            <w:tcW w:w="2309"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hint="eastAsia"/>
              </w:rPr>
              <w:t>212,220</w:t>
            </w:r>
          </w:p>
        </w:tc>
        <w:tc>
          <w:tcPr>
            <w:tcW w:w="2350" w:type="dxa"/>
            <w:shd w:val="clear" w:color="auto" w:fill="auto"/>
            <w:vAlign w:val="center"/>
          </w:tcPr>
          <w:p>
            <w:pPr>
              <w:jc w:val="right"/>
              <w:rPr>
                <w:rFonts w:ascii="宋体" w:hAnsi="宋体"/>
              </w:rPr>
            </w:pPr>
            <w:r>
              <w:rPr>
                <w:rFonts w:ascii="宋体" w:hAnsi="宋体"/>
              </w:rPr>
              <w:t>2,228</w:t>
            </w:r>
          </w:p>
        </w:tc>
        <w:tc>
          <w:tcPr>
            <w:tcW w:w="2294" w:type="dxa"/>
            <w:shd w:val="clear" w:color="auto" w:fill="auto"/>
            <w:vAlign w:val="center"/>
          </w:tcPr>
          <w:p>
            <w:pPr>
              <w:jc w:val="right"/>
              <w:rPr>
                <w:rFonts w:ascii="宋体" w:hAnsi="宋体"/>
              </w:rPr>
            </w:pPr>
            <w:r>
              <w:rPr>
                <w:rFonts w:ascii="宋体" w:hAnsi="宋体"/>
              </w:rPr>
              <w:t>1.05</w:t>
            </w:r>
          </w:p>
        </w:tc>
      </w:tr>
      <w:tr>
        <w:tc>
          <w:tcPr>
            <w:tcW w:w="2095" w:type="dxa"/>
            <w:vAlign w:val="center"/>
          </w:tcPr>
          <w:p>
            <w:pPr>
              <w:rPr>
                <w:rFonts w:asciiTheme="minorEastAsia" w:eastAsiaTheme="minorEastAsia" w:hAnsiTheme="minorEastAsia"/>
              </w:rPr>
            </w:pPr>
            <w:r>
              <w:rPr>
                <w:rFonts w:asciiTheme="minorEastAsia" w:eastAsiaTheme="minorEastAsia" w:hAnsiTheme="minorEastAsia" w:cs="宋体" w:hint="eastAsia"/>
              </w:rPr>
              <w:lastRenderedPageBreak/>
              <w:t>2-3年</w:t>
            </w:r>
          </w:p>
        </w:tc>
        <w:tc>
          <w:tcPr>
            <w:tcW w:w="2309"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hint="eastAsia"/>
              </w:rPr>
              <w:t>167,294</w:t>
            </w:r>
          </w:p>
        </w:tc>
        <w:tc>
          <w:tcPr>
            <w:tcW w:w="2350" w:type="dxa"/>
            <w:shd w:val="clear" w:color="auto" w:fill="auto"/>
            <w:vAlign w:val="center"/>
          </w:tcPr>
          <w:p>
            <w:pPr>
              <w:jc w:val="right"/>
              <w:rPr>
                <w:rFonts w:ascii="宋体" w:hAnsi="宋体"/>
              </w:rPr>
            </w:pPr>
            <w:r>
              <w:rPr>
                <w:rFonts w:ascii="宋体" w:hAnsi="宋体"/>
              </w:rPr>
              <w:t>7,409</w:t>
            </w:r>
          </w:p>
        </w:tc>
        <w:tc>
          <w:tcPr>
            <w:tcW w:w="2294" w:type="dxa"/>
            <w:shd w:val="clear" w:color="auto" w:fill="auto"/>
            <w:vAlign w:val="center"/>
          </w:tcPr>
          <w:p>
            <w:pPr>
              <w:jc w:val="right"/>
              <w:rPr>
                <w:rFonts w:ascii="宋体" w:hAnsi="宋体"/>
              </w:rPr>
            </w:pPr>
            <w:r>
              <w:rPr>
                <w:rFonts w:ascii="宋体" w:hAnsi="宋体"/>
              </w:rPr>
              <w:t>4.43</w:t>
            </w:r>
          </w:p>
        </w:tc>
      </w:tr>
      <w:tr>
        <w:tc>
          <w:tcPr>
            <w:tcW w:w="2095" w:type="dxa"/>
            <w:vAlign w:val="center"/>
          </w:tcPr>
          <w:p>
            <w:pPr>
              <w:rPr>
                <w:rFonts w:asciiTheme="minorEastAsia" w:eastAsiaTheme="minorEastAsia" w:hAnsiTheme="minorEastAsia"/>
              </w:rPr>
            </w:pPr>
            <w:r>
              <w:rPr>
                <w:rFonts w:asciiTheme="minorEastAsia" w:eastAsiaTheme="minorEastAsia" w:hAnsiTheme="minorEastAsia" w:cs="宋体" w:hint="eastAsia"/>
              </w:rPr>
              <w:t>3年以上</w:t>
            </w:r>
          </w:p>
        </w:tc>
        <w:tc>
          <w:tcPr>
            <w:tcW w:w="2309"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hint="eastAsia"/>
              </w:rPr>
              <w:t>407,553</w:t>
            </w:r>
          </w:p>
        </w:tc>
        <w:tc>
          <w:tcPr>
            <w:tcW w:w="2350"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hint="eastAsia"/>
              </w:rPr>
              <w:t>25,253</w:t>
            </w:r>
          </w:p>
        </w:tc>
        <w:tc>
          <w:tcPr>
            <w:tcW w:w="2294"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hint="eastAsia"/>
              </w:rPr>
              <w:t>6.20</w:t>
            </w:r>
          </w:p>
        </w:tc>
      </w:tr>
      <w:tr>
        <w:tc>
          <w:tcPr>
            <w:tcW w:w="2095" w:type="dxa"/>
            <w:vAlign w:val="center"/>
          </w:tcPr>
          <w:p>
            <w:pPr>
              <w:jc w:val="center"/>
              <w:rPr>
                <w:rFonts w:asciiTheme="minorEastAsia" w:eastAsiaTheme="minorEastAsia" w:hAnsiTheme="minorEastAsia"/>
              </w:rPr>
            </w:pPr>
            <w:r>
              <w:rPr>
                <w:rFonts w:asciiTheme="minorEastAsia" w:eastAsiaTheme="minorEastAsia" w:hAnsiTheme="minorEastAsia" w:hint="eastAsia"/>
              </w:rPr>
              <w:t>合计</w:t>
            </w:r>
          </w:p>
        </w:tc>
        <w:tc>
          <w:tcPr>
            <w:tcW w:w="2309"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hint="eastAsia"/>
              </w:rPr>
              <w:t>6,971,782</w:t>
            </w:r>
          </w:p>
        </w:tc>
        <w:tc>
          <w:tcPr>
            <w:tcW w:w="2350" w:type="dxa"/>
            <w:shd w:val="clear" w:color="auto" w:fill="auto"/>
            <w:vAlign w:val="center"/>
          </w:tcPr>
          <w:p>
            <w:pPr>
              <w:jc w:val="right"/>
              <w:rPr>
                <w:rFonts w:asciiTheme="minorEastAsia" w:eastAsiaTheme="minorEastAsia" w:hAnsiTheme="minorEastAsia"/>
              </w:rPr>
            </w:pPr>
            <w:r>
              <w:rPr>
                <w:rFonts w:asciiTheme="minorEastAsia" w:eastAsiaTheme="minorEastAsia" w:hAnsiTheme="minorEastAsia" w:cs="宋体"/>
              </w:rPr>
              <w:t>74,997</w:t>
            </w:r>
          </w:p>
        </w:tc>
        <w:tc>
          <w:tcPr>
            <w:tcW w:w="2294" w:type="dxa"/>
            <w:shd w:val="clear" w:color="auto" w:fill="auto"/>
            <w:vAlign w:val="center"/>
          </w:tcPr>
          <w:p>
            <w:pPr>
              <w:jc w:val="right"/>
              <w:rPr>
                <w:rFonts w:asciiTheme="minorEastAsia" w:eastAsiaTheme="minorEastAsia" w:hAnsiTheme="minorEastAsia"/>
              </w:rPr>
            </w:pPr>
          </w:p>
        </w:tc>
      </w:tr>
    </w:tbl>
    <w:p>
      <w:pPr>
        <w:pStyle w:val="Style217"/>
      </w:pPr>
      <w:r>
        <w:rPr>
          <w:rFonts w:hint="eastAsia"/>
        </w:rPr>
        <w:t>按组合计提坏账准备的说明：</w:t>
      </w:r>
    </w:p>
    <w:sdt>
      <w:sdtPr>
        <w:alias w:val="是否适用：按组合计提坏账准备的应收账款确认标准[双击切换]"/>
        <w:tag w:val="_GBC_d256dc36994548098f599f5c34cca3f5"/>
        <w:id w:val="95198049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cstheme="minorBidi"/>
          <w:bCs/>
          <w:szCs w:val="22"/>
        </w:rPr>
      </w:pPr>
      <w:bookmarkStart w:id="390" w:name="_Hlk154134618"/>
      <w:bookmarkStart w:id="391" w:name="_Hlk153357523"/>
      <w:bookmarkEnd w:id="389"/>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855608543"/>
        <w:placeholder>
          <w:docPart w:val="GBC22222222222222222222222222222"/>
        </w:placeholder>
      </w:sdtPr>
      <w:sdtContent>
        <w:p>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pPr>
        <w:pStyle w:val="Style217"/>
      </w:pPr>
    </w:p>
    <w:p>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fefa2e57cd9349fba804e9f0aa553bb9"/>
        <w:id w:val="-121687104"/>
        <w:placeholder>
          <w:docPart w:val="GBC22222222222222222222222222222"/>
        </w:placeholder>
      </w:sdtPr>
      <w:sdtContent>
        <w:p>
          <w:pPr>
            <w:rPr>
              <w:bCs/>
              <w:szCs w:val="22"/>
            </w:rPr>
          </w:pPr>
          <w:r>
            <w:rPr>
              <w:rFonts w:hint="eastAsia"/>
              <w:bCs/>
              <w:szCs w:val="22"/>
            </w:rPr>
            <w:t>-</w:t>
          </w:r>
        </w:p>
      </w:sdtContent>
    </w:sdt>
    <w:p>
      <w:pPr>
        <w:rPr>
          <w:rFonts w:asciiTheme="minorHAnsi" w:hAnsiTheme="minorHAnsi" w:cstheme="minorBidi"/>
          <w:b/>
          <w:bCs/>
          <w:szCs w:val="22"/>
        </w:rPr>
      </w:pPr>
    </w:p>
    <w:p>
      <w:pPr>
        <w:pStyle w:val="Style201"/>
      </w:pPr>
      <w:r>
        <w:rPr>
          <w:rFonts w:hint="eastAsia"/>
        </w:rPr>
        <w:t>对本期发生损失准备变动的应收账款账面余额显著变动的情况说明：</w:t>
      </w:r>
    </w:p>
    <w:sdt>
      <w:sdtPr>
        <w:alias w:val="是否适用：对本期发生损失准备变动的账面余额显著变动的情况说明[双击切换]"/>
        <w:tag w:val="_GBC_253db3108f924621ad49e8a14b359867"/>
        <w:id w:val="-1402516262"/>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asciiTheme="minorHAnsi" w:hAnsiTheme="minorHAnsi" w:cstheme="minorBidi"/>
          <w:b/>
          <w:bCs/>
          <w:szCs w:val="22"/>
        </w:rPr>
      </w:pPr>
    </w:p>
    <w:p>
      <w:pPr>
        <w:pStyle w:val="Style179"/>
        <w:numPr>
          <w:ilvl w:val="3"/>
          <w:numId w:val="77"/>
        </w:numPr>
        <w:ind w:left="426" w:hanging="426"/>
      </w:pPr>
      <w:bookmarkStart w:id="392" w:name="_Hlk532991911"/>
      <w:bookmarkEnd w:id="390"/>
      <w:bookmarkEnd w:id="391"/>
      <w:r>
        <w:rPr>
          <w:rFonts w:hint="eastAsia"/>
        </w:rPr>
        <w:t>坏账准备的情况</w:t>
      </w:r>
    </w:p>
    <w:sdt>
      <w:sdtPr>
        <w:alias w:val="是否适用：应收账款坏账准备[双击切换]"/>
        <w:tag w:val="_GBC_9f417fa21150444abc4efab15ee99d53"/>
        <w:id w:val="-163686177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4418103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应收账款坏账准备"/>
          <w:tag w:val="_GBC_0ea3ceddf10d4313a5111e5088ac98cf"/>
          <w:id w:val="11313702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82"/>
        <w:gridCol w:w="1244"/>
        <w:gridCol w:w="1351"/>
        <w:gridCol w:w="1244"/>
        <w:gridCol w:w="1248"/>
        <w:gridCol w:w="1246"/>
        <w:gridCol w:w="1241"/>
      </w:tblGrid>
      <w:tr>
        <w:sdt>
          <w:sdtPr>
            <w:tag w:val="_PLD_4744c2787819466dad3d228aea9d34a1"/>
            <w:id w:val="277993216"/>
          </w:sdtPr>
          <w:sdtContent>
            <w:tc>
              <w:tcPr>
                <w:tcW w:w="1482" w:type="dxa"/>
                <w:vMerge w:val="restart"/>
                <w:shd w:val="clear" w:color="auto" w:fill="FFFFFF"/>
                <w:vAlign w:val="center"/>
              </w:tcPr>
              <w:p>
                <w:pPr>
                  <w:widowControl w:val="0"/>
                  <w:jc w:val="center"/>
                </w:pPr>
                <w:r>
                  <w:t>类别</w:t>
                </w:r>
              </w:p>
            </w:tc>
          </w:sdtContent>
        </w:sdt>
        <w:sdt>
          <w:sdtPr>
            <w:tag w:val="_PLD_c730e797b90345869cdb1a0f449d27c4"/>
            <w:id w:val="-1770152894"/>
          </w:sdtPr>
          <w:sdtContent>
            <w:tc>
              <w:tcPr>
                <w:tcW w:w="1244" w:type="dxa"/>
                <w:vMerge w:val="restart"/>
                <w:shd w:val="clear" w:color="auto" w:fill="FFFFFF"/>
                <w:vAlign w:val="center"/>
              </w:tcPr>
              <w:p>
                <w:pPr>
                  <w:widowControl w:val="0"/>
                  <w:jc w:val="center"/>
                </w:pPr>
                <w:r>
                  <w:t>期初余额</w:t>
                </w:r>
              </w:p>
            </w:tc>
          </w:sdtContent>
        </w:sdt>
        <w:sdt>
          <w:sdtPr>
            <w:tag w:val="_PLD_b648ee5a72ff43aabfa5e5467354f612"/>
            <w:id w:val="-419412419"/>
          </w:sdtPr>
          <w:sdtContent>
            <w:tc>
              <w:tcPr>
                <w:tcW w:w="5089" w:type="dxa"/>
                <w:gridSpan w:val="4"/>
                <w:shd w:val="clear" w:color="auto" w:fill="FFFFFF"/>
                <w:vAlign w:val="center"/>
              </w:tcPr>
              <w:p>
                <w:pPr>
                  <w:widowControl w:val="0"/>
                  <w:jc w:val="center"/>
                </w:pPr>
                <w:r>
                  <w:rPr>
                    <w:rFonts w:hint="eastAsia"/>
                  </w:rPr>
                  <w:t>本期变动</w:t>
                </w:r>
                <w:r>
                  <w:t>金额</w:t>
                </w:r>
              </w:p>
            </w:tc>
          </w:sdtContent>
        </w:sdt>
        <w:sdt>
          <w:sdtPr>
            <w:tag w:val="_PLD_670842119a0446778c0343318379e7bb"/>
            <w:id w:val="-538508754"/>
          </w:sdtPr>
          <w:sdtContent>
            <w:tc>
              <w:tcPr>
                <w:tcW w:w="1241" w:type="dxa"/>
                <w:vMerge w:val="restart"/>
                <w:shd w:val="clear" w:color="auto" w:fill="FFFFFF"/>
                <w:vAlign w:val="center"/>
              </w:tcPr>
              <w:p>
                <w:pPr>
                  <w:widowControl w:val="0"/>
                  <w:jc w:val="center"/>
                </w:pPr>
                <w:r>
                  <w:t>期末余额</w:t>
                </w:r>
              </w:p>
            </w:tc>
          </w:sdtContent>
        </w:sdt>
      </w:tr>
      <w:tr>
        <w:tc>
          <w:tcPr>
            <w:tcW w:w="1482" w:type="dxa"/>
            <w:vMerge/>
            <w:shd w:val="clear" w:color="auto" w:fill="FFFFFF"/>
            <w:vAlign w:val="center"/>
          </w:tcPr>
          <w:p>
            <w:pPr>
              <w:widowControl w:val="0"/>
              <w:jc w:val="center"/>
            </w:pPr>
          </w:p>
        </w:tc>
        <w:tc>
          <w:tcPr>
            <w:tcW w:w="1244" w:type="dxa"/>
            <w:vMerge/>
            <w:shd w:val="clear" w:color="auto" w:fill="FFFFFF"/>
            <w:vAlign w:val="center"/>
          </w:tcPr>
          <w:p>
            <w:pPr>
              <w:widowControl w:val="0"/>
              <w:jc w:val="center"/>
            </w:pPr>
          </w:p>
        </w:tc>
        <w:sdt>
          <w:sdtPr>
            <w:tag w:val="_PLD_9f89b7b6eb974ea9b6438eecb96ab8d7"/>
            <w:id w:val="-363993098"/>
          </w:sdtPr>
          <w:sdtContent>
            <w:tc>
              <w:tcPr>
                <w:tcW w:w="1351" w:type="dxa"/>
                <w:shd w:val="clear" w:color="auto" w:fill="FFFFFF"/>
                <w:vAlign w:val="center"/>
              </w:tcPr>
              <w:p>
                <w:pPr>
                  <w:widowControl w:val="0"/>
                  <w:jc w:val="center"/>
                </w:pPr>
                <w:r>
                  <w:t>计提</w:t>
                </w:r>
              </w:p>
            </w:tc>
          </w:sdtContent>
        </w:sdt>
        <w:sdt>
          <w:sdtPr>
            <w:tag w:val="_PLD_d83025520e1c49cb905bac81a5fe67a9"/>
            <w:id w:val="1146096980"/>
          </w:sdtPr>
          <w:sdtContent>
            <w:tc>
              <w:tcPr>
                <w:tcW w:w="1244" w:type="dxa"/>
                <w:shd w:val="clear" w:color="auto" w:fill="FFFFFF"/>
                <w:vAlign w:val="center"/>
              </w:tcPr>
              <w:p>
                <w:pPr>
                  <w:widowControl w:val="0"/>
                  <w:jc w:val="center"/>
                </w:pPr>
                <w:r>
                  <w:rPr>
                    <w:rFonts w:hint="eastAsia"/>
                  </w:rPr>
                  <w:t>收回或转回</w:t>
                </w:r>
              </w:p>
            </w:tc>
          </w:sdtContent>
        </w:sdt>
        <w:tc>
          <w:tcPr>
            <w:tcW w:w="1248" w:type="dxa"/>
            <w:shd w:val="clear" w:color="auto" w:fill="FFFFFF"/>
            <w:vAlign w:val="center"/>
          </w:tcPr>
          <w:sdt>
            <w:sdtPr>
              <w:tag w:val="_PLD_43341cdf094c434589f9f5a4eeb8fb4a"/>
              <w:id w:val="-1594392321"/>
            </w:sdtPr>
            <w:sdtContent>
              <w:p>
                <w:pPr>
                  <w:widowControl w:val="0"/>
                  <w:jc w:val="center"/>
                </w:pPr>
                <w:r>
                  <w:rPr>
                    <w:rFonts w:hint="eastAsia"/>
                  </w:rPr>
                  <w:t>转销或核销</w:t>
                </w:r>
              </w:p>
            </w:sdtContent>
          </w:sdt>
        </w:tc>
        <w:tc>
          <w:tcPr>
            <w:tcW w:w="1246" w:type="dxa"/>
            <w:shd w:val="clear" w:color="auto" w:fill="FFFFFF"/>
            <w:vAlign w:val="center"/>
          </w:tcPr>
          <w:sdt>
            <w:sdtPr>
              <w:tag w:val="_PLD_4105509cd7cf412981897dd91879a014"/>
              <w:id w:val="333578343"/>
            </w:sdtPr>
            <w:sdtContent>
              <w:p>
                <w:pPr>
                  <w:widowControl w:val="0"/>
                  <w:jc w:val="center"/>
                </w:pPr>
                <w:r>
                  <w:rPr>
                    <w:rFonts w:hint="eastAsia"/>
                  </w:rPr>
                  <w:t>其他变动</w:t>
                </w:r>
              </w:p>
            </w:sdtContent>
          </w:sdt>
        </w:tc>
        <w:tc>
          <w:tcPr>
            <w:tcW w:w="1241" w:type="dxa"/>
            <w:vMerge/>
            <w:shd w:val="clear" w:color="auto" w:fill="FFFFFF"/>
            <w:vAlign w:val="center"/>
          </w:tcPr>
          <w:p>
            <w:pPr>
              <w:widowControl w:val="0"/>
              <w:jc w:val="right"/>
            </w:pPr>
          </w:p>
        </w:tc>
      </w:tr>
      <w:tr>
        <w:tc>
          <w:tcPr>
            <w:tcW w:w="1482" w:type="dxa"/>
            <w:vAlign w:val="center"/>
          </w:tcPr>
          <w:p>
            <w:pPr>
              <w:widowControl w:val="0"/>
            </w:pPr>
            <w:r>
              <w:rPr>
                <w:rFonts w:ascii="宋体" w:hAnsi="宋体" w:cs="宋体" w:hint="eastAsia"/>
              </w:rPr>
              <w:t>应收账款坏账准备</w:t>
            </w:r>
          </w:p>
        </w:tc>
        <w:tc>
          <w:tcPr>
            <w:tcW w:w="1244" w:type="dxa"/>
            <w:vAlign w:val="center"/>
          </w:tcPr>
          <w:p>
            <w:pPr>
              <w:widowControl w:val="0"/>
              <w:jc w:val="right"/>
              <w:rPr>
                <w:rFonts w:ascii="宋体" w:hAnsi="宋体"/>
              </w:rPr>
            </w:pPr>
            <w:r>
              <w:rPr>
                <w:rFonts w:ascii="宋体" w:hAnsi="宋体"/>
              </w:rPr>
              <w:t>972,211</w:t>
            </w:r>
          </w:p>
        </w:tc>
        <w:tc>
          <w:tcPr>
            <w:tcW w:w="1351" w:type="dxa"/>
            <w:vAlign w:val="center"/>
          </w:tcPr>
          <w:p>
            <w:pPr>
              <w:widowControl w:val="0"/>
              <w:jc w:val="right"/>
              <w:rPr>
                <w:rFonts w:ascii="宋体" w:hAnsi="宋体"/>
              </w:rPr>
            </w:pPr>
            <w:r>
              <w:rPr>
                <w:rFonts w:ascii="宋体" w:hAnsi="宋体"/>
              </w:rPr>
              <w:t>97,123</w:t>
            </w:r>
          </w:p>
        </w:tc>
        <w:tc>
          <w:tcPr>
            <w:tcW w:w="1244" w:type="dxa"/>
            <w:vAlign w:val="center"/>
          </w:tcPr>
          <w:p>
            <w:pPr>
              <w:widowControl w:val="0"/>
              <w:jc w:val="right"/>
            </w:pPr>
            <w:r>
              <w:rPr>
                <w:rFonts w:ascii="宋体" w:hAnsi="宋体" w:cs="宋体" w:hint="eastAsia"/>
              </w:rPr>
              <w:t>20,385</w:t>
            </w:r>
          </w:p>
        </w:tc>
        <w:tc>
          <w:tcPr>
            <w:tcW w:w="1248" w:type="dxa"/>
            <w:vAlign w:val="center"/>
          </w:tcPr>
          <w:p>
            <w:pPr>
              <w:widowControl w:val="0"/>
              <w:jc w:val="right"/>
            </w:pPr>
            <w:r>
              <w:rPr>
                <w:rFonts w:ascii="宋体" w:hAnsi="宋体" w:cs="宋体" w:hint="eastAsia"/>
              </w:rPr>
              <w:t>6,396</w:t>
            </w:r>
          </w:p>
        </w:tc>
        <w:tc>
          <w:tcPr>
            <w:tcW w:w="1246" w:type="dxa"/>
            <w:vAlign w:val="center"/>
          </w:tcPr>
          <w:p>
            <w:pPr>
              <w:widowControl w:val="0"/>
              <w:jc w:val="right"/>
            </w:pPr>
            <w:r>
              <w:rPr>
                <w:rFonts w:ascii="宋体" w:hAnsi="宋体" w:cs="宋体" w:hint="eastAsia"/>
              </w:rPr>
              <w:t>-24,703</w:t>
            </w:r>
          </w:p>
        </w:tc>
        <w:tc>
          <w:tcPr>
            <w:tcW w:w="1241" w:type="dxa"/>
            <w:vAlign w:val="center"/>
          </w:tcPr>
          <w:p>
            <w:pPr>
              <w:widowControl w:val="0"/>
              <w:jc w:val="right"/>
            </w:pPr>
            <w:r>
              <w:rPr>
                <w:rFonts w:ascii="宋体" w:hAnsi="宋体" w:cs="宋体" w:hint="eastAsia"/>
              </w:rPr>
              <w:t>1,017,850</w:t>
            </w:r>
          </w:p>
        </w:tc>
      </w:tr>
      <w:tr>
        <w:tc>
          <w:tcPr>
            <w:tcW w:w="1482" w:type="dxa"/>
            <w:vAlign w:val="center"/>
          </w:tcPr>
          <w:p>
            <w:pPr>
              <w:widowControl w:val="0"/>
              <w:jc w:val="center"/>
            </w:pPr>
            <w:r>
              <w:rPr>
                <w:rFonts w:hint="eastAsia"/>
              </w:rPr>
              <w:t>合计</w:t>
            </w:r>
          </w:p>
        </w:tc>
        <w:tc>
          <w:tcPr>
            <w:tcW w:w="1244" w:type="dxa"/>
            <w:vAlign w:val="center"/>
          </w:tcPr>
          <w:p>
            <w:pPr>
              <w:widowControl w:val="0"/>
              <w:jc w:val="right"/>
              <w:rPr>
                <w:rFonts w:ascii="宋体" w:hAnsi="宋体"/>
              </w:rPr>
            </w:pPr>
            <w:r>
              <w:rPr>
                <w:rFonts w:ascii="宋体" w:hAnsi="宋体"/>
              </w:rPr>
              <w:t>972,211</w:t>
            </w:r>
          </w:p>
        </w:tc>
        <w:tc>
          <w:tcPr>
            <w:tcW w:w="1351" w:type="dxa"/>
            <w:vAlign w:val="center"/>
          </w:tcPr>
          <w:p>
            <w:pPr>
              <w:widowControl w:val="0"/>
              <w:jc w:val="right"/>
              <w:rPr>
                <w:rFonts w:ascii="宋体" w:hAnsi="宋体"/>
              </w:rPr>
            </w:pPr>
            <w:r>
              <w:rPr>
                <w:rFonts w:ascii="宋体" w:hAnsi="宋体"/>
              </w:rPr>
              <w:t>97,123</w:t>
            </w:r>
          </w:p>
        </w:tc>
        <w:tc>
          <w:tcPr>
            <w:tcW w:w="1244" w:type="dxa"/>
            <w:vAlign w:val="center"/>
          </w:tcPr>
          <w:p>
            <w:pPr>
              <w:widowControl w:val="0"/>
              <w:jc w:val="right"/>
            </w:pPr>
            <w:r>
              <w:rPr>
                <w:rFonts w:ascii="宋体" w:hAnsi="宋体" w:cs="宋体"/>
              </w:rPr>
              <w:t>20,385</w:t>
            </w:r>
          </w:p>
        </w:tc>
        <w:tc>
          <w:tcPr>
            <w:tcW w:w="1248" w:type="dxa"/>
            <w:vAlign w:val="center"/>
          </w:tcPr>
          <w:p>
            <w:pPr>
              <w:widowControl w:val="0"/>
              <w:jc w:val="right"/>
            </w:pPr>
            <w:r>
              <w:rPr>
                <w:rFonts w:ascii="宋体" w:hAnsi="宋体" w:cs="宋体"/>
              </w:rPr>
              <w:t>6,396</w:t>
            </w:r>
          </w:p>
        </w:tc>
        <w:tc>
          <w:tcPr>
            <w:tcW w:w="1246" w:type="dxa"/>
            <w:vAlign w:val="center"/>
          </w:tcPr>
          <w:p>
            <w:pPr>
              <w:widowControl w:val="0"/>
              <w:jc w:val="right"/>
            </w:pPr>
            <w:r>
              <w:rPr>
                <w:rFonts w:ascii="宋体" w:hAnsi="宋体" w:cs="宋体"/>
              </w:rPr>
              <w:t>-24,703</w:t>
            </w:r>
          </w:p>
        </w:tc>
        <w:tc>
          <w:tcPr>
            <w:tcW w:w="1241" w:type="dxa"/>
            <w:vAlign w:val="center"/>
          </w:tcPr>
          <w:p>
            <w:pPr>
              <w:widowControl w:val="0"/>
              <w:jc w:val="right"/>
            </w:pPr>
            <w:r>
              <w:rPr>
                <w:rFonts w:ascii="宋体" w:hAnsi="宋体" w:cs="宋体"/>
              </w:rPr>
              <w:t>1,017,850</w:t>
            </w:r>
          </w:p>
        </w:tc>
      </w:tr>
    </w:tbl>
    <w:p>
      <w:pPr>
        <w:pStyle w:val="Style201"/>
      </w:pPr>
    </w:p>
    <w:bookmarkEnd w:id="392"/>
    <w:p>
      <w:pPr>
        <w:pStyle w:val="Style217"/>
      </w:pPr>
      <w:r>
        <w:rPr>
          <w:rFonts w:hint="eastAsia"/>
        </w:rPr>
        <w:t>其中本期坏账准备收回或转回金额重要的：</w:t>
      </w:r>
    </w:p>
    <w:sdt>
      <w:sdtPr>
        <w:alias w:val="是否适用：其中本期坏账准备收回或转回金额重要的[双击切换]"/>
        <w:tag w:val="_GBC_6da74212535e450f9d1465f00dddd00b"/>
        <w:id w:val="-116871544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应收账款坏账准备情况的说明"/>
        <w:tag w:val="_GBC_497841b0d4bf4697928b74836200c0fa"/>
        <w:id w:val="-2074035723"/>
        <w:placeholder>
          <w:docPart w:val="GBC22222222222222222222222222222"/>
        </w:placeholder>
      </w:sdtPr>
      <w:sdtContent>
        <w:p>
          <w:pPr>
            <w:ind w:rightChars="20" w:right="42"/>
          </w:pPr>
          <w:r>
            <w:rPr>
              <w:rFonts w:hint="eastAsia"/>
            </w:rPr>
            <w:t>-</w:t>
          </w:r>
        </w:p>
      </w:sdtContent>
    </w:sdt>
    <w:p>
      <w:pPr>
        <w:ind w:rightChars="-759" w:right="-1594"/>
      </w:pPr>
    </w:p>
    <w:p>
      <w:pPr>
        <w:pStyle w:val="Style179"/>
        <w:numPr>
          <w:ilvl w:val="3"/>
          <w:numId w:val="77"/>
        </w:numPr>
        <w:ind w:left="426" w:hanging="426"/>
      </w:pPr>
      <w:r>
        <w:rPr>
          <w:rFonts w:hint="eastAsia"/>
        </w:rPr>
        <w:t>本期实际核销的应收账款情况</w:t>
      </w:r>
    </w:p>
    <w:sdt>
      <w:sdtPr>
        <w:alias w:val="是否适用：本期实际核销的应收账款情况[双击切换]"/>
        <w:tag w:val="_GBC_a6ff40b990b34b00968a4938eac82a74"/>
        <w:id w:val="1278295279"/>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报告期实际核销的应收款项情况"/>
          <w:tag w:val="_GBC_120829dd17474bb7a477e3113cdeaa92"/>
          <w:id w:val="-27618351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本报告期实际核销的应收款项情况"/>
          <w:tag w:val="_GBC_23c46b534069436795b165d258eb279c"/>
          <w:id w:val="211824447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2"/>
        <w:gridCol w:w="4776"/>
      </w:tblGrid>
      <w:tr>
        <w:sdt>
          <w:sdtPr>
            <w:tag w:val="_PLD_b31b4d2de9bc4878bfaf030b4ac7f864"/>
            <w:id w:val="882900906"/>
          </w:sdtPr>
          <w:sdtContent>
            <w:tc>
              <w:tcPr>
                <w:tcW w:w="4272" w:type="dxa"/>
                <w:vAlign w:val="center"/>
              </w:tcPr>
              <w:p>
                <w:pPr>
                  <w:jc w:val="center"/>
                </w:pPr>
                <w:r>
                  <w:rPr>
                    <w:rFonts w:hint="eastAsia"/>
                  </w:rPr>
                  <w:t>项目</w:t>
                </w:r>
              </w:p>
            </w:tc>
          </w:sdtContent>
        </w:sdt>
        <w:sdt>
          <w:sdtPr>
            <w:tag w:val="_PLD_8157ba5967c14e4e821de564c4546b40"/>
            <w:id w:val="-1680811470"/>
          </w:sdtPr>
          <w:sdtContent>
            <w:tc>
              <w:tcPr>
                <w:tcW w:w="4776" w:type="dxa"/>
                <w:vAlign w:val="center"/>
              </w:tcPr>
              <w:p>
                <w:pPr>
                  <w:jc w:val="center"/>
                </w:pPr>
                <w:r>
                  <w:rPr>
                    <w:rFonts w:hint="eastAsia"/>
                  </w:rPr>
                  <w:t>核销金额</w:t>
                </w:r>
              </w:p>
            </w:tc>
          </w:sdtContent>
        </w:sdt>
      </w:tr>
      <w:tr>
        <w:tc>
          <w:tcPr>
            <w:tcW w:w="4272" w:type="dxa"/>
            <w:vAlign w:val="center"/>
          </w:tcPr>
          <w:p>
            <w:pPr>
              <w:pStyle w:val="Style217"/>
            </w:pPr>
            <w:r>
              <w:rPr>
                <w:rFonts w:hint="eastAsia"/>
              </w:rPr>
              <w:t>实际核销的应收账款</w:t>
            </w:r>
          </w:p>
        </w:tc>
        <w:tc>
          <w:tcPr>
            <w:tcW w:w="4776" w:type="dxa"/>
            <w:vAlign w:val="center"/>
          </w:tcPr>
          <w:p>
            <w:pPr>
              <w:jc w:val="right"/>
              <w:rPr>
                <w:rFonts w:asciiTheme="minorEastAsia" w:eastAsiaTheme="minorEastAsia" w:hAnsiTheme="minorEastAsia"/>
              </w:rPr>
            </w:pPr>
            <w:r>
              <w:rPr>
                <w:rFonts w:asciiTheme="minorEastAsia" w:eastAsiaTheme="minorEastAsia" w:hAnsiTheme="minorEastAsia"/>
              </w:rPr>
              <w:t>6,396</w:t>
            </w:r>
          </w:p>
        </w:tc>
      </w:tr>
    </w:tbl>
    <w:p>
      <w:pPr>
        <w:pStyle w:val="Style217"/>
      </w:pPr>
    </w:p>
    <w:p>
      <w:pPr>
        <w:pStyle w:val="Style217"/>
      </w:pPr>
      <w:r>
        <w:rPr>
          <w:rFonts w:hint="eastAsia"/>
        </w:rPr>
        <w:t>其中重要的应收账款核销情况</w:t>
      </w:r>
    </w:p>
    <w:sdt>
      <w:sdtPr>
        <w:alias w:val="是否适用：其中重要的应收账款核销情况[双击切换]"/>
        <w:tag w:val="_GBC_3c12c3e5b4fd4acda2beb7a5cacacd97"/>
        <w:id w:val="48120511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应收账款核销说明：</w:t>
      </w:r>
    </w:p>
    <w:sdt>
      <w:sdtPr>
        <w:alias w:val="是否适用：应收账款核销说明[双击切换]"/>
        <w:tag w:val="_GBC_e00d0b458c1b4b5f99d670e3f2a2b2e2"/>
        <w:id w:val="2140612953"/>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9"/>
        <w:numPr>
          <w:ilvl w:val="3"/>
          <w:numId w:val="77"/>
        </w:numPr>
        <w:ind w:left="426" w:hanging="426"/>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384d0a1c7eac41bb9693117cbe9c7e5b"/>
        <w:id w:val="-1766908271"/>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alias w:val="单位：财务附注：应收账款前五名欠款情况"/>
          <w:tag w:val="_GBC_95040abe54a0489f8b830082545a50f5"/>
          <w:id w:val="-25097119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收账款前五名欠款情况"/>
          <w:tag w:val="_GBC_2e7ff062f76c406d86d744597244f24c"/>
          <w:id w:val="11738454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851"/>
        <w:gridCol w:w="1213"/>
        <w:gridCol w:w="1507"/>
        <w:gridCol w:w="1507"/>
      </w:tblGrid>
      <w:tr>
        <w:trPr>
          <w:cantSplit/>
        </w:trPr>
        <w:sdt>
          <w:sdtPr>
            <w:tag w:val="_PLD_393da722a1e6440ebfe654baf23b690e"/>
            <w:id w:val="742227659"/>
          </w:sdtPr>
          <w:sdtContent>
            <w:tc>
              <w:tcPr>
                <w:tcW w:w="2689" w:type="dxa"/>
                <w:vAlign w:val="center"/>
              </w:tcPr>
              <w:p>
                <w:pPr>
                  <w:ind w:right="105"/>
                  <w:jc w:val="center"/>
                </w:pPr>
                <w:r>
                  <w:rPr>
                    <w:rFonts w:hint="eastAsia"/>
                  </w:rPr>
                  <w:t>单位名称</w:t>
                </w:r>
              </w:p>
            </w:tc>
          </w:sdtContent>
        </w:sdt>
        <w:sdt>
          <w:sdtPr>
            <w:tag w:val="_PLD_e14b89c8ccbc4e1fbb83ed437d4f7c27"/>
            <w:id w:val="-1838692397"/>
          </w:sdtPr>
          <w:sdtContent>
            <w:tc>
              <w:tcPr>
                <w:tcW w:w="1275" w:type="dxa"/>
                <w:vAlign w:val="center"/>
              </w:tcPr>
              <w:p>
                <w:pPr>
                  <w:ind w:right="73"/>
                  <w:jc w:val="center"/>
                </w:pPr>
                <w:r>
                  <w:rPr>
                    <w:rFonts w:hint="eastAsia"/>
                  </w:rPr>
                  <w:t>应收账款期末余额</w:t>
                </w:r>
              </w:p>
            </w:tc>
          </w:sdtContent>
        </w:sdt>
        <w:sdt>
          <w:sdtPr>
            <w:tag w:val="_PLD_9e781bfbeaa241238adba8f92d150259"/>
            <w:id w:val="1587651354"/>
          </w:sdtPr>
          <w:sdtContent>
            <w:tc>
              <w:tcPr>
                <w:tcW w:w="851" w:type="dxa"/>
                <w:vAlign w:val="center"/>
              </w:tcPr>
              <w:p>
                <w:pPr>
                  <w:jc w:val="center"/>
                </w:pPr>
                <w:r>
                  <w:rPr>
                    <w:rFonts w:hint="eastAsia"/>
                  </w:rPr>
                  <w:t>合同资产期末余额</w:t>
                </w:r>
              </w:p>
            </w:tc>
          </w:sdtContent>
        </w:sdt>
        <w:sdt>
          <w:sdtPr>
            <w:tag w:val="_PLD_666c0ccb3f21467e9e36a3c674bf8485"/>
            <w:id w:val="1946344410"/>
          </w:sdtPr>
          <w:sdtContent>
            <w:tc>
              <w:tcPr>
                <w:tcW w:w="1213" w:type="dxa"/>
                <w:vAlign w:val="center"/>
              </w:tcPr>
              <w:p>
                <w:pPr>
                  <w:jc w:val="center"/>
                </w:pPr>
                <w:r>
                  <w:rPr>
                    <w:rFonts w:hint="eastAsia"/>
                  </w:rPr>
                  <w:t>应收账款和合同资产期末余额</w:t>
                </w:r>
              </w:p>
            </w:tc>
          </w:sdtContent>
        </w:sdt>
        <w:sdt>
          <w:sdtPr>
            <w:tag w:val="_PLD_8b734501e3a344dda6644cb9d228c237"/>
            <w:id w:val="-1468658890"/>
          </w:sdtPr>
          <w:sdtContent>
            <w:tc>
              <w:tcPr>
                <w:tcW w:w="1507" w:type="dxa"/>
                <w:vAlign w:val="center"/>
              </w:tcPr>
              <w:p>
                <w:pPr>
                  <w:jc w:val="center"/>
                </w:pPr>
                <w:r>
                  <w:rPr>
                    <w:rFonts w:hint="eastAsia"/>
                  </w:rPr>
                  <w:t>占应收账款和合同资产期末余额合计数的比例（</w:t>
                </w:r>
                <w:r>
                  <w:rPr>
                    <w:rFonts w:hint="eastAsia"/>
                  </w:rPr>
                  <w:t>%</w:t>
                </w:r>
                <w:r>
                  <w:rPr>
                    <w:rFonts w:hint="eastAsia"/>
                  </w:rPr>
                  <w:t>）</w:t>
                </w:r>
              </w:p>
            </w:tc>
          </w:sdtContent>
        </w:sdt>
        <w:sdt>
          <w:sdtPr>
            <w:tag w:val="_PLD_e198f1b6108c4fccacfc45ea46e8ff41"/>
            <w:id w:val="1612161855"/>
          </w:sdtPr>
          <w:sdtContent>
            <w:tc>
              <w:tcPr>
                <w:tcW w:w="1507" w:type="dxa"/>
                <w:vAlign w:val="center"/>
              </w:tcPr>
              <w:p>
                <w:pPr>
                  <w:jc w:val="center"/>
                </w:pPr>
                <w:r>
                  <w:rPr>
                    <w:rFonts w:hint="eastAsia"/>
                  </w:rPr>
                  <w:t>坏账准备期末余额</w:t>
                </w:r>
              </w:p>
            </w:tc>
          </w:sdtContent>
        </w:sdt>
      </w:tr>
      <w:tr>
        <w:trPr>
          <w:cantSplit/>
        </w:trPr>
        <w:tc>
          <w:tcPr>
            <w:tcW w:w="2689" w:type="dxa"/>
            <w:vAlign w:val="center"/>
          </w:tcPr>
          <w:p>
            <w:pPr>
              <w:ind w:right="105"/>
            </w:pPr>
            <w:r>
              <w:rPr>
                <w:rFonts w:ascii="宋体" w:hAnsi="宋体" w:cs="宋体" w:hint="eastAsia"/>
              </w:rPr>
              <w:t>内蒙古电力（集团）有限责任公司</w:t>
            </w:r>
          </w:p>
        </w:tc>
        <w:tc>
          <w:tcPr>
            <w:tcW w:w="1275" w:type="dxa"/>
            <w:vAlign w:val="center"/>
          </w:tcPr>
          <w:p>
            <w:pPr>
              <w:ind w:right="73"/>
              <w:jc w:val="right"/>
            </w:pPr>
            <w:r>
              <w:rPr>
                <w:rFonts w:ascii="宋体" w:hAnsi="宋体" w:cs="宋体" w:hint="eastAsia"/>
              </w:rPr>
              <w:t>774,611</w:t>
            </w:r>
          </w:p>
        </w:tc>
        <w:tc>
          <w:tcPr>
            <w:tcW w:w="851" w:type="dxa"/>
            <w:vAlign w:val="center"/>
          </w:tcPr>
          <w:p>
            <w:pPr>
              <w:jc w:val="right"/>
            </w:pPr>
          </w:p>
        </w:tc>
        <w:tc>
          <w:tcPr>
            <w:tcW w:w="1213" w:type="dxa"/>
            <w:vAlign w:val="center"/>
          </w:tcPr>
          <w:p>
            <w:pPr>
              <w:jc w:val="right"/>
            </w:pPr>
            <w:r>
              <w:rPr>
                <w:rFonts w:ascii="宋体" w:hAnsi="宋体" w:cs="宋体" w:hint="eastAsia"/>
              </w:rPr>
              <w:t>774,611</w:t>
            </w:r>
          </w:p>
        </w:tc>
        <w:tc>
          <w:tcPr>
            <w:tcW w:w="1507" w:type="dxa"/>
            <w:vAlign w:val="center"/>
          </w:tcPr>
          <w:p>
            <w:pPr>
              <w:jc w:val="right"/>
              <w:rPr>
                <w:rFonts w:ascii="宋体" w:hAnsi="宋体"/>
              </w:rPr>
            </w:pPr>
            <w:r>
              <w:rPr>
                <w:rFonts w:ascii="宋体" w:hAnsi="宋体"/>
              </w:rPr>
              <w:t>8.04</w:t>
            </w:r>
          </w:p>
        </w:tc>
        <w:tc>
          <w:tcPr>
            <w:tcW w:w="1507" w:type="dxa"/>
            <w:vAlign w:val="center"/>
          </w:tcPr>
          <w:p>
            <w:pPr>
              <w:jc w:val="right"/>
            </w:pPr>
          </w:p>
        </w:tc>
      </w:tr>
      <w:tr>
        <w:trPr>
          <w:cantSplit/>
        </w:trPr>
        <w:tc>
          <w:tcPr>
            <w:tcW w:w="2689" w:type="dxa"/>
            <w:vAlign w:val="center"/>
          </w:tcPr>
          <w:p>
            <w:pPr>
              <w:ind w:right="105"/>
            </w:pPr>
            <w:r>
              <w:rPr>
                <w:rFonts w:ascii="宋体" w:hAnsi="宋体" w:cs="宋体" w:hint="eastAsia"/>
              </w:rPr>
              <w:t>瑞钢联集团有限公司</w:t>
            </w:r>
          </w:p>
        </w:tc>
        <w:tc>
          <w:tcPr>
            <w:tcW w:w="1275" w:type="dxa"/>
            <w:vAlign w:val="center"/>
          </w:tcPr>
          <w:p>
            <w:pPr>
              <w:ind w:right="73"/>
              <w:jc w:val="right"/>
            </w:pPr>
            <w:r>
              <w:rPr>
                <w:rFonts w:ascii="宋体" w:hAnsi="宋体" w:cs="宋体" w:hint="eastAsia"/>
              </w:rPr>
              <w:t>310,747</w:t>
            </w:r>
          </w:p>
        </w:tc>
        <w:tc>
          <w:tcPr>
            <w:tcW w:w="851" w:type="dxa"/>
            <w:vAlign w:val="center"/>
          </w:tcPr>
          <w:p>
            <w:pPr>
              <w:jc w:val="right"/>
            </w:pPr>
          </w:p>
        </w:tc>
        <w:tc>
          <w:tcPr>
            <w:tcW w:w="1213" w:type="dxa"/>
            <w:vAlign w:val="center"/>
          </w:tcPr>
          <w:p>
            <w:pPr>
              <w:jc w:val="right"/>
            </w:pPr>
            <w:r>
              <w:rPr>
                <w:rFonts w:ascii="宋体" w:hAnsi="宋体" w:cs="宋体" w:hint="eastAsia"/>
              </w:rPr>
              <w:t>310,747</w:t>
            </w:r>
          </w:p>
        </w:tc>
        <w:tc>
          <w:tcPr>
            <w:tcW w:w="1507" w:type="dxa"/>
            <w:vAlign w:val="center"/>
          </w:tcPr>
          <w:p>
            <w:pPr>
              <w:jc w:val="right"/>
              <w:rPr>
                <w:rFonts w:ascii="宋体" w:hAnsi="宋体"/>
              </w:rPr>
            </w:pPr>
            <w:r>
              <w:rPr>
                <w:rFonts w:ascii="宋体" w:hAnsi="宋体"/>
              </w:rPr>
              <w:t>3.23</w:t>
            </w:r>
          </w:p>
        </w:tc>
        <w:tc>
          <w:tcPr>
            <w:tcW w:w="1507" w:type="dxa"/>
            <w:vAlign w:val="center"/>
          </w:tcPr>
          <w:p>
            <w:pPr>
              <w:jc w:val="right"/>
            </w:pPr>
            <w:r>
              <w:rPr>
                <w:rFonts w:ascii="宋体" w:hAnsi="宋体" w:cs="宋体" w:hint="eastAsia"/>
              </w:rPr>
              <w:t>3,298</w:t>
            </w:r>
          </w:p>
        </w:tc>
      </w:tr>
      <w:tr>
        <w:trPr>
          <w:cantSplit/>
        </w:trPr>
        <w:tc>
          <w:tcPr>
            <w:tcW w:w="2689" w:type="dxa"/>
            <w:vAlign w:val="center"/>
          </w:tcPr>
          <w:p>
            <w:pPr>
              <w:ind w:right="105"/>
            </w:pPr>
            <w:r>
              <w:rPr>
                <w:rFonts w:ascii="宋体" w:hAnsi="宋体" w:cs="宋体" w:hint="eastAsia"/>
              </w:rPr>
              <w:t>山东鲁丽钢铁有限公司</w:t>
            </w:r>
          </w:p>
        </w:tc>
        <w:tc>
          <w:tcPr>
            <w:tcW w:w="1275" w:type="dxa"/>
            <w:vAlign w:val="center"/>
          </w:tcPr>
          <w:p>
            <w:pPr>
              <w:ind w:right="73"/>
              <w:jc w:val="right"/>
            </w:pPr>
            <w:r>
              <w:rPr>
                <w:rFonts w:ascii="宋体" w:hAnsi="宋体" w:cs="宋体" w:hint="eastAsia"/>
              </w:rPr>
              <w:t>264,035</w:t>
            </w:r>
          </w:p>
        </w:tc>
        <w:tc>
          <w:tcPr>
            <w:tcW w:w="851" w:type="dxa"/>
            <w:vAlign w:val="center"/>
          </w:tcPr>
          <w:p>
            <w:pPr>
              <w:jc w:val="right"/>
            </w:pPr>
          </w:p>
        </w:tc>
        <w:tc>
          <w:tcPr>
            <w:tcW w:w="1213" w:type="dxa"/>
            <w:vAlign w:val="center"/>
          </w:tcPr>
          <w:p>
            <w:pPr>
              <w:jc w:val="right"/>
            </w:pPr>
            <w:r>
              <w:rPr>
                <w:rFonts w:ascii="宋体" w:hAnsi="宋体" w:cs="宋体" w:hint="eastAsia"/>
              </w:rPr>
              <w:t>264,035</w:t>
            </w:r>
          </w:p>
        </w:tc>
        <w:tc>
          <w:tcPr>
            <w:tcW w:w="1507" w:type="dxa"/>
            <w:vAlign w:val="center"/>
          </w:tcPr>
          <w:p>
            <w:pPr>
              <w:jc w:val="right"/>
              <w:rPr>
                <w:rFonts w:ascii="宋体" w:hAnsi="宋体"/>
              </w:rPr>
            </w:pPr>
            <w:r>
              <w:rPr>
                <w:rFonts w:ascii="宋体" w:hAnsi="宋体"/>
              </w:rPr>
              <w:t>2.74</w:t>
            </w:r>
          </w:p>
        </w:tc>
        <w:tc>
          <w:tcPr>
            <w:tcW w:w="1507" w:type="dxa"/>
            <w:vAlign w:val="center"/>
          </w:tcPr>
          <w:p>
            <w:pPr>
              <w:jc w:val="right"/>
            </w:pPr>
            <w:r>
              <w:rPr>
                <w:rFonts w:ascii="宋体" w:hAnsi="宋体" w:cs="宋体" w:hint="eastAsia"/>
              </w:rPr>
              <w:t>30</w:t>
            </w:r>
          </w:p>
        </w:tc>
      </w:tr>
      <w:tr>
        <w:trPr>
          <w:cantSplit/>
        </w:trPr>
        <w:tc>
          <w:tcPr>
            <w:tcW w:w="2689" w:type="dxa"/>
            <w:vAlign w:val="center"/>
          </w:tcPr>
          <w:p>
            <w:pPr>
              <w:ind w:right="105"/>
            </w:pPr>
            <w:r>
              <w:rPr>
                <w:rFonts w:ascii="宋体" w:hAnsi="宋体" w:cs="宋体" w:hint="eastAsia"/>
              </w:rPr>
              <w:t>山东永通实业有限公司</w:t>
            </w:r>
          </w:p>
        </w:tc>
        <w:tc>
          <w:tcPr>
            <w:tcW w:w="1275" w:type="dxa"/>
            <w:vAlign w:val="center"/>
          </w:tcPr>
          <w:p>
            <w:pPr>
              <w:ind w:right="73"/>
              <w:jc w:val="right"/>
            </w:pPr>
            <w:r>
              <w:rPr>
                <w:rFonts w:ascii="宋体" w:hAnsi="宋体" w:cs="宋体" w:hint="eastAsia"/>
              </w:rPr>
              <w:t>252,666</w:t>
            </w:r>
          </w:p>
        </w:tc>
        <w:tc>
          <w:tcPr>
            <w:tcW w:w="851" w:type="dxa"/>
            <w:vAlign w:val="center"/>
          </w:tcPr>
          <w:p>
            <w:pPr>
              <w:jc w:val="right"/>
            </w:pPr>
          </w:p>
        </w:tc>
        <w:tc>
          <w:tcPr>
            <w:tcW w:w="1213" w:type="dxa"/>
            <w:vAlign w:val="center"/>
          </w:tcPr>
          <w:p>
            <w:pPr>
              <w:jc w:val="right"/>
            </w:pPr>
            <w:r>
              <w:rPr>
                <w:rFonts w:ascii="宋体" w:hAnsi="宋体" w:cs="宋体" w:hint="eastAsia"/>
              </w:rPr>
              <w:t>252,666</w:t>
            </w:r>
          </w:p>
        </w:tc>
        <w:tc>
          <w:tcPr>
            <w:tcW w:w="1507" w:type="dxa"/>
            <w:vAlign w:val="center"/>
          </w:tcPr>
          <w:p>
            <w:pPr>
              <w:jc w:val="right"/>
              <w:rPr>
                <w:rFonts w:ascii="宋体" w:hAnsi="宋体"/>
              </w:rPr>
            </w:pPr>
            <w:r>
              <w:rPr>
                <w:rFonts w:ascii="宋体" w:hAnsi="宋体"/>
              </w:rPr>
              <w:t>2.62</w:t>
            </w:r>
          </w:p>
        </w:tc>
        <w:tc>
          <w:tcPr>
            <w:tcW w:w="1507" w:type="dxa"/>
            <w:vAlign w:val="center"/>
          </w:tcPr>
          <w:p>
            <w:pPr>
              <w:jc w:val="right"/>
            </w:pPr>
          </w:p>
        </w:tc>
      </w:tr>
      <w:tr>
        <w:trPr>
          <w:cantSplit/>
        </w:trPr>
        <w:tc>
          <w:tcPr>
            <w:tcW w:w="2689" w:type="dxa"/>
            <w:vAlign w:val="center"/>
          </w:tcPr>
          <w:p>
            <w:pPr>
              <w:ind w:right="105"/>
            </w:pPr>
            <w:r>
              <w:rPr>
                <w:rFonts w:ascii="宋体" w:hAnsi="宋体" w:cs="宋体" w:hint="eastAsia"/>
              </w:rPr>
              <w:t>宝塔石化集团财务有限公司</w:t>
            </w:r>
          </w:p>
        </w:tc>
        <w:tc>
          <w:tcPr>
            <w:tcW w:w="1275" w:type="dxa"/>
            <w:vAlign w:val="center"/>
          </w:tcPr>
          <w:p>
            <w:pPr>
              <w:ind w:right="73"/>
              <w:jc w:val="right"/>
            </w:pPr>
            <w:r>
              <w:rPr>
                <w:rFonts w:ascii="宋体" w:hAnsi="宋体" w:cs="宋体" w:hint="eastAsia"/>
              </w:rPr>
              <w:t>235,410</w:t>
            </w:r>
          </w:p>
        </w:tc>
        <w:tc>
          <w:tcPr>
            <w:tcW w:w="851" w:type="dxa"/>
            <w:vAlign w:val="center"/>
          </w:tcPr>
          <w:p>
            <w:pPr>
              <w:jc w:val="right"/>
            </w:pPr>
          </w:p>
        </w:tc>
        <w:tc>
          <w:tcPr>
            <w:tcW w:w="1213" w:type="dxa"/>
            <w:vAlign w:val="center"/>
          </w:tcPr>
          <w:p>
            <w:pPr>
              <w:jc w:val="right"/>
            </w:pPr>
            <w:r>
              <w:rPr>
                <w:rFonts w:ascii="宋体" w:hAnsi="宋体" w:cs="宋体" w:hint="eastAsia"/>
              </w:rPr>
              <w:t>235,410</w:t>
            </w:r>
          </w:p>
        </w:tc>
        <w:tc>
          <w:tcPr>
            <w:tcW w:w="1507" w:type="dxa"/>
            <w:vAlign w:val="center"/>
          </w:tcPr>
          <w:p>
            <w:pPr>
              <w:jc w:val="right"/>
              <w:rPr>
                <w:rFonts w:ascii="宋体" w:hAnsi="宋体"/>
              </w:rPr>
            </w:pPr>
            <w:r>
              <w:rPr>
                <w:rFonts w:ascii="宋体" w:hAnsi="宋体"/>
              </w:rPr>
              <w:t>2.44</w:t>
            </w:r>
          </w:p>
        </w:tc>
        <w:tc>
          <w:tcPr>
            <w:tcW w:w="1507" w:type="dxa"/>
            <w:vAlign w:val="center"/>
          </w:tcPr>
          <w:p>
            <w:pPr>
              <w:jc w:val="right"/>
            </w:pPr>
            <w:r>
              <w:rPr>
                <w:rFonts w:ascii="宋体" w:hAnsi="宋体" w:cs="宋体" w:hint="eastAsia"/>
              </w:rPr>
              <w:t>235,410</w:t>
            </w:r>
          </w:p>
        </w:tc>
      </w:tr>
      <w:tr>
        <w:trPr>
          <w:cantSplit/>
        </w:trPr>
        <w:tc>
          <w:tcPr>
            <w:tcW w:w="2689" w:type="dxa"/>
            <w:vAlign w:val="center"/>
          </w:tcPr>
          <w:p>
            <w:pPr>
              <w:ind w:right="105"/>
              <w:jc w:val="center"/>
            </w:pPr>
            <w:r>
              <w:rPr>
                <w:rFonts w:hint="eastAsia"/>
              </w:rPr>
              <w:t>合计</w:t>
            </w:r>
          </w:p>
        </w:tc>
        <w:tc>
          <w:tcPr>
            <w:tcW w:w="1275" w:type="dxa"/>
            <w:vAlign w:val="center"/>
          </w:tcPr>
          <w:p>
            <w:pPr>
              <w:ind w:right="73"/>
              <w:jc w:val="right"/>
            </w:pPr>
            <w:r>
              <w:rPr>
                <w:rFonts w:ascii="宋体" w:hAnsi="宋体" w:cs="宋体" w:hint="eastAsia"/>
              </w:rPr>
              <w:t>1,837,469</w:t>
            </w:r>
          </w:p>
        </w:tc>
        <w:tc>
          <w:tcPr>
            <w:tcW w:w="851" w:type="dxa"/>
            <w:vAlign w:val="center"/>
          </w:tcPr>
          <w:p>
            <w:pPr>
              <w:jc w:val="right"/>
            </w:pPr>
          </w:p>
        </w:tc>
        <w:tc>
          <w:tcPr>
            <w:tcW w:w="1213" w:type="dxa"/>
            <w:vAlign w:val="center"/>
          </w:tcPr>
          <w:p>
            <w:pPr>
              <w:jc w:val="right"/>
            </w:pPr>
            <w:r>
              <w:rPr>
                <w:rFonts w:ascii="宋体" w:hAnsi="宋体" w:cs="宋体" w:hint="eastAsia"/>
              </w:rPr>
              <w:t>1,837,469</w:t>
            </w:r>
          </w:p>
        </w:tc>
        <w:tc>
          <w:tcPr>
            <w:tcW w:w="1507" w:type="dxa"/>
            <w:vAlign w:val="center"/>
          </w:tcPr>
          <w:p>
            <w:pPr>
              <w:jc w:val="right"/>
              <w:rPr>
                <w:rFonts w:ascii="宋体" w:hAnsi="宋体"/>
              </w:rPr>
            </w:pPr>
            <w:r>
              <w:rPr>
                <w:rFonts w:ascii="宋体" w:hAnsi="宋体"/>
              </w:rPr>
              <w:t>19.07</w:t>
            </w:r>
          </w:p>
        </w:tc>
        <w:tc>
          <w:tcPr>
            <w:tcW w:w="1507" w:type="dxa"/>
            <w:vAlign w:val="center"/>
          </w:tcPr>
          <w:p>
            <w:pPr>
              <w:jc w:val="right"/>
            </w:pPr>
            <w:r>
              <w:rPr>
                <w:rFonts w:ascii="宋体" w:hAnsi="宋体" w:cs="宋体" w:hint="eastAsia"/>
              </w:rPr>
              <w:t>238,738</w:t>
            </w:r>
          </w:p>
        </w:tc>
      </w:tr>
    </w:tbl>
    <w:p>
      <w:pPr>
        <w:pStyle w:val="Style217"/>
      </w:pPr>
    </w:p>
    <w:p>
      <w:pPr>
        <w:snapToGrid w:val="0"/>
        <w:spacing w:line="240" w:lineRule="atLeast"/>
      </w:pPr>
      <w:r>
        <w:rPr>
          <w:rFonts w:hint="eastAsia"/>
        </w:rPr>
        <w:t>其他说明：</w:t>
      </w:r>
    </w:p>
    <w:sdt>
      <w:sdtPr>
        <w:alias w:val="按欠款方归集的期末余额前五名的应收账款情况的说明"/>
        <w:tag w:val="_GBC_c00993263f034b6b95498635f166760d"/>
        <w:id w:val="111333919"/>
        <w:placeholder>
          <w:docPart w:val="GBC22222222222222222222222222222"/>
        </w:placeholder>
      </w:sdtPr>
      <w:sdtContent>
        <w:p>
          <w:pPr>
            <w:snapToGrid w:val="0"/>
            <w:spacing w:line="240" w:lineRule="atLeast"/>
          </w:pPr>
          <w:r>
            <w:rPr>
              <w:rFonts w:hint="eastAsia"/>
            </w:rPr>
            <w:t>-</w:t>
          </w:r>
        </w:p>
      </w:sdtContent>
    </w:sdt>
    <w:p>
      <w:pPr>
        <w:snapToGrid w:val="0"/>
        <w:spacing w:line="240" w:lineRule="atLeast"/>
      </w:pPr>
    </w:p>
    <w:p>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419898742"/>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8"/>
        <w:numPr>
          <w:ilvl w:val="0"/>
          <w:numId w:val="75"/>
        </w:numPr>
        <w:rPr>
          <w:szCs w:val="21"/>
        </w:rPr>
      </w:pPr>
      <w:bookmarkStart w:id="393" w:name="_Hlk533409560"/>
      <w:r>
        <w:rPr>
          <w:szCs w:val="21"/>
        </w:rPr>
        <w:t>合同资产</w:t>
      </w:r>
    </w:p>
    <w:p>
      <w:pPr>
        <w:pStyle w:val="Style179"/>
        <w:numPr>
          <w:ilvl w:val="3"/>
          <w:numId w:val="78"/>
        </w:numPr>
        <w:ind w:left="426" w:hanging="426"/>
      </w:pPr>
      <w:bookmarkStart w:id="394" w:name="_Hlk532992678"/>
      <w:r>
        <w:rPr>
          <w:rFonts w:hint="eastAsia"/>
        </w:rPr>
        <w:t>合同资产情况</w:t>
      </w:r>
    </w:p>
    <w:sdt>
      <w:sdtPr>
        <w:alias w:val="是否适用：合同资产情况[双击切换]"/>
        <w:tag w:val="_GBC_71da29cd2c0f4ec4a2849d6760e0ec90"/>
        <w:id w:val="-45356170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78"/>
        </w:numPr>
        <w:ind w:left="426" w:hanging="426"/>
      </w:pPr>
      <w:bookmarkStart w:id="395" w:name="_Hlk532993169"/>
      <w:bookmarkEnd w:id="393"/>
      <w:bookmarkEnd w:id="394"/>
      <w:r>
        <w:rPr>
          <w:rFonts w:hint="eastAsia"/>
        </w:rPr>
        <w:t>报告期内账面价值发生重大变动的金额和原因</w:t>
      </w:r>
    </w:p>
    <w:sdt>
      <w:sdtPr>
        <w:alias w:val="是否适用：合同资产账面价值发生重大变动[双击切换]"/>
        <w:tag w:val="_GBC_d707053a57f34cbab810279b617bfcc7"/>
        <w:id w:val="55181506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78"/>
        </w:numPr>
        <w:ind w:left="426" w:hanging="426"/>
      </w:pPr>
      <w:bookmarkStart w:id="396" w:name="_Hlk153378989"/>
      <w:r>
        <w:rPr>
          <w:rFonts w:hint="eastAsia"/>
        </w:rPr>
        <w:t>按坏账计提方法分类披露</w:t>
      </w:r>
    </w:p>
    <w:sdt>
      <w:sdtPr>
        <w:alias w:val="是否适用：按坏账计提方法分类披露[双击切换]"/>
        <w:tag w:val="_GBC_6dd4a97ab67f497ba65822d927d1d29e"/>
        <w:id w:val="-206309045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w:t>
      </w:r>
    </w:p>
    <w:sdt>
      <w:sdtPr>
        <w:alias w:val="是否适用：按单项计提坏账准备的详细情况[双击切换]"/>
        <w:tag w:val="_GBC_0ab170ec63fb435387c8b835e9d77a54"/>
        <w:id w:val="-190213129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按单项计提坏账准备的说明：</w:t>
      </w:r>
    </w:p>
    <w:sdt>
      <w:sdtPr>
        <w:alias w:val="是否适用：按单项计提坏账准备的说明[双击切换]"/>
        <w:tag w:val="_GBC_0aa7517d534e4bfeae4b430fe21b3412"/>
        <w:id w:val="137966231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Cs/>
          <w:szCs w:val="22"/>
        </w:rPr>
      </w:pPr>
      <w:r>
        <w:rPr>
          <w:rFonts w:ascii="Calibri" w:hAnsi="Calibri" w:hint="eastAsia"/>
          <w:bCs/>
          <w:szCs w:val="22"/>
        </w:rPr>
        <w:t>按组合计提坏账准备：</w:t>
      </w:r>
    </w:p>
    <w:sdt>
      <w:sdtPr>
        <w:rPr>
          <w:rFonts w:ascii="Calibri" w:hAnsi="Calibri"/>
        </w:rPr>
        <w:alias w:val="是否适用：按组合计提坏账准备的详细情况[双击切换]"/>
        <w:tag w:val="_GBC_dd62dad60e90472bb2ac73e80b2edb97"/>
        <w:id w:val="-135086888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
          <w:bCs/>
          <w:szCs w:val="22"/>
        </w:rPr>
      </w:pPr>
    </w:p>
    <w:p>
      <w:pPr>
        <w:rPr>
          <w:rFonts w:cstheme="minorBidi"/>
          <w:bCs/>
          <w:szCs w:val="22"/>
        </w:rPr>
      </w:pPr>
      <w:bookmarkStart w:id="397" w:name="_Hlk153379126"/>
      <w:bookmarkStart w:id="398" w:name="_Hlk154135145"/>
      <w:bookmarkEnd w:id="396"/>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419186624"/>
        <w:placeholder>
          <w:docPart w:val="GBC22222222222222222222222222222"/>
        </w:placeholder>
      </w:sdtPr>
      <w:sdtContent>
        <w:p>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pPr>
        <w:pStyle w:val="Style217"/>
      </w:pPr>
    </w:p>
    <w:p>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a54eb55cbb24473b8392e013b4be1c8a"/>
        <w:id w:val="-579829027"/>
        <w:placeholder>
          <w:docPart w:val="GBC22222222222222222222222222222"/>
        </w:placeholder>
      </w:sdtPr>
      <w:sdtContent>
        <w:p>
          <w:pPr>
            <w:rPr>
              <w:bCs/>
              <w:szCs w:val="22"/>
            </w:rPr>
          </w:pPr>
          <w:r>
            <w:rPr>
              <w:rFonts w:hint="eastAsia"/>
              <w:bCs/>
              <w:szCs w:val="22"/>
            </w:rPr>
            <w:t>-</w:t>
          </w:r>
        </w:p>
      </w:sdtContent>
    </w:sdt>
    <w:p>
      <w:pPr>
        <w:pStyle w:val="Style201"/>
        <w:rPr>
          <w:rFonts w:ascii="宋体" w:hAnsi="宋体" w:cs="宋体"/>
          <w:kern w:val="0"/>
          <w:szCs w:val="24"/>
        </w:rPr>
      </w:pPr>
    </w:p>
    <w:p>
      <w:pPr>
        <w:pStyle w:val="Style201"/>
      </w:pPr>
      <w:r>
        <w:rPr>
          <w:rFonts w:hint="eastAsia"/>
        </w:rPr>
        <w:t>对本期发生损失准备变动的合同资产账面余额显著变动的情况说明：</w:t>
      </w:r>
    </w:p>
    <w:sdt>
      <w:sdtPr>
        <w:alias w:val="是否适用：对本期发生损失准备变动的账面余额显著变动的情况说明[双击切换]"/>
        <w:tag w:val="_GBC_5d2109eaa8194f47bcc2f4bbd6c081ae"/>
        <w:id w:val="-1116438579"/>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asciiTheme="minorHAnsi" w:hAnsiTheme="minorHAnsi" w:cstheme="minorBidi"/>
          <w:b/>
          <w:bCs/>
          <w:szCs w:val="22"/>
        </w:rPr>
      </w:pPr>
    </w:p>
    <w:p>
      <w:pPr>
        <w:pStyle w:val="Style179"/>
        <w:numPr>
          <w:ilvl w:val="3"/>
          <w:numId w:val="78"/>
        </w:numPr>
        <w:ind w:left="426" w:hanging="426"/>
      </w:pPr>
      <w:bookmarkStart w:id="399" w:name="_Hlk533847869"/>
      <w:bookmarkEnd w:id="395"/>
      <w:bookmarkEnd w:id="397"/>
      <w:bookmarkEnd w:id="398"/>
      <w:r>
        <w:rPr>
          <w:rFonts w:hint="eastAsia"/>
        </w:rPr>
        <w:lastRenderedPageBreak/>
        <w:t>本期合同资产计提坏账准备情况</w:t>
      </w:r>
    </w:p>
    <w:sdt>
      <w:sdtPr>
        <w:alias w:val="是否适用：合同资产减值准备[双击切换]"/>
        <w:tag w:val="_GBC_7a32a2cf2788460d8c760b8ac21cef48"/>
        <w:id w:val="869887192"/>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autoSpaceDE w:val="0"/>
        <w:autoSpaceDN w:val="0"/>
        <w:adjustRightInd w:val="0"/>
        <w:ind w:rightChars="50" w:right="105"/>
      </w:pPr>
      <w:bookmarkStart w:id="400" w:name="_Hlk182483958"/>
    </w:p>
    <w:p>
      <w:pPr>
        <w:pStyle w:val="Style217"/>
      </w:pPr>
      <w:bookmarkStart w:id="401" w:name="_Hlk153379287"/>
      <w:bookmarkEnd w:id="400"/>
      <w:r>
        <w:rPr>
          <w:rFonts w:hint="eastAsia"/>
        </w:rPr>
        <w:t>其中本期坏账准备收回或转回金额重要的：</w:t>
      </w:r>
    </w:p>
    <w:sdt>
      <w:sdtPr>
        <w:alias w:val="是否适用：本期坏账准备收回或转回金额重要的[双击切换]"/>
        <w:tag w:val="_GBC_40c6e5cd3d9b48fa9d8ddf51159f73e3"/>
        <w:id w:val="-20872433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坏账准备情况的说明"/>
        <w:tag w:val="_GBC_eaa032ce9f4b4651bc1d170afdd0f594"/>
        <w:id w:val="-583597919"/>
        <w:placeholder>
          <w:docPart w:val="GBC22222222222222222222222222222"/>
        </w:placeholder>
      </w:sdtPr>
      <w:sdtContent>
        <w:p>
          <w:pPr>
            <w:ind w:rightChars="20" w:right="42"/>
          </w:pPr>
          <w:r>
            <w:rPr>
              <w:rFonts w:hint="eastAsia"/>
            </w:rPr>
            <w:t>-</w:t>
          </w:r>
        </w:p>
      </w:sdtContent>
    </w:sdt>
    <w:p>
      <w:pPr>
        <w:pStyle w:val="Style179"/>
        <w:numPr>
          <w:ilvl w:val="3"/>
          <w:numId w:val="78"/>
        </w:numPr>
        <w:ind w:left="426" w:hanging="426"/>
      </w:pPr>
      <w:bookmarkStart w:id="402" w:name="_Hlk153379426"/>
      <w:bookmarkEnd w:id="401"/>
      <w:r>
        <w:rPr>
          <w:rFonts w:hint="eastAsia"/>
        </w:rPr>
        <w:t>本期实际核销的合同资产情况</w:t>
      </w:r>
    </w:p>
    <w:sdt>
      <w:sdtPr>
        <w:alias w:val="是否适用：实际核销的情况[双击切换]"/>
        <w:tag w:val="_GBC_d2036f8632c6441bbae156d4fcc0a1bb"/>
        <w:id w:val="193308734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其中重要的合同资产核销情况</w:t>
      </w:r>
    </w:p>
    <w:sdt>
      <w:sdtPr>
        <w:rPr>
          <w:rFonts w:hint="eastAsia"/>
        </w:rPr>
        <w:alias w:val="是否适用：重要的核销情况[双击切换]"/>
        <w:tag w:val="_GBC_a32f8e56eb4941f98078bbae5f9968b0"/>
        <w:id w:val="-15653787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合同资产核销说明：</w:t>
      </w:r>
    </w:p>
    <w:sdt>
      <w:sdtPr>
        <w:alias w:val="是否适用：核销说明[双击切换]"/>
        <w:tag w:val="_GBC_837b8448d70d489b99f47e83a77e0bef"/>
        <w:id w:val="387852206"/>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bookmarkEnd w:id="399"/>
    <w:bookmarkEnd w:id="402"/>
    <w:p>
      <w:pPr>
        <w:pStyle w:val="Style217"/>
      </w:pPr>
      <w:r>
        <w:rPr>
          <w:rFonts w:hint="eastAsia"/>
        </w:rPr>
        <w:t>其他说明：</w:t>
      </w:r>
    </w:p>
    <w:sdt>
      <w:sdtPr>
        <w:alias w:val="是否适用：合同资产其他说明[双击切换]"/>
        <w:tag w:val="_GBC_92ce0006559b479d93e7dbde6e8efca4"/>
        <w:id w:val="-189225730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bookmarkStart w:id="403" w:name="_Hlk24102175"/>
      <w:r>
        <w:rPr>
          <w:szCs w:val="21"/>
        </w:rPr>
        <w:t>应收款项融资</w:t>
      </w:r>
    </w:p>
    <w:p>
      <w:pPr>
        <w:pStyle w:val="Style179"/>
        <w:numPr>
          <w:ilvl w:val="0"/>
          <w:numId w:val="79"/>
        </w:numPr>
      </w:pPr>
      <w:r>
        <w:rPr>
          <w:rFonts w:hint="eastAsia"/>
        </w:rPr>
        <w:t>应收款项融资分类列示</w:t>
      </w:r>
    </w:p>
    <w:sdt>
      <w:sdtPr>
        <w:alias w:val="是否适用：应收款项融资[双击切换]"/>
        <w:tag w:val="_GBC_e38b7d767cdd4e9f8dd5f7f6ea2330da"/>
        <w:id w:val="204362746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left="420" w:right="-98"/>
        <w:jc w:val="right"/>
      </w:pPr>
      <w:r>
        <w:rPr>
          <w:rFonts w:hint="eastAsia"/>
        </w:rPr>
        <w:t>单位：</w:t>
      </w:r>
      <w:sdt>
        <w:sdtPr>
          <w:rPr>
            <w:rFonts w:hint="eastAsia"/>
          </w:rPr>
          <w:alias w:val="单位：应收款项融资"/>
          <w:tag w:val="_GBC_718fb908b95f48ec84742dfac4338fd4"/>
          <w:id w:val="8075185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应收款项融资"/>
          <w:tag w:val="_GBC_e0c43db94ecc4e51b884c86496138ea2"/>
          <w:id w:val="-3030102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7"/>
        <w:gridCol w:w="2890"/>
        <w:gridCol w:w="2899"/>
      </w:tblGrid>
      <w:tr>
        <w:bookmarkStart w:id="404" w:name="_Hlk13057555" w:displacedByCustomXml="next"/>
        <w:bookmarkStart w:id="405" w:name="_Hlk12969247" w:displacedByCustomXml="next"/>
        <w:sdt>
          <w:sdtPr>
            <w:tag w:val="_PLD_03e528ffb61e4b53acdd40b3208f06a9"/>
            <w:id w:val="-797603031"/>
          </w:sdtPr>
          <w:sdtContent>
            <w:tc>
              <w:tcPr>
                <w:tcW w:w="3237" w:type="dxa"/>
                <w:vAlign w:val="center"/>
              </w:tcPr>
              <w:p>
                <w:pPr>
                  <w:jc w:val="center"/>
                </w:pPr>
                <w:r>
                  <w:rPr>
                    <w:rFonts w:hint="eastAsia"/>
                  </w:rPr>
                  <w:t>项目</w:t>
                </w:r>
              </w:p>
            </w:tc>
          </w:sdtContent>
        </w:sdt>
        <w:sdt>
          <w:sdtPr>
            <w:tag w:val="_PLD_8d81c1822e774f6081deb29ea5466dc8"/>
            <w:id w:val="-257688409"/>
          </w:sdtPr>
          <w:sdtContent>
            <w:tc>
              <w:tcPr>
                <w:tcW w:w="2890" w:type="dxa"/>
                <w:vAlign w:val="center"/>
              </w:tcPr>
              <w:p>
                <w:pPr>
                  <w:autoSpaceDE w:val="0"/>
                  <w:autoSpaceDN w:val="0"/>
                  <w:adjustRightInd w:val="0"/>
                  <w:snapToGrid w:val="0"/>
                  <w:spacing w:line="240" w:lineRule="atLeast"/>
                  <w:jc w:val="center"/>
                </w:pPr>
                <w:r>
                  <w:rPr>
                    <w:rFonts w:hint="eastAsia"/>
                  </w:rPr>
                  <w:t>期末余额</w:t>
                </w:r>
              </w:p>
            </w:tc>
          </w:sdtContent>
        </w:sdt>
        <w:sdt>
          <w:sdtPr>
            <w:tag w:val="_PLD_c1ad8d0386f942b4b74733e3287ad275"/>
            <w:id w:val="-284966865"/>
          </w:sdtPr>
          <w:sdtContent>
            <w:tc>
              <w:tcPr>
                <w:tcW w:w="2899" w:type="dxa"/>
                <w:vAlign w:val="center"/>
              </w:tcPr>
              <w:p>
                <w:pPr>
                  <w:autoSpaceDE w:val="0"/>
                  <w:autoSpaceDN w:val="0"/>
                  <w:adjustRightInd w:val="0"/>
                  <w:snapToGrid w:val="0"/>
                  <w:spacing w:line="240" w:lineRule="atLeast"/>
                  <w:jc w:val="center"/>
                </w:pPr>
                <w:r>
                  <w:rPr>
                    <w:rFonts w:hint="eastAsia"/>
                  </w:rPr>
                  <w:t>期初余额</w:t>
                </w:r>
              </w:p>
            </w:tc>
          </w:sdtContent>
        </w:sdt>
      </w:tr>
      <w:tr>
        <w:tc>
          <w:tcPr>
            <w:tcW w:w="3237" w:type="dxa"/>
            <w:vAlign w:val="center"/>
          </w:tcPr>
          <w:p>
            <w:pPr>
              <w:autoSpaceDE w:val="0"/>
              <w:autoSpaceDN w:val="0"/>
              <w:adjustRightInd w:val="0"/>
            </w:pPr>
            <w:r>
              <w:rPr>
                <w:rFonts w:ascii="宋体" w:hAnsi="宋体" w:cs="宋体" w:hint="eastAsia"/>
              </w:rPr>
              <w:t>银行承兑汇票</w:t>
            </w:r>
          </w:p>
        </w:tc>
        <w:tc>
          <w:tcPr>
            <w:tcW w:w="2890" w:type="dxa"/>
            <w:vAlign w:val="center"/>
          </w:tcPr>
          <w:p>
            <w:pPr>
              <w:jc w:val="right"/>
            </w:pPr>
            <w:r>
              <w:rPr>
                <w:rFonts w:ascii="宋体" w:hAnsi="宋体" w:cs="宋体" w:hint="eastAsia"/>
              </w:rPr>
              <w:t>1,764,903</w:t>
            </w:r>
          </w:p>
        </w:tc>
        <w:tc>
          <w:tcPr>
            <w:tcW w:w="2899" w:type="dxa"/>
            <w:vAlign w:val="center"/>
          </w:tcPr>
          <w:p>
            <w:pPr>
              <w:jc w:val="right"/>
            </w:pPr>
            <w:r>
              <w:rPr>
                <w:rFonts w:ascii="宋体" w:hAnsi="宋体" w:cs="宋体" w:hint="eastAsia"/>
              </w:rPr>
              <w:t>3,043,593</w:t>
            </w:r>
          </w:p>
        </w:tc>
      </w:tr>
      <w:tr>
        <w:tc>
          <w:tcPr>
            <w:tcW w:w="3237" w:type="dxa"/>
            <w:vAlign w:val="center"/>
          </w:tcPr>
          <w:p>
            <w:pPr>
              <w:jc w:val="center"/>
            </w:pPr>
            <w:r>
              <w:rPr>
                <w:rFonts w:hint="eastAsia"/>
              </w:rPr>
              <w:t>合计</w:t>
            </w:r>
          </w:p>
        </w:tc>
        <w:tc>
          <w:tcPr>
            <w:tcW w:w="2890" w:type="dxa"/>
            <w:vAlign w:val="center"/>
          </w:tcPr>
          <w:p>
            <w:pPr>
              <w:jc w:val="right"/>
            </w:pPr>
            <w:r>
              <w:rPr>
                <w:rFonts w:ascii="宋体" w:hAnsi="宋体" w:cs="宋体" w:hint="eastAsia"/>
              </w:rPr>
              <w:t>1,764,903</w:t>
            </w:r>
          </w:p>
        </w:tc>
        <w:tc>
          <w:tcPr>
            <w:tcW w:w="2899" w:type="dxa"/>
            <w:vAlign w:val="center"/>
          </w:tcPr>
          <w:p>
            <w:pPr>
              <w:jc w:val="right"/>
            </w:pPr>
            <w:r>
              <w:rPr>
                <w:rFonts w:ascii="宋体" w:hAnsi="宋体" w:cs="宋体" w:hint="eastAsia"/>
              </w:rPr>
              <w:t>3,043,593</w:t>
            </w:r>
          </w:p>
        </w:tc>
      </w:tr>
    </w:tbl>
    <w:p>
      <w:pPr>
        <w:pStyle w:val="Style217"/>
      </w:pPr>
    </w:p>
    <w:p>
      <w:pPr>
        <w:pStyle w:val="Style179"/>
        <w:numPr>
          <w:ilvl w:val="0"/>
          <w:numId w:val="79"/>
        </w:numPr>
      </w:pPr>
      <w:r>
        <w:rPr>
          <w:rFonts w:hint="eastAsia"/>
        </w:rPr>
        <w:t>期末公司已质押的应收款项融资</w:t>
      </w:r>
    </w:p>
    <w:sdt>
      <w:sdtPr>
        <w:alias w:val="是否适用：期末公司已质押的应收款项融资[双击切换]"/>
        <w:tag w:val="_GBC_31b898cd43844d68932063bb1e6347a8"/>
        <w:id w:val="109644423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期末公司已质押的应收款项融资"/>
          <w:tag w:val="_GBC_9e6b3fd4af074660a7fbfec2b5551544"/>
          <w:id w:val="172040307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期末公司已质押的应收款项融资"/>
          <w:tag w:val="_GBC_89090210038149448272d1e532edc47b"/>
          <w:id w:val="-5418987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8"/>
        <w:gridCol w:w="4660"/>
      </w:tblGrid>
      <w:tr>
        <w:sdt>
          <w:sdtPr>
            <w:tag w:val="_PLD_56e5861318574eb9b63389d46eca70c6"/>
            <w:id w:val="1786075988"/>
          </w:sdtPr>
          <w:sdtContent>
            <w:tc>
              <w:tcPr>
                <w:tcW w:w="4388"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center"/>
                </w:pPr>
                <w:r>
                  <w:rPr>
                    <w:rFonts w:hint="eastAsia"/>
                  </w:rPr>
                  <w:t>项目</w:t>
                </w:r>
              </w:p>
            </w:tc>
          </w:sdtContent>
        </w:sdt>
        <w:sdt>
          <w:sdtPr>
            <w:tag w:val="_PLD_904d0f9cc8304fb883685e2968d4b686"/>
            <w:id w:val="-176418727"/>
          </w:sdtPr>
          <w:sdtContent>
            <w:tc>
              <w:tcPr>
                <w:tcW w:w="4660"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center"/>
                </w:pPr>
                <w:r>
                  <w:rPr>
                    <w:rFonts w:hint="eastAsia"/>
                  </w:rPr>
                  <w:t>期末已质押金额</w:t>
                </w:r>
              </w:p>
            </w:tc>
          </w:sdtContent>
        </w:sdt>
      </w:tr>
      <w:tr>
        <w:tc>
          <w:tcPr>
            <w:tcW w:w="4388"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pPr>
            <w:r>
              <w:rPr>
                <w:rFonts w:ascii="宋体" w:hAnsi="宋体" w:hint="eastAsia"/>
              </w:rPr>
              <w:t>银行承兑汇票</w:t>
            </w:r>
          </w:p>
        </w:tc>
        <w:tc>
          <w:tcPr>
            <w:tcW w:w="4660"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pPr>
            <w:r>
              <w:rPr>
                <w:rFonts w:ascii="宋体" w:hAnsi="宋体"/>
              </w:rPr>
              <w:t>901,747</w:t>
            </w:r>
          </w:p>
        </w:tc>
      </w:tr>
      <w:tr>
        <w:tc>
          <w:tcPr>
            <w:tcW w:w="438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合计</w:t>
            </w:r>
          </w:p>
        </w:tc>
        <w:tc>
          <w:tcPr>
            <w:tcW w:w="4660"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rPr>
            </w:pPr>
            <w:r>
              <w:rPr>
                <w:rFonts w:ascii="宋体" w:hAnsi="宋体"/>
              </w:rPr>
              <w:t>901,747</w:t>
            </w:r>
          </w:p>
        </w:tc>
      </w:tr>
    </w:tbl>
    <w:p>
      <w:pPr>
        <w:pStyle w:val="Style217"/>
      </w:pPr>
    </w:p>
    <w:p>
      <w:pPr>
        <w:pStyle w:val="Style179"/>
        <w:numPr>
          <w:ilvl w:val="0"/>
          <w:numId w:val="79"/>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62572839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期末公司已背书或贴现且在资产负债表日尚未到期的应收款项融资"/>
          <w:tag w:val="_GBC_93228107c43a481da9506f790cd8af92"/>
          <w:id w:val="-49958891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期末公司已背书或贴现且在资产负债表日尚未到期的应收款项融资"/>
          <w:tag w:val="_GBC_321f16b9d20241dd9a8da269a46b1e36"/>
          <w:id w:val="229818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sdt>
          <w:sdtPr>
            <w:tag w:val="_PLD_33b7f0ccb35e48099a6f7696604b4e21"/>
            <w:id w:val="-183208133"/>
          </w:sdtPr>
          <w:sdtContent>
            <w:tc>
              <w:tcPr>
                <w:tcW w:w="2877" w:type="dxa"/>
                <w:vAlign w:val="center"/>
              </w:tcPr>
              <w:p>
                <w:pPr>
                  <w:jc w:val="center"/>
                </w:pPr>
                <w:r>
                  <w:rPr>
                    <w:rFonts w:hint="eastAsia"/>
                  </w:rPr>
                  <w:t>项目</w:t>
                </w:r>
              </w:p>
            </w:tc>
          </w:sdtContent>
        </w:sdt>
        <w:sdt>
          <w:sdtPr>
            <w:tag w:val="_PLD_149743054c254feca84017182a25be7d"/>
            <w:id w:val="1524441890"/>
          </w:sdtPr>
          <w:sdtContent>
            <w:tc>
              <w:tcPr>
                <w:tcW w:w="3050" w:type="dxa"/>
                <w:vAlign w:val="center"/>
              </w:tcPr>
              <w:p>
                <w:pPr>
                  <w:jc w:val="center"/>
                </w:pPr>
                <w:r>
                  <w:rPr>
                    <w:rFonts w:hint="eastAsia"/>
                  </w:rPr>
                  <w:t>期末终止确认金额</w:t>
                </w:r>
              </w:p>
            </w:tc>
          </w:sdtContent>
        </w:sdt>
        <w:sdt>
          <w:sdtPr>
            <w:tag w:val="_PLD_9f59617eec3d4ee4b21512d75b778f97"/>
            <w:id w:val="775211983"/>
          </w:sdtPr>
          <w:sdtContent>
            <w:tc>
              <w:tcPr>
                <w:tcW w:w="3122" w:type="dxa"/>
                <w:vAlign w:val="center"/>
              </w:tcPr>
              <w:p>
                <w:pPr>
                  <w:jc w:val="center"/>
                </w:pPr>
                <w:r>
                  <w:rPr>
                    <w:rFonts w:hint="eastAsia"/>
                  </w:rPr>
                  <w:t>期末未终止确认金额</w:t>
                </w:r>
              </w:p>
            </w:tc>
          </w:sdtContent>
        </w:sdt>
      </w:tr>
      <w:tr>
        <w:tc>
          <w:tcPr>
            <w:tcW w:w="2877" w:type="dxa"/>
            <w:vAlign w:val="center"/>
          </w:tcPr>
          <w:p>
            <w:pPr>
              <w:pStyle w:val="Style217"/>
            </w:pPr>
            <w:r>
              <w:rPr>
                <w:rFonts w:hint="eastAsia"/>
              </w:rPr>
              <w:t>银行承兑汇票</w:t>
            </w:r>
          </w:p>
        </w:tc>
        <w:tc>
          <w:tcPr>
            <w:tcW w:w="3050" w:type="dxa"/>
            <w:vAlign w:val="center"/>
          </w:tcPr>
          <w:p>
            <w:pPr>
              <w:jc w:val="right"/>
            </w:pPr>
            <w:r>
              <w:rPr>
                <w:rFonts w:ascii="宋体" w:hAnsi="宋体" w:hint="eastAsia"/>
              </w:rPr>
              <w:t>1,092,286</w:t>
            </w:r>
          </w:p>
        </w:tc>
        <w:tc>
          <w:tcPr>
            <w:tcW w:w="3122" w:type="dxa"/>
            <w:vAlign w:val="center"/>
          </w:tcPr>
          <w:p>
            <w:pPr>
              <w:jc w:val="right"/>
            </w:pPr>
          </w:p>
        </w:tc>
      </w:tr>
      <w:tr>
        <w:tc>
          <w:tcPr>
            <w:tcW w:w="2877" w:type="dxa"/>
            <w:vAlign w:val="center"/>
          </w:tcPr>
          <w:p>
            <w:pPr>
              <w:jc w:val="center"/>
            </w:pPr>
            <w:r>
              <w:rPr>
                <w:rFonts w:hint="eastAsia"/>
              </w:rPr>
              <w:t>合计</w:t>
            </w:r>
          </w:p>
        </w:tc>
        <w:tc>
          <w:tcPr>
            <w:tcW w:w="3050" w:type="dxa"/>
            <w:vAlign w:val="center"/>
          </w:tcPr>
          <w:p>
            <w:pPr>
              <w:jc w:val="right"/>
            </w:pPr>
            <w:r>
              <w:rPr>
                <w:rFonts w:ascii="宋体" w:hAnsi="宋体" w:hint="eastAsia"/>
              </w:rPr>
              <w:t>1,092,286</w:t>
            </w:r>
          </w:p>
        </w:tc>
        <w:tc>
          <w:tcPr>
            <w:tcW w:w="3122" w:type="dxa"/>
            <w:vAlign w:val="center"/>
          </w:tcPr>
          <w:p>
            <w:pPr>
              <w:jc w:val="right"/>
            </w:pPr>
          </w:p>
        </w:tc>
      </w:tr>
    </w:tbl>
    <w:p>
      <w:pPr>
        <w:pStyle w:val="Style217"/>
      </w:pPr>
    </w:p>
    <w:p>
      <w:pPr>
        <w:pStyle w:val="Style179"/>
        <w:numPr>
          <w:ilvl w:val="0"/>
          <w:numId w:val="79"/>
        </w:numPr>
      </w:pPr>
      <w:r>
        <w:rPr>
          <w:rFonts w:hint="eastAsia"/>
        </w:rPr>
        <w:t>按坏账计提方法分类披露</w:t>
      </w:r>
    </w:p>
    <w:sdt>
      <w:sdtPr>
        <w:alias w:val="是否适用：按坏账计提方法分类披露[双击切换]"/>
        <w:tag w:val="_GBC_bb62f97adc6849f2b3d956a701e7fa7d"/>
        <w:id w:val="100224683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w:t>
      </w:r>
    </w:p>
    <w:sdt>
      <w:sdtPr>
        <w:alias w:val="是否适用：按单项计提坏账准备的详细情况[双击切换]"/>
        <w:tag w:val="_GBC_65f67a26c8854813ab351f644b5cb549"/>
        <w:id w:val="51604464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按单项计提坏账准备的说明：</w:t>
      </w:r>
    </w:p>
    <w:sdt>
      <w:sdtPr>
        <w:alias w:val="是否适用：按单项计提坏账准备的说明[双击切换]"/>
        <w:tag w:val="_GBC_d2e6ec1c09f24f3f8d01b46d2d307db0"/>
        <w:id w:val="-152069900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Cs/>
          <w:szCs w:val="22"/>
        </w:rPr>
      </w:pPr>
      <w:r>
        <w:rPr>
          <w:rFonts w:ascii="Calibri" w:hAnsi="Calibri" w:hint="eastAsia"/>
          <w:bCs/>
          <w:szCs w:val="22"/>
        </w:rPr>
        <w:t>按组合计提坏账准备：</w:t>
      </w:r>
    </w:p>
    <w:sdt>
      <w:sdtPr>
        <w:rPr>
          <w:rFonts w:ascii="Calibri" w:hAnsi="Calibri"/>
        </w:rPr>
        <w:alias w:val="是否适用：按组合计提坏账准备的详细情况[双击切换]"/>
        <w:tag w:val="_GBC_8f072c0ad15941d789bf25455711e72b"/>
        <w:id w:val="-119800305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Calibri" w:hAnsi="Calibri"/>
          <w:b/>
          <w:bCs/>
          <w:szCs w:val="22"/>
        </w:rPr>
      </w:pPr>
    </w:p>
    <w:p>
      <w:pPr>
        <w:rPr>
          <w:rFonts w:cstheme="minorBidi"/>
          <w:bCs/>
          <w:szCs w:val="22"/>
        </w:rPr>
      </w:pPr>
      <w:bookmarkStart w:id="406" w:name="_Hlk154134692"/>
      <w:bookmarkStart w:id="407" w:name="_Hlk15337271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2032104982"/>
        <w:placeholder>
          <w:docPart w:val="GBC22222222222222222222222222222"/>
        </w:placeholder>
      </w:sdtPr>
      <w:sdtContent>
        <w:p>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pPr>
        <w:pStyle w:val="Style217"/>
      </w:pPr>
    </w:p>
    <w:p>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2bf6f4d4451c46a9a45370b7317253a2"/>
        <w:id w:val="775907282"/>
        <w:placeholder>
          <w:docPart w:val="GBC22222222222222222222222222222"/>
        </w:placeholder>
      </w:sdtPr>
      <w:sdtContent>
        <w:p>
          <w:pPr>
            <w:rPr>
              <w:bCs/>
              <w:szCs w:val="22"/>
            </w:rPr>
          </w:pPr>
          <w:r>
            <w:rPr>
              <w:rFonts w:hint="eastAsia"/>
              <w:bCs/>
              <w:szCs w:val="22"/>
            </w:rPr>
            <w:t>-</w:t>
          </w:r>
        </w:p>
      </w:sdtContent>
    </w:sdt>
    <w:p>
      <w:pPr>
        <w:rPr>
          <w:rFonts w:asciiTheme="minorHAnsi" w:hAnsiTheme="minorHAnsi" w:cstheme="minorBidi"/>
          <w:b/>
          <w:bCs/>
          <w:szCs w:val="22"/>
        </w:rPr>
      </w:pPr>
    </w:p>
    <w:p>
      <w:pPr>
        <w:pStyle w:val="Style201"/>
      </w:pPr>
      <w:r>
        <w:rPr>
          <w:rFonts w:hint="eastAsia"/>
        </w:rPr>
        <w:t>对本期发生损失准备变动的应收款项融资账面余额显著变动的情况说明：</w:t>
      </w:r>
    </w:p>
    <w:sdt>
      <w:sdtPr>
        <w:alias w:val="是否适用：对本期发生损失准备变动的账面余额显著变动的情况说明[双击切换]"/>
        <w:tag w:val="_GBC_14de6d8177254b0abb86a102aa2886f9"/>
        <w:id w:val="757638814"/>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asciiTheme="minorHAnsi" w:hAnsiTheme="minorHAnsi" w:cstheme="minorBidi"/>
          <w:b/>
          <w:bCs/>
          <w:szCs w:val="22"/>
        </w:rPr>
      </w:pPr>
    </w:p>
    <w:bookmarkEnd w:id="406"/>
    <w:bookmarkEnd w:id="407"/>
    <w:p>
      <w:pPr>
        <w:pStyle w:val="Style179"/>
        <w:numPr>
          <w:ilvl w:val="0"/>
          <w:numId w:val="79"/>
        </w:numPr>
      </w:pPr>
      <w:r>
        <w:rPr>
          <w:rFonts w:hint="eastAsia"/>
        </w:rPr>
        <w:t>坏账准备的情况</w:t>
      </w:r>
    </w:p>
    <w:sdt>
      <w:sdtPr>
        <w:alias w:val="是否适用：坏账准备情况[双击切换]"/>
        <w:tag w:val="_GBC_9eb14f08b86f4a7096cd60413baf3092"/>
        <w:id w:val="167698855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其中本期坏账准备收回或转回金额重要的：</w:t>
      </w:r>
    </w:p>
    <w:sdt>
      <w:sdtPr>
        <w:alias w:val="是否适用：本期坏账准备收回或转回金额重要的[双击切换]"/>
        <w:tag w:val="_GBC_2b51db20288a43b39962432da30280fe"/>
        <w:id w:val="45367661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坏账准备情况的说明"/>
        <w:tag w:val="_GBC_e8b4225586244ec9b8d5ae0de000f4e4"/>
        <w:id w:val="750628821"/>
        <w:placeholder>
          <w:docPart w:val="GBC22222222222222222222222222222"/>
        </w:placeholder>
      </w:sdtPr>
      <w:sdtContent>
        <w:p>
          <w:pPr>
            <w:ind w:rightChars="20" w:right="42"/>
          </w:pPr>
          <w:r>
            <w:rPr>
              <w:rFonts w:hint="eastAsia"/>
            </w:rPr>
            <w:t>-</w:t>
          </w:r>
        </w:p>
      </w:sdtContent>
    </w:sdt>
    <w:p>
      <w:pPr>
        <w:ind w:rightChars="-759" w:right="-1594"/>
      </w:pPr>
    </w:p>
    <w:p>
      <w:pPr>
        <w:pStyle w:val="Style179"/>
        <w:numPr>
          <w:ilvl w:val="0"/>
          <w:numId w:val="79"/>
        </w:numPr>
      </w:pPr>
      <w:r>
        <w:rPr>
          <w:rFonts w:hint="eastAsia"/>
        </w:rPr>
        <w:t>本期实际核销的应收款项融资情况</w:t>
      </w:r>
    </w:p>
    <w:sdt>
      <w:sdtPr>
        <w:alias w:val="是否适用：实际核销的情况[双击切换]"/>
        <w:tag w:val="_GBC_4075b47847034ec5b4b4aeeb85217687"/>
        <w:id w:val="-61036179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其中重要的应收款项融资核销情况</w:t>
      </w:r>
    </w:p>
    <w:sdt>
      <w:sdtPr>
        <w:rPr>
          <w:rFonts w:hint="eastAsia"/>
        </w:rPr>
        <w:alias w:val="是否适用：重要的核销情况[双击切换]"/>
        <w:tag w:val="_GBC_a1c05dd99dc343f883b67997da317840"/>
        <w:id w:val="102906943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核销说明：</w:t>
      </w:r>
    </w:p>
    <w:sdt>
      <w:sdtPr>
        <w:alias w:val="是否适用：核销说明[双击切换]"/>
        <w:tag w:val="_GBC_960239b4d8f94352ba13280d190272c1"/>
        <w:id w:val="-589389573"/>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9"/>
        <w:numPr>
          <w:ilvl w:val="0"/>
          <w:numId w:val="79"/>
        </w:numPr>
      </w:pPr>
      <w:r>
        <w:rPr>
          <w:rFonts w:hint="eastAsia"/>
        </w:rPr>
        <w:t>应收款项融资本期增减变动及公允价值变动情况：</w:t>
      </w:r>
    </w:p>
    <w:sdt>
      <w:sdtPr>
        <w:rPr>
          <w:rFonts w:hint="eastAsia"/>
        </w:rPr>
        <w:alias w:val="是否适用：应收款项融资本期增减变动及公允价值变动情况[双击切换]"/>
        <w:tag w:val="_GBC_1265a117176c43939de7d6d1e043f692"/>
        <w:id w:val="63405866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403"/>
    <w:bookmarkEnd w:id="405"/>
    <w:bookmarkEnd w:id="404"/>
    <w:p>
      <w:pPr>
        <w:pStyle w:val="Style179"/>
        <w:numPr>
          <w:ilvl w:val="0"/>
          <w:numId w:val="79"/>
        </w:numPr>
      </w:pPr>
      <w:r>
        <w:rPr>
          <w:rFonts w:hint="eastAsia"/>
        </w:rPr>
        <w:t>其他说明</w:t>
      </w:r>
    </w:p>
    <w:bookmarkStart w:id="408" w:name="_Hlk13057390" w:displacedByCustomXml="next"/>
    <w:sdt>
      <w:sdtPr>
        <w:rPr>
          <w:rFonts w:hint="eastAsia"/>
        </w:rPr>
        <w:alias w:val="是否适用：应收款项融资其他说明[双击切换]"/>
        <w:tag w:val="_GBC_19d5ef5dfbe64f2d98d9ab83a2e48c14"/>
        <w:id w:val="136123890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08"/>
    <w:p>
      <w:pPr>
        <w:pStyle w:val="Style217"/>
      </w:pPr>
    </w:p>
    <w:p>
      <w:pPr>
        <w:pStyle w:val="Style178"/>
        <w:numPr>
          <w:ilvl w:val="0"/>
          <w:numId w:val="75"/>
        </w:numPr>
        <w:rPr>
          <w:szCs w:val="21"/>
        </w:rPr>
      </w:pPr>
      <w:r>
        <w:rPr>
          <w:szCs w:val="21"/>
        </w:rPr>
        <w:t>预付款项</w:t>
      </w:r>
    </w:p>
    <w:p>
      <w:pPr>
        <w:pStyle w:val="Style179"/>
        <w:numPr>
          <w:ilvl w:val="3"/>
          <w:numId w:val="80"/>
        </w:numPr>
        <w:ind w:left="426" w:hanging="426"/>
      </w:pPr>
      <w:r>
        <w:rPr>
          <w:rFonts w:hint="eastAsia"/>
        </w:rPr>
        <w:t>预付款项按账龄列示</w:t>
      </w:r>
    </w:p>
    <w:sdt>
      <w:sdtPr>
        <w:rPr>
          <w:rFonts w:hint="eastAsia"/>
        </w:rPr>
        <w:alias w:val="是否适用：预付款项按账龄列示[双击切换]"/>
        <w:tag w:val="_GBC_9c50af2eedb44a33921bab4a9f5ef35c"/>
        <w:id w:val="-126090471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财务附注：预付账款账龄"/>
          <w:tag w:val="_GBC_25e874c523c14d528beabbdb96c27981"/>
          <w:id w:val="-12395529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预付账款账龄"/>
          <w:tag w:val="_GBC_5fd49f072b7e406886d7d66537c647e5"/>
          <w:id w:val="-12540460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386"/>
        <w:gridCol w:w="1925"/>
        <w:gridCol w:w="1912"/>
        <w:gridCol w:w="1909"/>
        <w:gridCol w:w="1926"/>
      </w:tblGrid>
      <w:tr>
        <w:trPr>
          <w:cantSplit/>
          <w:trHeight w:val="237"/>
        </w:trPr>
        <w:sdt>
          <w:sdtPr>
            <w:rPr>
              <w:rFonts w:asciiTheme="minorEastAsia" w:eastAsiaTheme="minorEastAsia" w:hAnsiTheme="minorEastAsia"/>
            </w:rPr>
            <w:tag w:val="_PLD_497c76328aa14442bd9ed8d02efaffdc"/>
            <w:id w:val="1471635287"/>
          </w:sdtPr>
          <w:sdtContent>
            <w:tc>
              <w:tcPr>
                <w:tcW w:w="1386" w:type="dxa"/>
                <w:vMerge w:val="restart"/>
                <w:vAlign w:val="center"/>
              </w:tcPr>
              <w:p>
                <w:pPr>
                  <w:ind w:right="5"/>
                  <w:jc w:val="center"/>
                  <w:rPr>
                    <w:rFonts w:asciiTheme="minorEastAsia" w:eastAsiaTheme="minorEastAsia" w:hAnsiTheme="minorEastAsia"/>
                  </w:rPr>
                </w:pPr>
                <w:r>
                  <w:rPr>
                    <w:rFonts w:asciiTheme="minorEastAsia" w:eastAsiaTheme="minorEastAsia" w:hAnsiTheme="minorEastAsia" w:hint="eastAsia"/>
                  </w:rPr>
                  <w:t>账龄</w:t>
                </w:r>
              </w:p>
            </w:tc>
          </w:sdtContent>
        </w:sdt>
        <w:sdt>
          <w:sdtPr>
            <w:rPr>
              <w:rFonts w:asciiTheme="minorEastAsia" w:eastAsiaTheme="minorEastAsia" w:hAnsiTheme="minorEastAsia"/>
            </w:rPr>
            <w:tag w:val="_PLD_3c7cef9fd55549768916decb59114918"/>
            <w:id w:val="-276944251"/>
          </w:sdtPr>
          <w:sdtContent>
            <w:tc>
              <w:tcPr>
                <w:tcW w:w="3837" w:type="dxa"/>
                <w:gridSpan w:val="2"/>
                <w:vAlign w:val="center"/>
              </w:tcPr>
              <w:p>
                <w:pPr>
                  <w:ind w:right="5"/>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eastAsiaTheme="minorEastAsia" w:hAnsiTheme="minorEastAsia"/>
            </w:rPr>
            <w:tag w:val="_PLD_3338d9aea932468fa8faa1bef2db4526"/>
            <w:id w:val="2089024087"/>
          </w:sdtPr>
          <w:sdtContent>
            <w:tc>
              <w:tcPr>
                <w:tcW w:w="3835" w:type="dxa"/>
                <w:gridSpan w:val="2"/>
                <w:vAlign w:val="center"/>
              </w:tcPr>
              <w:p>
                <w:pPr>
                  <w:ind w:right="5"/>
                  <w:jc w:val="center"/>
                  <w:rPr>
                    <w:rFonts w:asciiTheme="minorEastAsia" w:eastAsiaTheme="minorEastAsia" w:hAnsiTheme="minorEastAsia"/>
                  </w:rPr>
                </w:pPr>
                <w:r>
                  <w:rPr>
                    <w:rFonts w:asciiTheme="minorEastAsia" w:eastAsiaTheme="minorEastAsia" w:hAnsiTheme="minorEastAsia" w:hint="eastAsia"/>
                  </w:rPr>
                  <w:t>期初余额</w:t>
                </w:r>
              </w:p>
            </w:tc>
          </w:sdtContent>
        </w:sdt>
      </w:tr>
      <w:tr>
        <w:trPr>
          <w:cantSplit/>
        </w:trPr>
        <w:tc>
          <w:tcPr>
            <w:tcW w:w="1386" w:type="dxa"/>
            <w:vMerge/>
            <w:vAlign w:val="center"/>
          </w:tcPr>
          <w:p>
            <w:pPr>
              <w:rPr>
                <w:rFonts w:asciiTheme="minorEastAsia" w:eastAsiaTheme="minorEastAsia" w:hAnsiTheme="minorEastAsia"/>
              </w:rPr>
            </w:pPr>
          </w:p>
        </w:tc>
        <w:sdt>
          <w:sdtPr>
            <w:rPr>
              <w:rFonts w:asciiTheme="minorEastAsia" w:eastAsiaTheme="minorEastAsia" w:hAnsiTheme="minorEastAsia"/>
            </w:rPr>
            <w:tag w:val="_PLD_2b1b05d61c574fe485d979f04a81c8c9"/>
            <w:id w:val="1569461876"/>
          </w:sdtPr>
          <w:sdtContent>
            <w:tc>
              <w:tcPr>
                <w:tcW w:w="1925" w:type="dxa"/>
                <w:vAlign w:val="center"/>
              </w:tcPr>
              <w:p>
                <w:pPr>
                  <w:ind w:right="5"/>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7faf25028eff45ce8c6bf33a9060f296"/>
            <w:id w:val="-1616436735"/>
          </w:sdtPr>
          <w:sdtContent>
            <w:tc>
              <w:tcPr>
                <w:tcW w:w="1912" w:type="dxa"/>
                <w:vAlign w:val="center"/>
              </w:tcPr>
              <w:p>
                <w:pPr>
                  <w:ind w:right="5"/>
                  <w:jc w:val="center"/>
                  <w:rPr>
                    <w:rFonts w:asciiTheme="minorEastAsia" w:eastAsiaTheme="minorEastAsia" w:hAnsiTheme="minorEastAsia"/>
                  </w:rPr>
                </w:pPr>
                <w:r>
                  <w:rPr>
                    <w:rFonts w:asciiTheme="minorEastAsia" w:eastAsiaTheme="minorEastAsia" w:hAnsiTheme="minorEastAsia" w:hint="eastAsia"/>
                  </w:rPr>
                  <w:t>比例</w:t>
                </w:r>
                <w:r>
                  <w:rPr>
                    <w:rFonts w:asciiTheme="minorEastAsia" w:eastAsiaTheme="minorEastAsia" w:hAnsiTheme="minorEastAsia"/>
                  </w:rPr>
                  <w:t>(%)</w:t>
                </w:r>
              </w:p>
            </w:tc>
          </w:sdtContent>
        </w:sdt>
        <w:sdt>
          <w:sdtPr>
            <w:rPr>
              <w:rFonts w:asciiTheme="minorEastAsia" w:eastAsiaTheme="minorEastAsia" w:hAnsiTheme="minorEastAsia"/>
            </w:rPr>
            <w:tag w:val="_PLD_56219e7f20ba4e60b1a3edd32c1c534e"/>
            <w:id w:val="-903754755"/>
          </w:sdtPr>
          <w:sdtContent>
            <w:tc>
              <w:tcPr>
                <w:tcW w:w="1909" w:type="dxa"/>
                <w:vAlign w:val="center"/>
              </w:tcPr>
              <w:p>
                <w:pPr>
                  <w:ind w:right="5"/>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430fca228ced43ada83018b2091f7abf"/>
            <w:id w:val="-6210699"/>
          </w:sdtPr>
          <w:sdtContent>
            <w:tc>
              <w:tcPr>
                <w:tcW w:w="1926" w:type="dxa"/>
                <w:vAlign w:val="center"/>
              </w:tcPr>
              <w:p>
                <w:pPr>
                  <w:ind w:right="5"/>
                  <w:jc w:val="center"/>
                  <w:rPr>
                    <w:rFonts w:asciiTheme="minorEastAsia" w:eastAsiaTheme="minorEastAsia" w:hAnsiTheme="minorEastAsia"/>
                  </w:rPr>
                </w:pPr>
                <w:r>
                  <w:rPr>
                    <w:rFonts w:asciiTheme="minorEastAsia" w:eastAsiaTheme="minorEastAsia" w:hAnsiTheme="minorEastAsia" w:hint="eastAsia"/>
                  </w:rPr>
                  <w:t>比例</w:t>
                </w:r>
                <w:r>
                  <w:rPr>
                    <w:rFonts w:asciiTheme="minorEastAsia" w:eastAsiaTheme="minorEastAsia" w:hAnsiTheme="minorEastAsia"/>
                  </w:rPr>
                  <w:t>(%)</w:t>
                </w:r>
              </w:p>
            </w:tc>
          </w:sdtContent>
        </w:sdt>
      </w:tr>
      <w:tr>
        <w:trPr>
          <w:cantSplit/>
          <w:trHeight w:val="99"/>
        </w:trPr>
        <w:tc>
          <w:tcPr>
            <w:tcW w:w="1386" w:type="dxa"/>
            <w:vAlign w:val="center"/>
          </w:tcPr>
          <w:p>
            <w:pPr>
              <w:ind w:right="5"/>
              <w:rPr>
                <w:rFonts w:asciiTheme="minorEastAsia" w:eastAsiaTheme="minorEastAsia" w:hAnsiTheme="minorEastAsia"/>
              </w:rPr>
            </w:pPr>
            <w:r>
              <w:rPr>
                <w:rFonts w:asciiTheme="minorEastAsia" w:eastAsiaTheme="minorEastAsia" w:hAnsiTheme="minorEastAsia" w:hint="eastAsia"/>
              </w:rPr>
              <w:lastRenderedPageBreak/>
              <w:t>1年以内</w:t>
            </w:r>
          </w:p>
        </w:tc>
        <w:tc>
          <w:tcPr>
            <w:tcW w:w="1925"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7,101,978</w:t>
            </w:r>
          </w:p>
        </w:tc>
        <w:tc>
          <w:tcPr>
            <w:tcW w:w="1912"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97.03</w:t>
            </w:r>
          </w:p>
        </w:tc>
        <w:tc>
          <w:tcPr>
            <w:tcW w:w="1909"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4,712,847</w:t>
            </w:r>
          </w:p>
        </w:tc>
        <w:tc>
          <w:tcPr>
            <w:tcW w:w="1926"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98.48</w:t>
            </w:r>
          </w:p>
        </w:tc>
      </w:tr>
      <w:tr>
        <w:trPr>
          <w:cantSplit/>
        </w:trPr>
        <w:tc>
          <w:tcPr>
            <w:tcW w:w="1386" w:type="dxa"/>
            <w:vAlign w:val="center"/>
          </w:tcPr>
          <w:p>
            <w:pPr>
              <w:ind w:right="5"/>
              <w:rPr>
                <w:rFonts w:asciiTheme="minorEastAsia" w:eastAsiaTheme="minorEastAsia" w:hAnsiTheme="minorEastAsia"/>
              </w:rPr>
            </w:pPr>
            <w:r>
              <w:rPr>
                <w:rFonts w:asciiTheme="minorEastAsia" w:eastAsiaTheme="minorEastAsia" w:hAnsiTheme="minorEastAsia" w:hint="eastAsia"/>
              </w:rPr>
              <w:t>1至2年</w:t>
            </w:r>
          </w:p>
        </w:tc>
        <w:tc>
          <w:tcPr>
            <w:tcW w:w="1925"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187,081</w:t>
            </w:r>
          </w:p>
        </w:tc>
        <w:tc>
          <w:tcPr>
            <w:tcW w:w="1912"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2.56</w:t>
            </w:r>
          </w:p>
        </w:tc>
        <w:tc>
          <w:tcPr>
            <w:tcW w:w="1909"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51,327</w:t>
            </w:r>
          </w:p>
        </w:tc>
        <w:tc>
          <w:tcPr>
            <w:tcW w:w="1926"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1.07</w:t>
            </w:r>
          </w:p>
        </w:tc>
      </w:tr>
      <w:tr>
        <w:trPr>
          <w:cantSplit/>
        </w:trPr>
        <w:tc>
          <w:tcPr>
            <w:tcW w:w="1386" w:type="dxa"/>
            <w:vAlign w:val="center"/>
          </w:tcPr>
          <w:p>
            <w:pPr>
              <w:ind w:right="5"/>
              <w:rPr>
                <w:rFonts w:asciiTheme="minorEastAsia" w:eastAsiaTheme="minorEastAsia" w:hAnsiTheme="minorEastAsia"/>
              </w:rPr>
            </w:pPr>
            <w:r>
              <w:rPr>
                <w:rFonts w:asciiTheme="minorEastAsia" w:eastAsiaTheme="minorEastAsia" w:hAnsiTheme="minorEastAsia" w:hint="eastAsia"/>
              </w:rPr>
              <w:t>2至3年</w:t>
            </w:r>
          </w:p>
        </w:tc>
        <w:tc>
          <w:tcPr>
            <w:tcW w:w="1925"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17,640</w:t>
            </w:r>
          </w:p>
        </w:tc>
        <w:tc>
          <w:tcPr>
            <w:tcW w:w="1912"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0.24</w:t>
            </w:r>
          </w:p>
        </w:tc>
        <w:tc>
          <w:tcPr>
            <w:tcW w:w="1909"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12,755</w:t>
            </w:r>
          </w:p>
        </w:tc>
        <w:tc>
          <w:tcPr>
            <w:tcW w:w="1926"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0.27</w:t>
            </w:r>
          </w:p>
        </w:tc>
      </w:tr>
      <w:tr>
        <w:trPr>
          <w:cantSplit/>
        </w:trPr>
        <w:tc>
          <w:tcPr>
            <w:tcW w:w="1386" w:type="dxa"/>
            <w:vAlign w:val="center"/>
          </w:tcPr>
          <w:p>
            <w:pPr>
              <w:ind w:right="5"/>
              <w:rPr>
                <w:rFonts w:asciiTheme="minorEastAsia" w:eastAsiaTheme="minorEastAsia" w:hAnsiTheme="minorEastAsia"/>
              </w:rPr>
            </w:pPr>
            <w:r>
              <w:rPr>
                <w:rFonts w:asciiTheme="minorEastAsia" w:eastAsiaTheme="minorEastAsia" w:hAnsiTheme="minorEastAsia" w:hint="eastAsia"/>
              </w:rPr>
              <w:t>3年以上</w:t>
            </w:r>
          </w:p>
        </w:tc>
        <w:tc>
          <w:tcPr>
            <w:tcW w:w="1925"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12,307</w:t>
            </w:r>
          </w:p>
        </w:tc>
        <w:tc>
          <w:tcPr>
            <w:tcW w:w="1912"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0.17</w:t>
            </w:r>
          </w:p>
        </w:tc>
        <w:tc>
          <w:tcPr>
            <w:tcW w:w="1909"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8,843</w:t>
            </w:r>
          </w:p>
        </w:tc>
        <w:tc>
          <w:tcPr>
            <w:tcW w:w="1926"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0.18</w:t>
            </w:r>
          </w:p>
        </w:tc>
      </w:tr>
      <w:tr>
        <w:trPr>
          <w:cantSplit/>
        </w:trPr>
        <w:tc>
          <w:tcPr>
            <w:tcW w:w="1386" w:type="dxa"/>
            <w:vAlign w:val="center"/>
          </w:tcPr>
          <w:p>
            <w:pPr>
              <w:ind w:right="5"/>
              <w:jc w:val="center"/>
              <w:rPr>
                <w:rFonts w:asciiTheme="minorEastAsia" w:eastAsiaTheme="minorEastAsia" w:hAnsiTheme="minorEastAsia"/>
              </w:rPr>
            </w:pPr>
            <w:r>
              <w:rPr>
                <w:rFonts w:asciiTheme="minorEastAsia" w:eastAsiaTheme="minorEastAsia" w:hAnsiTheme="minorEastAsia" w:hint="eastAsia"/>
              </w:rPr>
              <w:t>合计</w:t>
            </w:r>
          </w:p>
        </w:tc>
        <w:tc>
          <w:tcPr>
            <w:tcW w:w="1925"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7,319,006</w:t>
            </w:r>
          </w:p>
        </w:tc>
        <w:tc>
          <w:tcPr>
            <w:tcW w:w="1912"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100</w:t>
            </w:r>
          </w:p>
        </w:tc>
        <w:tc>
          <w:tcPr>
            <w:tcW w:w="1909"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4,785,772</w:t>
            </w:r>
          </w:p>
        </w:tc>
        <w:tc>
          <w:tcPr>
            <w:tcW w:w="1926" w:type="dxa"/>
            <w:vAlign w:val="center"/>
          </w:tcPr>
          <w:p>
            <w:pPr>
              <w:ind w:right="5"/>
              <w:jc w:val="right"/>
              <w:rPr>
                <w:rFonts w:asciiTheme="minorEastAsia" w:eastAsiaTheme="minorEastAsia" w:hAnsiTheme="minorEastAsia"/>
              </w:rPr>
            </w:pPr>
            <w:r>
              <w:rPr>
                <w:rFonts w:asciiTheme="minorEastAsia" w:eastAsiaTheme="minorEastAsia" w:hAnsiTheme="minorEastAsia" w:cs="宋体" w:hint="eastAsia"/>
              </w:rPr>
              <w:t>100</w:t>
            </w:r>
          </w:p>
        </w:tc>
      </w:tr>
    </w:tbl>
    <w:p>
      <w:pPr>
        <w:pStyle w:val="Style217"/>
      </w:pPr>
      <w:r>
        <w:t>账</w:t>
      </w:r>
      <w:r>
        <w:rPr>
          <w:rFonts w:hint="eastAsia"/>
        </w:rPr>
        <w:t>龄超过1年且金额重要的预付款项未及时结算原因</w:t>
      </w:r>
      <w:r>
        <w:t>的说明：</w:t>
      </w:r>
    </w:p>
    <w:sdt>
      <w:sdtPr>
        <w:rPr>
          <w:rFonts w:hint="eastAsia"/>
        </w:rPr>
        <w:alias w:val="账龄超过1年且金额重要的预付款项未及时结算原因的说明"/>
        <w:tag w:val="_GBC_21bfefabbdb8489685d0bb3ee64c2ca5"/>
        <w:id w:val="1377427415"/>
        <w:placeholder>
          <w:docPart w:val="GBC22222222222222222222222222222"/>
        </w:placeholder>
      </w:sdtPr>
      <w:sdtContent>
        <w:p>
          <w:pPr>
            <w:pStyle w:val="Style217"/>
          </w:pPr>
          <w:r>
            <w:rPr>
              <w:rFonts w:hint="eastAsia"/>
            </w:rPr>
            <w:t>-</w:t>
          </w:r>
        </w:p>
      </w:sdtContent>
    </w:sdt>
    <w:p>
      <w:pPr>
        <w:pStyle w:val="Style217"/>
      </w:pPr>
    </w:p>
    <w:p>
      <w:pPr>
        <w:pStyle w:val="Style179"/>
        <w:numPr>
          <w:ilvl w:val="3"/>
          <w:numId w:val="80"/>
        </w:numPr>
        <w:ind w:left="426" w:hanging="426"/>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1425102406"/>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rPr>
            <w:rFonts w:hint="eastAsia"/>
          </w:rPr>
          <w:alias w:val="单位：按预付对象归集的期末余额前五名的预付款情况"/>
          <w:tag w:val="_GBC_1bbaf3870d2242f8a1ec8260382d458c"/>
          <w:id w:val="-173300008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按预付对象归集的期末余额前五名的预付款情况"/>
          <w:tag w:val="_GBC_77617525e63041b99aaabf038d02c871"/>
          <w:id w:val="3547772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3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768"/>
        <w:gridCol w:w="3013"/>
      </w:tblGrid>
      <w:tr>
        <w:trPr>
          <w:cantSplit/>
        </w:trPr>
        <w:sdt>
          <w:sdtPr>
            <w:rPr>
              <w:rFonts w:asciiTheme="minorEastAsia" w:eastAsiaTheme="minorEastAsia" w:hAnsiTheme="minorEastAsia"/>
            </w:rPr>
            <w:tag w:val="_PLD_0ab17d7ae0014b6192c9dd0e6d3d3a25"/>
            <w:id w:val="64075092"/>
          </w:sdtPr>
          <w:sdtContent>
            <w:tc>
              <w:tcPr>
                <w:tcW w:w="3256" w:type="dxa"/>
                <w:vAlign w:val="center"/>
              </w:tcPr>
              <w:p>
                <w:pPr>
                  <w:ind w:right="105"/>
                  <w:jc w:val="center"/>
                  <w:rPr>
                    <w:rFonts w:asciiTheme="minorEastAsia" w:eastAsiaTheme="minorEastAsia" w:hAnsiTheme="minorEastAsia"/>
                  </w:rPr>
                </w:pPr>
                <w:r>
                  <w:rPr>
                    <w:rFonts w:asciiTheme="minorEastAsia" w:eastAsiaTheme="minorEastAsia" w:hAnsiTheme="minorEastAsia" w:hint="eastAsia"/>
                  </w:rPr>
                  <w:t>单位名称</w:t>
                </w:r>
              </w:p>
            </w:tc>
          </w:sdtContent>
        </w:sdt>
        <w:sdt>
          <w:sdtPr>
            <w:rPr>
              <w:rFonts w:asciiTheme="minorEastAsia" w:eastAsiaTheme="minorEastAsia" w:hAnsiTheme="minorEastAsia"/>
            </w:rPr>
            <w:tag w:val="_PLD_cdd4a1e632c94d14908eb36a620946a9"/>
            <w:id w:val="-1237544253"/>
          </w:sdtPr>
          <w:sdtContent>
            <w:tc>
              <w:tcPr>
                <w:tcW w:w="2768" w:type="dxa"/>
                <w:vAlign w:val="center"/>
              </w:tcPr>
              <w:p>
                <w:pPr>
                  <w:ind w:right="73"/>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eastAsiaTheme="minorEastAsia" w:hAnsiTheme="minorEastAsia"/>
            </w:rPr>
            <w:tag w:val="_PLD_c9db34035f63426095900b82cc8a8131"/>
            <w:id w:val="-1726677195"/>
          </w:sdtPr>
          <w:sdtContent>
            <w:tc>
              <w:tcPr>
                <w:tcW w:w="3013" w:type="dxa"/>
                <w:vAlign w:val="center"/>
              </w:tcPr>
              <w:p>
                <w:pPr>
                  <w:jc w:val="center"/>
                  <w:rPr>
                    <w:rFonts w:asciiTheme="minorEastAsia" w:eastAsiaTheme="minorEastAsia" w:hAnsiTheme="minorEastAsia"/>
                  </w:rPr>
                </w:pPr>
                <w:r>
                  <w:rPr>
                    <w:rFonts w:asciiTheme="minorEastAsia" w:eastAsiaTheme="minorEastAsia" w:hAnsiTheme="minorEastAsia" w:hint="eastAsia"/>
                  </w:rPr>
                  <w:t>占预付款项期末余额合计数的比例(</w:t>
                </w:r>
                <w:r>
                  <w:rPr>
                    <w:rFonts w:asciiTheme="minorEastAsia" w:eastAsiaTheme="minorEastAsia" w:hAnsiTheme="minorEastAsia"/>
                  </w:rPr>
                  <w:t>%)</w:t>
                </w:r>
              </w:p>
            </w:tc>
          </w:sdtContent>
        </w:sdt>
      </w:tr>
      <w:tr>
        <w:trPr>
          <w:cantSplit/>
        </w:trPr>
        <w:tc>
          <w:tcPr>
            <w:tcW w:w="3256" w:type="dxa"/>
            <w:vAlign w:val="center"/>
          </w:tcPr>
          <w:p>
            <w:pPr>
              <w:ind w:right="105"/>
              <w:rPr>
                <w:rFonts w:asciiTheme="minorEastAsia" w:eastAsiaTheme="minorEastAsia" w:hAnsiTheme="minorEastAsia"/>
              </w:rPr>
            </w:pPr>
            <w:r>
              <w:rPr>
                <w:rFonts w:ascii="宋体" w:hAnsi="宋体" w:cs="宋体" w:hint="eastAsia"/>
              </w:rPr>
              <w:t>山西晋南钢铁集团有限公司</w:t>
            </w:r>
          </w:p>
        </w:tc>
        <w:tc>
          <w:tcPr>
            <w:tcW w:w="2768" w:type="dxa"/>
            <w:vAlign w:val="center"/>
          </w:tcPr>
          <w:p>
            <w:pPr>
              <w:ind w:right="73"/>
              <w:jc w:val="right"/>
              <w:rPr>
                <w:rFonts w:ascii="宋体" w:hAnsi="宋体"/>
              </w:rPr>
            </w:pPr>
            <w:r>
              <w:rPr>
                <w:rFonts w:ascii="宋体" w:hAnsi="宋体" w:hint="eastAsia"/>
                <w:color w:val="000000"/>
              </w:rPr>
              <w:t>1,643,525</w:t>
            </w:r>
          </w:p>
        </w:tc>
        <w:tc>
          <w:tcPr>
            <w:tcW w:w="3013" w:type="dxa"/>
            <w:vAlign w:val="center"/>
          </w:tcPr>
          <w:p>
            <w:pPr>
              <w:jc w:val="right"/>
              <w:rPr>
                <w:rFonts w:ascii="宋体" w:hAnsi="宋体"/>
              </w:rPr>
            </w:pPr>
            <w:r>
              <w:rPr>
                <w:rFonts w:ascii="宋体" w:hAnsi="宋体" w:hint="eastAsia"/>
                <w:color w:val="000000"/>
              </w:rPr>
              <w:t>22.46</w:t>
            </w:r>
          </w:p>
        </w:tc>
      </w:tr>
      <w:tr>
        <w:trPr>
          <w:cantSplit/>
        </w:trPr>
        <w:tc>
          <w:tcPr>
            <w:tcW w:w="3256" w:type="dxa"/>
            <w:vAlign w:val="center"/>
          </w:tcPr>
          <w:p>
            <w:pPr>
              <w:ind w:right="105"/>
              <w:rPr>
                <w:rFonts w:asciiTheme="minorEastAsia" w:eastAsiaTheme="minorEastAsia" w:hAnsiTheme="minorEastAsia"/>
              </w:rPr>
            </w:pPr>
            <w:r>
              <w:rPr>
                <w:rFonts w:ascii="宋体" w:hAnsi="宋体" w:hint="eastAsia"/>
                <w:color w:val="000000"/>
              </w:rPr>
              <w:t>安阳市兴博商贸有限责任公司</w:t>
            </w:r>
          </w:p>
        </w:tc>
        <w:tc>
          <w:tcPr>
            <w:tcW w:w="2768" w:type="dxa"/>
            <w:vAlign w:val="center"/>
          </w:tcPr>
          <w:p>
            <w:pPr>
              <w:ind w:right="73"/>
              <w:jc w:val="right"/>
              <w:rPr>
                <w:rFonts w:ascii="宋体" w:hAnsi="宋体"/>
              </w:rPr>
            </w:pPr>
            <w:r>
              <w:rPr>
                <w:rFonts w:ascii="宋体" w:hAnsi="宋体" w:hint="eastAsia"/>
                <w:color w:val="000000"/>
              </w:rPr>
              <w:t>656,744</w:t>
            </w:r>
          </w:p>
        </w:tc>
        <w:tc>
          <w:tcPr>
            <w:tcW w:w="3013" w:type="dxa"/>
            <w:vAlign w:val="center"/>
          </w:tcPr>
          <w:p>
            <w:pPr>
              <w:jc w:val="right"/>
              <w:rPr>
                <w:rFonts w:ascii="宋体" w:hAnsi="宋体"/>
              </w:rPr>
            </w:pPr>
            <w:r>
              <w:rPr>
                <w:rFonts w:ascii="宋体" w:hAnsi="宋体" w:hint="eastAsia"/>
                <w:color w:val="000000"/>
              </w:rPr>
              <w:t>8.97</w:t>
            </w:r>
          </w:p>
        </w:tc>
      </w:tr>
      <w:tr>
        <w:trPr>
          <w:cantSplit/>
        </w:trPr>
        <w:tc>
          <w:tcPr>
            <w:tcW w:w="3256" w:type="dxa"/>
            <w:vAlign w:val="center"/>
          </w:tcPr>
          <w:p>
            <w:pPr>
              <w:ind w:right="105"/>
              <w:rPr>
                <w:rFonts w:asciiTheme="minorEastAsia" w:eastAsiaTheme="minorEastAsia" w:hAnsiTheme="minorEastAsia"/>
              </w:rPr>
            </w:pPr>
            <w:r>
              <w:rPr>
                <w:rFonts w:ascii="宋体" w:hAnsi="宋体" w:hint="eastAsia"/>
                <w:color w:val="000000"/>
              </w:rPr>
              <w:t>大连昊凯发展集团有限公司</w:t>
            </w:r>
          </w:p>
        </w:tc>
        <w:tc>
          <w:tcPr>
            <w:tcW w:w="2768" w:type="dxa"/>
            <w:vAlign w:val="center"/>
          </w:tcPr>
          <w:p>
            <w:pPr>
              <w:ind w:right="73"/>
              <w:jc w:val="right"/>
              <w:rPr>
                <w:rFonts w:ascii="宋体" w:hAnsi="宋体"/>
              </w:rPr>
            </w:pPr>
            <w:r>
              <w:rPr>
                <w:rFonts w:ascii="宋体" w:hAnsi="宋体" w:hint="eastAsia"/>
                <w:color w:val="000000"/>
              </w:rPr>
              <w:t>366,044</w:t>
            </w:r>
          </w:p>
        </w:tc>
        <w:tc>
          <w:tcPr>
            <w:tcW w:w="3013" w:type="dxa"/>
            <w:vAlign w:val="center"/>
          </w:tcPr>
          <w:p>
            <w:pPr>
              <w:jc w:val="right"/>
              <w:rPr>
                <w:rFonts w:ascii="宋体" w:hAnsi="宋体"/>
              </w:rPr>
            </w:pPr>
            <w:r>
              <w:rPr>
                <w:rFonts w:ascii="宋体" w:hAnsi="宋体" w:hint="eastAsia"/>
                <w:color w:val="000000"/>
              </w:rPr>
              <w:t>5.00</w:t>
            </w:r>
          </w:p>
        </w:tc>
      </w:tr>
      <w:tr>
        <w:trPr>
          <w:cantSplit/>
        </w:trPr>
        <w:tc>
          <w:tcPr>
            <w:tcW w:w="3256" w:type="dxa"/>
            <w:vAlign w:val="center"/>
          </w:tcPr>
          <w:p>
            <w:pPr>
              <w:ind w:right="105"/>
              <w:rPr>
                <w:rFonts w:asciiTheme="minorEastAsia" w:eastAsiaTheme="minorEastAsia" w:hAnsiTheme="minorEastAsia"/>
              </w:rPr>
            </w:pPr>
            <w:r>
              <w:rPr>
                <w:rFonts w:ascii="宋体" w:hAnsi="宋体" w:hint="eastAsia"/>
                <w:color w:val="000000"/>
              </w:rPr>
              <w:t>山东磐金新材料科技有限公司</w:t>
            </w:r>
          </w:p>
        </w:tc>
        <w:tc>
          <w:tcPr>
            <w:tcW w:w="2768" w:type="dxa"/>
            <w:vAlign w:val="center"/>
          </w:tcPr>
          <w:p>
            <w:pPr>
              <w:ind w:right="73"/>
              <w:jc w:val="right"/>
              <w:rPr>
                <w:rFonts w:ascii="宋体" w:hAnsi="宋体"/>
              </w:rPr>
            </w:pPr>
            <w:r>
              <w:rPr>
                <w:rFonts w:ascii="宋体" w:hAnsi="宋体" w:hint="eastAsia"/>
                <w:color w:val="000000"/>
              </w:rPr>
              <w:t>339,998</w:t>
            </w:r>
          </w:p>
        </w:tc>
        <w:tc>
          <w:tcPr>
            <w:tcW w:w="3013" w:type="dxa"/>
            <w:vAlign w:val="center"/>
          </w:tcPr>
          <w:p>
            <w:pPr>
              <w:jc w:val="right"/>
              <w:rPr>
                <w:rFonts w:ascii="宋体" w:hAnsi="宋体"/>
              </w:rPr>
            </w:pPr>
            <w:r>
              <w:rPr>
                <w:rFonts w:ascii="宋体" w:hAnsi="宋体" w:hint="eastAsia"/>
                <w:color w:val="000000"/>
              </w:rPr>
              <w:t>4.65</w:t>
            </w:r>
          </w:p>
        </w:tc>
      </w:tr>
      <w:tr>
        <w:trPr>
          <w:cantSplit/>
        </w:trPr>
        <w:tc>
          <w:tcPr>
            <w:tcW w:w="3256" w:type="dxa"/>
            <w:vAlign w:val="center"/>
          </w:tcPr>
          <w:p>
            <w:pPr>
              <w:ind w:right="105"/>
              <w:rPr>
                <w:rFonts w:asciiTheme="minorEastAsia" w:eastAsiaTheme="minorEastAsia" w:hAnsiTheme="minorEastAsia"/>
              </w:rPr>
            </w:pPr>
            <w:r>
              <w:rPr>
                <w:rFonts w:ascii="宋体" w:hAnsi="宋体" w:hint="eastAsia"/>
                <w:color w:val="000000"/>
              </w:rPr>
              <w:t>杭氧集团股份有限公司</w:t>
            </w:r>
          </w:p>
        </w:tc>
        <w:tc>
          <w:tcPr>
            <w:tcW w:w="2768" w:type="dxa"/>
            <w:vAlign w:val="center"/>
          </w:tcPr>
          <w:p>
            <w:pPr>
              <w:ind w:right="73"/>
              <w:jc w:val="right"/>
              <w:rPr>
                <w:rFonts w:ascii="宋体" w:hAnsi="宋体"/>
              </w:rPr>
            </w:pPr>
            <w:r>
              <w:rPr>
                <w:rFonts w:ascii="宋体" w:hAnsi="宋体" w:hint="eastAsia"/>
                <w:color w:val="000000"/>
              </w:rPr>
              <w:t>299,003</w:t>
            </w:r>
          </w:p>
        </w:tc>
        <w:tc>
          <w:tcPr>
            <w:tcW w:w="3013" w:type="dxa"/>
            <w:vAlign w:val="center"/>
          </w:tcPr>
          <w:p>
            <w:pPr>
              <w:jc w:val="right"/>
              <w:rPr>
                <w:rFonts w:ascii="宋体" w:hAnsi="宋体"/>
              </w:rPr>
            </w:pPr>
            <w:r>
              <w:rPr>
                <w:rFonts w:ascii="宋体" w:hAnsi="宋体" w:hint="eastAsia"/>
                <w:color w:val="000000"/>
              </w:rPr>
              <w:t>4.09</w:t>
            </w:r>
          </w:p>
        </w:tc>
      </w:tr>
      <w:tr>
        <w:trPr>
          <w:cantSplit/>
        </w:trPr>
        <w:tc>
          <w:tcPr>
            <w:tcW w:w="3256" w:type="dxa"/>
            <w:vAlign w:val="center"/>
          </w:tcPr>
          <w:p>
            <w:pPr>
              <w:ind w:right="105"/>
              <w:jc w:val="center"/>
              <w:rPr>
                <w:rFonts w:asciiTheme="minorEastAsia" w:eastAsiaTheme="minorEastAsia" w:hAnsiTheme="minorEastAsia"/>
              </w:rPr>
            </w:pPr>
            <w:r>
              <w:rPr>
                <w:rFonts w:asciiTheme="minorEastAsia" w:eastAsiaTheme="minorEastAsia" w:hAnsiTheme="minorEastAsia" w:hint="eastAsia"/>
              </w:rPr>
              <w:t>合计</w:t>
            </w:r>
          </w:p>
        </w:tc>
        <w:tc>
          <w:tcPr>
            <w:tcW w:w="2768" w:type="dxa"/>
            <w:vAlign w:val="center"/>
          </w:tcPr>
          <w:p>
            <w:pPr>
              <w:ind w:right="73"/>
              <w:jc w:val="right"/>
              <w:rPr>
                <w:rFonts w:ascii="宋体" w:hAnsi="宋体"/>
              </w:rPr>
            </w:pPr>
            <w:r>
              <w:rPr>
                <w:rFonts w:ascii="宋体" w:hAnsi="宋体" w:hint="eastAsia"/>
                <w:color w:val="000000"/>
              </w:rPr>
              <w:t>3,305,314</w:t>
            </w:r>
          </w:p>
        </w:tc>
        <w:tc>
          <w:tcPr>
            <w:tcW w:w="3013" w:type="dxa"/>
            <w:vAlign w:val="center"/>
          </w:tcPr>
          <w:p>
            <w:pPr>
              <w:jc w:val="right"/>
              <w:rPr>
                <w:rFonts w:ascii="宋体" w:hAnsi="宋体"/>
                <w:color w:val="000000"/>
              </w:rPr>
            </w:pPr>
            <w:r>
              <w:rPr>
                <w:rFonts w:ascii="宋体" w:hAnsi="宋体" w:hint="eastAsia"/>
                <w:color w:val="000000"/>
              </w:rPr>
              <w:t>45.16</w:t>
            </w:r>
          </w:p>
        </w:tc>
      </w:tr>
    </w:tbl>
    <w:p>
      <w:pPr>
        <w:snapToGrid w:val="0"/>
        <w:spacing w:line="240" w:lineRule="atLeast"/>
      </w:pPr>
    </w:p>
    <w:p>
      <w:pPr>
        <w:snapToGrid w:val="0"/>
        <w:spacing w:line="240" w:lineRule="atLeast"/>
      </w:pPr>
      <w:r>
        <w:rPr>
          <w:rFonts w:hint="eastAsia"/>
        </w:rPr>
        <w:t>其他说明：</w:t>
      </w:r>
    </w:p>
    <w:sdt>
      <w:sdtPr>
        <w:alias w:val="按预付对象归集的期末余额前五名的预付款情况的说明"/>
        <w:tag w:val="_GBC_01cbdc0115484d88931f2dbcc9e0aa2b"/>
        <w:id w:val="-201797622"/>
        <w:placeholder>
          <w:docPart w:val="GBC22222222222222222222222222222"/>
        </w:placeholder>
      </w:sdtPr>
      <w:sdtContent>
        <w:p>
          <w:pPr>
            <w:snapToGrid w:val="0"/>
            <w:spacing w:line="240" w:lineRule="atLeast"/>
          </w:pPr>
          <w:r>
            <w:rPr>
              <w:rFonts w:hint="eastAsia"/>
            </w:rPr>
            <w:t>-</w:t>
          </w:r>
        </w:p>
      </w:sdtContent>
    </w:sdt>
    <w:p>
      <w:pPr>
        <w:snapToGrid w:val="0"/>
        <w:spacing w:line="240" w:lineRule="atLeast"/>
      </w:pPr>
    </w:p>
    <w:p>
      <w:pPr>
        <w:pStyle w:val="Style217"/>
      </w:pPr>
      <w:r>
        <w:rPr>
          <w:rFonts w:hint="eastAsia"/>
        </w:rPr>
        <w:t>其他说明：</w:t>
      </w:r>
    </w:p>
    <w:sdt>
      <w:sdtPr>
        <w:rPr>
          <w:rFonts w:hint="eastAsia"/>
        </w:rPr>
        <w:alias w:val="是否适用：预付帐款的说明[双击切换]"/>
        <w:tag w:val="_GBC_292d88b78b6d439981e508e0126d8061"/>
        <w:id w:val="172378840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r>
        <w:rPr>
          <w:szCs w:val="21"/>
        </w:rPr>
        <w:t>其他应收款</w:t>
      </w:r>
    </w:p>
    <w:p>
      <w:pPr>
        <w:pStyle w:val="Style179"/>
      </w:pPr>
      <w:bookmarkStart w:id="409" w:name="_Hlk532906090"/>
      <w:r>
        <w:rPr>
          <w:rFonts w:ascii="宋体" w:eastAsia="宋体" w:hAnsi="宋体" w:cs="宋体" w:hint="eastAsia"/>
          <w:kern w:val="0"/>
          <w:szCs w:val="24"/>
        </w:rPr>
        <w:t>项目列示</w:t>
      </w:r>
    </w:p>
    <w:sdt>
      <w:sdtPr>
        <w:alias w:val="是否适用：其他应收款分类列示[双击切换]"/>
        <w:tag w:val="_GBC_5cf24a2049f64010a4df1f0db5a97234"/>
        <w:id w:val="-34872831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其他应收款分类列示"/>
          <w:tag w:val="_GBC_7f9aa6546943491ca0ac8585be1822b5"/>
          <w:id w:val="-19095345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其他应收款分类列示"/>
          <w:tag w:val="_GBC_04bd5c819b004daf9b35f05cdd98046d"/>
          <w:id w:val="-16636107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196"/>
        <w:gridCol w:w="2938"/>
        <w:gridCol w:w="2924"/>
      </w:tblGrid>
      <w:tr>
        <w:trPr>
          <w:cantSplit/>
        </w:trPr>
        <w:sdt>
          <w:sdtPr>
            <w:tag w:val="_PLD_4377dcbf8fc04365884311b6628ee70c"/>
            <w:id w:val="1343976240"/>
          </w:sdtPr>
          <w:sdtContent>
            <w:tc>
              <w:tcPr>
                <w:tcW w:w="3196" w:type="dxa"/>
                <w:vAlign w:val="center"/>
              </w:tcPr>
              <w:p>
                <w:pPr>
                  <w:jc w:val="center"/>
                </w:pPr>
                <w:r>
                  <w:rPr>
                    <w:rFonts w:hint="eastAsia"/>
                  </w:rPr>
                  <w:t>项目</w:t>
                </w:r>
              </w:p>
            </w:tc>
          </w:sdtContent>
        </w:sdt>
        <w:sdt>
          <w:sdtPr>
            <w:tag w:val="_PLD_9eed799cfa4b445abd6bf2c21c8e53d1"/>
            <w:id w:val="1469702200"/>
          </w:sdtPr>
          <w:sdtContent>
            <w:tc>
              <w:tcPr>
                <w:tcW w:w="2938" w:type="dxa"/>
                <w:vAlign w:val="center"/>
              </w:tcPr>
              <w:p>
                <w:pPr>
                  <w:jc w:val="center"/>
                </w:pPr>
                <w:r>
                  <w:rPr>
                    <w:rFonts w:hint="eastAsia"/>
                  </w:rPr>
                  <w:t>期末余额</w:t>
                </w:r>
              </w:p>
            </w:tc>
          </w:sdtContent>
        </w:sdt>
        <w:sdt>
          <w:sdtPr>
            <w:tag w:val="_PLD_200365ee1196470e91075b949a7f5552"/>
            <w:id w:val="730659335"/>
          </w:sdtPr>
          <w:sdtContent>
            <w:tc>
              <w:tcPr>
                <w:tcW w:w="2924" w:type="dxa"/>
                <w:vAlign w:val="center"/>
              </w:tcPr>
              <w:p>
                <w:pPr>
                  <w:jc w:val="center"/>
                </w:pPr>
                <w:r>
                  <w:rPr>
                    <w:rFonts w:hint="eastAsia"/>
                  </w:rPr>
                  <w:t>期初余额</w:t>
                </w:r>
              </w:p>
            </w:tc>
          </w:sdtContent>
        </w:sdt>
      </w:tr>
      <w:tr>
        <w:trPr>
          <w:cantSplit/>
        </w:trPr>
        <w:tc>
          <w:tcPr>
            <w:tcW w:w="3196" w:type="dxa"/>
            <w:vAlign w:val="center"/>
          </w:tcPr>
          <w:p>
            <w:pPr>
              <w:ind w:right="5"/>
            </w:pPr>
            <w:r>
              <w:rPr>
                <w:rFonts w:hint="eastAsia"/>
              </w:rPr>
              <w:t>应收股利</w:t>
            </w:r>
          </w:p>
        </w:tc>
        <w:tc>
          <w:tcPr>
            <w:tcW w:w="2938" w:type="dxa"/>
            <w:vAlign w:val="center"/>
          </w:tcPr>
          <w:p>
            <w:pPr>
              <w:ind w:right="5"/>
              <w:jc w:val="right"/>
            </w:pPr>
            <w:r>
              <w:rPr>
                <w:rFonts w:ascii="宋体" w:hAnsi="宋体" w:cs="宋体" w:hint="eastAsia"/>
              </w:rPr>
              <w:t>65,334</w:t>
            </w:r>
          </w:p>
        </w:tc>
        <w:tc>
          <w:tcPr>
            <w:tcW w:w="2924" w:type="dxa"/>
            <w:vAlign w:val="center"/>
          </w:tcPr>
          <w:p>
            <w:pPr>
              <w:ind w:right="5"/>
              <w:jc w:val="right"/>
            </w:pPr>
            <w:r>
              <w:rPr>
                <w:rFonts w:ascii="宋体" w:hAnsi="宋体" w:cs="宋体" w:hint="eastAsia"/>
              </w:rPr>
              <w:t>48,320</w:t>
            </w:r>
          </w:p>
        </w:tc>
      </w:tr>
      <w:tr>
        <w:trPr>
          <w:cantSplit/>
        </w:trPr>
        <w:tc>
          <w:tcPr>
            <w:tcW w:w="3196" w:type="dxa"/>
            <w:vAlign w:val="center"/>
          </w:tcPr>
          <w:p>
            <w:pPr>
              <w:ind w:right="5"/>
            </w:pPr>
            <w:r>
              <w:rPr>
                <w:rFonts w:hint="eastAsia"/>
              </w:rPr>
              <w:t>其他应收款</w:t>
            </w:r>
          </w:p>
        </w:tc>
        <w:tc>
          <w:tcPr>
            <w:tcW w:w="2938" w:type="dxa"/>
          </w:tcPr>
          <w:p>
            <w:pPr>
              <w:ind w:right="5"/>
              <w:jc w:val="right"/>
              <w:rPr>
                <w:rFonts w:ascii="宋体" w:hAnsi="宋体" w:cs="宋体"/>
              </w:rPr>
            </w:pPr>
            <w:r>
              <w:rPr>
                <w:rFonts w:ascii="宋体" w:hAnsi="宋体" w:cs="宋体"/>
              </w:rPr>
              <w:t>22,950,856</w:t>
            </w:r>
          </w:p>
        </w:tc>
        <w:tc>
          <w:tcPr>
            <w:tcW w:w="2924" w:type="dxa"/>
            <w:vAlign w:val="center"/>
          </w:tcPr>
          <w:p>
            <w:pPr>
              <w:ind w:right="5"/>
              <w:jc w:val="right"/>
            </w:pPr>
            <w:r>
              <w:rPr>
                <w:rFonts w:ascii="宋体" w:hAnsi="宋体" w:cs="宋体" w:hint="eastAsia"/>
              </w:rPr>
              <w:t>3,948,332</w:t>
            </w:r>
          </w:p>
        </w:tc>
      </w:tr>
      <w:tr>
        <w:trPr>
          <w:cantSplit/>
        </w:trPr>
        <w:tc>
          <w:tcPr>
            <w:tcW w:w="3196" w:type="dxa"/>
            <w:vAlign w:val="center"/>
          </w:tcPr>
          <w:p>
            <w:pPr>
              <w:autoSpaceDE w:val="0"/>
              <w:autoSpaceDN w:val="0"/>
              <w:adjustRightInd w:val="0"/>
            </w:pPr>
            <w:r>
              <w:rPr>
                <w:rFonts w:hint="eastAsia"/>
              </w:rPr>
              <w:t>合计</w:t>
            </w:r>
          </w:p>
        </w:tc>
        <w:tc>
          <w:tcPr>
            <w:tcW w:w="2938" w:type="dxa"/>
          </w:tcPr>
          <w:p>
            <w:pPr>
              <w:jc w:val="right"/>
              <w:rPr>
                <w:rFonts w:ascii="宋体" w:hAnsi="宋体" w:cs="宋体"/>
              </w:rPr>
            </w:pPr>
            <w:r>
              <w:rPr>
                <w:rFonts w:ascii="宋体" w:hAnsi="宋体" w:cs="宋体"/>
              </w:rPr>
              <w:t>23,016,190</w:t>
            </w:r>
          </w:p>
        </w:tc>
        <w:tc>
          <w:tcPr>
            <w:tcW w:w="2924" w:type="dxa"/>
            <w:vAlign w:val="center"/>
          </w:tcPr>
          <w:p>
            <w:pPr>
              <w:jc w:val="right"/>
            </w:pPr>
            <w:r>
              <w:rPr>
                <w:rFonts w:ascii="宋体" w:hAnsi="宋体" w:cs="宋体" w:hint="eastAsia"/>
              </w:rPr>
              <w:t>3,996,652</w:t>
            </w:r>
          </w:p>
        </w:tc>
      </w:tr>
    </w:tbl>
    <w:p>
      <w:pPr>
        <w:pStyle w:val="Style217"/>
      </w:pPr>
    </w:p>
    <w:p>
      <w:pPr>
        <w:pStyle w:val="Style217"/>
      </w:pPr>
      <w:bookmarkStart w:id="410" w:name="_Hlk532906097"/>
      <w:bookmarkEnd w:id="409"/>
      <w:r>
        <w:rPr>
          <w:rFonts w:hint="eastAsia"/>
        </w:rPr>
        <w:t>其他说明</w:t>
      </w:r>
      <w:bookmarkEnd w:id="410"/>
      <w:r>
        <w:rPr>
          <w:rFonts w:hint="eastAsia"/>
        </w:rPr>
        <w:t>：</w:t>
      </w:r>
    </w:p>
    <w:sdt>
      <w:sdtPr>
        <w:alias w:val="是否适用：其他应收款分类列示其他说明[双击切换]"/>
        <w:tag w:val="_GBC_87a25d8043fc4fcfac6a8c802b58dfc7"/>
        <w:id w:val="135832067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ind w:left="360" w:hanging="360"/>
      </w:pPr>
      <w:r>
        <w:rPr>
          <w:rFonts w:hint="eastAsia"/>
        </w:rPr>
        <w:t>应收利息</w:t>
      </w:r>
    </w:p>
    <w:p>
      <w:pPr>
        <w:pStyle w:val="Style180"/>
        <w:numPr>
          <w:ilvl w:val="0"/>
          <w:numId w:val="81"/>
        </w:numPr>
        <w:ind w:leftChars="0"/>
      </w:pPr>
      <w:r>
        <w:rPr>
          <w:rFonts w:hint="eastAsia"/>
        </w:rPr>
        <w:t>应收利息分类</w:t>
      </w:r>
    </w:p>
    <w:sdt>
      <w:sdtPr>
        <w:alias w:val="是否适用：应收利息分类[双击切换]"/>
        <w:tag w:val="_GBC_83217ec91e3240eeb9ff337eca1b11bb"/>
        <w:id w:val="-192648567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81"/>
        </w:numPr>
        <w:ind w:leftChars="0"/>
      </w:pPr>
      <w:r>
        <w:rPr>
          <w:rFonts w:hint="eastAsia"/>
        </w:rPr>
        <w:t>重要逾期利息</w:t>
      </w:r>
    </w:p>
    <w:sdt>
      <w:sdtPr>
        <w:alias w:val="是否适用：重要逾期利息[双击切换]"/>
        <w:tag w:val="_GBC_4720cbb6fd9144c2b14ef7120e6159be"/>
        <w:id w:val="138011963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81"/>
        </w:numPr>
        <w:ind w:leftChars="0"/>
      </w:pPr>
      <w:bookmarkStart w:id="411" w:name="_Hlk153374831"/>
      <w:r>
        <w:rPr>
          <w:rFonts w:hint="eastAsia"/>
        </w:rPr>
        <w:lastRenderedPageBreak/>
        <w:t>按坏账计提方法分类披露</w:t>
      </w:r>
    </w:p>
    <w:sdt>
      <w:sdtPr>
        <w:alias w:val="是否适用：按坏账计提方法分类披露[双击切换]"/>
        <w:tag w:val="_GBC_4dfa1c3f378a461fb32dcc384b94c01c"/>
        <w:id w:val="86833786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w:t>
      </w:r>
    </w:p>
    <w:sdt>
      <w:sdtPr>
        <w:alias w:val="是否适用：按单项计提坏账准备的详细情况[双击切换]"/>
        <w:tag w:val="_GBC_f555101264ef4acba1df68e54d30175a"/>
        <w:id w:val="-126113603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按单项计提坏账准备的说明：</w:t>
      </w:r>
    </w:p>
    <w:sdt>
      <w:sdtPr>
        <w:alias w:val="是否适用：按单项计提坏账准备的说明[双击切换]"/>
        <w:tag w:val="_GBC_e7140d40a6d84e56957900180d1e6af2"/>
        <w:id w:val="73018857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Cs/>
          <w:szCs w:val="22"/>
        </w:rPr>
      </w:pPr>
      <w:r>
        <w:rPr>
          <w:rFonts w:ascii="Calibri" w:hAnsi="Calibri" w:hint="eastAsia"/>
          <w:bCs/>
          <w:szCs w:val="22"/>
        </w:rPr>
        <w:t>按组合计提坏账准备：</w:t>
      </w:r>
    </w:p>
    <w:sdt>
      <w:sdtPr>
        <w:rPr>
          <w:rFonts w:ascii="Calibri" w:hAnsi="Calibri"/>
        </w:rPr>
        <w:alias w:val="是否适用：按组合计提坏账准备的详细情况[双击切换]"/>
        <w:tag w:val="_GBC_ee220409efb74ad0a4dffa7172a6bdf0"/>
        <w:id w:val="30026838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
          <w:bCs/>
          <w:szCs w:val="22"/>
        </w:rPr>
      </w:pPr>
    </w:p>
    <w:p>
      <w:pPr>
        <w:pStyle w:val="Style180"/>
        <w:numPr>
          <w:ilvl w:val="0"/>
          <w:numId w:val="81"/>
        </w:numPr>
        <w:ind w:leftChars="0"/>
      </w:pPr>
      <w:bookmarkStart w:id="412" w:name="_Hlk533867290"/>
      <w:bookmarkEnd w:id="411"/>
      <w:r>
        <w:rPr>
          <w:rFonts w:hint="eastAsia"/>
        </w:rPr>
        <w:t>按预期信用损失一般模型计提坏账准备</w:t>
      </w:r>
    </w:p>
    <w:sdt>
      <w:sdtPr>
        <w:alias w:val="是否适用：应收利息坏账准备调节表[双击切换]"/>
        <w:tag w:val="_GBC_2926f106217b4c11a5fe606b79f60d83"/>
        <w:id w:val="165471116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autoSpaceDE w:val="0"/>
        <w:autoSpaceDN w:val="0"/>
        <w:adjustRightInd w:val="0"/>
        <w:ind w:rightChars="50" w:right="105"/>
      </w:pPr>
      <w:r>
        <w:rPr>
          <w:rFonts w:hint="eastAsia"/>
        </w:rPr>
        <w:t>各阶段划分依据和坏账准备计提比例</w:t>
      </w:r>
    </w:p>
    <w:sdt>
      <w:sdtPr>
        <w:rPr>
          <w:bCs/>
          <w:szCs w:val="22"/>
        </w:rPr>
        <w:alias w:val="应收利息各阶段划分依据和坏账准备计提比例"/>
        <w:tag w:val="_GBC_59f57028d34346fc91962be3047fd594"/>
        <w:id w:val="661507752"/>
        <w:placeholder>
          <w:docPart w:val="GBC22222222222222222222222222222"/>
        </w:placeholder>
      </w:sdtPr>
      <w:sdtContent>
        <w:p>
          <w:pPr>
            <w:rPr>
              <w:bCs/>
              <w:szCs w:val="22"/>
            </w:rPr>
          </w:pPr>
          <w:r>
            <w:rPr>
              <w:rFonts w:hint="eastAsia"/>
              <w:bCs/>
              <w:szCs w:val="22"/>
            </w:rPr>
            <w:t>-</w:t>
          </w:r>
        </w:p>
      </w:sdtContent>
    </w:sdt>
    <w:p>
      <w:pPr>
        <w:autoSpaceDE w:val="0"/>
        <w:autoSpaceDN w:val="0"/>
        <w:adjustRightInd w:val="0"/>
        <w:ind w:rightChars="50" w:right="105"/>
      </w:pPr>
    </w:p>
    <w:p>
      <w:pPr>
        <w:pStyle w:val="Style201"/>
      </w:pPr>
      <w:r>
        <w:rPr>
          <w:rFonts w:hint="eastAsia"/>
        </w:rPr>
        <w:t>对本期发生损失准备变动的应收利息账面余额显著变动的情况说明：</w:t>
      </w:r>
    </w:p>
    <w:sdt>
      <w:sdtPr>
        <w:alias w:val="是否适用：应收利息本期发生损失准备变动且账面余额显著变动的情况说明[双击切换]"/>
        <w:tag w:val="_GBC_07d71685a64f4800b3e351083fc5c9ae"/>
        <w:id w:val="1668977606"/>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autoSpaceDE w:val="0"/>
        <w:autoSpaceDN w:val="0"/>
        <w:adjustRightInd w:val="0"/>
        <w:ind w:rightChars="50" w:right="105"/>
      </w:pPr>
    </w:p>
    <w:p>
      <w:pPr>
        <w:pStyle w:val="Style180"/>
        <w:numPr>
          <w:ilvl w:val="0"/>
          <w:numId w:val="81"/>
        </w:numPr>
        <w:ind w:leftChars="0"/>
      </w:pPr>
      <w:bookmarkStart w:id="413" w:name="_Hlk153375041"/>
      <w:bookmarkEnd w:id="412"/>
      <w:r>
        <w:rPr>
          <w:rFonts w:hint="eastAsia"/>
        </w:rPr>
        <w:t>坏账准备的情况</w:t>
      </w:r>
    </w:p>
    <w:sdt>
      <w:sdtPr>
        <w:alias w:val="是否适用：坏账准备情况[双击切换]"/>
        <w:tag w:val="_GBC_faf892fca7fd4a8ebcdef2231ff828bc"/>
        <w:id w:val="207531465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其中本期坏账准备收回或转回金额重要的：</w:t>
      </w:r>
    </w:p>
    <w:sdt>
      <w:sdtPr>
        <w:alias w:val="是否适用：本期坏账准备收回或转回金额重要的[双击切换]"/>
        <w:tag w:val="_GBC_5a2d052a52b74bb7a867cb7ad62574c9"/>
        <w:id w:val="-131996137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坏账准备情况的说明"/>
        <w:tag w:val="_GBC_79d8ee00a1ce479db5cb5285f72aaea4"/>
        <w:id w:val="394316548"/>
        <w:placeholder>
          <w:docPart w:val="GBC22222222222222222222222222222"/>
        </w:placeholder>
      </w:sdtPr>
      <w:sdtContent>
        <w:p>
          <w:pPr>
            <w:ind w:rightChars="20" w:right="42"/>
          </w:pPr>
          <w:r>
            <w:rPr>
              <w:rFonts w:hint="eastAsia"/>
            </w:rPr>
            <w:t>-</w:t>
          </w:r>
        </w:p>
      </w:sdtContent>
    </w:sdt>
    <w:p>
      <w:pPr>
        <w:ind w:rightChars="-759" w:right="-1594"/>
      </w:pPr>
    </w:p>
    <w:p>
      <w:pPr>
        <w:pStyle w:val="Style180"/>
        <w:numPr>
          <w:ilvl w:val="0"/>
          <w:numId w:val="81"/>
        </w:numPr>
        <w:ind w:leftChars="0"/>
      </w:pPr>
      <w:r>
        <w:rPr>
          <w:rFonts w:hint="eastAsia"/>
        </w:rPr>
        <w:t>本期实际核销的应收利息情况</w:t>
      </w:r>
    </w:p>
    <w:sdt>
      <w:sdtPr>
        <w:alias w:val="是否适用：实际核销的情况[双击切换]"/>
        <w:tag w:val="_GBC_d4fcf512bafe4a40a1f75d78eee0f333"/>
        <w:id w:val="-100605412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其中重要的应收利息核销情况</w:t>
      </w:r>
    </w:p>
    <w:sdt>
      <w:sdtPr>
        <w:rPr>
          <w:rFonts w:hint="eastAsia"/>
        </w:rPr>
        <w:alias w:val="是否适用：重要的核销情况[双击切换]"/>
        <w:tag w:val="_GBC_2cc69a5549814fd6aee1164366f580ec"/>
        <w:id w:val="64186163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核销说明：</w:t>
      </w:r>
    </w:p>
    <w:sdt>
      <w:sdtPr>
        <w:alias w:val="是否适用：核销说明[双击切换]"/>
        <w:tag w:val="_GBC_d8b86767c1604cb69ee84c043aa1b8dc"/>
        <w:id w:val="460547838"/>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bookmarkEnd w:id="413"/>
    <w:p>
      <w:pPr>
        <w:pStyle w:val="Style217"/>
      </w:pPr>
      <w:r>
        <w:rPr>
          <w:rFonts w:hint="eastAsia"/>
        </w:rPr>
        <w:t>其他说明：</w:t>
      </w:r>
    </w:p>
    <w:sdt>
      <w:sdtPr>
        <w:rPr>
          <w:rFonts w:hint="eastAsia"/>
        </w:rPr>
        <w:alias w:val="是否适用：应收利息的说明[双击切换]"/>
        <w:tag w:val="_GBC_353af20a1db84c639b0e03e660c37a48"/>
        <w:id w:val="198365477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ind w:left="360" w:hanging="360"/>
      </w:pPr>
      <w:r>
        <w:rPr>
          <w:rFonts w:hint="eastAsia"/>
        </w:rPr>
        <w:t>应收股利</w:t>
      </w:r>
    </w:p>
    <w:p>
      <w:pPr>
        <w:pStyle w:val="Style180"/>
        <w:numPr>
          <w:ilvl w:val="0"/>
          <w:numId w:val="81"/>
        </w:numPr>
        <w:ind w:leftChars="0"/>
      </w:pPr>
      <w:r>
        <w:rPr>
          <w:rFonts w:hint="eastAsia"/>
        </w:rPr>
        <w:t>应收股利</w:t>
      </w:r>
    </w:p>
    <w:sdt>
      <w:sdtPr>
        <w:alias w:val="是否适用：应收股利[双击切换]"/>
        <w:tag w:val="_GBC_c0f7b0360a644690b0472107042df17a"/>
        <w:id w:val="21809619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81"/>
        </w:numPr>
        <w:ind w:leftChars="0"/>
      </w:pPr>
      <w:r>
        <w:rPr>
          <w:rFonts w:hint="eastAsia"/>
        </w:rPr>
        <w:lastRenderedPageBreak/>
        <w:t>重要的账龄超过</w:t>
      </w:r>
      <w:r>
        <w:rPr>
          <w:rFonts w:hint="eastAsia"/>
        </w:rPr>
        <w:t>1</w:t>
      </w:r>
      <w:r>
        <w:rPr>
          <w:rFonts w:hint="eastAsia"/>
        </w:rPr>
        <w:t>年的应收股利</w:t>
      </w:r>
    </w:p>
    <w:p>
      <w:pPr>
        <w:pStyle w:val="Style217"/>
      </w:pPr>
      <w:sdt>
        <w:sdtPr>
          <w:rPr>
            <w:rFonts w:hint="eastAsia"/>
          </w:rPr>
          <w:alias w:val="是否适用：重要的账龄超过1年的应收股利[双击切换]"/>
          <w:tag w:val="_GBC_d46c4e6d2f2e4e20b430a619bde9abe8"/>
          <w:id w:val="-434598158"/>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pStyle w:val="Style217"/>
      </w:pPr>
    </w:p>
    <w:p>
      <w:pPr>
        <w:pStyle w:val="Style180"/>
        <w:numPr>
          <w:ilvl w:val="0"/>
          <w:numId w:val="81"/>
        </w:numPr>
        <w:ind w:leftChars="0"/>
      </w:pPr>
      <w:bookmarkStart w:id="414" w:name="_Hlk153377225"/>
      <w:r>
        <w:rPr>
          <w:rFonts w:hint="eastAsia"/>
        </w:rPr>
        <w:t>按坏账计提方法分类披露</w:t>
      </w:r>
    </w:p>
    <w:sdt>
      <w:sdtPr>
        <w:alias w:val="是否适用：按坏账计提方法分类披露[双击切换]"/>
        <w:tag w:val="_GBC_ad0add93fbe54bc5984d3fdcd19c4070"/>
        <w:id w:val="122826098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w:t>
      </w:r>
    </w:p>
    <w:sdt>
      <w:sdtPr>
        <w:alias w:val="是否适用：按单项计提坏账准备的详细情况[双击切换]"/>
        <w:tag w:val="_GBC_0715807534664009b6e06e12b5244cb0"/>
        <w:id w:val="-6079548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按单项计提坏账准备的说明：</w:t>
      </w:r>
    </w:p>
    <w:sdt>
      <w:sdtPr>
        <w:alias w:val="是否适用：按单项计提坏账准备的说明[双击切换]"/>
        <w:tag w:val="_GBC_22fd3e53fab548e0b8db7ad77d176da5"/>
        <w:id w:val="167746246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Cs/>
          <w:szCs w:val="22"/>
        </w:rPr>
      </w:pPr>
      <w:r>
        <w:rPr>
          <w:rFonts w:ascii="Calibri" w:hAnsi="Calibri" w:hint="eastAsia"/>
          <w:bCs/>
          <w:szCs w:val="22"/>
        </w:rPr>
        <w:t>按组合计提坏账准备：</w:t>
      </w:r>
    </w:p>
    <w:sdt>
      <w:sdtPr>
        <w:rPr>
          <w:rFonts w:ascii="Calibri" w:hAnsi="Calibri"/>
        </w:rPr>
        <w:alias w:val="是否适用：按组合计提坏账准备的详细情况[双击切换]"/>
        <w:tag w:val="_GBC_3fb2695da2d2471f82cd62f8736c521e"/>
        <w:id w:val="124546106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Calibri" w:hAnsi="Calibri"/>
          <w:b/>
          <w:bCs/>
          <w:szCs w:val="22"/>
        </w:rPr>
      </w:pPr>
    </w:p>
    <w:p>
      <w:pPr>
        <w:pStyle w:val="Style180"/>
        <w:numPr>
          <w:ilvl w:val="0"/>
          <w:numId w:val="81"/>
        </w:numPr>
        <w:ind w:leftChars="0"/>
      </w:pPr>
      <w:bookmarkStart w:id="415" w:name="_Hlk533421146"/>
      <w:bookmarkEnd w:id="414"/>
      <w:r>
        <w:rPr>
          <w:rFonts w:hint="eastAsia"/>
        </w:rPr>
        <w:t>按预期信用损失一般模型计提坏账准备</w:t>
      </w:r>
    </w:p>
    <w:sdt>
      <w:sdtPr>
        <w:alias w:val="是否适用：应收股利坏账准备调节表[双击切换]"/>
        <w:tag w:val="_GBC_847cf15503744e02b8ac7395c17d2da6"/>
        <w:id w:val="185853396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autoSpaceDE w:val="0"/>
        <w:autoSpaceDN w:val="0"/>
        <w:adjustRightInd w:val="0"/>
        <w:ind w:rightChars="50" w:right="105"/>
      </w:pPr>
      <w:r>
        <w:rPr>
          <w:rFonts w:hint="eastAsia"/>
        </w:rPr>
        <w:t>各阶段划分依据和坏账准备计提比例：</w:t>
      </w:r>
    </w:p>
    <w:sdt>
      <w:sdtPr>
        <w:rPr>
          <w:bCs/>
          <w:szCs w:val="22"/>
        </w:rPr>
        <w:alias w:val="应收股利各阶段划分依据和坏账准备计提比例"/>
        <w:tag w:val="_GBC_0e68af3552e84111bee1ae1542bcf907"/>
        <w:id w:val="12354380"/>
        <w:placeholder>
          <w:docPart w:val="GBC22222222222222222222222222222"/>
        </w:placeholder>
      </w:sdtPr>
      <w:sdtContent>
        <w:p>
          <w:pPr>
            <w:rPr>
              <w:bCs/>
              <w:szCs w:val="22"/>
            </w:rPr>
          </w:pPr>
          <w:r>
            <w:rPr>
              <w:rFonts w:hint="eastAsia"/>
              <w:bCs/>
              <w:szCs w:val="22"/>
            </w:rPr>
            <w:t>-</w:t>
          </w:r>
        </w:p>
      </w:sdtContent>
    </w:sdt>
    <w:p>
      <w:pPr>
        <w:autoSpaceDE w:val="0"/>
        <w:autoSpaceDN w:val="0"/>
        <w:adjustRightInd w:val="0"/>
        <w:ind w:rightChars="50" w:right="105"/>
      </w:pPr>
    </w:p>
    <w:p>
      <w:pPr>
        <w:pStyle w:val="Style201"/>
      </w:pPr>
      <w:r>
        <w:rPr>
          <w:rFonts w:hint="eastAsia"/>
        </w:rPr>
        <w:t>对本期发生损失准备变动的应收股利账面余额显著变动的情况说明：</w:t>
      </w:r>
    </w:p>
    <w:sdt>
      <w:sdtPr>
        <w:alias w:val="是否适用：应收股利本期发生损失准备变动且账面余额显著变动的情况说明[双击切换]"/>
        <w:tag w:val="_GBC_f431acf85fd94f1eb2cd4d70b0f69b2c"/>
        <w:id w:val="1688487479"/>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autoSpaceDE w:val="0"/>
        <w:autoSpaceDN w:val="0"/>
        <w:adjustRightInd w:val="0"/>
        <w:ind w:rightChars="50" w:right="105"/>
      </w:pPr>
    </w:p>
    <w:p>
      <w:pPr>
        <w:pStyle w:val="Style180"/>
        <w:numPr>
          <w:ilvl w:val="0"/>
          <w:numId w:val="81"/>
        </w:numPr>
        <w:ind w:leftChars="0"/>
      </w:pPr>
      <w:bookmarkStart w:id="416" w:name="_Hlk153377452"/>
      <w:bookmarkEnd w:id="415"/>
      <w:r>
        <w:rPr>
          <w:rFonts w:hint="eastAsia"/>
        </w:rPr>
        <w:t>坏账准备的情况</w:t>
      </w:r>
    </w:p>
    <w:sdt>
      <w:sdtPr>
        <w:alias w:val="是否适用：坏账准备情况[双击切换]"/>
        <w:tag w:val="_GBC_3425c1c233b1473ca1aaf53c81088091"/>
        <w:id w:val="6615360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其中本期坏账准备收回或转回金额重要的：</w:t>
      </w:r>
    </w:p>
    <w:sdt>
      <w:sdtPr>
        <w:alias w:val="是否适用：本期坏账准备收回或转回金额重要的[双击切换]"/>
        <w:tag w:val="_GBC_d8ca1b67740e4a2e8d7777b8dee9c902"/>
        <w:id w:val="-44801065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坏账准备情况的说明"/>
        <w:tag w:val="_GBC_104cb6ff4d2044ffaa8bbdd64dd76905"/>
        <w:id w:val="-598409630"/>
        <w:placeholder>
          <w:docPart w:val="GBC22222222222222222222222222222"/>
        </w:placeholder>
      </w:sdtPr>
      <w:sdtContent>
        <w:p>
          <w:pPr>
            <w:ind w:rightChars="20" w:right="42"/>
          </w:pPr>
          <w:r>
            <w:rPr>
              <w:rFonts w:hint="eastAsia"/>
            </w:rPr>
            <w:t>-</w:t>
          </w:r>
        </w:p>
      </w:sdtContent>
    </w:sdt>
    <w:p>
      <w:pPr>
        <w:ind w:rightChars="-759" w:right="-1594"/>
      </w:pPr>
    </w:p>
    <w:p>
      <w:pPr>
        <w:pStyle w:val="Style180"/>
        <w:numPr>
          <w:ilvl w:val="0"/>
          <w:numId w:val="81"/>
        </w:numPr>
        <w:ind w:leftChars="0"/>
      </w:pPr>
      <w:r>
        <w:rPr>
          <w:rFonts w:hint="eastAsia"/>
        </w:rPr>
        <w:t>本期实际核销的应收股利情况</w:t>
      </w:r>
    </w:p>
    <w:sdt>
      <w:sdtPr>
        <w:alias w:val="是否适用：实际核销的情况[双击切换]"/>
        <w:tag w:val="_GBC_affd5e7be1cd4edaac5e7416308656eb"/>
        <w:id w:val="139539142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其中重要的应收股利核销情况</w:t>
      </w:r>
    </w:p>
    <w:sdt>
      <w:sdtPr>
        <w:rPr>
          <w:rFonts w:hint="eastAsia"/>
        </w:rPr>
        <w:alias w:val="是否适用：重要的核销情况[双击切换]"/>
        <w:tag w:val="_GBC_a09dafd42ae74d3fae2308963d62171e"/>
        <w:id w:val="-5610079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核销说明：</w:t>
      </w:r>
    </w:p>
    <w:sdt>
      <w:sdtPr>
        <w:alias w:val="是否适用：核销说明[双击切换]"/>
        <w:tag w:val="_GBC_fd7a575bc84240be8d95e73a6c70d53d"/>
        <w:id w:val="314920202"/>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bookmarkEnd w:id="416"/>
    <w:p>
      <w:pPr>
        <w:pStyle w:val="Style217"/>
      </w:pPr>
      <w:r>
        <w:rPr>
          <w:rFonts w:hint="eastAsia"/>
        </w:rPr>
        <w:t>其他说明：</w:t>
      </w:r>
    </w:p>
    <w:p>
      <w:pPr>
        <w:pStyle w:val="Style217"/>
      </w:pPr>
      <w:sdt>
        <w:sdtPr>
          <w:alias w:val="是否适用：应收股利的说明[双击切换]"/>
          <w:tag w:val="_GBC_22314d2cdf794d5f90af92f13665da22"/>
          <w:id w:val="-772626490"/>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snapToGrid w:val="0"/>
        <w:spacing w:line="240" w:lineRule="atLeast"/>
        <w:ind w:rightChars="12" w:right="25"/>
        <w:rPr>
          <w:color w:val="FF0000"/>
        </w:rPr>
      </w:pPr>
    </w:p>
    <w:p>
      <w:pPr>
        <w:pStyle w:val="Style179"/>
        <w:ind w:left="360" w:hanging="360"/>
      </w:pPr>
      <w:r>
        <w:rPr>
          <w:rFonts w:hint="eastAsia"/>
        </w:rPr>
        <w:lastRenderedPageBreak/>
        <w:t>其他应收款</w:t>
      </w:r>
    </w:p>
    <w:p>
      <w:pPr>
        <w:pStyle w:val="Style180"/>
        <w:numPr>
          <w:ilvl w:val="0"/>
          <w:numId w:val="81"/>
        </w:numPr>
        <w:ind w:leftChars="0"/>
      </w:pPr>
      <w:bookmarkStart w:id="417" w:name="_Hlk533421204"/>
      <w:r>
        <w:rPr>
          <w:rFonts w:hint="eastAsia"/>
        </w:rPr>
        <w:t>按账龄披露</w:t>
      </w:r>
      <w:bookmarkEnd w:id="417"/>
    </w:p>
    <w:sdt>
      <w:sdtPr>
        <w:rPr>
          <w:rFonts w:hint="eastAsia"/>
        </w:rPr>
        <w:alias w:val="是否适用：组合中，按账龄分析法计提坏账准备的其他应收账款[双击切换]"/>
        <w:tag w:val="_GBC_b46a4e720a884c40b402c5b30a4f4432"/>
        <w:id w:val="-100195975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5699700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单项金额不重大但按信用风险特征组合后该组合的风险较大的其他应收账款"/>
          <w:tag w:val="_GBC_eccd3e1ac8d04ff882b9e0189e7dd629"/>
          <w:id w:val="13479094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072"/>
        <w:gridCol w:w="2993"/>
        <w:gridCol w:w="2993"/>
      </w:tblGrid>
      <w:tr>
        <w:trPr>
          <w:cantSplit/>
        </w:trPr>
        <w:sdt>
          <w:sdtPr>
            <w:rPr>
              <w:rFonts w:asciiTheme="minorEastAsia" w:eastAsiaTheme="minorEastAsia" w:hAnsiTheme="minorEastAsia"/>
            </w:rPr>
            <w:tag w:val="_PLD_3693c274d2774e098d4e6f0b6ce787c4"/>
            <w:id w:val="1972245220"/>
          </w:sdtPr>
          <w:sdtContent>
            <w:tc>
              <w:tcPr>
                <w:tcW w:w="3072" w:type="dxa"/>
                <w:tcBorders>
                  <w:top w:val="single" w:sz="4" w:space="0" w:color="auto"/>
                  <w:left w:val="single" w:sz="4" w:space="0" w:color="auto"/>
                  <w:bottom w:val="single" w:sz="4" w:space="0" w:color="auto"/>
                  <w:right w:val="single" w:sz="4" w:space="0" w:color="auto"/>
                </w:tcBorders>
                <w:vAlign w:val="center"/>
              </w:tcPr>
              <w:p>
                <w:pPr>
                  <w:jc w:val="center"/>
                  <w:rPr>
                    <w:rFonts w:asciiTheme="minorEastAsia" w:eastAsiaTheme="minorEastAsia" w:hAnsiTheme="minorEastAsia"/>
                  </w:rPr>
                </w:pPr>
                <w:r>
                  <w:rPr>
                    <w:rFonts w:asciiTheme="minorEastAsia" w:eastAsiaTheme="minorEastAsia" w:hAnsiTheme="minorEastAsia" w:hint="eastAsia"/>
                  </w:rPr>
                  <w:t>账龄</w:t>
                </w:r>
              </w:p>
            </w:tc>
          </w:sdtContent>
        </w:sdt>
        <w:sdt>
          <w:sdtPr>
            <w:rPr>
              <w:rFonts w:asciiTheme="minorEastAsia" w:eastAsiaTheme="minorEastAsia" w:hAnsiTheme="minorEastAsia"/>
            </w:rPr>
            <w:tag w:val="_PLD_592d3cc76c64401da21e664b374ad045"/>
            <w:id w:val="-42294624"/>
          </w:sdtPr>
          <w:sdtContent>
            <w:tc>
              <w:tcPr>
                <w:tcW w:w="2993" w:type="dxa"/>
                <w:tcBorders>
                  <w:top w:val="single" w:sz="4" w:space="0" w:color="auto"/>
                  <w:left w:val="single" w:sz="4" w:space="0" w:color="auto"/>
                  <w:bottom w:val="single" w:sz="4" w:space="0" w:color="auto"/>
                  <w:right w:val="single" w:sz="4" w:space="0" w:color="auto"/>
                </w:tcBorders>
                <w:vAlign w:val="center"/>
              </w:tcPr>
              <w:p>
                <w:pPr>
                  <w:jc w:val="center"/>
                  <w:rPr>
                    <w:rFonts w:asciiTheme="minorEastAsia" w:eastAsiaTheme="minorEastAsia" w:hAnsiTheme="minorEastAsia"/>
                  </w:rPr>
                </w:pPr>
                <w:r>
                  <w:rPr>
                    <w:rFonts w:asciiTheme="minorEastAsia" w:eastAsiaTheme="minorEastAsia" w:hAnsiTheme="minorEastAsia" w:hint="eastAsia"/>
                  </w:rPr>
                  <w:t>期末账面余额</w:t>
                </w:r>
              </w:p>
            </w:tc>
          </w:sdtContent>
        </w:sdt>
        <w:tc>
          <w:tcPr>
            <w:tcW w:w="2993" w:type="dxa"/>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rPr>
              <w:tag w:val="_PLD_9bcf94b318874d63924c35d852b5b3c8"/>
              <w:id w:val="677691774"/>
            </w:sdtPr>
            <w:sdtContent>
              <w:p>
                <w:pPr>
                  <w:jc w:val="center"/>
                  <w:rPr>
                    <w:rFonts w:asciiTheme="minorEastAsia" w:eastAsiaTheme="minorEastAsia" w:hAnsiTheme="minorEastAsia"/>
                  </w:rPr>
                </w:pPr>
                <w:r>
                  <w:rPr>
                    <w:rFonts w:asciiTheme="minorEastAsia" w:eastAsiaTheme="minorEastAsia" w:hAnsiTheme="minorEastAsia" w:hint="eastAsia"/>
                  </w:rPr>
                  <w:t>期初账面余额</w:t>
                </w:r>
              </w:p>
            </w:sdtContent>
          </w:sdt>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rPr>
                <w:rFonts w:asciiTheme="minorEastAsia" w:eastAsiaTheme="minorEastAsia" w:hAnsiTheme="minorEastAsia"/>
              </w:rPr>
            </w:pPr>
            <w:r>
              <w:rPr>
                <w:rFonts w:asciiTheme="minorEastAsia" w:eastAsiaTheme="minorEastAsia" w:hAnsiTheme="minorEastAsia" w:hint="eastAsia"/>
              </w:rPr>
              <w:t>1年以内（含1年）</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20,900,981</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hint="eastAsia"/>
              </w:rPr>
              <w:t>2,796,908</w:t>
            </w:r>
          </w:p>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rPr>
                <w:rFonts w:asciiTheme="minorEastAsia" w:eastAsiaTheme="minorEastAsia" w:hAnsiTheme="minorEastAsia"/>
              </w:rPr>
            </w:pPr>
            <w:r>
              <w:rPr>
                <w:rFonts w:asciiTheme="minorEastAsia" w:eastAsiaTheme="minorEastAsia" w:hAnsiTheme="minorEastAsia" w:hint="eastAsia"/>
              </w:rPr>
              <w:t>1至2年</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hint="eastAsia"/>
              </w:rPr>
              <w:t>1,891,451</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rPr>
              <w:t>637,376</w:t>
            </w:r>
          </w:p>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rPr>
                <w:rFonts w:asciiTheme="minorEastAsia" w:eastAsiaTheme="minorEastAsia" w:hAnsiTheme="minorEastAsia"/>
              </w:rPr>
            </w:pPr>
            <w:r>
              <w:rPr>
                <w:rFonts w:asciiTheme="minorEastAsia" w:eastAsiaTheme="minorEastAsia" w:hAnsiTheme="minorEastAsia" w:hint="eastAsia"/>
              </w:rPr>
              <w:t>2至3年</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rPr>
              <w:t>254,057</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rPr>
              <w:t>205,225</w:t>
            </w:r>
          </w:p>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rPr>
                <w:rFonts w:asciiTheme="minorEastAsia" w:eastAsiaTheme="minorEastAsia" w:hAnsiTheme="minorEastAsia"/>
              </w:rPr>
            </w:pPr>
            <w:r>
              <w:rPr>
                <w:rFonts w:asciiTheme="minorEastAsia" w:eastAsiaTheme="minorEastAsia" w:hAnsiTheme="minorEastAsia" w:hint="eastAsia"/>
              </w:rPr>
              <w:t>3年以上</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hint="eastAsia"/>
              </w:rPr>
              <w:t>1,836,388</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hint="eastAsia"/>
              </w:rPr>
              <w:t>2,064,273</w:t>
            </w:r>
          </w:p>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jc w:val="center"/>
              <w:rPr>
                <w:rFonts w:asciiTheme="minorEastAsia" w:eastAsiaTheme="minorEastAsia" w:hAnsiTheme="minorEastAsia"/>
              </w:rPr>
            </w:pPr>
            <w:r>
              <w:rPr>
                <w:rFonts w:asciiTheme="minorEastAsia" w:eastAsiaTheme="minorEastAsia" w:hAnsiTheme="minorEastAsia" w:hint="eastAsia"/>
              </w:rPr>
              <w:t>合计</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rPr>
              <w:t>24,882,877</w:t>
            </w:r>
          </w:p>
        </w:tc>
        <w:tc>
          <w:tcPr>
            <w:tcW w:w="2993" w:type="dxa"/>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hint="eastAsia"/>
              </w:rPr>
              <w:t>5,703,782</w:t>
            </w:r>
          </w:p>
        </w:tc>
      </w:tr>
    </w:tbl>
    <w:p>
      <w:pPr>
        <w:pStyle w:val="Style217"/>
      </w:pPr>
    </w:p>
    <w:p>
      <w:pPr>
        <w:pStyle w:val="Style180"/>
        <w:numPr>
          <w:ilvl w:val="0"/>
          <w:numId w:val="81"/>
        </w:numPr>
        <w:ind w:leftChars="0"/>
      </w:pPr>
      <w:r>
        <w:rPr>
          <w:rFonts w:hint="eastAsia"/>
        </w:rPr>
        <w:t>按款项性质分类情况</w:t>
      </w:r>
    </w:p>
    <w:p>
      <w:pPr>
        <w:pStyle w:val="Style217"/>
      </w:pPr>
      <w:sdt>
        <w:sdtPr>
          <w:alias w:val="是否适用：其他应收款按款项性质分类情况[双击切换]"/>
          <w:tag w:val="_GBC_f8f8208812d5412eb0a2fdddf1a9d330"/>
          <w:id w:val="1705751685"/>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其他应收款按款项性质分类情况"/>
          <w:tag w:val="_GBC_6e3e3b79e1a6467e8f5cdcabc0a95e4a"/>
          <w:id w:val="-15041215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其他应收款按款项性质分类情况"/>
          <w:tag w:val="_GBC_09f3d6bcff8b483f9de34a3ddb25bad4"/>
          <w:id w:val="19340849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6"/>
        <w:gridCol w:w="2980"/>
        <w:gridCol w:w="2991"/>
      </w:tblGrid>
      <w:tr>
        <w:sdt>
          <w:sdtPr>
            <w:tag w:val="_PLD_e3e4ae09c73a4371a49803278d537455"/>
            <w:id w:val="-2112120959"/>
          </w:sdtPr>
          <w:sdtContent>
            <w:tc>
              <w:tcPr>
                <w:tcW w:w="3076" w:type="dxa"/>
                <w:vAlign w:val="center"/>
              </w:tcPr>
              <w:p>
                <w:pPr>
                  <w:jc w:val="center"/>
                </w:pPr>
                <w:r>
                  <w:rPr>
                    <w:rFonts w:hint="eastAsia"/>
                  </w:rPr>
                  <w:t>款项性质</w:t>
                </w:r>
              </w:p>
            </w:tc>
          </w:sdtContent>
        </w:sdt>
        <w:sdt>
          <w:sdtPr>
            <w:tag w:val="_PLD_166416173edb4a39b34c47c78d0dc766"/>
            <w:id w:val="-1606115182"/>
          </w:sdtPr>
          <w:sdtContent>
            <w:tc>
              <w:tcPr>
                <w:tcW w:w="2980" w:type="dxa"/>
                <w:vAlign w:val="center"/>
              </w:tcPr>
              <w:p>
                <w:pPr>
                  <w:jc w:val="center"/>
                </w:pPr>
                <w:r>
                  <w:rPr>
                    <w:rFonts w:hint="eastAsia"/>
                  </w:rPr>
                  <w:t>期末账面余额</w:t>
                </w:r>
              </w:p>
            </w:tc>
          </w:sdtContent>
        </w:sdt>
        <w:sdt>
          <w:sdtPr>
            <w:tag w:val="_PLD_a78baace40634aeaaff4786c955e1f60"/>
            <w:id w:val="1785082182"/>
          </w:sdtPr>
          <w:sdtContent>
            <w:tc>
              <w:tcPr>
                <w:tcW w:w="2991" w:type="dxa"/>
                <w:vAlign w:val="center"/>
              </w:tcPr>
              <w:p>
                <w:pPr>
                  <w:jc w:val="center"/>
                </w:pPr>
                <w:r>
                  <w:rPr>
                    <w:rFonts w:hint="eastAsia"/>
                  </w:rPr>
                  <w:t>期初账面余额</w:t>
                </w:r>
              </w:p>
            </w:tc>
          </w:sdtContent>
        </w:sdt>
      </w:tr>
      <w:tr>
        <w:tc>
          <w:tcPr>
            <w:tcW w:w="3076" w:type="dxa"/>
            <w:vAlign w:val="center"/>
          </w:tcPr>
          <w:p>
            <w:pPr>
              <w:pStyle w:val="Style217"/>
            </w:pPr>
            <w:r>
              <w:rPr>
                <w:rFonts w:hint="eastAsia"/>
              </w:rPr>
              <w:t>往来款</w:t>
            </w:r>
          </w:p>
        </w:tc>
        <w:tc>
          <w:tcPr>
            <w:tcW w:w="2980" w:type="dxa"/>
            <w:vAlign w:val="center"/>
          </w:tcPr>
          <w:p>
            <w:pPr>
              <w:jc w:val="right"/>
              <w:rPr>
                <w:rFonts w:ascii="宋体" w:hAnsi="宋体"/>
              </w:rPr>
            </w:pPr>
            <w:r>
              <w:rPr>
                <w:rFonts w:ascii="宋体" w:hAnsi="宋体"/>
              </w:rPr>
              <w:t>4,091,337</w:t>
            </w:r>
          </w:p>
        </w:tc>
        <w:tc>
          <w:tcPr>
            <w:tcW w:w="2991" w:type="dxa"/>
            <w:vAlign w:val="center"/>
          </w:tcPr>
          <w:p>
            <w:pPr>
              <w:jc w:val="right"/>
              <w:rPr>
                <w:rFonts w:ascii="宋体" w:hAnsi="宋体"/>
              </w:rPr>
            </w:pPr>
            <w:r>
              <w:rPr>
                <w:rFonts w:ascii="宋体" w:hAnsi="宋体"/>
              </w:rPr>
              <w:t>3,490,602</w:t>
            </w:r>
          </w:p>
        </w:tc>
      </w:tr>
      <w:tr>
        <w:tc>
          <w:tcPr>
            <w:tcW w:w="3076" w:type="dxa"/>
            <w:vAlign w:val="center"/>
          </w:tcPr>
          <w:p>
            <w:pPr>
              <w:pStyle w:val="Style217"/>
            </w:pPr>
            <w:r>
              <w:rPr>
                <w:rFonts w:hint="eastAsia"/>
              </w:rPr>
              <w:t>预计无法收回的款项</w:t>
            </w:r>
          </w:p>
        </w:tc>
        <w:tc>
          <w:tcPr>
            <w:tcW w:w="2980" w:type="dxa"/>
            <w:vAlign w:val="center"/>
          </w:tcPr>
          <w:p>
            <w:pPr>
              <w:jc w:val="right"/>
              <w:rPr>
                <w:rFonts w:ascii="宋体" w:hAnsi="宋体"/>
              </w:rPr>
            </w:pPr>
            <w:r>
              <w:rPr>
                <w:rFonts w:ascii="宋体" w:hAnsi="宋体"/>
              </w:rPr>
              <w:t>1,659,717</w:t>
            </w:r>
          </w:p>
        </w:tc>
        <w:tc>
          <w:tcPr>
            <w:tcW w:w="2991" w:type="dxa"/>
            <w:vAlign w:val="center"/>
          </w:tcPr>
          <w:p>
            <w:pPr>
              <w:jc w:val="right"/>
              <w:rPr>
                <w:rFonts w:ascii="宋体" w:hAnsi="宋体"/>
              </w:rPr>
            </w:pPr>
            <w:r>
              <w:rPr>
                <w:rFonts w:ascii="宋体" w:hAnsi="宋体"/>
              </w:rPr>
              <w:t>1,427,587</w:t>
            </w:r>
          </w:p>
        </w:tc>
      </w:tr>
      <w:tr>
        <w:tc>
          <w:tcPr>
            <w:tcW w:w="3076" w:type="dxa"/>
            <w:vAlign w:val="center"/>
          </w:tcPr>
          <w:p>
            <w:pPr>
              <w:pStyle w:val="Style217"/>
            </w:pPr>
            <w:r>
              <w:rPr>
                <w:rFonts w:hint="eastAsia"/>
              </w:rPr>
              <w:t>应收代垫款</w:t>
            </w:r>
          </w:p>
        </w:tc>
        <w:tc>
          <w:tcPr>
            <w:tcW w:w="2980" w:type="dxa"/>
            <w:vAlign w:val="center"/>
          </w:tcPr>
          <w:p>
            <w:pPr>
              <w:jc w:val="right"/>
            </w:pPr>
            <w:r>
              <w:rPr>
                <w:rFonts w:ascii="宋体" w:hAnsi="宋体" w:hint="eastAsia"/>
              </w:rPr>
              <w:t>187,206</w:t>
            </w:r>
          </w:p>
        </w:tc>
        <w:tc>
          <w:tcPr>
            <w:tcW w:w="2991" w:type="dxa"/>
            <w:vAlign w:val="center"/>
          </w:tcPr>
          <w:p>
            <w:pPr>
              <w:jc w:val="right"/>
            </w:pPr>
            <w:r>
              <w:rPr>
                <w:rFonts w:ascii="宋体" w:hAnsi="宋体" w:hint="eastAsia"/>
              </w:rPr>
              <w:t>181,160</w:t>
            </w:r>
          </w:p>
        </w:tc>
      </w:tr>
      <w:tr>
        <w:tc>
          <w:tcPr>
            <w:tcW w:w="3076" w:type="dxa"/>
            <w:vAlign w:val="center"/>
          </w:tcPr>
          <w:p>
            <w:pPr>
              <w:pStyle w:val="Style217"/>
            </w:pPr>
            <w:r>
              <w:rPr>
                <w:rFonts w:hint="eastAsia"/>
              </w:rPr>
              <w:t>押金保证金</w:t>
            </w:r>
          </w:p>
        </w:tc>
        <w:tc>
          <w:tcPr>
            <w:tcW w:w="2980" w:type="dxa"/>
            <w:vAlign w:val="center"/>
          </w:tcPr>
          <w:p>
            <w:pPr>
              <w:jc w:val="right"/>
            </w:pPr>
            <w:r>
              <w:rPr>
                <w:rFonts w:ascii="宋体" w:hAnsi="宋体" w:hint="eastAsia"/>
              </w:rPr>
              <w:t>236,964</w:t>
            </w:r>
          </w:p>
        </w:tc>
        <w:tc>
          <w:tcPr>
            <w:tcW w:w="2991" w:type="dxa"/>
            <w:vAlign w:val="center"/>
          </w:tcPr>
          <w:p>
            <w:pPr>
              <w:jc w:val="right"/>
            </w:pPr>
            <w:r>
              <w:rPr>
                <w:rFonts w:ascii="宋体" w:hAnsi="宋体" w:hint="eastAsia"/>
              </w:rPr>
              <w:t>367,393</w:t>
            </w:r>
          </w:p>
        </w:tc>
      </w:tr>
      <w:tr>
        <w:tc>
          <w:tcPr>
            <w:tcW w:w="3076" w:type="dxa"/>
            <w:vAlign w:val="center"/>
          </w:tcPr>
          <w:p>
            <w:pPr>
              <w:pStyle w:val="Style217"/>
            </w:pPr>
            <w:r>
              <w:rPr>
                <w:rFonts w:hint="eastAsia"/>
              </w:rPr>
              <w:t>备用金</w:t>
            </w:r>
          </w:p>
        </w:tc>
        <w:tc>
          <w:tcPr>
            <w:tcW w:w="2980" w:type="dxa"/>
            <w:vAlign w:val="center"/>
          </w:tcPr>
          <w:p>
            <w:pPr>
              <w:jc w:val="right"/>
            </w:pPr>
            <w:r>
              <w:rPr>
                <w:rFonts w:ascii="宋体" w:hAnsi="宋体" w:hint="eastAsia"/>
              </w:rPr>
              <w:t>7,853</w:t>
            </w:r>
          </w:p>
        </w:tc>
        <w:tc>
          <w:tcPr>
            <w:tcW w:w="2991" w:type="dxa"/>
            <w:vAlign w:val="center"/>
          </w:tcPr>
          <w:p>
            <w:pPr>
              <w:jc w:val="right"/>
            </w:pPr>
            <w:r>
              <w:rPr>
                <w:rFonts w:ascii="宋体" w:hAnsi="宋体" w:hint="eastAsia"/>
              </w:rPr>
              <w:t>19,643</w:t>
            </w:r>
          </w:p>
        </w:tc>
      </w:tr>
      <w:tr>
        <w:tc>
          <w:tcPr>
            <w:tcW w:w="3076" w:type="dxa"/>
          </w:tcPr>
          <w:p>
            <w:pPr>
              <w:pStyle w:val="Style217"/>
            </w:pPr>
            <w:r>
              <w:rPr>
                <w:rFonts w:hint="eastAsia"/>
              </w:rPr>
              <w:t>复兴一期承诺期业绩补偿</w:t>
            </w:r>
          </w:p>
        </w:tc>
        <w:tc>
          <w:tcPr>
            <w:tcW w:w="2980" w:type="dxa"/>
            <w:vAlign w:val="center"/>
          </w:tcPr>
          <w:p>
            <w:pPr>
              <w:jc w:val="right"/>
              <w:rPr>
                <w:rFonts w:ascii="宋体" w:hAnsi="宋体"/>
              </w:rPr>
            </w:pPr>
            <w:r>
              <w:rPr>
                <w:rFonts w:ascii="宋体" w:hAnsi="宋体"/>
              </w:rPr>
              <w:t>18,360,561</w:t>
            </w:r>
          </w:p>
        </w:tc>
        <w:tc>
          <w:tcPr>
            <w:tcW w:w="2991" w:type="dxa"/>
            <w:vAlign w:val="center"/>
          </w:tcPr>
          <w:p>
            <w:pPr>
              <w:jc w:val="right"/>
              <w:rPr>
                <w:rFonts w:ascii="宋体" w:hAnsi="宋体"/>
              </w:rPr>
            </w:pPr>
          </w:p>
        </w:tc>
      </w:tr>
      <w:tr>
        <w:tc>
          <w:tcPr>
            <w:tcW w:w="3076" w:type="dxa"/>
            <w:vAlign w:val="center"/>
          </w:tcPr>
          <w:p>
            <w:pPr>
              <w:pStyle w:val="Style217"/>
            </w:pPr>
            <w:r>
              <w:rPr>
                <w:rFonts w:hint="eastAsia"/>
              </w:rPr>
              <w:t>其他</w:t>
            </w:r>
          </w:p>
        </w:tc>
        <w:tc>
          <w:tcPr>
            <w:tcW w:w="2980" w:type="dxa"/>
            <w:vAlign w:val="center"/>
          </w:tcPr>
          <w:p>
            <w:pPr>
              <w:jc w:val="right"/>
              <w:rPr>
                <w:rFonts w:ascii="宋体" w:hAnsi="宋体"/>
              </w:rPr>
            </w:pPr>
            <w:r>
              <w:rPr>
                <w:rFonts w:ascii="宋体" w:hAnsi="宋体"/>
              </w:rPr>
              <w:t>339,239</w:t>
            </w:r>
          </w:p>
        </w:tc>
        <w:tc>
          <w:tcPr>
            <w:tcW w:w="2991" w:type="dxa"/>
            <w:vAlign w:val="center"/>
          </w:tcPr>
          <w:p>
            <w:pPr>
              <w:jc w:val="right"/>
            </w:pPr>
            <w:r>
              <w:rPr>
                <w:rFonts w:ascii="宋体" w:hAnsi="宋体" w:hint="eastAsia"/>
              </w:rPr>
              <w:t>217,397</w:t>
            </w:r>
          </w:p>
        </w:tc>
      </w:tr>
      <w:tr>
        <w:tc>
          <w:tcPr>
            <w:tcW w:w="3076" w:type="dxa"/>
            <w:vAlign w:val="center"/>
          </w:tcPr>
          <w:p>
            <w:pPr>
              <w:jc w:val="center"/>
            </w:pPr>
            <w:r>
              <w:t>合计</w:t>
            </w:r>
          </w:p>
        </w:tc>
        <w:tc>
          <w:tcPr>
            <w:tcW w:w="2980" w:type="dxa"/>
            <w:vAlign w:val="center"/>
          </w:tcPr>
          <w:p>
            <w:pPr>
              <w:jc w:val="right"/>
              <w:rPr>
                <w:rFonts w:ascii="宋体" w:hAnsi="宋体"/>
              </w:rPr>
            </w:pPr>
            <w:r>
              <w:rPr>
                <w:rFonts w:ascii="宋体" w:hAnsi="宋体"/>
              </w:rPr>
              <w:t>24,882,877</w:t>
            </w:r>
          </w:p>
        </w:tc>
        <w:tc>
          <w:tcPr>
            <w:tcW w:w="2991" w:type="dxa"/>
            <w:vAlign w:val="center"/>
          </w:tcPr>
          <w:p>
            <w:pPr>
              <w:jc w:val="right"/>
            </w:pPr>
            <w:r>
              <w:rPr>
                <w:rFonts w:ascii="宋体" w:hAnsi="宋体" w:hint="eastAsia"/>
              </w:rPr>
              <w:t>5,703,782</w:t>
            </w:r>
          </w:p>
        </w:tc>
      </w:tr>
    </w:tbl>
    <w:p>
      <w:pPr>
        <w:pStyle w:val="Style217"/>
      </w:pPr>
    </w:p>
    <w:p>
      <w:pPr>
        <w:pStyle w:val="Style217"/>
      </w:pPr>
    </w:p>
    <w:p>
      <w:pPr>
        <w:pStyle w:val="Style180"/>
        <w:numPr>
          <w:ilvl w:val="0"/>
          <w:numId w:val="81"/>
        </w:numPr>
        <w:ind w:leftChars="0"/>
      </w:pPr>
      <w:bookmarkStart w:id="418" w:name="_Hlk533867880"/>
      <w:r>
        <w:rPr>
          <w:rFonts w:hint="eastAsia"/>
        </w:rPr>
        <w:t>坏账准备计提情况</w:t>
      </w:r>
    </w:p>
    <w:sdt>
      <w:sdtPr>
        <w:alias w:val="是否适用：其他应收款坏账准备调节表[双击切换]"/>
        <w:tag w:val="_GBC_89d7c1af9f504137a919fea1a314fa80"/>
        <w:id w:val="-162353023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ind w:rightChars="50" w:right="105"/>
        <w:jc w:val="right"/>
      </w:pPr>
      <w:r>
        <w:rPr>
          <w:rFonts w:hint="eastAsia"/>
        </w:rPr>
        <w:t>单位：</w:t>
      </w:r>
      <w:sdt>
        <w:sdtPr>
          <w:rPr>
            <w:rFonts w:hint="eastAsia"/>
          </w:rPr>
          <w:alias w:val="单位：其他应收款坏账准备调节表"/>
          <w:tag w:val="_GBC_1e902dc07fc44240af1ff69475733c28"/>
          <w:id w:val="-20609334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其他应收款坏账准备调节表"/>
          <w:tag w:val="_GBC_5e93354ddb8841df82a0d16f2f5b44ae"/>
          <w:id w:val="-7051094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6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602"/>
        <w:gridCol w:w="1960"/>
        <w:gridCol w:w="1960"/>
        <w:gridCol w:w="1726"/>
      </w:tblGrid>
      <w:tr>
        <w:trPr>
          <w:trHeight w:val="286"/>
        </w:trPr>
        <w:sdt>
          <w:sdtPr>
            <w:tag w:val="_PLD_2f734c3456a843bda898d16924c52045"/>
            <w:id w:val="-1782948689"/>
          </w:sdtPr>
          <w:sdtContent>
            <w:tc>
              <w:tcPr>
                <w:tcW w:w="1815" w:type="dxa"/>
                <w:vMerge w:val="restart"/>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22847622"/>
          </w:sdtPr>
          <w:sdtContent>
            <w:tc>
              <w:tcPr>
                <w:tcW w:w="1602"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886914216"/>
          </w:sdtPr>
          <w:sdtContent>
            <w:tc>
              <w:tcPr>
                <w:tcW w:w="1960"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705790748"/>
          </w:sdtPr>
          <w:sdtContent>
            <w:tc>
              <w:tcPr>
                <w:tcW w:w="1960"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994456212"/>
          </w:sdtPr>
          <w:sdtContent>
            <w:tc>
              <w:tcPr>
                <w:tcW w:w="1726" w:type="dxa"/>
                <w:vMerge w:val="restart"/>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trPr>
          <w:trHeight w:val="148"/>
        </w:trPr>
        <w:tc>
          <w:tcPr>
            <w:tcW w:w="1815" w:type="dxa"/>
            <w:vMerge/>
            <w:vAlign w:val="center"/>
          </w:tcPr>
          <w:p>
            <w:pPr>
              <w:jc w:val="center"/>
              <w:rPr>
                <w:color w:val="008000"/>
              </w:rPr>
            </w:pPr>
          </w:p>
        </w:tc>
        <w:sdt>
          <w:sdtPr>
            <w:tag w:val="_PLD_7158bbb0fd6b45478d53b382f0c1a5e9"/>
            <w:id w:val="-1377005784"/>
          </w:sdtPr>
          <w:sdtContent>
            <w:tc>
              <w:tcPr>
                <w:tcW w:w="1602"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253164752"/>
          </w:sdtPr>
          <w:sdtContent>
            <w:tc>
              <w:tcPr>
                <w:tcW w:w="1960"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883358170"/>
          </w:sdtPr>
          <w:sdtContent>
            <w:tc>
              <w:tcPr>
                <w:tcW w:w="1960"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1726" w:type="dxa"/>
            <w:vMerge/>
            <w:vAlign w:val="center"/>
          </w:tcPr>
          <w:p>
            <w:pPr>
              <w:jc w:val="center"/>
              <w:rPr>
                <w:color w:val="008000"/>
              </w:rPr>
            </w:pPr>
          </w:p>
        </w:tc>
      </w:tr>
      <w:tr>
        <w:trPr>
          <w:trHeight w:val="286"/>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1月1日余额</w:t>
            </w:r>
          </w:p>
        </w:tc>
        <w:tc>
          <w:tcPr>
            <w:tcW w:w="1602" w:type="dxa"/>
            <w:vAlign w:val="center"/>
          </w:tcPr>
          <w:p>
            <w:pPr>
              <w:jc w:val="right"/>
            </w:pPr>
          </w:p>
        </w:tc>
        <w:tc>
          <w:tcPr>
            <w:tcW w:w="1960" w:type="dxa"/>
            <w:vAlign w:val="center"/>
          </w:tcPr>
          <w:p>
            <w:pPr>
              <w:jc w:val="right"/>
            </w:pPr>
            <w:r>
              <w:rPr>
                <w:rFonts w:ascii="宋体" w:hAnsi="宋体" w:cs="宋体" w:hint="eastAsia"/>
              </w:rPr>
              <w:t>327,863</w:t>
            </w:r>
          </w:p>
        </w:tc>
        <w:tc>
          <w:tcPr>
            <w:tcW w:w="1960" w:type="dxa"/>
            <w:vAlign w:val="center"/>
          </w:tcPr>
          <w:p>
            <w:pPr>
              <w:jc w:val="right"/>
            </w:pPr>
            <w:r>
              <w:rPr>
                <w:rFonts w:ascii="宋体" w:hAnsi="宋体" w:cs="宋体" w:hint="eastAsia"/>
              </w:rPr>
              <w:t>1,427,587</w:t>
            </w:r>
          </w:p>
        </w:tc>
        <w:tc>
          <w:tcPr>
            <w:tcW w:w="1726" w:type="dxa"/>
            <w:vAlign w:val="center"/>
          </w:tcPr>
          <w:p>
            <w:pPr>
              <w:jc w:val="right"/>
            </w:pPr>
            <w:r>
              <w:rPr>
                <w:rFonts w:ascii="宋体" w:hAnsi="宋体" w:cs="宋体" w:hint="eastAsia"/>
              </w:rPr>
              <w:t>1,755,450</w:t>
            </w:r>
          </w:p>
        </w:tc>
      </w:tr>
      <w:tr>
        <w:trPr>
          <w:trHeight w:val="561"/>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2025年1月1日余额在本期</w:t>
            </w:r>
          </w:p>
        </w:tc>
        <w:tc>
          <w:tcPr>
            <w:tcW w:w="1602" w:type="dxa"/>
            <w:vAlign w:val="center"/>
          </w:tcPr>
          <w:p>
            <w:pPr>
              <w:jc w:val="right"/>
            </w:pPr>
          </w:p>
        </w:tc>
        <w:tc>
          <w:tcPr>
            <w:tcW w:w="1960" w:type="dxa"/>
            <w:vAlign w:val="center"/>
          </w:tcPr>
          <w:p>
            <w:pPr>
              <w:jc w:val="right"/>
              <w:rPr>
                <w:rFonts w:ascii="宋体" w:hAnsi="宋体" w:cs="宋体"/>
              </w:rPr>
            </w:pPr>
            <w:r>
              <w:rPr>
                <w:rFonts w:ascii="宋体" w:hAnsi="宋体" w:cs="宋体" w:hint="eastAsia"/>
              </w:rPr>
              <w:t>-19,108</w:t>
            </w:r>
          </w:p>
        </w:tc>
        <w:tc>
          <w:tcPr>
            <w:tcW w:w="1960" w:type="dxa"/>
            <w:vAlign w:val="center"/>
          </w:tcPr>
          <w:p>
            <w:pPr>
              <w:jc w:val="right"/>
              <w:rPr>
                <w:rFonts w:ascii="宋体" w:hAnsi="宋体" w:cs="宋体"/>
              </w:rPr>
            </w:pPr>
            <w:r>
              <w:rPr>
                <w:rFonts w:ascii="宋体" w:hAnsi="宋体" w:cs="宋体" w:hint="eastAsia"/>
              </w:rPr>
              <w:t>19,108</w:t>
            </w:r>
          </w:p>
        </w:tc>
        <w:tc>
          <w:tcPr>
            <w:tcW w:w="1726" w:type="dxa"/>
            <w:vAlign w:val="center"/>
          </w:tcPr>
          <w:p>
            <w:pPr>
              <w:jc w:val="right"/>
            </w:pPr>
          </w:p>
        </w:tc>
      </w:tr>
      <w:tr>
        <w:trPr>
          <w:trHeight w:val="286"/>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1602" w:type="dxa"/>
            <w:vAlign w:val="center"/>
          </w:tcPr>
          <w:p>
            <w:pPr>
              <w:jc w:val="right"/>
            </w:pPr>
          </w:p>
        </w:tc>
        <w:tc>
          <w:tcPr>
            <w:tcW w:w="1960" w:type="dxa"/>
            <w:vAlign w:val="center"/>
          </w:tcPr>
          <w:p>
            <w:pPr>
              <w:jc w:val="right"/>
            </w:pPr>
          </w:p>
        </w:tc>
        <w:tc>
          <w:tcPr>
            <w:tcW w:w="1960" w:type="dxa"/>
            <w:vAlign w:val="center"/>
          </w:tcPr>
          <w:p>
            <w:pPr>
              <w:jc w:val="right"/>
            </w:pPr>
          </w:p>
        </w:tc>
        <w:tc>
          <w:tcPr>
            <w:tcW w:w="1726" w:type="dxa"/>
            <w:vAlign w:val="center"/>
          </w:tcPr>
          <w:p>
            <w:pPr>
              <w:jc w:val="right"/>
            </w:pPr>
          </w:p>
        </w:tc>
      </w:tr>
      <w:tr>
        <w:trPr>
          <w:trHeight w:val="276"/>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1602" w:type="dxa"/>
            <w:vAlign w:val="center"/>
          </w:tcPr>
          <w:p>
            <w:pPr>
              <w:jc w:val="right"/>
            </w:pPr>
          </w:p>
        </w:tc>
        <w:tc>
          <w:tcPr>
            <w:tcW w:w="1960" w:type="dxa"/>
            <w:vAlign w:val="center"/>
          </w:tcPr>
          <w:p>
            <w:pPr>
              <w:jc w:val="right"/>
            </w:pPr>
            <w:r>
              <w:rPr>
                <w:rFonts w:ascii="宋体" w:hAnsi="宋体" w:cs="宋体" w:hint="eastAsia"/>
              </w:rPr>
              <w:t>-19,108</w:t>
            </w:r>
          </w:p>
        </w:tc>
        <w:tc>
          <w:tcPr>
            <w:tcW w:w="1960" w:type="dxa"/>
            <w:vAlign w:val="center"/>
          </w:tcPr>
          <w:p>
            <w:pPr>
              <w:jc w:val="right"/>
            </w:pPr>
            <w:r>
              <w:rPr>
                <w:rFonts w:ascii="宋体" w:hAnsi="宋体" w:cs="宋体"/>
              </w:rPr>
              <w:t>19,108</w:t>
            </w:r>
          </w:p>
        </w:tc>
        <w:tc>
          <w:tcPr>
            <w:tcW w:w="1726" w:type="dxa"/>
            <w:vAlign w:val="center"/>
          </w:tcPr>
          <w:p>
            <w:pPr>
              <w:jc w:val="right"/>
            </w:pPr>
          </w:p>
        </w:tc>
      </w:tr>
      <w:tr>
        <w:trPr>
          <w:trHeight w:val="286"/>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1602" w:type="dxa"/>
            <w:vAlign w:val="center"/>
          </w:tcPr>
          <w:p>
            <w:pPr>
              <w:jc w:val="right"/>
            </w:pPr>
          </w:p>
        </w:tc>
        <w:tc>
          <w:tcPr>
            <w:tcW w:w="1960" w:type="dxa"/>
            <w:vAlign w:val="center"/>
          </w:tcPr>
          <w:p>
            <w:pPr>
              <w:jc w:val="right"/>
            </w:pPr>
          </w:p>
        </w:tc>
        <w:tc>
          <w:tcPr>
            <w:tcW w:w="1960" w:type="dxa"/>
            <w:vAlign w:val="center"/>
          </w:tcPr>
          <w:p>
            <w:pPr>
              <w:jc w:val="right"/>
            </w:pPr>
          </w:p>
        </w:tc>
        <w:tc>
          <w:tcPr>
            <w:tcW w:w="1726" w:type="dxa"/>
            <w:vAlign w:val="center"/>
          </w:tcPr>
          <w:p>
            <w:pPr>
              <w:jc w:val="right"/>
            </w:pPr>
          </w:p>
        </w:tc>
      </w:tr>
      <w:tr>
        <w:trPr>
          <w:trHeight w:val="286"/>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1602" w:type="dxa"/>
            <w:vAlign w:val="center"/>
          </w:tcPr>
          <w:p>
            <w:pPr>
              <w:jc w:val="right"/>
            </w:pPr>
          </w:p>
        </w:tc>
        <w:tc>
          <w:tcPr>
            <w:tcW w:w="1960" w:type="dxa"/>
            <w:vAlign w:val="center"/>
          </w:tcPr>
          <w:p>
            <w:pPr>
              <w:jc w:val="right"/>
            </w:pPr>
          </w:p>
        </w:tc>
        <w:tc>
          <w:tcPr>
            <w:tcW w:w="1960" w:type="dxa"/>
            <w:vAlign w:val="center"/>
          </w:tcPr>
          <w:p>
            <w:pPr>
              <w:jc w:val="right"/>
            </w:pPr>
          </w:p>
        </w:tc>
        <w:tc>
          <w:tcPr>
            <w:tcW w:w="1726" w:type="dxa"/>
            <w:vAlign w:val="center"/>
          </w:tcPr>
          <w:p>
            <w:pPr>
              <w:jc w:val="right"/>
            </w:pPr>
          </w:p>
        </w:tc>
      </w:tr>
      <w:tr>
        <w:trPr>
          <w:trHeight w:val="276"/>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1602" w:type="dxa"/>
            <w:vAlign w:val="center"/>
          </w:tcPr>
          <w:p>
            <w:pPr>
              <w:jc w:val="right"/>
            </w:pPr>
          </w:p>
        </w:tc>
        <w:tc>
          <w:tcPr>
            <w:tcW w:w="1960" w:type="dxa"/>
            <w:vAlign w:val="center"/>
          </w:tcPr>
          <w:p>
            <w:pPr>
              <w:jc w:val="right"/>
            </w:pPr>
            <w:r>
              <w:rPr>
                <w:rFonts w:ascii="宋体" w:hAnsi="宋体" w:cs="宋体"/>
              </w:rPr>
              <w:t>-21,966</w:t>
            </w:r>
          </w:p>
        </w:tc>
        <w:tc>
          <w:tcPr>
            <w:tcW w:w="1960" w:type="dxa"/>
            <w:vAlign w:val="center"/>
          </w:tcPr>
          <w:p>
            <w:pPr>
              <w:jc w:val="right"/>
            </w:pPr>
            <w:r>
              <w:rPr>
                <w:rFonts w:ascii="宋体" w:hAnsi="宋体" w:cs="宋体" w:hint="eastAsia"/>
              </w:rPr>
              <w:t>599,926</w:t>
            </w:r>
          </w:p>
        </w:tc>
        <w:tc>
          <w:tcPr>
            <w:tcW w:w="1726" w:type="dxa"/>
            <w:vAlign w:val="center"/>
          </w:tcPr>
          <w:p>
            <w:pPr>
              <w:jc w:val="right"/>
            </w:pPr>
            <w:r>
              <w:rPr>
                <w:rFonts w:ascii="宋体" w:hAnsi="宋体" w:cs="宋体" w:hint="eastAsia"/>
              </w:rPr>
              <w:t>577,960</w:t>
            </w:r>
          </w:p>
        </w:tc>
      </w:tr>
      <w:tr>
        <w:trPr>
          <w:trHeight w:val="286"/>
        </w:trPr>
        <w:tc>
          <w:tcPr>
            <w:tcW w:w="1815" w:type="dxa"/>
            <w:vAlign w:val="center"/>
          </w:tcPr>
          <w:p>
            <w:pPr>
              <w:pStyle w:val="Style123"/>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1602" w:type="dxa"/>
            <w:vAlign w:val="center"/>
          </w:tcPr>
          <w:p>
            <w:pPr>
              <w:jc w:val="right"/>
            </w:pPr>
          </w:p>
        </w:tc>
        <w:tc>
          <w:tcPr>
            <w:tcW w:w="1960" w:type="dxa"/>
            <w:vAlign w:val="center"/>
          </w:tcPr>
          <w:p>
            <w:pPr>
              <w:jc w:val="right"/>
            </w:pPr>
            <w:r>
              <w:rPr>
                <w:rFonts w:ascii="宋体" w:hAnsi="宋体" w:cs="宋体"/>
              </w:rPr>
              <w:t>9,974</w:t>
            </w:r>
          </w:p>
        </w:tc>
        <w:tc>
          <w:tcPr>
            <w:tcW w:w="1960" w:type="dxa"/>
            <w:vAlign w:val="center"/>
          </w:tcPr>
          <w:p>
            <w:pPr>
              <w:jc w:val="right"/>
            </w:pPr>
            <w:r>
              <w:rPr>
                <w:rFonts w:ascii="宋体" w:hAnsi="宋体" w:cs="宋体" w:hint="eastAsia"/>
              </w:rPr>
              <w:t>10,813</w:t>
            </w:r>
          </w:p>
        </w:tc>
        <w:tc>
          <w:tcPr>
            <w:tcW w:w="1726" w:type="dxa"/>
            <w:vAlign w:val="center"/>
          </w:tcPr>
          <w:p>
            <w:pPr>
              <w:jc w:val="right"/>
            </w:pPr>
            <w:r>
              <w:rPr>
                <w:rFonts w:ascii="宋体" w:hAnsi="宋体" w:cs="宋体" w:hint="eastAsia"/>
              </w:rPr>
              <w:t>20,787</w:t>
            </w:r>
          </w:p>
        </w:tc>
      </w:tr>
      <w:tr>
        <w:trPr>
          <w:trHeight w:val="276"/>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1602" w:type="dxa"/>
            <w:vAlign w:val="center"/>
          </w:tcPr>
          <w:p>
            <w:pPr>
              <w:jc w:val="right"/>
            </w:pPr>
          </w:p>
        </w:tc>
        <w:tc>
          <w:tcPr>
            <w:tcW w:w="1960" w:type="dxa"/>
            <w:vAlign w:val="center"/>
          </w:tcPr>
          <w:p>
            <w:pPr>
              <w:jc w:val="right"/>
            </w:pPr>
          </w:p>
        </w:tc>
        <w:tc>
          <w:tcPr>
            <w:tcW w:w="1960" w:type="dxa"/>
            <w:vAlign w:val="center"/>
          </w:tcPr>
          <w:p>
            <w:pPr>
              <w:jc w:val="right"/>
            </w:pPr>
          </w:p>
        </w:tc>
        <w:tc>
          <w:tcPr>
            <w:tcW w:w="1726" w:type="dxa"/>
            <w:vAlign w:val="center"/>
          </w:tcPr>
          <w:p>
            <w:pPr>
              <w:jc w:val="right"/>
            </w:pPr>
          </w:p>
        </w:tc>
      </w:tr>
      <w:tr>
        <w:trPr>
          <w:trHeight w:val="286"/>
        </w:trPr>
        <w:tc>
          <w:tcPr>
            <w:tcW w:w="1815" w:type="dxa"/>
            <w:vAlign w:val="center"/>
          </w:tcPr>
          <w:p>
            <w:pPr>
              <w:pStyle w:val="Style123"/>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1602" w:type="dxa"/>
            <w:vAlign w:val="center"/>
          </w:tcPr>
          <w:p>
            <w:pPr>
              <w:jc w:val="right"/>
            </w:pPr>
          </w:p>
        </w:tc>
        <w:tc>
          <w:tcPr>
            <w:tcW w:w="1960" w:type="dxa"/>
            <w:vAlign w:val="center"/>
          </w:tcPr>
          <w:p>
            <w:pPr>
              <w:jc w:val="right"/>
            </w:pPr>
            <w:r>
              <w:rPr>
                <w:rFonts w:ascii="宋体" w:hAnsi="宋体" w:cs="宋体" w:hint="eastAsia"/>
              </w:rPr>
              <w:t>5</w:t>
            </w:r>
          </w:p>
        </w:tc>
        <w:tc>
          <w:tcPr>
            <w:tcW w:w="1960" w:type="dxa"/>
            <w:vAlign w:val="center"/>
          </w:tcPr>
          <w:p>
            <w:pPr>
              <w:jc w:val="right"/>
            </w:pPr>
            <w:r>
              <w:rPr>
                <w:rFonts w:ascii="宋体" w:hAnsi="宋体" w:cs="宋体" w:hint="eastAsia"/>
              </w:rPr>
              <w:t>309,689</w:t>
            </w:r>
          </w:p>
        </w:tc>
        <w:tc>
          <w:tcPr>
            <w:tcW w:w="1726" w:type="dxa"/>
            <w:vAlign w:val="center"/>
          </w:tcPr>
          <w:p>
            <w:pPr>
              <w:jc w:val="right"/>
            </w:pPr>
            <w:r>
              <w:rPr>
                <w:rFonts w:ascii="宋体" w:hAnsi="宋体" w:cs="宋体" w:hint="eastAsia"/>
              </w:rPr>
              <w:t>309,694</w:t>
            </w:r>
          </w:p>
        </w:tc>
      </w:tr>
      <w:tr>
        <w:trPr>
          <w:trHeight w:val="286"/>
        </w:trPr>
        <w:tc>
          <w:tcPr>
            <w:tcW w:w="1815"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1602" w:type="dxa"/>
            <w:vAlign w:val="center"/>
          </w:tcPr>
          <w:p>
            <w:pPr>
              <w:jc w:val="right"/>
            </w:pPr>
          </w:p>
        </w:tc>
        <w:tc>
          <w:tcPr>
            <w:tcW w:w="1960" w:type="dxa"/>
            <w:vAlign w:val="center"/>
          </w:tcPr>
          <w:p>
            <w:pPr>
              <w:jc w:val="right"/>
            </w:pPr>
            <w:r>
              <w:rPr>
                <w:rFonts w:ascii="宋体" w:hAnsi="宋体" w:cs="宋体"/>
              </w:rPr>
              <w:t>-4,506</w:t>
            </w:r>
          </w:p>
        </w:tc>
        <w:tc>
          <w:tcPr>
            <w:tcW w:w="1960" w:type="dxa"/>
            <w:vAlign w:val="center"/>
          </w:tcPr>
          <w:p>
            <w:pPr>
              <w:jc w:val="right"/>
            </w:pPr>
            <w:r>
              <w:rPr>
                <w:rFonts w:ascii="宋体" w:hAnsi="宋体" w:cs="宋体"/>
              </w:rPr>
              <w:t>-66,402</w:t>
            </w:r>
          </w:p>
        </w:tc>
        <w:tc>
          <w:tcPr>
            <w:tcW w:w="1726" w:type="dxa"/>
            <w:vAlign w:val="center"/>
          </w:tcPr>
          <w:p>
            <w:pPr>
              <w:jc w:val="right"/>
            </w:pPr>
            <w:r>
              <w:rPr>
                <w:rFonts w:ascii="宋体" w:hAnsi="宋体" w:cs="宋体"/>
              </w:rPr>
              <w:t>-70,908</w:t>
            </w:r>
          </w:p>
        </w:tc>
      </w:tr>
      <w:tr>
        <w:trPr>
          <w:trHeight w:val="276"/>
        </w:trPr>
        <w:tc>
          <w:tcPr>
            <w:tcW w:w="1815"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lastRenderedPageBreak/>
              <w:t>余额</w:t>
            </w:r>
          </w:p>
        </w:tc>
        <w:tc>
          <w:tcPr>
            <w:tcW w:w="1602" w:type="dxa"/>
            <w:vAlign w:val="center"/>
          </w:tcPr>
          <w:p>
            <w:pPr>
              <w:jc w:val="right"/>
            </w:pPr>
          </w:p>
        </w:tc>
        <w:tc>
          <w:tcPr>
            <w:tcW w:w="1960" w:type="dxa"/>
            <w:vAlign w:val="center"/>
          </w:tcPr>
          <w:p>
            <w:pPr>
              <w:jc w:val="right"/>
            </w:pPr>
            <w:r>
              <w:rPr>
                <w:rFonts w:ascii="宋体" w:hAnsi="宋体" w:cs="宋体"/>
              </w:rPr>
              <w:t>272,304</w:t>
            </w:r>
          </w:p>
        </w:tc>
        <w:tc>
          <w:tcPr>
            <w:tcW w:w="1960" w:type="dxa"/>
            <w:vAlign w:val="center"/>
          </w:tcPr>
          <w:p>
            <w:pPr>
              <w:jc w:val="right"/>
            </w:pPr>
            <w:r>
              <w:rPr>
                <w:rFonts w:ascii="宋体" w:hAnsi="宋体" w:cs="宋体"/>
              </w:rPr>
              <w:t>1,659,717</w:t>
            </w:r>
          </w:p>
        </w:tc>
        <w:tc>
          <w:tcPr>
            <w:tcW w:w="1726" w:type="dxa"/>
            <w:vAlign w:val="center"/>
          </w:tcPr>
          <w:p>
            <w:pPr>
              <w:jc w:val="right"/>
            </w:pPr>
            <w:r>
              <w:rPr>
                <w:rFonts w:ascii="宋体" w:hAnsi="宋体" w:cs="宋体" w:hint="eastAsia"/>
              </w:rPr>
              <w:t>1,932,021</w:t>
            </w:r>
          </w:p>
        </w:tc>
      </w:tr>
    </w:tbl>
    <w:p>
      <w:pPr>
        <w:pStyle w:val="Style93"/>
      </w:pPr>
    </w:p>
    <w:p>
      <w:pPr>
        <w:autoSpaceDE w:val="0"/>
        <w:autoSpaceDN w:val="0"/>
        <w:adjustRightInd w:val="0"/>
        <w:ind w:rightChars="50" w:right="105"/>
      </w:pPr>
      <w:r>
        <w:rPr>
          <w:rFonts w:hint="eastAsia"/>
        </w:rPr>
        <w:t>各阶段划分依据和坏账准备计提比例</w:t>
      </w:r>
    </w:p>
    <w:sdt>
      <w:sdtPr>
        <w:rPr>
          <w:bCs/>
          <w:szCs w:val="22"/>
        </w:rPr>
        <w:alias w:val="其他应收款各阶段划分依据和坏账准备计提比例"/>
        <w:tag w:val="_GBC_d878dae05a464cf69eea4a309bb1cd21"/>
        <w:id w:val="1747685096"/>
        <w:placeholder>
          <w:docPart w:val="GBC22222222222222222222222222222"/>
        </w:placeholder>
      </w:sdtPr>
      <w:sdtContent>
        <w:p>
          <w:pPr>
            <w:rPr>
              <w:bCs/>
              <w:szCs w:val="22"/>
            </w:rPr>
          </w:pP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36|0|desc|||0|1"/>
          </w:tblPr>
          <w:tblGrid>
            <w:gridCol w:w="1842"/>
            <w:gridCol w:w="1505"/>
            <w:gridCol w:w="1047"/>
            <w:gridCol w:w="1256"/>
            <w:gridCol w:w="1438"/>
            <w:gridCol w:w="1491"/>
          </w:tblGrid>
          <w:tr>
            <w:trPr>
              <w:trHeight w:val="397"/>
              <w:tblHeader/>
              <w:jc w:val="center"/>
            </w:trPr>
            <w:tc>
              <w:tcPr>
                <w:tcW w:w="1842" w:type="dxa"/>
                <w:vMerge w:val="restart"/>
                <w:shd w:val="clear" w:color="auto" w:fill="auto"/>
                <w:vAlign w:val="center"/>
              </w:tcPr>
              <w:p>
                <w:pPr>
                  <w:spacing w:line="360" w:lineRule="exact"/>
                  <w:jc w:val="center"/>
                  <w:rPr>
                    <w:rFonts w:ascii="宋体" w:hAnsi="宋体" w:cs="宋体"/>
                    <w:b/>
                    <w:bCs/>
                  </w:rPr>
                </w:pPr>
                <w:r>
                  <w:rPr>
                    <w:rFonts w:ascii="宋体" w:hAnsi="宋体" w:cs="宋体" w:hint="eastAsia"/>
                    <w:b/>
                    <w:bCs/>
                  </w:rPr>
                  <w:t>类别</w:t>
                </w:r>
              </w:p>
            </w:tc>
            <w:tc>
              <w:tcPr>
                <w:tcW w:w="6737" w:type="dxa"/>
                <w:gridSpan w:val="5"/>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期末余额</w:t>
                </w:r>
              </w:p>
            </w:tc>
          </w:tr>
          <w:tr>
            <w:trPr>
              <w:trHeight w:val="397"/>
              <w:tblHeader/>
              <w:jc w:val="center"/>
            </w:trPr>
            <w:tc>
              <w:tcPr>
                <w:tcW w:w="1842" w:type="dxa"/>
                <w:vMerge/>
                <w:vAlign w:val="center"/>
              </w:tcPr>
              <w:p>
                <w:pPr>
                  <w:spacing w:line="360" w:lineRule="exact"/>
                  <w:jc w:val="center"/>
                  <w:rPr>
                    <w:rFonts w:ascii="宋体" w:hAnsi="宋体" w:cs="宋体"/>
                    <w:b/>
                    <w:color w:val="000000"/>
                  </w:rPr>
                </w:pPr>
              </w:p>
            </w:tc>
            <w:tc>
              <w:tcPr>
                <w:tcW w:w="2552" w:type="dxa"/>
                <w:gridSpan w:val="2"/>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账面余额</w:t>
                </w:r>
              </w:p>
            </w:tc>
            <w:tc>
              <w:tcPr>
                <w:tcW w:w="2694" w:type="dxa"/>
                <w:gridSpan w:val="2"/>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坏账准备</w:t>
                </w:r>
              </w:p>
            </w:tc>
            <w:tc>
              <w:tcPr>
                <w:tcW w:w="1491" w:type="dxa"/>
                <w:vMerge w:val="restart"/>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账面价值</w:t>
                </w:r>
              </w:p>
            </w:tc>
          </w:tr>
          <w:tr>
            <w:trPr>
              <w:trHeight w:val="397"/>
              <w:tblHeader/>
              <w:jc w:val="center"/>
            </w:trPr>
            <w:tc>
              <w:tcPr>
                <w:tcW w:w="1842" w:type="dxa"/>
                <w:vMerge/>
                <w:vAlign w:val="center"/>
              </w:tcPr>
              <w:p>
                <w:pPr>
                  <w:spacing w:line="360" w:lineRule="exact"/>
                  <w:jc w:val="center"/>
                  <w:rPr>
                    <w:rFonts w:ascii="宋体" w:hAnsi="宋体" w:cs="宋体"/>
                    <w:b/>
                    <w:color w:val="000000"/>
                  </w:rPr>
                </w:pPr>
              </w:p>
            </w:tc>
            <w:tc>
              <w:tcPr>
                <w:tcW w:w="1505"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金额</w:t>
                </w:r>
              </w:p>
            </w:tc>
            <w:tc>
              <w:tcPr>
                <w:tcW w:w="1047"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比例（</w:t>
                </w:r>
                <w:r>
                  <w:rPr>
                    <w:rFonts w:ascii="宋体" w:hAnsi="宋体" w:cs="宋体"/>
                    <w:b/>
                    <w:color w:val="000000"/>
                  </w:rPr>
                  <w:t>%）</w:t>
                </w:r>
              </w:p>
            </w:tc>
            <w:tc>
              <w:tcPr>
                <w:tcW w:w="1256"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金额</w:t>
                </w:r>
              </w:p>
            </w:tc>
            <w:tc>
              <w:tcPr>
                <w:tcW w:w="1438"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计提比例（</w:t>
                </w:r>
                <w:r>
                  <w:rPr>
                    <w:rFonts w:ascii="宋体" w:hAnsi="宋体" w:cs="宋体"/>
                    <w:b/>
                    <w:color w:val="000000"/>
                  </w:rPr>
                  <w:t>%）</w:t>
                </w:r>
              </w:p>
            </w:tc>
            <w:tc>
              <w:tcPr>
                <w:tcW w:w="1491" w:type="dxa"/>
                <w:vMerge/>
                <w:vAlign w:val="center"/>
              </w:tcPr>
              <w:p>
                <w:pPr>
                  <w:spacing w:line="360" w:lineRule="exact"/>
                  <w:jc w:val="center"/>
                  <w:rPr>
                    <w:rFonts w:ascii="宋体" w:hAnsi="宋体" w:cs="宋体"/>
                    <w:b/>
                    <w:color w:val="000000"/>
                  </w:rPr>
                </w:pPr>
              </w:p>
            </w:tc>
          </w:tr>
          <w:tr>
            <w:trPr>
              <w:trHeight w:val="397"/>
              <w:jc w:val="center"/>
            </w:trPr>
            <w:tc>
              <w:tcPr>
                <w:tcW w:w="1842" w:type="dxa"/>
                <w:vAlign w:val="center"/>
              </w:tcPr>
              <w:p>
                <w:pPr>
                  <w:snapToGrid w:val="0"/>
                  <w:spacing w:line="240" w:lineRule="atLeast"/>
                  <w:rPr>
                    <w:rFonts w:ascii="宋体" w:hAnsi="宋体" w:cs="宋体"/>
                  </w:rPr>
                </w:pPr>
                <w:r>
                  <w:rPr>
                    <w:rFonts w:ascii="宋体" w:hAnsi="宋体" w:cs="宋体" w:hint="eastAsia"/>
                  </w:rPr>
                  <w:t>按单项计提坏账准备</w:t>
                </w:r>
              </w:p>
            </w:tc>
            <w:tc>
              <w:tcPr>
                <w:tcW w:w="1505" w:type="dxa"/>
                <w:vAlign w:val="center"/>
              </w:tcPr>
              <w:p>
                <w:pPr>
                  <w:snapToGrid w:val="0"/>
                  <w:spacing w:line="240" w:lineRule="atLeast"/>
                  <w:jc w:val="right"/>
                  <w:rPr>
                    <w:rFonts w:ascii="宋体" w:hAnsi="宋体" w:cs="宋体"/>
                  </w:rPr>
                </w:pPr>
                <w:r>
                  <w:rPr>
                    <w:rFonts w:ascii="宋体" w:hAnsi="宋体" w:cs="宋体"/>
                  </w:rPr>
                  <w:t>1,659,717</w:t>
                </w:r>
              </w:p>
            </w:tc>
            <w:tc>
              <w:tcPr>
                <w:tcW w:w="1047" w:type="dxa"/>
                <w:vAlign w:val="center"/>
              </w:tcPr>
              <w:p>
                <w:pPr>
                  <w:snapToGrid w:val="0"/>
                  <w:spacing w:line="240" w:lineRule="atLeast"/>
                  <w:jc w:val="right"/>
                  <w:rPr>
                    <w:rFonts w:ascii="宋体" w:hAnsi="宋体" w:cs="宋体"/>
                  </w:rPr>
                </w:pPr>
                <w:r>
                  <w:rPr>
                    <w:rFonts w:ascii="宋体" w:hAnsi="宋体" w:cs="宋体"/>
                  </w:rPr>
                  <w:t>6.67</w:t>
                </w:r>
              </w:p>
            </w:tc>
            <w:tc>
              <w:tcPr>
                <w:tcW w:w="1256" w:type="dxa"/>
                <w:vAlign w:val="center"/>
              </w:tcPr>
              <w:p>
                <w:pPr>
                  <w:snapToGrid w:val="0"/>
                  <w:spacing w:line="240" w:lineRule="atLeast"/>
                  <w:jc w:val="right"/>
                  <w:rPr>
                    <w:rFonts w:ascii="宋体" w:hAnsi="宋体" w:cs="宋体"/>
                  </w:rPr>
                </w:pPr>
                <w:r>
                  <w:rPr>
                    <w:rFonts w:ascii="宋体" w:hAnsi="宋体" w:cs="宋体"/>
                  </w:rPr>
                  <w:t>1,659,717</w:t>
                </w:r>
              </w:p>
            </w:tc>
            <w:tc>
              <w:tcPr>
                <w:tcW w:w="1438" w:type="dxa"/>
                <w:vAlign w:val="center"/>
              </w:tcPr>
              <w:p>
                <w:pPr>
                  <w:snapToGrid w:val="0"/>
                  <w:spacing w:line="240" w:lineRule="atLeast"/>
                  <w:jc w:val="right"/>
                  <w:rPr>
                    <w:rFonts w:ascii="宋体" w:hAnsi="宋体" w:cs="宋体"/>
                  </w:rPr>
                </w:pPr>
                <w:r>
                  <w:rPr>
                    <w:rFonts w:ascii="宋体" w:hAnsi="宋体" w:cs="宋体"/>
                  </w:rPr>
                  <w:t>100.00</w:t>
                </w:r>
              </w:p>
            </w:tc>
            <w:tc>
              <w:tcPr>
                <w:tcW w:w="1491" w:type="dxa"/>
                <w:vAlign w:val="center"/>
              </w:tcPr>
              <w:p>
                <w:pPr>
                  <w:snapToGrid w:val="0"/>
                  <w:spacing w:line="240" w:lineRule="atLeast"/>
                  <w:jc w:val="right"/>
                  <w:rPr>
                    <w:rFonts w:ascii="宋体" w:hAnsi="宋体" w:cs="宋体"/>
                  </w:rPr>
                </w:pPr>
              </w:p>
            </w:tc>
          </w:tr>
          <w:tr>
            <w:trPr>
              <w:trHeight w:val="397"/>
              <w:jc w:val="center"/>
            </w:trPr>
            <w:tc>
              <w:tcPr>
                <w:tcW w:w="1842" w:type="dxa"/>
                <w:vAlign w:val="center"/>
              </w:tcPr>
              <w:p>
                <w:pPr>
                  <w:snapToGrid w:val="0"/>
                  <w:spacing w:line="240" w:lineRule="atLeast"/>
                  <w:rPr>
                    <w:rFonts w:ascii="宋体" w:hAnsi="宋体" w:cs="宋体"/>
                  </w:rPr>
                </w:pPr>
                <w:r>
                  <w:rPr>
                    <w:rFonts w:ascii="宋体" w:hAnsi="宋体" w:cs="宋体" w:hint="eastAsia"/>
                  </w:rPr>
                  <w:t>按组合计提坏账准备</w:t>
                </w:r>
              </w:p>
            </w:tc>
            <w:tc>
              <w:tcPr>
                <w:tcW w:w="1505" w:type="dxa"/>
                <w:vAlign w:val="center"/>
              </w:tcPr>
              <w:p>
                <w:pPr>
                  <w:snapToGrid w:val="0"/>
                  <w:spacing w:line="240" w:lineRule="atLeast"/>
                  <w:jc w:val="right"/>
                  <w:rPr>
                    <w:rFonts w:ascii="宋体" w:hAnsi="宋体" w:cs="宋体"/>
                  </w:rPr>
                </w:pPr>
                <w:r>
                  <w:rPr>
                    <w:rFonts w:ascii="宋体" w:hAnsi="宋体"/>
                  </w:rPr>
                  <w:t>23,223,160</w:t>
                </w:r>
              </w:p>
            </w:tc>
            <w:tc>
              <w:tcPr>
                <w:tcW w:w="1047" w:type="dxa"/>
                <w:vAlign w:val="center"/>
              </w:tcPr>
              <w:p>
                <w:pPr>
                  <w:snapToGrid w:val="0"/>
                  <w:spacing w:line="240" w:lineRule="atLeast"/>
                  <w:jc w:val="right"/>
                  <w:rPr>
                    <w:rFonts w:ascii="宋体" w:hAnsi="宋体" w:cs="宋体"/>
                  </w:rPr>
                </w:pPr>
                <w:r>
                  <w:rPr>
                    <w:rFonts w:ascii="宋体" w:hAnsi="宋体" w:cs="宋体"/>
                  </w:rPr>
                  <w:t>93.33</w:t>
                </w:r>
              </w:p>
            </w:tc>
            <w:tc>
              <w:tcPr>
                <w:tcW w:w="1256" w:type="dxa"/>
                <w:vAlign w:val="center"/>
              </w:tcPr>
              <w:p>
                <w:pPr>
                  <w:snapToGrid w:val="0"/>
                  <w:spacing w:line="240" w:lineRule="atLeast"/>
                  <w:jc w:val="right"/>
                  <w:rPr>
                    <w:rFonts w:ascii="宋体" w:hAnsi="宋体" w:cs="宋体"/>
                  </w:rPr>
                </w:pPr>
                <w:r>
                  <w:rPr>
                    <w:rFonts w:ascii="宋体" w:hAnsi="宋体" w:cs="宋体"/>
                  </w:rPr>
                  <w:t>272,304</w:t>
                </w:r>
              </w:p>
            </w:tc>
            <w:tc>
              <w:tcPr>
                <w:tcW w:w="1438" w:type="dxa"/>
                <w:vAlign w:val="center"/>
              </w:tcPr>
              <w:p>
                <w:pPr>
                  <w:snapToGrid w:val="0"/>
                  <w:spacing w:line="240" w:lineRule="atLeast"/>
                  <w:jc w:val="right"/>
                  <w:rPr>
                    <w:rFonts w:ascii="宋体" w:hAnsi="宋体" w:cs="宋体"/>
                  </w:rPr>
                </w:pPr>
                <w:r>
                  <w:rPr>
                    <w:rFonts w:ascii="宋体" w:hAnsi="宋体"/>
                  </w:rPr>
                  <w:t>1.17</w:t>
                </w:r>
              </w:p>
            </w:tc>
            <w:tc>
              <w:tcPr>
                <w:tcW w:w="1491" w:type="dxa"/>
                <w:vAlign w:val="center"/>
              </w:tcPr>
              <w:p>
                <w:pPr>
                  <w:snapToGrid w:val="0"/>
                  <w:spacing w:line="240" w:lineRule="atLeast"/>
                  <w:jc w:val="right"/>
                  <w:rPr>
                    <w:rFonts w:ascii="宋体" w:hAnsi="宋体" w:cs="宋体"/>
                  </w:rPr>
                </w:pPr>
                <w:r>
                  <w:rPr>
                    <w:rFonts w:ascii="宋体" w:hAnsi="宋体"/>
                  </w:rPr>
                  <w:t>22,950,856</w:t>
                </w:r>
              </w:p>
            </w:tc>
          </w:tr>
          <w:tr>
            <w:trPr>
              <w:trHeight w:val="397"/>
              <w:jc w:val="center"/>
            </w:trPr>
            <w:tc>
              <w:tcPr>
                <w:tcW w:w="1842" w:type="dxa"/>
                <w:vAlign w:val="center"/>
              </w:tcPr>
              <w:p>
                <w:pPr>
                  <w:snapToGrid w:val="0"/>
                  <w:spacing w:line="240" w:lineRule="atLeast"/>
                  <w:rPr>
                    <w:rFonts w:ascii="宋体" w:hAnsi="宋体" w:cs="宋体"/>
                  </w:rPr>
                </w:pPr>
                <w:r>
                  <w:rPr>
                    <w:rFonts w:ascii="宋体" w:hAnsi="宋体" w:cs="宋体" w:hint="eastAsia"/>
                  </w:rPr>
                  <w:t>其中：</w:t>
                </w:r>
              </w:p>
            </w:tc>
            <w:tc>
              <w:tcPr>
                <w:tcW w:w="1505" w:type="dxa"/>
                <w:vAlign w:val="center"/>
              </w:tcPr>
              <w:p>
                <w:pPr>
                  <w:snapToGrid w:val="0"/>
                  <w:spacing w:line="240" w:lineRule="atLeast"/>
                  <w:jc w:val="right"/>
                  <w:rPr>
                    <w:rFonts w:ascii="宋体" w:hAnsi="宋体" w:cs="宋体"/>
                  </w:rPr>
                </w:pPr>
              </w:p>
            </w:tc>
            <w:tc>
              <w:tcPr>
                <w:tcW w:w="1047" w:type="dxa"/>
                <w:vAlign w:val="center"/>
              </w:tcPr>
              <w:p>
                <w:pPr>
                  <w:snapToGrid w:val="0"/>
                  <w:spacing w:line="240" w:lineRule="atLeast"/>
                  <w:jc w:val="right"/>
                  <w:rPr>
                    <w:rFonts w:ascii="宋体" w:hAnsi="宋体" w:cs="宋体"/>
                  </w:rPr>
                </w:pPr>
              </w:p>
            </w:tc>
            <w:tc>
              <w:tcPr>
                <w:tcW w:w="1256" w:type="dxa"/>
                <w:vAlign w:val="center"/>
              </w:tcPr>
              <w:p>
                <w:pPr>
                  <w:snapToGrid w:val="0"/>
                  <w:spacing w:line="240" w:lineRule="atLeast"/>
                  <w:jc w:val="right"/>
                  <w:rPr>
                    <w:rFonts w:ascii="宋体" w:hAnsi="宋体" w:cs="宋体"/>
                  </w:rPr>
                </w:pPr>
              </w:p>
            </w:tc>
            <w:tc>
              <w:tcPr>
                <w:tcW w:w="1438" w:type="dxa"/>
                <w:vAlign w:val="center"/>
              </w:tcPr>
              <w:p>
                <w:pPr>
                  <w:snapToGrid w:val="0"/>
                  <w:spacing w:line="240" w:lineRule="atLeast"/>
                  <w:jc w:val="right"/>
                  <w:rPr>
                    <w:rFonts w:ascii="宋体" w:hAnsi="宋体" w:cs="宋体"/>
                  </w:rPr>
                </w:pPr>
              </w:p>
            </w:tc>
            <w:tc>
              <w:tcPr>
                <w:tcW w:w="1491" w:type="dxa"/>
                <w:vAlign w:val="center"/>
              </w:tcPr>
              <w:p>
                <w:pPr>
                  <w:snapToGrid w:val="0"/>
                  <w:spacing w:line="240" w:lineRule="atLeast"/>
                  <w:jc w:val="right"/>
                  <w:rPr>
                    <w:rFonts w:ascii="宋体" w:hAnsi="宋体" w:cs="宋体"/>
                  </w:rPr>
                </w:pPr>
              </w:p>
            </w:tc>
          </w:tr>
          <w:tr>
            <w:trPr>
              <w:trHeight w:val="397"/>
              <w:jc w:val="center"/>
            </w:trPr>
            <w:tc>
              <w:tcPr>
                <w:tcW w:w="1842" w:type="dxa"/>
                <w:vAlign w:val="center"/>
              </w:tcPr>
              <w:p>
                <w:pPr>
                  <w:snapToGrid w:val="0"/>
                  <w:spacing w:line="240" w:lineRule="atLeast"/>
                  <w:ind w:firstLineChars="200" w:firstLine="420"/>
                  <w:rPr>
                    <w:rFonts w:ascii="宋体" w:hAnsi="宋体" w:cs="宋体"/>
                  </w:rPr>
                </w:pPr>
                <w:r>
                  <w:rPr>
                    <w:rFonts w:ascii="宋体" w:hAnsi="宋体" w:cs="宋体" w:hint="eastAsia"/>
                  </w:rPr>
                  <w:t>账龄组合</w:t>
                </w:r>
              </w:p>
            </w:tc>
            <w:tc>
              <w:tcPr>
                <w:tcW w:w="1505" w:type="dxa"/>
                <w:vAlign w:val="center"/>
              </w:tcPr>
              <w:p>
                <w:pPr>
                  <w:snapToGrid w:val="0"/>
                  <w:spacing w:line="240" w:lineRule="atLeast"/>
                  <w:jc w:val="right"/>
                  <w:rPr>
                    <w:rFonts w:ascii="宋体" w:hAnsi="宋体" w:cs="宋体"/>
                  </w:rPr>
                </w:pPr>
                <w:r>
                  <w:rPr>
                    <w:rFonts w:ascii="宋体" w:hAnsi="宋体"/>
                  </w:rPr>
                  <w:t>1,366,481</w:t>
                </w:r>
              </w:p>
            </w:tc>
            <w:tc>
              <w:tcPr>
                <w:tcW w:w="1047" w:type="dxa"/>
                <w:vAlign w:val="center"/>
              </w:tcPr>
              <w:p>
                <w:pPr>
                  <w:snapToGrid w:val="0"/>
                  <w:spacing w:line="240" w:lineRule="atLeast"/>
                  <w:jc w:val="right"/>
                  <w:rPr>
                    <w:rFonts w:ascii="宋体" w:hAnsi="宋体" w:cs="宋体"/>
                  </w:rPr>
                </w:pPr>
                <w:r>
                  <w:rPr>
                    <w:rFonts w:ascii="宋体" w:hAnsi="宋体"/>
                  </w:rPr>
                  <w:t>5.49</w:t>
                </w:r>
              </w:p>
            </w:tc>
            <w:tc>
              <w:tcPr>
                <w:tcW w:w="1256" w:type="dxa"/>
                <w:vAlign w:val="center"/>
              </w:tcPr>
              <w:p>
                <w:pPr>
                  <w:snapToGrid w:val="0"/>
                  <w:spacing w:line="240" w:lineRule="atLeast"/>
                  <w:jc w:val="right"/>
                  <w:rPr>
                    <w:rFonts w:ascii="宋体" w:hAnsi="宋体" w:cs="宋体"/>
                  </w:rPr>
                </w:pPr>
                <w:r>
                  <w:rPr>
                    <w:rFonts w:ascii="宋体" w:hAnsi="宋体" w:cs="宋体"/>
                  </w:rPr>
                  <w:t>272,304</w:t>
                </w:r>
              </w:p>
            </w:tc>
            <w:tc>
              <w:tcPr>
                <w:tcW w:w="1438" w:type="dxa"/>
                <w:vAlign w:val="center"/>
              </w:tcPr>
              <w:p>
                <w:pPr>
                  <w:snapToGrid w:val="0"/>
                  <w:spacing w:line="240" w:lineRule="atLeast"/>
                  <w:jc w:val="right"/>
                  <w:rPr>
                    <w:rFonts w:ascii="宋体" w:hAnsi="宋体" w:cs="宋体"/>
                  </w:rPr>
                </w:pPr>
                <w:r>
                  <w:rPr>
                    <w:rFonts w:ascii="宋体" w:hAnsi="宋体"/>
                  </w:rPr>
                  <w:t>19.93</w:t>
                </w:r>
              </w:p>
            </w:tc>
            <w:tc>
              <w:tcPr>
                <w:tcW w:w="1491" w:type="dxa"/>
                <w:vAlign w:val="center"/>
              </w:tcPr>
              <w:p>
                <w:pPr>
                  <w:snapToGrid w:val="0"/>
                  <w:spacing w:line="240" w:lineRule="atLeast"/>
                  <w:jc w:val="right"/>
                  <w:rPr>
                    <w:rFonts w:ascii="宋体" w:hAnsi="宋体" w:cs="宋体"/>
                  </w:rPr>
                </w:pPr>
                <w:r>
                  <w:rPr>
                    <w:rFonts w:ascii="宋体" w:hAnsi="宋体"/>
                  </w:rPr>
                  <w:t>1,094,177</w:t>
                </w:r>
              </w:p>
            </w:tc>
          </w:tr>
          <w:tr>
            <w:trPr>
              <w:trHeight w:val="397"/>
              <w:jc w:val="center"/>
            </w:trPr>
            <w:tc>
              <w:tcPr>
                <w:tcW w:w="1842" w:type="dxa"/>
                <w:vAlign w:val="center"/>
              </w:tcPr>
              <w:p>
                <w:pPr>
                  <w:snapToGrid w:val="0"/>
                  <w:spacing w:line="240" w:lineRule="atLeast"/>
                  <w:ind w:firstLineChars="200" w:firstLine="420"/>
                  <w:rPr>
                    <w:rFonts w:ascii="宋体" w:hAnsi="宋体" w:cs="宋体"/>
                  </w:rPr>
                </w:pPr>
                <w:r>
                  <w:rPr>
                    <w:rFonts w:ascii="宋体" w:hAnsi="宋体" w:cs="宋体" w:hint="eastAsia"/>
                  </w:rPr>
                  <w:t>无风险组合</w:t>
                </w:r>
              </w:p>
            </w:tc>
            <w:tc>
              <w:tcPr>
                <w:tcW w:w="1505" w:type="dxa"/>
                <w:vAlign w:val="center"/>
              </w:tcPr>
              <w:p>
                <w:pPr>
                  <w:snapToGrid w:val="0"/>
                  <w:spacing w:line="240" w:lineRule="atLeast"/>
                  <w:jc w:val="right"/>
                  <w:rPr>
                    <w:rFonts w:ascii="宋体" w:hAnsi="宋体" w:cs="宋体"/>
                  </w:rPr>
                </w:pPr>
                <w:r>
                  <w:rPr>
                    <w:rFonts w:ascii="宋体" w:hAnsi="宋体" w:cs="宋体"/>
                  </w:rPr>
                  <w:t>21,856,679</w:t>
                </w:r>
              </w:p>
            </w:tc>
            <w:tc>
              <w:tcPr>
                <w:tcW w:w="1047" w:type="dxa"/>
                <w:vAlign w:val="center"/>
              </w:tcPr>
              <w:p>
                <w:pPr>
                  <w:snapToGrid w:val="0"/>
                  <w:spacing w:line="240" w:lineRule="atLeast"/>
                  <w:jc w:val="right"/>
                  <w:rPr>
                    <w:rFonts w:ascii="宋体" w:hAnsi="宋体" w:cs="宋体"/>
                  </w:rPr>
                </w:pPr>
                <w:r>
                  <w:rPr>
                    <w:rFonts w:ascii="宋体" w:hAnsi="宋体"/>
                  </w:rPr>
                  <w:t>87.84</w:t>
                </w:r>
              </w:p>
            </w:tc>
            <w:tc>
              <w:tcPr>
                <w:tcW w:w="1256" w:type="dxa"/>
                <w:vAlign w:val="center"/>
              </w:tcPr>
              <w:p>
                <w:pPr>
                  <w:snapToGrid w:val="0"/>
                  <w:spacing w:line="240" w:lineRule="atLeast"/>
                  <w:jc w:val="right"/>
                  <w:rPr>
                    <w:rFonts w:ascii="宋体" w:hAnsi="宋体" w:cs="宋体"/>
                  </w:rPr>
                </w:pPr>
              </w:p>
            </w:tc>
            <w:tc>
              <w:tcPr>
                <w:tcW w:w="1438" w:type="dxa"/>
                <w:vAlign w:val="center"/>
              </w:tcPr>
              <w:p>
                <w:pPr>
                  <w:snapToGrid w:val="0"/>
                  <w:spacing w:line="240" w:lineRule="atLeast"/>
                  <w:jc w:val="right"/>
                  <w:rPr>
                    <w:rFonts w:ascii="宋体" w:hAnsi="宋体" w:cs="宋体"/>
                  </w:rPr>
                </w:pPr>
              </w:p>
            </w:tc>
            <w:tc>
              <w:tcPr>
                <w:tcW w:w="1491" w:type="dxa"/>
                <w:vAlign w:val="center"/>
              </w:tcPr>
              <w:p>
                <w:pPr>
                  <w:snapToGrid w:val="0"/>
                  <w:spacing w:line="240" w:lineRule="atLeast"/>
                  <w:jc w:val="right"/>
                  <w:rPr>
                    <w:rFonts w:ascii="宋体" w:hAnsi="宋体" w:cs="宋体"/>
                  </w:rPr>
                </w:pPr>
                <w:r>
                  <w:rPr>
                    <w:rFonts w:ascii="宋体" w:hAnsi="宋体" w:cs="宋体"/>
                  </w:rPr>
                  <w:t>21,856,679</w:t>
                </w:r>
              </w:p>
            </w:tc>
          </w:tr>
          <w:tr>
            <w:trPr>
              <w:trHeight w:val="397"/>
              <w:jc w:val="center"/>
            </w:trPr>
            <w:tc>
              <w:tcPr>
                <w:tcW w:w="1842" w:type="dxa"/>
                <w:vAlign w:val="center"/>
              </w:tcPr>
              <w:p>
                <w:pPr>
                  <w:snapToGrid w:val="0"/>
                  <w:spacing w:line="240" w:lineRule="atLeast"/>
                  <w:jc w:val="center"/>
                  <w:rPr>
                    <w:rFonts w:ascii="宋体" w:hAnsi="宋体" w:cs="宋体"/>
                  </w:rPr>
                </w:pPr>
                <w:r>
                  <w:rPr>
                    <w:rFonts w:ascii="宋体" w:hAnsi="宋体" w:cs="宋体" w:hint="eastAsia"/>
                  </w:rPr>
                  <w:t>合计</w:t>
                </w:r>
              </w:p>
            </w:tc>
            <w:tc>
              <w:tcPr>
                <w:tcW w:w="1505" w:type="dxa"/>
                <w:vAlign w:val="center"/>
              </w:tcPr>
              <w:p>
                <w:pPr>
                  <w:snapToGrid w:val="0"/>
                  <w:spacing w:line="240" w:lineRule="atLeast"/>
                  <w:jc w:val="right"/>
                  <w:rPr>
                    <w:rFonts w:ascii="宋体" w:hAnsi="宋体" w:cs="宋体"/>
                  </w:rPr>
                </w:pPr>
                <w:r>
                  <w:rPr>
                    <w:rFonts w:ascii="宋体" w:hAnsi="宋体" w:cs="宋体"/>
                  </w:rPr>
                  <w:t>24,882,877</w:t>
                </w:r>
              </w:p>
            </w:tc>
            <w:tc>
              <w:tcPr>
                <w:tcW w:w="1047" w:type="dxa"/>
                <w:vAlign w:val="center"/>
              </w:tcPr>
              <w:p>
                <w:pPr>
                  <w:snapToGrid w:val="0"/>
                  <w:spacing w:line="240" w:lineRule="atLeast"/>
                  <w:jc w:val="right"/>
                  <w:rPr>
                    <w:rFonts w:ascii="宋体" w:hAnsi="宋体" w:cs="宋体"/>
                  </w:rPr>
                </w:pPr>
                <w:r>
                  <w:rPr>
                    <w:rFonts w:ascii="宋体" w:hAnsi="宋体" w:cs="宋体"/>
                  </w:rPr>
                  <w:t>100.00</w:t>
                </w:r>
              </w:p>
            </w:tc>
            <w:tc>
              <w:tcPr>
                <w:tcW w:w="1256" w:type="dxa"/>
                <w:vAlign w:val="center"/>
              </w:tcPr>
              <w:p>
                <w:pPr>
                  <w:snapToGrid w:val="0"/>
                  <w:spacing w:line="240" w:lineRule="atLeast"/>
                  <w:jc w:val="right"/>
                  <w:rPr>
                    <w:rFonts w:ascii="宋体" w:hAnsi="宋体" w:cs="宋体"/>
                  </w:rPr>
                </w:pPr>
                <w:r>
                  <w:rPr>
                    <w:rFonts w:ascii="宋体" w:hAnsi="宋体" w:cs="宋体"/>
                  </w:rPr>
                  <w:t>1,932,021</w:t>
                </w:r>
              </w:p>
            </w:tc>
            <w:tc>
              <w:tcPr>
                <w:tcW w:w="1438" w:type="dxa"/>
                <w:vAlign w:val="center"/>
              </w:tcPr>
              <w:p>
                <w:pPr>
                  <w:snapToGrid w:val="0"/>
                  <w:spacing w:line="240" w:lineRule="atLeast"/>
                  <w:jc w:val="right"/>
                  <w:rPr>
                    <w:rFonts w:ascii="宋体" w:hAnsi="宋体" w:cs="宋体"/>
                  </w:rPr>
                </w:pPr>
              </w:p>
            </w:tc>
            <w:tc>
              <w:tcPr>
                <w:tcW w:w="1491" w:type="dxa"/>
                <w:vAlign w:val="center"/>
              </w:tcPr>
              <w:p>
                <w:pPr>
                  <w:snapToGrid w:val="0"/>
                  <w:spacing w:line="240" w:lineRule="atLeast"/>
                  <w:jc w:val="right"/>
                  <w:rPr>
                    <w:rFonts w:ascii="宋体" w:hAnsi="宋体" w:cs="宋体"/>
                  </w:rPr>
                </w:pPr>
                <w:r>
                  <w:rPr>
                    <w:rFonts w:ascii="宋体" w:hAnsi="宋体" w:cs="宋体"/>
                  </w:rPr>
                  <w:t>22,950,856</w:t>
                </w:r>
              </w:p>
            </w:tc>
          </w:tr>
        </w:tbl>
        <w:p>
          <w:pPr>
            <w:pStyle w:val="Style2061"/>
            <w:spacing w:after="120"/>
            <w:ind w:firstLine="400"/>
          </w:pPr>
          <w:r>
            <w:rPr>
              <w:rFonts w:hint="eastAsia"/>
            </w:rPr>
            <w:t>接上表：</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37|0|desc|||0|1"/>
          </w:tblPr>
          <w:tblGrid>
            <w:gridCol w:w="1985"/>
            <w:gridCol w:w="1362"/>
            <w:gridCol w:w="1047"/>
            <w:gridCol w:w="1256"/>
            <w:gridCol w:w="1465"/>
            <w:gridCol w:w="1464"/>
          </w:tblGrid>
          <w:tr>
            <w:trPr>
              <w:trHeight w:val="397"/>
              <w:tblHeader/>
              <w:jc w:val="center"/>
            </w:trPr>
            <w:tc>
              <w:tcPr>
                <w:tcW w:w="1985" w:type="dxa"/>
                <w:vMerge w:val="restart"/>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类别</w:t>
                </w:r>
              </w:p>
            </w:tc>
            <w:tc>
              <w:tcPr>
                <w:tcW w:w="6594" w:type="dxa"/>
                <w:gridSpan w:val="5"/>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期初余额</w:t>
                </w:r>
              </w:p>
            </w:tc>
          </w:tr>
          <w:tr>
            <w:trPr>
              <w:trHeight w:val="397"/>
              <w:tblHeader/>
              <w:jc w:val="center"/>
            </w:trPr>
            <w:tc>
              <w:tcPr>
                <w:tcW w:w="1985" w:type="dxa"/>
                <w:vMerge/>
                <w:vAlign w:val="center"/>
              </w:tcPr>
              <w:p>
                <w:pPr>
                  <w:spacing w:line="360" w:lineRule="exact"/>
                  <w:jc w:val="center"/>
                  <w:rPr>
                    <w:rFonts w:ascii="宋体" w:hAnsi="宋体" w:cs="宋体"/>
                    <w:b/>
                    <w:color w:val="000000"/>
                  </w:rPr>
                </w:pPr>
              </w:p>
            </w:tc>
            <w:tc>
              <w:tcPr>
                <w:tcW w:w="2409" w:type="dxa"/>
                <w:gridSpan w:val="2"/>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账面余额</w:t>
                </w:r>
              </w:p>
            </w:tc>
            <w:tc>
              <w:tcPr>
                <w:tcW w:w="2721" w:type="dxa"/>
                <w:gridSpan w:val="2"/>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坏账准备</w:t>
                </w:r>
              </w:p>
            </w:tc>
            <w:tc>
              <w:tcPr>
                <w:tcW w:w="1464" w:type="dxa"/>
                <w:vMerge w:val="restart"/>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账面价值</w:t>
                </w:r>
              </w:p>
            </w:tc>
          </w:tr>
          <w:tr>
            <w:trPr>
              <w:trHeight w:val="397"/>
              <w:tblHeader/>
              <w:jc w:val="center"/>
            </w:trPr>
            <w:tc>
              <w:tcPr>
                <w:tcW w:w="1985" w:type="dxa"/>
                <w:vMerge/>
                <w:vAlign w:val="center"/>
              </w:tcPr>
              <w:p>
                <w:pPr>
                  <w:spacing w:line="360" w:lineRule="exact"/>
                  <w:jc w:val="center"/>
                  <w:rPr>
                    <w:rFonts w:ascii="宋体" w:hAnsi="宋体" w:cs="宋体"/>
                    <w:b/>
                    <w:color w:val="000000"/>
                  </w:rPr>
                </w:pPr>
              </w:p>
            </w:tc>
            <w:tc>
              <w:tcPr>
                <w:tcW w:w="1362"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金额</w:t>
                </w:r>
              </w:p>
            </w:tc>
            <w:tc>
              <w:tcPr>
                <w:tcW w:w="1047"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比例（</w:t>
                </w:r>
                <w:r>
                  <w:rPr>
                    <w:rFonts w:ascii="宋体" w:hAnsi="宋体" w:cs="宋体"/>
                    <w:b/>
                    <w:color w:val="000000"/>
                  </w:rPr>
                  <w:t>%）</w:t>
                </w:r>
              </w:p>
            </w:tc>
            <w:tc>
              <w:tcPr>
                <w:tcW w:w="1256"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金额</w:t>
                </w:r>
              </w:p>
            </w:tc>
            <w:tc>
              <w:tcPr>
                <w:tcW w:w="1465"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计提比例（</w:t>
                </w:r>
                <w:r>
                  <w:rPr>
                    <w:rFonts w:ascii="宋体" w:hAnsi="宋体" w:cs="宋体"/>
                    <w:b/>
                    <w:color w:val="000000"/>
                  </w:rPr>
                  <w:t>%）</w:t>
                </w:r>
              </w:p>
            </w:tc>
            <w:tc>
              <w:tcPr>
                <w:tcW w:w="1464" w:type="dxa"/>
                <w:vMerge/>
                <w:vAlign w:val="center"/>
              </w:tcPr>
              <w:p>
                <w:pPr>
                  <w:spacing w:line="360" w:lineRule="exact"/>
                  <w:jc w:val="center"/>
                  <w:rPr>
                    <w:rFonts w:ascii="宋体" w:hAnsi="宋体" w:cs="宋体"/>
                    <w:b/>
                    <w:color w:val="000000"/>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按单项计提坏账准备</w:t>
                </w:r>
              </w:p>
            </w:tc>
            <w:tc>
              <w:tcPr>
                <w:tcW w:w="1362" w:type="dxa"/>
                <w:vAlign w:val="center"/>
              </w:tcPr>
              <w:p>
                <w:pPr>
                  <w:snapToGrid w:val="0"/>
                  <w:spacing w:line="240" w:lineRule="atLeast"/>
                  <w:jc w:val="right"/>
                  <w:rPr>
                    <w:rFonts w:ascii="宋体" w:hAnsi="宋体" w:cs="宋体"/>
                  </w:rPr>
                </w:pPr>
                <w:r>
                  <w:rPr>
                    <w:rFonts w:ascii="宋体" w:hAnsi="宋体" w:cs="宋体"/>
                  </w:rPr>
                  <w:t>1,427,587</w:t>
                </w:r>
              </w:p>
            </w:tc>
            <w:tc>
              <w:tcPr>
                <w:tcW w:w="1047" w:type="dxa"/>
                <w:vAlign w:val="center"/>
              </w:tcPr>
              <w:p>
                <w:pPr>
                  <w:snapToGrid w:val="0"/>
                  <w:spacing w:line="240" w:lineRule="atLeast"/>
                  <w:jc w:val="right"/>
                  <w:rPr>
                    <w:rFonts w:ascii="宋体" w:hAnsi="宋体" w:cs="宋体"/>
                  </w:rPr>
                </w:pPr>
                <w:r>
                  <w:rPr>
                    <w:rFonts w:ascii="宋体" w:hAnsi="宋体" w:cs="宋体"/>
                  </w:rPr>
                  <w:t>25.03</w:t>
                </w:r>
              </w:p>
            </w:tc>
            <w:tc>
              <w:tcPr>
                <w:tcW w:w="1256" w:type="dxa"/>
                <w:vAlign w:val="center"/>
              </w:tcPr>
              <w:p>
                <w:pPr>
                  <w:snapToGrid w:val="0"/>
                  <w:spacing w:line="240" w:lineRule="atLeast"/>
                  <w:jc w:val="right"/>
                  <w:rPr>
                    <w:rFonts w:ascii="宋体" w:hAnsi="宋体" w:cs="宋体"/>
                  </w:rPr>
                </w:pPr>
                <w:r>
                  <w:rPr>
                    <w:rFonts w:ascii="宋体" w:hAnsi="宋体" w:cs="宋体"/>
                  </w:rPr>
                  <w:t>1,427,587</w:t>
                </w:r>
              </w:p>
            </w:tc>
            <w:tc>
              <w:tcPr>
                <w:tcW w:w="1465" w:type="dxa"/>
                <w:vAlign w:val="center"/>
              </w:tcPr>
              <w:p>
                <w:pPr>
                  <w:snapToGrid w:val="0"/>
                  <w:spacing w:line="240" w:lineRule="atLeast"/>
                  <w:jc w:val="right"/>
                  <w:rPr>
                    <w:rFonts w:ascii="宋体" w:hAnsi="宋体" w:cs="宋体"/>
                  </w:rPr>
                </w:pPr>
                <w:r>
                  <w:rPr>
                    <w:rFonts w:ascii="宋体" w:hAnsi="宋体" w:cs="宋体"/>
                  </w:rPr>
                  <w:t>100.00</w:t>
                </w:r>
              </w:p>
            </w:tc>
            <w:tc>
              <w:tcPr>
                <w:tcW w:w="1464" w:type="dxa"/>
                <w:vAlign w:val="center"/>
              </w:tcPr>
              <w:p>
                <w:pPr>
                  <w:snapToGrid w:val="0"/>
                  <w:spacing w:line="240" w:lineRule="atLeast"/>
                  <w:jc w:val="right"/>
                  <w:rPr>
                    <w:rFonts w:ascii="宋体" w:hAnsi="宋体" w:cs="宋体"/>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按组合计提坏账准备</w:t>
                </w:r>
              </w:p>
            </w:tc>
            <w:tc>
              <w:tcPr>
                <w:tcW w:w="1362" w:type="dxa"/>
                <w:vAlign w:val="center"/>
              </w:tcPr>
              <w:p>
                <w:pPr>
                  <w:snapToGrid w:val="0"/>
                  <w:spacing w:line="240" w:lineRule="atLeast"/>
                  <w:jc w:val="right"/>
                  <w:rPr>
                    <w:rFonts w:ascii="宋体" w:hAnsi="宋体" w:cs="宋体"/>
                  </w:rPr>
                </w:pPr>
                <w:r>
                  <w:rPr>
                    <w:rFonts w:ascii="宋体" w:hAnsi="宋体" w:cs="宋体"/>
                  </w:rPr>
                  <w:t>4,276,195</w:t>
                </w:r>
              </w:p>
            </w:tc>
            <w:tc>
              <w:tcPr>
                <w:tcW w:w="1047" w:type="dxa"/>
                <w:vAlign w:val="center"/>
              </w:tcPr>
              <w:p>
                <w:pPr>
                  <w:snapToGrid w:val="0"/>
                  <w:spacing w:line="240" w:lineRule="atLeast"/>
                  <w:jc w:val="right"/>
                  <w:rPr>
                    <w:rFonts w:ascii="宋体" w:hAnsi="宋体" w:cs="宋体"/>
                  </w:rPr>
                </w:pPr>
                <w:r>
                  <w:rPr>
                    <w:rFonts w:ascii="宋体" w:hAnsi="宋体" w:cs="宋体"/>
                  </w:rPr>
                  <w:t>74.97</w:t>
                </w:r>
              </w:p>
            </w:tc>
            <w:tc>
              <w:tcPr>
                <w:tcW w:w="1256" w:type="dxa"/>
                <w:vAlign w:val="center"/>
              </w:tcPr>
              <w:p>
                <w:pPr>
                  <w:snapToGrid w:val="0"/>
                  <w:spacing w:line="240" w:lineRule="atLeast"/>
                  <w:jc w:val="right"/>
                  <w:rPr>
                    <w:rFonts w:ascii="宋体" w:hAnsi="宋体" w:cs="宋体"/>
                  </w:rPr>
                </w:pPr>
                <w:r>
                  <w:rPr>
                    <w:rFonts w:ascii="宋体" w:hAnsi="宋体" w:cs="宋体"/>
                  </w:rPr>
                  <w:t>327,863</w:t>
                </w:r>
              </w:p>
            </w:tc>
            <w:tc>
              <w:tcPr>
                <w:tcW w:w="1465" w:type="dxa"/>
                <w:vAlign w:val="center"/>
              </w:tcPr>
              <w:p>
                <w:pPr>
                  <w:snapToGrid w:val="0"/>
                  <w:spacing w:line="240" w:lineRule="atLeast"/>
                  <w:jc w:val="right"/>
                  <w:rPr>
                    <w:rFonts w:ascii="宋体" w:hAnsi="宋体" w:cs="宋体"/>
                  </w:rPr>
                </w:pPr>
                <w:r>
                  <w:rPr>
                    <w:rFonts w:ascii="宋体" w:hAnsi="宋体" w:cs="宋体"/>
                  </w:rPr>
                  <w:t>7.67</w:t>
                </w:r>
              </w:p>
            </w:tc>
            <w:tc>
              <w:tcPr>
                <w:tcW w:w="1464" w:type="dxa"/>
                <w:vAlign w:val="center"/>
              </w:tcPr>
              <w:p>
                <w:pPr>
                  <w:snapToGrid w:val="0"/>
                  <w:spacing w:line="240" w:lineRule="atLeast"/>
                  <w:jc w:val="right"/>
                  <w:rPr>
                    <w:rFonts w:ascii="宋体" w:hAnsi="宋体" w:cs="宋体"/>
                  </w:rPr>
                </w:pPr>
                <w:r>
                  <w:rPr>
                    <w:rFonts w:ascii="宋体" w:hAnsi="宋体" w:cs="宋体"/>
                  </w:rPr>
                  <w:t>3,948,332</w:t>
                </w: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其中：</w:t>
                </w:r>
              </w:p>
            </w:tc>
            <w:tc>
              <w:tcPr>
                <w:tcW w:w="1362" w:type="dxa"/>
                <w:vAlign w:val="center"/>
              </w:tcPr>
              <w:p>
                <w:pPr>
                  <w:snapToGrid w:val="0"/>
                  <w:spacing w:line="240" w:lineRule="atLeast"/>
                  <w:jc w:val="right"/>
                  <w:rPr>
                    <w:rFonts w:ascii="宋体" w:hAnsi="宋体" w:cs="宋体"/>
                  </w:rPr>
                </w:pPr>
              </w:p>
            </w:tc>
            <w:tc>
              <w:tcPr>
                <w:tcW w:w="1047" w:type="dxa"/>
                <w:vAlign w:val="center"/>
              </w:tcPr>
              <w:p>
                <w:pPr>
                  <w:snapToGrid w:val="0"/>
                  <w:spacing w:line="240" w:lineRule="atLeast"/>
                  <w:jc w:val="right"/>
                  <w:rPr>
                    <w:rFonts w:ascii="宋体" w:hAnsi="宋体" w:cs="宋体"/>
                  </w:rPr>
                </w:pPr>
              </w:p>
            </w:tc>
            <w:tc>
              <w:tcPr>
                <w:tcW w:w="1256" w:type="dxa"/>
                <w:vAlign w:val="center"/>
              </w:tcPr>
              <w:p>
                <w:pPr>
                  <w:snapToGrid w:val="0"/>
                  <w:spacing w:line="240" w:lineRule="atLeast"/>
                  <w:jc w:val="right"/>
                  <w:rPr>
                    <w:rFonts w:ascii="宋体" w:hAnsi="宋体" w:cs="宋体"/>
                  </w:rPr>
                </w:pPr>
              </w:p>
            </w:tc>
            <w:tc>
              <w:tcPr>
                <w:tcW w:w="1465" w:type="dxa"/>
                <w:vAlign w:val="center"/>
              </w:tcPr>
              <w:p>
                <w:pPr>
                  <w:snapToGrid w:val="0"/>
                  <w:spacing w:line="240" w:lineRule="atLeast"/>
                  <w:jc w:val="right"/>
                  <w:rPr>
                    <w:rFonts w:ascii="宋体" w:hAnsi="宋体" w:cs="宋体"/>
                  </w:rPr>
                </w:pPr>
              </w:p>
            </w:tc>
            <w:tc>
              <w:tcPr>
                <w:tcW w:w="1464" w:type="dxa"/>
                <w:vAlign w:val="center"/>
              </w:tcPr>
              <w:p>
                <w:pPr>
                  <w:snapToGrid w:val="0"/>
                  <w:spacing w:line="240" w:lineRule="atLeast"/>
                  <w:jc w:val="right"/>
                  <w:rPr>
                    <w:rFonts w:ascii="宋体" w:hAnsi="宋体" w:cs="宋体"/>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账龄组合</w:t>
                </w:r>
              </w:p>
            </w:tc>
            <w:tc>
              <w:tcPr>
                <w:tcW w:w="1362" w:type="dxa"/>
                <w:vAlign w:val="center"/>
              </w:tcPr>
              <w:p>
                <w:pPr>
                  <w:snapToGrid w:val="0"/>
                  <w:spacing w:line="240" w:lineRule="atLeast"/>
                  <w:jc w:val="right"/>
                  <w:rPr>
                    <w:rFonts w:ascii="宋体" w:hAnsi="宋体" w:cs="宋体"/>
                  </w:rPr>
                </w:pPr>
                <w:r>
                  <w:rPr>
                    <w:rFonts w:ascii="宋体" w:hAnsi="宋体" w:cs="宋体"/>
                  </w:rPr>
                  <w:t>2,456,577</w:t>
                </w:r>
              </w:p>
            </w:tc>
            <w:tc>
              <w:tcPr>
                <w:tcW w:w="1047" w:type="dxa"/>
                <w:vAlign w:val="center"/>
              </w:tcPr>
              <w:p>
                <w:pPr>
                  <w:snapToGrid w:val="0"/>
                  <w:spacing w:line="240" w:lineRule="atLeast"/>
                  <w:jc w:val="right"/>
                  <w:rPr>
                    <w:rFonts w:ascii="宋体" w:hAnsi="宋体" w:cs="宋体"/>
                  </w:rPr>
                </w:pPr>
                <w:r>
                  <w:rPr>
                    <w:rFonts w:ascii="宋体" w:hAnsi="宋体" w:cs="宋体"/>
                  </w:rPr>
                  <w:t>43.07</w:t>
                </w:r>
              </w:p>
            </w:tc>
            <w:tc>
              <w:tcPr>
                <w:tcW w:w="1256" w:type="dxa"/>
                <w:vAlign w:val="center"/>
              </w:tcPr>
              <w:p>
                <w:pPr>
                  <w:snapToGrid w:val="0"/>
                  <w:spacing w:line="240" w:lineRule="atLeast"/>
                  <w:jc w:val="right"/>
                  <w:rPr>
                    <w:rFonts w:ascii="宋体" w:hAnsi="宋体" w:cs="宋体"/>
                  </w:rPr>
                </w:pPr>
                <w:r>
                  <w:rPr>
                    <w:rFonts w:ascii="宋体" w:hAnsi="宋体" w:cs="宋体"/>
                  </w:rPr>
                  <w:t>327,863</w:t>
                </w:r>
              </w:p>
            </w:tc>
            <w:tc>
              <w:tcPr>
                <w:tcW w:w="1465" w:type="dxa"/>
                <w:vAlign w:val="center"/>
              </w:tcPr>
              <w:p>
                <w:pPr>
                  <w:snapToGrid w:val="0"/>
                  <w:spacing w:line="240" w:lineRule="atLeast"/>
                  <w:jc w:val="right"/>
                  <w:rPr>
                    <w:rFonts w:ascii="宋体" w:hAnsi="宋体" w:cs="宋体"/>
                  </w:rPr>
                </w:pPr>
                <w:r>
                  <w:rPr>
                    <w:rFonts w:ascii="宋体" w:hAnsi="宋体" w:cs="宋体"/>
                  </w:rPr>
                  <w:t>13.35</w:t>
                </w:r>
              </w:p>
            </w:tc>
            <w:tc>
              <w:tcPr>
                <w:tcW w:w="1464" w:type="dxa"/>
                <w:vAlign w:val="center"/>
              </w:tcPr>
              <w:p>
                <w:pPr>
                  <w:snapToGrid w:val="0"/>
                  <w:spacing w:line="240" w:lineRule="atLeast"/>
                  <w:jc w:val="right"/>
                  <w:rPr>
                    <w:rFonts w:ascii="宋体" w:hAnsi="宋体" w:cs="宋体"/>
                  </w:rPr>
                </w:pPr>
                <w:r>
                  <w:rPr>
                    <w:rFonts w:ascii="宋体" w:hAnsi="宋体" w:cs="宋体"/>
                  </w:rPr>
                  <w:t>2,128,714</w:t>
                </w: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无风险组合</w:t>
                </w:r>
              </w:p>
            </w:tc>
            <w:tc>
              <w:tcPr>
                <w:tcW w:w="1362" w:type="dxa"/>
                <w:vAlign w:val="center"/>
              </w:tcPr>
              <w:p>
                <w:pPr>
                  <w:snapToGrid w:val="0"/>
                  <w:spacing w:line="240" w:lineRule="atLeast"/>
                  <w:jc w:val="right"/>
                  <w:rPr>
                    <w:rFonts w:ascii="宋体" w:hAnsi="宋体" w:cs="宋体"/>
                  </w:rPr>
                </w:pPr>
                <w:r>
                  <w:rPr>
                    <w:rFonts w:ascii="宋体" w:hAnsi="宋体" w:cs="宋体"/>
                  </w:rPr>
                  <w:t>1,819,618</w:t>
                </w:r>
              </w:p>
            </w:tc>
            <w:tc>
              <w:tcPr>
                <w:tcW w:w="1047" w:type="dxa"/>
                <w:vAlign w:val="center"/>
              </w:tcPr>
              <w:p>
                <w:pPr>
                  <w:snapToGrid w:val="0"/>
                  <w:spacing w:line="240" w:lineRule="atLeast"/>
                  <w:jc w:val="right"/>
                  <w:rPr>
                    <w:rFonts w:ascii="宋体" w:hAnsi="宋体" w:cs="宋体"/>
                  </w:rPr>
                </w:pPr>
                <w:r>
                  <w:rPr>
                    <w:rFonts w:ascii="宋体" w:hAnsi="宋体" w:cs="宋体"/>
                  </w:rPr>
                  <w:t>31.90</w:t>
                </w:r>
              </w:p>
            </w:tc>
            <w:tc>
              <w:tcPr>
                <w:tcW w:w="1256" w:type="dxa"/>
                <w:vAlign w:val="center"/>
              </w:tcPr>
              <w:p>
                <w:pPr>
                  <w:snapToGrid w:val="0"/>
                  <w:spacing w:line="240" w:lineRule="atLeast"/>
                  <w:jc w:val="right"/>
                  <w:rPr>
                    <w:rFonts w:ascii="宋体" w:hAnsi="宋体" w:cs="宋体"/>
                  </w:rPr>
                </w:pPr>
              </w:p>
            </w:tc>
            <w:tc>
              <w:tcPr>
                <w:tcW w:w="1465" w:type="dxa"/>
                <w:vAlign w:val="center"/>
              </w:tcPr>
              <w:p>
                <w:pPr>
                  <w:snapToGrid w:val="0"/>
                  <w:spacing w:line="240" w:lineRule="atLeast"/>
                  <w:jc w:val="right"/>
                  <w:rPr>
                    <w:rFonts w:ascii="宋体" w:hAnsi="宋体" w:cs="宋体"/>
                  </w:rPr>
                </w:pPr>
              </w:p>
            </w:tc>
            <w:tc>
              <w:tcPr>
                <w:tcW w:w="1464" w:type="dxa"/>
                <w:vAlign w:val="center"/>
              </w:tcPr>
              <w:p>
                <w:pPr>
                  <w:snapToGrid w:val="0"/>
                  <w:spacing w:line="240" w:lineRule="atLeast"/>
                  <w:jc w:val="right"/>
                  <w:rPr>
                    <w:rFonts w:ascii="宋体" w:hAnsi="宋体" w:cs="宋体"/>
                  </w:rPr>
                </w:pPr>
                <w:r>
                  <w:rPr>
                    <w:rFonts w:ascii="宋体" w:hAnsi="宋体" w:cs="宋体"/>
                  </w:rPr>
                  <w:t>1,819,618</w:t>
                </w:r>
              </w:p>
            </w:tc>
          </w:tr>
          <w:tr>
            <w:trPr>
              <w:trHeight w:val="397"/>
              <w:jc w:val="center"/>
            </w:trPr>
            <w:tc>
              <w:tcPr>
                <w:tcW w:w="1985" w:type="dxa"/>
                <w:vAlign w:val="center"/>
              </w:tcPr>
              <w:p>
                <w:pPr>
                  <w:snapToGrid w:val="0"/>
                  <w:spacing w:line="240" w:lineRule="atLeast"/>
                  <w:jc w:val="center"/>
                  <w:rPr>
                    <w:rFonts w:ascii="宋体" w:hAnsi="宋体" w:cs="宋体"/>
                  </w:rPr>
                </w:pPr>
                <w:r>
                  <w:rPr>
                    <w:rFonts w:ascii="宋体" w:hAnsi="宋体" w:cs="宋体" w:hint="eastAsia"/>
                  </w:rPr>
                  <w:t>合计</w:t>
                </w:r>
              </w:p>
            </w:tc>
            <w:tc>
              <w:tcPr>
                <w:tcW w:w="1362" w:type="dxa"/>
                <w:vAlign w:val="center"/>
              </w:tcPr>
              <w:p>
                <w:pPr>
                  <w:snapToGrid w:val="0"/>
                  <w:spacing w:line="240" w:lineRule="atLeast"/>
                  <w:jc w:val="right"/>
                  <w:rPr>
                    <w:rFonts w:ascii="宋体" w:hAnsi="宋体" w:cs="宋体"/>
                  </w:rPr>
                </w:pPr>
                <w:r>
                  <w:rPr>
                    <w:rFonts w:ascii="宋体" w:hAnsi="宋体" w:cs="宋体"/>
                  </w:rPr>
                  <w:t>5,703,782</w:t>
                </w:r>
              </w:p>
            </w:tc>
            <w:tc>
              <w:tcPr>
                <w:tcW w:w="1047" w:type="dxa"/>
                <w:vAlign w:val="center"/>
              </w:tcPr>
              <w:p>
                <w:pPr>
                  <w:snapToGrid w:val="0"/>
                  <w:spacing w:line="240" w:lineRule="atLeast"/>
                  <w:jc w:val="right"/>
                  <w:rPr>
                    <w:rFonts w:ascii="宋体" w:hAnsi="宋体" w:cs="宋体"/>
                  </w:rPr>
                </w:pPr>
                <w:r>
                  <w:rPr>
                    <w:rFonts w:ascii="宋体" w:hAnsi="宋体" w:cs="宋体"/>
                  </w:rPr>
                  <w:t>100.00</w:t>
                </w:r>
              </w:p>
            </w:tc>
            <w:tc>
              <w:tcPr>
                <w:tcW w:w="1256" w:type="dxa"/>
                <w:vAlign w:val="center"/>
              </w:tcPr>
              <w:p>
                <w:pPr>
                  <w:snapToGrid w:val="0"/>
                  <w:spacing w:line="240" w:lineRule="atLeast"/>
                  <w:jc w:val="right"/>
                  <w:rPr>
                    <w:rFonts w:ascii="宋体" w:hAnsi="宋体" w:cs="宋体"/>
                  </w:rPr>
                </w:pPr>
                <w:r>
                  <w:rPr>
                    <w:rFonts w:ascii="宋体" w:hAnsi="宋体" w:cs="宋体"/>
                  </w:rPr>
                  <w:t>1,755,450</w:t>
                </w:r>
              </w:p>
            </w:tc>
            <w:tc>
              <w:tcPr>
                <w:tcW w:w="1465" w:type="dxa"/>
                <w:vAlign w:val="center"/>
              </w:tcPr>
              <w:p>
                <w:pPr>
                  <w:snapToGrid w:val="0"/>
                  <w:spacing w:line="240" w:lineRule="atLeast"/>
                  <w:jc w:val="right"/>
                  <w:rPr>
                    <w:rFonts w:ascii="宋体" w:hAnsi="宋体" w:cs="宋体"/>
                  </w:rPr>
                </w:pPr>
              </w:p>
            </w:tc>
            <w:tc>
              <w:tcPr>
                <w:tcW w:w="1464" w:type="dxa"/>
                <w:vAlign w:val="center"/>
              </w:tcPr>
              <w:p>
                <w:pPr>
                  <w:snapToGrid w:val="0"/>
                  <w:spacing w:line="240" w:lineRule="atLeast"/>
                  <w:jc w:val="right"/>
                  <w:rPr>
                    <w:rFonts w:ascii="宋体" w:hAnsi="宋体" w:cs="宋体"/>
                  </w:rPr>
                </w:pPr>
                <w:r>
                  <w:rPr>
                    <w:rFonts w:ascii="宋体" w:hAnsi="宋体" w:cs="宋体"/>
                  </w:rPr>
                  <w:t>3,948,332</w:t>
                </w:r>
              </w:p>
            </w:tc>
          </w:tr>
        </w:tbl>
        <w:p>
          <w:pPr>
            <w:pStyle w:val="Style2061"/>
            <w:spacing w:afterLines="0" w:after="0"/>
            <w:ind w:firstLine="400"/>
          </w:pPr>
        </w:p>
        <w:p>
          <w:pPr>
            <w:spacing w:afterLines="50" w:after="120" w:line="360" w:lineRule="exact"/>
            <w:ind w:firstLineChars="200" w:firstLine="420"/>
          </w:pPr>
          <w:r>
            <w:rPr>
              <w:rFonts w:hint="eastAsia"/>
            </w:rPr>
            <w:t>按单项</w:t>
          </w:r>
          <w:r>
            <w:t>计提坏账准备：</w:t>
          </w:r>
        </w:p>
        <w:tbl>
          <w:tblPr>
            <w:tblStyle w:val="Style100"/>
            <w:tblW w:w="991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38|0|desc|||0|1"/>
          </w:tblPr>
          <w:tblGrid>
            <w:gridCol w:w="3244"/>
            <w:gridCol w:w="1161"/>
            <w:gridCol w:w="1161"/>
            <w:gridCol w:w="1161"/>
            <w:gridCol w:w="1161"/>
            <w:gridCol w:w="839"/>
            <w:gridCol w:w="1190"/>
          </w:tblGrid>
          <w:tr>
            <w:trPr>
              <w:trHeight w:val="397"/>
              <w:tblHeader/>
              <w:jc w:val="center"/>
            </w:trPr>
            <w:tc>
              <w:tcPr>
                <w:tcW w:w="1636" w:type="pct"/>
                <w:vMerge w:val="restart"/>
                <w:vAlign w:val="center"/>
              </w:tcPr>
              <w:p>
                <w:pPr>
                  <w:spacing w:line="360" w:lineRule="exact"/>
                  <w:jc w:val="center"/>
                  <w:rPr>
                    <w:rFonts w:ascii="宋体" w:hAnsi="宋体" w:cs="宋体"/>
                    <w:b/>
                    <w:sz w:val="18"/>
                    <w:szCs w:val="18"/>
                  </w:rPr>
                </w:pPr>
                <w:r>
                  <w:rPr>
                    <w:rFonts w:ascii="宋体" w:hAnsi="宋体" w:cs="宋体" w:hint="eastAsia"/>
                    <w:b/>
                    <w:sz w:val="18"/>
                    <w:szCs w:val="18"/>
                  </w:rPr>
                  <w:t>名称</w:t>
                </w:r>
              </w:p>
            </w:tc>
            <w:tc>
              <w:tcPr>
                <w:tcW w:w="1171" w:type="pct"/>
                <w:gridSpan w:val="2"/>
                <w:vAlign w:val="center"/>
              </w:tcPr>
              <w:p>
                <w:pPr>
                  <w:spacing w:line="360" w:lineRule="exact"/>
                  <w:jc w:val="center"/>
                  <w:rPr>
                    <w:rFonts w:ascii="宋体" w:hAnsi="宋体" w:cs="宋体"/>
                    <w:b/>
                    <w:sz w:val="18"/>
                    <w:szCs w:val="18"/>
                  </w:rPr>
                </w:pPr>
                <w:r>
                  <w:rPr>
                    <w:rFonts w:ascii="宋体" w:hAnsi="宋体" w:cs="宋体" w:hint="eastAsia"/>
                    <w:b/>
                    <w:sz w:val="18"/>
                    <w:szCs w:val="18"/>
                  </w:rPr>
                  <w:t>期初余额</w:t>
                </w:r>
              </w:p>
            </w:tc>
            <w:tc>
              <w:tcPr>
                <w:tcW w:w="2194" w:type="pct"/>
                <w:gridSpan w:val="4"/>
                <w:vAlign w:val="center"/>
              </w:tcPr>
              <w:p>
                <w:pPr>
                  <w:spacing w:line="360" w:lineRule="exact"/>
                  <w:jc w:val="center"/>
                  <w:rPr>
                    <w:rFonts w:ascii="宋体" w:hAnsi="宋体" w:cs="宋体"/>
                    <w:b/>
                    <w:sz w:val="18"/>
                    <w:szCs w:val="18"/>
                  </w:rPr>
                </w:pPr>
                <w:r>
                  <w:rPr>
                    <w:rFonts w:ascii="宋体" w:hAnsi="宋体" w:cs="宋体" w:hint="eastAsia"/>
                    <w:b/>
                    <w:sz w:val="18"/>
                    <w:szCs w:val="18"/>
                  </w:rPr>
                  <w:t>期末余额</w:t>
                </w:r>
              </w:p>
            </w:tc>
          </w:tr>
          <w:tr>
            <w:trPr>
              <w:trHeight w:val="397"/>
              <w:tblHeader/>
              <w:jc w:val="center"/>
            </w:trPr>
            <w:tc>
              <w:tcPr>
                <w:tcW w:w="1636" w:type="pct"/>
                <w:vMerge/>
                <w:vAlign w:val="center"/>
              </w:tcPr>
              <w:p>
                <w:pPr>
                  <w:spacing w:line="360" w:lineRule="exact"/>
                  <w:jc w:val="center"/>
                  <w:rPr>
                    <w:rFonts w:ascii="宋体" w:hAnsi="宋体" w:cs="宋体"/>
                    <w:b/>
                    <w:sz w:val="18"/>
                    <w:szCs w:val="18"/>
                  </w:rPr>
                </w:pPr>
              </w:p>
            </w:tc>
            <w:tc>
              <w:tcPr>
                <w:tcW w:w="585" w:type="pct"/>
                <w:vAlign w:val="center"/>
              </w:tcPr>
              <w:p>
                <w:pPr>
                  <w:spacing w:line="360" w:lineRule="exact"/>
                  <w:jc w:val="center"/>
                  <w:rPr>
                    <w:rFonts w:ascii="宋体" w:hAnsi="宋体" w:cs="宋体"/>
                    <w:b/>
                    <w:sz w:val="18"/>
                    <w:szCs w:val="18"/>
                  </w:rPr>
                </w:pPr>
                <w:r>
                  <w:rPr>
                    <w:rFonts w:ascii="宋体" w:hAnsi="宋体" w:cs="宋体" w:hint="eastAsia"/>
                    <w:b/>
                    <w:sz w:val="18"/>
                    <w:szCs w:val="18"/>
                  </w:rPr>
                  <w:t>账面余额</w:t>
                </w:r>
              </w:p>
            </w:tc>
            <w:tc>
              <w:tcPr>
                <w:tcW w:w="585" w:type="pct"/>
                <w:vAlign w:val="center"/>
              </w:tcPr>
              <w:p>
                <w:pPr>
                  <w:spacing w:line="360" w:lineRule="exact"/>
                  <w:jc w:val="center"/>
                  <w:rPr>
                    <w:rFonts w:ascii="宋体" w:hAnsi="宋体" w:cs="宋体"/>
                    <w:b/>
                    <w:sz w:val="18"/>
                    <w:szCs w:val="18"/>
                  </w:rPr>
                </w:pPr>
                <w:r>
                  <w:rPr>
                    <w:rFonts w:ascii="宋体" w:hAnsi="宋体" w:cs="宋体" w:hint="eastAsia"/>
                    <w:b/>
                    <w:sz w:val="18"/>
                    <w:szCs w:val="18"/>
                  </w:rPr>
                  <w:t>坏账准备</w:t>
                </w:r>
              </w:p>
            </w:tc>
            <w:tc>
              <w:tcPr>
                <w:tcW w:w="585" w:type="pct"/>
                <w:vAlign w:val="center"/>
              </w:tcPr>
              <w:p>
                <w:pPr>
                  <w:spacing w:line="360" w:lineRule="exact"/>
                  <w:jc w:val="center"/>
                  <w:rPr>
                    <w:rFonts w:ascii="宋体" w:hAnsi="宋体" w:cs="宋体"/>
                    <w:b/>
                    <w:sz w:val="18"/>
                    <w:szCs w:val="18"/>
                  </w:rPr>
                </w:pPr>
                <w:r>
                  <w:rPr>
                    <w:rFonts w:ascii="宋体" w:hAnsi="宋体" w:cs="宋体" w:hint="eastAsia"/>
                    <w:b/>
                    <w:sz w:val="18"/>
                    <w:szCs w:val="18"/>
                  </w:rPr>
                  <w:t>账面余额</w:t>
                </w:r>
              </w:p>
            </w:tc>
            <w:tc>
              <w:tcPr>
                <w:tcW w:w="585" w:type="pct"/>
                <w:vAlign w:val="center"/>
              </w:tcPr>
              <w:p>
                <w:pPr>
                  <w:spacing w:line="360" w:lineRule="exact"/>
                  <w:jc w:val="center"/>
                  <w:rPr>
                    <w:rFonts w:ascii="宋体" w:hAnsi="宋体" w:cs="宋体"/>
                    <w:b/>
                    <w:sz w:val="18"/>
                    <w:szCs w:val="18"/>
                  </w:rPr>
                </w:pPr>
                <w:r>
                  <w:rPr>
                    <w:rFonts w:ascii="宋体" w:hAnsi="宋体" w:cs="宋体" w:hint="eastAsia"/>
                    <w:b/>
                    <w:sz w:val="18"/>
                    <w:szCs w:val="18"/>
                  </w:rPr>
                  <w:t>坏账准备</w:t>
                </w:r>
              </w:p>
            </w:tc>
            <w:tc>
              <w:tcPr>
                <w:tcW w:w="423" w:type="pct"/>
                <w:vAlign w:val="center"/>
              </w:tcPr>
              <w:p>
                <w:pPr>
                  <w:spacing w:line="360" w:lineRule="exact"/>
                  <w:jc w:val="center"/>
                  <w:rPr>
                    <w:rFonts w:ascii="宋体" w:hAnsi="宋体" w:cs="宋体"/>
                    <w:b/>
                    <w:sz w:val="18"/>
                    <w:szCs w:val="18"/>
                  </w:rPr>
                </w:pPr>
                <w:r>
                  <w:rPr>
                    <w:rFonts w:ascii="宋体" w:hAnsi="宋体" w:cs="宋体" w:hint="eastAsia"/>
                    <w:b/>
                    <w:sz w:val="18"/>
                    <w:szCs w:val="18"/>
                  </w:rPr>
                  <w:t>计提比例（%）</w:t>
                </w:r>
              </w:p>
            </w:tc>
            <w:tc>
              <w:tcPr>
                <w:tcW w:w="600" w:type="pct"/>
                <w:vAlign w:val="center"/>
              </w:tcPr>
              <w:p>
                <w:pPr>
                  <w:spacing w:line="360" w:lineRule="exact"/>
                  <w:jc w:val="center"/>
                  <w:rPr>
                    <w:rFonts w:ascii="宋体" w:hAnsi="宋体" w:cs="宋体"/>
                    <w:b/>
                    <w:sz w:val="18"/>
                    <w:szCs w:val="18"/>
                  </w:rPr>
                </w:pPr>
                <w:r>
                  <w:rPr>
                    <w:rFonts w:ascii="宋体" w:hAnsi="宋体" w:cs="宋体" w:hint="eastAsia"/>
                    <w:b/>
                    <w:sz w:val="18"/>
                    <w:szCs w:val="18"/>
                  </w:rPr>
                  <w:t>计提理由</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兖矿集团大陆机械有限公司</w:t>
                </w:r>
              </w:p>
            </w:tc>
            <w:tc>
              <w:tcPr>
                <w:tcW w:w="585" w:type="pct"/>
                <w:vAlign w:val="center"/>
              </w:tcPr>
              <w:p>
                <w:pPr>
                  <w:snapToGrid w:val="0"/>
                  <w:spacing w:line="240" w:lineRule="atLeast"/>
                  <w:jc w:val="right"/>
                  <w:rPr>
                    <w:rFonts w:ascii="宋体" w:hAnsi="宋体" w:cs="宋体"/>
                  </w:rPr>
                </w:pPr>
                <w:r>
                  <w:rPr>
                    <w:rFonts w:ascii="宋体" w:hAnsi="宋体" w:cs="宋体"/>
                  </w:rPr>
                  <w:t>635,492</w:t>
                </w:r>
              </w:p>
            </w:tc>
            <w:tc>
              <w:tcPr>
                <w:tcW w:w="585" w:type="pct"/>
                <w:vAlign w:val="center"/>
              </w:tcPr>
              <w:p>
                <w:pPr>
                  <w:snapToGrid w:val="0"/>
                  <w:spacing w:line="240" w:lineRule="atLeast"/>
                  <w:jc w:val="right"/>
                  <w:rPr>
                    <w:rFonts w:ascii="宋体" w:hAnsi="宋体" w:cs="宋体"/>
                  </w:rPr>
                </w:pPr>
                <w:r>
                  <w:rPr>
                    <w:rFonts w:ascii="宋体" w:hAnsi="宋体" w:cs="宋体"/>
                  </w:rPr>
                  <w:t>635,492</w:t>
                </w:r>
              </w:p>
            </w:tc>
            <w:tc>
              <w:tcPr>
                <w:tcW w:w="585" w:type="pct"/>
                <w:vAlign w:val="center"/>
              </w:tcPr>
              <w:p>
                <w:pPr>
                  <w:snapToGrid w:val="0"/>
                  <w:spacing w:line="240" w:lineRule="atLeast"/>
                  <w:jc w:val="right"/>
                  <w:rPr>
                    <w:rFonts w:ascii="宋体" w:hAnsi="宋体" w:cs="宋体"/>
                  </w:rPr>
                </w:pPr>
                <w:r>
                  <w:rPr>
                    <w:rFonts w:ascii="宋体" w:hAnsi="宋体" w:cs="宋体"/>
                  </w:rPr>
                  <w:t>635,465</w:t>
                </w:r>
              </w:p>
            </w:tc>
            <w:tc>
              <w:tcPr>
                <w:tcW w:w="585" w:type="pct"/>
                <w:vAlign w:val="center"/>
              </w:tcPr>
              <w:p>
                <w:pPr>
                  <w:snapToGrid w:val="0"/>
                  <w:spacing w:line="240" w:lineRule="atLeast"/>
                  <w:jc w:val="right"/>
                  <w:rPr>
                    <w:rFonts w:ascii="宋体" w:hAnsi="宋体" w:cs="宋体"/>
                  </w:rPr>
                </w:pPr>
                <w:r>
                  <w:rPr>
                    <w:rFonts w:ascii="宋体" w:hAnsi="宋体" w:cs="宋体"/>
                  </w:rPr>
                  <w:t>635,465</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山东兖煤日照港储配煤有限公司</w:t>
                </w:r>
              </w:p>
            </w:tc>
            <w:tc>
              <w:tcPr>
                <w:tcW w:w="585" w:type="pct"/>
                <w:vAlign w:val="center"/>
              </w:tcPr>
              <w:p>
                <w:pPr>
                  <w:snapToGrid w:val="0"/>
                  <w:spacing w:line="240" w:lineRule="atLeast"/>
                  <w:jc w:val="right"/>
                  <w:rPr>
                    <w:rFonts w:ascii="宋体" w:hAnsi="宋体" w:cs="宋体"/>
                  </w:rPr>
                </w:pPr>
              </w:p>
            </w:tc>
            <w:tc>
              <w:tcPr>
                <w:tcW w:w="585" w:type="pct"/>
                <w:vAlign w:val="center"/>
              </w:tcPr>
              <w:p>
                <w:pPr>
                  <w:snapToGrid w:val="0"/>
                  <w:spacing w:line="240" w:lineRule="atLeast"/>
                  <w:jc w:val="right"/>
                  <w:rPr>
                    <w:rFonts w:ascii="宋体" w:hAnsi="宋体" w:cs="宋体"/>
                  </w:rPr>
                </w:pPr>
              </w:p>
            </w:tc>
            <w:tc>
              <w:tcPr>
                <w:tcW w:w="585" w:type="pct"/>
                <w:vAlign w:val="center"/>
              </w:tcPr>
              <w:p>
                <w:pPr>
                  <w:snapToGrid w:val="0"/>
                  <w:spacing w:line="240" w:lineRule="atLeast"/>
                  <w:jc w:val="right"/>
                  <w:rPr>
                    <w:rFonts w:ascii="宋体" w:hAnsi="宋体" w:cs="宋体"/>
                  </w:rPr>
                </w:pPr>
                <w:r>
                  <w:rPr>
                    <w:rFonts w:ascii="宋体" w:hAnsi="宋体" w:cs="宋体"/>
                  </w:rPr>
                  <w:t>361,729</w:t>
                </w:r>
              </w:p>
            </w:tc>
            <w:tc>
              <w:tcPr>
                <w:tcW w:w="585" w:type="pct"/>
                <w:vAlign w:val="center"/>
              </w:tcPr>
              <w:p>
                <w:pPr>
                  <w:snapToGrid w:val="0"/>
                  <w:spacing w:line="240" w:lineRule="atLeast"/>
                  <w:jc w:val="right"/>
                  <w:rPr>
                    <w:rFonts w:ascii="宋体" w:hAnsi="宋体" w:cs="宋体"/>
                  </w:rPr>
                </w:pPr>
                <w:r>
                  <w:rPr>
                    <w:rFonts w:ascii="宋体" w:hAnsi="宋体" w:cs="宋体"/>
                  </w:rPr>
                  <w:t>361,729</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lastRenderedPageBreak/>
                  <w:t>山东中鼎云联科技有限公司</w:t>
                </w:r>
              </w:p>
            </w:tc>
            <w:tc>
              <w:tcPr>
                <w:tcW w:w="585" w:type="pct"/>
                <w:vAlign w:val="center"/>
              </w:tcPr>
              <w:p>
                <w:pPr>
                  <w:snapToGrid w:val="0"/>
                  <w:spacing w:line="240" w:lineRule="atLeast"/>
                  <w:jc w:val="right"/>
                  <w:rPr>
                    <w:rFonts w:ascii="宋体" w:hAnsi="宋体" w:cs="宋体"/>
                  </w:rPr>
                </w:pPr>
              </w:p>
            </w:tc>
            <w:tc>
              <w:tcPr>
                <w:tcW w:w="585" w:type="pct"/>
                <w:vAlign w:val="center"/>
              </w:tcPr>
              <w:p>
                <w:pPr>
                  <w:snapToGrid w:val="0"/>
                  <w:spacing w:line="240" w:lineRule="atLeast"/>
                  <w:jc w:val="right"/>
                  <w:rPr>
                    <w:rFonts w:ascii="宋体" w:hAnsi="宋体" w:cs="宋体"/>
                  </w:rPr>
                </w:pPr>
              </w:p>
            </w:tc>
            <w:tc>
              <w:tcPr>
                <w:tcW w:w="585" w:type="pct"/>
                <w:vAlign w:val="center"/>
              </w:tcPr>
              <w:p>
                <w:pPr>
                  <w:snapToGrid w:val="0"/>
                  <w:spacing w:line="240" w:lineRule="atLeast"/>
                  <w:jc w:val="right"/>
                  <w:rPr>
                    <w:rFonts w:ascii="宋体" w:hAnsi="宋体" w:cs="宋体"/>
                  </w:rPr>
                </w:pPr>
                <w:r>
                  <w:rPr>
                    <w:rFonts w:ascii="宋体" w:hAnsi="宋体" w:cs="宋体"/>
                  </w:rPr>
                  <w:t>210,147</w:t>
                </w:r>
              </w:p>
            </w:tc>
            <w:tc>
              <w:tcPr>
                <w:tcW w:w="585" w:type="pct"/>
                <w:vAlign w:val="center"/>
              </w:tcPr>
              <w:p>
                <w:pPr>
                  <w:snapToGrid w:val="0"/>
                  <w:spacing w:line="240" w:lineRule="atLeast"/>
                  <w:jc w:val="right"/>
                  <w:rPr>
                    <w:rFonts w:ascii="宋体" w:hAnsi="宋体" w:cs="宋体"/>
                  </w:rPr>
                </w:pPr>
                <w:r>
                  <w:rPr>
                    <w:rFonts w:ascii="宋体" w:hAnsi="宋体" w:cs="宋体"/>
                  </w:rPr>
                  <w:t>210,147</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大连集装箱码头物流有限公司</w:t>
                </w:r>
              </w:p>
            </w:tc>
            <w:tc>
              <w:tcPr>
                <w:tcW w:w="585" w:type="pct"/>
                <w:vAlign w:val="center"/>
              </w:tcPr>
              <w:p>
                <w:pPr>
                  <w:snapToGrid w:val="0"/>
                  <w:spacing w:line="240" w:lineRule="atLeast"/>
                  <w:jc w:val="right"/>
                  <w:rPr>
                    <w:rFonts w:ascii="宋体" w:hAnsi="宋体" w:cs="宋体"/>
                  </w:rPr>
                </w:pPr>
              </w:p>
            </w:tc>
            <w:tc>
              <w:tcPr>
                <w:tcW w:w="585" w:type="pct"/>
                <w:vAlign w:val="center"/>
              </w:tcPr>
              <w:p>
                <w:pPr>
                  <w:snapToGrid w:val="0"/>
                  <w:spacing w:line="240" w:lineRule="atLeast"/>
                  <w:jc w:val="right"/>
                  <w:rPr>
                    <w:rFonts w:ascii="宋体" w:hAnsi="宋体" w:cs="宋体"/>
                  </w:rPr>
                </w:pPr>
              </w:p>
            </w:tc>
            <w:tc>
              <w:tcPr>
                <w:tcW w:w="585" w:type="pct"/>
                <w:vAlign w:val="center"/>
              </w:tcPr>
              <w:p>
                <w:pPr>
                  <w:snapToGrid w:val="0"/>
                  <w:spacing w:line="240" w:lineRule="atLeast"/>
                  <w:jc w:val="right"/>
                  <w:rPr>
                    <w:rFonts w:ascii="宋体" w:hAnsi="宋体" w:cs="宋体"/>
                  </w:rPr>
                </w:pPr>
                <w:r>
                  <w:rPr>
                    <w:rFonts w:ascii="宋体" w:hAnsi="宋体" w:cs="宋体"/>
                  </w:rPr>
                  <w:t>167,054</w:t>
                </w:r>
              </w:p>
            </w:tc>
            <w:tc>
              <w:tcPr>
                <w:tcW w:w="585" w:type="pct"/>
                <w:vAlign w:val="center"/>
              </w:tcPr>
              <w:p>
                <w:pPr>
                  <w:snapToGrid w:val="0"/>
                  <w:spacing w:line="240" w:lineRule="atLeast"/>
                  <w:jc w:val="right"/>
                  <w:rPr>
                    <w:rFonts w:ascii="宋体" w:hAnsi="宋体" w:cs="宋体"/>
                  </w:rPr>
                </w:pPr>
                <w:r>
                  <w:rPr>
                    <w:rFonts w:ascii="宋体" w:hAnsi="宋体" w:cs="宋体"/>
                  </w:rPr>
                  <w:t>167,054</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沙钢（北京）国际投资有限公司</w:t>
                </w:r>
              </w:p>
            </w:tc>
            <w:tc>
              <w:tcPr>
                <w:tcW w:w="585" w:type="pct"/>
                <w:vAlign w:val="center"/>
              </w:tcPr>
              <w:p>
                <w:pPr>
                  <w:snapToGrid w:val="0"/>
                  <w:spacing w:line="240" w:lineRule="atLeast"/>
                  <w:jc w:val="right"/>
                  <w:rPr>
                    <w:rFonts w:ascii="宋体" w:hAnsi="宋体" w:cs="宋体"/>
                  </w:rPr>
                </w:pPr>
                <w:r>
                  <w:rPr>
                    <w:rFonts w:ascii="宋体" w:hAnsi="宋体" w:cs="宋体"/>
                  </w:rPr>
                  <w:t>121,606</w:t>
                </w:r>
              </w:p>
            </w:tc>
            <w:tc>
              <w:tcPr>
                <w:tcW w:w="585" w:type="pct"/>
                <w:vAlign w:val="center"/>
              </w:tcPr>
              <w:p>
                <w:pPr>
                  <w:snapToGrid w:val="0"/>
                  <w:spacing w:line="240" w:lineRule="atLeast"/>
                  <w:jc w:val="right"/>
                  <w:rPr>
                    <w:rFonts w:ascii="宋体" w:hAnsi="宋体" w:cs="宋体"/>
                  </w:rPr>
                </w:pPr>
                <w:r>
                  <w:rPr>
                    <w:rFonts w:ascii="宋体" w:hAnsi="宋体" w:cs="宋体"/>
                  </w:rPr>
                  <w:t>121,606</w:t>
                </w:r>
              </w:p>
            </w:tc>
            <w:tc>
              <w:tcPr>
                <w:tcW w:w="585" w:type="pct"/>
                <w:vAlign w:val="center"/>
              </w:tcPr>
              <w:p>
                <w:pPr>
                  <w:snapToGrid w:val="0"/>
                  <w:spacing w:line="240" w:lineRule="atLeast"/>
                  <w:jc w:val="right"/>
                  <w:rPr>
                    <w:rFonts w:ascii="宋体" w:hAnsi="宋体" w:cs="宋体"/>
                  </w:rPr>
                </w:pPr>
                <w:r>
                  <w:rPr>
                    <w:rFonts w:ascii="宋体" w:hAnsi="宋体" w:cs="宋体"/>
                  </w:rPr>
                  <w:t>121,606</w:t>
                </w:r>
              </w:p>
            </w:tc>
            <w:tc>
              <w:tcPr>
                <w:tcW w:w="585" w:type="pct"/>
                <w:vAlign w:val="center"/>
              </w:tcPr>
              <w:p>
                <w:pPr>
                  <w:snapToGrid w:val="0"/>
                  <w:spacing w:line="240" w:lineRule="atLeast"/>
                  <w:jc w:val="right"/>
                  <w:rPr>
                    <w:rFonts w:ascii="宋体" w:hAnsi="宋体" w:cs="宋体"/>
                  </w:rPr>
                </w:pPr>
                <w:r>
                  <w:rPr>
                    <w:rFonts w:ascii="宋体" w:hAnsi="宋体" w:cs="宋体"/>
                  </w:rPr>
                  <w:t>121,606</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山东圣杨木业有限公司</w:t>
                </w:r>
              </w:p>
            </w:tc>
            <w:tc>
              <w:tcPr>
                <w:tcW w:w="585" w:type="pct"/>
                <w:vAlign w:val="center"/>
              </w:tcPr>
              <w:p>
                <w:pPr>
                  <w:snapToGrid w:val="0"/>
                  <w:spacing w:line="240" w:lineRule="atLeast"/>
                  <w:jc w:val="right"/>
                  <w:rPr>
                    <w:rFonts w:ascii="宋体" w:hAnsi="宋体" w:cs="宋体"/>
                  </w:rPr>
                </w:pPr>
                <w:r>
                  <w:rPr>
                    <w:rFonts w:ascii="宋体" w:hAnsi="宋体" w:cs="宋体"/>
                  </w:rPr>
                  <w:t>69,169</w:t>
                </w:r>
              </w:p>
            </w:tc>
            <w:tc>
              <w:tcPr>
                <w:tcW w:w="585" w:type="pct"/>
                <w:vAlign w:val="center"/>
              </w:tcPr>
              <w:p>
                <w:pPr>
                  <w:snapToGrid w:val="0"/>
                  <w:spacing w:line="240" w:lineRule="atLeast"/>
                  <w:jc w:val="right"/>
                  <w:rPr>
                    <w:rFonts w:ascii="宋体" w:hAnsi="宋体" w:cs="宋体"/>
                  </w:rPr>
                </w:pPr>
                <w:r>
                  <w:rPr>
                    <w:rFonts w:ascii="宋体" w:hAnsi="宋体" w:cs="宋体"/>
                  </w:rPr>
                  <w:t>69,169</w:t>
                </w:r>
              </w:p>
            </w:tc>
            <w:tc>
              <w:tcPr>
                <w:tcW w:w="585" w:type="pct"/>
                <w:vAlign w:val="center"/>
              </w:tcPr>
              <w:p>
                <w:pPr>
                  <w:snapToGrid w:val="0"/>
                  <w:spacing w:line="240" w:lineRule="atLeast"/>
                  <w:jc w:val="right"/>
                  <w:rPr>
                    <w:rFonts w:ascii="宋体" w:hAnsi="宋体" w:cs="宋体"/>
                  </w:rPr>
                </w:pPr>
                <w:r>
                  <w:rPr>
                    <w:rFonts w:ascii="宋体" w:hAnsi="宋体" w:cs="宋体"/>
                  </w:rPr>
                  <w:t>69,169</w:t>
                </w:r>
              </w:p>
            </w:tc>
            <w:tc>
              <w:tcPr>
                <w:tcW w:w="585" w:type="pct"/>
                <w:vAlign w:val="center"/>
              </w:tcPr>
              <w:p>
                <w:pPr>
                  <w:snapToGrid w:val="0"/>
                  <w:spacing w:line="240" w:lineRule="atLeast"/>
                  <w:jc w:val="right"/>
                  <w:rPr>
                    <w:rFonts w:ascii="宋体" w:hAnsi="宋体" w:cs="宋体"/>
                  </w:rPr>
                </w:pPr>
                <w:r>
                  <w:rPr>
                    <w:rFonts w:ascii="宋体" w:hAnsi="宋体" w:cs="宋体"/>
                  </w:rPr>
                  <w:t>69,169</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兖矿集团有限公司唐村煤矿</w:t>
                </w:r>
              </w:p>
            </w:tc>
            <w:tc>
              <w:tcPr>
                <w:tcW w:w="585" w:type="pct"/>
                <w:vAlign w:val="center"/>
              </w:tcPr>
              <w:p>
                <w:pPr>
                  <w:snapToGrid w:val="0"/>
                  <w:spacing w:line="240" w:lineRule="atLeast"/>
                  <w:jc w:val="right"/>
                  <w:rPr>
                    <w:rFonts w:ascii="宋体" w:hAnsi="宋体" w:cs="宋体"/>
                  </w:rPr>
                </w:pPr>
                <w:r>
                  <w:rPr>
                    <w:rFonts w:ascii="宋体" w:hAnsi="宋体" w:cs="宋体"/>
                  </w:rPr>
                  <w:t>16,444</w:t>
                </w:r>
              </w:p>
            </w:tc>
            <w:tc>
              <w:tcPr>
                <w:tcW w:w="585" w:type="pct"/>
                <w:vAlign w:val="center"/>
              </w:tcPr>
              <w:p>
                <w:pPr>
                  <w:snapToGrid w:val="0"/>
                  <w:spacing w:line="240" w:lineRule="atLeast"/>
                  <w:jc w:val="right"/>
                  <w:rPr>
                    <w:rFonts w:ascii="宋体" w:hAnsi="宋体" w:cs="宋体"/>
                  </w:rPr>
                </w:pPr>
                <w:r>
                  <w:rPr>
                    <w:rFonts w:ascii="宋体" w:hAnsi="宋体" w:cs="宋体"/>
                  </w:rPr>
                  <w:t>16,444</w:t>
                </w:r>
              </w:p>
            </w:tc>
            <w:tc>
              <w:tcPr>
                <w:tcW w:w="585" w:type="pct"/>
                <w:vAlign w:val="center"/>
              </w:tcPr>
              <w:p>
                <w:pPr>
                  <w:snapToGrid w:val="0"/>
                  <w:spacing w:line="240" w:lineRule="atLeast"/>
                  <w:jc w:val="right"/>
                  <w:rPr>
                    <w:rFonts w:ascii="宋体" w:hAnsi="宋体" w:cs="宋体"/>
                  </w:rPr>
                </w:pPr>
                <w:r>
                  <w:rPr>
                    <w:rFonts w:ascii="宋体" w:hAnsi="宋体" w:cs="宋体"/>
                  </w:rPr>
                  <w:t>16,444</w:t>
                </w:r>
              </w:p>
            </w:tc>
            <w:tc>
              <w:tcPr>
                <w:tcW w:w="585" w:type="pct"/>
                <w:vAlign w:val="center"/>
              </w:tcPr>
              <w:p>
                <w:pPr>
                  <w:snapToGrid w:val="0"/>
                  <w:spacing w:line="240" w:lineRule="atLeast"/>
                  <w:jc w:val="right"/>
                  <w:rPr>
                    <w:rFonts w:ascii="宋体" w:hAnsi="宋体" w:cs="宋体"/>
                  </w:rPr>
                </w:pPr>
                <w:r>
                  <w:rPr>
                    <w:rFonts w:ascii="宋体" w:hAnsi="宋体" w:cs="宋体"/>
                  </w:rPr>
                  <w:t>16,444</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子长县劳动保障监察大队</w:t>
                </w:r>
              </w:p>
            </w:tc>
            <w:tc>
              <w:tcPr>
                <w:tcW w:w="585" w:type="pct"/>
                <w:vAlign w:val="center"/>
              </w:tcPr>
              <w:p>
                <w:pPr>
                  <w:snapToGrid w:val="0"/>
                  <w:spacing w:line="240" w:lineRule="atLeast"/>
                  <w:jc w:val="right"/>
                  <w:rPr>
                    <w:rFonts w:ascii="宋体" w:hAnsi="宋体" w:cs="宋体"/>
                  </w:rPr>
                </w:pPr>
                <w:r>
                  <w:rPr>
                    <w:rFonts w:ascii="宋体" w:hAnsi="宋体" w:cs="宋体"/>
                  </w:rPr>
                  <w:t>3,240</w:t>
                </w:r>
              </w:p>
            </w:tc>
            <w:tc>
              <w:tcPr>
                <w:tcW w:w="585" w:type="pct"/>
                <w:vAlign w:val="center"/>
              </w:tcPr>
              <w:p>
                <w:pPr>
                  <w:snapToGrid w:val="0"/>
                  <w:spacing w:line="240" w:lineRule="atLeast"/>
                  <w:jc w:val="right"/>
                  <w:rPr>
                    <w:rFonts w:ascii="宋体" w:hAnsi="宋体" w:cs="宋体"/>
                  </w:rPr>
                </w:pPr>
                <w:r>
                  <w:rPr>
                    <w:rFonts w:ascii="宋体" w:hAnsi="宋体" w:cs="宋体"/>
                  </w:rPr>
                  <w:t>3,240</w:t>
                </w:r>
              </w:p>
            </w:tc>
            <w:tc>
              <w:tcPr>
                <w:tcW w:w="585" w:type="pct"/>
                <w:vAlign w:val="center"/>
              </w:tcPr>
              <w:p>
                <w:pPr>
                  <w:snapToGrid w:val="0"/>
                  <w:spacing w:line="240" w:lineRule="atLeast"/>
                  <w:jc w:val="right"/>
                  <w:rPr>
                    <w:rFonts w:ascii="宋体" w:hAnsi="宋体" w:cs="宋体"/>
                  </w:rPr>
                </w:pPr>
                <w:r>
                  <w:rPr>
                    <w:rFonts w:ascii="宋体" w:hAnsi="宋体" w:cs="宋体"/>
                  </w:rPr>
                  <w:t>13,245</w:t>
                </w:r>
              </w:p>
            </w:tc>
            <w:tc>
              <w:tcPr>
                <w:tcW w:w="585" w:type="pct"/>
                <w:vAlign w:val="center"/>
              </w:tcPr>
              <w:p>
                <w:pPr>
                  <w:snapToGrid w:val="0"/>
                  <w:spacing w:line="240" w:lineRule="atLeast"/>
                  <w:jc w:val="right"/>
                  <w:rPr>
                    <w:rFonts w:ascii="宋体" w:hAnsi="宋体" w:cs="宋体"/>
                  </w:rPr>
                </w:pPr>
                <w:r>
                  <w:rPr>
                    <w:rFonts w:ascii="宋体" w:hAnsi="宋体" w:cs="宋体"/>
                  </w:rPr>
                  <w:t>13,245</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鄂尔多斯市绿能光电有限公司</w:t>
                </w:r>
              </w:p>
            </w:tc>
            <w:tc>
              <w:tcPr>
                <w:tcW w:w="585" w:type="pct"/>
                <w:vAlign w:val="center"/>
              </w:tcPr>
              <w:p>
                <w:pPr>
                  <w:snapToGrid w:val="0"/>
                  <w:spacing w:line="240" w:lineRule="atLeast"/>
                  <w:jc w:val="right"/>
                  <w:rPr>
                    <w:rFonts w:ascii="宋体" w:hAnsi="宋体" w:cs="宋体"/>
                  </w:rPr>
                </w:pPr>
                <w:r>
                  <w:rPr>
                    <w:rFonts w:ascii="宋体" w:hAnsi="宋体" w:cs="宋体"/>
                  </w:rPr>
                  <w:t>11,139</w:t>
                </w:r>
              </w:p>
            </w:tc>
            <w:tc>
              <w:tcPr>
                <w:tcW w:w="585" w:type="pct"/>
                <w:vAlign w:val="center"/>
              </w:tcPr>
              <w:p>
                <w:pPr>
                  <w:snapToGrid w:val="0"/>
                  <w:spacing w:line="240" w:lineRule="atLeast"/>
                  <w:jc w:val="right"/>
                  <w:rPr>
                    <w:rFonts w:ascii="宋体" w:hAnsi="宋体" w:cs="宋体"/>
                  </w:rPr>
                </w:pPr>
                <w:r>
                  <w:rPr>
                    <w:rFonts w:ascii="宋体" w:hAnsi="宋体" w:cs="宋体"/>
                  </w:rPr>
                  <w:t>11,139</w:t>
                </w:r>
              </w:p>
            </w:tc>
            <w:tc>
              <w:tcPr>
                <w:tcW w:w="585" w:type="pct"/>
                <w:vAlign w:val="center"/>
              </w:tcPr>
              <w:p>
                <w:pPr>
                  <w:snapToGrid w:val="0"/>
                  <w:spacing w:line="240" w:lineRule="atLeast"/>
                  <w:jc w:val="right"/>
                  <w:rPr>
                    <w:rFonts w:ascii="宋体" w:hAnsi="宋体" w:cs="宋体"/>
                  </w:rPr>
                </w:pPr>
                <w:r>
                  <w:rPr>
                    <w:rFonts w:ascii="宋体" w:hAnsi="宋体" w:cs="宋体"/>
                  </w:rPr>
                  <w:t>11,139</w:t>
                </w:r>
              </w:p>
            </w:tc>
            <w:tc>
              <w:tcPr>
                <w:tcW w:w="585" w:type="pct"/>
                <w:vAlign w:val="center"/>
              </w:tcPr>
              <w:p>
                <w:pPr>
                  <w:snapToGrid w:val="0"/>
                  <w:spacing w:line="240" w:lineRule="atLeast"/>
                  <w:jc w:val="right"/>
                  <w:rPr>
                    <w:rFonts w:ascii="宋体" w:hAnsi="宋体" w:cs="宋体"/>
                  </w:rPr>
                </w:pPr>
                <w:r>
                  <w:rPr>
                    <w:rFonts w:ascii="宋体" w:hAnsi="宋体" w:cs="宋体"/>
                  </w:rPr>
                  <w:t>11,139</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蒙矿国际矿业(北京)有限责任公司</w:t>
                </w:r>
              </w:p>
            </w:tc>
            <w:tc>
              <w:tcPr>
                <w:tcW w:w="585" w:type="pct"/>
                <w:vAlign w:val="center"/>
              </w:tcPr>
              <w:p>
                <w:pPr>
                  <w:snapToGrid w:val="0"/>
                  <w:spacing w:line="240" w:lineRule="atLeast"/>
                  <w:jc w:val="right"/>
                  <w:rPr>
                    <w:rFonts w:ascii="宋体" w:hAnsi="宋体" w:cs="宋体"/>
                  </w:rPr>
                </w:pPr>
                <w:r>
                  <w:rPr>
                    <w:rFonts w:ascii="宋体" w:hAnsi="宋体" w:cs="宋体"/>
                  </w:rPr>
                  <w:t>8,326</w:t>
                </w:r>
              </w:p>
            </w:tc>
            <w:tc>
              <w:tcPr>
                <w:tcW w:w="585" w:type="pct"/>
                <w:vAlign w:val="center"/>
              </w:tcPr>
              <w:p>
                <w:pPr>
                  <w:snapToGrid w:val="0"/>
                  <w:spacing w:line="240" w:lineRule="atLeast"/>
                  <w:jc w:val="right"/>
                  <w:rPr>
                    <w:rFonts w:ascii="宋体" w:hAnsi="宋体" w:cs="宋体"/>
                  </w:rPr>
                </w:pPr>
                <w:r>
                  <w:rPr>
                    <w:rFonts w:ascii="宋体" w:hAnsi="宋体" w:cs="宋体"/>
                  </w:rPr>
                  <w:t>8,326</w:t>
                </w:r>
              </w:p>
            </w:tc>
            <w:tc>
              <w:tcPr>
                <w:tcW w:w="585" w:type="pct"/>
                <w:vAlign w:val="center"/>
              </w:tcPr>
              <w:p>
                <w:pPr>
                  <w:snapToGrid w:val="0"/>
                  <w:spacing w:line="240" w:lineRule="atLeast"/>
                  <w:jc w:val="right"/>
                  <w:rPr>
                    <w:rFonts w:ascii="宋体" w:hAnsi="宋体" w:cs="宋体"/>
                  </w:rPr>
                </w:pPr>
                <w:r>
                  <w:rPr>
                    <w:rFonts w:ascii="宋体" w:hAnsi="宋体" w:cs="宋体"/>
                  </w:rPr>
                  <w:t>8,326</w:t>
                </w:r>
              </w:p>
            </w:tc>
            <w:tc>
              <w:tcPr>
                <w:tcW w:w="585" w:type="pct"/>
                <w:vAlign w:val="center"/>
              </w:tcPr>
              <w:p>
                <w:pPr>
                  <w:snapToGrid w:val="0"/>
                  <w:spacing w:line="240" w:lineRule="atLeast"/>
                  <w:jc w:val="right"/>
                  <w:rPr>
                    <w:rFonts w:ascii="宋体" w:hAnsi="宋体" w:cs="宋体"/>
                  </w:rPr>
                </w:pPr>
                <w:r>
                  <w:rPr>
                    <w:rFonts w:ascii="宋体" w:hAnsi="宋体" w:cs="宋体"/>
                  </w:rPr>
                  <w:t>8,326</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零散户</w:t>
                </w:r>
              </w:p>
            </w:tc>
            <w:tc>
              <w:tcPr>
                <w:tcW w:w="585" w:type="pct"/>
                <w:vAlign w:val="center"/>
              </w:tcPr>
              <w:p>
                <w:pPr>
                  <w:snapToGrid w:val="0"/>
                  <w:spacing w:line="240" w:lineRule="atLeast"/>
                  <w:jc w:val="right"/>
                  <w:rPr>
                    <w:rFonts w:ascii="宋体" w:hAnsi="宋体" w:cs="宋体"/>
                  </w:rPr>
                </w:pPr>
                <w:r>
                  <w:rPr>
                    <w:rFonts w:ascii="宋体" w:hAnsi="宋体" w:cs="宋体"/>
                  </w:rPr>
                  <w:t>14,537</w:t>
                </w:r>
              </w:p>
            </w:tc>
            <w:tc>
              <w:tcPr>
                <w:tcW w:w="585" w:type="pct"/>
                <w:vAlign w:val="center"/>
              </w:tcPr>
              <w:p>
                <w:pPr>
                  <w:snapToGrid w:val="0"/>
                  <w:spacing w:line="240" w:lineRule="atLeast"/>
                  <w:jc w:val="right"/>
                  <w:rPr>
                    <w:rFonts w:ascii="宋体" w:hAnsi="宋体" w:cs="宋体"/>
                  </w:rPr>
                </w:pPr>
                <w:r>
                  <w:rPr>
                    <w:rFonts w:ascii="宋体" w:hAnsi="宋体" w:cs="宋体"/>
                  </w:rPr>
                  <w:t>14,537</w:t>
                </w:r>
              </w:p>
            </w:tc>
            <w:tc>
              <w:tcPr>
                <w:tcW w:w="585" w:type="pct"/>
                <w:vAlign w:val="center"/>
              </w:tcPr>
              <w:p>
                <w:pPr>
                  <w:snapToGrid w:val="0"/>
                  <w:spacing w:line="240" w:lineRule="atLeast"/>
                  <w:jc w:val="right"/>
                  <w:rPr>
                    <w:rFonts w:ascii="宋体" w:hAnsi="宋体" w:cs="宋体"/>
                  </w:rPr>
                </w:pPr>
                <w:r>
                  <w:rPr>
                    <w:rFonts w:ascii="宋体" w:hAnsi="宋体" w:cs="宋体"/>
                  </w:rPr>
                  <w:t>9,778</w:t>
                </w:r>
              </w:p>
            </w:tc>
            <w:tc>
              <w:tcPr>
                <w:tcW w:w="585" w:type="pct"/>
                <w:vAlign w:val="center"/>
              </w:tcPr>
              <w:p>
                <w:pPr>
                  <w:snapToGrid w:val="0"/>
                  <w:spacing w:line="240" w:lineRule="atLeast"/>
                  <w:jc w:val="right"/>
                  <w:rPr>
                    <w:rFonts w:ascii="宋体" w:hAnsi="宋体" w:cs="宋体"/>
                  </w:rPr>
                </w:pPr>
                <w:r>
                  <w:rPr>
                    <w:rFonts w:ascii="宋体" w:hAnsi="宋体" w:cs="宋体"/>
                  </w:rPr>
                  <w:t>9,778</w:t>
                </w:r>
              </w:p>
            </w:tc>
            <w:tc>
              <w:tcPr>
                <w:tcW w:w="423" w:type="pct"/>
                <w:vAlign w:val="center"/>
              </w:tcPr>
              <w:p>
                <w:pPr>
                  <w:snapToGrid w:val="0"/>
                  <w:spacing w:line="240" w:lineRule="atLeast"/>
                  <w:jc w:val="right"/>
                  <w:rPr>
                    <w:rFonts w:ascii="宋体" w:hAnsi="宋体" w:cs="宋体"/>
                  </w:rPr>
                </w:pPr>
                <w:r>
                  <w:rPr>
                    <w:rFonts w:ascii="宋体" w:hAnsi="宋体" w:cs="宋体"/>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rPr>
                    <w:rFonts w:ascii="宋体" w:hAnsi="宋体" w:cs="宋体"/>
                    <w:highlight w:val="cyan"/>
                  </w:rPr>
                </w:pPr>
                <w:r>
                  <w:rPr>
                    <w:rFonts w:ascii="宋体" w:hAnsi="宋体" w:cs="宋体" w:hint="eastAsia"/>
                  </w:rPr>
                  <w:t>其他不重要单位</w:t>
                </w:r>
              </w:p>
            </w:tc>
            <w:tc>
              <w:tcPr>
                <w:tcW w:w="585" w:type="pct"/>
                <w:vAlign w:val="center"/>
              </w:tcPr>
              <w:p>
                <w:pPr>
                  <w:snapToGrid w:val="0"/>
                  <w:spacing w:line="240" w:lineRule="atLeast"/>
                  <w:jc w:val="right"/>
                  <w:rPr>
                    <w:rFonts w:ascii="宋体" w:hAnsi="宋体" w:cs="宋体"/>
                  </w:rPr>
                </w:pPr>
                <w:r>
                  <w:rPr>
                    <w:rFonts w:ascii="宋体" w:hAnsi="宋体" w:cs="宋体" w:hint="eastAsia"/>
                  </w:rPr>
                  <w:t>547,634</w:t>
                </w:r>
              </w:p>
            </w:tc>
            <w:tc>
              <w:tcPr>
                <w:tcW w:w="585" w:type="pct"/>
                <w:vAlign w:val="center"/>
              </w:tcPr>
              <w:p>
                <w:pPr>
                  <w:snapToGrid w:val="0"/>
                  <w:spacing w:line="240" w:lineRule="atLeast"/>
                  <w:jc w:val="right"/>
                  <w:rPr>
                    <w:rFonts w:ascii="宋体" w:hAnsi="宋体" w:cs="宋体"/>
                  </w:rPr>
                </w:pPr>
                <w:r>
                  <w:rPr>
                    <w:rFonts w:ascii="宋体" w:hAnsi="宋体" w:cs="宋体" w:hint="eastAsia"/>
                  </w:rPr>
                  <w:t>547,634</w:t>
                </w:r>
              </w:p>
            </w:tc>
            <w:tc>
              <w:tcPr>
                <w:tcW w:w="585" w:type="pct"/>
                <w:vAlign w:val="center"/>
              </w:tcPr>
              <w:p>
                <w:pPr>
                  <w:snapToGrid w:val="0"/>
                  <w:spacing w:line="240" w:lineRule="atLeast"/>
                  <w:jc w:val="right"/>
                  <w:rPr>
                    <w:rFonts w:ascii="宋体" w:hAnsi="宋体" w:cs="宋体"/>
                  </w:rPr>
                </w:pPr>
                <w:r>
                  <w:rPr>
                    <w:rFonts w:ascii="宋体" w:hAnsi="宋体" w:cs="宋体" w:hint="eastAsia"/>
                  </w:rPr>
                  <w:t>35,615</w:t>
                </w:r>
              </w:p>
            </w:tc>
            <w:tc>
              <w:tcPr>
                <w:tcW w:w="585" w:type="pct"/>
                <w:vAlign w:val="center"/>
              </w:tcPr>
              <w:p>
                <w:pPr>
                  <w:snapToGrid w:val="0"/>
                  <w:spacing w:line="240" w:lineRule="atLeast"/>
                  <w:jc w:val="right"/>
                  <w:rPr>
                    <w:rFonts w:ascii="宋体" w:hAnsi="宋体" w:cs="宋体"/>
                  </w:rPr>
                </w:pPr>
                <w:r>
                  <w:rPr>
                    <w:rFonts w:ascii="宋体" w:hAnsi="宋体" w:cs="宋体" w:hint="eastAsia"/>
                  </w:rPr>
                  <w:t>35,615</w:t>
                </w:r>
              </w:p>
            </w:tc>
            <w:tc>
              <w:tcPr>
                <w:tcW w:w="423" w:type="pct"/>
                <w:vAlign w:val="center"/>
              </w:tcPr>
              <w:p>
                <w:pPr>
                  <w:snapToGrid w:val="0"/>
                  <w:spacing w:line="240" w:lineRule="atLeast"/>
                  <w:jc w:val="right"/>
                  <w:rPr>
                    <w:rFonts w:ascii="宋体" w:hAnsi="宋体" w:cs="宋体"/>
                  </w:rPr>
                </w:pPr>
                <w:r>
                  <w:rPr>
                    <w:rFonts w:ascii="宋体" w:hAnsi="宋体" w:cs="宋体" w:hint="eastAsia"/>
                  </w:rPr>
                  <w:t>100</w:t>
                </w:r>
              </w:p>
            </w:tc>
            <w:tc>
              <w:tcPr>
                <w:tcW w:w="600" w:type="pct"/>
                <w:vAlign w:val="center"/>
              </w:tcPr>
              <w:p>
                <w:pPr>
                  <w:snapToGrid w:val="0"/>
                  <w:spacing w:line="240" w:lineRule="atLeast"/>
                  <w:rPr>
                    <w:rFonts w:ascii="宋体" w:hAnsi="宋体" w:cs="宋体"/>
                  </w:rPr>
                </w:pPr>
                <w:r>
                  <w:rPr>
                    <w:rFonts w:ascii="宋体" w:hAnsi="宋体" w:cs="宋体" w:hint="eastAsia"/>
                  </w:rPr>
                  <w:t>预计无法收回</w:t>
                </w:r>
              </w:p>
            </w:tc>
          </w:tr>
          <w:tr>
            <w:trPr>
              <w:trHeight w:val="397"/>
              <w:jc w:val="center"/>
            </w:trPr>
            <w:tc>
              <w:tcPr>
                <w:tcW w:w="1636" w:type="pct"/>
                <w:vAlign w:val="center"/>
              </w:tcPr>
              <w:p>
                <w:pPr>
                  <w:snapToGrid w:val="0"/>
                  <w:spacing w:line="240" w:lineRule="atLeast"/>
                  <w:jc w:val="center"/>
                  <w:rPr>
                    <w:rFonts w:ascii="宋体" w:hAnsi="宋体" w:cs="宋体"/>
                    <w:sz w:val="18"/>
                    <w:szCs w:val="18"/>
                  </w:rPr>
                </w:pPr>
                <w:r>
                  <w:rPr>
                    <w:rFonts w:ascii="宋体" w:hAnsi="宋体" w:cs="宋体" w:hint="eastAsia"/>
                    <w:sz w:val="18"/>
                    <w:szCs w:val="18"/>
                  </w:rPr>
                  <w:t>合计</w:t>
                </w:r>
              </w:p>
            </w:tc>
            <w:tc>
              <w:tcPr>
                <w:tcW w:w="585" w:type="pct"/>
                <w:vAlign w:val="center"/>
              </w:tcPr>
              <w:p>
                <w:pPr>
                  <w:snapToGrid w:val="0"/>
                  <w:spacing w:line="240" w:lineRule="atLeast"/>
                  <w:jc w:val="right"/>
                  <w:rPr>
                    <w:rFonts w:ascii="宋体" w:hAnsi="宋体" w:cs="宋体"/>
                  </w:rPr>
                </w:pPr>
                <w:r>
                  <w:rPr>
                    <w:rFonts w:ascii="宋体" w:hAnsi="宋体" w:cs="宋体"/>
                  </w:rPr>
                  <w:t>1,427,587</w:t>
                </w:r>
              </w:p>
            </w:tc>
            <w:tc>
              <w:tcPr>
                <w:tcW w:w="585" w:type="pct"/>
                <w:vAlign w:val="center"/>
              </w:tcPr>
              <w:p>
                <w:pPr>
                  <w:snapToGrid w:val="0"/>
                  <w:spacing w:line="240" w:lineRule="atLeast"/>
                  <w:jc w:val="right"/>
                  <w:rPr>
                    <w:rFonts w:ascii="宋体" w:hAnsi="宋体" w:cs="宋体"/>
                  </w:rPr>
                </w:pPr>
                <w:r>
                  <w:rPr>
                    <w:rFonts w:ascii="宋体" w:hAnsi="宋体" w:cs="宋体"/>
                  </w:rPr>
                  <w:t>1,427,587</w:t>
                </w:r>
              </w:p>
            </w:tc>
            <w:tc>
              <w:tcPr>
                <w:tcW w:w="585" w:type="pct"/>
                <w:vAlign w:val="center"/>
              </w:tcPr>
              <w:p>
                <w:pPr>
                  <w:snapToGrid w:val="0"/>
                  <w:spacing w:line="240" w:lineRule="atLeast"/>
                  <w:jc w:val="right"/>
                  <w:rPr>
                    <w:rFonts w:ascii="宋体" w:hAnsi="宋体" w:cs="宋体"/>
                  </w:rPr>
                </w:pPr>
                <w:r>
                  <w:rPr>
                    <w:rFonts w:ascii="宋体" w:hAnsi="宋体" w:cs="宋体"/>
                  </w:rPr>
                  <w:t>1,659,717</w:t>
                </w:r>
              </w:p>
            </w:tc>
            <w:tc>
              <w:tcPr>
                <w:tcW w:w="585" w:type="pct"/>
                <w:vAlign w:val="center"/>
              </w:tcPr>
              <w:p>
                <w:pPr>
                  <w:snapToGrid w:val="0"/>
                  <w:spacing w:line="240" w:lineRule="atLeast"/>
                  <w:jc w:val="right"/>
                  <w:rPr>
                    <w:rFonts w:ascii="宋体" w:hAnsi="宋体" w:cs="宋体"/>
                  </w:rPr>
                </w:pPr>
                <w:r>
                  <w:rPr>
                    <w:rFonts w:ascii="宋体" w:hAnsi="宋体" w:cs="宋体"/>
                  </w:rPr>
                  <w:t>1,659,717</w:t>
                </w:r>
              </w:p>
            </w:tc>
            <w:tc>
              <w:tcPr>
                <w:tcW w:w="423" w:type="pct"/>
                <w:vAlign w:val="center"/>
              </w:tcPr>
              <w:p>
                <w:pPr>
                  <w:snapToGrid w:val="0"/>
                  <w:spacing w:line="240" w:lineRule="atLeast"/>
                  <w:jc w:val="right"/>
                  <w:rPr>
                    <w:rFonts w:ascii="宋体" w:hAnsi="宋体" w:cs="宋体"/>
                    <w:u w:val="double"/>
                  </w:rPr>
                </w:pPr>
              </w:p>
            </w:tc>
            <w:tc>
              <w:tcPr>
                <w:tcW w:w="600" w:type="pct"/>
                <w:vAlign w:val="center"/>
              </w:tcPr>
              <w:p>
                <w:pPr>
                  <w:snapToGrid w:val="0"/>
                  <w:spacing w:line="240" w:lineRule="atLeast"/>
                  <w:rPr>
                    <w:rFonts w:ascii="宋体" w:hAnsi="宋体" w:cs="宋体"/>
                    <w:u w:val="double"/>
                  </w:rPr>
                </w:pPr>
              </w:p>
            </w:tc>
          </w:tr>
        </w:tbl>
        <w:p>
          <w:pPr>
            <w:spacing w:line="360" w:lineRule="exact"/>
            <w:rPr>
              <w:rFonts w:ascii="宋体" w:hAnsi="宋体"/>
            </w:rPr>
          </w:pPr>
        </w:p>
        <w:p>
          <w:pPr>
            <w:spacing w:afterLines="50" w:after="120" w:line="360" w:lineRule="exact"/>
            <w:ind w:firstLineChars="200" w:firstLine="420"/>
            <w:rPr>
              <w:rFonts w:ascii="宋体" w:hAnsi="宋体"/>
            </w:rPr>
          </w:pPr>
          <w:r>
            <w:rPr>
              <w:rFonts w:ascii="宋体" w:hAnsi="宋体" w:hint="eastAsia"/>
            </w:rPr>
            <w:t>按账龄</w:t>
          </w:r>
          <w:r>
            <w:rPr>
              <w:rFonts w:ascii="宋体" w:hAnsi="宋体"/>
            </w:rPr>
            <w:t>组合计提坏账准备</w:t>
          </w:r>
          <w:r>
            <w:rPr>
              <w:rFonts w:ascii="宋体" w:hAnsi="宋体" w:hint="eastAsia"/>
            </w:rPr>
            <w:t>：</w:t>
          </w:r>
        </w:p>
        <w:tbl>
          <w:tblPr>
            <w:tblStyle w:val="Style100"/>
            <w:tblW w:w="8579" w:type="dxa"/>
            <w:jc w:val="center"/>
            <w:tblInd w:w="0" w:type="dxa"/>
            <w:tblLayout w:type="fixed"/>
            <w:tblLook w:val="04A0" w:firstRow="1" w:lastRow="0" w:firstColumn="1" w:lastColumn="0" w:noHBand="0" w:noVBand="1"/>
            <w:tblCaption w:val="D:\2025-11-17兖矿2025年年审\0-2025年兖矿能源TB\兖矿2025年审计报告|04.财务附注-2025年度.xlsx|W附注模板|_jds39|0|desc|||0|1"/>
          </w:tblPr>
          <w:tblGrid>
            <w:gridCol w:w="3795"/>
            <w:gridCol w:w="1596"/>
            <w:gridCol w:w="1596"/>
            <w:gridCol w:w="1592"/>
          </w:tblGrid>
          <w:tr>
            <w:trPr>
              <w:trHeight w:val="397"/>
              <w:tblHeader/>
              <w:jc w:val="center"/>
            </w:trPr>
            <w:tc>
              <w:tcPr>
                <w:tcW w:w="3795" w:type="dxa"/>
                <w:vMerge w:val="restart"/>
                <w:tcBorders>
                  <w:top w:val="single" w:sz="4" w:space="0" w:color="auto"/>
                  <w:left w:val="single" w:sz="4" w:space="0" w:color="auto"/>
                  <w:bottom w:val="single" w:sz="4" w:space="0" w:color="auto"/>
                  <w:right w:val="single" w:sz="4" w:space="0" w:color="auto"/>
                </w:tcBorders>
                <w:vAlign w:val="center"/>
              </w:tcPr>
              <w:p>
                <w:pPr>
                  <w:spacing w:line="360" w:lineRule="exact"/>
                  <w:jc w:val="center"/>
                  <w:rPr>
                    <w:rFonts w:ascii="宋体" w:hAnsi="宋体" w:cs="宋体"/>
                    <w:b/>
                  </w:rPr>
                </w:pPr>
                <w:r>
                  <w:rPr>
                    <w:rFonts w:ascii="宋体" w:hAnsi="宋体" w:cs="宋体" w:hint="eastAsia"/>
                    <w:b/>
                  </w:rPr>
                  <w:t>名称</w:t>
                </w:r>
              </w:p>
            </w:tc>
            <w:tc>
              <w:tcPr>
                <w:tcW w:w="4784" w:type="dxa"/>
                <w:gridSpan w:val="3"/>
                <w:tcBorders>
                  <w:top w:val="single" w:sz="4" w:space="0" w:color="auto"/>
                  <w:left w:val="single" w:sz="4" w:space="0" w:color="auto"/>
                  <w:bottom w:val="single" w:sz="4" w:space="0" w:color="auto"/>
                  <w:right w:val="single" w:sz="4" w:space="0" w:color="auto"/>
                </w:tcBorders>
                <w:vAlign w:val="center"/>
              </w:tcPr>
              <w:p>
                <w:pPr>
                  <w:spacing w:line="360" w:lineRule="exact"/>
                  <w:jc w:val="center"/>
                  <w:rPr>
                    <w:rFonts w:ascii="宋体" w:hAnsi="宋体" w:cs="宋体"/>
                    <w:b/>
                  </w:rPr>
                </w:pPr>
                <w:r>
                  <w:rPr>
                    <w:rFonts w:ascii="宋体" w:hAnsi="宋体" w:cs="宋体" w:hint="eastAsia"/>
                    <w:b/>
                  </w:rPr>
                  <w:t>期末余额</w:t>
                </w:r>
              </w:p>
            </w:tc>
          </w:tr>
          <w:tr>
            <w:trPr>
              <w:trHeight w:val="397"/>
              <w:tblHeader/>
              <w:jc w:val="center"/>
            </w:trPr>
            <w:tc>
              <w:tcPr>
                <w:tcW w:w="3795" w:type="dxa"/>
                <w:vMerge/>
                <w:tcBorders>
                  <w:top w:val="single" w:sz="4" w:space="0" w:color="auto"/>
                  <w:left w:val="single" w:sz="4" w:space="0" w:color="auto"/>
                  <w:bottom w:val="single" w:sz="4" w:space="0" w:color="auto"/>
                  <w:right w:val="single" w:sz="4" w:space="0" w:color="auto"/>
                </w:tcBorders>
                <w:vAlign w:val="center"/>
              </w:tcPr>
              <w:p>
                <w:pPr>
                  <w:spacing w:line="360" w:lineRule="exact"/>
                  <w:jc w:val="center"/>
                  <w:rPr>
                    <w:rFonts w:ascii="宋体" w:hAnsi="宋体" w:cs="宋体"/>
                    <w:b/>
                  </w:rPr>
                </w:pPr>
              </w:p>
            </w:tc>
            <w:tc>
              <w:tcPr>
                <w:tcW w:w="1596" w:type="dxa"/>
                <w:tcBorders>
                  <w:top w:val="single" w:sz="4" w:space="0" w:color="auto"/>
                  <w:left w:val="single" w:sz="4" w:space="0" w:color="auto"/>
                  <w:bottom w:val="single" w:sz="4" w:space="0" w:color="auto"/>
                  <w:right w:val="single" w:sz="4" w:space="0" w:color="auto"/>
                </w:tcBorders>
                <w:vAlign w:val="center"/>
              </w:tcPr>
              <w:p>
                <w:pPr>
                  <w:spacing w:line="360" w:lineRule="exact"/>
                  <w:jc w:val="center"/>
                  <w:rPr>
                    <w:rFonts w:ascii="宋体" w:hAnsi="宋体" w:cs="宋体"/>
                    <w:b/>
                  </w:rPr>
                </w:pPr>
                <w:r>
                  <w:rPr>
                    <w:rFonts w:ascii="宋体" w:hAnsi="宋体" w:cs="宋体" w:hint="eastAsia"/>
                    <w:b/>
                  </w:rPr>
                  <w:t>其他应收款</w:t>
                </w:r>
              </w:p>
            </w:tc>
            <w:tc>
              <w:tcPr>
                <w:tcW w:w="1596" w:type="dxa"/>
                <w:tcBorders>
                  <w:top w:val="single" w:sz="4" w:space="0" w:color="auto"/>
                  <w:left w:val="single" w:sz="4" w:space="0" w:color="auto"/>
                  <w:bottom w:val="single" w:sz="4" w:space="0" w:color="auto"/>
                  <w:right w:val="single" w:sz="4" w:space="0" w:color="auto"/>
                </w:tcBorders>
                <w:vAlign w:val="center"/>
              </w:tcPr>
              <w:p>
                <w:pPr>
                  <w:spacing w:line="360" w:lineRule="exact"/>
                  <w:jc w:val="center"/>
                  <w:rPr>
                    <w:rFonts w:ascii="宋体" w:hAnsi="宋体" w:cs="宋体"/>
                    <w:b/>
                  </w:rPr>
                </w:pPr>
                <w:r>
                  <w:rPr>
                    <w:rFonts w:ascii="宋体" w:hAnsi="宋体" w:cs="宋体" w:hint="eastAsia"/>
                    <w:b/>
                  </w:rPr>
                  <w:t>坏账准备</w:t>
                </w:r>
              </w:p>
            </w:tc>
            <w:tc>
              <w:tcPr>
                <w:tcW w:w="1592" w:type="dxa"/>
                <w:tcBorders>
                  <w:top w:val="single" w:sz="4" w:space="0" w:color="auto"/>
                  <w:left w:val="single" w:sz="4" w:space="0" w:color="auto"/>
                  <w:bottom w:val="single" w:sz="4" w:space="0" w:color="auto"/>
                  <w:right w:val="single" w:sz="4" w:space="0" w:color="auto"/>
                </w:tcBorders>
                <w:vAlign w:val="center"/>
              </w:tcPr>
              <w:p>
                <w:pPr>
                  <w:spacing w:line="360" w:lineRule="exact"/>
                  <w:jc w:val="center"/>
                  <w:rPr>
                    <w:rFonts w:ascii="宋体" w:hAnsi="宋体" w:cs="宋体"/>
                    <w:b/>
                  </w:rPr>
                </w:pPr>
                <w:r>
                  <w:rPr>
                    <w:rFonts w:ascii="宋体" w:hAnsi="宋体" w:cs="宋体" w:hint="eastAsia"/>
                    <w:b/>
                  </w:rPr>
                  <w:t>计提比例（</w:t>
                </w:r>
                <w:r>
                  <w:rPr>
                    <w:rFonts w:ascii="宋体" w:hAnsi="宋体" w:cs="宋体"/>
                    <w:b/>
                  </w:rPr>
                  <w:t>%）</w:t>
                </w:r>
              </w:p>
            </w:tc>
          </w:tr>
          <w:tr>
            <w:trPr>
              <w:trHeight w:val="397"/>
              <w:jc w:val="center"/>
            </w:trPr>
            <w:tc>
              <w:tcPr>
                <w:tcW w:w="3795"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rPr>
                    <w:rFonts w:ascii="宋体" w:hAnsi="宋体" w:cs="宋体"/>
                  </w:rPr>
                </w:pPr>
                <w:r>
                  <w:rPr>
                    <w:rFonts w:ascii="宋体" w:hAnsi="宋体" w:cs="宋体"/>
                  </w:rPr>
                  <w:t>1年以内</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781,194</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8,792</w:t>
                </w:r>
              </w:p>
            </w:tc>
            <w:tc>
              <w:tcPr>
                <w:tcW w:w="1592"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1.13</w:t>
                </w:r>
              </w:p>
            </w:tc>
          </w:tr>
          <w:tr>
            <w:trPr>
              <w:trHeight w:val="397"/>
              <w:jc w:val="center"/>
            </w:trPr>
            <w:tc>
              <w:tcPr>
                <w:tcW w:w="3795"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rPr>
                    <w:rFonts w:ascii="宋体" w:hAnsi="宋体" w:cs="宋体"/>
                  </w:rPr>
                </w:pPr>
                <w:r>
                  <w:rPr>
                    <w:rFonts w:ascii="宋体" w:hAnsi="宋体" w:cs="宋体"/>
                  </w:rPr>
                  <w:t>1-2年</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70,527</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rPr>
                  <w:t>1,245</w:t>
                </w:r>
              </w:p>
            </w:tc>
            <w:tc>
              <w:tcPr>
                <w:tcW w:w="1592"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rPr>
                  <w:t>1.77</w:t>
                </w:r>
              </w:p>
            </w:tc>
          </w:tr>
          <w:tr>
            <w:trPr>
              <w:trHeight w:val="397"/>
              <w:jc w:val="center"/>
            </w:trPr>
            <w:tc>
              <w:tcPr>
                <w:tcW w:w="3795"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rPr>
                    <w:rFonts w:ascii="宋体" w:hAnsi="宋体" w:cs="宋体"/>
                  </w:rPr>
                </w:pPr>
                <w:r>
                  <w:rPr>
                    <w:rFonts w:ascii="宋体" w:hAnsi="宋体" w:cs="宋体"/>
                  </w:rPr>
                  <w:t>2-3年</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142,160</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rPr>
                  <w:t>2,648</w:t>
                </w:r>
              </w:p>
            </w:tc>
            <w:tc>
              <w:tcPr>
                <w:tcW w:w="1592"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rPr>
                  <w:t>1.86</w:t>
                </w:r>
              </w:p>
            </w:tc>
          </w:tr>
          <w:tr>
            <w:trPr>
              <w:trHeight w:val="397"/>
              <w:jc w:val="center"/>
            </w:trPr>
            <w:tc>
              <w:tcPr>
                <w:tcW w:w="3795"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rPr>
                    <w:rFonts w:ascii="宋体" w:hAnsi="宋体" w:cs="宋体"/>
                  </w:rPr>
                </w:pPr>
                <w:r>
                  <w:rPr>
                    <w:rFonts w:ascii="宋体" w:hAnsi="宋体" w:cs="宋体"/>
                  </w:rPr>
                  <w:t>3年以上</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372,600</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259,619</w:t>
                </w:r>
              </w:p>
            </w:tc>
            <w:tc>
              <w:tcPr>
                <w:tcW w:w="1592"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69.68</w:t>
                </w:r>
              </w:p>
            </w:tc>
          </w:tr>
          <w:tr>
            <w:trPr>
              <w:trHeight w:val="397"/>
              <w:jc w:val="center"/>
            </w:trPr>
            <w:tc>
              <w:tcPr>
                <w:tcW w:w="3795"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rPr>
                    <w:rFonts w:ascii="宋体" w:hAnsi="宋体" w:cs="宋体"/>
                  </w:rPr>
                </w:pPr>
                <w:r>
                  <w:rPr>
                    <w:rFonts w:ascii="宋体" w:hAnsi="宋体" w:cs="宋体" w:hint="eastAsia"/>
                  </w:rPr>
                  <w:t>合计</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1,366,481</w:t>
                </w:r>
              </w:p>
            </w:tc>
            <w:tc>
              <w:tcPr>
                <w:tcW w:w="1596"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rPr>
                </w:pPr>
                <w:r>
                  <w:rPr>
                    <w:rFonts w:ascii="宋体" w:hAnsi="宋体" w:cs="宋体"/>
                  </w:rPr>
                  <w:t>272,304</w:t>
                </w:r>
              </w:p>
            </w:tc>
            <w:tc>
              <w:tcPr>
                <w:tcW w:w="1592" w:type="dxa"/>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right"/>
                  <w:rPr>
                    <w:rFonts w:ascii="宋体" w:hAnsi="宋体" w:cs="宋体"/>
                    <w:u w:val="double"/>
                  </w:rPr>
                </w:pPr>
              </w:p>
            </w:tc>
          </w:tr>
        </w:tbl>
        <w:p>
          <w:pPr>
            <w:rPr>
              <w:bCs/>
              <w:szCs w:val="22"/>
            </w:rPr>
          </w:pPr>
        </w:p>
      </w:sdtContent>
    </w:sdt>
    <w:p>
      <w:pPr>
        <w:pStyle w:val="Style217"/>
      </w:pPr>
    </w:p>
    <w:p>
      <w:pPr>
        <w:pStyle w:val="Style201"/>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94082998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bookmarkStart w:id="419" w:name="_Hlk534806817"/>
      <w:bookmarkEnd w:id="418"/>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44578203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81"/>
        </w:numPr>
        <w:ind w:leftChars="0"/>
      </w:pPr>
      <w:bookmarkStart w:id="420" w:name="_Hlk532831394"/>
      <w:bookmarkEnd w:id="419"/>
      <w:r>
        <w:rPr>
          <w:rFonts w:hint="eastAsia"/>
        </w:rPr>
        <w:lastRenderedPageBreak/>
        <w:t>坏账准备的情况</w:t>
      </w:r>
    </w:p>
    <w:sdt>
      <w:sdtPr>
        <w:alias w:val="是否适用：其他应收款坏账准备[双击切换]"/>
        <w:tag w:val="_GBC_524ff4c8c6e549ef8e2bf00ca72ddbb6"/>
        <w:id w:val="171824176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340952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其他应收款坏账准备"/>
          <w:tag w:val="_GBC_cc05d2791f5f4983a0b6c04ec0989295"/>
          <w:id w:val="-4769946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545"/>
        <w:gridCol w:w="1237"/>
        <w:gridCol w:w="1338"/>
        <w:gridCol w:w="1233"/>
        <w:gridCol w:w="1237"/>
        <w:gridCol w:w="1236"/>
        <w:gridCol w:w="1232"/>
      </w:tblGrid>
      <w:tr>
        <w:sdt>
          <w:sdtPr>
            <w:tag w:val="_PLD_26385dc5e422410c8676e4fee82120cb"/>
            <w:id w:val="-1639558665"/>
          </w:sdtPr>
          <w:sdtContent>
            <w:tc>
              <w:tcPr>
                <w:tcW w:w="1545" w:type="dxa"/>
                <w:vMerge w:val="restart"/>
                <w:shd w:val="clear" w:color="auto" w:fill="FFFFFF"/>
                <w:vAlign w:val="center"/>
              </w:tcPr>
              <w:p>
                <w:pPr>
                  <w:widowControl w:val="0"/>
                  <w:jc w:val="center"/>
                </w:pPr>
                <w:r>
                  <w:t>类别</w:t>
                </w:r>
              </w:p>
            </w:tc>
          </w:sdtContent>
        </w:sdt>
        <w:sdt>
          <w:sdtPr>
            <w:tag w:val="_PLD_325dd74545cb4f67921ea1cc7ed20a2b"/>
            <w:id w:val="-674335316"/>
          </w:sdtPr>
          <w:sdtContent>
            <w:tc>
              <w:tcPr>
                <w:tcW w:w="1237" w:type="dxa"/>
                <w:vMerge w:val="restart"/>
                <w:shd w:val="clear" w:color="auto" w:fill="FFFFFF"/>
                <w:vAlign w:val="center"/>
              </w:tcPr>
              <w:p>
                <w:pPr>
                  <w:widowControl w:val="0"/>
                  <w:jc w:val="center"/>
                </w:pPr>
                <w:r>
                  <w:t>期初余额</w:t>
                </w:r>
              </w:p>
            </w:tc>
          </w:sdtContent>
        </w:sdt>
        <w:sdt>
          <w:sdtPr>
            <w:tag w:val="_PLD_d513696ccf0b46ccb4ea6d2ef23dbbd2"/>
            <w:id w:val="-1682809350"/>
          </w:sdtPr>
          <w:sdtContent>
            <w:tc>
              <w:tcPr>
                <w:tcW w:w="5044" w:type="dxa"/>
                <w:gridSpan w:val="4"/>
                <w:shd w:val="clear" w:color="auto" w:fill="FFFFFF"/>
                <w:vAlign w:val="center"/>
              </w:tcPr>
              <w:p>
                <w:pPr>
                  <w:widowControl w:val="0"/>
                  <w:jc w:val="center"/>
                </w:pPr>
                <w:r>
                  <w:rPr>
                    <w:rFonts w:hint="eastAsia"/>
                  </w:rPr>
                  <w:t>本期变动</w:t>
                </w:r>
                <w:r>
                  <w:t>金额</w:t>
                </w:r>
              </w:p>
            </w:tc>
          </w:sdtContent>
        </w:sdt>
        <w:sdt>
          <w:sdtPr>
            <w:tag w:val="_PLD_20b48d7d53584edf917ab5d4207d6a9c"/>
            <w:id w:val="-1502725948"/>
          </w:sdtPr>
          <w:sdtContent>
            <w:tc>
              <w:tcPr>
                <w:tcW w:w="1232" w:type="dxa"/>
                <w:vMerge w:val="restart"/>
                <w:shd w:val="clear" w:color="auto" w:fill="FFFFFF"/>
                <w:vAlign w:val="center"/>
              </w:tcPr>
              <w:p>
                <w:pPr>
                  <w:widowControl w:val="0"/>
                  <w:jc w:val="center"/>
                </w:pPr>
                <w:r>
                  <w:t>期末余额</w:t>
                </w:r>
              </w:p>
            </w:tc>
          </w:sdtContent>
        </w:sdt>
      </w:tr>
      <w:tr>
        <w:tc>
          <w:tcPr>
            <w:tcW w:w="1545" w:type="dxa"/>
            <w:vMerge/>
            <w:shd w:val="clear" w:color="auto" w:fill="FFFFFF"/>
            <w:vAlign w:val="center"/>
          </w:tcPr>
          <w:p>
            <w:pPr>
              <w:widowControl w:val="0"/>
              <w:jc w:val="center"/>
            </w:pPr>
          </w:p>
        </w:tc>
        <w:tc>
          <w:tcPr>
            <w:tcW w:w="1237" w:type="dxa"/>
            <w:vMerge/>
            <w:shd w:val="clear" w:color="auto" w:fill="FFFFFF"/>
            <w:vAlign w:val="center"/>
          </w:tcPr>
          <w:p>
            <w:pPr>
              <w:widowControl w:val="0"/>
              <w:jc w:val="center"/>
            </w:pPr>
          </w:p>
        </w:tc>
        <w:sdt>
          <w:sdtPr>
            <w:tag w:val="_PLD_97824acb5c834e9fbe6cf8e4b6cac761"/>
            <w:id w:val="178548689"/>
          </w:sdtPr>
          <w:sdtContent>
            <w:tc>
              <w:tcPr>
                <w:tcW w:w="1338" w:type="dxa"/>
                <w:shd w:val="clear" w:color="auto" w:fill="FFFFFF"/>
                <w:vAlign w:val="center"/>
              </w:tcPr>
              <w:p>
                <w:pPr>
                  <w:widowControl w:val="0"/>
                  <w:jc w:val="center"/>
                </w:pPr>
                <w:r>
                  <w:t>计提</w:t>
                </w:r>
              </w:p>
            </w:tc>
          </w:sdtContent>
        </w:sdt>
        <w:sdt>
          <w:sdtPr>
            <w:tag w:val="_PLD_233002cee9bc4108842b58a08731b243"/>
            <w:id w:val="-95954053"/>
          </w:sdtPr>
          <w:sdtContent>
            <w:tc>
              <w:tcPr>
                <w:tcW w:w="1233" w:type="dxa"/>
                <w:shd w:val="clear" w:color="auto" w:fill="FFFFFF"/>
                <w:vAlign w:val="center"/>
              </w:tcPr>
              <w:p>
                <w:pPr>
                  <w:widowControl w:val="0"/>
                  <w:jc w:val="center"/>
                </w:pPr>
                <w:r>
                  <w:rPr>
                    <w:rFonts w:hint="eastAsia"/>
                  </w:rPr>
                  <w:t>收回或转回</w:t>
                </w:r>
              </w:p>
            </w:tc>
          </w:sdtContent>
        </w:sdt>
        <w:sdt>
          <w:sdtPr>
            <w:tag w:val="_PLD_6bcdf2328a584128aba90aa75e33c767"/>
            <w:id w:val="1912739602"/>
          </w:sdtPr>
          <w:sdtContent>
            <w:tc>
              <w:tcPr>
                <w:tcW w:w="1237" w:type="dxa"/>
                <w:shd w:val="clear" w:color="auto" w:fill="FFFFFF"/>
                <w:vAlign w:val="center"/>
              </w:tcPr>
              <w:p>
                <w:pPr>
                  <w:widowControl w:val="0"/>
                  <w:jc w:val="center"/>
                </w:pPr>
                <w:r>
                  <w:rPr>
                    <w:rFonts w:hint="eastAsia"/>
                  </w:rPr>
                  <w:t>转销或核销</w:t>
                </w:r>
              </w:p>
            </w:tc>
          </w:sdtContent>
        </w:sdt>
        <w:tc>
          <w:tcPr>
            <w:tcW w:w="1236" w:type="dxa"/>
            <w:shd w:val="clear" w:color="auto" w:fill="FFFFFF"/>
            <w:vAlign w:val="center"/>
          </w:tcPr>
          <w:sdt>
            <w:sdtPr>
              <w:tag w:val="_PLD_da684cd2e7cd4d42baf40bc9d95a0ce8"/>
              <w:id w:val="1743902899"/>
            </w:sdtPr>
            <w:sdtContent>
              <w:p>
                <w:pPr>
                  <w:widowControl w:val="0"/>
                  <w:jc w:val="center"/>
                </w:pPr>
                <w:r>
                  <w:rPr>
                    <w:rFonts w:hint="eastAsia"/>
                  </w:rPr>
                  <w:t>其他变动</w:t>
                </w:r>
              </w:p>
            </w:sdtContent>
          </w:sdt>
        </w:tc>
        <w:tc>
          <w:tcPr>
            <w:tcW w:w="1232" w:type="dxa"/>
            <w:vMerge/>
            <w:shd w:val="clear" w:color="auto" w:fill="FFFFFF"/>
            <w:vAlign w:val="center"/>
          </w:tcPr>
          <w:p>
            <w:pPr>
              <w:widowControl w:val="0"/>
              <w:jc w:val="right"/>
            </w:pPr>
          </w:p>
        </w:tc>
      </w:tr>
      <w:tr>
        <w:tc>
          <w:tcPr>
            <w:tcW w:w="1545" w:type="dxa"/>
            <w:vAlign w:val="center"/>
          </w:tcPr>
          <w:p>
            <w:pPr>
              <w:widowControl w:val="0"/>
            </w:pPr>
            <w:r>
              <w:rPr>
                <w:rFonts w:ascii="宋体" w:hAnsi="宋体" w:cs="宋体" w:hint="eastAsia"/>
              </w:rPr>
              <w:t>其他应收款坏账准备</w:t>
            </w:r>
          </w:p>
        </w:tc>
        <w:tc>
          <w:tcPr>
            <w:tcW w:w="1237" w:type="dxa"/>
            <w:vAlign w:val="center"/>
          </w:tcPr>
          <w:p>
            <w:pPr>
              <w:widowControl w:val="0"/>
              <w:jc w:val="right"/>
            </w:pPr>
            <w:r>
              <w:rPr>
                <w:rFonts w:ascii="宋体" w:hAnsi="宋体" w:cs="宋体" w:hint="eastAsia"/>
              </w:rPr>
              <w:t>1,755,450</w:t>
            </w:r>
          </w:p>
        </w:tc>
        <w:tc>
          <w:tcPr>
            <w:tcW w:w="1338" w:type="dxa"/>
            <w:vAlign w:val="center"/>
          </w:tcPr>
          <w:p>
            <w:pPr>
              <w:widowControl w:val="0"/>
              <w:jc w:val="right"/>
            </w:pPr>
            <w:r>
              <w:rPr>
                <w:rFonts w:ascii="宋体" w:hAnsi="宋体" w:cs="宋体" w:hint="eastAsia"/>
              </w:rPr>
              <w:t>577,960</w:t>
            </w:r>
          </w:p>
        </w:tc>
        <w:tc>
          <w:tcPr>
            <w:tcW w:w="1233" w:type="dxa"/>
            <w:vAlign w:val="center"/>
          </w:tcPr>
          <w:p>
            <w:pPr>
              <w:widowControl w:val="0"/>
              <w:jc w:val="right"/>
            </w:pPr>
            <w:r>
              <w:rPr>
                <w:rFonts w:ascii="宋体" w:hAnsi="宋体" w:cs="宋体" w:hint="eastAsia"/>
              </w:rPr>
              <w:t>20,787</w:t>
            </w:r>
          </w:p>
        </w:tc>
        <w:tc>
          <w:tcPr>
            <w:tcW w:w="1237" w:type="dxa"/>
            <w:vAlign w:val="center"/>
          </w:tcPr>
          <w:p>
            <w:pPr>
              <w:widowControl w:val="0"/>
              <w:jc w:val="right"/>
            </w:pPr>
            <w:r>
              <w:rPr>
                <w:rFonts w:ascii="宋体" w:hAnsi="宋体" w:cs="宋体" w:hint="eastAsia"/>
              </w:rPr>
              <w:t>309,694</w:t>
            </w:r>
          </w:p>
        </w:tc>
        <w:tc>
          <w:tcPr>
            <w:tcW w:w="1236" w:type="dxa"/>
            <w:vAlign w:val="center"/>
          </w:tcPr>
          <w:p>
            <w:pPr>
              <w:widowControl w:val="0"/>
              <w:jc w:val="right"/>
            </w:pPr>
            <w:r>
              <w:rPr>
                <w:rFonts w:ascii="宋体" w:hAnsi="宋体" w:cs="宋体"/>
              </w:rPr>
              <w:t>-70,908</w:t>
            </w:r>
          </w:p>
        </w:tc>
        <w:tc>
          <w:tcPr>
            <w:tcW w:w="1232" w:type="dxa"/>
            <w:vAlign w:val="center"/>
          </w:tcPr>
          <w:p>
            <w:pPr>
              <w:widowControl w:val="0"/>
              <w:jc w:val="right"/>
            </w:pPr>
            <w:r>
              <w:rPr>
                <w:rFonts w:ascii="宋体" w:hAnsi="宋体" w:cs="宋体" w:hint="eastAsia"/>
              </w:rPr>
              <w:t>1,932,021</w:t>
            </w:r>
          </w:p>
        </w:tc>
      </w:tr>
      <w:tr>
        <w:tc>
          <w:tcPr>
            <w:tcW w:w="1545" w:type="dxa"/>
            <w:vAlign w:val="center"/>
          </w:tcPr>
          <w:p>
            <w:pPr>
              <w:widowControl w:val="0"/>
              <w:jc w:val="center"/>
            </w:pPr>
            <w:r>
              <w:rPr>
                <w:rFonts w:hint="eastAsia"/>
              </w:rPr>
              <w:t>合计</w:t>
            </w:r>
          </w:p>
        </w:tc>
        <w:tc>
          <w:tcPr>
            <w:tcW w:w="1237" w:type="dxa"/>
            <w:vAlign w:val="center"/>
          </w:tcPr>
          <w:p>
            <w:pPr>
              <w:widowControl w:val="0"/>
              <w:jc w:val="right"/>
            </w:pPr>
            <w:r>
              <w:rPr>
                <w:rFonts w:ascii="宋体" w:hAnsi="宋体" w:cs="宋体" w:hint="eastAsia"/>
              </w:rPr>
              <w:t>1,755,450</w:t>
            </w:r>
          </w:p>
        </w:tc>
        <w:tc>
          <w:tcPr>
            <w:tcW w:w="1338" w:type="dxa"/>
            <w:vAlign w:val="center"/>
          </w:tcPr>
          <w:p>
            <w:pPr>
              <w:widowControl w:val="0"/>
              <w:jc w:val="right"/>
            </w:pPr>
            <w:r>
              <w:rPr>
                <w:rFonts w:ascii="宋体" w:hAnsi="宋体" w:cs="宋体" w:hint="eastAsia"/>
              </w:rPr>
              <w:t>577,960</w:t>
            </w:r>
          </w:p>
        </w:tc>
        <w:tc>
          <w:tcPr>
            <w:tcW w:w="1233" w:type="dxa"/>
            <w:vAlign w:val="center"/>
          </w:tcPr>
          <w:p>
            <w:pPr>
              <w:widowControl w:val="0"/>
              <w:jc w:val="right"/>
            </w:pPr>
            <w:r>
              <w:rPr>
                <w:rFonts w:ascii="宋体" w:hAnsi="宋体" w:cs="宋体" w:hint="eastAsia"/>
              </w:rPr>
              <w:t>20,787</w:t>
            </w:r>
          </w:p>
        </w:tc>
        <w:tc>
          <w:tcPr>
            <w:tcW w:w="1237" w:type="dxa"/>
            <w:vAlign w:val="center"/>
          </w:tcPr>
          <w:p>
            <w:pPr>
              <w:widowControl w:val="0"/>
              <w:jc w:val="right"/>
            </w:pPr>
            <w:r>
              <w:rPr>
                <w:rFonts w:ascii="宋体" w:hAnsi="宋体" w:cs="宋体" w:hint="eastAsia"/>
              </w:rPr>
              <w:t>309,694</w:t>
            </w:r>
          </w:p>
        </w:tc>
        <w:tc>
          <w:tcPr>
            <w:tcW w:w="1236" w:type="dxa"/>
            <w:vAlign w:val="center"/>
          </w:tcPr>
          <w:p>
            <w:pPr>
              <w:widowControl w:val="0"/>
              <w:jc w:val="right"/>
            </w:pPr>
            <w:r>
              <w:rPr>
                <w:rFonts w:ascii="宋体" w:hAnsi="宋体" w:cs="宋体" w:hint="eastAsia"/>
              </w:rPr>
              <w:t>-70,908</w:t>
            </w:r>
          </w:p>
        </w:tc>
        <w:tc>
          <w:tcPr>
            <w:tcW w:w="1232" w:type="dxa"/>
            <w:vAlign w:val="center"/>
          </w:tcPr>
          <w:p>
            <w:pPr>
              <w:widowControl w:val="0"/>
              <w:jc w:val="right"/>
            </w:pPr>
            <w:r>
              <w:rPr>
                <w:rFonts w:ascii="宋体" w:hAnsi="宋体" w:cs="宋体" w:hint="eastAsia"/>
              </w:rPr>
              <w:t>1,932,021</w:t>
            </w:r>
          </w:p>
        </w:tc>
      </w:tr>
    </w:tbl>
    <w:p>
      <w:pPr>
        <w:pStyle w:val="Style217"/>
      </w:pPr>
    </w:p>
    <w:p>
      <w:pPr>
        <w:pStyle w:val="Style217"/>
      </w:pPr>
      <w:bookmarkStart w:id="421" w:name="_Hlk154157836"/>
      <w:r>
        <w:rPr>
          <w:rFonts w:hint="eastAsia"/>
        </w:rPr>
        <w:t>其中本期坏账准备转回或收回金额重要的：</w:t>
      </w:r>
    </w:p>
    <w:sdt>
      <w:sdtPr>
        <w:alias w:val="是否适用：其中本期其他应收账款坏账准备收回或转回金额重要的[双击切换]"/>
        <w:tag w:val="_GBC_c99a80b9a36440d7b9ed3ce899868361"/>
        <w:id w:val="-107998599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其他应收款坏账准备情况的说明"/>
        <w:tag w:val="_GBC_ea3d549b97f449188fd9e2f767cdcd6c"/>
        <w:id w:val="1471083617"/>
        <w:placeholder>
          <w:docPart w:val="GBC22222222222222222222222222222"/>
        </w:placeholder>
      </w:sdtPr>
      <w:sdtContent>
        <w:p>
          <w:pPr>
            <w:pStyle w:val="Style217"/>
          </w:pPr>
          <w:r>
            <w:rPr>
              <w:rFonts w:hint="eastAsia"/>
            </w:rPr>
            <w:t>-</w:t>
          </w:r>
        </w:p>
      </w:sdtContent>
    </w:sdt>
    <w:bookmarkEnd w:id="420"/>
    <w:bookmarkEnd w:id="421"/>
    <w:p>
      <w:pPr>
        <w:pStyle w:val="Style180"/>
        <w:numPr>
          <w:ilvl w:val="0"/>
          <w:numId w:val="81"/>
        </w:numPr>
        <w:ind w:leftChars="0"/>
      </w:pPr>
      <w:r>
        <w:rPr>
          <w:rFonts w:hint="eastAsia"/>
        </w:rPr>
        <w:t>本期实际核销的其他应收款情况</w:t>
      </w:r>
    </w:p>
    <w:sdt>
      <w:sdtPr>
        <w:alias w:val="是否适用：本期实际核销的其他应收款情况[双击切换]"/>
        <w:tag w:val="_GBC_2ce86125d6b94b148fa674141e6497b1"/>
        <w:id w:val="-164950942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报告期实际核销的其他应收款项情况"/>
          <w:tag w:val="_GBC_b44e35ef641b42dbb8431fa4625a2457"/>
          <w:id w:val="-18476976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本报告期实际核销的其他应收款项情况"/>
          <w:tag w:val="_GBC_5908d1cb324b4d60915517ea5537d0f4"/>
          <w:id w:val="922068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4429"/>
        <w:gridCol w:w="4465"/>
      </w:tblGrid>
      <w:tr>
        <w:trPr>
          <w:cantSplit/>
        </w:trPr>
        <w:sdt>
          <w:sdtPr>
            <w:tag w:val="_PLD_37dfaf7051a145ae922646054d926a0e"/>
            <w:id w:val="-695082585"/>
          </w:sdtPr>
          <w:sdtContent>
            <w:tc>
              <w:tcPr>
                <w:tcW w:w="4429" w:type="dxa"/>
                <w:vAlign w:val="center"/>
              </w:tcPr>
              <w:p>
                <w:pPr>
                  <w:ind w:right="73"/>
                  <w:jc w:val="center"/>
                </w:pPr>
                <w:r>
                  <w:rPr>
                    <w:rFonts w:hint="eastAsia"/>
                  </w:rPr>
                  <w:t>项目</w:t>
                </w:r>
              </w:p>
            </w:tc>
          </w:sdtContent>
        </w:sdt>
        <w:sdt>
          <w:sdtPr>
            <w:tag w:val="_PLD_57b56183aec749d9a0e8479977704a0b"/>
            <w:id w:val="556750031"/>
          </w:sdtPr>
          <w:sdtContent>
            <w:tc>
              <w:tcPr>
                <w:tcW w:w="4465" w:type="dxa"/>
                <w:vAlign w:val="center"/>
              </w:tcPr>
              <w:p>
                <w:pPr>
                  <w:ind w:right="73"/>
                  <w:jc w:val="center"/>
                </w:pPr>
                <w:r>
                  <w:rPr>
                    <w:rFonts w:hint="eastAsia"/>
                  </w:rPr>
                  <w:t>核销金额</w:t>
                </w:r>
              </w:p>
            </w:tc>
          </w:sdtContent>
        </w:sdt>
      </w:tr>
      <w:tr>
        <w:trPr>
          <w:cantSplit/>
        </w:trPr>
        <w:tc>
          <w:tcPr>
            <w:tcW w:w="4429" w:type="dxa"/>
            <w:vAlign w:val="center"/>
          </w:tcPr>
          <w:p>
            <w:pPr>
              <w:ind w:right="73"/>
            </w:pPr>
            <w:r>
              <w:rPr>
                <w:rFonts w:hint="eastAsia"/>
              </w:rPr>
              <w:t>实际核销的其他应收款</w:t>
            </w:r>
          </w:p>
        </w:tc>
        <w:tc>
          <w:tcPr>
            <w:tcW w:w="4465" w:type="dxa"/>
            <w:vAlign w:val="center"/>
          </w:tcPr>
          <w:p>
            <w:pPr>
              <w:widowControl w:val="0"/>
              <w:jc w:val="right"/>
              <w:rPr>
                <w:rFonts w:ascii="宋体" w:hAnsi="宋体" w:cs="宋体"/>
              </w:rPr>
            </w:pPr>
            <w:r>
              <w:rPr>
                <w:rFonts w:ascii="宋体" w:hAnsi="宋体" w:cs="宋体"/>
              </w:rPr>
              <w:t>309,694</w:t>
            </w:r>
          </w:p>
        </w:tc>
      </w:tr>
    </w:tbl>
    <w:p>
      <w:pPr>
        <w:pStyle w:val="Style217"/>
      </w:pPr>
    </w:p>
    <w:p>
      <w:pPr>
        <w:pStyle w:val="Style217"/>
      </w:pPr>
      <w:r>
        <w:rPr>
          <w:rFonts w:hint="eastAsia"/>
        </w:rPr>
        <w:t>其中重要的其他应收款核销情况：</w:t>
      </w:r>
    </w:p>
    <w:sdt>
      <w:sdtPr>
        <w:alias w:val="是否适用：其中重要的其他应收款核销情况[双击切换]"/>
        <w:tag w:val="_GBC_6f3b8f9a05dc4f2082e4ad20a1930006"/>
        <w:id w:val="-81826016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rPr>
          <w:b/>
          <w:bCs/>
        </w:rPr>
      </w:pPr>
      <w:r>
        <w:rPr>
          <w:rFonts w:hint="eastAsia"/>
        </w:rPr>
        <w:t>其他应收款核销说明：</w:t>
      </w:r>
    </w:p>
    <w:sdt>
      <w:sdtPr>
        <w:alias w:val="是否适用：其他应收款冲销坏帐明细的说明[双击切换]"/>
        <w:tag w:val="_GBC_c894606830c4440ba090ef98078b372b"/>
        <w:id w:val="1972636158"/>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napToGrid w:val="0"/>
        <w:spacing w:line="240" w:lineRule="atLeast"/>
      </w:pPr>
    </w:p>
    <w:p>
      <w:pPr>
        <w:pStyle w:val="Style180"/>
        <w:numPr>
          <w:ilvl w:val="0"/>
          <w:numId w:val="81"/>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57997808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收账款前五名欠款情况"/>
          <w:tag w:val="_GBC_06f7a71e039445228d80a5741df4c4f7"/>
          <w:id w:val="-17872696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其他应收账款前五名欠款情况"/>
          <w:tag w:val="_GBC_54cf5f95e62e4f5f8ccb31731efadf32"/>
          <w:id w:val="-5096881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701"/>
        <w:gridCol w:w="1559"/>
        <w:gridCol w:w="1559"/>
        <w:gridCol w:w="1113"/>
      </w:tblGrid>
      <w:tr>
        <w:trPr>
          <w:cantSplit/>
        </w:trPr>
        <w:sdt>
          <w:sdtPr>
            <w:tag w:val="_PLD_f30fc2dc8886472699c892f0395ab05e"/>
            <w:id w:val="-125704909"/>
          </w:sdtPr>
          <w:sdtContent>
            <w:tc>
              <w:tcPr>
                <w:tcW w:w="1696" w:type="dxa"/>
                <w:vAlign w:val="center"/>
              </w:tcPr>
              <w:p>
                <w:pPr>
                  <w:ind w:right="105"/>
                  <w:jc w:val="center"/>
                </w:pPr>
                <w:r>
                  <w:rPr>
                    <w:rFonts w:hint="eastAsia"/>
                  </w:rPr>
                  <w:t>单位名称</w:t>
                </w:r>
              </w:p>
            </w:tc>
          </w:sdtContent>
        </w:sdt>
        <w:sdt>
          <w:sdtPr>
            <w:tag w:val="_PLD_1bc905abb4bf4c679b9fbe0a7587d651"/>
            <w:id w:val="846133505"/>
          </w:sdtPr>
          <w:sdtContent>
            <w:tc>
              <w:tcPr>
                <w:tcW w:w="1418" w:type="dxa"/>
                <w:vAlign w:val="center"/>
              </w:tcPr>
              <w:p>
                <w:pPr>
                  <w:ind w:right="73"/>
                  <w:jc w:val="center"/>
                </w:pPr>
                <w:r>
                  <w:rPr>
                    <w:rFonts w:hint="eastAsia"/>
                  </w:rPr>
                  <w:t>期末余额</w:t>
                </w:r>
              </w:p>
            </w:tc>
          </w:sdtContent>
        </w:sdt>
        <w:sdt>
          <w:sdtPr>
            <w:tag w:val="_PLD_055b75c0a3cf450e995ac7e13fdc0c08"/>
            <w:id w:val="257109528"/>
          </w:sdtPr>
          <w:sdtContent>
            <w:tc>
              <w:tcPr>
                <w:tcW w:w="1701" w:type="dxa"/>
                <w:vAlign w:val="center"/>
              </w:tcPr>
              <w:p>
                <w:pPr>
                  <w:jc w:val="center"/>
                </w:pPr>
                <w:r>
                  <w:rPr>
                    <w:rFonts w:hint="eastAsia"/>
                  </w:rPr>
                  <w:t>占其他应收款期末余额合计数的比例</w:t>
                </w:r>
                <w:r>
                  <w:rPr>
                    <w:rFonts w:hint="eastAsia"/>
                  </w:rPr>
                  <w:t>(</w:t>
                </w:r>
                <w:r>
                  <w:t>%)</w:t>
                </w:r>
              </w:p>
            </w:tc>
          </w:sdtContent>
        </w:sdt>
        <w:sdt>
          <w:sdtPr>
            <w:tag w:val="_PLD_44129b8132114de2a4d33c4acb8af98f"/>
            <w:id w:val="-1630626721"/>
          </w:sdtPr>
          <w:sdtContent>
            <w:tc>
              <w:tcPr>
                <w:tcW w:w="1559" w:type="dxa"/>
                <w:vAlign w:val="center"/>
              </w:tcPr>
              <w:p>
                <w:pPr>
                  <w:ind w:right="73"/>
                  <w:jc w:val="center"/>
                </w:pPr>
                <w:r>
                  <w:rPr>
                    <w:rFonts w:hint="eastAsia"/>
                  </w:rPr>
                  <w:t>款项的性质</w:t>
                </w:r>
              </w:p>
            </w:tc>
          </w:sdtContent>
        </w:sdt>
        <w:sdt>
          <w:sdtPr>
            <w:tag w:val="_PLD_d9231de346f74815b1bc7c82527b1ef5"/>
            <w:id w:val="932327724"/>
          </w:sdtPr>
          <w:sdtContent>
            <w:tc>
              <w:tcPr>
                <w:tcW w:w="1559" w:type="dxa"/>
                <w:vAlign w:val="center"/>
              </w:tcPr>
              <w:p>
                <w:pPr>
                  <w:ind w:right="73"/>
                  <w:jc w:val="center"/>
                </w:pPr>
                <w:r>
                  <w:rPr>
                    <w:rFonts w:hint="eastAsia"/>
                  </w:rPr>
                  <w:t>账龄</w:t>
                </w:r>
              </w:p>
            </w:tc>
          </w:sdtContent>
        </w:sdt>
        <w:sdt>
          <w:sdtPr>
            <w:tag w:val="_PLD_a7951a260c094fc8b8b64f2d1e6a933e"/>
            <w:id w:val="-1567252251"/>
          </w:sdtPr>
          <w:sdtContent>
            <w:tc>
              <w:tcPr>
                <w:tcW w:w="1113" w:type="dxa"/>
                <w:vAlign w:val="center"/>
              </w:tcPr>
              <w:p>
                <w:pPr>
                  <w:jc w:val="center"/>
                </w:pPr>
                <w:r>
                  <w:rPr>
                    <w:rFonts w:hint="eastAsia"/>
                  </w:rPr>
                  <w:t>坏账准备</w:t>
                </w:r>
              </w:p>
              <w:p>
                <w:pPr>
                  <w:jc w:val="center"/>
                </w:pPr>
                <w:r>
                  <w:rPr>
                    <w:rFonts w:hint="eastAsia"/>
                  </w:rPr>
                  <w:t>期末余额</w:t>
                </w:r>
              </w:p>
            </w:tc>
          </w:sdtContent>
        </w:sdt>
      </w:tr>
      <w:tr>
        <w:trPr>
          <w:cantSplit/>
        </w:trPr>
        <w:tc>
          <w:tcPr>
            <w:tcW w:w="1696" w:type="dxa"/>
            <w:vAlign w:val="center"/>
          </w:tcPr>
          <w:p>
            <w:pPr>
              <w:ind w:right="105"/>
              <w:jc w:val="both"/>
            </w:pPr>
            <w:r>
              <w:rPr>
                <w:rFonts w:ascii="宋体" w:hAnsi="宋体" w:cs="宋体" w:hint="eastAsia"/>
              </w:rPr>
              <w:t>山东能源集团有限公司</w:t>
            </w:r>
          </w:p>
        </w:tc>
        <w:tc>
          <w:tcPr>
            <w:tcW w:w="1418" w:type="dxa"/>
            <w:vAlign w:val="center"/>
          </w:tcPr>
          <w:p>
            <w:pPr>
              <w:ind w:right="73"/>
              <w:jc w:val="right"/>
              <w:rPr>
                <w:rFonts w:ascii="宋体" w:hAnsi="宋体"/>
              </w:rPr>
            </w:pPr>
            <w:r>
              <w:rPr>
                <w:rFonts w:ascii="宋体" w:hAnsi="宋体"/>
              </w:rPr>
              <w:t>5,646,925</w:t>
            </w:r>
          </w:p>
        </w:tc>
        <w:tc>
          <w:tcPr>
            <w:tcW w:w="1701" w:type="dxa"/>
            <w:vAlign w:val="center"/>
          </w:tcPr>
          <w:p>
            <w:pPr>
              <w:jc w:val="right"/>
              <w:rPr>
                <w:rFonts w:ascii="宋体" w:hAnsi="宋体"/>
              </w:rPr>
            </w:pPr>
            <w:r>
              <w:rPr>
                <w:rFonts w:ascii="宋体" w:hAnsi="宋体"/>
              </w:rPr>
              <w:t>22.69</w:t>
            </w:r>
          </w:p>
        </w:tc>
        <w:tc>
          <w:tcPr>
            <w:tcW w:w="1559" w:type="dxa"/>
          </w:tcPr>
          <w:p>
            <w:pPr>
              <w:ind w:right="73"/>
            </w:pPr>
            <w:r>
              <w:rPr>
                <w:rFonts w:hint="eastAsia"/>
              </w:rPr>
              <w:t>复兴一期承诺期业绩补偿、抵押金、保证金、往来款</w:t>
            </w:r>
          </w:p>
        </w:tc>
        <w:tc>
          <w:tcPr>
            <w:tcW w:w="1559" w:type="dxa"/>
            <w:vAlign w:val="center"/>
          </w:tcPr>
          <w:p>
            <w:pPr>
              <w:ind w:right="73"/>
            </w:pPr>
            <w:r>
              <w:rPr>
                <w:rFonts w:ascii="宋体" w:hAnsi="宋体" w:cs="宋体" w:hint="eastAsia"/>
              </w:rPr>
              <w:t>1年以内</w:t>
            </w:r>
          </w:p>
        </w:tc>
        <w:tc>
          <w:tcPr>
            <w:tcW w:w="1113" w:type="dxa"/>
            <w:vAlign w:val="center"/>
          </w:tcPr>
          <w:p>
            <w:pPr>
              <w:jc w:val="right"/>
            </w:pPr>
          </w:p>
        </w:tc>
      </w:tr>
      <w:tr>
        <w:trPr>
          <w:cantSplit/>
        </w:trPr>
        <w:tc>
          <w:tcPr>
            <w:tcW w:w="1696" w:type="dxa"/>
            <w:vAlign w:val="center"/>
          </w:tcPr>
          <w:p>
            <w:pPr>
              <w:ind w:right="105"/>
              <w:jc w:val="both"/>
            </w:pPr>
            <w:r>
              <w:rPr>
                <w:rFonts w:ascii="宋体" w:hAnsi="宋体" w:cs="宋体" w:hint="eastAsia"/>
                <w:lang w:bidi="ar"/>
              </w:rPr>
              <w:t>新汶矿业集团有限责任公司</w:t>
            </w:r>
          </w:p>
        </w:tc>
        <w:tc>
          <w:tcPr>
            <w:tcW w:w="1418" w:type="dxa"/>
            <w:vAlign w:val="center"/>
          </w:tcPr>
          <w:p>
            <w:pPr>
              <w:ind w:right="73"/>
              <w:jc w:val="right"/>
              <w:rPr>
                <w:rFonts w:ascii="宋体" w:hAnsi="宋体"/>
              </w:rPr>
            </w:pPr>
            <w:r>
              <w:rPr>
                <w:rFonts w:ascii="宋体" w:hAnsi="宋体"/>
              </w:rPr>
              <w:t>4,039,938</w:t>
            </w:r>
          </w:p>
        </w:tc>
        <w:tc>
          <w:tcPr>
            <w:tcW w:w="1701" w:type="dxa"/>
            <w:vAlign w:val="center"/>
          </w:tcPr>
          <w:p>
            <w:pPr>
              <w:jc w:val="right"/>
              <w:rPr>
                <w:rFonts w:ascii="宋体" w:hAnsi="宋体"/>
              </w:rPr>
            </w:pPr>
            <w:r>
              <w:rPr>
                <w:rFonts w:ascii="宋体" w:hAnsi="宋体"/>
              </w:rPr>
              <w:t>16.2</w:t>
            </w:r>
            <w:r>
              <w:rPr>
                <w:rFonts w:ascii="宋体" w:hAnsi="宋体" w:hint="eastAsia"/>
              </w:rPr>
              <w:t>4</w:t>
            </w:r>
          </w:p>
        </w:tc>
        <w:tc>
          <w:tcPr>
            <w:tcW w:w="1559" w:type="dxa"/>
          </w:tcPr>
          <w:p>
            <w:pPr>
              <w:ind w:right="73"/>
            </w:pPr>
            <w:r>
              <w:rPr>
                <w:rFonts w:hint="eastAsia"/>
              </w:rPr>
              <w:t>复兴一期承诺期业绩补偿</w:t>
            </w:r>
          </w:p>
        </w:tc>
        <w:tc>
          <w:tcPr>
            <w:tcW w:w="1559" w:type="dxa"/>
            <w:vAlign w:val="center"/>
          </w:tcPr>
          <w:p>
            <w:pPr>
              <w:ind w:right="73"/>
            </w:pPr>
            <w:r>
              <w:rPr>
                <w:rFonts w:ascii="宋体" w:hAnsi="宋体" w:cs="宋体" w:hint="eastAsia"/>
              </w:rPr>
              <w:t>1年以内</w:t>
            </w:r>
          </w:p>
        </w:tc>
        <w:tc>
          <w:tcPr>
            <w:tcW w:w="1113" w:type="dxa"/>
            <w:vAlign w:val="center"/>
          </w:tcPr>
          <w:p>
            <w:pPr>
              <w:jc w:val="right"/>
            </w:pPr>
          </w:p>
        </w:tc>
      </w:tr>
      <w:tr>
        <w:trPr>
          <w:cantSplit/>
        </w:trPr>
        <w:tc>
          <w:tcPr>
            <w:tcW w:w="1696" w:type="dxa"/>
            <w:vAlign w:val="center"/>
          </w:tcPr>
          <w:p>
            <w:pPr>
              <w:ind w:right="105"/>
              <w:jc w:val="both"/>
            </w:pPr>
            <w:r>
              <w:rPr>
                <w:rFonts w:ascii="宋体" w:hAnsi="宋体" w:cs="宋体" w:hint="eastAsia"/>
                <w:lang w:bidi="ar"/>
              </w:rPr>
              <w:t>龙口矿业集团有限公司</w:t>
            </w:r>
          </w:p>
        </w:tc>
        <w:tc>
          <w:tcPr>
            <w:tcW w:w="1418" w:type="dxa"/>
            <w:vAlign w:val="center"/>
          </w:tcPr>
          <w:p>
            <w:pPr>
              <w:ind w:right="73"/>
              <w:jc w:val="right"/>
              <w:rPr>
                <w:rFonts w:ascii="宋体" w:hAnsi="宋体"/>
              </w:rPr>
            </w:pPr>
            <w:r>
              <w:rPr>
                <w:rFonts w:ascii="宋体" w:hAnsi="宋体"/>
              </w:rPr>
              <w:t>3,751,271</w:t>
            </w:r>
          </w:p>
        </w:tc>
        <w:tc>
          <w:tcPr>
            <w:tcW w:w="1701" w:type="dxa"/>
            <w:vAlign w:val="center"/>
          </w:tcPr>
          <w:p>
            <w:pPr>
              <w:jc w:val="right"/>
              <w:rPr>
                <w:rFonts w:ascii="宋体" w:hAnsi="宋体"/>
              </w:rPr>
            </w:pPr>
            <w:r>
              <w:rPr>
                <w:rFonts w:ascii="宋体" w:hAnsi="宋体"/>
              </w:rPr>
              <w:t>15.08</w:t>
            </w:r>
          </w:p>
        </w:tc>
        <w:tc>
          <w:tcPr>
            <w:tcW w:w="1559" w:type="dxa"/>
          </w:tcPr>
          <w:p>
            <w:pPr>
              <w:ind w:right="73"/>
            </w:pPr>
            <w:r>
              <w:rPr>
                <w:rFonts w:hint="eastAsia"/>
              </w:rPr>
              <w:t>复兴一期承诺期业绩补偿</w:t>
            </w:r>
          </w:p>
        </w:tc>
        <w:tc>
          <w:tcPr>
            <w:tcW w:w="1559" w:type="dxa"/>
            <w:vAlign w:val="center"/>
          </w:tcPr>
          <w:p>
            <w:pPr>
              <w:ind w:right="73"/>
            </w:pPr>
            <w:r>
              <w:rPr>
                <w:rFonts w:ascii="宋体" w:hAnsi="宋体" w:cs="宋体" w:hint="eastAsia"/>
              </w:rPr>
              <w:t>1年以内</w:t>
            </w:r>
          </w:p>
        </w:tc>
        <w:tc>
          <w:tcPr>
            <w:tcW w:w="1113" w:type="dxa"/>
            <w:vAlign w:val="center"/>
          </w:tcPr>
          <w:p>
            <w:pPr>
              <w:jc w:val="right"/>
            </w:pPr>
          </w:p>
        </w:tc>
      </w:tr>
      <w:tr>
        <w:trPr>
          <w:cantSplit/>
        </w:trPr>
        <w:tc>
          <w:tcPr>
            <w:tcW w:w="1696" w:type="dxa"/>
            <w:vAlign w:val="center"/>
          </w:tcPr>
          <w:p>
            <w:pPr>
              <w:ind w:right="105"/>
              <w:jc w:val="both"/>
            </w:pPr>
            <w:r>
              <w:rPr>
                <w:rFonts w:ascii="宋体" w:hAnsi="宋体" w:cs="宋体" w:hint="eastAsia"/>
                <w:lang w:bidi="ar"/>
              </w:rPr>
              <w:t>淄博矿业集团有限责任公司</w:t>
            </w:r>
          </w:p>
        </w:tc>
        <w:tc>
          <w:tcPr>
            <w:tcW w:w="1418" w:type="dxa"/>
            <w:vAlign w:val="center"/>
          </w:tcPr>
          <w:p>
            <w:pPr>
              <w:ind w:right="73"/>
              <w:jc w:val="right"/>
              <w:rPr>
                <w:rFonts w:ascii="宋体" w:hAnsi="宋体"/>
              </w:rPr>
            </w:pPr>
            <w:r>
              <w:rPr>
                <w:rFonts w:ascii="宋体" w:hAnsi="宋体"/>
              </w:rPr>
              <w:t>2,356,110</w:t>
            </w:r>
          </w:p>
        </w:tc>
        <w:tc>
          <w:tcPr>
            <w:tcW w:w="1701" w:type="dxa"/>
            <w:vAlign w:val="center"/>
          </w:tcPr>
          <w:p>
            <w:pPr>
              <w:jc w:val="right"/>
              <w:rPr>
                <w:rFonts w:ascii="宋体" w:hAnsi="宋体"/>
              </w:rPr>
            </w:pPr>
            <w:r>
              <w:rPr>
                <w:rFonts w:ascii="宋体" w:hAnsi="宋体"/>
              </w:rPr>
              <w:t>9.47</w:t>
            </w:r>
          </w:p>
        </w:tc>
        <w:tc>
          <w:tcPr>
            <w:tcW w:w="1559" w:type="dxa"/>
          </w:tcPr>
          <w:p>
            <w:pPr>
              <w:ind w:right="73"/>
            </w:pPr>
            <w:r>
              <w:rPr>
                <w:rFonts w:hint="eastAsia"/>
              </w:rPr>
              <w:t>复兴一期承诺期业绩补偿、往来款</w:t>
            </w:r>
          </w:p>
        </w:tc>
        <w:tc>
          <w:tcPr>
            <w:tcW w:w="1559" w:type="dxa"/>
            <w:vAlign w:val="center"/>
          </w:tcPr>
          <w:p>
            <w:pPr>
              <w:ind w:right="73"/>
            </w:pPr>
            <w:r>
              <w:rPr>
                <w:rFonts w:ascii="宋体" w:hAnsi="宋体" w:cs="宋体" w:hint="eastAsia"/>
              </w:rPr>
              <w:t>1年以内</w:t>
            </w:r>
          </w:p>
        </w:tc>
        <w:tc>
          <w:tcPr>
            <w:tcW w:w="1113" w:type="dxa"/>
            <w:vAlign w:val="center"/>
          </w:tcPr>
          <w:p>
            <w:pPr>
              <w:jc w:val="right"/>
            </w:pPr>
          </w:p>
        </w:tc>
      </w:tr>
      <w:tr>
        <w:trPr>
          <w:cantSplit/>
        </w:trPr>
        <w:tc>
          <w:tcPr>
            <w:tcW w:w="1696" w:type="dxa"/>
            <w:vAlign w:val="center"/>
          </w:tcPr>
          <w:p>
            <w:pPr>
              <w:ind w:right="105"/>
              <w:jc w:val="both"/>
            </w:pPr>
            <w:r>
              <w:rPr>
                <w:rFonts w:ascii="宋体" w:hAnsi="宋体" w:cs="宋体" w:hint="eastAsia"/>
                <w:lang w:bidi="ar"/>
              </w:rPr>
              <w:t>临沂矿业集团有限责任公司</w:t>
            </w:r>
          </w:p>
        </w:tc>
        <w:tc>
          <w:tcPr>
            <w:tcW w:w="1418" w:type="dxa"/>
            <w:vAlign w:val="center"/>
          </w:tcPr>
          <w:p>
            <w:pPr>
              <w:ind w:right="73"/>
              <w:jc w:val="right"/>
              <w:rPr>
                <w:rFonts w:ascii="宋体" w:hAnsi="宋体"/>
              </w:rPr>
            </w:pPr>
            <w:r>
              <w:rPr>
                <w:rFonts w:ascii="宋体" w:hAnsi="宋体"/>
              </w:rPr>
              <w:t>2,204,131</w:t>
            </w:r>
          </w:p>
        </w:tc>
        <w:tc>
          <w:tcPr>
            <w:tcW w:w="1701" w:type="dxa"/>
            <w:vAlign w:val="center"/>
          </w:tcPr>
          <w:p>
            <w:pPr>
              <w:jc w:val="right"/>
              <w:rPr>
                <w:rFonts w:ascii="宋体" w:hAnsi="宋体"/>
              </w:rPr>
            </w:pPr>
            <w:r>
              <w:rPr>
                <w:rFonts w:ascii="宋体" w:hAnsi="宋体"/>
              </w:rPr>
              <w:t>8.86</w:t>
            </w:r>
          </w:p>
        </w:tc>
        <w:tc>
          <w:tcPr>
            <w:tcW w:w="1559" w:type="dxa"/>
          </w:tcPr>
          <w:p>
            <w:pPr>
              <w:ind w:right="73"/>
            </w:pPr>
            <w:r>
              <w:rPr>
                <w:rFonts w:hint="eastAsia"/>
              </w:rPr>
              <w:t>复兴一期承诺期业绩补偿</w:t>
            </w:r>
          </w:p>
        </w:tc>
        <w:tc>
          <w:tcPr>
            <w:tcW w:w="1559" w:type="dxa"/>
            <w:vAlign w:val="center"/>
          </w:tcPr>
          <w:p>
            <w:pPr>
              <w:ind w:right="73"/>
            </w:pPr>
            <w:r>
              <w:rPr>
                <w:rFonts w:ascii="宋体" w:hAnsi="宋体" w:cs="宋体" w:hint="eastAsia"/>
              </w:rPr>
              <w:t>1年以内</w:t>
            </w:r>
          </w:p>
        </w:tc>
        <w:tc>
          <w:tcPr>
            <w:tcW w:w="1113" w:type="dxa"/>
            <w:vAlign w:val="center"/>
          </w:tcPr>
          <w:p>
            <w:pPr>
              <w:jc w:val="right"/>
            </w:pPr>
          </w:p>
        </w:tc>
      </w:tr>
      <w:tr>
        <w:trPr>
          <w:cantSplit/>
        </w:trPr>
        <w:tc>
          <w:tcPr>
            <w:tcW w:w="1696" w:type="dxa"/>
            <w:vAlign w:val="center"/>
          </w:tcPr>
          <w:p>
            <w:pPr>
              <w:ind w:right="105"/>
              <w:jc w:val="center"/>
            </w:pPr>
            <w:r>
              <w:rPr>
                <w:rFonts w:hint="eastAsia"/>
              </w:rPr>
              <w:t>合计</w:t>
            </w:r>
          </w:p>
        </w:tc>
        <w:tc>
          <w:tcPr>
            <w:tcW w:w="1418" w:type="dxa"/>
            <w:vAlign w:val="center"/>
          </w:tcPr>
          <w:p>
            <w:pPr>
              <w:ind w:right="73"/>
              <w:jc w:val="right"/>
              <w:rPr>
                <w:rFonts w:ascii="宋体" w:hAnsi="宋体"/>
                <w:u w:val="single"/>
              </w:rPr>
            </w:pPr>
            <w:r>
              <w:rPr>
                <w:rFonts w:ascii="宋体" w:hAnsi="宋体"/>
              </w:rPr>
              <w:t>17,998,375</w:t>
            </w:r>
          </w:p>
        </w:tc>
        <w:tc>
          <w:tcPr>
            <w:tcW w:w="1701" w:type="dxa"/>
            <w:vAlign w:val="center"/>
          </w:tcPr>
          <w:p>
            <w:pPr>
              <w:jc w:val="right"/>
              <w:rPr>
                <w:rFonts w:ascii="宋体" w:hAnsi="宋体"/>
              </w:rPr>
            </w:pPr>
            <w:r>
              <w:rPr>
                <w:rFonts w:ascii="宋体" w:hAnsi="宋体"/>
              </w:rPr>
              <w:t>72.3</w:t>
            </w:r>
            <w:r>
              <w:rPr>
                <w:rFonts w:ascii="宋体" w:hAnsi="宋体" w:hint="eastAsia"/>
              </w:rPr>
              <w:t>4</w:t>
            </w:r>
          </w:p>
        </w:tc>
        <w:tc>
          <w:tcPr>
            <w:tcW w:w="1559" w:type="dxa"/>
            <w:vAlign w:val="center"/>
          </w:tcPr>
          <w:p>
            <w:pPr>
              <w:ind w:right="73"/>
              <w:jc w:val="center"/>
            </w:pPr>
          </w:p>
        </w:tc>
        <w:tc>
          <w:tcPr>
            <w:tcW w:w="1559" w:type="dxa"/>
            <w:vAlign w:val="center"/>
          </w:tcPr>
          <w:p>
            <w:pPr>
              <w:ind w:right="73"/>
              <w:jc w:val="center"/>
            </w:pPr>
          </w:p>
        </w:tc>
        <w:tc>
          <w:tcPr>
            <w:tcW w:w="1113" w:type="dxa"/>
            <w:vAlign w:val="center"/>
          </w:tcPr>
          <w:p>
            <w:pPr>
              <w:jc w:val="right"/>
            </w:pPr>
          </w:p>
        </w:tc>
      </w:tr>
    </w:tbl>
    <w:p>
      <w:pPr>
        <w:snapToGrid w:val="0"/>
        <w:spacing w:line="240" w:lineRule="atLeast"/>
      </w:pPr>
    </w:p>
    <w:p>
      <w:pPr>
        <w:pStyle w:val="Style180"/>
        <w:numPr>
          <w:ilvl w:val="0"/>
          <w:numId w:val="81"/>
        </w:numPr>
        <w:ind w:leftChars="0"/>
      </w:pPr>
      <w:r>
        <w:rPr>
          <w:rFonts w:hint="eastAsia"/>
        </w:rPr>
        <w:lastRenderedPageBreak/>
        <w:t>因资金集中管理而列报于其他应收款</w:t>
      </w:r>
    </w:p>
    <w:p>
      <w:pPr>
        <w:tabs>
          <w:tab w:val="left" w:pos="2612"/>
        </w:tabs>
        <w:snapToGrid w:val="0"/>
        <w:spacing w:line="240" w:lineRule="atLeast"/>
      </w:pPr>
      <w:sdt>
        <w:sdtPr>
          <w:alias w:val="是否适用：因资金集中管理而列报于其他应收款[双击切换]"/>
          <w:tag w:val="_GBC_b8da09aaaa6f41fc9a0da9e70575d260"/>
          <w:id w:val="-483474279"/>
          <w:placeholder>
            <w:docPart w:val="GBC22222222222222222222222222222"/>
          </w:placeholder>
        </w:sdtPr>
        <w:sdtContent>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pPr>
        <w:tabs>
          <w:tab w:val="left" w:pos="2612"/>
        </w:tabs>
        <w:snapToGrid w:val="0"/>
        <w:spacing w:line="240" w:lineRule="atLeast"/>
      </w:pPr>
    </w:p>
    <w:p>
      <w:pPr>
        <w:pStyle w:val="Style217"/>
      </w:pPr>
      <w:r>
        <w:rPr>
          <w:rFonts w:hint="eastAsia"/>
        </w:rPr>
        <w:t>其他</w:t>
      </w:r>
      <w:r>
        <w:t>说明：</w:t>
      </w:r>
    </w:p>
    <w:sdt>
      <w:sdtPr>
        <w:rPr>
          <w:rFonts w:hint="eastAsia"/>
        </w:rPr>
        <w:alias w:val="是否适用：其他应收款的其他说明[双击切换]"/>
        <w:tag w:val="_GBC_f19370687b664bbeafd6d2809311f81e"/>
        <w:id w:val="-188648016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r>
        <w:rPr>
          <w:szCs w:val="21"/>
        </w:rPr>
        <w:t>存货</w:t>
      </w:r>
    </w:p>
    <w:p>
      <w:pPr>
        <w:pStyle w:val="Style179"/>
        <w:numPr>
          <w:ilvl w:val="3"/>
          <w:numId w:val="82"/>
        </w:numPr>
        <w:ind w:left="426" w:hanging="426"/>
      </w:pPr>
      <w:bookmarkStart w:id="422" w:name="_Hlk24116366"/>
      <w:bookmarkStart w:id="423" w:name="_Hlk532992451"/>
      <w:r>
        <w:rPr>
          <w:rFonts w:hint="eastAsia"/>
        </w:rPr>
        <w:t>存货分类</w:t>
      </w:r>
    </w:p>
    <w:sdt>
      <w:sdtPr>
        <w:alias w:val="是否适用：存货分类[双击切换]"/>
        <w:tag w:val="_GBC_357bbe1b1f034d20ba175209243f1121"/>
        <w:id w:val="-96975024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存货分类"/>
          <w:tag w:val="_GBC_d8d041ff281d42b2825673de12d9cf99"/>
          <w:id w:val="953041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存货分类"/>
          <w:tag w:val="_GBC_dfe02fee4d9a4b77b46c5afad867d464"/>
          <w:id w:val="19087967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1275"/>
        <w:gridCol w:w="1349"/>
        <w:gridCol w:w="1203"/>
        <w:gridCol w:w="1276"/>
        <w:gridCol w:w="1256"/>
      </w:tblGrid>
      <w:tr>
        <w:trPr>
          <w:cantSplit/>
        </w:trPr>
        <w:sdt>
          <w:sdtPr>
            <w:tag w:val="_PLD_c7ef81863f9f475b86b8ee43ac7e9274"/>
            <w:id w:val="1655952375"/>
          </w:sdtPr>
          <w:sdtContent>
            <w:tc>
              <w:tcPr>
                <w:tcW w:w="1271" w:type="dxa"/>
                <w:vMerge w:val="restart"/>
                <w:vAlign w:val="center"/>
              </w:tcPr>
              <w:p>
                <w:pPr>
                  <w:jc w:val="center"/>
                </w:pPr>
                <w:r>
                  <w:rPr>
                    <w:rFonts w:hint="eastAsia"/>
                  </w:rPr>
                  <w:t>项目</w:t>
                </w:r>
              </w:p>
            </w:tc>
          </w:sdtContent>
        </w:sdt>
        <w:sdt>
          <w:sdtPr>
            <w:tag w:val="_PLD_68fbd4316a69442d924038f565882f99"/>
            <w:id w:val="645782092"/>
          </w:sdtPr>
          <w:sdtContent>
            <w:tc>
              <w:tcPr>
                <w:tcW w:w="4042" w:type="dxa"/>
                <w:gridSpan w:val="3"/>
                <w:vAlign w:val="center"/>
              </w:tcPr>
              <w:p>
                <w:pPr>
                  <w:jc w:val="center"/>
                </w:pPr>
                <w:r>
                  <w:rPr>
                    <w:rFonts w:hint="eastAsia"/>
                  </w:rPr>
                  <w:t>期末余额</w:t>
                </w:r>
              </w:p>
            </w:tc>
          </w:sdtContent>
        </w:sdt>
        <w:sdt>
          <w:sdtPr>
            <w:tag w:val="_PLD_39f6313de32c45ce95b6a2ef18238d4a"/>
            <w:id w:val="-26419973"/>
          </w:sdtPr>
          <w:sdtContent>
            <w:tc>
              <w:tcPr>
                <w:tcW w:w="3735" w:type="dxa"/>
                <w:gridSpan w:val="3"/>
                <w:vAlign w:val="center"/>
              </w:tcPr>
              <w:p>
                <w:pPr>
                  <w:jc w:val="center"/>
                </w:pPr>
                <w:r>
                  <w:rPr>
                    <w:rFonts w:hint="eastAsia"/>
                  </w:rPr>
                  <w:t>期初余额</w:t>
                </w:r>
              </w:p>
            </w:tc>
          </w:sdtContent>
        </w:sdt>
      </w:tr>
      <w:tr>
        <w:trPr>
          <w:cantSplit/>
        </w:trPr>
        <w:tc>
          <w:tcPr>
            <w:tcW w:w="1271" w:type="dxa"/>
            <w:vMerge/>
            <w:vAlign w:val="center"/>
          </w:tcPr>
          <w:p>
            <w:pPr>
              <w:ind w:right="5"/>
              <w:jc w:val="center"/>
            </w:pPr>
          </w:p>
        </w:tc>
        <w:sdt>
          <w:sdtPr>
            <w:tag w:val="_PLD_73436d894fc444d5b519a3b75a689324"/>
            <w:id w:val="-525253470"/>
          </w:sdtPr>
          <w:sdtContent>
            <w:tc>
              <w:tcPr>
                <w:tcW w:w="1418" w:type="dxa"/>
                <w:vAlign w:val="center"/>
              </w:tcPr>
              <w:p>
                <w:pPr>
                  <w:ind w:right="5"/>
                  <w:jc w:val="center"/>
                </w:pPr>
                <w:r>
                  <w:rPr>
                    <w:rFonts w:hint="eastAsia"/>
                  </w:rPr>
                  <w:t>账面余额</w:t>
                </w:r>
              </w:p>
            </w:tc>
          </w:sdtContent>
        </w:sdt>
        <w:tc>
          <w:tcPr>
            <w:tcW w:w="1275" w:type="dxa"/>
            <w:vAlign w:val="center"/>
          </w:tcPr>
          <w:p>
            <w:pPr>
              <w:ind w:right="5"/>
              <w:jc w:val="center"/>
            </w:pPr>
            <w:sdt>
              <w:sdtPr>
                <w:tag w:val="_PLD_09cd496fa8624ad4a9538b5b209e6d5a"/>
                <w:id w:val="1274594554"/>
              </w:sdtPr>
              <w:sdtContent>
                <w:r>
                  <w:rPr>
                    <w:rFonts w:hint="eastAsia"/>
                  </w:rPr>
                  <w:t>存货跌价准备</w:t>
                </w:r>
                <w:r>
                  <w:t>/</w:t>
                </w:r>
                <w:r>
                  <w:t>合同履约成本减值准备</w:t>
                </w:r>
              </w:sdtContent>
            </w:sdt>
          </w:p>
        </w:tc>
        <w:sdt>
          <w:sdtPr>
            <w:tag w:val="_PLD_2c7532c412cf491899c310ef9902157e"/>
            <w:id w:val="471107391"/>
          </w:sdtPr>
          <w:sdtContent>
            <w:tc>
              <w:tcPr>
                <w:tcW w:w="1349" w:type="dxa"/>
                <w:vAlign w:val="center"/>
              </w:tcPr>
              <w:p>
                <w:pPr>
                  <w:ind w:right="5"/>
                  <w:jc w:val="center"/>
                </w:pPr>
                <w:r>
                  <w:rPr>
                    <w:rFonts w:hint="eastAsia"/>
                  </w:rPr>
                  <w:t>账面价值</w:t>
                </w:r>
              </w:p>
            </w:tc>
          </w:sdtContent>
        </w:sdt>
        <w:sdt>
          <w:sdtPr>
            <w:tag w:val="_PLD_6c2924a6d3da466f96c5c2e2f2d81de1"/>
            <w:id w:val="-955871319"/>
          </w:sdtPr>
          <w:sdtContent>
            <w:tc>
              <w:tcPr>
                <w:tcW w:w="1203" w:type="dxa"/>
                <w:vAlign w:val="center"/>
              </w:tcPr>
              <w:p>
                <w:pPr>
                  <w:ind w:right="5"/>
                  <w:jc w:val="center"/>
                </w:pPr>
                <w:r>
                  <w:rPr>
                    <w:rFonts w:hint="eastAsia"/>
                  </w:rPr>
                  <w:t>账面余额</w:t>
                </w:r>
              </w:p>
            </w:tc>
          </w:sdtContent>
        </w:sdt>
        <w:tc>
          <w:tcPr>
            <w:tcW w:w="1276" w:type="dxa"/>
            <w:vAlign w:val="center"/>
          </w:tcPr>
          <w:p>
            <w:pPr>
              <w:ind w:right="5"/>
              <w:jc w:val="center"/>
            </w:pPr>
            <w:sdt>
              <w:sdtPr>
                <w:tag w:val="_PLD_e5df78ba36d146dfb7eedab7ddd98031"/>
                <w:id w:val="-1611502177"/>
              </w:sdtPr>
              <w:sdtContent>
                <w:r>
                  <w:rPr>
                    <w:rFonts w:hint="eastAsia"/>
                  </w:rPr>
                  <w:t>存货跌价准备</w:t>
                </w:r>
                <w:r>
                  <w:t>/</w:t>
                </w:r>
                <w:r>
                  <w:t>合同履约成本减值准备</w:t>
                </w:r>
              </w:sdtContent>
            </w:sdt>
          </w:p>
        </w:tc>
        <w:sdt>
          <w:sdtPr>
            <w:tag w:val="_PLD_ba07e513b5504e03b2dcef7d8421fa16"/>
            <w:id w:val="-834525128"/>
          </w:sdtPr>
          <w:sdtContent>
            <w:tc>
              <w:tcPr>
                <w:tcW w:w="1256" w:type="dxa"/>
                <w:vAlign w:val="center"/>
              </w:tcPr>
              <w:p>
                <w:pPr>
                  <w:ind w:right="5"/>
                  <w:jc w:val="center"/>
                </w:pPr>
                <w:r>
                  <w:rPr>
                    <w:rFonts w:hint="eastAsia"/>
                  </w:rPr>
                  <w:t>账面价值</w:t>
                </w:r>
              </w:p>
            </w:tc>
          </w:sdtContent>
        </w:sdt>
      </w:tr>
      <w:tr>
        <w:trPr>
          <w:cantSplit/>
        </w:trPr>
        <w:tc>
          <w:tcPr>
            <w:tcW w:w="1271" w:type="dxa"/>
            <w:vAlign w:val="center"/>
          </w:tcPr>
          <w:p>
            <w:pPr>
              <w:ind w:right="5"/>
            </w:pPr>
            <w:r>
              <w:rPr>
                <w:rFonts w:ascii="宋体" w:hAnsi="宋体" w:cs="宋体" w:hint="eastAsia"/>
              </w:rPr>
              <w:t>原材料</w:t>
            </w:r>
          </w:p>
        </w:tc>
        <w:tc>
          <w:tcPr>
            <w:tcW w:w="1418" w:type="dxa"/>
            <w:vAlign w:val="center"/>
          </w:tcPr>
          <w:p>
            <w:pPr>
              <w:ind w:right="5"/>
              <w:jc w:val="right"/>
            </w:pPr>
            <w:r>
              <w:rPr>
                <w:rFonts w:ascii="宋体" w:hAnsi="宋体" w:cs="宋体" w:hint="eastAsia"/>
              </w:rPr>
              <w:t>1,548,543</w:t>
            </w:r>
          </w:p>
        </w:tc>
        <w:tc>
          <w:tcPr>
            <w:tcW w:w="1275" w:type="dxa"/>
            <w:vAlign w:val="center"/>
          </w:tcPr>
          <w:p>
            <w:pPr>
              <w:ind w:right="5"/>
              <w:jc w:val="right"/>
            </w:pPr>
            <w:r>
              <w:rPr>
                <w:rFonts w:ascii="宋体" w:hAnsi="宋体" w:cs="宋体" w:hint="eastAsia"/>
              </w:rPr>
              <w:t>17,147</w:t>
            </w:r>
          </w:p>
        </w:tc>
        <w:tc>
          <w:tcPr>
            <w:tcW w:w="1349" w:type="dxa"/>
            <w:vAlign w:val="center"/>
          </w:tcPr>
          <w:p>
            <w:pPr>
              <w:ind w:right="5"/>
              <w:jc w:val="right"/>
            </w:pPr>
            <w:r>
              <w:rPr>
                <w:rFonts w:ascii="宋体" w:hAnsi="宋体" w:cs="宋体" w:hint="eastAsia"/>
              </w:rPr>
              <w:t>1,531,396</w:t>
            </w:r>
          </w:p>
        </w:tc>
        <w:tc>
          <w:tcPr>
            <w:tcW w:w="1203" w:type="dxa"/>
            <w:vAlign w:val="center"/>
          </w:tcPr>
          <w:p>
            <w:pPr>
              <w:ind w:right="5"/>
              <w:jc w:val="right"/>
            </w:pPr>
            <w:r>
              <w:rPr>
                <w:rFonts w:ascii="宋体" w:hAnsi="宋体" w:cs="宋体" w:hint="eastAsia"/>
              </w:rPr>
              <w:t>2,140,118</w:t>
            </w:r>
          </w:p>
        </w:tc>
        <w:tc>
          <w:tcPr>
            <w:tcW w:w="1276" w:type="dxa"/>
            <w:vAlign w:val="center"/>
          </w:tcPr>
          <w:p>
            <w:pPr>
              <w:ind w:right="5"/>
              <w:jc w:val="right"/>
            </w:pPr>
            <w:r>
              <w:rPr>
                <w:rFonts w:ascii="宋体" w:hAnsi="宋体" w:cs="宋体" w:hint="eastAsia"/>
              </w:rPr>
              <w:t>10,515</w:t>
            </w:r>
          </w:p>
        </w:tc>
        <w:tc>
          <w:tcPr>
            <w:tcW w:w="1256" w:type="dxa"/>
            <w:vAlign w:val="center"/>
          </w:tcPr>
          <w:p>
            <w:pPr>
              <w:ind w:right="5"/>
              <w:jc w:val="right"/>
            </w:pPr>
            <w:r>
              <w:rPr>
                <w:rFonts w:ascii="宋体" w:hAnsi="宋体" w:cs="宋体" w:hint="eastAsia"/>
              </w:rPr>
              <w:t>2,129,603</w:t>
            </w:r>
          </w:p>
        </w:tc>
      </w:tr>
      <w:tr>
        <w:trPr>
          <w:cantSplit/>
        </w:trPr>
        <w:tc>
          <w:tcPr>
            <w:tcW w:w="1271" w:type="dxa"/>
            <w:vAlign w:val="center"/>
          </w:tcPr>
          <w:p>
            <w:pPr>
              <w:ind w:right="5"/>
            </w:pPr>
            <w:r>
              <w:rPr>
                <w:rFonts w:ascii="宋体" w:hAnsi="宋体" w:cs="宋体" w:hint="eastAsia"/>
              </w:rPr>
              <w:t>产成品</w:t>
            </w:r>
          </w:p>
        </w:tc>
        <w:tc>
          <w:tcPr>
            <w:tcW w:w="1418" w:type="dxa"/>
          </w:tcPr>
          <w:p>
            <w:pPr>
              <w:ind w:right="5"/>
              <w:jc w:val="right"/>
              <w:rPr>
                <w:rFonts w:ascii="宋体" w:hAnsi="宋体" w:cs="宋体"/>
              </w:rPr>
            </w:pPr>
            <w:r>
              <w:rPr>
                <w:rFonts w:ascii="宋体" w:hAnsi="宋体" w:cs="宋体"/>
              </w:rPr>
              <w:t>1,923,242</w:t>
            </w:r>
          </w:p>
        </w:tc>
        <w:tc>
          <w:tcPr>
            <w:tcW w:w="1275" w:type="dxa"/>
          </w:tcPr>
          <w:p>
            <w:pPr>
              <w:ind w:right="5"/>
              <w:jc w:val="right"/>
              <w:rPr>
                <w:rFonts w:ascii="宋体" w:hAnsi="宋体" w:cs="宋体"/>
              </w:rPr>
            </w:pPr>
          </w:p>
        </w:tc>
        <w:tc>
          <w:tcPr>
            <w:tcW w:w="1349" w:type="dxa"/>
          </w:tcPr>
          <w:p>
            <w:pPr>
              <w:ind w:right="5"/>
              <w:jc w:val="right"/>
              <w:rPr>
                <w:rFonts w:ascii="宋体" w:hAnsi="宋体" w:cs="宋体"/>
              </w:rPr>
            </w:pPr>
            <w:r>
              <w:rPr>
                <w:rFonts w:ascii="宋体" w:hAnsi="宋体" w:cs="宋体"/>
              </w:rPr>
              <w:t>1,923,242</w:t>
            </w:r>
          </w:p>
        </w:tc>
        <w:tc>
          <w:tcPr>
            <w:tcW w:w="1203" w:type="dxa"/>
            <w:vAlign w:val="center"/>
          </w:tcPr>
          <w:p>
            <w:pPr>
              <w:ind w:right="5"/>
              <w:jc w:val="right"/>
            </w:pPr>
            <w:r>
              <w:rPr>
                <w:rFonts w:ascii="宋体" w:hAnsi="宋体" w:cs="宋体" w:hint="eastAsia"/>
              </w:rPr>
              <w:t>1,721,437</w:t>
            </w:r>
          </w:p>
        </w:tc>
        <w:tc>
          <w:tcPr>
            <w:tcW w:w="1276" w:type="dxa"/>
            <w:vAlign w:val="center"/>
          </w:tcPr>
          <w:p>
            <w:pPr>
              <w:ind w:right="5"/>
              <w:jc w:val="right"/>
            </w:pPr>
          </w:p>
        </w:tc>
        <w:tc>
          <w:tcPr>
            <w:tcW w:w="1256" w:type="dxa"/>
            <w:vAlign w:val="center"/>
          </w:tcPr>
          <w:p>
            <w:pPr>
              <w:ind w:right="5"/>
              <w:jc w:val="right"/>
            </w:pPr>
            <w:r>
              <w:rPr>
                <w:rFonts w:ascii="宋体" w:hAnsi="宋体" w:cs="宋体" w:hint="eastAsia"/>
              </w:rPr>
              <w:t>1,721,437</w:t>
            </w:r>
          </w:p>
        </w:tc>
      </w:tr>
      <w:tr>
        <w:trPr>
          <w:cantSplit/>
        </w:trPr>
        <w:tc>
          <w:tcPr>
            <w:tcW w:w="1271" w:type="dxa"/>
            <w:vAlign w:val="center"/>
          </w:tcPr>
          <w:p>
            <w:pPr>
              <w:ind w:right="5"/>
            </w:pPr>
            <w:r>
              <w:rPr>
                <w:rFonts w:ascii="宋体" w:hAnsi="宋体" w:cs="宋体" w:hint="eastAsia"/>
              </w:rPr>
              <w:t>库存商品</w:t>
            </w:r>
          </w:p>
        </w:tc>
        <w:tc>
          <w:tcPr>
            <w:tcW w:w="1418" w:type="dxa"/>
            <w:vAlign w:val="center"/>
          </w:tcPr>
          <w:p>
            <w:pPr>
              <w:ind w:right="5"/>
              <w:jc w:val="right"/>
            </w:pPr>
            <w:r>
              <w:rPr>
                <w:rFonts w:ascii="宋体" w:hAnsi="宋体" w:cs="宋体"/>
              </w:rPr>
              <w:t>2,519,387</w:t>
            </w:r>
          </w:p>
        </w:tc>
        <w:tc>
          <w:tcPr>
            <w:tcW w:w="1275" w:type="dxa"/>
            <w:vAlign w:val="center"/>
          </w:tcPr>
          <w:p>
            <w:pPr>
              <w:ind w:right="5"/>
              <w:jc w:val="right"/>
            </w:pPr>
            <w:r>
              <w:rPr>
                <w:rFonts w:ascii="宋体" w:hAnsi="宋体" w:cs="宋体" w:hint="eastAsia"/>
              </w:rPr>
              <w:t>68,008</w:t>
            </w:r>
          </w:p>
        </w:tc>
        <w:tc>
          <w:tcPr>
            <w:tcW w:w="1349" w:type="dxa"/>
            <w:vAlign w:val="center"/>
          </w:tcPr>
          <w:p>
            <w:pPr>
              <w:ind w:right="5"/>
              <w:jc w:val="right"/>
            </w:pPr>
            <w:r>
              <w:rPr>
                <w:rFonts w:ascii="宋体" w:hAnsi="宋体" w:cs="宋体"/>
              </w:rPr>
              <w:t>2,451,379</w:t>
            </w:r>
          </w:p>
        </w:tc>
        <w:tc>
          <w:tcPr>
            <w:tcW w:w="1203" w:type="dxa"/>
            <w:vAlign w:val="center"/>
          </w:tcPr>
          <w:p>
            <w:pPr>
              <w:ind w:right="5"/>
              <w:jc w:val="right"/>
            </w:pPr>
            <w:r>
              <w:rPr>
                <w:rFonts w:ascii="宋体" w:hAnsi="宋体" w:cs="宋体" w:hint="eastAsia"/>
              </w:rPr>
              <w:t>2,168,925</w:t>
            </w:r>
          </w:p>
        </w:tc>
        <w:tc>
          <w:tcPr>
            <w:tcW w:w="1276" w:type="dxa"/>
            <w:vAlign w:val="center"/>
          </w:tcPr>
          <w:p>
            <w:pPr>
              <w:ind w:right="5"/>
              <w:jc w:val="right"/>
            </w:pPr>
            <w:r>
              <w:rPr>
                <w:rFonts w:ascii="宋体" w:hAnsi="宋体" w:cs="宋体" w:hint="eastAsia"/>
              </w:rPr>
              <w:t>47,157</w:t>
            </w:r>
          </w:p>
        </w:tc>
        <w:tc>
          <w:tcPr>
            <w:tcW w:w="1256" w:type="dxa"/>
            <w:vAlign w:val="center"/>
          </w:tcPr>
          <w:p>
            <w:pPr>
              <w:ind w:right="5"/>
              <w:jc w:val="right"/>
            </w:pPr>
            <w:r>
              <w:rPr>
                <w:rFonts w:ascii="宋体" w:hAnsi="宋体" w:cs="宋体" w:hint="eastAsia"/>
              </w:rPr>
              <w:t>2,121,768</w:t>
            </w:r>
          </w:p>
        </w:tc>
      </w:tr>
      <w:tr>
        <w:trPr>
          <w:cantSplit/>
        </w:trPr>
        <w:tc>
          <w:tcPr>
            <w:tcW w:w="1271" w:type="dxa"/>
            <w:vAlign w:val="center"/>
          </w:tcPr>
          <w:p>
            <w:pPr>
              <w:autoSpaceDE w:val="0"/>
              <w:autoSpaceDN w:val="0"/>
              <w:adjustRightInd w:val="0"/>
            </w:pPr>
            <w:r>
              <w:rPr>
                <w:rFonts w:ascii="宋体" w:hAnsi="宋体" w:cs="宋体" w:hint="eastAsia"/>
              </w:rPr>
              <w:t>低值易耗品</w:t>
            </w:r>
          </w:p>
        </w:tc>
        <w:tc>
          <w:tcPr>
            <w:tcW w:w="1418" w:type="dxa"/>
            <w:vAlign w:val="center"/>
          </w:tcPr>
          <w:p>
            <w:pPr>
              <w:jc w:val="right"/>
            </w:pPr>
            <w:r>
              <w:rPr>
                <w:rFonts w:ascii="宋体" w:hAnsi="宋体" w:cs="宋体" w:hint="eastAsia"/>
              </w:rPr>
              <w:t>952,826</w:t>
            </w:r>
          </w:p>
        </w:tc>
        <w:tc>
          <w:tcPr>
            <w:tcW w:w="1275" w:type="dxa"/>
            <w:vAlign w:val="center"/>
          </w:tcPr>
          <w:p>
            <w:pPr>
              <w:jc w:val="right"/>
            </w:pPr>
          </w:p>
        </w:tc>
        <w:tc>
          <w:tcPr>
            <w:tcW w:w="1349" w:type="dxa"/>
            <w:vAlign w:val="center"/>
          </w:tcPr>
          <w:p>
            <w:pPr>
              <w:jc w:val="right"/>
            </w:pPr>
            <w:r>
              <w:rPr>
                <w:rFonts w:ascii="宋体" w:hAnsi="宋体" w:cs="宋体" w:hint="eastAsia"/>
              </w:rPr>
              <w:t>952,826</w:t>
            </w:r>
          </w:p>
        </w:tc>
        <w:tc>
          <w:tcPr>
            <w:tcW w:w="1203" w:type="dxa"/>
            <w:vAlign w:val="center"/>
          </w:tcPr>
          <w:p>
            <w:pPr>
              <w:ind w:right="5"/>
              <w:jc w:val="right"/>
            </w:pPr>
            <w:r>
              <w:rPr>
                <w:rFonts w:ascii="宋体" w:hAnsi="宋体" w:cs="宋体" w:hint="eastAsia"/>
              </w:rPr>
              <w:t>854,067</w:t>
            </w:r>
          </w:p>
        </w:tc>
        <w:tc>
          <w:tcPr>
            <w:tcW w:w="1276" w:type="dxa"/>
            <w:vAlign w:val="center"/>
          </w:tcPr>
          <w:p>
            <w:pPr>
              <w:ind w:right="5"/>
              <w:jc w:val="right"/>
            </w:pPr>
          </w:p>
        </w:tc>
        <w:tc>
          <w:tcPr>
            <w:tcW w:w="1256" w:type="dxa"/>
            <w:vAlign w:val="center"/>
          </w:tcPr>
          <w:p>
            <w:pPr>
              <w:ind w:right="5"/>
              <w:jc w:val="right"/>
            </w:pPr>
            <w:r>
              <w:rPr>
                <w:rFonts w:ascii="宋体" w:hAnsi="宋体" w:cs="宋体" w:hint="eastAsia"/>
              </w:rPr>
              <w:t>854,067</w:t>
            </w:r>
          </w:p>
        </w:tc>
      </w:tr>
      <w:tr>
        <w:trPr>
          <w:cantSplit/>
        </w:trPr>
        <w:tc>
          <w:tcPr>
            <w:tcW w:w="1271" w:type="dxa"/>
            <w:vAlign w:val="center"/>
          </w:tcPr>
          <w:p>
            <w:pPr>
              <w:autoSpaceDE w:val="0"/>
              <w:autoSpaceDN w:val="0"/>
              <w:adjustRightInd w:val="0"/>
            </w:pPr>
            <w:r>
              <w:rPr>
                <w:rFonts w:ascii="宋体" w:hAnsi="宋体" w:cs="宋体" w:hint="eastAsia"/>
              </w:rPr>
              <w:t>在产品</w:t>
            </w:r>
          </w:p>
        </w:tc>
        <w:tc>
          <w:tcPr>
            <w:tcW w:w="1418" w:type="dxa"/>
          </w:tcPr>
          <w:p>
            <w:pPr>
              <w:ind w:right="5"/>
              <w:jc w:val="right"/>
              <w:rPr>
                <w:rFonts w:ascii="宋体" w:hAnsi="宋体" w:cs="宋体"/>
              </w:rPr>
            </w:pPr>
            <w:r>
              <w:rPr>
                <w:rFonts w:ascii="宋体" w:hAnsi="宋体" w:cs="宋体"/>
              </w:rPr>
              <w:t>391,873</w:t>
            </w:r>
          </w:p>
        </w:tc>
        <w:tc>
          <w:tcPr>
            <w:tcW w:w="1275" w:type="dxa"/>
          </w:tcPr>
          <w:p>
            <w:pPr>
              <w:ind w:right="5"/>
              <w:jc w:val="right"/>
              <w:rPr>
                <w:rFonts w:ascii="宋体" w:hAnsi="宋体" w:cs="宋体"/>
              </w:rPr>
            </w:pPr>
          </w:p>
        </w:tc>
        <w:tc>
          <w:tcPr>
            <w:tcW w:w="1349" w:type="dxa"/>
          </w:tcPr>
          <w:p>
            <w:pPr>
              <w:ind w:right="5"/>
              <w:jc w:val="right"/>
              <w:rPr>
                <w:rFonts w:ascii="宋体" w:hAnsi="宋体" w:cs="宋体"/>
              </w:rPr>
            </w:pPr>
            <w:r>
              <w:rPr>
                <w:rFonts w:ascii="宋体" w:hAnsi="宋体" w:cs="宋体"/>
              </w:rPr>
              <w:t>391,873</w:t>
            </w:r>
          </w:p>
        </w:tc>
        <w:tc>
          <w:tcPr>
            <w:tcW w:w="1203" w:type="dxa"/>
            <w:vAlign w:val="center"/>
          </w:tcPr>
          <w:p>
            <w:pPr>
              <w:ind w:right="5"/>
              <w:jc w:val="right"/>
            </w:pPr>
            <w:r>
              <w:rPr>
                <w:rFonts w:ascii="宋体" w:hAnsi="宋体" w:cs="宋体" w:hint="eastAsia"/>
              </w:rPr>
              <w:t>667,699</w:t>
            </w:r>
          </w:p>
        </w:tc>
        <w:tc>
          <w:tcPr>
            <w:tcW w:w="1276" w:type="dxa"/>
            <w:vAlign w:val="center"/>
          </w:tcPr>
          <w:p>
            <w:pPr>
              <w:ind w:right="5"/>
              <w:jc w:val="right"/>
            </w:pPr>
          </w:p>
        </w:tc>
        <w:tc>
          <w:tcPr>
            <w:tcW w:w="1256" w:type="dxa"/>
            <w:vAlign w:val="center"/>
          </w:tcPr>
          <w:p>
            <w:pPr>
              <w:ind w:right="5"/>
              <w:jc w:val="right"/>
            </w:pPr>
            <w:r>
              <w:rPr>
                <w:rFonts w:ascii="宋体" w:hAnsi="宋体" w:cs="宋体" w:hint="eastAsia"/>
              </w:rPr>
              <w:t>667,699</w:t>
            </w:r>
          </w:p>
        </w:tc>
      </w:tr>
      <w:tr>
        <w:trPr>
          <w:cantSplit/>
        </w:trPr>
        <w:tc>
          <w:tcPr>
            <w:tcW w:w="1271" w:type="dxa"/>
            <w:vAlign w:val="center"/>
          </w:tcPr>
          <w:p>
            <w:pPr>
              <w:autoSpaceDE w:val="0"/>
              <w:autoSpaceDN w:val="0"/>
              <w:adjustRightInd w:val="0"/>
            </w:pPr>
            <w:r>
              <w:rPr>
                <w:rFonts w:ascii="宋体" w:hAnsi="宋体" w:cs="宋体" w:hint="eastAsia"/>
              </w:rPr>
              <w:t>工程存货</w:t>
            </w:r>
          </w:p>
        </w:tc>
        <w:tc>
          <w:tcPr>
            <w:tcW w:w="1418" w:type="dxa"/>
            <w:vAlign w:val="center"/>
          </w:tcPr>
          <w:p>
            <w:pPr>
              <w:ind w:right="5"/>
              <w:jc w:val="right"/>
            </w:pPr>
            <w:r>
              <w:rPr>
                <w:rFonts w:ascii="宋体" w:hAnsi="宋体" w:cs="宋体" w:hint="eastAsia"/>
              </w:rPr>
              <w:t>84,088</w:t>
            </w:r>
          </w:p>
        </w:tc>
        <w:tc>
          <w:tcPr>
            <w:tcW w:w="1275" w:type="dxa"/>
            <w:vAlign w:val="center"/>
          </w:tcPr>
          <w:p>
            <w:pPr>
              <w:ind w:right="5"/>
              <w:jc w:val="right"/>
            </w:pPr>
            <w:r>
              <w:rPr>
                <w:rFonts w:ascii="宋体" w:hAnsi="宋体" w:cs="宋体" w:hint="eastAsia"/>
              </w:rPr>
              <w:t>62,069</w:t>
            </w:r>
          </w:p>
        </w:tc>
        <w:tc>
          <w:tcPr>
            <w:tcW w:w="1349" w:type="dxa"/>
            <w:vAlign w:val="center"/>
          </w:tcPr>
          <w:p>
            <w:pPr>
              <w:ind w:right="5"/>
              <w:jc w:val="right"/>
            </w:pPr>
            <w:r>
              <w:rPr>
                <w:rFonts w:ascii="宋体" w:hAnsi="宋体" w:cs="宋体" w:hint="eastAsia"/>
              </w:rPr>
              <w:t>22,019</w:t>
            </w:r>
          </w:p>
        </w:tc>
        <w:tc>
          <w:tcPr>
            <w:tcW w:w="1203" w:type="dxa"/>
            <w:vAlign w:val="center"/>
          </w:tcPr>
          <w:p>
            <w:pPr>
              <w:ind w:right="5"/>
              <w:jc w:val="right"/>
            </w:pPr>
            <w:r>
              <w:rPr>
                <w:rFonts w:ascii="宋体" w:hAnsi="宋体" w:cs="宋体" w:hint="eastAsia"/>
              </w:rPr>
              <w:t>97,850</w:t>
            </w:r>
          </w:p>
        </w:tc>
        <w:tc>
          <w:tcPr>
            <w:tcW w:w="1276" w:type="dxa"/>
            <w:vAlign w:val="center"/>
          </w:tcPr>
          <w:p>
            <w:pPr>
              <w:ind w:right="5"/>
              <w:jc w:val="right"/>
            </w:pPr>
            <w:r>
              <w:rPr>
                <w:rFonts w:ascii="宋体" w:hAnsi="宋体" w:cs="宋体" w:hint="eastAsia"/>
              </w:rPr>
              <w:t>62,069</w:t>
            </w:r>
          </w:p>
        </w:tc>
        <w:tc>
          <w:tcPr>
            <w:tcW w:w="1256" w:type="dxa"/>
            <w:vAlign w:val="center"/>
          </w:tcPr>
          <w:p>
            <w:pPr>
              <w:ind w:right="5"/>
              <w:jc w:val="right"/>
            </w:pPr>
            <w:r>
              <w:rPr>
                <w:rFonts w:ascii="宋体" w:hAnsi="宋体" w:cs="宋体" w:hint="eastAsia"/>
              </w:rPr>
              <w:t>35,781</w:t>
            </w:r>
          </w:p>
        </w:tc>
      </w:tr>
      <w:tr>
        <w:trPr>
          <w:cantSplit/>
        </w:trPr>
        <w:tc>
          <w:tcPr>
            <w:tcW w:w="1271" w:type="dxa"/>
            <w:vAlign w:val="center"/>
          </w:tcPr>
          <w:p>
            <w:pPr>
              <w:ind w:right="5"/>
            </w:pPr>
            <w:r>
              <w:rPr>
                <w:rFonts w:ascii="宋体" w:hAnsi="宋体" w:cs="宋体" w:hint="eastAsia"/>
              </w:rPr>
              <w:t>房地产开发成本</w:t>
            </w:r>
          </w:p>
        </w:tc>
        <w:tc>
          <w:tcPr>
            <w:tcW w:w="1418" w:type="dxa"/>
            <w:vAlign w:val="center"/>
          </w:tcPr>
          <w:p>
            <w:pPr>
              <w:ind w:right="5"/>
              <w:jc w:val="right"/>
            </w:pPr>
            <w:r>
              <w:rPr>
                <w:rFonts w:ascii="宋体" w:hAnsi="宋体" w:cs="宋体" w:hint="eastAsia"/>
              </w:rPr>
              <w:t>16,844</w:t>
            </w:r>
          </w:p>
        </w:tc>
        <w:tc>
          <w:tcPr>
            <w:tcW w:w="1275" w:type="dxa"/>
            <w:vAlign w:val="center"/>
          </w:tcPr>
          <w:p>
            <w:pPr>
              <w:ind w:right="5"/>
              <w:jc w:val="right"/>
            </w:pPr>
            <w:r>
              <w:rPr>
                <w:rFonts w:ascii="宋体" w:hAnsi="宋体" w:cs="宋体" w:hint="eastAsia"/>
              </w:rPr>
              <w:t>3,127</w:t>
            </w:r>
          </w:p>
        </w:tc>
        <w:tc>
          <w:tcPr>
            <w:tcW w:w="1349" w:type="dxa"/>
            <w:vAlign w:val="center"/>
          </w:tcPr>
          <w:p>
            <w:pPr>
              <w:ind w:right="5"/>
              <w:jc w:val="right"/>
            </w:pPr>
            <w:r>
              <w:rPr>
                <w:rFonts w:ascii="宋体" w:hAnsi="宋体" w:cs="宋体" w:hint="eastAsia"/>
              </w:rPr>
              <w:t>13,717</w:t>
            </w:r>
          </w:p>
        </w:tc>
        <w:tc>
          <w:tcPr>
            <w:tcW w:w="1203" w:type="dxa"/>
            <w:vAlign w:val="center"/>
          </w:tcPr>
          <w:p>
            <w:pPr>
              <w:ind w:right="5"/>
              <w:jc w:val="right"/>
            </w:pPr>
            <w:r>
              <w:rPr>
                <w:rFonts w:ascii="宋体" w:hAnsi="宋体" w:cs="宋体" w:hint="eastAsia"/>
              </w:rPr>
              <w:t>16,844</w:t>
            </w:r>
          </w:p>
        </w:tc>
        <w:tc>
          <w:tcPr>
            <w:tcW w:w="1276" w:type="dxa"/>
            <w:vAlign w:val="center"/>
          </w:tcPr>
          <w:p>
            <w:pPr>
              <w:ind w:right="5"/>
              <w:jc w:val="right"/>
            </w:pPr>
            <w:r>
              <w:rPr>
                <w:rFonts w:ascii="宋体" w:hAnsi="宋体" w:cs="宋体" w:hint="eastAsia"/>
              </w:rPr>
              <w:t>3,012</w:t>
            </w:r>
          </w:p>
        </w:tc>
        <w:tc>
          <w:tcPr>
            <w:tcW w:w="1256" w:type="dxa"/>
            <w:vAlign w:val="center"/>
          </w:tcPr>
          <w:p>
            <w:pPr>
              <w:ind w:right="5"/>
              <w:jc w:val="right"/>
            </w:pPr>
            <w:r>
              <w:rPr>
                <w:rFonts w:ascii="宋体" w:hAnsi="宋体" w:cs="宋体" w:hint="eastAsia"/>
              </w:rPr>
              <w:t>13,832</w:t>
            </w:r>
          </w:p>
        </w:tc>
      </w:tr>
      <w:tr>
        <w:trPr>
          <w:cantSplit/>
        </w:trPr>
        <w:tc>
          <w:tcPr>
            <w:tcW w:w="1271" w:type="dxa"/>
            <w:vAlign w:val="center"/>
          </w:tcPr>
          <w:p>
            <w:pPr>
              <w:ind w:right="5"/>
            </w:pPr>
            <w:r>
              <w:rPr>
                <w:rFonts w:ascii="宋体" w:hAnsi="宋体" w:cs="宋体" w:hint="eastAsia"/>
              </w:rPr>
              <w:t>合同履约成本</w:t>
            </w:r>
          </w:p>
        </w:tc>
        <w:tc>
          <w:tcPr>
            <w:tcW w:w="1418" w:type="dxa"/>
            <w:vAlign w:val="center"/>
          </w:tcPr>
          <w:p>
            <w:pPr>
              <w:ind w:right="5"/>
              <w:jc w:val="right"/>
            </w:pPr>
            <w:r>
              <w:rPr>
                <w:rFonts w:ascii="宋体" w:hAnsi="宋体" w:cs="宋体" w:hint="eastAsia"/>
              </w:rPr>
              <w:t>4,000</w:t>
            </w:r>
          </w:p>
        </w:tc>
        <w:tc>
          <w:tcPr>
            <w:tcW w:w="1275" w:type="dxa"/>
            <w:vAlign w:val="center"/>
          </w:tcPr>
          <w:p>
            <w:pPr>
              <w:ind w:right="5"/>
              <w:jc w:val="right"/>
            </w:pPr>
          </w:p>
        </w:tc>
        <w:tc>
          <w:tcPr>
            <w:tcW w:w="1349" w:type="dxa"/>
            <w:vAlign w:val="center"/>
          </w:tcPr>
          <w:p>
            <w:pPr>
              <w:ind w:right="5"/>
              <w:jc w:val="right"/>
            </w:pPr>
            <w:r>
              <w:rPr>
                <w:rFonts w:ascii="宋体" w:hAnsi="宋体" w:cs="宋体" w:hint="eastAsia"/>
              </w:rPr>
              <w:t>4,000</w:t>
            </w:r>
          </w:p>
        </w:tc>
        <w:tc>
          <w:tcPr>
            <w:tcW w:w="1203" w:type="dxa"/>
            <w:vAlign w:val="center"/>
          </w:tcPr>
          <w:p>
            <w:pPr>
              <w:ind w:right="5"/>
              <w:jc w:val="right"/>
            </w:pPr>
            <w:r>
              <w:rPr>
                <w:rFonts w:ascii="宋体" w:hAnsi="宋体" w:cs="宋体" w:hint="eastAsia"/>
              </w:rPr>
              <w:t>169,621</w:t>
            </w:r>
          </w:p>
        </w:tc>
        <w:tc>
          <w:tcPr>
            <w:tcW w:w="1276" w:type="dxa"/>
            <w:vAlign w:val="center"/>
          </w:tcPr>
          <w:p>
            <w:pPr>
              <w:ind w:right="5"/>
              <w:jc w:val="right"/>
            </w:pPr>
          </w:p>
        </w:tc>
        <w:tc>
          <w:tcPr>
            <w:tcW w:w="1256" w:type="dxa"/>
            <w:vAlign w:val="center"/>
          </w:tcPr>
          <w:p>
            <w:pPr>
              <w:ind w:right="5"/>
              <w:jc w:val="right"/>
            </w:pPr>
            <w:r>
              <w:rPr>
                <w:rFonts w:ascii="宋体" w:hAnsi="宋体" w:cs="宋体" w:hint="eastAsia"/>
              </w:rPr>
              <w:t>169,621</w:t>
            </w:r>
          </w:p>
        </w:tc>
      </w:tr>
      <w:tr>
        <w:trPr>
          <w:cantSplit/>
        </w:trPr>
        <w:tc>
          <w:tcPr>
            <w:tcW w:w="1271" w:type="dxa"/>
            <w:vAlign w:val="center"/>
          </w:tcPr>
          <w:p>
            <w:pPr>
              <w:ind w:right="5"/>
            </w:pPr>
            <w:r>
              <w:rPr>
                <w:rFonts w:ascii="宋体" w:hAnsi="宋体" w:cs="宋体" w:hint="eastAsia"/>
              </w:rPr>
              <w:t>其他</w:t>
            </w:r>
          </w:p>
        </w:tc>
        <w:tc>
          <w:tcPr>
            <w:tcW w:w="1418" w:type="dxa"/>
            <w:vAlign w:val="center"/>
          </w:tcPr>
          <w:p>
            <w:pPr>
              <w:ind w:right="5"/>
              <w:jc w:val="right"/>
            </w:pPr>
            <w:r>
              <w:rPr>
                <w:rFonts w:ascii="宋体" w:hAnsi="宋体" w:cs="宋体"/>
              </w:rPr>
              <w:t>310,958</w:t>
            </w:r>
          </w:p>
        </w:tc>
        <w:tc>
          <w:tcPr>
            <w:tcW w:w="1275" w:type="dxa"/>
            <w:vAlign w:val="center"/>
          </w:tcPr>
          <w:p>
            <w:pPr>
              <w:ind w:right="5"/>
              <w:jc w:val="right"/>
            </w:pPr>
            <w:r>
              <w:rPr>
                <w:rFonts w:ascii="宋体" w:hAnsi="宋体" w:cs="宋体" w:hint="eastAsia"/>
              </w:rPr>
              <w:t>36,792</w:t>
            </w:r>
          </w:p>
        </w:tc>
        <w:tc>
          <w:tcPr>
            <w:tcW w:w="1349" w:type="dxa"/>
            <w:vAlign w:val="center"/>
          </w:tcPr>
          <w:p>
            <w:pPr>
              <w:ind w:right="5"/>
              <w:jc w:val="right"/>
            </w:pPr>
            <w:r>
              <w:rPr>
                <w:rFonts w:ascii="宋体" w:hAnsi="宋体" w:cs="宋体"/>
              </w:rPr>
              <w:t>274,166</w:t>
            </w:r>
          </w:p>
        </w:tc>
        <w:tc>
          <w:tcPr>
            <w:tcW w:w="1203" w:type="dxa"/>
            <w:vAlign w:val="center"/>
          </w:tcPr>
          <w:p>
            <w:pPr>
              <w:ind w:right="5"/>
              <w:jc w:val="right"/>
            </w:pPr>
            <w:r>
              <w:rPr>
                <w:rFonts w:ascii="宋体" w:hAnsi="宋体" w:cs="宋体" w:hint="eastAsia"/>
              </w:rPr>
              <w:t>154,727</w:t>
            </w:r>
          </w:p>
        </w:tc>
        <w:tc>
          <w:tcPr>
            <w:tcW w:w="1276" w:type="dxa"/>
            <w:vAlign w:val="center"/>
          </w:tcPr>
          <w:p>
            <w:pPr>
              <w:ind w:right="5"/>
              <w:jc w:val="right"/>
            </w:pPr>
          </w:p>
        </w:tc>
        <w:tc>
          <w:tcPr>
            <w:tcW w:w="1256" w:type="dxa"/>
            <w:vAlign w:val="center"/>
          </w:tcPr>
          <w:p>
            <w:pPr>
              <w:ind w:right="5"/>
              <w:jc w:val="right"/>
            </w:pPr>
            <w:r>
              <w:rPr>
                <w:rFonts w:ascii="宋体" w:hAnsi="宋体" w:cs="宋体" w:hint="eastAsia"/>
              </w:rPr>
              <w:t>154,727</w:t>
            </w:r>
          </w:p>
        </w:tc>
      </w:tr>
      <w:tr>
        <w:trPr>
          <w:cantSplit/>
        </w:trPr>
        <w:tc>
          <w:tcPr>
            <w:tcW w:w="1271" w:type="dxa"/>
            <w:vAlign w:val="center"/>
          </w:tcPr>
          <w:p>
            <w:pPr>
              <w:ind w:right="5"/>
              <w:jc w:val="center"/>
            </w:pPr>
            <w:r>
              <w:rPr>
                <w:rFonts w:hint="eastAsia"/>
              </w:rPr>
              <w:t>合计</w:t>
            </w:r>
          </w:p>
        </w:tc>
        <w:tc>
          <w:tcPr>
            <w:tcW w:w="1418" w:type="dxa"/>
            <w:vAlign w:val="center"/>
          </w:tcPr>
          <w:p>
            <w:pPr>
              <w:ind w:right="5"/>
              <w:jc w:val="right"/>
            </w:pPr>
            <w:r>
              <w:rPr>
                <w:rFonts w:ascii="宋体" w:hAnsi="宋体" w:cs="宋体" w:hint="eastAsia"/>
              </w:rPr>
              <w:t>7,751,761</w:t>
            </w:r>
          </w:p>
        </w:tc>
        <w:tc>
          <w:tcPr>
            <w:tcW w:w="1275" w:type="dxa"/>
            <w:vAlign w:val="center"/>
          </w:tcPr>
          <w:p>
            <w:pPr>
              <w:ind w:right="5"/>
              <w:jc w:val="right"/>
            </w:pPr>
            <w:r>
              <w:rPr>
                <w:rFonts w:ascii="宋体" w:hAnsi="宋体" w:cs="宋体" w:hint="eastAsia"/>
              </w:rPr>
              <w:t>187,143</w:t>
            </w:r>
          </w:p>
        </w:tc>
        <w:tc>
          <w:tcPr>
            <w:tcW w:w="1349" w:type="dxa"/>
            <w:vAlign w:val="center"/>
          </w:tcPr>
          <w:p>
            <w:pPr>
              <w:ind w:right="5"/>
              <w:jc w:val="right"/>
            </w:pPr>
            <w:r>
              <w:rPr>
                <w:rFonts w:ascii="宋体" w:hAnsi="宋体" w:cs="宋体" w:hint="eastAsia"/>
              </w:rPr>
              <w:t>7,564,618</w:t>
            </w:r>
          </w:p>
        </w:tc>
        <w:tc>
          <w:tcPr>
            <w:tcW w:w="1203" w:type="dxa"/>
            <w:vAlign w:val="center"/>
          </w:tcPr>
          <w:p>
            <w:pPr>
              <w:ind w:right="5"/>
              <w:jc w:val="right"/>
            </w:pPr>
            <w:r>
              <w:rPr>
                <w:rFonts w:ascii="宋体" w:hAnsi="宋体" w:cs="宋体" w:hint="eastAsia"/>
              </w:rPr>
              <w:t>7,991,288</w:t>
            </w:r>
          </w:p>
        </w:tc>
        <w:tc>
          <w:tcPr>
            <w:tcW w:w="1276" w:type="dxa"/>
            <w:vAlign w:val="center"/>
          </w:tcPr>
          <w:p>
            <w:pPr>
              <w:ind w:right="5"/>
              <w:jc w:val="right"/>
            </w:pPr>
            <w:r>
              <w:rPr>
                <w:rFonts w:ascii="宋体" w:hAnsi="宋体" w:cs="宋体" w:hint="eastAsia"/>
              </w:rPr>
              <w:t>122,753</w:t>
            </w:r>
          </w:p>
        </w:tc>
        <w:tc>
          <w:tcPr>
            <w:tcW w:w="1256" w:type="dxa"/>
            <w:vAlign w:val="center"/>
          </w:tcPr>
          <w:p>
            <w:pPr>
              <w:ind w:right="5"/>
              <w:jc w:val="right"/>
            </w:pPr>
            <w:r>
              <w:rPr>
                <w:rFonts w:ascii="宋体" w:hAnsi="宋体" w:cs="宋体" w:hint="eastAsia"/>
              </w:rPr>
              <w:t>7,868,535</w:t>
            </w:r>
          </w:p>
        </w:tc>
      </w:tr>
    </w:tbl>
    <w:p>
      <w:pPr>
        <w:pStyle w:val="Style217"/>
      </w:pPr>
    </w:p>
    <w:p>
      <w:pPr>
        <w:pStyle w:val="Style179"/>
        <w:numPr>
          <w:ilvl w:val="3"/>
          <w:numId w:val="82"/>
        </w:numPr>
        <w:ind w:left="426" w:hanging="426"/>
      </w:pPr>
      <w:bookmarkStart w:id="424" w:name="_Hlk182484983"/>
      <w:bookmarkEnd w:id="422"/>
      <w:bookmarkEnd w:id="423"/>
      <w:r>
        <w:rPr>
          <w:rFonts w:hint="eastAsia"/>
        </w:rPr>
        <w:t>确认为存货的数据资源</w:t>
      </w:r>
    </w:p>
    <w:sdt>
      <w:sdtPr>
        <w:rPr>
          <w:rFonts w:hint="eastAsia"/>
          <w:color w:val="000000" w:themeColor="text1"/>
        </w:rPr>
        <w:alias w:val="是否适用：确认为存货的数据资源[双击切换]"/>
        <w:tag w:val="_GBC_a7d9b8c6ebca4003bf262295877405d7"/>
        <w:id w:val="975571309"/>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p>
    <w:p>
      <w:pPr>
        <w:pStyle w:val="Style179"/>
        <w:numPr>
          <w:ilvl w:val="3"/>
          <w:numId w:val="82"/>
        </w:numPr>
        <w:ind w:left="426" w:hanging="426"/>
      </w:pPr>
      <w:r>
        <w:rPr>
          <w:rFonts w:hint="eastAsia"/>
        </w:rPr>
        <w:t>存货跌价准备及合同履约成本减值准备</w:t>
      </w:r>
    </w:p>
    <w:bookmarkEnd w:id="424" w:displacedByCustomXml="next"/>
    <w:bookmarkStart w:id="425" w:name="_Hlk533079150" w:displacedByCustomXml="next"/>
    <w:sdt>
      <w:sdtPr>
        <w:alias w:val="是否适用：存货跌价准备[双击切换]"/>
        <w:tag w:val="_GBC_c61866b530ae491eb21bee1edd36619e"/>
        <w:id w:val="-350883639"/>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存货跌价准备"/>
          <w:tag w:val="_GBC_2d3e3a5e2ff44ef3bbef756054f246f3"/>
          <w:id w:val="-11468913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存货跌价准备"/>
          <w:tag w:val="_GBC_c51bd05fe51f4b609e7e1904eb064d34"/>
          <w:id w:val="20959713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1018"/>
        <w:gridCol w:w="1033"/>
        <w:gridCol w:w="1034"/>
        <w:gridCol w:w="1044"/>
        <w:gridCol w:w="1036"/>
        <w:gridCol w:w="1111"/>
        <w:gridCol w:w="1026"/>
      </w:tblGrid>
      <w:tr>
        <w:trPr>
          <w:trHeight w:val="238"/>
        </w:trPr>
        <w:bookmarkEnd w:id="425" w:displacedByCustomXml="next"/>
        <w:sdt>
          <w:sdtPr>
            <w:tag w:val="_PLD_4ac7cc4fa4994c1db43ed3b367defc13"/>
            <w:id w:val="-939907727"/>
          </w:sdtPr>
          <w:sdtContent>
            <w:tc>
              <w:tcPr>
                <w:tcW w:w="1744" w:type="dxa"/>
                <w:vMerge w:val="restart"/>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7a2e758257864908b13bf89a561f9b5a"/>
            <w:id w:val="-1519451257"/>
          </w:sdtPr>
          <w:sdtContent>
            <w:tc>
              <w:tcPr>
                <w:tcW w:w="1018" w:type="dxa"/>
                <w:vMerge w:val="restart"/>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期初余额</w:t>
                </w:r>
              </w:p>
            </w:tc>
          </w:sdtContent>
        </w:sdt>
        <w:sdt>
          <w:sdtPr>
            <w:tag w:val="_PLD_d95d27d30a6440b5ba0d3798473f422e"/>
            <w:id w:val="-1516609706"/>
          </w:sdtPr>
          <w:sdtContent>
            <w:tc>
              <w:tcPr>
                <w:tcW w:w="2067" w:type="dxa"/>
                <w:gridSpan w:val="2"/>
                <w:tcBorders>
                  <w:top w:val="single" w:sz="4" w:space="0" w:color="auto"/>
                  <w:left w:val="single" w:sz="4" w:space="0" w:color="auto"/>
                  <w:right w:val="single" w:sz="4" w:space="0" w:color="auto"/>
                </w:tcBorders>
                <w:vAlign w:val="center"/>
              </w:tcPr>
              <w:p>
                <w:pPr>
                  <w:jc w:val="center"/>
                </w:pPr>
                <w:r>
                  <w:rPr>
                    <w:rFonts w:hint="eastAsia"/>
                  </w:rPr>
                  <w:t>本期增加金额</w:t>
                </w:r>
              </w:p>
            </w:tc>
          </w:sdtContent>
        </w:sdt>
        <w:sdt>
          <w:sdtPr>
            <w:tag w:val="_PLD_cb7d37811bf944e4a7bb31b4366efaeb"/>
            <w:id w:val="-1277867733"/>
          </w:sdtPr>
          <w:sdtContent>
            <w:tc>
              <w:tcPr>
                <w:tcW w:w="2080" w:type="dxa"/>
                <w:gridSpan w:val="2"/>
                <w:tcBorders>
                  <w:top w:val="single" w:sz="4" w:space="0" w:color="auto"/>
                  <w:left w:val="single" w:sz="4" w:space="0" w:color="auto"/>
                  <w:right w:val="single" w:sz="4" w:space="0" w:color="auto"/>
                </w:tcBorders>
                <w:vAlign w:val="center"/>
              </w:tcPr>
              <w:p>
                <w:pPr>
                  <w:jc w:val="center"/>
                </w:pPr>
                <w:r>
                  <w:rPr>
                    <w:rFonts w:hint="eastAsia"/>
                  </w:rPr>
                  <w:t>本期减少金额</w:t>
                </w:r>
              </w:p>
            </w:tc>
          </w:sdtContent>
        </w:sdt>
        <w:tc>
          <w:tcPr>
            <w:tcW w:w="1111" w:type="dxa"/>
            <w:vMerge w:val="restart"/>
            <w:tcBorders>
              <w:top w:val="single" w:sz="4" w:space="0" w:color="auto"/>
              <w:left w:val="single" w:sz="4" w:space="0" w:color="auto"/>
              <w:right w:val="single" w:sz="4" w:space="0" w:color="auto"/>
            </w:tcBorders>
            <w:vAlign w:val="center"/>
          </w:tcPr>
          <w:p>
            <w:pPr>
              <w:jc w:val="center"/>
            </w:pPr>
            <w:r>
              <w:rPr>
                <w:rFonts w:ascii="宋体" w:hAnsi="宋体" w:cs="宋体" w:hint="eastAsia"/>
                <w:color w:val="000000"/>
                <w:sz w:val="18"/>
                <w:szCs w:val="18"/>
              </w:rPr>
              <w:t>外币报表折算</w:t>
            </w:r>
          </w:p>
        </w:tc>
        <w:sdt>
          <w:sdtPr>
            <w:tag w:val="_PLD_b2523ee7f028451790c9f2ef6e216a59"/>
            <w:id w:val="1294322031"/>
          </w:sdtPr>
          <w:sdtContent>
            <w:tc>
              <w:tcPr>
                <w:tcW w:w="1026" w:type="dxa"/>
                <w:vMerge w:val="restart"/>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期末余额</w:t>
                </w:r>
              </w:p>
            </w:tc>
          </w:sdtContent>
        </w:sdt>
      </w:tr>
      <w:tr>
        <w:trPr>
          <w:trHeight w:val="301"/>
        </w:trPr>
        <w:tc>
          <w:tcPr>
            <w:tcW w:w="1744" w:type="dxa"/>
            <w:vMerge/>
            <w:tcBorders>
              <w:top w:val="single" w:sz="4" w:space="0" w:color="auto"/>
              <w:left w:val="single" w:sz="4" w:space="0" w:color="auto"/>
              <w:bottom w:val="single" w:sz="4" w:space="0" w:color="auto"/>
              <w:right w:val="single" w:sz="4" w:space="0" w:color="auto"/>
            </w:tcBorders>
            <w:vAlign w:val="center"/>
          </w:tcPr>
          <w:p>
            <w:pPr>
              <w:jc w:val="center"/>
            </w:pPr>
          </w:p>
        </w:tc>
        <w:tc>
          <w:tcPr>
            <w:tcW w:w="1018" w:type="dxa"/>
            <w:vMerge/>
            <w:tcBorders>
              <w:top w:val="single" w:sz="4" w:space="0" w:color="auto"/>
              <w:left w:val="single" w:sz="4" w:space="0" w:color="auto"/>
              <w:bottom w:val="single" w:sz="4" w:space="0" w:color="auto"/>
              <w:right w:val="single" w:sz="4" w:space="0" w:color="auto"/>
            </w:tcBorders>
            <w:vAlign w:val="center"/>
          </w:tcPr>
          <w:p>
            <w:pPr>
              <w:jc w:val="center"/>
            </w:pPr>
          </w:p>
        </w:tc>
        <w:sdt>
          <w:sdtPr>
            <w:tag w:val="_PLD_16a8dea59b924b23a28ea45988190955"/>
            <w:id w:val="-68730678"/>
          </w:sdtPr>
          <w:sdtContent>
            <w:tc>
              <w:tcPr>
                <w:tcW w:w="1033" w:type="dxa"/>
                <w:tcBorders>
                  <w:left w:val="single" w:sz="4" w:space="0" w:color="auto"/>
                  <w:bottom w:val="single" w:sz="4" w:space="0" w:color="auto"/>
                  <w:right w:val="single" w:sz="4" w:space="0" w:color="auto"/>
                </w:tcBorders>
                <w:vAlign w:val="center"/>
              </w:tcPr>
              <w:p>
                <w:pPr>
                  <w:jc w:val="center"/>
                </w:pPr>
                <w:r>
                  <w:rPr>
                    <w:rFonts w:hint="eastAsia"/>
                  </w:rPr>
                  <w:t>计提</w:t>
                </w:r>
              </w:p>
            </w:tc>
          </w:sdtContent>
        </w:sdt>
        <w:sdt>
          <w:sdtPr>
            <w:tag w:val="_PLD_621a418b64e54315a5981611a5504791"/>
            <w:id w:val="-678967399"/>
          </w:sdtPr>
          <w:sdtContent>
            <w:tc>
              <w:tcPr>
                <w:tcW w:w="1034" w:type="dxa"/>
                <w:tcBorders>
                  <w:left w:val="single" w:sz="4" w:space="0" w:color="auto"/>
                  <w:bottom w:val="single" w:sz="4" w:space="0" w:color="auto"/>
                  <w:right w:val="single" w:sz="4" w:space="0" w:color="auto"/>
                </w:tcBorders>
                <w:vAlign w:val="center"/>
              </w:tcPr>
              <w:p>
                <w:pPr>
                  <w:jc w:val="center"/>
                </w:pPr>
                <w:r>
                  <w:rPr>
                    <w:rFonts w:hint="eastAsia"/>
                  </w:rPr>
                  <w:t>其他</w:t>
                </w:r>
              </w:p>
            </w:tc>
          </w:sdtContent>
        </w:sdt>
        <w:sdt>
          <w:sdtPr>
            <w:tag w:val="_PLD_1928b16982a747c59a563fa4d086d9fc"/>
            <w:id w:val="-1388724040"/>
          </w:sdtPr>
          <w:sdtContent>
            <w:tc>
              <w:tcPr>
                <w:tcW w:w="104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转回或转销</w:t>
                </w:r>
              </w:p>
            </w:tc>
          </w:sdtContent>
        </w:sdt>
        <w:sdt>
          <w:sdtPr>
            <w:tag w:val="_PLD_1472e7afb261461b8468e1969b080fd5"/>
            <w:id w:val="-1167238282"/>
          </w:sdtPr>
          <w:sdtContent>
            <w:tc>
              <w:tcPr>
                <w:tcW w:w="103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其他</w:t>
                </w:r>
              </w:p>
            </w:tc>
          </w:sdtContent>
        </w:sdt>
        <w:tc>
          <w:tcPr>
            <w:tcW w:w="1111" w:type="dxa"/>
            <w:vMerge/>
            <w:tcBorders>
              <w:left w:val="single" w:sz="4" w:space="0" w:color="auto"/>
              <w:bottom w:val="single" w:sz="4" w:space="0" w:color="auto"/>
              <w:right w:val="single" w:sz="4" w:space="0" w:color="auto"/>
            </w:tcBorders>
            <w:vAlign w:val="center"/>
          </w:tcPr>
          <w:p>
            <w:pPr>
              <w:jc w:val="center"/>
            </w:pPr>
          </w:p>
        </w:tc>
        <w:tc>
          <w:tcPr>
            <w:tcW w:w="1026" w:type="dxa"/>
            <w:vMerge/>
            <w:tcBorders>
              <w:top w:val="single" w:sz="4" w:space="0" w:color="auto"/>
              <w:left w:val="single" w:sz="4" w:space="0" w:color="auto"/>
              <w:bottom w:val="single" w:sz="4" w:space="0" w:color="auto"/>
              <w:right w:val="single" w:sz="4" w:space="0" w:color="auto"/>
            </w:tcBorders>
            <w:vAlign w:val="center"/>
          </w:tcPr>
          <w:p>
            <w:pPr>
              <w:jc w:val="center"/>
            </w:pPr>
          </w:p>
        </w:tc>
      </w:tr>
      <w:tr>
        <w:trPr>
          <w:trHeight w:val="20"/>
        </w:trPr>
        <w:tc>
          <w:tcPr>
            <w:tcW w:w="1744"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原材料</w:t>
            </w:r>
          </w:p>
        </w:tc>
        <w:tc>
          <w:tcPr>
            <w:tcW w:w="1018" w:type="dxa"/>
            <w:tcBorders>
              <w:top w:val="single" w:sz="4" w:space="0" w:color="auto"/>
              <w:left w:val="single" w:sz="4" w:space="0" w:color="auto"/>
              <w:bottom w:val="single" w:sz="4" w:space="0" w:color="auto"/>
              <w:right w:val="single" w:sz="4" w:space="0" w:color="auto"/>
            </w:tcBorders>
            <w:vAlign w:val="center"/>
          </w:tcPr>
          <w:p>
            <w:pPr>
              <w:ind w:right="5"/>
              <w:jc w:val="right"/>
            </w:pPr>
            <w:r>
              <w:rPr>
                <w:rFonts w:ascii="宋体" w:hAnsi="宋体" w:cs="宋体" w:hint="eastAsia"/>
              </w:rPr>
              <w:t>10,515</w:t>
            </w:r>
          </w:p>
        </w:tc>
        <w:tc>
          <w:tcPr>
            <w:tcW w:w="103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1,683</w:t>
            </w:r>
          </w:p>
        </w:tc>
        <w:tc>
          <w:tcPr>
            <w:tcW w:w="1034" w:type="dxa"/>
            <w:tcBorders>
              <w:top w:val="single" w:sz="4" w:space="0" w:color="auto"/>
              <w:left w:val="single" w:sz="4" w:space="0" w:color="auto"/>
              <w:bottom w:val="single" w:sz="4" w:space="0" w:color="auto"/>
              <w:right w:val="single" w:sz="4" w:space="0" w:color="auto"/>
            </w:tcBorders>
            <w:vAlign w:val="center"/>
          </w:tcPr>
          <w:p>
            <w:pPr>
              <w:jc w:val="right"/>
            </w:pPr>
          </w:p>
        </w:tc>
        <w:tc>
          <w:tcPr>
            <w:tcW w:w="1044" w:type="dxa"/>
            <w:tcBorders>
              <w:top w:val="single" w:sz="4" w:space="0" w:color="auto"/>
              <w:left w:val="single" w:sz="4" w:space="0" w:color="auto"/>
              <w:bottom w:val="single" w:sz="4" w:space="0" w:color="auto"/>
              <w:right w:val="single" w:sz="4" w:space="0" w:color="auto"/>
            </w:tcBorders>
            <w:vAlign w:val="center"/>
          </w:tcPr>
          <w:p>
            <w:pPr>
              <w:jc w:val="right"/>
            </w:pPr>
          </w:p>
        </w:tc>
        <w:tc>
          <w:tcPr>
            <w:tcW w:w="103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1,161</w:t>
            </w:r>
          </w:p>
        </w:tc>
        <w:tc>
          <w:tcPr>
            <w:tcW w:w="1111" w:type="dxa"/>
            <w:tcBorders>
              <w:top w:val="single" w:sz="4" w:space="0" w:color="auto"/>
              <w:left w:val="single" w:sz="4" w:space="0" w:color="auto"/>
              <w:bottom w:val="single" w:sz="4" w:space="0" w:color="auto"/>
              <w:right w:val="single" w:sz="4" w:space="0" w:color="auto"/>
            </w:tcBorders>
          </w:tcPr>
          <w:p>
            <w:pPr>
              <w:jc w:val="right"/>
              <w:rPr>
                <w:rFonts w:ascii="宋体" w:hAnsi="宋体" w:cs="宋体"/>
              </w:rPr>
            </w:pPr>
            <w:r>
              <w:rPr>
                <w:rFonts w:ascii="宋体" w:hAnsi="宋体" w:cs="宋体"/>
              </w:rPr>
              <w:t>6,110</w:t>
            </w:r>
          </w:p>
        </w:tc>
        <w:tc>
          <w:tcPr>
            <w:tcW w:w="1026" w:type="dxa"/>
            <w:tcBorders>
              <w:top w:val="single" w:sz="4" w:space="0" w:color="auto"/>
              <w:left w:val="single" w:sz="4" w:space="0" w:color="auto"/>
              <w:bottom w:val="single" w:sz="4" w:space="0" w:color="auto"/>
              <w:right w:val="single" w:sz="4" w:space="0" w:color="auto"/>
            </w:tcBorders>
            <w:vAlign w:val="center"/>
          </w:tcPr>
          <w:p>
            <w:pPr>
              <w:ind w:right="5"/>
              <w:jc w:val="right"/>
            </w:pPr>
            <w:r>
              <w:rPr>
                <w:rFonts w:ascii="宋体" w:hAnsi="宋体" w:cs="宋体" w:hint="eastAsia"/>
              </w:rPr>
              <w:t>17,147</w:t>
            </w:r>
          </w:p>
        </w:tc>
      </w:tr>
      <w:tr>
        <w:trPr>
          <w:trHeight w:val="20"/>
        </w:trPr>
        <w:tc>
          <w:tcPr>
            <w:tcW w:w="1744"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产成品</w:t>
            </w:r>
          </w:p>
        </w:tc>
        <w:tc>
          <w:tcPr>
            <w:tcW w:w="1018" w:type="dxa"/>
            <w:tcBorders>
              <w:top w:val="single" w:sz="4" w:space="0" w:color="auto"/>
              <w:left w:val="single" w:sz="4" w:space="0" w:color="auto"/>
              <w:bottom w:val="single" w:sz="4" w:space="0" w:color="auto"/>
              <w:right w:val="single" w:sz="4" w:space="0" w:color="auto"/>
            </w:tcBorders>
            <w:vAlign w:val="center"/>
          </w:tcPr>
          <w:p>
            <w:pPr>
              <w:ind w:right="5"/>
              <w:jc w:val="right"/>
            </w:pPr>
          </w:p>
        </w:tc>
        <w:tc>
          <w:tcPr>
            <w:tcW w:w="1033" w:type="dxa"/>
            <w:tcBorders>
              <w:top w:val="single" w:sz="4" w:space="0" w:color="auto"/>
              <w:left w:val="single" w:sz="4" w:space="0" w:color="auto"/>
              <w:bottom w:val="single" w:sz="4" w:space="0" w:color="auto"/>
              <w:right w:val="single" w:sz="4" w:space="0" w:color="auto"/>
            </w:tcBorders>
            <w:vAlign w:val="center"/>
          </w:tcPr>
          <w:p>
            <w:pPr>
              <w:jc w:val="right"/>
            </w:pPr>
          </w:p>
        </w:tc>
        <w:tc>
          <w:tcPr>
            <w:tcW w:w="1034" w:type="dxa"/>
            <w:tcBorders>
              <w:top w:val="single" w:sz="4" w:space="0" w:color="auto"/>
              <w:left w:val="single" w:sz="4" w:space="0" w:color="auto"/>
              <w:bottom w:val="single" w:sz="4" w:space="0" w:color="auto"/>
              <w:right w:val="single" w:sz="4" w:space="0" w:color="auto"/>
            </w:tcBorders>
            <w:vAlign w:val="center"/>
          </w:tcPr>
          <w:p>
            <w:pPr>
              <w:jc w:val="right"/>
            </w:pPr>
          </w:p>
        </w:tc>
        <w:tc>
          <w:tcPr>
            <w:tcW w:w="1044" w:type="dxa"/>
            <w:tcBorders>
              <w:top w:val="single" w:sz="4" w:space="0" w:color="auto"/>
              <w:left w:val="single" w:sz="4" w:space="0" w:color="auto"/>
              <w:bottom w:val="single" w:sz="4" w:space="0" w:color="auto"/>
              <w:right w:val="single" w:sz="4" w:space="0" w:color="auto"/>
            </w:tcBorders>
            <w:vAlign w:val="center"/>
          </w:tcPr>
          <w:p>
            <w:pPr>
              <w:jc w:val="right"/>
            </w:pPr>
          </w:p>
        </w:tc>
        <w:tc>
          <w:tcPr>
            <w:tcW w:w="1036" w:type="dxa"/>
            <w:tcBorders>
              <w:top w:val="single" w:sz="4" w:space="0" w:color="auto"/>
              <w:left w:val="single" w:sz="4" w:space="0" w:color="auto"/>
              <w:right w:val="single" w:sz="4" w:space="0" w:color="auto"/>
            </w:tcBorders>
            <w:vAlign w:val="center"/>
          </w:tcPr>
          <w:p>
            <w:pPr>
              <w:jc w:val="right"/>
            </w:pPr>
          </w:p>
        </w:tc>
        <w:tc>
          <w:tcPr>
            <w:tcW w:w="1111" w:type="dxa"/>
            <w:tcBorders>
              <w:top w:val="single" w:sz="4" w:space="0" w:color="auto"/>
              <w:left w:val="single" w:sz="4" w:space="0" w:color="auto"/>
              <w:bottom w:val="single" w:sz="4" w:space="0" w:color="auto"/>
              <w:right w:val="single" w:sz="4" w:space="0" w:color="auto"/>
            </w:tcBorders>
          </w:tcPr>
          <w:p>
            <w:pPr>
              <w:jc w:val="right"/>
              <w:rPr>
                <w:rFonts w:ascii="宋体" w:hAnsi="宋体" w:cs="宋体"/>
              </w:rPr>
            </w:pPr>
          </w:p>
        </w:tc>
        <w:tc>
          <w:tcPr>
            <w:tcW w:w="1026" w:type="dxa"/>
            <w:tcBorders>
              <w:top w:val="single" w:sz="4" w:space="0" w:color="auto"/>
              <w:left w:val="single" w:sz="4" w:space="0" w:color="auto"/>
              <w:bottom w:val="single" w:sz="4" w:space="0" w:color="auto"/>
              <w:right w:val="single" w:sz="4" w:space="0" w:color="auto"/>
            </w:tcBorders>
            <w:vAlign w:val="center"/>
          </w:tcPr>
          <w:p>
            <w:pPr>
              <w:ind w:right="5"/>
              <w:jc w:val="right"/>
            </w:pPr>
          </w:p>
        </w:tc>
      </w:tr>
      <w:tr>
        <w:trPr>
          <w:trHeight w:val="20"/>
        </w:trPr>
        <w:tc>
          <w:tcPr>
            <w:tcW w:w="1744"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库存商品</w:t>
            </w:r>
          </w:p>
        </w:tc>
        <w:tc>
          <w:tcPr>
            <w:tcW w:w="1018" w:type="dxa"/>
            <w:tcBorders>
              <w:top w:val="single" w:sz="4" w:space="0" w:color="auto"/>
              <w:left w:val="single" w:sz="4" w:space="0" w:color="auto"/>
              <w:bottom w:val="single" w:sz="4" w:space="0" w:color="auto"/>
              <w:right w:val="single" w:sz="4" w:space="0" w:color="auto"/>
            </w:tcBorders>
            <w:vAlign w:val="center"/>
          </w:tcPr>
          <w:p>
            <w:pPr>
              <w:ind w:right="5"/>
              <w:jc w:val="right"/>
            </w:pPr>
            <w:r>
              <w:rPr>
                <w:rFonts w:ascii="宋体" w:hAnsi="宋体" w:cs="宋体" w:hint="eastAsia"/>
              </w:rPr>
              <w:t>47,157</w:t>
            </w:r>
          </w:p>
        </w:tc>
        <w:tc>
          <w:tcPr>
            <w:tcW w:w="103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20,249</w:t>
            </w:r>
          </w:p>
        </w:tc>
        <w:tc>
          <w:tcPr>
            <w:tcW w:w="1034" w:type="dxa"/>
            <w:tcBorders>
              <w:top w:val="single" w:sz="4" w:space="0" w:color="auto"/>
              <w:left w:val="single" w:sz="4" w:space="0" w:color="auto"/>
              <w:bottom w:val="single" w:sz="4" w:space="0" w:color="auto"/>
              <w:right w:val="single" w:sz="4" w:space="0" w:color="auto"/>
            </w:tcBorders>
            <w:vAlign w:val="center"/>
          </w:tcPr>
          <w:p>
            <w:pPr>
              <w:jc w:val="right"/>
            </w:pPr>
          </w:p>
        </w:tc>
        <w:tc>
          <w:tcPr>
            <w:tcW w:w="1044" w:type="dxa"/>
            <w:tcBorders>
              <w:top w:val="single" w:sz="4" w:space="0" w:color="auto"/>
              <w:left w:val="single" w:sz="4" w:space="0" w:color="auto"/>
              <w:bottom w:val="single" w:sz="4" w:space="0" w:color="auto"/>
              <w:right w:val="single" w:sz="4" w:space="0" w:color="auto"/>
            </w:tcBorders>
            <w:vAlign w:val="center"/>
          </w:tcPr>
          <w:p>
            <w:pPr>
              <w:jc w:val="right"/>
            </w:pPr>
          </w:p>
        </w:tc>
        <w:tc>
          <w:tcPr>
            <w:tcW w:w="1036" w:type="dxa"/>
            <w:tcBorders>
              <w:left w:val="single" w:sz="4" w:space="0" w:color="auto"/>
              <w:right w:val="single" w:sz="4" w:space="0" w:color="auto"/>
            </w:tcBorders>
            <w:vAlign w:val="center"/>
          </w:tcPr>
          <w:p>
            <w:pPr>
              <w:jc w:val="right"/>
            </w:pPr>
          </w:p>
        </w:tc>
        <w:tc>
          <w:tcPr>
            <w:tcW w:w="1111" w:type="dxa"/>
            <w:tcBorders>
              <w:top w:val="single" w:sz="4" w:space="0" w:color="auto"/>
              <w:left w:val="single" w:sz="4" w:space="0" w:color="auto"/>
              <w:bottom w:val="single" w:sz="4" w:space="0" w:color="auto"/>
              <w:right w:val="single" w:sz="4" w:space="0" w:color="auto"/>
            </w:tcBorders>
          </w:tcPr>
          <w:p>
            <w:pPr>
              <w:jc w:val="right"/>
              <w:rPr>
                <w:rFonts w:ascii="宋体" w:hAnsi="宋体" w:cs="宋体"/>
              </w:rPr>
            </w:pPr>
            <w:r>
              <w:rPr>
                <w:rFonts w:ascii="宋体" w:hAnsi="宋体" w:cs="宋体"/>
              </w:rPr>
              <w:t>602</w:t>
            </w:r>
          </w:p>
        </w:tc>
        <w:tc>
          <w:tcPr>
            <w:tcW w:w="1026" w:type="dxa"/>
            <w:tcBorders>
              <w:top w:val="single" w:sz="4" w:space="0" w:color="auto"/>
              <w:left w:val="single" w:sz="4" w:space="0" w:color="auto"/>
              <w:bottom w:val="single" w:sz="4" w:space="0" w:color="auto"/>
              <w:right w:val="single" w:sz="4" w:space="0" w:color="auto"/>
            </w:tcBorders>
            <w:vAlign w:val="center"/>
          </w:tcPr>
          <w:p>
            <w:pPr>
              <w:ind w:right="5"/>
              <w:jc w:val="right"/>
            </w:pPr>
            <w:r>
              <w:rPr>
                <w:rFonts w:ascii="宋体" w:hAnsi="宋体" w:cs="宋体" w:hint="eastAsia"/>
              </w:rPr>
              <w:t>68,008</w:t>
            </w:r>
          </w:p>
        </w:tc>
      </w:tr>
      <w:tr>
        <w:trPr>
          <w:trHeight w:val="20"/>
        </w:trPr>
        <w:tc>
          <w:tcPr>
            <w:tcW w:w="1744"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工程存货</w:t>
            </w:r>
          </w:p>
        </w:tc>
        <w:tc>
          <w:tcPr>
            <w:tcW w:w="1018" w:type="dxa"/>
            <w:tcBorders>
              <w:top w:val="single" w:sz="4" w:space="0" w:color="auto"/>
              <w:left w:val="single" w:sz="4" w:space="0" w:color="auto"/>
              <w:bottom w:val="single" w:sz="4" w:space="0" w:color="auto"/>
              <w:right w:val="single" w:sz="4" w:space="0" w:color="auto"/>
            </w:tcBorders>
            <w:vAlign w:val="center"/>
          </w:tcPr>
          <w:p>
            <w:pPr>
              <w:ind w:right="5"/>
              <w:jc w:val="right"/>
            </w:pPr>
            <w:r>
              <w:rPr>
                <w:rFonts w:ascii="宋体" w:hAnsi="宋体" w:cs="宋体" w:hint="eastAsia"/>
              </w:rPr>
              <w:t>62,069</w:t>
            </w:r>
          </w:p>
        </w:tc>
        <w:tc>
          <w:tcPr>
            <w:tcW w:w="1033" w:type="dxa"/>
            <w:tcBorders>
              <w:top w:val="single" w:sz="4" w:space="0" w:color="auto"/>
              <w:left w:val="single" w:sz="4" w:space="0" w:color="auto"/>
              <w:bottom w:val="single" w:sz="4" w:space="0" w:color="auto"/>
              <w:right w:val="single" w:sz="4" w:space="0" w:color="auto"/>
            </w:tcBorders>
            <w:vAlign w:val="center"/>
          </w:tcPr>
          <w:p>
            <w:pPr>
              <w:jc w:val="right"/>
            </w:pPr>
          </w:p>
        </w:tc>
        <w:tc>
          <w:tcPr>
            <w:tcW w:w="1034" w:type="dxa"/>
            <w:tcBorders>
              <w:top w:val="single" w:sz="4" w:space="0" w:color="auto"/>
              <w:left w:val="single" w:sz="4" w:space="0" w:color="auto"/>
              <w:bottom w:val="single" w:sz="4" w:space="0" w:color="auto"/>
              <w:right w:val="single" w:sz="4" w:space="0" w:color="auto"/>
            </w:tcBorders>
            <w:vAlign w:val="center"/>
          </w:tcPr>
          <w:p>
            <w:pPr>
              <w:jc w:val="right"/>
            </w:pPr>
          </w:p>
        </w:tc>
        <w:tc>
          <w:tcPr>
            <w:tcW w:w="1044" w:type="dxa"/>
            <w:tcBorders>
              <w:top w:val="single" w:sz="4" w:space="0" w:color="auto"/>
              <w:left w:val="single" w:sz="4" w:space="0" w:color="auto"/>
              <w:bottom w:val="single" w:sz="4" w:space="0" w:color="auto"/>
              <w:right w:val="single" w:sz="4" w:space="0" w:color="auto"/>
            </w:tcBorders>
            <w:vAlign w:val="center"/>
          </w:tcPr>
          <w:p>
            <w:pPr>
              <w:jc w:val="right"/>
            </w:pPr>
          </w:p>
        </w:tc>
        <w:tc>
          <w:tcPr>
            <w:tcW w:w="1036" w:type="dxa"/>
            <w:tcBorders>
              <w:left w:val="single" w:sz="4" w:space="0" w:color="auto"/>
              <w:right w:val="single" w:sz="4" w:space="0" w:color="auto"/>
            </w:tcBorders>
            <w:vAlign w:val="center"/>
          </w:tcPr>
          <w:p>
            <w:pPr>
              <w:jc w:val="right"/>
            </w:pPr>
          </w:p>
        </w:tc>
        <w:tc>
          <w:tcPr>
            <w:tcW w:w="1111" w:type="dxa"/>
            <w:tcBorders>
              <w:top w:val="single" w:sz="4" w:space="0" w:color="auto"/>
              <w:left w:val="single" w:sz="4" w:space="0" w:color="auto"/>
              <w:bottom w:val="single" w:sz="4" w:space="0" w:color="auto"/>
              <w:right w:val="single" w:sz="4" w:space="0" w:color="auto"/>
            </w:tcBorders>
          </w:tcPr>
          <w:p>
            <w:pPr>
              <w:jc w:val="right"/>
              <w:rPr>
                <w:rFonts w:ascii="宋体" w:hAnsi="宋体" w:cs="宋体"/>
              </w:rPr>
            </w:pPr>
          </w:p>
        </w:tc>
        <w:tc>
          <w:tcPr>
            <w:tcW w:w="102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62,069</w:t>
            </w:r>
          </w:p>
        </w:tc>
      </w:tr>
      <w:tr>
        <w:trPr>
          <w:trHeight w:val="20"/>
        </w:trPr>
        <w:tc>
          <w:tcPr>
            <w:tcW w:w="1744"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房地产开发成本</w:t>
            </w:r>
          </w:p>
        </w:tc>
        <w:tc>
          <w:tcPr>
            <w:tcW w:w="1018" w:type="dxa"/>
            <w:tcBorders>
              <w:top w:val="single" w:sz="4" w:space="0" w:color="auto"/>
              <w:left w:val="single" w:sz="4" w:space="0" w:color="auto"/>
              <w:bottom w:val="single" w:sz="4" w:space="0" w:color="auto"/>
              <w:right w:val="single" w:sz="4" w:space="0" w:color="auto"/>
            </w:tcBorders>
            <w:vAlign w:val="center"/>
          </w:tcPr>
          <w:p>
            <w:pPr>
              <w:ind w:right="5"/>
              <w:jc w:val="right"/>
            </w:pPr>
            <w:r>
              <w:rPr>
                <w:rFonts w:ascii="宋体" w:hAnsi="宋体" w:cs="宋体" w:hint="eastAsia"/>
              </w:rPr>
              <w:t>3,012</w:t>
            </w:r>
          </w:p>
        </w:tc>
        <w:tc>
          <w:tcPr>
            <w:tcW w:w="103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115</w:t>
            </w:r>
          </w:p>
        </w:tc>
        <w:tc>
          <w:tcPr>
            <w:tcW w:w="1034" w:type="dxa"/>
            <w:tcBorders>
              <w:top w:val="single" w:sz="4" w:space="0" w:color="auto"/>
              <w:left w:val="single" w:sz="4" w:space="0" w:color="auto"/>
              <w:bottom w:val="single" w:sz="4" w:space="0" w:color="auto"/>
              <w:right w:val="single" w:sz="4" w:space="0" w:color="auto"/>
            </w:tcBorders>
            <w:vAlign w:val="center"/>
          </w:tcPr>
          <w:p>
            <w:pPr>
              <w:jc w:val="right"/>
            </w:pPr>
          </w:p>
        </w:tc>
        <w:tc>
          <w:tcPr>
            <w:tcW w:w="1044" w:type="dxa"/>
            <w:tcBorders>
              <w:top w:val="single" w:sz="4" w:space="0" w:color="auto"/>
              <w:left w:val="single" w:sz="4" w:space="0" w:color="auto"/>
              <w:bottom w:val="single" w:sz="4" w:space="0" w:color="auto"/>
              <w:right w:val="single" w:sz="4" w:space="0" w:color="auto"/>
            </w:tcBorders>
            <w:vAlign w:val="center"/>
          </w:tcPr>
          <w:p>
            <w:pPr>
              <w:jc w:val="right"/>
            </w:pPr>
          </w:p>
        </w:tc>
        <w:tc>
          <w:tcPr>
            <w:tcW w:w="1036" w:type="dxa"/>
            <w:tcBorders>
              <w:left w:val="single" w:sz="4" w:space="0" w:color="auto"/>
              <w:right w:val="single" w:sz="4" w:space="0" w:color="auto"/>
            </w:tcBorders>
            <w:vAlign w:val="center"/>
          </w:tcPr>
          <w:p>
            <w:pPr>
              <w:jc w:val="right"/>
            </w:pPr>
          </w:p>
        </w:tc>
        <w:tc>
          <w:tcPr>
            <w:tcW w:w="1111" w:type="dxa"/>
            <w:tcBorders>
              <w:top w:val="single" w:sz="4" w:space="0" w:color="auto"/>
              <w:left w:val="single" w:sz="4" w:space="0" w:color="auto"/>
              <w:bottom w:val="single" w:sz="4" w:space="0" w:color="auto"/>
              <w:right w:val="single" w:sz="4" w:space="0" w:color="auto"/>
            </w:tcBorders>
          </w:tcPr>
          <w:p>
            <w:pPr>
              <w:jc w:val="right"/>
              <w:rPr>
                <w:rFonts w:ascii="宋体" w:hAnsi="宋体" w:cs="宋体"/>
              </w:rPr>
            </w:pPr>
          </w:p>
        </w:tc>
        <w:tc>
          <w:tcPr>
            <w:tcW w:w="102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3,127</w:t>
            </w:r>
          </w:p>
        </w:tc>
      </w:tr>
      <w:tr>
        <w:trPr>
          <w:trHeight w:val="55"/>
        </w:trPr>
        <w:tc>
          <w:tcPr>
            <w:tcW w:w="1744"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其他</w:t>
            </w:r>
          </w:p>
        </w:tc>
        <w:tc>
          <w:tcPr>
            <w:tcW w:w="1018" w:type="dxa"/>
            <w:tcBorders>
              <w:top w:val="single" w:sz="4" w:space="0" w:color="auto"/>
              <w:left w:val="single" w:sz="4" w:space="0" w:color="auto"/>
              <w:bottom w:val="single" w:sz="4" w:space="0" w:color="auto"/>
              <w:right w:val="single" w:sz="4" w:space="0" w:color="auto"/>
            </w:tcBorders>
            <w:vAlign w:val="center"/>
          </w:tcPr>
          <w:p>
            <w:pPr>
              <w:ind w:right="5"/>
              <w:jc w:val="right"/>
            </w:pPr>
          </w:p>
        </w:tc>
        <w:tc>
          <w:tcPr>
            <w:tcW w:w="103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36,077</w:t>
            </w:r>
          </w:p>
        </w:tc>
        <w:tc>
          <w:tcPr>
            <w:tcW w:w="1034" w:type="dxa"/>
            <w:tcBorders>
              <w:top w:val="single" w:sz="4" w:space="0" w:color="auto"/>
              <w:left w:val="single" w:sz="4" w:space="0" w:color="auto"/>
              <w:bottom w:val="single" w:sz="4" w:space="0" w:color="auto"/>
              <w:right w:val="single" w:sz="4" w:space="0" w:color="auto"/>
            </w:tcBorders>
            <w:vAlign w:val="center"/>
          </w:tcPr>
          <w:p>
            <w:pPr>
              <w:jc w:val="right"/>
            </w:pPr>
          </w:p>
        </w:tc>
        <w:tc>
          <w:tcPr>
            <w:tcW w:w="1044" w:type="dxa"/>
            <w:tcBorders>
              <w:top w:val="single" w:sz="4" w:space="0" w:color="auto"/>
              <w:left w:val="single" w:sz="4" w:space="0" w:color="auto"/>
              <w:bottom w:val="single" w:sz="4" w:space="0" w:color="auto"/>
              <w:right w:val="single" w:sz="4" w:space="0" w:color="auto"/>
            </w:tcBorders>
            <w:vAlign w:val="center"/>
          </w:tcPr>
          <w:p>
            <w:pPr>
              <w:jc w:val="right"/>
            </w:pPr>
          </w:p>
        </w:tc>
        <w:tc>
          <w:tcPr>
            <w:tcW w:w="1036" w:type="dxa"/>
            <w:tcBorders>
              <w:left w:val="single" w:sz="4" w:space="0" w:color="auto"/>
              <w:right w:val="single" w:sz="4" w:space="0" w:color="auto"/>
            </w:tcBorders>
            <w:vAlign w:val="center"/>
          </w:tcPr>
          <w:p>
            <w:pPr>
              <w:jc w:val="right"/>
            </w:pPr>
          </w:p>
        </w:tc>
        <w:tc>
          <w:tcPr>
            <w:tcW w:w="1111" w:type="dxa"/>
            <w:tcBorders>
              <w:top w:val="single" w:sz="4" w:space="0" w:color="auto"/>
              <w:left w:val="single" w:sz="4" w:space="0" w:color="auto"/>
              <w:bottom w:val="single" w:sz="4" w:space="0" w:color="auto"/>
              <w:right w:val="single" w:sz="4" w:space="0" w:color="auto"/>
            </w:tcBorders>
          </w:tcPr>
          <w:p>
            <w:pPr>
              <w:jc w:val="right"/>
              <w:rPr>
                <w:rFonts w:ascii="宋体" w:hAnsi="宋体" w:cs="宋体"/>
              </w:rPr>
            </w:pPr>
            <w:r>
              <w:rPr>
                <w:rFonts w:ascii="宋体" w:hAnsi="宋体" w:cs="宋体"/>
              </w:rPr>
              <w:t>715</w:t>
            </w:r>
          </w:p>
        </w:tc>
        <w:tc>
          <w:tcPr>
            <w:tcW w:w="102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36,792</w:t>
            </w:r>
          </w:p>
        </w:tc>
      </w:tr>
      <w:tr>
        <w:trPr>
          <w:trHeight w:val="20"/>
        </w:trPr>
        <w:tc>
          <w:tcPr>
            <w:tcW w:w="174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1018" w:type="dxa"/>
            <w:tcBorders>
              <w:top w:val="single" w:sz="4" w:space="0" w:color="auto"/>
              <w:left w:val="single" w:sz="4" w:space="0" w:color="auto"/>
              <w:bottom w:val="single" w:sz="4" w:space="0" w:color="auto"/>
              <w:right w:val="single" w:sz="4" w:space="0" w:color="auto"/>
            </w:tcBorders>
            <w:vAlign w:val="center"/>
          </w:tcPr>
          <w:p>
            <w:pPr>
              <w:ind w:right="5"/>
              <w:jc w:val="right"/>
            </w:pPr>
            <w:r>
              <w:rPr>
                <w:rFonts w:ascii="宋体" w:hAnsi="宋体" w:cs="宋体" w:hint="eastAsia"/>
              </w:rPr>
              <w:t>122,753</w:t>
            </w:r>
          </w:p>
        </w:tc>
        <w:tc>
          <w:tcPr>
            <w:tcW w:w="103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58,124</w:t>
            </w:r>
          </w:p>
        </w:tc>
        <w:tc>
          <w:tcPr>
            <w:tcW w:w="1034" w:type="dxa"/>
            <w:tcBorders>
              <w:top w:val="single" w:sz="4" w:space="0" w:color="auto"/>
              <w:left w:val="single" w:sz="4" w:space="0" w:color="auto"/>
              <w:bottom w:val="single" w:sz="4" w:space="0" w:color="auto"/>
              <w:right w:val="single" w:sz="4" w:space="0" w:color="auto"/>
            </w:tcBorders>
            <w:vAlign w:val="center"/>
          </w:tcPr>
          <w:p>
            <w:pPr>
              <w:jc w:val="right"/>
            </w:pPr>
          </w:p>
        </w:tc>
        <w:tc>
          <w:tcPr>
            <w:tcW w:w="1044" w:type="dxa"/>
            <w:tcBorders>
              <w:top w:val="single" w:sz="4" w:space="0" w:color="auto"/>
              <w:left w:val="single" w:sz="4" w:space="0" w:color="auto"/>
              <w:bottom w:val="single" w:sz="4" w:space="0" w:color="auto"/>
              <w:right w:val="single" w:sz="4" w:space="0" w:color="auto"/>
            </w:tcBorders>
            <w:vAlign w:val="center"/>
          </w:tcPr>
          <w:p>
            <w:pPr>
              <w:jc w:val="right"/>
            </w:pPr>
          </w:p>
        </w:tc>
        <w:tc>
          <w:tcPr>
            <w:tcW w:w="1036" w:type="dxa"/>
            <w:tcBorders>
              <w:left w:val="single" w:sz="4" w:space="0" w:color="auto"/>
              <w:bottom w:val="single" w:sz="4" w:space="0" w:color="auto"/>
              <w:right w:val="single" w:sz="4" w:space="0" w:color="auto"/>
            </w:tcBorders>
            <w:vAlign w:val="center"/>
          </w:tcPr>
          <w:p>
            <w:pPr>
              <w:jc w:val="right"/>
            </w:pPr>
            <w:r>
              <w:rPr>
                <w:rFonts w:ascii="宋体" w:hAnsi="宋体" w:cs="宋体" w:hint="eastAsia"/>
              </w:rPr>
              <w:t>1,161</w:t>
            </w:r>
          </w:p>
        </w:tc>
        <w:tc>
          <w:tcPr>
            <w:tcW w:w="1111" w:type="dxa"/>
            <w:tcBorders>
              <w:top w:val="single" w:sz="4" w:space="0" w:color="auto"/>
              <w:left w:val="single" w:sz="4" w:space="0" w:color="auto"/>
              <w:bottom w:val="single" w:sz="4" w:space="0" w:color="auto"/>
              <w:right w:val="single" w:sz="4" w:space="0" w:color="auto"/>
            </w:tcBorders>
          </w:tcPr>
          <w:p>
            <w:pPr>
              <w:jc w:val="right"/>
              <w:rPr>
                <w:rFonts w:ascii="宋体" w:hAnsi="宋体" w:cs="宋体"/>
              </w:rPr>
            </w:pPr>
            <w:r>
              <w:rPr>
                <w:rFonts w:ascii="宋体" w:hAnsi="宋体" w:cs="宋体"/>
              </w:rPr>
              <w:t>7,427</w:t>
            </w:r>
          </w:p>
        </w:tc>
        <w:tc>
          <w:tcPr>
            <w:tcW w:w="10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hint="eastAsia"/>
              </w:rPr>
              <w:t>187,143</w:t>
            </w:r>
          </w:p>
        </w:tc>
      </w:tr>
    </w:tbl>
    <w:p>
      <w:pPr>
        <w:pStyle w:val="Style217"/>
      </w:pPr>
    </w:p>
    <w:p>
      <w:pPr>
        <w:pStyle w:val="Style217"/>
      </w:pPr>
      <w:r>
        <w:t>本期转回或转销存货跌价准备的原因</w:t>
      </w:r>
    </w:p>
    <w:sdt>
      <w:sdtPr>
        <w:alias w:val="是否适用：本期转回或转销存货跌价准备的原因[双击切换]"/>
        <w:tag w:val="_GBC_91edca895f07450c8e82d2352caede25"/>
        <w:id w:val="29002748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按组合计提存货跌价准备</w:t>
      </w:r>
    </w:p>
    <w:sdt>
      <w:sdtPr>
        <w:alias w:val="是否适用：按组合计提存货跌价准备[双击切换]"/>
        <w:tag w:val="_GBC_7654282f8cf847d8a55f8274afb7a726"/>
        <w:id w:val="-188910473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按组合计提存货跌价准备的计提标准</w:t>
      </w:r>
    </w:p>
    <w:sdt>
      <w:sdtPr>
        <w:alias w:val="是否适用：按组合计提存货跌价准备的计提标准[双击切换]"/>
        <w:tag w:val="_GBC_5ff59a2951ec4f938d7af938cd197e63"/>
        <w:id w:val="94427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82"/>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210661558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82"/>
        </w:numPr>
        <w:ind w:left="426" w:hanging="426"/>
      </w:pPr>
      <w:r>
        <w:rPr>
          <w:rFonts w:hint="eastAsia"/>
        </w:rPr>
        <w:t>合同履约成本本期摊销金额的说明</w:t>
      </w:r>
    </w:p>
    <w:sdt>
      <w:sdtPr>
        <w:alias w:val="是否适用：合同履约成本本期摊销金额的说明[双击切换]"/>
        <w:tag w:val="_GBC_7532d5a15e3d45fa8d69ad2921659b13"/>
        <w:id w:val="-126830079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rPr>
          <w:rFonts w:hint="eastAsia"/>
        </w:rPr>
        <w:alias w:val="是否适用：建造合同形成的已完工未结算资产的其他说明[双击切换]"/>
        <w:tag w:val="_GBC_441099179b66496e99c8de04f24782ad"/>
        <w:id w:val="208224477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bookmarkStart w:id="426" w:name="_Hlk24380621"/>
      <w:r>
        <w:rPr>
          <w:szCs w:val="21"/>
        </w:rPr>
        <w:t>持有待售资产</w:t>
      </w:r>
    </w:p>
    <w:sdt>
      <w:sdtPr>
        <w:alias w:val="是否适用：划分为持有待售的资产[双击切换]"/>
        <w:tag w:val="_GBC_78f2c13384374d8eb0edd5d62d86bc52"/>
        <w:id w:val="22634696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bookmarkStart w:id="427" w:name="_Hlk533608872"/>
      <w:bookmarkEnd w:id="426"/>
      <w:r>
        <w:rPr>
          <w:szCs w:val="21"/>
        </w:rPr>
        <w:t>一年内到期的非流动资产</w:t>
      </w:r>
    </w:p>
    <w:sdt>
      <w:sdtPr>
        <w:alias w:val="是否适用：一年内到期的非流动资产[双击切换]"/>
        <w:tag w:val="_GBC_ed2c28c8d4014bbb85fa424cc20fe6d7"/>
        <w:id w:val="-199031059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right="210"/>
        <w:jc w:val="right"/>
      </w:pPr>
      <w:r>
        <w:rPr>
          <w:rFonts w:hint="eastAsia"/>
        </w:rPr>
        <w:t>单位：</w:t>
      </w:r>
      <w:sdt>
        <w:sdtPr>
          <w:rPr>
            <w:rFonts w:hint="eastAsia"/>
          </w:rPr>
          <w:alias w:val="单位：财务附注：一年内到期的非流动资产"/>
          <w:tag w:val="_GBC_f77c8d19672140bf85fc2463f9170dd6"/>
          <w:id w:val="12534722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一年内到期的非流动资产"/>
          <w:tag w:val="_GBC_8556c531d1034a2b8dbccdc6ef602448"/>
          <w:id w:val="-17021544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6"/>
        <w:gridCol w:w="2897"/>
        <w:gridCol w:w="2864"/>
      </w:tblGrid>
      <w:tr>
        <w:sdt>
          <w:sdtPr>
            <w:tag w:val="_PLD_a40529190b0945ecb6483b84560649d2"/>
            <w:id w:val="480813059"/>
          </w:sdtPr>
          <w:sdtContent>
            <w:tc>
              <w:tcPr>
                <w:tcW w:w="3286" w:type="dxa"/>
                <w:vAlign w:val="center"/>
              </w:tcPr>
              <w:p>
                <w:pPr>
                  <w:jc w:val="center"/>
                </w:pPr>
                <w:r>
                  <w:rPr>
                    <w:rFonts w:hint="eastAsia"/>
                  </w:rPr>
                  <w:t>项目</w:t>
                </w:r>
              </w:p>
            </w:tc>
          </w:sdtContent>
        </w:sdt>
        <w:sdt>
          <w:sdtPr>
            <w:tag w:val="_PLD_5e30d8809b4b4a148861aad7ac937cad"/>
            <w:id w:val="53513115"/>
          </w:sdtPr>
          <w:sdtContent>
            <w:tc>
              <w:tcPr>
                <w:tcW w:w="2897" w:type="dxa"/>
                <w:vAlign w:val="center"/>
              </w:tcPr>
              <w:p>
                <w:pPr>
                  <w:jc w:val="center"/>
                </w:pPr>
                <w:r>
                  <w:rPr>
                    <w:rFonts w:hint="eastAsia"/>
                  </w:rPr>
                  <w:t>期末余额</w:t>
                </w:r>
              </w:p>
            </w:tc>
          </w:sdtContent>
        </w:sdt>
        <w:sdt>
          <w:sdtPr>
            <w:tag w:val="_PLD_a1484dda7f4045b7bee1d347a33d9d30"/>
            <w:id w:val="227119211"/>
          </w:sdtPr>
          <w:sdtContent>
            <w:tc>
              <w:tcPr>
                <w:tcW w:w="2864" w:type="dxa"/>
                <w:vAlign w:val="center"/>
              </w:tcPr>
              <w:p>
                <w:pPr>
                  <w:jc w:val="center"/>
                </w:pPr>
                <w:r>
                  <w:rPr>
                    <w:rFonts w:hint="eastAsia"/>
                  </w:rPr>
                  <w:t>期初余额</w:t>
                </w:r>
              </w:p>
            </w:tc>
          </w:sdtContent>
        </w:sdt>
      </w:tr>
      <w:tr>
        <w:tc>
          <w:tcPr>
            <w:tcW w:w="3286" w:type="dxa"/>
            <w:vAlign w:val="center"/>
          </w:tcPr>
          <w:p>
            <w:pPr>
              <w:pStyle w:val="Style217"/>
            </w:pPr>
            <w:r>
              <w:rPr>
                <w:rFonts w:hint="eastAsia"/>
              </w:rPr>
              <w:t>一年内到期的长期应收款（注）</w:t>
            </w:r>
          </w:p>
        </w:tc>
        <w:tc>
          <w:tcPr>
            <w:tcW w:w="2897" w:type="dxa"/>
            <w:vAlign w:val="center"/>
          </w:tcPr>
          <w:p>
            <w:pPr>
              <w:jc w:val="right"/>
            </w:pPr>
            <w:r>
              <w:rPr>
                <w:rFonts w:ascii="宋体" w:hAnsi="宋体" w:hint="eastAsia"/>
              </w:rPr>
              <w:t>728,265</w:t>
            </w:r>
          </w:p>
        </w:tc>
        <w:tc>
          <w:tcPr>
            <w:tcW w:w="2864" w:type="dxa"/>
            <w:vAlign w:val="center"/>
          </w:tcPr>
          <w:p>
            <w:pPr>
              <w:jc w:val="right"/>
            </w:pPr>
            <w:r>
              <w:rPr>
                <w:rFonts w:ascii="宋体" w:hAnsi="宋体" w:hint="eastAsia"/>
              </w:rPr>
              <w:t>2,310,809</w:t>
            </w:r>
          </w:p>
        </w:tc>
      </w:tr>
      <w:tr>
        <w:tc>
          <w:tcPr>
            <w:tcW w:w="3286" w:type="dxa"/>
            <w:vAlign w:val="center"/>
          </w:tcPr>
          <w:p>
            <w:pPr>
              <w:pStyle w:val="Style217"/>
            </w:pPr>
            <w:r>
              <w:rPr>
                <w:rFonts w:hint="eastAsia"/>
              </w:rPr>
              <w:t>一年内到期的发放贷款及垫资</w:t>
            </w:r>
          </w:p>
        </w:tc>
        <w:tc>
          <w:tcPr>
            <w:tcW w:w="2897" w:type="dxa"/>
            <w:vAlign w:val="center"/>
          </w:tcPr>
          <w:p>
            <w:pPr>
              <w:jc w:val="right"/>
            </w:pPr>
            <w:r>
              <w:rPr>
                <w:rFonts w:ascii="宋体" w:hAnsi="宋体" w:hint="eastAsia"/>
              </w:rPr>
              <w:t>975,000</w:t>
            </w:r>
          </w:p>
        </w:tc>
        <w:tc>
          <w:tcPr>
            <w:tcW w:w="2864" w:type="dxa"/>
            <w:vAlign w:val="center"/>
          </w:tcPr>
          <w:p>
            <w:pPr>
              <w:jc w:val="right"/>
            </w:pPr>
            <w:r>
              <w:rPr>
                <w:rFonts w:ascii="宋体" w:hAnsi="宋体" w:hint="eastAsia"/>
              </w:rPr>
              <w:t>1,950,000</w:t>
            </w:r>
          </w:p>
        </w:tc>
      </w:tr>
      <w:tr>
        <w:tc>
          <w:tcPr>
            <w:tcW w:w="3286" w:type="dxa"/>
            <w:vAlign w:val="center"/>
          </w:tcPr>
          <w:p>
            <w:pPr>
              <w:snapToGrid w:val="0"/>
            </w:pPr>
            <w:r>
              <w:rPr>
                <w:rFonts w:ascii="宋体" w:hAnsi="宋体" w:hint="eastAsia"/>
              </w:rPr>
              <w:t>一年内到期的债权投资</w:t>
            </w:r>
          </w:p>
        </w:tc>
        <w:tc>
          <w:tcPr>
            <w:tcW w:w="2897" w:type="dxa"/>
            <w:vAlign w:val="center"/>
          </w:tcPr>
          <w:p>
            <w:pPr>
              <w:snapToGrid w:val="0"/>
              <w:jc w:val="right"/>
            </w:pPr>
            <w:r>
              <w:rPr>
                <w:rFonts w:ascii="宋体" w:hAnsi="宋体"/>
              </w:rPr>
              <w:t>990,055</w:t>
            </w:r>
          </w:p>
        </w:tc>
        <w:tc>
          <w:tcPr>
            <w:tcW w:w="2864" w:type="dxa"/>
            <w:vAlign w:val="center"/>
          </w:tcPr>
          <w:p>
            <w:pPr>
              <w:snapToGrid w:val="0"/>
              <w:jc w:val="right"/>
            </w:pPr>
            <w:r>
              <w:rPr>
                <w:rFonts w:ascii="宋体" w:hAnsi="宋体" w:hint="eastAsia"/>
              </w:rPr>
              <w:t>358,267</w:t>
            </w:r>
          </w:p>
        </w:tc>
      </w:tr>
      <w:tr>
        <w:tc>
          <w:tcPr>
            <w:tcW w:w="3286" w:type="dxa"/>
            <w:vAlign w:val="center"/>
          </w:tcPr>
          <w:p>
            <w:pPr>
              <w:snapToGrid w:val="0"/>
              <w:ind w:leftChars="-51" w:left="-107"/>
              <w:jc w:val="center"/>
            </w:pPr>
            <w:r>
              <w:rPr>
                <w:rFonts w:hint="eastAsia"/>
              </w:rPr>
              <w:t>合计</w:t>
            </w:r>
          </w:p>
        </w:tc>
        <w:tc>
          <w:tcPr>
            <w:tcW w:w="2897" w:type="dxa"/>
            <w:vAlign w:val="center"/>
          </w:tcPr>
          <w:p>
            <w:pPr>
              <w:snapToGrid w:val="0"/>
              <w:jc w:val="right"/>
            </w:pPr>
            <w:r>
              <w:rPr>
                <w:rFonts w:ascii="宋体" w:hAnsi="宋体" w:hint="eastAsia"/>
              </w:rPr>
              <w:t>2,693,320</w:t>
            </w:r>
          </w:p>
        </w:tc>
        <w:tc>
          <w:tcPr>
            <w:tcW w:w="2864" w:type="dxa"/>
            <w:vAlign w:val="center"/>
          </w:tcPr>
          <w:p>
            <w:pPr>
              <w:snapToGrid w:val="0"/>
              <w:jc w:val="right"/>
            </w:pPr>
            <w:r>
              <w:rPr>
                <w:rFonts w:ascii="宋体" w:hAnsi="宋体" w:hint="eastAsia"/>
              </w:rPr>
              <w:t>4,619,076</w:t>
            </w:r>
          </w:p>
        </w:tc>
      </w:tr>
    </w:tbl>
    <w:p>
      <w:pPr>
        <w:pStyle w:val="Style214"/>
        <w:numPr>
          <w:ilvl w:val="0"/>
          <w:numId w:val="0"/>
        </w:numPr>
        <w:spacing w:beforeLines="50" w:before="120" w:after="120"/>
        <w:ind w:left="200" w:firstLine="220"/>
        <w:outlineLvl w:val="9"/>
      </w:pPr>
      <w:r>
        <w:rPr>
          <w:rFonts w:hint="eastAsia"/>
          <w:szCs w:val="21"/>
        </w:rPr>
        <w:t>注：一年内到期的长期应收款主要为本集团之子公司兖矿融资租赁有限公司长</w:t>
      </w:r>
      <w:r>
        <w:rPr>
          <w:rFonts w:hint="eastAsia"/>
        </w:rPr>
        <w:t>期应收融资租赁款635</w:t>
      </w:r>
      <w:r>
        <w:t>,</w:t>
      </w:r>
      <w:r>
        <w:rPr>
          <w:rFonts w:hint="eastAsia"/>
        </w:rPr>
        <w:t>682千元。</w:t>
      </w:r>
    </w:p>
    <w:p>
      <w:pPr>
        <w:pStyle w:val="Style179"/>
      </w:pPr>
      <w:r>
        <w:rPr>
          <w:rFonts w:hint="eastAsia"/>
        </w:rPr>
        <w:t>一年内到期的债权投资</w:t>
      </w:r>
    </w:p>
    <w:sdt>
      <w:sdtPr>
        <w:alias w:val="是否适用：一年内到期的债权投资[双击切换]"/>
        <w:tag w:val="_GBC_21106d2d4b32436eb1949dc414c4e6e2"/>
        <w:id w:val="-138787214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right="210"/>
      </w:pPr>
    </w:p>
    <w:p>
      <w:pPr>
        <w:pStyle w:val="Style179"/>
      </w:pPr>
      <w:r>
        <w:rPr>
          <w:rFonts w:hint="eastAsia"/>
        </w:rPr>
        <w:t>一年内到期的其他债权投资</w:t>
      </w:r>
    </w:p>
    <w:p>
      <w:pPr>
        <w:pStyle w:val="Style217"/>
      </w:pPr>
      <w:sdt>
        <w:sdtPr>
          <w:alias w:val="是否适用：一年内到期的其他债权投资[双击切换]"/>
          <w:tag w:val="_GBC_7e23007806f94dceb2b97ed0f5d1e010"/>
          <w:id w:val="-1676571774"/>
          <w:placeholder>
            <w:docPart w:val="GBC22222222222222222222222222222"/>
          </w:placeholder>
        </w:sdtPr>
        <w:sdtContent>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sdt>
        <w:sdtPr>
          <w:alias w:val="一年内到期的非流动资产其他说明"/>
          <w:tag w:val="_GBC_aebddb0e62fa4ec48ab98b4bc4575935"/>
          <w:id w:val="1797331105"/>
          <w:placeholder>
            <w:docPart w:val="GBC22222222222222222222222222222"/>
          </w:placeholder>
          <w:showingPlcHdr/>
        </w:sdtPr>
        <w:sdtContent>
          <w:r>
            <w:rPr>
              <w:rStyle w:val="Style232"/>
              <w:rFonts w:hint="eastAsia"/>
              <w:color w:val="333399"/>
              <w:u w:val="single"/>
            </w:rPr>
            <w:t xml:space="preserve">　　　</w:t>
          </w:r>
        </w:sdtContent>
      </w:sdt>
    </w:p>
    <w:p>
      <w:pPr>
        <w:ind w:right="210"/>
      </w:pPr>
    </w:p>
    <w:p>
      <w:pPr>
        <w:pStyle w:val="Style180"/>
        <w:numPr>
          <w:ilvl w:val="0"/>
          <w:numId w:val="83"/>
        </w:numPr>
        <w:ind w:leftChars="0"/>
      </w:pPr>
      <w:bookmarkStart w:id="428" w:name="_Hlk155106775"/>
      <w:r>
        <w:rPr>
          <w:rFonts w:hint="eastAsia"/>
        </w:rPr>
        <w:t>一年内到期的其他债权投资情况</w:t>
      </w:r>
    </w:p>
    <w:sdt>
      <w:sdtPr>
        <w:alias w:val="是否适用：一年内到期的其他债权投资情况[双击切换]"/>
        <w:tag w:val="_GBC_bf9ebdf19c0546e592a46a1b1f78ff7b"/>
        <w:id w:val="746160292"/>
        <w:placeholder>
          <w:docPart w:val="GBC22222222222222222222222222222"/>
        </w:placeholder>
      </w:sdtPr>
      <w:sdtContent>
        <w:p>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right="210"/>
      </w:pPr>
    </w:p>
    <w:p>
      <w:pPr>
        <w:pStyle w:val="Style217"/>
      </w:pPr>
      <w:bookmarkStart w:id="429" w:name="_Hlk153444002"/>
      <w:bookmarkEnd w:id="427"/>
      <w:r>
        <w:rPr>
          <w:rFonts w:hint="eastAsia"/>
        </w:rPr>
        <w:t>一年内到期的其他债权投资的减值准备本期变动情况</w:t>
      </w:r>
    </w:p>
    <w:sdt>
      <w:sdtPr>
        <w:alias w:val="是否适用：减值准备本期变动情况[双击切换]"/>
        <w:tag w:val="_GBC_530986e9ed704470a273261cb360c15a"/>
        <w:id w:val="162596696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429"/>
    <w:p>
      <w:pPr>
        <w:pStyle w:val="Style180"/>
        <w:numPr>
          <w:ilvl w:val="0"/>
          <w:numId w:val="83"/>
        </w:numPr>
        <w:ind w:leftChars="0"/>
      </w:pPr>
      <w:r>
        <w:rPr>
          <w:rFonts w:hint="eastAsia"/>
        </w:rPr>
        <w:t>期末重要的一年内到期的其他债权投资</w:t>
      </w:r>
    </w:p>
    <w:sdt>
      <w:sdtPr>
        <w:alias w:val="是否适用：重要的一年内到期的其他债权投资情况[双击切换]"/>
        <w:tag w:val="_GBC_47a43e83a18f4cceb76d43c793ea5cb0"/>
        <w:id w:val="-451399412"/>
        <w:placeholder>
          <w:docPart w:val="GBC22222222222222222222222222222"/>
        </w:placeholder>
      </w:sdtPr>
      <w:sdtContent>
        <w:p>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right="210"/>
      </w:pPr>
    </w:p>
    <w:p>
      <w:pPr>
        <w:pStyle w:val="Style180"/>
        <w:numPr>
          <w:ilvl w:val="0"/>
          <w:numId w:val="83"/>
        </w:numPr>
        <w:ind w:leftChars="0"/>
      </w:pPr>
      <w:bookmarkStart w:id="430" w:name="_Hlk154738128"/>
      <w:bookmarkStart w:id="431" w:name="_Hlk153445318"/>
      <w:r>
        <w:rPr>
          <w:rFonts w:hint="eastAsia"/>
        </w:rPr>
        <w:lastRenderedPageBreak/>
        <w:t>减值准备计提情况</w:t>
      </w:r>
    </w:p>
    <w:sdt>
      <w:sdtPr>
        <w:rPr>
          <w:rFonts w:cstheme="minorBidi"/>
          <w:bCs/>
          <w:szCs w:val="22"/>
        </w:rPr>
        <w:alias w:val="是否适用：按预期信用损失一般模型计提坏账准备[双击切换]"/>
        <w:tag w:val="_GBC_0d1fb53c8ffa4e0a963f48b26061efcb"/>
        <w:id w:val="-242498145"/>
        <w:placeholder>
          <w:docPart w:val="GBC22222222222222222222222222222"/>
        </w:placeholder>
      </w:sdtPr>
      <w:sdtContent>
        <w:p>
          <w:pPr>
            <w:pStyle w:val="Style175"/>
          </w:pPr>
          <w:r>
            <w:rPr>
              <w:rFonts w:ascii="宋体" w:hAnsi="宋体" w:cstheme="minorBidi"/>
              <w:bCs/>
              <w:sz w:val="21"/>
              <w:szCs w:val="22"/>
            </w:rPr>
            <w:fldChar w:fldCharType="begin"/>
          </w:r>
          <w:r>
            <w:rPr>
              <w:rFonts w:ascii="宋体" w:hAnsi="宋体" w:cstheme="minorBidi" w:hint="eastAsia"/>
              <w:bCs/>
              <w:sz w:val="21"/>
              <w:szCs w:val="22"/>
            </w:rPr>
            <w:instrText xml:space="preserve"> MACROBUTTON  SnrToggleCheckbox □适用 </w:instrText>
          </w:r>
          <w:r>
            <w:rPr>
              <w:rFonts w:ascii="宋体" w:hAnsi="宋体" w:cstheme="minorBidi"/>
              <w:bCs/>
              <w:sz w:val="21"/>
              <w:szCs w:val="22"/>
            </w:rPr>
            <w:fldChar w:fldCharType="end"/>
          </w:r>
          <w:r>
            <w:rPr>
              <w:rFonts w:ascii="宋体" w:hAnsi="宋体" w:cstheme="minorBidi"/>
              <w:bCs/>
              <w:sz w:val="21"/>
              <w:szCs w:val="22"/>
            </w:rPr>
            <w:fldChar w:fldCharType="begin"/>
          </w:r>
          <w:r>
            <w:rPr>
              <w:rFonts w:ascii="宋体" w:hAnsi="宋体" w:cstheme="minorBidi" w:hint="eastAsia"/>
              <w:bCs/>
              <w:sz w:val="21"/>
              <w:szCs w:val="22"/>
            </w:rPr>
            <w:instrText xml:space="preserve"> MACROBUTTON  SnrToggleCheckbox √不适用 </w:instrText>
          </w:r>
          <w:r>
            <w:rPr>
              <w:rFonts w:ascii="宋体" w:hAnsi="宋体" w:cstheme="minorBidi"/>
              <w:bCs/>
              <w:sz w:val="21"/>
              <w:szCs w:val="22"/>
            </w:rPr>
            <w:fldChar w:fldCharType="end"/>
          </w:r>
        </w:p>
      </w:sdtContent>
    </w:sdt>
    <w:p>
      <w:pPr>
        <w:pStyle w:val="Style175"/>
      </w:pPr>
    </w:p>
    <w:p>
      <w:pPr>
        <w:autoSpaceDE w:val="0"/>
        <w:autoSpaceDN w:val="0"/>
        <w:adjustRightInd w:val="0"/>
        <w:ind w:rightChars="50" w:right="105"/>
      </w:pPr>
      <w:r>
        <w:rPr>
          <w:rFonts w:hint="eastAsia"/>
        </w:rPr>
        <w:t>各阶段划分依据和坏账准备计提比例</w:t>
      </w:r>
    </w:p>
    <w:p>
      <w:pPr>
        <w:rPr>
          <w:bCs/>
          <w:szCs w:val="22"/>
        </w:rPr>
      </w:pPr>
    </w:p>
    <w:p>
      <w:pPr>
        <w:pStyle w:val="Style201"/>
      </w:pPr>
      <w:r>
        <w:rPr>
          <w:rFonts w:hint="eastAsia"/>
        </w:rPr>
        <w:t>对本期发生损失准备变动的账面余额显著变动的情况说明：</w:t>
      </w:r>
    </w:p>
    <w:sdt>
      <w:sdtPr>
        <w:alias w:val="是否适用：对本期发生损失准备变动的账面余额显著变动的情况说明[双击切换]"/>
        <w:tag w:val="_GBC_fa0e9c9170244925a2747bff354173f5"/>
        <w:id w:val="-830608140"/>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asciiTheme="minorHAnsi" w:hAnsiTheme="minorHAnsi" w:cstheme="minorBidi"/>
          <w:b/>
          <w:bCs/>
          <w:szCs w:val="22"/>
        </w:rPr>
      </w:pPr>
    </w:p>
    <w:bookmarkEnd w:id="430"/>
    <w:p>
      <w:pPr>
        <w:pStyle w:val="Style201"/>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本期坏账准备计提金额以及评估金融工具的信用风险是否显著增加的采用依据[双击切换]"/>
        <w:tag w:val="_GBC_c6eabd8797da4fa8b95f57c2955a4911"/>
        <w:id w:val="-95147114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83"/>
        </w:numPr>
        <w:ind w:leftChars="0"/>
      </w:pPr>
      <w:bookmarkStart w:id="432" w:name="_Hlk153445395"/>
      <w:bookmarkEnd w:id="431"/>
      <w:r>
        <w:rPr>
          <w:rFonts w:hint="eastAsia"/>
        </w:rPr>
        <w:t>本期实际核销的一年内到期的其他债权投资情况</w:t>
      </w:r>
    </w:p>
    <w:sdt>
      <w:sdtPr>
        <w:alias w:val="是否适用：实际核销的情况[双击切换]"/>
        <w:tag w:val="_GBC_9212c1113a904b678d8fb1a2d86f7019"/>
        <w:id w:val="70067206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其中重要的一年内到期的其他债权投资</w:t>
      </w:r>
      <w:r>
        <w:t>情况</w:t>
      </w:r>
      <w:r>
        <w:rPr>
          <w:rFonts w:hint="eastAsia"/>
        </w:rPr>
        <w:t>核销情况</w:t>
      </w:r>
    </w:p>
    <w:sdt>
      <w:sdtPr>
        <w:rPr>
          <w:rFonts w:hint="eastAsia"/>
        </w:rPr>
        <w:alias w:val="是否适用：重要的核销情况[双击切换]"/>
        <w:tag w:val="_GBC_c98249b3dc3145d19054fb9756ee59b3"/>
        <w:id w:val="85338338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一年内到期的其他债权投资的核销说明：</w:t>
      </w:r>
    </w:p>
    <w:sdt>
      <w:sdtPr>
        <w:alias w:val="是否适用：核销说明[双击切换]"/>
        <w:tag w:val="_GBC_675811ab7e6848269fce1647ebc33c30"/>
        <w:id w:val="2129815644"/>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bookmarkEnd w:id="432"/>
    <w:p>
      <w:pPr>
        <w:pStyle w:val="Style217"/>
      </w:pPr>
      <w:r>
        <w:rPr>
          <w:rFonts w:hint="eastAsia"/>
        </w:rPr>
        <w:t>其他说明：</w:t>
      </w:r>
    </w:p>
    <w:sdt>
      <w:sdtPr>
        <w:alias w:val="是否适用：一年内到期的其他债权投资情况的说明[双击切换]"/>
        <w:tag w:val="_GBC_bdcbfd51806c4358a1eaaf97341efe58"/>
        <w:id w:val="-21420396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right="210"/>
      </w:pPr>
    </w:p>
    <w:p>
      <w:pPr>
        <w:ind w:right="210"/>
      </w:pPr>
      <w:r>
        <w:rPr>
          <w:rFonts w:hint="eastAsia"/>
        </w:rPr>
        <w:t>一年内到期的非流动资产的其他说明：</w:t>
      </w:r>
    </w:p>
    <w:sdt>
      <w:sdtPr>
        <w:alias w:val="一年内到期的非流动资产其他说明"/>
        <w:tag w:val="_GBC_aebddb0e62fa4ec48ab98b4bc4575935"/>
        <w:id w:val="1020043351"/>
        <w:placeholder>
          <w:docPart w:val="GBC22222222222222222222222222222"/>
        </w:placeholder>
      </w:sdtPr>
      <w:sdtContent>
        <w:p>
          <w:pPr>
            <w:ind w:right="210"/>
          </w:pPr>
          <w:r>
            <w:rPr>
              <w:rFonts w:hint="eastAsia"/>
            </w:rPr>
            <w:t>-</w:t>
          </w:r>
        </w:p>
      </w:sdtContent>
    </w:sdt>
    <w:p>
      <w:pPr>
        <w:ind w:right="210"/>
      </w:pPr>
    </w:p>
    <w:p>
      <w:pPr>
        <w:pStyle w:val="Style178"/>
        <w:numPr>
          <w:ilvl w:val="0"/>
          <w:numId w:val="75"/>
        </w:numPr>
        <w:rPr>
          <w:szCs w:val="21"/>
        </w:rPr>
      </w:pPr>
      <w:bookmarkStart w:id="433" w:name="_Hlk533609053"/>
      <w:bookmarkEnd w:id="428"/>
      <w:r>
        <w:rPr>
          <w:szCs w:val="21"/>
        </w:rPr>
        <w:t>其他流动资产</w:t>
      </w:r>
    </w:p>
    <w:sdt>
      <w:sdtPr>
        <w:alias w:val="是否适用：其他流动资产[双击切换]"/>
        <w:tag w:val="_GBC_49fe7514f24d4f7fbf009ae51ff98d5a"/>
        <w:id w:val="-202331352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其他流动资产"/>
          <w:tag w:val="_GBC_8aa27294471c4172ba97de2c15d029c6"/>
          <w:id w:val="18108304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其他流动资产"/>
          <w:tag w:val="_GBC_8e1e40ac44704231aa91fcfbbccbd924"/>
          <w:id w:val="322305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6"/>
        <w:gridCol w:w="2917"/>
        <w:gridCol w:w="2845"/>
      </w:tblGrid>
      <w:tr>
        <w:bookmarkStart w:id="434" w:name="_Hlk533421736" w:displacedByCustomXml="next"/>
        <w:sdt>
          <w:sdtPr>
            <w:tag w:val="_PLD_a34f889fb3794268b1f04c9534377486"/>
            <w:id w:val="-1163855053"/>
          </w:sdtPr>
          <w:sdtContent>
            <w:tc>
              <w:tcPr>
                <w:tcW w:w="3286" w:type="dxa"/>
                <w:vAlign w:val="center"/>
              </w:tcPr>
              <w:p>
                <w:pPr>
                  <w:jc w:val="center"/>
                </w:pPr>
                <w:r>
                  <w:rPr>
                    <w:rFonts w:hint="eastAsia"/>
                  </w:rPr>
                  <w:t>项目</w:t>
                </w:r>
              </w:p>
            </w:tc>
          </w:sdtContent>
        </w:sdt>
        <w:sdt>
          <w:sdtPr>
            <w:tag w:val="_PLD_97b9b7e912e14a06b24f532e76914900"/>
            <w:id w:val="916056671"/>
          </w:sdtPr>
          <w:sdtContent>
            <w:tc>
              <w:tcPr>
                <w:tcW w:w="2917" w:type="dxa"/>
                <w:vAlign w:val="center"/>
              </w:tcPr>
              <w:p>
                <w:pPr>
                  <w:jc w:val="center"/>
                </w:pPr>
                <w:r>
                  <w:rPr>
                    <w:rFonts w:hint="eastAsia"/>
                  </w:rPr>
                  <w:t>期末余额</w:t>
                </w:r>
              </w:p>
            </w:tc>
          </w:sdtContent>
        </w:sdt>
        <w:sdt>
          <w:sdtPr>
            <w:tag w:val="_PLD_c02c94d4c7614f3cadd2972514fb87f4"/>
            <w:id w:val="-1381552045"/>
          </w:sdtPr>
          <w:sdtContent>
            <w:tc>
              <w:tcPr>
                <w:tcW w:w="2845" w:type="dxa"/>
                <w:vAlign w:val="center"/>
              </w:tcPr>
              <w:p>
                <w:pPr>
                  <w:jc w:val="center"/>
                </w:pPr>
                <w:r>
                  <w:rPr>
                    <w:rFonts w:hint="eastAsia"/>
                  </w:rPr>
                  <w:t>期初余额</w:t>
                </w:r>
              </w:p>
            </w:tc>
          </w:sdtContent>
        </w:sdt>
      </w:tr>
      <w:tr>
        <w:tc>
          <w:tcPr>
            <w:tcW w:w="3286" w:type="dxa"/>
            <w:vAlign w:val="center"/>
          </w:tcPr>
          <w:p>
            <w:pPr>
              <w:pStyle w:val="Style217"/>
            </w:pPr>
            <w:r>
              <w:rPr>
                <w:rFonts w:hint="eastAsia"/>
              </w:rPr>
              <w:t>发放贷款及垫款</w:t>
            </w:r>
          </w:p>
        </w:tc>
        <w:tc>
          <w:tcPr>
            <w:tcW w:w="2917" w:type="dxa"/>
            <w:vAlign w:val="center"/>
          </w:tcPr>
          <w:p>
            <w:pPr>
              <w:jc w:val="right"/>
            </w:pPr>
            <w:r>
              <w:rPr>
                <w:rFonts w:ascii="宋体" w:hAnsi="宋体" w:cs="宋体" w:hint="eastAsia"/>
              </w:rPr>
              <w:t>11,578,445</w:t>
            </w:r>
          </w:p>
        </w:tc>
        <w:tc>
          <w:tcPr>
            <w:tcW w:w="2845" w:type="dxa"/>
            <w:vAlign w:val="center"/>
          </w:tcPr>
          <w:p>
            <w:pPr>
              <w:jc w:val="right"/>
            </w:pPr>
            <w:r>
              <w:rPr>
                <w:rFonts w:ascii="宋体" w:hAnsi="宋体" w:cs="宋体" w:hint="eastAsia"/>
              </w:rPr>
              <w:t>8,080,326</w:t>
            </w:r>
          </w:p>
        </w:tc>
      </w:tr>
      <w:tr>
        <w:tc>
          <w:tcPr>
            <w:tcW w:w="3286" w:type="dxa"/>
            <w:vAlign w:val="center"/>
          </w:tcPr>
          <w:p>
            <w:pPr>
              <w:pStyle w:val="Style217"/>
            </w:pPr>
            <w:r>
              <w:rPr>
                <w:rFonts w:hint="eastAsia"/>
              </w:rPr>
              <w:t>土地塌陷、复原、重整及环保费</w:t>
            </w:r>
          </w:p>
        </w:tc>
        <w:tc>
          <w:tcPr>
            <w:tcW w:w="2917" w:type="dxa"/>
            <w:vAlign w:val="center"/>
          </w:tcPr>
          <w:p>
            <w:pPr>
              <w:jc w:val="right"/>
            </w:pPr>
            <w:r>
              <w:rPr>
                <w:rFonts w:ascii="宋体" w:hAnsi="宋体" w:cs="宋体" w:hint="eastAsia"/>
              </w:rPr>
              <w:t>19,843,698</w:t>
            </w:r>
          </w:p>
        </w:tc>
        <w:tc>
          <w:tcPr>
            <w:tcW w:w="2845" w:type="dxa"/>
            <w:vAlign w:val="center"/>
          </w:tcPr>
          <w:p>
            <w:pPr>
              <w:jc w:val="right"/>
            </w:pPr>
            <w:r>
              <w:rPr>
                <w:rFonts w:ascii="宋体" w:hAnsi="宋体" w:cs="宋体" w:hint="eastAsia"/>
              </w:rPr>
              <w:t>15,742,308</w:t>
            </w:r>
          </w:p>
        </w:tc>
      </w:tr>
      <w:tr>
        <w:tc>
          <w:tcPr>
            <w:tcW w:w="3286" w:type="dxa"/>
            <w:vAlign w:val="center"/>
          </w:tcPr>
          <w:p>
            <w:pPr>
              <w:pStyle w:val="Style217"/>
            </w:pPr>
            <w:r>
              <w:rPr>
                <w:rFonts w:hint="eastAsia"/>
              </w:rPr>
              <w:t>待抵扣进项税、预缴税款</w:t>
            </w:r>
          </w:p>
        </w:tc>
        <w:tc>
          <w:tcPr>
            <w:tcW w:w="2917" w:type="dxa"/>
            <w:vAlign w:val="center"/>
          </w:tcPr>
          <w:p>
            <w:pPr>
              <w:jc w:val="right"/>
            </w:pPr>
            <w:r>
              <w:rPr>
                <w:rFonts w:ascii="宋体" w:hAnsi="宋体" w:cs="宋体" w:hint="eastAsia"/>
              </w:rPr>
              <w:t>2,156,168</w:t>
            </w:r>
          </w:p>
        </w:tc>
        <w:tc>
          <w:tcPr>
            <w:tcW w:w="2845" w:type="dxa"/>
            <w:vAlign w:val="center"/>
          </w:tcPr>
          <w:p>
            <w:pPr>
              <w:jc w:val="right"/>
            </w:pPr>
            <w:r>
              <w:rPr>
                <w:rFonts w:ascii="宋体" w:hAnsi="宋体" w:cs="宋体" w:hint="eastAsia"/>
              </w:rPr>
              <w:t>1,624,165</w:t>
            </w:r>
          </w:p>
        </w:tc>
      </w:tr>
      <w:tr>
        <w:tc>
          <w:tcPr>
            <w:tcW w:w="3286" w:type="dxa"/>
            <w:vAlign w:val="center"/>
          </w:tcPr>
          <w:p>
            <w:pPr>
              <w:pStyle w:val="Style217"/>
            </w:pPr>
            <w:r>
              <w:rPr>
                <w:rFonts w:hint="eastAsia"/>
              </w:rPr>
              <w:t>应收保理款</w:t>
            </w:r>
          </w:p>
        </w:tc>
        <w:tc>
          <w:tcPr>
            <w:tcW w:w="2917" w:type="dxa"/>
            <w:vAlign w:val="center"/>
          </w:tcPr>
          <w:p>
            <w:pPr>
              <w:jc w:val="right"/>
            </w:pPr>
          </w:p>
        </w:tc>
        <w:tc>
          <w:tcPr>
            <w:tcW w:w="2845" w:type="dxa"/>
            <w:vAlign w:val="center"/>
          </w:tcPr>
          <w:p>
            <w:pPr>
              <w:jc w:val="right"/>
            </w:pPr>
            <w:r>
              <w:rPr>
                <w:rFonts w:ascii="宋体" w:hAnsi="宋体" w:cs="宋体" w:hint="eastAsia"/>
              </w:rPr>
              <w:t>56,620</w:t>
            </w:r>
          </w:p>
        </w:tc>
      </w:tr>
      <w:tr>
        <w:tc>
          <w:tcPr>
            <w:tcW w:w="3286" w:type="dxa"/>
            <w:vAlign w:val="center"/>
          </w:tcPr>
          <w:p>
            <w:pPr>
              <w:pStyle w:val="Style217"/>
            </w:pPr>
            <w:r>
              <w:rPr>
                <w:rFonts w:hint="eastAsia"/>
              </w:rPr>
              <w:t>预缴采矿权出让收益</w:t>
            </w:r>
          </w:p>
        </w:tc>
        <w:tc>
          <w:tcPr>
            <w:tcW w:w="2917" w:type="dxa"/>
            <w:vAlign w:val="center"/>
          </w:tcPr>
          <w:p>
            <w:pPr>
              <w:jc w:val="right"/>
            </w:pPr>
          </w:p>
        </w:tc>
        <w:tc>
          <w:tcPr>
            <w:tcW w:w="2845" w:type="dxa"/>
            <w:vAlign w:val="center"/>
          </w:tcPr>
          <w:p>
            <w:pPr>
              <w:jc w:val="right"/>
            </w:pPr>
            <w:r>
              <w:rPr>
                <w:rFonts w:ascii="宋体" w:hAnsi="宋体" w:cs="宋体" w:hint="eastAsia"/>
              </w:rPr>
              <w:t>196,539</w:t>
            </w:r>
          </w:p>
        </w:tc>
      </w:tr>
      <w:tr>
        <w:tc>
          <w:tcPr>
            <w:tcW w:w="3286" w:type="dxa"/>
            <w:vAlign w:val="center"/>
          </w:tcPr>
          <w:p>
            <w:pPr>
              <w:snapToGrid w:val="0"/>
            </w:pPr>
            <w:r>
              <w:rPr>
                <w:rFonts w:ascii="宋体" w:hAnsi="宋体" w:cs="宋体" w:hint="eastAsia"/>
                <w:sz w:val="18"/>
                <w:szCs w:val="18"/>
              </w:rPr>
              <w:t>环境治理保证金</w:t>
            </w:r>
          </w:p>
        </w:tc>
        <w:tc>
          <w:tcPr>
            <w:tcW w:w="2917" w:type="dxa"/>
            <w:vAlign w:val="center"/>
          </w:tcPr>
          <w:p>
            <w:pPr>
              <w:snapToGrid w:val="0"/>
              <w:jc w:val="right"/>
            </w:pPr>
            <w:r>
              <w:rPr>
                <w:rFonts w:ascii="宋体" w:hAnsi="宋体" w:cs="宋体" w:hint="eastAsia"/>
              </w:rPr>
              <w:t>63,557</w:t>
            </w:r>
          </w:p>
        </w:tc>
        <w:tc>
          <w:tcPr>
            <w:tcW w:w="2845" w:type="dxa"/>
            <w:vAlign w:val="center"/>
          </w:tcPr>
          <w:p>
            <w:pPr>
              <w:snapToGrid w:val="0"/>
              <w:jc w:val="right"/>
            </w:pPr>
            <w:r>
              <w:rPr>
                <w:rFonts w:ascii="宋体" w:hAnsi="宋体" w:cs="宋体" w:hint="eastAsia"/>
              </w:rPr>
              <w:t>63,665</w:t>
            </w:r>
          </w:p>
        </w:tc>
      </w:tr>
      <w:tr>
        <w:tc>
          <w:tcPr>
            <w:tcW w:w="3286" w:type="dxa"/>
            <w:vAlign w:val="center"/>
          </w:tcPr>
          <w:p>
            <w:pPr>
              <w:snapToGrid w:val="0"/>
            </w:pPr>
            <w:r>
              <w:rPr>
                <w:rFonts w:ascii="宋体" w:hAnsi="宋体" w:cs="宋体" w:hint="eastAsia"/>
                <w:sz w:val="18"/>
                <w:szCs w:val="18"/>
              </w:rPr>
              <w:t>长期服务假基金会补偿金</w:t>
            </w:r>
          </w:p>
        </w:tc>
        <w:tc>
          <w:tcPr>
            <w:tcW w:w="2917" w:type="dxa"/>
            <w:vAlign w:val="center"/>
          </w:tcPr>
          <w:p>
            <w:pPr>
              <w:snapToGrid w:val="0"/>
              <w:jc w:val="right"/>
            </w:pPr>
            <w:r>
              <w:rPr>
                <w:rFonts w:ascii="宋体" w:hAnsi="宋体" w:cs="宋体" w:hint="eastAsia"/>
              </w:rPr>
              <w:t>38,642</w:t>
            </w:r>
          </w:p>
        </w:tc>
        <w:tc>
          <w:tcPr>
            <w:tcW w:w="2845" w:type="dxa"/>
            <w:vAlign w:val="center"/>
          </w:tcPr>
          <w:p>
            <w:pPr>
              <w:snapToGrid w:val="0"/>
              <w:jc w:val="right"/>
            </w:pPr>
            <w:r>
              <w:rPr>
                <w:rFonts w:ascii="宋体" w:hAnsi="宋体" w:cs="宋体" w:hint="eastAsia"/>
              </w:rPr>
              <w:t>35,012</w:t>
            </w:r>
          </w:p>
        </w:tc>
      </w:tr>
      <w:tr>
        <w:tc>
          <w:tcPr>
            <w:tcW w:w="3286" w:type="dxa"/>
            <w:vAlign w:val="center"/>
          </w:tcPr>
          <w:p>
            <w:pPr>
              <w:snapToGrid w:val="0"/>
            </w:pPr>
            <w:r>
              <w:rPr>
                <w:rFonts w:ascii="宋体" w:hAnsi="宋体" w:cs="宋体" w:hint="eastAsia"/>
                <w:sz w:val="18"/>
                <w:szCs w:val="18"/>
              </w:rPr>
              <w:t>理财产品</w:t>
            </w:r>
          </w:p>
        </w:tc>
        <w:tc>
          <w:tcPr>
            <w:tcW w:w="2917" w:type="dxa"/>
            <w:vAlign w:val="center"/>
          </w:tcPr>
          <w:p>
            <w:pPr>
              <w:snapToGrid w:val="0"/>
              <w:jc w:val="right"/>
            </w:pPr>
            <w:r>
              <w:rPr>
                <w:rFonts w:ascii="宋体" w:hAnsi="宋体" w:cs="宋体" w:hint="eastAsia"/>
              </w:rPr>
              <w:t>787,776</w:t>
            </w:r>
          </w:p>
        </w:tc>
        <w:tc>
          <w:tcPr>
            <w:tcW w:w="2845" w:type="dxa"/>
            <w:vAlign w:val="center"/>
          </w:tcPr>
          <w:p>
            <w:pPr>
              <w:snapToGrid w:val="0"/>
              <w:jc w:val="right"/>
            </w:pPr>
            <w:r>
              <w:rPr>
                <w:rFonts w:ascii="宋体" w:hAnsi="宋体" w:cs="宋体" w:hint="eastAsia"/>
              </w:rPr>
              <w:t>98,224</w:t>
            </w:r>
          </w:p>
        </w:tc>
      </w:tr>
      <w:tr>
        <w:tc>
          <w:tcPr>
            <w:tcW w:w="3286" w:type="dxa"/>
            <w:vAlign w:val="center"/>
          </w:tcPr>
          <w:p>
            <w:pPr>
              <w:snapToGrid w:val="0"/>
            </w:pPr>
            <w:r>
              <w:rPr>
                <w:rFonts w:ascii="宋体" w:hAnsi="宋体" w:cs="宋体" w:hint="eastAsia"/>
                <w:sz w:val="18"/>
                <w:szCs w:val="18"/>
              </w:rPr>
              <w:t>其他</w:t>
            </w:r>
          </w:p>
        </w:tc>
        <w:tc>
          <w:tcPr>
            <w:tcW w:w="2917" w:type="dxa"/>
            <w:vAlign w:val="center"/>
          </w:tcPr>
          <w:p>
            <w:pPr>
              <w:snapToGrid w:val="0"/>
              <w:jc w:val="right"/>
            </w:pPr>
            <w:r>
              <w:rPr>
                <w:rFonts w:ascii="宋体" w:hAnsi="宋体" w:cs="宋体" w:hint="eastAsia"/>
              </w:rPr>
              <w:t>382,739</w:t>
            </w:r>
          </w:p>
        </w:tc>
        <w:tc>
          <w:tcPr>
            <w:tcW w:w="2845" w:type="dxa"/>
            <w:vAlign w:val="center"/>
          </w:tcPr>
          <w:p>
            <w:pPr>
              <w:snapToGrid w:val="0"/>
              <w:jc w:val="right"/>
            </w:pPr>
            <w:r>
              <w:rPr>
                <w:rFonts w:ascii="宋体" w:hAnsi="宋体" w:cs="宋体" w:hint="eastAsia"/>
              </w:rPr>
              <w:t>8,405</w:t>
            </w:r>
          </w:p>
        </w:tc>
      </w:tr>
      <w:tr>
        <w:tc>
          <w:tcPr>
            <w:tcW w:w="3286" w:type="dxa"/>
            <w:vAlign w:val="center"/>
          </w:tcPr>
          <w:p>
            <w:pPr>
              <w:snapToGrid w:val="0"/>
              <w:ind w:leftChars="-51" w:left="-107"/>
              <w:jc w:val="center"/>
            </w:pPr>
            <w:r>
              <w:rPr>
                <w:rFonts w:hint="eastAsia"/>
              </w:rPr>
              <w:t>合计</w:t>
            </w:r>
          </w:p>
        </w:tc>
        <w:tc>
          <w:tcPr>
            <w:tcW w:w="2917" w:type="dxa"/>
            <w:vAlign w:val="center"/>
          </w:tcPr>
          <w:p>
            <w:pPr>
              <w:snapToGrid w:val="0"/>
              <w:jc w:val="right"/>
            </w:pPr>
            <w:r>
              <w:rPr>
                <w:rFonts w:ascii="宋体" w:hAnsi="宋体" w:cs="宋体" w:hint="eastAsia"/>
              </w:rPr>
              <w:t>34,851,025</w:t>
            </w:r>
          </w:p>
        </w:tc>
        <w:tc>
          <w:tcPr>
            <w:tcW w:w="2845" w:type="dxa"/>
            <w:vAlign w:val="center"/>
          </w:tcPr>
          <w:p>
            <w:pPr>
              <w:snapToGrid w:val="0"/>
              <w:jc w:val="right"/>
            </w:pPr>
            <w:r>
              <w:rPr>
                <w:rFonts w:ascii="宋体" w:hAnsi="宋体" w:cs="宋体" w:hint="eastAsia"/>
              </w:rPr>
              <w:t>25,905,264</w:t>
            </w:r>
          </w:p>
        </w:tc>
      </w:tr>
    </w:tbl>
    <w:bookmarkEnd w:id="434"/>
    <w:p>
      <w:pPr>
        <w:pStyle w:val="Style217"/>
      </w:pPr>
      <w:r>
        <w:rPr>
          <w:rFonts w:hint="eastAsia"/>
        </w:rPr>
        <w:t>其他说明：</w:t>
      </w:r>
    </w:p>
    <w:sdt>
      <w:sdtPr>
        <w:rPr>
          <w:rFonts w:hint="eastAsia"/>
        </w:rPr>
        <w:alias w:val="其他流动资产说明"/>
        <w:tag w:val="_GBC_6b66243025624716a85c25ca534f7d52"/>
        <w:id w:val="565535226"/>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75"/>
        </w:numPr>
        <w:rPr>
          <w:szCs w:val="21"/>
        </w:rPr>
      </w:pPr>
      <w:bookmarkStart w:id="435" w:name="_Hlk533409588"/>
      <w:bookmarkEnd w:id="433"/>
      <w:r>
        <w:rPr>
          <w:szCs w:val="21"/>
        </w:rPr>
        <w:t>债权投资</w:t>
      </w:r>
    </w:p>
    <w:p>
      <w:pPr>
        <w:pStyle w:val="Style179"/>
        <w:numPr>
          <w:ilvl w:val="3"/>
          <w:numId w:val="84"/>
        </w:numPr>
        <w:ind w:left="426" w:hanging="426"/>
      </w:pPr>
      <w:bookmarkStart w:id="436" w:name="_Hlk532993723"/>
      <w:r>
        <w:rPr>
          <w:rFonts w:hint="eastAsia"/>
        </w:rPr>
        <w:t>债权投资情况</w:t>
      </w:r>
    </w:p>
    <w:sdt>
      <w:sdtPr>
        <w:alias w:val="是否适用：以摊余成本计量的长期债权投资[双击切换]"/>
        <w:tag w:val="_GBC_dbc7f90615cc46578228904cb4aa1cff"/>
        <w:id w:val="38715188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以摊余成本计量的长期债权投资"/>
          <w:tag w:val="_GBC_e4b2af44ab544925b7940c81ec4f76a8"/>
          <w:id w:val="5899805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以摊余成本计量的长期债权投资"/>
          <w:tag w:val="_GBC_844b3b4285304877a6269088d25bb6e0"/>
          <w:id w:val="-12783288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791"/>
        <w:gridCol w:w="1282"/>
        <w:gridCol w:w="1150"/>
        <w:gridCol w:w="1202"/>
        <w:gridCol w:w="1270"/>
        <w:gridCol w:w="1175"/>
        <w:gridCol w:w="1187"/>
      </w:tblGrid>
      <w:tr>
        <w:trPr>
          <w:cantSplit/>
        </w:trPr>
        <w:sdt>
          <w:sdtPr>
            <w:tag w:val="_PLD_641e2acdea5b465389b0cf9a9a5b09ad"/>
            <w:id w:val="-116146140"/>
          </w:sdtPr>
          <w:sdtContent>
            <w:tc>
              <w:tcPr>
                <w:tcW w:w="1791" w:type="dxa"/>
                <w:vMerge w:val="restart"/>
                <w:vAlign w:val="center"/>
              </w:tcPr>
              <w:p>
                <w:pPr>
                  <w:jc w:val="center"/>
                </w:pPr>
                <w:r>
                  <w:rPr>
                    <w:rFonts w:hint="eastAsia"/>
                  </w:rPr>
                  <w:t>项目</w:t>
                </w:r>
              </w:p>
            </w:tc>
          </w:sdtContent>
        </w:sdt>
        <w:sdt>
          <w:sdtPr>
            <w:tag w:val="_PLD_bb05d19aa0fc43b595aeb3a6f7a5144e"/>
            <w:id w:val="-1686429865"/>
          </w:sdtPr>
          <w:sdtContent>
            <w:tc>
              <w:tcPr>
                <w:tcW w:w="3634" w:type="dxa"/>
                <w:gridSpan w:val="3"/>
                <w:vAlign w:val="center"/>
              </w:tcPr>
              <w:p>
                <w:pPr>
                  <w:autoSpaceDE w:val="0"/>
                  <w:autoSpaceDN w:val="0"/>
                  <w:adjustRightInd w:val="0"/>
                  <w:snapToGrid w:val="0"/>
                  <w:spacing w:line="240" w:lineRule="atLeast"/>
                  <w:jc w:val="center"/>
                </w:pPr>
                <w:r>
                  <w:rPr>
                    <w:rFonts w:hint="eastAsia"/>
                  </w:rPr>
                  <w:t>期末余额</w:t>
                </w:r>
              </w:p>
            </w:tc>
          </w:sdtContent>
        </w:sdt>
        <w:sdt>
          <w:sdtPr>
            <w:tag w:val="_PLD_54e466b4eeec4c2380fbadf96ea47833"/>
            <w:id w:val="-2000875106"/>
          </w:sdtPr>
          <w:sdtContent>
            <w:tc>
              <w:tcPr>
                <w:tcW w:w="3632" w:type="dxa"/>
                <w:gridSpan w:val="3"/>
                <w:vAlign w:val="center"/>
              </w:tcPr>
              <w:p>
                <w:pPr>
                  <w:autoSpaceDE w:val="0"/>
                  <w:autoSpaceDN w:val="0"/>
                  <w:adjustRightInd w:val="0"/>
                  <w:snapToGrid w:val="0"/>
                  <w:spacing w:line="240" w:lineRule="atLeast"/>
                  <w:jc w:val="center"/>
                </w:pPr>
                <w:r>
                  <w:rPr>
                    <w:rFonts w:hint="eastAsia"/>
                  </w:rPr>
                  <w:t>期初余额</w:t>
                </w:r>
              </w:p>
            </w:tc>
          </w:sdtContent>
        </w:sdt>
      </w:tr>
      <w:tr>
        <w:trPr>
          <w:cantSplit/>
        </w:trPr>
        <w:tc>
          <w:tcPr>
            <w:tcW w:w="1791" w:type="dxa"/>
            <w:vMerge/>
            <w:vAlign w:val="center"/>
          </w:tcPr>
          <w:p>
            <w:pPr>
              <w:jc w:val="center"/>
            </w:pPr>
          </w:p>
        </w:tc>
        <w:sdt>
          <w:sdtPr>
            <w:tag w:val="_PLD_2f38b39e23df473e8d5fb07365f7092f"/>
            <w:id w:val="798577327"/>
          </w:sdtPr>
          <w:sdtContent>
            <w:tc>
              <w:tcPr>
                <w:tcW w:w="1282" w:type="dxa"/>
                <w:vAlign w:val="center"/>
              </w:tcPr>
              <w:p>
                <w:pPr>
                  <w:jc w:val="center"/>
                </w:pPr>
                <w:r>
                  <w:rPr>
                    <w:rFonts w:hint="eastAsia"/>
                  </w:rPr>
                  <w:t>账面余额</w:t>
                </w:r>
              </w:p>
            </w:tc>
          </w:sdtContent>
        </w:sdt>
        <w:sdt>
          <w:sdtPr>
            <w:tag w:val="_PLD_700afc848f304a6bb239d4ba71b88363"/>
            <w:id w:val="-1211114273"/>
          </w:sdtPr>
          <w:sdtContent>
            <w:tc>
              <w:tcPr>
                <w:tcW w:w="1150" w:type="dxa"/>
                <w:vAlign w:val="center"/>
              </w:tcPr>
              <w:p>
                <w:pPr>
                  <w:jc w:val="center"/>
                </w:pPr>
                <w:r>
                  <w:rPr>
                    <w:rFonts w:hint="eastAsia"/>
                  </w:rPr>
                  <w:t>减值准备</w:t>
                </w:r>
              </w:p>
            </w:tc>
          </w:sdtContent>
        </w:sdt>
        <w:sdt>
          <w:sdtPr>
            <w:tag w:val="_PLD_fa422c3c2cf34a3aad6f54a2ec1b1238"/>
            <w:id w:val="-969896859"/>
          </w:sdtPr>
          <w:sdtContent>
            <w:tc>
              <w:tcPr>
                <w:tcW w:w="1202" w:type="dxa"/>
                <w:vAlign w:val="center"/>
              </w:tcPr>
              <w:p>
                <w:pPr>
                  <w:jc w:val="center"/>
                </w:pPr>
                <w:r>
                  <w:rPr>
                    <w:rFonts w:hint="eastAsia"/>
                  </w:rPr>
                  <w:t>账面价值</w:t>
                </w:r>
              </w:p>
            </w:tc>
          </w:sdtContent>
        </w:sdt>
        <w:sdt>
          <w:sdtPr>
            <w:tag w:val="_PLD_34965d3b66af46c680bb205960c1f786"/>
            <w:id w:val="1362403244"/>
          </w:sdtPr>
          <w:sdtContent>
            <w:tc>
              <w:tcPr>
                <w:tcW w:w="1270" w:type="dxa"/>
                <w:vAlign w:val="center"/>
              </w:tcPr>
              <w:p>
                <w:pPr>
                  <w:jc w:val="center"/>
                </w:pPr>
                <w:r>
                  <w:rPr>
                    <w:rFonts w:hint="eastAsia"/>
                  </w:rPr>
                  <w:t>账面余额</w:t>
                </w:r>
              </w:p>
            </w:tc>
          </w:sdtContent>
        </w:sdt>
        <w:sdt>
          <w:sdtPr>
            <w:tag w:val="_PLD_8cc6f9efceac4df3b7df82f8e339722a"/>
            <w:id w:val="-66112696"/>
          </w:sdtPr>
          <w:sdtContent>
            <w:tc>
              <w:tcPr>
                <w:tcW w:w="1175" w:type="dxa"/>
                <w:vAlign w:val="center"/>
              </w:tcPr>
              <w:p>
                <w:pPr>
                  <w:jc w:val="center"/>
                </w:pPr>
                <w:r>
                  <w:rPr>
                    <w:rFonts w:hint="eastAsia"/>
                  </w:rPr>
                  <w:t>减值准备</w:t>
                </w:r>
              </w:p>
            </w:tc>
          </w:sdtContent>
        </w:sdt>
        <w:sdt>
          <w:sdtPr>
            <w:tag w:val="_PLD_23d43e3c982642b198da573116b4069d"/>
            <w:id w:val="-1314720010"/>
          </w:sdtPr>
          <w:sdtContent>
            <w:tc>
              <w:tcPr>
                <w:tcW w:w="1187" w:type="dxa"/>
                <w:vAlign w:val="center"/>
              </w:tcPr>
              <w:p>
                <w:pPr>
                  <w:jc w:val="center"/>
                </w:pPr>
                <w:r>
                  <w:rPr>
                    <w:rFonts w:hint="eastAsia"/>
                  </w:rPr>
                  <w:t>账面价值</w:t>
                </w:r>
              </w:p>
            </w:tc>
          </w:sdtContent>
        </w:sdt>
      </w:tr>
      <w:tr>
        <w:trPr>
          <w:cantSplit/>
        </w:trPr>
        <w:tc>
          <w:tcPr>
            <w:tcW w:w="1791" w:type="dxa"/>
            <w:vAlign w:val="center"/>
          </w:tcPr>
          <w:p>
            <w:pPr>
              <w:pStyle w:val="Style217"/>
            </w:pPr>
            <w:r>
              <w:rPr>
                <w:rFonts w:hint="eastAsia"/>
              </w:rPr>
              <w:t>委托贷款</w:t>
            </w:r>
          </w:p>
        </w:tc>
        <w:tc>
          <w:tcPr>
            <w:tcW w:w="1282" w:type="dxa"/>
            <w:vAlign w:val="center"/>
          </w:tcPr>
          <w:p>
            <w:pPr>
              <w:jc w:val="right"/>
            </w:pPr>
            <w:r>
              <w:rPr>
                <w:rFonts w:ascii="宋体" w:hAnsi="宋体" w:cs="宋体" w:hint="eastAsia"/>
              </w:rPr>
              <w:t>5,175</w:t>
            </w:r>
          </w:p>
        </w:tc>
        <w:tc>
          <w:tcPr>
            <w:tcW w:w="1150" w:type="dxa"/>
            <w:vAlign w:val="center"/>
          </w:tcPr>
          <w:p>
            <w:pPr>
              <w:jc w:val="right"/>
            </w:pPr>
          </w:p>
        </w:tc>
        <w:tc>
          <w:tcPr>
            <w:tcW w:w="1202" w:type="dxa"/>
            <w:vAlign w:val="center"/>
          </w:tcPr>
          <w:p>
            <w:pPr>
              <w:jc w:val="right"/>
            </w:pPr>
            <w:r>
              <w:rPr>
                <w:rFonts w:ascii="宋体" w:hAnsi="宋体" w:cs="宋体" w:hint="eastAsia"/>
              </w:rPr>
              <w:t>5,175</w:t>
            </w:r>
          </w:p>
        </w:tc>
        <w:tc>
          <w:tcPr>
            <w:tcW w:w="1270" w:type="dxa"/>
            <w:vAlign w:val="center"/>
          </w:tcPr>
          <w:p>
            <w:pPr>
              <w:jc w:val="right"/>
            </w:pPr>
            <w:r>
              <w:rPr>
                <w:rFonts w:ascii="宋体" w:hAnsi="宋体" w:cs="宋体" w:hint="eastAsia"/>
              </w:rPr>
              <w:t>190,000</w:t>
            </w:r>
          </w:p>
        </w:tc>
        <w:tc>
          <w:tcPr>
            <w:tcW w:w="1175" w:type="dxa"/>
            <w:vAlign w:val="center"/>
          </w:tcPr>
          <w:p>
            <w:pPr>
              <w:jc w:val="right"/>
            </w:pPr>
            <w:r>
              <w:rPr>
                <w:rFonts w:ascii="宋体" w:hAnsi="宋体" w:cs="宋体" w:hint="eastAsia"/>
              </w:rPr>
              <w:t>190,000</w:t>
            </w:r>
          </w:p>
        </w:tc>
        <w:tc>
          <w:tcPr>
            <w:tcW w:w="1187" w:type="dxa"/>
            <w:vAlign w:val="center"/>
          </w:tcPr>
          <w:p>
            <w:pPr>
              <w:jc w:val="right"/>
            </w:pPr>
          </w:p>
        </w:tc>
      </w:tr>
      <w:tr>
        <w:trPr>
          <w:cantSplit/>
        </w:trPr>
        <w:tc>
          <w:tcPr>
            <w:tcW w:w="1791" w:type="dxa"/>
            <w:vAlign w:val="center"/>
          </w:tcPr>
          <w:p>
            <w:pPr>
              <w:pStyle w:val="Style217"/>
            </w:pPr>
            <w:r>
              <w:rPr>
                <w:rFonts w:hint="eastAsia"/>
              </w:rPr>
              <w:t>格拉斯通债券</w:t>
            </w:r>
          </w:p>
        </w:tc>
        <w:tc>
          <w:tcPr>
            <w:tcW w:w="1282" w:type="dxa"/>
            <w:vAlign w:val="center"/>
          </w:tcPr>
          <w:p>
            <w:pPr>
              <w:jc w:val="right"/>
            </w:pPr>
            <w:r>
              <w:rPr>
                <w:rFonts w:ascii="宋体" w:hAnsi="宋体" w:cs="宋体" w:hint="eastAsia"/>
              </w:rPr>
              <w:t>147,710</w:t>
            </w:r>
          </w:p>
        </w:tc>
        <w:tc>
          <w:tcPr>
            <w:tcW w:w="1150" w:type="dxa"/>
            <w:vAlign w:val="center"/>
          </w:tcPr>
          <w:p>
            <w:pPr>
              <w:jc w:val="right"/>
            </w:pPr>
            <w:r>
              <w:rPr>
                <w:rFonts w:ascii="宋体" w:hAnsi="宋体" w:cs="宋体" w:hint="eastAsia"/>
              </w:rPr>
              <w:t>81,124</w:t>
            </w:r>
          </w:p>
        </w:tc>
        <w:tc>
          <w:tcPr>
            <w:tcW w:w="1202" w:type="dxa"/>
            <w:vAlign w:val="center"/>
          </w:tcPr>
          <w:p>
            <w:pPr>
              <w:jc w:val="right"/>
            </w:pPr>
            <w:r>
              <w:rPr>
                <w:rFonts w:ascii="宋体" w:hAnsi="宋体" w:cs="宋体" w:hint="eastAsia"/>
              </w:rPr>
              <w:t>66,586</w:t>
            </w:r>
          </w:p>
        </w:tc>
        <w:tc>
          <w:tcPr>
            <w:tcW w:w="1270" w:type="dxa"/>
            <w:vAlign w:val="center"/>
          </w:tcPr>
          <w:p>
            <w:pPr>
              <w:jc w:val="right"/>
            </w:pPr>
            <w:r>
              <w:rPr>
                <w:rFonts w:ascii="宋体" w:hAnsi="宋体" w:cs="宋体" w:hint="eastAsia"/>
              </w:rPr>
              <w:t>141,971</w:t>
            </w:r>
          </w:p>
        </w:tc>
        <w:tc>
          <w:tcPr>
            <w:tcW w:w="1175" w:type="dxa"/>
            <w:vAlign w:val="center"/>
          </w:tcPr>
          <w:p>
            <w:pPr>
              <w:jc w:val="right"/>
            </w:pPr>
            <w:r>
              <w:rPr>
                <w:rFonts w:ascii="宋体" w:hAnsi="宋体" w:cs="宋体" w:hint="eastAsia"/>
              </w:rPr>
              <w:t>77,972</w:t>
            </w:r>
          </w:p>
        </w:tc>
        <w:tc>
          <w:tcPr>
            <w:tcW w:w="1187" w:type="dxa"/>
            <w:vAlign w:val="center"/>
          </w:tcPr>
          <w:p>
            <w:pPr>
              <w:jc w:val="right"/>
            </w:pPr>
            <w:r>
              <w:rPr>
                <w:rFonts w:ascii="宋体" w:hAnsi="宋体" w:cs="宋体" w:hint="eastAsia"/>
              </w:rPr>
              <w:t>63,999</w:t>
            </w:r>
          </w:p>
        </w:tc>
      </w:tr>
      <w:tr>
        <w:trPr>
          <w:cantSplit/>
        </w:trPr>
        <w:tc>
          <w:tcPr>
            <w:tcW w:w="1791" w:type="dxa"/>
            <w:vAlign w:val="center"/>
          </w:tcPr>
          <w:p>
            <w:pPr>
              <w:jc w:val="center"/>
            </w:pPr>
            <w:r>
              <w:rPr>
                <w:rFonts w:hint="eastAsia"/>
              </w:rPr>
              <w:t>合计</w:t>
            </w:r>
          </w:p>
        </w:tc>
        <w:tc>
          <w:tcPr>
            <w:tcW w:w="1282" w:type="dxa"/>
            <w:vAlign w:val="center"/>
          </w:tcPr>
          <w:p>
            <w:pPr>
              <w:jc w:val="right"/>
            </w:pPr>
            <w:r>
              <w:rPr>
                <w:rFonts w:ascii="宋体" w:hAnsi="宋体" w:cs="宋体" w:hint="eastAsia"/>
              </w:rPr>
              <w:t>152,885</w:t>
            </w:r>
          </w:p>
        </w:tc>
        <w:tc>
          <w:tcPr>
            <w:tcW w:w="1150" w:type="dxa"/>
            <w:vAlign w:val="center"/>
          </w:tcPr>
          <w:p>
            <w:pPr>
              <w:jc w:val="right"/>
            </w:pPr>
            <w:r>
              <w:rPr>
                <w:rFonts w:ascii="宋体" w:hAnsi="宋体" w:cs="宋体" w:hint="eastAsia"/>
              </w:rPr>
              <w:t>81,124</w:t>
            </w:r>
          </w:p>
        </w:tc>
        <w:tc>
          <w:tcPr>
            <w:tcW w:w="1202" w:type="dxa"/>
            <w:vAlign w:val="center"/>
          </w:tcPr>
          <w:p>
            <w:pPr>
              <w:jc w:val="right"/>
            </w:pPr>
            <w:r>
              <w:rPr>
                <w:rFonts w:ascii="宋体" w:hAnsi="宋体" w:cs="宋体" w:hint="eastAsia"/>
              </w:rPr>
              <w:t>71,761</w:t>
            </w:r>
          </w:p>
        </w:tc>
        <w:tc>
          <w:tcPr>
            <w:tcW w:w="1270" w:type="dxa"/>
            <w:vAlign w:val="center"/>
          </w:tcPr>
          <w:p>
            <w:pPr>
              <w:jc w:val="right"/>
            </w:pPr>
            <w:r>
              <w:rPr>
                <w:rFonts w:ascii="宋体" w:hAnsi="宋体" w:cs="宋体" w:hint="eastAsia"/>
              </w:rPr>
              <w:t>331,971</w:t>
            </w:r>
          </w:p>
        </w:tc>
        <w:tc>
          <w:tcPr>
            <w:tcW w:w="1175" w:type="dxa"/>
            <w:vAlign w:val="center"/>
          </w:tcPr>
          <w:p>
            <w:pPr>
              <w:jc w:val="right"/>
            </w:pPr>
            <w:r>
              <w:rPr>
                <w:rFonts w:ascii="宋体" w:hAnsi="宋体" w:cs="宋体" w:hint="eastAsia"/>
              </w:rPr>
              <w:t>267,972</w:t>
            </w:r>
          </w:p>
        </w:tc>
        <w:tc>
          <w:tcPr>
            <w:tcW w:w="1187" w:type="dxa"/>
            <w:vAlign w:val="center"/>
          </w:tcPr>
          <w:p>
            <w:pPr>
              <w:jc w:val="right"/>
            </w:pPr>
            <w:r>
              <w:rPr>
                <w:rFonts w:ascii="宋体" w:hAnsi="宋体" w:cs="宋体" w:hint="eastAsia"/>
              </w:rPr>
              <w:t>63,999</w:t>
            </w:r>
          </w:p>
        </w:tc>
      </w:tr>
    </w:tbl>
    <w:p>
      <w:pPr>
        <w:pStyle w:val="Style217"/>
      </w:pPr>
    </w:p>
    <w:p>
      <w:pPr>
        <w:pStyle w:val="Style217"/>
      </w:pPr>
      <w:bookmarkStart w:id="437" w:name="_Hlk153455457"/>
      <w:r>
        <w:rPr>
          <w:rFonts w:hint="eastAsia"/>
        </w:rPr>
        <w:t>债权投资减值准备本期变动情况</w:t>
      </w:r>
    </w:p>
    <w:sdt>
      <w:sdtPr>
        <w:alias w:val="是否适用：减值准备本期变动情况[双击切换]"/>
        <w:tag w:val="_GBC_87c0bbb5863948af834604c8aeaf814f"/>
        <w:id w:val="-168111220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84"/>
        </w:numPr>
        <w:ind w:left="426" w:hanging="426"/>
      </w:pPr>
      <w:bookmarkStart w:id="438" w:name="_Hlk532994191"/>
      <w:bookmarkEnd w:id="437"/>
      <w:r>
        <w:rPr>
          <w:rFonts w:hint="eastAsia"/>
        </w:rPr>
        <w:t>期末重要的债权投资</w:t>
      </w:r>
    </w:p>
    <w:sdt>
      <w:sdtPr>
        <w:alias w:val="是否适用：重要的债权投资[双击切换]"/>
        <w:tag w:val="_GBC_ca6db275ff8944c2900ec34693d6ebf6"/>
        <w:id w:val="-69908563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84"/>
        </w:numPr>
        <w:ind w:left="426" w:hanging="426"/>
      </w:pPr>
      <w:bookmarkStart w:id="439" w:name="_Hlk533872317"/>
      <w:bookmarkEnd w:id="435"/>
      <w:bookmarkEnd w:id="436"/>
      <w:bookmarkEnd w:id="438"/>
      <w:r>
        <w:rPr>
          <w:rFonts w:hint="eastAsia"/>
        </w:rPr>
        <w:t>减值准备计提情况</w:t>
      </w:r>
    </w:p>
    <w:sdt>
      <w:sdtPr>
        <w:alias w:val="是否适用：债权投资减值准备调节表[双击切换]"/>
        <w:tag w:val="_GBC_686136d6dd874d559865e7aa5dd1a835"/>
        <w:id w:val="205573439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各阶段划分依据和减值准备计提比例：</w:t>
      </w:r>
    </w:p>
    <w:sdt>
      <w:sdtPr>
        <w:alias w:val="债权投资各阶段划分依据和减值准备计提比例"/>
        <w:tag w:val="_GBC_60f5cb3d88a34c9d9e0fb015def585fa"/>
        <w:id w:val="-1145807434"/>
        <w:placeholder>
          <w:docPart w:val="GBC22222222222222222222222222222"/>
        </w:placeholder>
      </w:sdtPr>
      <w:sdtContent>
        <w:p>
          <w:pPr>
            <w:pStyle w:val="Style217"/>
          </w:pPr>
          <w:r>
            <w:rPr>
              <w:rFonts w:hint="eastAsia"/>
            </w:rPr>
            <w:t>-</w:t>
          </w:r>
        </w:p>
      </w:sdtContent>
    </w:sdt>
    <w:p>
      <w:pPr>
        <w:pStyle w:val="Style217"/>
      </w:pPr>
    </w:p>
    <w:p>
      <w:pPr>
        <w:pStyle w:val="Style201"/>
      </w:pPr>
      <w:r>
        <w:rPr>
          <w:rFonts w:hint="eastAsia"/>
        </w:rPr>
        <w:t>对本期发生损失准备变动的债权投资账面余额显著变动的情况说明：</w:t>
      </w:r>
    </w:p>
    <w:sdt>
      <w:sdtPr>
        <w:alias w:val="是否适用：债权投资本期发生损失准备变动且账面余额显著变动的情况说明[双击切换]"/>
        <w:tag w:val="_GBC_5f05e251eb914f049048988a9e9168df"/>
        <w:id w:val="1994528056"/>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autoSpaceDE w:val="0"/>
        <w:autoSpaceDN w:val="0"/>
        <w:adjustRightInd w:val="0"/>
        <w:ind w:rightChars="50" w:right="105"/>
      </w:pPr>
    </w:p>
    <w:bookmarkEnd w:id="439"/>
    <w:p>
      <w:pPr>
        <w:pStyle w:val="Style201"/>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105905711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84"/>
        </w:numPr>
        <w:ind w:left="426" w:hanging="426"/>
      </w:pPr>
      <w:bookmarkStart w:id="440" w:name="_Hlk153455555"/>
      <w:r>
        <w:rPr>
          <w:rFonts w:hint="eastAsia"/>
        </w:rPr>
        <w:t>本期实际的核销债权投资情况</w:t>
      </w:r>
    </w:p>
    <w:sdt>
      <w:sdtPr>
        <w:alias w:val="是否适用：实际核销的情况[双击切换]"/>
        <w:tag w:val="_GBC_fc91e5e5672d4b4eb2e0779a0867e84c"/>
        <w:id w:val="194912536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其中重要的债权投资</w:t>
      </w:r>
      <w:r>
        <w:t>情况</w:t>
      </w:r>
      <w:r>
        <w:rPr>
          <w:rFonts w:hint="eastAsia"/>
        </w:rPr>
        <w:t>核销情况</w:t>
      </w:r>
    </w:p>
    <w:sdt>
      <w:sdtPr>
        <w:rPr>
          <w:rFonts w:hint="eastAsia"/>
        </w:rPr>
        <w:alias w:val="是否适用：重要的核销情况[双击切换]"/>
        <w:tag w:val="_GBC_b1835377ab8f4324a0ddc492f3da304c"/>
        <w:id w:val="-194691964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债权投资的核销说明：</w:t>
      </w:r>
    </w:p>
    <w:sdt>
      <w:sdtPr>
        <w:alias w:val="是否适用：核销说明[双击切换]"/>
        <w:tag w:val="_GBC_f135d5c946cc473182fa418ce9c408ae"/>
        <w:id w:val="1152719447"/>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bookmarkEnd w:id="440"/>
    <w:p>
      <w:pPr>
        <w:pStyle w:val="Style217"/>
      </w:pPr>
      <w:r>
        <w:rPr>
          <w:rFonts w:hint="eastAsia"/>
        </w:rPr>
        <w:t>其他说明：</w:t>
      </w:r>
    </w:p>
    <w:sdt>
      <w:sdtPr>
        <w:alias w:val="是否适用：债权投资其他说明[双击切换]"/>
        <w:tag w:val="_GBC_17cf4c675aec4f36816c24c079df205c"/>
        <w:id w:val="-941375448"/>
        <w:placeholder>
          <w:docPart w:val="GBC22222222222222222222222222222"/>
        </w:placeholder>
      </w:sdtPr>
      <w:sdtContent>
        <w:p>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right="210"/>
      </w:pPr>
    </w:p>
    <w:p>
      <w:pPr>
        <w:pStyle w:val="Style178"/>
        <w:numPr>
          <w:ilvl w:val="0"/>
          <w:numId w:val="75"/>
        </w:numPr>
        <w:rPr>
          <w:szCs w:val="21"/>
        </w:rPr>
      </w:pPr>
      <w:r>
        <w:rPr>
          <w:szCs w:val="21"/>
        </w:rPr>
        <w:t>其他债权投资</w:t>
      </w:r>
    </w:p>
    <w:p>
      <w:pPr>
        <w:pStyle w:val="Style179"/>
        <w:numPr>
          <w:ilvl w:val="3"/>
          <w:numId w:val="85"/>
        </w:numPr>
        <w:ind w:left="426" w:hanging="426"/>
      </w:pPr>
      <w:r>
        <w:rPr>
          <w:rFonts w:hint="eastAsia"/>
        </w:rPr>
        <w:t>其他债权投资情况</w:t>
      </w:r>
    </w:p>
    <w:sdt>
      <w:sdtPr>
        <w:alias w:val="是否适用：其他债权投资情况[双击切换]"/>
        <w:tag w:val="_GBC_23599130a9db43be881f1fb4a46d3b7e"/>
        <w:id w:val="863631796"/>
        <w:placeholder>
          <w:docPart w:val="GBC22222222222222222222222222222"/>
        </w:placeholder>
      </w:sdtPr>
      <w:sdtContent>
        <w:p>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right="210"/>
      </w:pPr>
    </w:p>
    <w:p>
      <w:pPr>
        <w:pStyle w:val="Style217"/>
      </w:pPr>
      <w:bookmarkStart w:id="441" w:name="_Hlk153455695"/>
      <w:r>
        <w:rPr>
          <w:rFonts w:hint="eastAsia"/>
        </w:rPr>
        <w:t>其他债权投资减值准备本期变动情况</w:t>
      </w:r>
    </w:p>
    <w:sdt>
      <w:sdtPr>
        <w:alias w:val="是否适用：减值准备本期变动情况[双击切换]"/>
        <w:tag w:val="_GBC_3e5ec98f577f4409b379fbfcb3b1cc79"/>
        <w:id w:val="-44754306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41"/>
    <w:p>
      <w:pPr>
        <w:pStyle w:val="Style217"/>
      </w:pPr>
    </w:p>
    <w:p>
      <w:pPr>
        <w:pStyle w:val="Style179"/>
        <w:numPr>
          <w:ilvl w:val="3"/>
          <w:numId w:val="85"/>
        </w:numPr>
        <w:ind w:left="426" w:hanging="426"/>
      </w:pPr>
      <w:bookmarkStart w:id="442" w:name="_Hlk533848078"/>
      <w:r>
        <w:rPr>
          <w:rFonts w:hint="eastAsia"/>
        </w:rPr>
        <w:t>期末重要的其他债权投资</w:t>
      </w:r>
    </w:p>
    <w:sdt>
      <w:sdtPr>
        <w:alias w:val="是否适用：重要的其他债权投资[双击切换]"/>
        <w:tag w:val="_GBC_bb82f40f19284b2489199fbaa477b35c"/>
        <w:id w:val="2011956086"/>
        <w:placeholder>
          <w:docPart w:val="GBC22222222222222222222222222222"/>
        </w:placeholder>
      </w:sdtPr>
      <w:sdtContent>
        <w:p>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right="210"/>
      </w:pPr>
    </w:p>
    <w:p>
      <w:pPr>
        <w:pStyle w:val="Style179"/>
        <w:numPr>
          <w:ilvl w:val="3"/>
          <w:numId w:val="85"/>
        </w:numPr>
        <w:ind w:left="426" w:hanging="426"/>
      </w:pPr>
      <w:bookmarkStart w:id="443" w:name="_Hlk533872678"/>
      <w:bookmarkEnd w:id="442"/>
      <w:r>
        <w:rPr>
          <w:rFonts w:hint="eastAsia"/>
        </w:rPr>
        <w:lastRenderedPageBreak/>
        <w:t>减值准备计提情况</w:t>
      </w:r>
    </w:p>
    <w:sdt>
      <w:sdtPr>
        <w:alias w:val="是否适用：其他债权投资减值准备调节表[双击切换]"/>
        <w:tag w:val="_GBC_4fb0e145a1004885abb87d20ed68a2ed"/>
        <w:id w:val="12891128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各阶段划分依据和减值准备计提比例：</w:t>
      </w:r>
    </w:p>
    <w:sdt>
      <w:sdtPr>
        <w:rPr>
          <w:rFonts w:hint="eastAsia"/>
        </w:rPr>
        <w:alias w:val="其他债权投资各阶段划分依据和减值准备计提比例"/>
        <w:tag w:val="_GBC_7a6f88a666dd4467adf9d3fa4f8e9354"/>
        <w:id w:val="43494520"/>
        <w:placeholder>
          <w:docPart w:val="GBC22222222222222222222222222222"/>
        </w:placeholder>
      </w:sdtPr>
      <w:sdtContent>
        <w:p>
          <w:pPr>
            <w:pStyle w:val="Style217"/>
          </w:pPr>
          <w:r>
            <w:rPr>
              <w:rFonts w:hint="eastAsia"/>
            </w:rPr>
            <w:t>-</w:t>
          </w:r>
        </w:p>
      </w:sdtContent>
    </w:sdt>
    <w:p>
      <w:pPr>
        <w:pStyle w:val="Style217"/>
      </w:pPr>
    </w:p>
    <w:p>
      <w:pPr>
        <w:pStyle w:val="Style201"/>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85080049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01"/>
      </w:pPr>
      <w:bookmarkStart w:id="444" w:name="_Hlk533848073"/>
      <w:bookmarkEnd w:id="44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404194674"/>
        <w:placeholder>
          <w:docPart w:val="GBC22222222222222222222222222222"/>
        </w:placeholder>
      </w:sdtPr>
      <w:sdtContent>
        <w:p>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right="210"/>
      </w:pPr>
    </w:p>
    <w:p>
      <w:pPr>
        <w:pStyle w:val="Style179"/>
        <w:numPr>
          <w:ilvl w:val="3"/>
          <w:numId w:val="85"/>
        </w:numPr>
        <w:ind w:left="426" w:hanging="426"/>
      </w:pPr>
      <w:bookmarkStart w:id="445" w:name="_Hlk153456989"/>
      <w:bookmarkEnd w:id="444"/>
      <w:r>
        <w:rPr>
          <w:rFonts w:hint="eastAsia"/>
        </w:rPr>
        <w:t>本期实际核销的其他债权投资情况</w:t>
      </w:r>
    </w:p>
    <w:sdt>
      <w:sdtPr>
        <w:alias w:val="是否适用：实际核销的情况[双击切换]"/>
        <w:tag w:val="_GBC_7ae85c2d27ec44faaa716fc50cbdc0bf"/>
        <w:id w:val="-87362062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其中重要的其他债权投资</w:t>
      </w:r>
      <w:r>
        <w:t>情况</w:t>
      </w:r>
      <w:r>
        <w:rPr>
          <w:rFonts w:hint="eastAsia"/>
        </w:rPr>
        <w:t>核销情况</w:t>
      </w:r>
    </w:p>
    <w:sdt>
      <w:sdtPr>
        <w:rPr>
          <w:rFonts w:hint="eastAsia"/>
        </w:rPr>
        <w:alias w:val="是否适用：重要的核销情况[双击切换]"/>
        <w:tag w:val="_GBC_d4c60ae51ff54b7399e4fd6edd2e8504"/>
        <w:id w:val="8627677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其他债权投资的核销说明：</w:t>
      </w:r>
    </w:p>
    <w:sdt>
      <w:sdtPr>
        <w:alias w:val="是否适用：核销说明[双击切换]"/>
        <w:tag w:val="_GBC_689ae117433c459c8a9722be4d19d604"/>
        <w:id w:val="549815717"/>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217"/>
      </w:pPr>
      <w:bookmarkStart w:id="446" w:name="_Hlk533848097"/>
      <w:bookmarkEnd w:id="445"/>
      <w:r>
        <w:rPr>
          <w:rFonts w:hint="eastAsia"/>
        </w:rPr>
        <w:t>其他说明：</w:t>
      </w:r>
      <w:bookmarkEnd w:id="446"/>
    </w:p>
    <w:sdt>
      <w:sdtPr>
        <w:alias w:val="是否适用：其他债权投资其他说明[双击切换]"/>
        <w:tag w:val="_GBC_ce8084fd599f45febc44624db662adaa"/>
        <w:id w:val="187379532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r>
        <w:rPr>
          <w:szCs w:val="21"/>
        </w:rPr>
        <w:t>长期应收款</w:t>
      </w:r>
    </w:p>
    <w:p>
      <w:pPr>
        <w:pStyle w:val="Style179"/>
        <w:numPr>
          <w:ilvl w:val="3"/>
          <w:numId w:val="86"/>
        </w:numPr>
        <w:ind w:left="426" w:hanging="426"/>
      </w:pPr>
      <w:r>
        <w:rPr>
          <w:rFonts w:hint="eastAsia"/>
        </w:rPr>
        <w:t>长期应收款情况</w:t>
      </w:r>
    </w:p>
    <w:sdt>
      <w:sdtPr>
        <w:alias w:val="是否适用：长期应收款情况[双击切换]"/>
        <w:tag w:val="_GBC_0c54e576828240c482e58c8a9f7cd173"/>
        <w:id w:val="-168813138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收款"/>
          <w:tag w:val="_GBC_83e90e099c524c00ad00f3262465133a"/>
          <w:id w:val="11215754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长期应收款"/>
          <w:tag w:val="_GBC_1c013f993d584882abdce9005f6d0f21"/>
          <w:id w:val="16888676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993"/>
        <w:gridCol w:w="1134"/>
        <w:gridCol w:w="1134"/>
        <w:gridCol w:w="1004"/>
        <w:gridCol w:w="1122"/>
        <w:gridCol w:w="829"/>
      </w:tblGrid>
      <w:tr>
        <w:sdt>
          <w:sdtPr>
            <w:tag w:val="_PLD_1579a5a5db414628bc47ed54fb917eb5"/>
            <w:id w:val="1820920580"/>
          </w:sdtPr>
          <w:sdtContent>
            <w:tc>
              <w:tcPr>
                <w:tcW w:w="1555" w:type="dxa"/>
                <w:vMerge w:val="restart"/>
                <w:tcBorders>
                  <w:top w:val="single" w:sz="4" w:space="0" w:color="auto"/>
                  <w:left w:val="single" w:sz="4" w:space="0" w:color="auto"/>
                  <w:right w:val="single" w:sz="4" w:space="0" w:color="auto"/>
                </w:tcBorders>
                <w:vAlign w:val="center"/>
              </w:tcPr>
              <w:p>
                <w:pPr>
                  <w:jc w:val="center"/>
                </w:pPr>
                <w:r>
                  <w:rPr>
                    <w:rFonts w:hint="eastAsia"/>
                  </w:rPr>
                  <w:t>项目</w:t>
                </w:r>
              </w:p>
            </w:tc>
          </w:sdtContent>
        </w:sdt>
        <w:sdt>
          <w:sdtPr>
            <w:tag w:val="_PLD_9a36ea2203424631bf208c9515121cc2"/>
            <w:id w:val="-196936493"/>
          </w:sdtPr>
          <w:sdtContent>
            <w:tc>
              <w:tcPr>
                <w:tcW w:w="3402" w:type="dxa"/>
                <w:gridSpan w:val="3"/>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期末余额</w:t>
                </w:r>
              </w:p>
            </w:tc>
          </w:sdtContent>
        </w:sdt>
        <w:sdt>
          <w:sdtPr>
            <w:tag w:val="_PLD_03d144ce33e04be682481d2a013c13af"/>
            <w:id w:val="-1483842164"/>
          </w:sdtPr>
          <w:sdtContent>
            <w:tc>
              <w:tcPr>
                <w:tcW w:w="3260" w:type="dxa"/>
                <w:gridSpan w:val="3"/>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期初余额</w:t>
                </w:r>
              </w:p>
            </w:tc>
          </w:sdtContent>
        </w:sdt>
        <w:sdt>
          <w:sdtPr>
            <w:tag w:val="_PLD_19a494fc04ce4efba377e98e304b04d0"/>
            <w:id w:val="659974989"/>
          </w:sdtPr>
          <w:sdtContent>
            <w:tc>
              <w:tcPr>
                <w:tcW w:w="829" w:type="dxa"/>
                <w:vMerge w:val="restart"/>
                <w:tcBorders>
                  <w:top w:val="single" w:sz="4" w:space="0" w:color="auto"/>
                  <w:left w:val="single" w:sz="4" w:space="0" w:color="auto"/>
                  <w:right w:val="single" w:sz="4" w:space="0" w:color="auto"/>
                </w:tcBorders>
                <w:vAlign w:val="center"/>
              </w:tcPr>
              <w:p>
                <w:pPr>
                  <w:jc w:val="center"/>
                </w:pPr>
                <w:r>
                  <w:rPr>
                    <w:rFonts w:hint="eastAsia"/>
                  </w:rPr>
                  <w:t>折现率区间</w:t>
                </w:r>
              </w:p>
            </w:tc>
          </w:sdtContent>
        </w:sdt>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555" w:type="dxa"/>
            <w:vMerge/>
            <w:tcBorders>
              <w:left w:val="single" w:sz="4" w:space="0" w:color="auto"/>
              <w:bottom w:val="single" w:sz="6" w:space="0" w:color="auto"/>
              <w:right w:val="single" w:sz="4" w:space="0" w:color="auto"/>
            </w:tcBorders>
            <w:vAlign w:val="center"/>
          </w:tcPr>
          <w:p>
            <w:pPr>
              <w:jc w:val="center"/>
            </w:pPr>
          </w:p>
        </w:tc>
        <w:sdt>
          <w:sdtPr>
            <w:tag w:val="_PLD_c0fe744fa9744e57b65a03499c0b9370"/>
            <w:id w:val="-1264907692"/>
          </w:sdtPr>
          <w:sdtContent>
            <w:tc>
              <w:tcPr>
                <w:tcW w:w="1275" w:type="dxa"/>
                <w:tcBorders>
                  <w:left w:val="single" w:sz="4" w:space="0" w:color="auto"/>
                  <w:bottom w:val="single" w:sz="6" w:space="0" w:color="auto"/>
                </w:tcBorders>
                <w:vAlign w:val="center"/>
              </w:tcPr>
              <w:p>
                <w:pPr>
                  <w:jc w:val="center"/>
                </w:pPr>
                <w:r>
                  <w:rPr>
                    <w:rFonts w:hint="eastAsia"/>
                  </w:rPr>
                  <w:t>账面余额</w:t>
                </w:r>
              </w:p>
            </w:tc>
          </w:sdtContent>
        </w:sdt>
        <w:sdt>
          <w:sdtPr>
            <w:tag w:val="_PLD_77ffaa95600c4c8d82666d2fa1a55587"/>
            <w:id w:val="-1883248638"/>
          </w:sdtPr>
          <w:sdtContent>
            <w:tc>
              <w:tcPr>
                <w:tcW w:w="993" w:type="dxa"/>
                <w:tcBorders>
                  <w:bottom w:val="single" w:sz="6" w:space="0" w:color="auto"/>
                </w:tcBorders>
                <w:vAlign w:val="center"/>
              </w:tcPr>
              <w:p>
                <w:pPr>
                  <w:jc w:val="center"/>
                </w:pPr>
                <w:r>
                  <w:rPr>
                    <w:rFonts w:hint="eastAsia"/>
                  </w:rPr>
                  <w:t>坏账准备</w:t>
                </w:r>
              </w:p>
            </w:tc>
          </w:sdtContent>
        </w:sdt>
        <w:sdt>
          <w:sdtPr>
            <w:tag w:val="_PLD_b4a8209a5fa445268b4557f9b0cea931"/>
            <w:id w:val="325095304"/>
          </w:sdtPr>
          <w:sdtContent>
            <w:tc>
              <w:tcPr>
                <w:tcW w:w="1134" w:type="dxa"/>
                <w:tcBorders>
                  <w:bottom w:val="single" w:sz="6" w:space="0" w:color="auto"/>
                </w:tcBorders>
                <w:vAlign w:val="center"/>
              </w:tcPr>
              <w:p>
                <w:pPr>
                  <w:jc w:val="center"/>
                </w:pPr>
                <w:r>
                  <w:rPr>
                    <w:rFonts w:hint="eastAsia"/>
                  </w:rPr>
                  <w:t>账面价值</w:t>
                </w:r>
              </w:p>
            </w:tc>
          </w:sdtContent>
        </w:sdt>
        <w:sdt>
          <w:sdtPr>
            <w:tag w:val="_PLD_8f25a17bc1634cc893a4d67aa1847b6a"/>
            <w:id w:val="-1269225656"/>
          </w:sdtPr>
          <w:sdtContent>
            <w:tc>
              <w:tcPr>
                <w:tcW w:w="1134" w:type="dxa"/>
                <w:tcBorders>
                  <w:bottom w:val="single" w:sz="6" w:space="0" w:color="auto"/>
                </w:tcBorders>
                <w:vAlign w:val="center"/>
              </w:tcPr>
              <w:p>
                <w:pPr>
                  <w:jc w:val="center"/>
                </w:pPr>
                <w:r>
                  <w:rPr>
                    <w:rFonts w:hint="eastAsia"/>
                  </w:rPr>
                  <w:t>账面余额</w:t>
                </w:r>
              </w:p>
            </w:tc>
          </w:sdtContent>
        </w:sdt>
        <w:sdt>
          <w:sdtPr>
            <w:tag w:val="_PLD_a654b9f6a8cf4e1797c1b5ccb7073aa0"/>
            <w:id w:val="1287082633"/>
          </w:sdtPr>
          <w:sdtContent>
            <w:tc>
              <w:tcPr>
                <w:tcW w:w="1004" w:type="dxa"/>
                <w:tcBorders>
                  <w:bottom w:val="single" w:sz="6" w:space="0" w:color="auto"/>
                </w:tcBorders>
                <w:vAlign w:val="center"/>
              </w:tcPr>
              <w:p>
                <w:pPr>
                  <w:jc w:val="center"/>
                </w:pPr>
                <w:r>
                  <w:rPr>
                    <w:rFonts w:hint="eastAsia"/>
                  </w:rPr>
                  <w:t>坏账准备</w:t>
                </w:r>
              </w:p>
            </w:tc>
          </w:sdtContent>
        </w:sdt>
        <w:sdt>
          <w:sdtPr>
            <w:tag w:val="_PLD_bccad3095dd04c1e9d8e38cc94818670"/>
            <w:id w:val="-1418166206"/>
          </w:sdtPr>
          <w:sdtContent>
            <w:tc>
              <w:tcPr>
                <w:tcW w:w="1122" w:type="dxa"/>
                <w:tcBorders>
                  <w:bottom w:val="single" w:sz="6" w:space="0" w:color="auto"/>
                  <w:right w:val="single" w:sz="4" w:space="0" w:color="auto"/>
                </w:tcBorders>
                <w:vAlign w:val="center"/>
              </w:tcPr>
              <w:p>
                <w:pPr>
                  <w:jc w:val="center"/>
                </w:pPr>
                <w:r>
                  <w:rPr>
                    <w:rFonts w:hint="eastAsia"/>
                  </w:rPr>
                  <w:t>账面价值</w:t>
                </w:r>
              </w:p>
            </w:tc>
          </w:sdtContent>
        </w:sdt>
        <w:tc>
          <w:tcPr>
            <w:tcW w:w="829" w:type="dxa"/>
            <w:vMerge/>
            <w:tcBorders>
              <w:left w:val="single" w:sz="4" w:space="0" w:color="auto"/>
              <w:bottom w:val="single" w:sz="6"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555" w:type="dxa"/>
            <w:vAlign w:val="center"/>
          </w:tcPr>
          <w:p>
            <w:pPr>
              <w:pStyle w:val="Style217"/>
            </w:pPr>
            <w:r>
              <w:rPr>
                <w:rFonts w:hint="eastAsia"/>
              </w:rPr>
              <w:t>融资租赁应收款</w:t>
            </w:r>
          </w:p>
        </w:tc>
        <w:tc>
          <w:tcPr>
            <w:tcW w:w="1275" w:type="dxa"/>
            <w:shd w:val="clear" w:color="auto" w:fill="auto"/>
            <w:vAlign w:val="center"/>
          </w:tcPr>
          <w:p>
            <w:pPr>
              <w:ind w:rightChars="50" w:right="105"/>
              <w:jc w:val="right"/>
            </w:pPr>
            <w:r>
              <w:rPr>
                <w:rFonts w:ascii="宋体" w:hAnsi="宋体" w:cs="宋体" w:hint="eastAsia"/>
              </w:rPr>
              <w:t>663,418</w:t>
            </w:r>
          </w:p>
        </w:tc>
        <w:tc>
          <w:tcPr>
            <w:tcW w:w="993" w:type="dxa"/>
            <w:shd w:val="clear" w:color="auto" w:fill="auto"/>
            <w:vAlign w:val="center"/>
          </w:tcPr>
          <w:p>
            <w:pPr>
              <w:ind w:rightChars="50" w:right="105"/>
              <w:jc w:val="right"/>
            </w:pPr>
            <w:r>
              <w:rPr>
                <w:rFonts w:ascii="宋体" w:hAnsi="宋体" w:cs="宋体" w:hint="eastAsia"/>
              </w:rPr>
              <w:t>16,513</w:t>
            </w:r>
          </w:p>
        </w:tc>
        <w:tc>
          <w:tcPr>
            <w:tcW w:w="1134" w:type="dxa"/>
            <w:shd w:val="clear" w:color="auto" w:fill="auto"/>
            <w:vAlign w:val="center"/>
          </w:tcPr>
          <w:p>
            <w:pPr>
              <w:ind w:rightChars="50" w:right="105"/>
              <w:jc w:val="right"/>
            </w:pPr>
            <w:r>
              <w:rPr>
                <w:rFonts w:ascii="宋体" w:hAnsi="宋体" w:cs="宋体" w:hint="eastAsia"/>
              </w:rPr>
              <w:t>646,905</w:t>
            </w:r>
          </w:p>
        </w:tc>
        <w:tc>
          <w:tcPr>
            <w:tcW w:w="1134" w:type="dxa"/>
            <w:shd w:val="clear" w:color="auto" w:fill="auto"/>
            <w:vAlign w:val="center"/>
          </w:tcPr>
          <w:p>
            <w:pPr>
              <w:ind w:rightChars="50" w:right="105"/>
              <w:jc w:val="right"/>
            </w:pPr>
            <w:r>
              <w:rPr>
                <w:rFonts w:ascii="宋体" w:hAnsi="宋体" w:cs="宋体" w:hint="eastAsia"/>
              </w:rPr>
              <w:t>266,184</w:t>
            </w:r>
          </w:p>
        </w:tc>
        <w:tc>
          <w:tcPr>
            <w:tcW w:w="1004" w:type="dxa"/>
            <w:shd w:val="clear" w:color="auto" w:fill="auto"/>
            <w:vAlign w:val="center"/>
          </w:tcPr>
          <w:p>
            <w:pPr>
              <w:ind w:rightChars="50" w:right="105"/>
              <w:jc w:val="right"/>
            </w:pPr>
            <w:r>
              <w:rPr>
                <w:rFonts w:ascii="宋体" w:hAnsi="宋体" w:cs="宋体" w:hint="eastAsia"/>
              </w:rPr>
              <w:t>120,457</w:t>
            </w:r>
          </w:p>
        </w:tc>
        <w:tc>
          <w:tcPr>
            <w:tcW w:w="1122" w:type="dxa"/>
            <w:tcBorders>
              <w:right w:val="single" w:sz="4" w:space="0" w:color="auto"/>
            </w:tcBorders>
            <w:shd w:val="clear" w:color="auto" w:fill="auto"/>
            <w:vAlign w:val="center"/>
          </w:tcPr>
          <w:p>
            <w:pPr>
              <w:ind w:rightChars="50" w:right="105"/>
              <w:jc w:val="right"/>
            </w:pPr>
            <w:r>
              <w:rPr>
                <w:rFonts w:ascii="宋体" w:hAnsi="宋体" w:cs="宋体"/>
              </w:rPr>
              <w:t>145,727</w:t>
            </w:r>
          </w:p>
        </w:tc>
        <w:tc>
          <w:tcPr>
            <w:tcW w:w="829" w:type="dxa"/>
            <w:tcBorders>
              <w:left w:val="single" w:sz="4" w:space="0" w:color="auto"/>
            </w:tcBorders>
            <w:shd w:val="clear" w:color="auto" w:fill="auto"/>
            <w:vAlign w:val="center"/>
          </w:tcPr>
          <w:p>
            <w:pPr>
              <w:ind w:rightChars="50" w:right="105"/>
            </w:pPr>
            <w:r>
              <w:rPr>
                <w:rFonts w:ascii="宋体" w:hAnsi="宋体" w:cs="宋体" w:hint="eastAsia"/>
              </w:rPr>
              <w:t>3%-8%</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555" w:type="dxa"/>
            <w:vAlign w:val="center"/>
          </w:tcPr>
          <w:p>
            <w:pPr>
              <w:ind w:firstLineChars="200" w:firstLine="420"/>
            </w:pPr>
            <w:r>
              <w:rPr>
                <w:rFonts w:ascii="宋体" w:hAnsi="宋体" w:cs="宋体" w:hint="eastAsia"/>
              </w:rPr>
              <w:t>其中：未实现融资收益</w:t>
            </w:r>
          </w:p>
        </w:tc>
        <w:tc>
          <w:tcPr>
            <w:tcW w:w="1275" w:type="dxa"/>
            <w:shd w:val="clear" w:color="auto" w:fill="auto"/>
            <w:vAlign w:val="center"/>
          </w:tcPr>
          <w:p>
            <w:pPr>
              <w:ind w:rightChars="50" w:right="105"/>
              <w:jc w:val="right"/>
            </w:pPr>
            <w:r>
              <w:rPr>
                <w:rFonts w:ascii="宋体" w:hAnsi="宋体" w:cs="宋体" w:hint="eastAsia"/>
              </w:rPr>
              <w:t>5,074</w:t>
            </w:r>
          </w:p>
        </w:tc>
        <w:tc>
          <w:tcPr>
            <w:tcW w:w="993" w:type="dxa"/>
            <w:shd w:val="clear" w:color="auto" w:fill="auto"/>
            <w:vAlign w:val="center"/>
          </w:tcPr>
          <w:p>
            <w:pPr>
              <w:ind w:rightChars="50" w:right="105"/>
              <w:jc w:val="right"/>
            </w:pPr>
          </w:p>
        </w:tc>
        <w:tc>
          <w:tcPr>
            <w:tcW w:w="1134" w:type="dxa"/>
            <w:shd w:val="clear" w:color="auto" w:fill="auto"/>
            <w:vAlign w:val="center"/>
          </w:tcPr>
          <w:p>
            <w:pPr>
              <w:ind w:rightChars="50" w:right="105"/>
              <w:jc w:val="right"/>
            </w:pPr>
            <w:r>
              <w:rPr>
                <w:rFonts w:ascii="宋体" w:hAnsi="宋体" w:cs="宋体" w:hint="eastAsia"/>
              </w:rPr>
              <w:t>5,074</w:t>
            </w:r>
          </w:p>
        </w:tc>
        <w:tc>
          <w:tcPr>
            <w:tcW w:w="1134" w:type="dxa"/>
            <w:shd w:val="clear" w:color="auto" w:fill="auto"/>
            <w:vAlign w:val="center"/>
          </w:tcPr>
          <w:p>
            <w:pPr>
              <w:ind w:rightChars="50" w:right="105"/>
              <w:jc w:val="right"/>
              <w:rPr>
                <w:rFonts w:ascii="宋体" w:hAnsi="宋体" w:cs="宋体"/>
              </w:rPr>
            </w:pPr>
            <w:r>
              <w:rPr>
                <w:rFonts w:ascii="宋体" w:hAnsi="宋体" w:cs="宋体"/>
              </w:rPr>
              <w:t>9,000</w:t>
            </w:r>
          </w:p>
        </w:tc>
        <w:tc>
          <w:tcPr>
            <w:tcW w:w="1004" w:type="dxa"/>
            <w:shd w:val="clear" w:color="auto" w:fill="auto"/>
            <w:vAlign w:val="center"/>
          </w:tcPr>
          <w:p>
            <w:pPr>
              <w:ind w:rightChars="50" w:right="105"/>
              <w:jc w:val="right"/>
              <w:rPr>
                <w:rFonts w:ascii="宋体" w:hAnsi="宋体" w:cs="宋体"/>
              </w:rPr>
            </w:pPr>
          </w:p>
        </w:tc>
        <w:tc>
          <w:tcPr>
            <w:tcW w:w="1122" w:type="dxa"/>
            <w:tcBorders>
              <w:right w:val="single" w:sz="4" w:space="0" w:color="auto"/>
            </w:tcBorders>
            <w:shd w:val="clear" w:color="auto" w:fill="auto"/>
            <w:vAlign w:val="center"/>
          </w:tcPr>
          <w:p>
            <w:pPr>
              <w:ind w:rightChars="50" w:right="105"/>
              <w:jc w:val="right"/>
              <w:rPr>
                <w:rFonts w:ascii="宋体" w:hAnsi="宋体" w:cs="宋体"/>
              </w:rPr>
            </w:pPr>
            <w:r>
              <w:rPr>
                <w:rFonts w:ascii="宋体" w:hAnsi="宋体" w:cs="宋体"/>
              </w:rPr>
              <w:t>9,000</w:t>
            </w:r>
          </w:p>
        </w:tc>
        <w:tc>
          <w:tcPr>
            <w:tcW w:w="829" w:type="dxa"/>
            <w:tcBorders>
              <w:left w:val="single" w:sz="4" w:space="0" w:color="auto"/>
            </w:tcBorders>
            <w:shd w:val="clear" w:color="auto" w:fill="auto"/>
            <w:vAlign w:val="center"/>
          </w:tcPr>
          <w:p>
            <w:pPr>
              <w:ind w:rightChars="50" w:right="105"/>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555" w:type="dxa"/>
            <w:vAlign w:val="center"/>
          </w:tcPr>
          <w:p>
            <w:pPr>
              <w:pStyle w:val="Style217"/>
            </w:pPr>
            <w:r>
              <w:rPr>
                <w:rFonts w:hint="eastAsia"/>
              </w:rPr>
              <w:t>应收代垫采矿权价款</w:t>
            </w:r>
          </w:p>
        </w:tc>
        <w:tc>
          <w:tcPr>
            <w:tcW w:w="1275" w:type="dxa"/>
            <w:shd w:val="clear" w:color="auto" w:fill="auto"/>
            <w:vAlign w:val="center"/>
          </w:tcPr>
          <w:p>
            <w:pPr>
              <w:ind w:rightChars="50" w:right="105"/>
              <w:jc w:val="right"/>
            </w:pPr>
            <w:r>
              <w:rPr>
                <w:rFonts w:ascii="宋体" w:hAnsi="宋体" w:cs="宋体" w:hint="eastAsia"/>
              </w:rPr>
              <w:t>1,900,415</w:t>
            </w:r>
          </w:p>
        </w:tc>
        <w:tc>
          <w:tcPr>
            <w:tcW w:w="993" w:type="dxa"/>
            <w:shd w:val="clear" w:color="auto" w:fill="auto"/>
            <w:vAlign w:val="center"/>
          </w:tcPr>
          <w:p>
            <w:pPr>
              <w:ind w:rightChars="50" w:right="105"/>
              <w:jc w:val="right"/>
            </w:pPr>
          </w:p>
        </w:tc>
        <w:tc>
          <w:tcPr>
            <w:tcW w:w="1134" w:type="dxa"/>
            <w:shd w:val="clear" w:color="auto" w:fill="auto"/>
            <w:vAlign w:val="center"/>
          </w:tcPr>
          <w:p>
            <w:pPr>
              <w:ind w:rightChars="50" w:right="105"/>
              <w:jc w:val="right"/>
            </w:pPr>
            <w:r>
              <w:rPr>
                <w:rFonts w:ascii="宋体" w:hAnsi="宋体" w:cs="宋体" w:hint="eastAsia"/>
              </w:rPr>
              <w:t>1,900,415</w:t>
            </w:r>
          </w:p>
        </w:tc>
        <w:tc>
          <w:tcPr>
            <w:tcW w:w="1134" w:type="dxa"/>
            <w:shd w:val="clear" w:color="auto" w:fill="auto"/>
            <w:vAlign w:val="center"/>
          </w:tcPr>
          <w:p>
            <w:pPr>
              <w:ind w:rightChars="50" w:right="105"/>
              <w:jc w:val="right"/>
            </w:pPr>
            <w:r>
              <w:rPr>
                <w:rFonts w:ascii="宋体" w:hAnsi="宋体" w:cs="宋体" w:hint="eastAsia"/>
              </w:rPr>
              <w:t>829,990</w:t>
            </w:r>
          </w:p>
        </w:tc>
        <w:tc>
          <w:tcPr>
            <w:tcW w:w="1004" w:type="dxa"/>
            <w:shd w:val="clear" w:color="auto" w:fill="auto"/>
            <w:vAlign w:val="center"/>
          </w:tcPr>
          <w:p>
            <w:pPr>
              <w:ind w:rightChars="50" w:right="105"/>
              <w:jc w:val="right"/>
            </w:pPr>
          </w:p>
        </w:tc>
        <w:tc>
          <w:tcPr>
            <w:tcW w:w="1122" w:type="dxa"/>
            <w:tcBorders>
              <w:right w:val="single" w:sz="4" w:space="0" w:color="auto"/>
            </w:tcBorders>
            <w:shd w:val="clear" w:color="auto" w:fill="auto"/>
            <w:vAlign w:val="center"/>
          </w:tcPr>
          <w:p>
            <w:pPr>
              <w:ind w:rightChars="50" w:right="105"/>
              <w:jc w:val="right"/>
            </w:pPr>
            <w:r>
              <w:rPr>
                <w:rFonts w:ascii="宋体" w:hAnsi="宋体" w:cs="宋体" w:hint="eastAsia"/>
              </w:rPr>
              <w:t>829,990</w:t>
            </w:r>
          </w:p>
        </w:tc>
        <w:tc>
          <w:tcPr>
            <w:tcW w:w="829" w:type="dxa"/>
            <w:tcBorders>
              <w:left w:val="single" w:sz="4" w:space="0" w:color="auto"/>
            </w:tcBorders>
            <w:shd w:val="clear" w:color="auto" w:fill="auto"/>
            <w:vAlign w:val="center"/>
          </w:tcPr>
          <w:p>
            <w:pPr>
              <w:ind w:rightChars="50" w:right="105"/>
            </w:pPr>
            <w:r>
              <w:rPr>
                <w:rFonts w:ascii="宋体" w:hAnsi="宋体" w:cs="宋体" w:hint="eastAsia"/>
              </w:rPr>
              <w:t>8%-9%</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555" w:type="dxa"/>
            <w:tcBorders>
              <w:bottom w:val="single" w:sz="6" w:space="0" w:color="auto"/>
            </w:tcBorders>
            <w:vAlign w:val="center"/>
          </w:tcPr>
          <w:p>
            <w:pPr>
              <w:pStyle w:val="Style217"/>
            </w:pPr>
            <w:r>
              <w:rPr>
                <w:rFonts w:hint="eastAsia"/>
              </w:rPr>
              <w:t>应收离退休人员款</w:t>
            </w:r>
          </w:p>
        </w:tc>
        <w:tc>
          <w:tcPr>
            <w:tcW w:w="1275" w:type="dxa"/>
            <w:shd w:val="clear" w:color="auto" w:fill="auto"/>
            <w:vAlign w:val="center"/>
          </w:tcPr>
          <w:p>
            <w:pPr>
              <w:ind w:rightChars="50" w:right="105"/>
              <w:jc w:val="right"/>
              <w:rPr>
                <w:rFonts w:ascii="宋体" w:hAnsi="宋体"/>
              </w:rPr>
            </w:pPr>
            <w:r>
              <w:rPr>
                <w:rFonts w:ascii="宋体" w:hAnsi="宋体"/>
              </w:rPr>
              <w:t>899,197</w:t>
            </w:r>
          </w:p>
        </w:tc>
        <w:tc>
          <w:tcPr>
            <w:tcW w:w="993" w:type="dxa"/>
            <w:shd w:val="clear" w:color="auto" w:fill="auto"/>
            <w:vAlign w:val="center"/>
          </w:tcPr>
          <w:p>
            <w:pPr>
              <w:ind w:rightChars="50" w:right="105"/>
              <w:jc w:val="right"/>
            </w:pPr>
          </w:p>
        </w:tc>
        <w:tc>
          <w:tcPr>
            <w:tcW w:w="1134" w:type="dxa"/>
            <w:shd w:val="clear" w:color="auto" w:fill="auto"/>
            <w:vAlign w:val="center"/>
          </w:tcPr>
          <w:p>
            <w:pPr>
              <w:ind w:rightChars="50" w:right="105"/>
              <w:jc w:val="right"/>
              <w:rPr>
                <w:rFonts w:ascii="宋体" w:hAnsi="宋体"/>
              </w:rPr>
            </w:pPr>
            <w:r>
              <w:rPr>
                <w:rFonts w:ascii="宋体" w:hAnsi="宋体"/>
              </w:rPr>
              <w:t>899,197</w:t>
            </w:r>
          </w:p>
        </w:tc>
        <w:tc>
          <w:tcPr>
            <w:tcW w:w="1134" w:type="dxa"/>
            <w:shd w:val="clear" w:color="auto" w:fill="auto"/>
            <w:vAlign w:val="center"/>
          </w:tcPr>
          <w:p>
            <w:pPr>
              <w:ind w:rightChars="50" w:right="105"/>
              <w:jc w:val="right"/>
            </w:pPr>
            <w:r>
              <w:rPr>
                <w:rFonts w:ascii="宋体" w:hAnsi="宋体" w:cs="宋体" w:hint="eastAsia"/>
              </w:rPr>
              <w:t>1,033,573</w:t>
            </w:r>
          </w:p>
        </w:tc>
        <w:tc>
          <w:tcPr>
            <w:tcW w:w="1004" w:type="dxa"/>
            <w:shd w:val="clear" w:color="auto" w:fill="auto"/>
            <w:vAlign w:val="center"/>
          </w:tcPr>
          <w:p>
            <w:pPr>
              <w:ind w:rightChars="50" w:right="105"/>
              <w:jc w:val="right"/>
            </w:pPr>
          </w:p>
        </w:tc>
        <w:tc>
          <w:tcPr>
            <w:tcW w:w="1122" w:type="dxa"/>
            <w:tcBorders>
              <w:right w:val="single" w:sz="4" w:space="0" w:color="auto"/>
            </w:tcBorders>
            <w:shd w:val="clear" w:color="auto" w:fill="auto"/>
            <w:vAlign w:val="center"/>
          </w:tcPr>
          <w:p>
            <w:pPr>
              <w:ind w:rightChars="50" w:right="105"/>
              <w:jc w:val="right"/>
            </w:pPr>
            <w:r>
              <w:rPr>
                <w:rFonts w:ascii="宋体" w:hAnsi="宋体" w:cs="宋体" w:hint="eastAsia"/>
              </w:rPr>
              <w:t>1,033,573</w:t>
            </w:r>
          </w:p>
        </w:tc>
        <w:tc>
          <w:tcPr>
            <w:tcW w:w="829" w:type="dxa"/>
            <w:tcBorders>
              <w:left w:val="single" w:sz="4" w:space="0" w:color="auto"/>
            </w:tcBorders>
            <w:shd w:val="clear" w:color="auto" w:fill="auto"/>
            <w:vAlign w:val="center"/>
          </w:tcPr>
          <w:p>
            <w:pPr>
              <w:ind w:rightChars="50" w:right="105"/>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555" w:type="dxa"/>
            <w:vAlign w:val="center"/>
          </w:tcPr>
          <w:p>
            <w:pPr>
              <w:pStyle w:val="Style217"/>
            </w:pPr>
            <w:r>
              <w:rPr>
                <w:rFonts w:hint="eastAsia"/>
              </w:rPr>
              <w:t>其他</w:t>
            </w:r>
          </w:p>
        </w:tc>
        <w:tc>
          <w:tcPr>
            <w:tcW w:w="1275" w:type="dxa"/>
            <w:shd w:val="clear" w:color="auto" w:fill="auto"/>
            <w:vAlign w:val="center"/>
          </w:tcPr>
          <w:p>
            <w:pPr>
              <w:ind w:rightChars="50" w:right="105"/>
              <w:jc w:val="right"/>
              <w:rPr>
                <w:rFonts w:ascii="宋体" w:hAnsi="宋体"/>
              </w:rPr>
            </w:pPr>
            <w:r>
              <w:rPr>
                <w:rFonts w:ascii="宋体" w:hAnsi="宋体"/>
              </w:rPr>
              <w:t>228,203</w:t>
            </w:r>
          </w:p>
        </w:tc>
        <w:tc>
          <w:tcPr>
            <w:tcW w:w="993" w:type="dxa"/>
            <w:shd w:val="clear" w:color="auto" w:fill="auto"/>
            <w:vAlign w:val="center"/>
          </w:tcPr>
          <w:p>
            <w:pPr>
              <w:ind w:rightChars="50" w:right="105"/>
              <w:jc w:val="right"/>
            </w:pPr>
            <w:r>
              <w:rPr>
                <w:rFonts w:ascii="宋体" w:hAnsi="宋体" w:cs="宋体" w:hint="eastAsia"/>
              </w:rPr>
              <w:t>167,123</w:t>
            </w:r>
          </w:p>
        </w:tc>
        <w:tc>
          <w:tcPr>
            <w:tcW w:w="1134" w:type="dxa"/>
            <w:shd w:val="clear" w:color="auto" w:fill="auto"/>
            <w:vAlign w:val="center"/>
          </w:tcPr>
          <w:p>
            <w:pPr>
              <w:ind w:rightChars="50" w:right="105"/>
              <w:jc w:val="right"/>
              <w:rPr>
                <w:rFonts w:ascii="宋体" w:hAnsi="宋体"/>
              </w:rPr>
            </w:pPr>
            <w:r>
              <w:rPr>
                <w:rFonts w:ascii="宋体" w:hAnsi="宋体"/>
              </w:rPr>
              <w:t>61,080</w:t>
            </w:r>
          </w:p>
        </w:tc>
        <w:tc>
          <w:tcPr>
            <w:tcW w:w="1134" w:type="dxa"/>
            <w:shd w:val="clear" w:color="auto" w:fill="auto"/>
            <w:vAlign w:val="center"/>
          </w:tcPr>
          <w:p>
            <w:pPr>
              <w:ind w:rightChars="50" w:right="105"/>
              <w:jc w:val="right"/>
            </w:pPr>
            <w:r>
              <w:rPr>
                <w:rFonts w:ascii="宋体" w:hAnsi="宋体" w:cs="宋体" w:hint="eastAsia"/>
              </w:rPr>
              <w:t>201,325</w:t>
            </w:r>
          </w:p>
        </w:tc>
        <w:tc>
          <w:tcPr>
            <w:tcW w:w="1004" w:type="dxa"/>
            <w:shd w:val="clear" w:color="auto" w:fill="auto"/>
            <w:vAlign w:val="center"/>
          </w:tcPr>
          <w:p>
            <w:pPr>
              <w:ind w:rightChars="50" w:right="105"/>
              <w:jc w:val="right"/>
            </w:pPr>
            <w:r>
              <w:rPr>
                <w:rFonts w:ascii="宋体" w:hAnsi="宋体" w:cs="宋体" w:hint="eastAsia"/>
              </w:rPr>
              <w:t>167,123</w:t>
            </w:r>
          </w:p>
        </w:tc>
        <w:tc>
          <w:tcPr>
            <w:tcW w:w="1122" w:type="dxa"/>
            <w:tcBorders>
              <w:right w:val="single" w:sz="4" w:space="0" w:color="auto"/>
            </w:tcBorders>
            <w:shd w:val="clear" w:color="auto" w:fill="auto"/>
            <w:vAlign w:val="center"/>
          </w:tcPr>
          <w:p>
            <w:pPr>
              <w:ind w:rightChars="50" w:right="105"/>
              <w:jc w:val="right"/>
            </w:pPr>
            <w:r>
              <w:rPr>
                <w:rFonts w:ascii="宋体" w:hAnsi="宋体" w:cs="宋体"/>
              </w:rPr>
              <w:t>34,202</w:t>
            </w:r>
          </w:p>
        </w:tc>
        <w:tc>
          <w:tcPr>
            <w:tcW w:w="829" w:type="dxa"/>
            <w:tcBorders>
              <w:left w:val="single" w:sz="4" w:space="0" w:color="auto"/>
            </w:tcBorders>
            <w:shd w:val="clear" w:color="auto" w:fill="auto"/>
            <w:vAlign w:val="center"/>
          </w:tcPr>
          <w:p>
            <w:pPr>
              <w:ind w:rightChars="50" w:right="105"/>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555" w:type="dxa"/>
            <w:vAlign w:val="center"/>
          </w:tcPr>
          <w:p>
            <w:pPr>
              <w:jc w:val="center"/>
            </w:pPr>
            <w:r>
              <w:rPr>
                <w:rFonts w:hint="eastAsia"/>
              </w:rPr>
              <w:t>合计</w:t>
            </w:r>
          </w:p>
        </w:tc>
        <w:tc>
          <w:tcPr>
            <w:tcW w:w="1275" w:type="dxa"/>
            <w:shd w:val="clear" w:color="auto" w:fill="auto"/>
            <w:vAlign w:val="center"/>
          </w:tcPr>
          <w:p>
            <w:pPr>
              <w:ind w:rightChars="50" w:right="105"/>
              <w:jc w:val="right"/>
            </w:pPr>
            <w:r>
              <w:rPr>
                <w:rFonts w:ascii="宋体" w:hAnsi="宋体" w:cs="宋体" w:hint="eastAsia"/>
              </w:rPr>
              <w:t>3,691,233</w:t>
            </w:r>
          </w:p>
        </w:tc>
        <w:tc>
          <w:tcPr>
            <w:tcW w:w="993" w:type="dxa"/>
            <w:shd w:val="clear" w:color="auto" w:fill="auto"/>
            <w:vAlign w:val="center"/>
          </w:tcPr>
          <w:p>
            <w:pPr>
              <w:ind w:rightChars="50" w:right="105"/>
              <w:jc w:val="right"/>
            </w:pPr>
            <w:r>
              <w:rPr>
                <w:rFonts w:ascii="宋体" w:hAnsi="宋体" w:cs="宋体" w:hint="eastAsia"/>
              </w:rPr>
              <w:t>183,636</w:t>
            </w:r>
          </w:p>
        </w:tc>
        <w:tc>
          <w:tcPr>
            <w:tcW w:w="1134" w:type="dxa"/>
            <w:shd w:val="clear" w:color="auto" w:fill="auto"/>
            <w:vAlign w:val="center"/>
          </w:tcPr>
          <w:p>
            <w:pPr>
              <w:ind w:rightChars="50" w:right="105"/>
              <w:jc w:val="right"/>
            </w:pPr>
            <w:r>
              <w:rPr>
                <w:rFonts w:ascii="宋体" w:hAnsi="宋体" w:cs="宋体" w:hint="eastAsia"/>
              </w:rPr>
              <w:t>3,507,597</w:t>
            </w:r>
          </w:p>
        </w:tc>
        <w:tc>
          <w:tcPr>
            <w:tcW w:w="1134" w:type="dxa"/>
            <w:shd w:val="clear" w:color="auto" w:fill="auto"/>
            <w:vAlign w:val="center"/>
          </w:tcPr>
          <w:p>
            <w:pPr>
              <w:ind w:rightChars="50" w:right="105"/>
              <w:jc w:val="right"/>
            </w:pPr>
            <w:r>
              <w:rPr>
                <w:rFonts w:ascii="宋体" w:hAnsi="宋体" w:cs="宋体" w:hint="eastAsia"/>
              </w:rPr>
              <w:t>2,331,072</w:t>
            </w:r>
          </w:p>
        </w:tc>
        <w:tc>
          <w:tcPr>
            <w:tcW w:w="1004" w:type="dxa"/>
            <w:shd w:val="clear" w:color="auto" w:fill="auto"/>
            <w:vAlign w:val="center"/>
          </w:tcPr>
          <w:p>
            <w:pPr>
              <w:ind w:rightChars="50" w:right="105"/>
              <w:jc w:val="right"/>
            </w:pPr>
            <w:r>
              <w:rPr>
                <w:rFonts w:ascii="宋体" w:hAnsi="宋体" w:cs="宋体" w:hint="eastAsia"/>
              </w:rPr>
              <w:t>287,580</w:t>
            </w:r>
          </w:p>
        </w:tc>
        <w:tc>
          <w:tcPr>
            <w:tcW w:w="1122" w:type="dxa"/>
            <w:tcBorders>
              <w:right w:val="single" w:sz="4" w:space="0" w:color="auto"/>
            </w:tcBorders>
            <w:shd w:val="clear" w:color="auto" w:fill="auto"/>
            <w:vAlign w:val="center"/>
          </w:tcPr>
          <w:p>
            <w:pPr>
              <w:ind w:rightChars="50" w:right="105"/>
              <w:jc w:val="right"/>
            </w:pPr>
            <w:r>
              <w:rPr>
                <w:rFonts w:ascii="宋体" w:hAnsi="宋体" w:cs="宋体" w:hint="eastAsia"/>
              </w:rPr>
              <w:t>2,043,492</w:t>
            </w:r>
          </w:p>
        </w:tc>
        <w:tc>
          <w:tcPr>
            <w:tcW w:w="829" w:type="dxa"/>
            <w:tcBorders>
              <w:left w:val="single" w:sz="4" w:space="0" w:color="auto"/>
            </w:tcBorders>
            <w:shd w:val="clear" w:color="auto" w:fill="auto"/>
            <w:vAlign w:val="center"/>
          </w:tcPr>
          <w:p>
            <w:pPr>
              <w:ind w:rightChars="50" w:right="105"/>
              <w:jc w:val="center"/>
            </w:pPr>
          </w:p>
        </w:tc>
      </w:tr>
    </w:tbl>
    <w:p>
      <w:pPr>
        <w:rPr>
          <w:color w:val="FF0000"/>
        </w:rPr>
      </w:pPr>
    </w:p>
    <w:p>
      <w:pPr>
        <w:pStyle w:val="Style179"/>
        <w:numPr>
          <w:ilvl w:val="3"/>
          <w:numId w:val="86"/>
        </w:numPr>
        <w:ind w:left="426" w:hanging="426"/>
      </w:pPr>
      <w:bookmarkStart w:id="447" w:name="_Hlk153457348"/>
      <w:r>
        <w:rPr>
          <w:rFonts w:hint="eastAsia"/>
        </w:rPr>
        <w:t>按坏账计提方法分类披露</w:t>
      </w:r>
    </w:p>
    <w:sdt>
      <w:sdtPr>
        <w:alias w:val="是否适用：按坏账计提方法分类披露[双击切换]"/>
        <w:tag w:val="_GBC_b88f58fcc61342f3b795c44388b6782b"/>
        <w:id w:val="-84732676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bd420b8bfb1348be9783552f5fd7a05e"/>
          <w:id w:val="121007775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按坏账计提方法分类披露"/>
          <w:tag w:val="_GBC_3ac94de7648b4b0f979b720c33955d79"/>
          <w:id w:val="6986603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709"/>
        <w:gridCol w:w="850"/>
        <w:gridCol w:w="709"/>
        <w:gridCol w:w="1134"/>
        <w:gridCol w:w="1276"/>
        <w:gridCol w:w="709"/>
        <w:gridCol w:w="850"/>
        <w:gridCol w:w="709"/>
        <w:gridCol w:w="1134"/>
      </w:tblGrid>
      <w:tr>
        <w:trPr>
          <w:cantSplit/>
          <w:trHeight w:val="259"/>
        </w:trPr>
        <w:sdt>
          <w:sdtPr>
            <w:tag w:val="_PLD_c1f44ed4b1a04d33962261a361bb9b1b"/>
            <w:id w:val="-1165615364"/>
          </w:sdtPr>
          <w:sdtContent>
            <w:tc>
              <w:tcPr>
                <w:tcW w:w="1418" w:type="dxa"/>
                <w:vMerge w:val="restart"/>
                <w:tcBorders>
                  <w:top w:val="single" w:sz="4" w:space="0" w:color="auto"/>
                  <w:left w:val="single" w:sz="4" w:space="0" w:color="auto"/>
                  <w:right w:val="single" w:sz="4" w:space="0" w:color="auto"/>
                </w:tcBorders>
                <w:vAlign w:val="center"/>
              </w:tcPr>
              <w:p>
                <w:pPr>
                  <w:jc w:val="center"/>
                </w:pPr>
                <w:r>
                  <w:rPr>
                    <w:rFonts w:hint="eastAsia"/>
                  </w:rPr>
                  <w:t>类别</w:t>
                </w:r>
              </w:p>
            </w:tc>
          </w:sdtContent>
        </w:sdt>
        <w:sdt>
          <w:sdtPr>
            <w:tag w:val="_PLD_a9d390643c964401aa5f9b3500e0b907"/>
            <w:id w:val="-90239130"/>
          </w:sdtPr>
          <w:sdtContent>
            <w:tc>
              <w:tcPr>
                <w:tcW w:w="4536" w:type="dxa"/>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期末余额</w:t>
                </w:r>
              </w:p>
            </w:tc>
          </w:sdtContent>
        </w:sdt>
        <w:sdt>
          <w:sdtPr>
            <w:tag w:val="_PLD_1648e2d0a2e043a1b5e331d43977d521"/>
            <w:id w:val="192125048"/>
          </w:sdtPr>
          <w:sdtContent>
            <w:tc>
              <w:tcPr>
                <w:tcW w:w="4678" w:type="dxa"/>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期初余额</w:t>
                </w:r>
              </w:p>
            </w:tc>
          </w:sdtContent>
        </w:sdt>
      </w:tr>
      <w:tr>
        <w:trPr>
          <w:cantSplit/>
          <w:trHeight w:val="227"/>
        </w:trPr>
        <w:tc>
          <w:tcPr>
            <w:tcW w:w="1418" w:type="dxa"/>
            <w:vMerge/>
            <w:tcBorders>
              <w:left w:val="single" w:sz="4" w:space="0" w:color="auto"/>
              <w:right w:val="single" w:sz="4" w:space="0" w:color="auto"/>
            </w:tcBorders>
            <w:vAlign w:val="center"/>
          </w:tcPr>
          <w:p>
            <w:pPr>
              <w:pStyle w:val="Style217"/>
            </w:pPr>
          </w:p>
        </w:tc>
        <w:sdt>
          <w:sdtPr>
            <w:tag w:val="_PLD_3728122722094c6c87dbbc3d1d8391b6"/>
            <w:id w:val="-2119590519"/>
          </w:sdtPr>
          <w:sdtContent>
            <w:tc>
              <w:tcPr>
                <w:tcW w:w="1843"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账面余额</w:t>
                </w:r>
              </w:p>
            </w:tc>
          </w:sdtContent>
        </w:sdt>
        <w:sdt>
          <w:sdtPr>
            <w:tag w:val="_PLD_45cda725567e44bf952a7c8d03586e93"/>
            <w:id w:val="-142357316"/>
          </w:sdtPr>
          <w:sdtContent>
            <w:tc>
              <w:tcPr>
                <w:tcW w:w="1559"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坏账准备</w:t>
                </w:r>
              </w:p>
            </w:tc>
          </w:sdtContent>
        </w:sdt>
        <w:sdt>
          <w:sdtPr>
            <w:tag w:val="_PLD_b5d693e10b584218a2fcb7c20c5f82d8"/>
            <w:id w:val="-1195771718"/>
          </w:sdtPr>
          <w:sdtContent>
            <w:tc>
              <w:tcPr>
                <w:tcW w:w="1134" w:type="dxa"/>
                <w:vMerge w:val="restart"/>
                <w:tcBorders>
                  <w:top w:val="single" w:sz="4" w:space="0" w:color="auto"/>
                  <w:left w:val="single" w:sz="4" w:space="0" w:color="auto"/>
                  <w:right w:val="single" w:sz="4" w:space="0" w:color="auto"/>
                </w:tcBorders>
                <w:vAlign w:val="center"/>
              </w:tcPr>
              <w:p>
                <w:pPr>
                  <w:jc w:val="center"/>
                </w:pPr>
                <w:r>
                  <w:rPr>
                    <w:rFonts w:hint="eastAsia"/>
                  </w:rPr>
                  <w:t>账面</w:t>
                </w:r>
              </w:p>
              <w:p>
                <w:pPr>
                  <w:jc w:val="center"/>
                </w:pPr>
                <w:r>
                  <w:rPr>
                    <w:rFonts w:hint="eastAsia"/>
                  </w:rPr>
                  <w:lastRenderedPageBreak/>
                  <w:t>价值</w:t>
                </w:r>
              </w:p>
            </w:tc>
          </w:sdtContent>
        </w:sdt>
        <w:sdt>
          <w:sdtPr>
            <w:tag w:val="_PLD_91cf019e97d04cb7980e45e7ee7f25c6"/>
            <w:id w:val="1516806211"/>
          </w:sdtPr>
          <w:sdtContent>
            <w:tc>
              <w:tcPr>
                <w:tcW w:w="1985" w:type="dxa"/>
                <w:gridSpan w:val="2"/>
                <w:tcBorders>
                  <w:top w:val="single" w:sz="4" w:space="0" w:color="auto"/>
                  <w:left w:val="single" w:sz="4" w:space="0" w:color="auto"/>
                  <w:right w:val="single" w:sz="4" w:space="0" w:color="auto"/>
                </w:tcBorders>
                <w:vAlign w:val="center"/>
              </w:tcPr>
              <w:p>
                <w:pPr>
                  <w:jc w:val="center"/>
                </w:pPr>
                <w:r>
                  <w:rPr>
                    <w:rFonts w:hint="eastAsia"/>
                  </w:rPr>
                  <w:t>账面余额</w:t>
                </w:r>
              </w:p>
            </w:tc>
          </w:sdtContent>
        </w:sdt>
        <w:sdt>
          <w:sdtPr>
            <w:tag w:val="_PLD_a0939ab7fd2844cda721292f9bdbe8a9"/>
            <w:id w:val="-1981212033"/>
          </w:sdtPr>
          <w:sdtContent>
            <w:tc>
              <w:tcPr>
                <w:tcW w:w="1559" w:type="dxa"/>
                <w:gridSpan w:val="2"/>
                <w:tcBorders>
                  <w:top w:val="single" w:sz="4" w:space="0" w:color="auto"/>
                  <w:left w:val="single" w:sz="4" w:space="0" w:color="auto"/>
                  <w:right w:val="single" w:sz="4" w:space="0" w:color="auto"/>
                </w:tcBorders>
                <w:vAlign w:val="center"/>
              </w:tcPr>
              <w:p>
                <w:pPr>
                  <w:jc w:val="center"/>
                </w:pPr>
                <w:r>
                  <w:rPr>
                    <w:rFonts w:hint="eastAsia"/>
                  </w:rPr>
                  <w:t>坏账准备</w:t>
                </w:r>
              </w:p>
            </w:tc>
          </w:sdtContent>
        </w:sdt>
        <w:sdt>
          <w:sdtPr>
            <w:tag w:val="_PLD_57c2a684efce445789de9538ca62e055"/>
            <w:id w:val="-1057539982"/>
          </w:sdtPr>
          <w:sdtContent>
            <w:tc>
              <w:tcPr>
                <w:tcW w:w="1134" w:type="dxa"/>
                <w:vMerge w:val="restart"/>
                <w:tcBorders>
                  <w:top w:val="single" w:sz="4" w:space="0" w:color="auto"/>
                  <w:left w:val="single" w:sz="4" w:space="0" w:color="auto"/>
                  <w:right w:val="single" w:sz="4" w:space="0" w:color="auto"/>
                </w:tcBorders>
                <w:vAlign w:val="center"/>
              </w:tcPr>
              <w:p>
                <w:pPr>
                  <w:jc w:val="center"/>
                </w:pPr>
                <w:r>
                  <w:rPr>
                    <w:rFonts w:hint="eastAsia"/>
                  </w:rPr>
                  <w:t>账面</w:t>
                </w:r>
              </w:p>
              <w:p>
                <w:pPr>
                  <w:jc w:val="center"/>
                </w:pPr>
                <w:r>
                  <w:rPr>
                    <w:rFonts w:hint="eastAsia"/>
                  </w:rPr>
                  <w:lastRenderedPageBreak/>
                  <w:t>价值</w:t>
                </w:r>
              </w:p>
            </w:tc>
          </w:sdtContent>
        </w:sdt>
      </w:tr>
      <w:tr>
        <w:trPr>
          <w:cantSplit/>
          <w:trHeight w:val="375"/>
        </w:trPr>
        <w:tc>
          <w:tcPr>
            <w:tcW w:w="1418" w:type="dxa"/>
            <w:vMerge/>
            <w:tcBorders>
              <w:left w:val="single" w:sz="4" w:space="0" w:color="auto"/>
              <w:bottom w:val="single" w:sz="4" w:space="0" w:color="auto"/>
              <w:right w:val="single" w:sz="4" w:space="0" w:color="auto"/>
            </w:tcBorders>
            <w:vAlign w:val="center"/>
          </w:tcPr>
          <w:p>
            <w:pPr>
              <w:pStyle w:val="Style217"/>
            </w:pPr>
          </w:p>
        </w:tc>
        <w:sdt>
          <w:sdtPr>
            <w:tag w:val="_PLD_79f42c5148e442c4896219a8569d3c88"/>
            <w:id w:val="-942378801"/>
          </w:sdtPr>
          <w:sdtContent>
            <w:tc>
              <w:tcPr>
                <w:tcW w:w="1134"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b2812c729f8b42eb8ec4be1270c8bef7"/>
            <w:id w:val="426622304"/>
          </w:sdtPr>
          <w:sdtContent>
            <w:tc>
              <w:tcPr>
                <w:tcW w:w="709" w:type="dxa"/>
                <w:tcBorders>
                  <w:left w:val="single" w:sz="4" w:space="0" w:color="auto"/>
                  <w:bottom w:val="single" w:sz="4" w:space="0" w:color="auto"/>
                  <w:right w:val="single" w:sz="4" w:space="0" w:color="auto"/>
                </w:tcBorders>
                <w:vAlign w:val="center"/>
              </w:tcPr>
              <w:p>
                <w:pPr>
                  <w:jc w:val="center"/>
                </w:pPr>
                <w:r>
                  <w:rPr>
                    <w:rFonts w:hint="eastAsia"/>
                  </w:rPr>
                  <w:t>比例</w:t>
                </w:r>
                <w:r>
                  <w:t>(%)</w:t>
                </w:r>
              </w:p>
            </w:tc>
          </w:sdtContent>
        </w:sdt>
        <w:sdt>
          <w:sdtPr>
            <w:tag w:val="_PLD_e53419d2dc934e91bc0da11a8e5064ef"/>
            <w:id w:val="-2137316044"/>
          </w:sdtPr>
          <w:sdtContent>
            <w:tc>
              <w:tcPr>
                <w:tcW w:w="850"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8fc1623422b24a81b3dc15cd79f7512f"/>
            <w:id w:val="-1920703597"/>
          </w:sdtPr>
          <w:sdtContent>
            <w:tc>
              <w:tcPr>
                <w:tcW w:w="709" w:type="dxa"/>
                <w:tcBorders>
                  <w:left w:val="single" w:sz="4" w:space="0" w:color="auto"/>
                  <w:bottom w:val="single" w:sz="4" w:space="0" w:color="auto"/>
                  <w:right w:val="single" w:sz="4" w:space="0" w:color="auto"/>
                </w:tcBorders>
                <w:vAlign w:val="center"/>
              </w:tcPr>
              <w:p>
                <w:pPr>
                  <w:jc w:val="center"/>
                </w:pPr>
                <w:r>
                  <w:rPr>
                    <w:rFonts w:hint="eastAsia"/>
                  </w:rPr>
                  <w:t>计提比例</w:t>
                </w:r>
                <w:r>
                  <w:t>(%)</w:t>
                </w:r>
              </w:p>
            </w:tc>
          </w:sdtContent>
        </w:sdt>
        <w:tc>
          <w:tcPr>
            <w:tcW w:w="1134" w:type="dxa"/>
            <w:vMerge/>
            <w:tcBorders>
              <w:left w:val="single" w:sz="4" w:space="0" w:color="auto"/>
              <w:bottom w:val="single" w:sz="4" w:space="0" w:color="auto"/>
              <w:right w:val="single" w:sz="4" w:space="0" w:color="auto"/>
            </w:tcBorders>
            <w:vAlign w:val="center"/>
          </w:tcPr>
          <w:p>
            <w:pPr>
              <w:jc w:val="center"/>
            </w:pPr>
          </w:p>
        </w:tc>
        <w:sdt>
          <w:sdtPr>
            <w:tag w:val="_PLD_9f3942e9c0ba424695638f4161f4e42d"/>
            <w:id w:val="1595049028"/>
          </w:sdtPr>
          <w:sdtContent>
            <w:tc>
              <w:tcPr>
                <w:tcW w:w="1276"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f3235b18b60547df8e3d3385802089f4"/>
            <w:id w:val="1971866686"/>
          </w:sdtPr>
          <w:sdtContent>
            <w:tc>
              <w:tcPr>
                <w:tcW w:w="709" w:type="dxa"/>
                <w:tcBorders>
                  <w:left w:val="single" w:sz="4" w:space="0" w:color="auto"/>
                  <w:bottom w:val="single" w:sz="4" w:space="0" w:color="auto"/>
                  <w:right w:val="single" w:sz="4" w:space="0" w:color="auto"/>
                </w:tcBorders>
                <w:vAlign w:val="center"/>
              </w:tcPr>
              <w:p>
                <w:pPr>
                  <w:jc w:val="center"/>
                </w:pPr>
                <w:r>
                  <w:rPr>
                    <w:rFonts w:hint="eastAsia"/>
                  </w:rPr>
                  <w:t>比例</w:t>
                </w:r>
                <w:r>
                  <w:t>(%)</w:t>
                </w:r>
              </w:p>
            </w:tc>
          </w:sdtContent>
        </w:sdt>
        <w:sdt>
          <w:sdtPr>
            <w:tag w:val="_PLD_95314b7a1e474331887eccdfdd39852f"/>
            <w:id w:val="1051815173"/>
          </w:sdtPr>
          <w:sdtContent>
            <w:tc>
              <w:tcPr>
                <w:tcW w:w="850"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39204f5cc16e488ba0242450ae9e4aad"/>
            <w:id w:val="-1476901802"/>
          </w:sdtPr>
          <w:sdtContent>
            <w:tc>
              <w:tcPr>
                <w:tcW w:w="709" w:type="dxa"/>
                <w:tcBorders>
                  <w:left w:val="single" w:sz="4" w:space="0" w:color="auto"/>
                  <w:bottom w:val="single" w:sz="4" w:space="0" w:color="auto"/>
                  <w:right w:val="single" w:sz="4" w:space="0" w:color="auto"/>
                </w:tcBorders>
                <w:vAlign w:val="center"/>
              </w:tcPr>
              <w:p>
                <w:pPr>
                  <w:jc w:val="center"/>
                </w:pPr>
                <w:r>
                  <w:rPr>
                    <w:rFonts w:hint="eastAsia"/>
                  </w:rPr>
                  <w:t>计提比例</w:t>
                </w:r>
                <w:r>
                  <w:t>(%)</w:t>
                </w:r>
              </w:p>
            </w:tc>
          </w:sdtContent>
        </w:sdt>
        <w:tc>
          <w:tcPr>
            <w:tcW w:w="1134" w:type="dxa"/>
            <w:vMerge/>
            <w:tcBorders>
              <w:left w:val="single" w:sz="4" w:space="0" w:color="auto"/>
              <w:bottom w:val="single" w:sz="4" w:space="0" w:color="auto"/>
              <w:right w:val="single" w:sz="4" w:space="0" w:color="auto"/>
            </w:tcBorders>
            <w:vAlign w:val="center"/>
          </w:tcPr>
          <w:p>
            <w:pPr>
              <w:jc w:val="center"/>
            </w:pPr>
          </w:p>
        </w:tc>
      </w:tr>
      <w:tr>
        <w:trPr>
          <w:cantSplit/>
        </w:trPr>
        <w:tc>
          <w:tcPr>
            <w:tcW w:w="1418"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按单项计提坏账准备</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167,123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4.53</w:t>
            </w: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167,123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167,123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7.17</w:t>
            </w: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167,123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r>
      <w:tr>
        <w:trPr>
          <w:cantSplit/>
        </w:trPr>
        <w:tc>
          <w:tcPr>
            <w:tcW w:w="1418"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按组合计提坏账准备</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3,524,110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95.47</w:t>
            </w: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16,513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0.47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3,507,597</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2,163,949</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92.83</w:t>
            </w: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120,457</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5.57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sz w:val="18"/>
                <w:szCs w:val="18"/>
              </w:rPr>
              <w:t>2,043,492</w:t>
            </w:r>
          </w:p>
        </w:tc>
      </w:tr>
      <w:tr>
        <w:trPr>
          <w:cantSplit/>
        </w:trPr>
        <w:tc>
          <w:tcPr>
            <w:tcW w:w="141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合计</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sz w:val="18"/>
                <w:szCs w:val="18"/>
              </w:rPr>
              <w:t>3,691,233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sz w:val="18"/>
                <w:szCs w:val="18"/>
              </w:rPr>
            </w:pPr>
            <w:r>
              <w:rPr>
                <w:rFonts w:ascii="宋体" w:hAnsi="宋体" w:cs="宋体" w:hint="eastAsia"/>
                <w:sz w:val="18"/>
                <w:szCs w:val="18"/>
              </w:rPr>
              <w:t>100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sz w:val="18"/>
                <w:szCs w:val="18"/>
              </w:rPr>
              <w:t>183,636</w:t>
            </w:r>
          </w:p>
        </w:tc>
        <w:tc>
          <w:tcPr>
            <w:tcW w:w="70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sz w:val="18"/>
                <w:szCs w:val="18"/>
              </w:rPr>
              <w:t>3,507,597</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sz w:val="18"/>
                <w:szCs w:val="18"/>
              </w:rPr>
              <w:t>2,331,072</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sz w:val="18"/>
                <w:szCs w:val="18"/>
              </w:rPr>
            </w:pPr>
            <w:r>
              <w:rPr>
                <w:rFonts w:ascii="宋体" w:hAnsi="宋体" w:cs="宋体" w:hint="eastAsia"/>
                <w:sz w:val="18"/>
                <w:szCs w:val="18"/>
              </w:rPr>
              <w:t>100</w:t>
            </w: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sz w:val="18"/>
                <w:szCs w:val="18"/>
              </w:rPr>
              <w:t>287,580</w:t>
            </w:r>
          </w:p>
        </w:tc>
        <w:tc>
          <w:tcPr>
            <w:tcW w:w="70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sz w:val="18"/>
                <w:szCs w:val="18"/>
              </w:rPr>
              <w:t>2,043,492</w:t>
            </w:r>
          </w:p>
        </w:tc>
      </w:tr>
    </w:tbl>
    <w:p>
      <w:pPr>
        <w:pStyle w:val="Style217"/>
      </w:pPr>
    </w:p>
    <w:p>
      <w:pPr>
        <w:pStyle w:val="Style217"/>
      </w:pPr>
      <w:r>
        <w:rPr>
          <w:rFonts w:hint="eastAsia"/>
        </w:rPr>
        <w:t>按单项计提坏账准备：</w:t>
      </w:r>
    </w:p>
    <w:sdt>
      <w:sdtPr>
        <w:alias w:val="是否适用：按单项计提坏账准备的详细情况[双击切换]"/>
        <w:tag w:val="_GBC_19243c464e23496a87380a02fccd7f4a"/>
        <w:id w:val="-14397457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按单项计提坏账准备的说明：</w:t>
      </w:r>
    </w:p>
    <w:sdt>
      <w:sdtPr>
        <w:alias w:val="是否适用：按单项计提坏账准备的说明[双击切换]"/>
        <w:tag w:val="_GBC_ee6f2bb0912a4ff4a6aa0561400844a8"/>
        <w:id w:val="108171897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Cs/>
          <w:szCs w:val="22"/>
        </w:rPr>
      </w:pPr>
      <w:r>
        <w:rPr>
          <w:rFonts w:ascii="Calibri" w:hAnsi="Calibri" w:hint="eastAsia"/>
          <w:bCs/>
          <w:szCs w:val="22"/>
        </w:rPr>
        <w:t>按组合计提坏账准备：</w:t>
      </w:r>
    </w:p>
    <w:sdt>
      <w:sdtPr>
        <w:rPr>
          <w:rFonts w:ascii="Calibri" w:hAnsi="Calibri"/>
        </w:rPr>
        <w:alias w:val="是否适用：按组合计提坏账准备的详细情况[双击切换]"/>
        <w:tag w:val="_GBC_e6c71fc91a6941b5af515956aed70086"/>
        <w:id w:val="-210086318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Calibri" w:hAnsi="Calibri"/>
          <w:b/>
          <w:bCs/>
          <w:szCs w:val="22"/>
        </w:rPr>
      </w:pPr>
    </w:p>
    <w:p>
      <w:pPr>
        <w:pStyle w:val="Style179"/>
        <w:numPr>
          <w:ilvl w:val="3"/>
          <w:numId w:val="86"/>
        </w:numPr>
        <w:ind w:left="426" w:hanging="426"/>
      </w:pPr>
      <w:bookmarkStart w:id="448" w:name="_Hlk533872428"/>
      <w:bookmarkEnd w:id="447"/>
      <w:r>
        <w:rPr>
          <w:rFonts w:hint="eastAsia"/>
        </w:rPr>
        <w:t>按预期信用损失一般模型计提坏账准备</w:t>
      </w:r>
    </w:p>
    <w:sdt>
      <w:sdtPr>
        <w:alias w:val="是否适用：长期应收款坏账准备调节表[双击切换]"/>
        <w:tag w:val="_GBC_83c414b79fa243258be4f4c6998e475c"/>
        <w:id w:val="133503105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ind w:rightChars="50" w:right="105"/>
        <w:jc w:val="right"/>
      </w:pPr>
      <w:r>
        <w:rPr>
          <w:rFonts w:hint="eastAsia"/>
        </w:rPr>
        <w:t>单位：</w:t>
      </w:r>
      <w:sdt>
        <w:sdtPr>
          <w:rPr>
            <w:rFonts w:hint="eastAsia"/>
          </w:rPr>
          <w:alias w:val="单位：长期应收款坏账准备调节表"/>
          <w:tag w:val="_GBC_7d2528c518494f00b0f6d9873d82b6b8"/>
          <w:id w:val="14432611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长期应收款坏账准备调节表"/>
          <w:tag w:val="_GBC_5c4daf2984c3464ea5f009d8fc6503d4"/>
          <w:id w:val="21259629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560"/>
        <w:gridCol w:w="1985"/>
        <w:gridCol w:w="1985"/>
        <w:gridCol w:w="1706"/>
      </w:tblGrid>
      <w:tr>
        <w:sdt>
          <w:sdtPr>
            <w:tag w:val="_PLD_53e254a36bf74b8aa6d62ff3627bc51c"/>
            <w:id w:val="-1386861025"/>
          </w:sdtPr>
          <w:sdtContent>
            <w:tc>
              <w:tcPr>
                <w:tcW w:w="1811" w:type="dxa"/>
                <w:vMerge w:val="restart"/>
                <w:vAlign w:val="center"/>
              </w:tcPr>
              <w:p>
                <w:pPr>
                  <w:jc w:val="center"/>
                </w:pPr>
                <w:r>
                  <w:rPr>
                    <w:rFonts w:hint="eastAsia"/>
                  </w:rPr>
                  <w:t>坏账</w:t>
                </w:r>
                <w:r>
                  <w:t>准备</w:t>
                </w:r>
              </w:p>
            </w:tc>
          </w:sdtContent>
        </w:sdt>
        <w:sdt>
          <w:sdtPr>
            <w:tag w:val="_PLD_6728ea3d5ef54c4dbe708cf82174dd20"/>
            <w:id w:val="-1452631580"/>
          </w:sdtPr>
          <w:sdtContent>
            <w:tc>
              <w:tcPr>
                <w:tcW w:w="1560" w:type="dxa"/>
                <w:vAlign w:val="center"/>
              </w:tcPr>
              <w:p>
                <w:pPr>
                  <w:jc w:val="center"/>
                </w:pPr>
                <w:r>
                  <w:t>第一阶段</w:t>
                </w:r>
              </w:p>
            </w:tc>
          </w:sdtContent>
        </w:sdt>
        <w:sdt>
          <w:sdtPr>
            <w:tag w:val="_PLD_02047fc355b74a09b8b179812acc2694"/>
            <w:id w:val="313840973"/>
          </w:sdtPr>
          <w:sdtContent>
            <w:tc>
              <w:tcPr>
                <w:tcW w:w="1985" w:type="dxa"/>
                <w:vAlign w:val="center"/>
              </w:tcPr>
              <w:p>
                <w:pPr>
                  <w:jc w:val="center"/>
                </w:pPr>
                <w:r>
                  <w:t>第二阶段</w:t>
                </w:r>
              </w:p>
            </w:tc>
          </w:sdtContent>
        </w:sdt>
        <w:sdt>
          <w:sdtPr>
            <w:tag w:val="_PLD_e5935642877d42508a235dc58315a0f2"/>
            <w:id w:val="1547945823"/>
          </w:sdtPr>
          <w:sdtContent>
            <w:tc>
              <w:tcPr>
                <w:tcW w:w="1985" w:type="dxa"/>
                <w:vAlign w:val="center"/>
              </w:tcPr>
              <w:p>
                <w:pPr>
                  <w:jc w:val="center"/>
                </w:pPr>
                <w:r>
                  <w:t>第三阶段</w:t>
                </w:r>
              </w:p>
            </w:tc>
          </w:sdtContent>
        </w:sdt>
        <w:sdt>
          <w:sdtPr>
            <w:tag w:val="_PLD_97eac4c32ede4977b86fdf2a821830f1"/>
            <w:id w:val="-159392843"/>
          </w:sdtPr>
          <w:sdtContent>
            <w:tc>
              <w:tcPr>
                <w:tcW w:w="1706" w:type="dxa"/>
                <w:vMerge w:val="restart"/>
                <w:vAlign w:val="center"/>
              </w:tcPr>
              <w:p>
                <w:pPr>
                  <w:jc w:val="center"/>
                </w:pPr>
                <w:r>
                  <w:t>合计</w:t>
                </w:r>
              </w:p>
            </w:tc>
          </w:sdtContent>
        </w:sdt>
      </w:tr>
      <w:tr>
        <w:tc>
          <w:tcPr>
            <w:tcW w:w="1811" w:type="dxa"/>
            <w:vMerge/>
            <w:vAlign w:val="center"/>
          </w:tcPr>
          <w:p>
            <w:pPr>
              <w:pStyle w:val="Style123"/>
              <w:spacing w:after="0" w:line="240" w:lineRule="auto"/>
              <w:jc w:val="both"/>
              <w:rPr>
                <w:rFonts w:ascii="宋体" w:eastAsia="宋体" w:hAnsi="宋体" w:cs="宋体"/>
                <w:sz w:val="21"/>
                <w:szCs w:val="21"/>
                <w:lang w:eastAsia="zh-CN"/>
              </w:rPr>
            </w:pPr>
          </w:p>
        </w:tc>
        <w:sdt>
          <w:sdtPr>
            <w:tag w:val="_PLD_a2c40398df0245aca8ae9b95349e294a"/>
            <w:id w:val="623429292"/>
          </w:sdtPr>
          <w:sdtContent>
            <w:tc>
              <w:tcPr>
                <w:tcW w:w="1560" w:type="dxa"/>
                <w:vAlign w:val="center"/>
              </w:tcPr>
              <w:p>
                <w:pPr>
                  <w:jc w:val="center"/>
                </w:pPr>
                <w:r>
                  <w:t>未来</w:t>
                </w:r>
                <w:r>
                  <w:t>12</w:t>
                </w:r>
                <w:r>
                  <w:t>个月预期信用损失</w:t>
                </w:r>
              </w:p>
            </w:tc>
          </w:sdtContent>
        </w:sdt>
        <w:sdt>
          <w:sdtPr>
            <w:tag w:val="_PLD_0e42fbfea225447ba1a604708ea0e5cb"/>
            <w:id w:val="690337670"/>
          </w:sdtPr>
          <w:sdtContent>
            <w:tc>
              <w:tcPr>
                <w:tcW w:w="1985" w:type="dxa"/>
                <w:vAlign w:val="center"/>
              </w:tcPr>
              <w:p>
                <w:pPr>
                  <w:jc w:val="center"/>
                </w:pPr>
                <w:r>
                  <w:t>整个存续期预期信用损失</w:t>
                </w:r>
                <w:r>
                  <w:t>(</w:t>
                </w:r>
                <w:r>
                  <w:t>未发生信用减值</w:t>
                </w:r>
                <w:r>
                  <w:t>)</w:t>
                </w:r>
              </w:p>
            </w:tc>
          </w:sdtContent>
        </w:sdt>
        <w:sdt>
          <w:sdtPr>
            <w:tag w:val="_PLD_80c9178ef7da44f9a0fbcd79a28d1369"/>
            <w:id w:val="-77976779"/>
          </w:sdtPr>
          <w:sdtContent>
            <w:tc>
              <w:tcPr>
                <w:tcW w:w="1985" w:type="dxa"/>
                <w:vAlign w:val="center"/>
              </w:tcPr>
              <w:p>
                <w:pPr>
                  <w:jc w:val="center"/>
                </w:pPr>
                <w:r>
                  <w:t>整个存续期预期信用损失</w:t>
                </w:r>
                <w:r>
                  <w:t>(</w:t>
                </w:r>
                <w:r>
                  <w:t>已发生信用减值</w:t>
                </w:r>
                <w:r>
                  <w:t>)</w:t>
                </w:r>
              </w:p>
            </w:tc>
          </w:sdtContent>
        </w:sdt>
        <w:tc>
          <w:tcPr>
            <w:tcW w:w="1706" w:type="dxa"/>
            <w:vMerge/>
            <w:vAlign w:val="center"/>
          </w:tcPr>
          <w:p>
            <w:pPr>
              <w:jc w:val="center"/>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1月1日余额</w:t>
            </w:r>
          </w:p>
        </w:tc>
        <w:tc>
          <w:tcPr>
            <w:tcW w:w="1560" w:type="dxa"/>
            <w:vAlign w:val="center"/>
          </w:tcPr>
          <w:p>
            <w:pPr>
              <w:jc w:val="right"/>
            </w:pPr>
            <w:r>
              <w:rPr>
                <w:rFonts w:ascii="宋体" w:hAnsi="宋体" w:cs="宋体" w:hint="eastAsia"/>
              </w:rPr>
              <w:t>120,457</w:t>
            </w:r>
          </w:p>
        </w:tc>
        <w:tc>
          <w:tcPr>
            <w:tcW w:w="1985" w:type="dxa"/>
            <w:vAlign w:val="center"/>
          </w:tcPr>
          <w:p>
            <w:pPr>
              <w:jc w:val="right"/>
            </w:pPr>
          </w:p>
        </w:tc>
        <w:tc>
          <w:tcPr>
            <w:tcW w:w="1985" w:type="dxa"/>
            <w:vAlign w:val="center"/>
          </w:tcPr>
          <w:p>
            <w:pPr>
              <w:jc w:val="right"/>
            </w:pPr>
            <w:r>
              <w:rPr>
                <w:rFonts w:ascii="宋体" w:hAnsi="宋体" w:cs="宋体" w:hint="eastAsia"/>
              </w:rPr>
              <w:t>167,123</w:t>
            </w:r>
          </w:p>
        </w:tc>
        <w:tc>
          <w:tcPr>
            <w:tcW w:w="1706" w:type="dxa"/>
            <w:vAlign w:val="center"/>
          </w:tcPr>
          <w:p>
            <w:pPr>
              <w:jc w:val="right"/>
            </w:pPr>
            <w:r>
              <w:rPr>
                <w:rFonts w:ascii="宋体" w:hAnsi="宋体" w:cs="宋体" w:hint="eastAsia"/>
              </w:rPr>
              <w:t>287,580</w:t>
            </w: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2025年1月1日余额在本期</w:t>
            </w:r>
          </w:p>
        </w:tc>
        <w:tc>
          <w:tcPr>
            <w:tcW w:w="1560" w:type="dxa"/>
            <w:vAlign w:val="center"/>
          </w:tcPr>
          <w:p>
            <w:pPr>
              <w:jc w:val="right"/>
            </w:pPr>
          </w:p>
        </w:tc>
        <w:tc>
          <w:tcPr>
            <w:tcW w:w="1985" w:type="dxa"/>
            <w:vAlign w:val="center"/>
          </w:tcPr>
          <w:p>
            <w:pPr>
              <w:jc w:val="right"/>
            </w:pPr>
          </w:p>
        </w:tc>
        <w:tc>
          <w:tcPr>
            <w:tcW w:w="1985" w:type="dxa"/>
            <w:vAlign w:val="center"/>
          </w:tcPr>
          <w:p>
            <w:pPr>
              <w:jc w:val="right"/>
            </w:pPr>
          </w:p>
        </w:tc>
        <w:tc>
          <w:tcPr>
            <w:tcW w:w="1706" w:type="dxa"/>
            <w:vAlign w:val="center"/>
          </w:tcPr>
          <w:p>
            <w:pPr>
              <w:jc w:val="right"/>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1560" w:type="dxa"/>
            <w:vAlign w:val="center"/>
          </w:tcPr>
          <w:p>
            <w:pPr>
              <w:jc w:val="right"/>
            </w:pPr>
          </w:p>
        </w:tc>
        <w:tc>
          <w:tcPr>
            <w:tcW w:w="1985" w:type="dxa"/>
            <w:vAlign w:val="center"/>
          </w:tcPr>
          <w:p>
            <w:pPr>
              <w:jc w:val="right"/>
            </w:pPr>
          </w:p>
        </w:tc>
        <w:tc>
          <w:tcPr>
            <w:tcW w:w="1985" w:type="dxa"/>
            <w:vAlign w:val="center"/>
          </w:tcPr>
          <w:p>
            <w:pPr>
              <w:jc w:val="right"/>
            </w:pPr>
          </w:p>
        </w:tc>
        <w:tc>
          <w:tcPr>
            <w:tcW w:w="1706" w:type="dxa"/>
            <w:vAlign w:val="center"/>
          </w:tcPr>
          <w:p>
            <w:pPr>
              <w:jc w:val="right"/>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1560" w:type="dxa"/>
            <w:vAlign w:val="center"/>
          </w:tcPr>
          <w:p>
            <w:pPr>
              <w:jc w:val="right"/>
            </w:pPr>
          </w:p>
        </w:tc>
        <w:tc>
          <w:tcPr>
            <w:tcW w:w="1985" w:type="dxa"/>
            <w:vAlign w:val="center"/>
          </w:tcPr>
          <w:p>
            <w:pPr>
              <w:jc w:val="right"/>
            </w:pPr>
          </w:p>
        </w:tc>
        <w:tc>
          <w:tcPr>
            <w:tcW w:w="1985" w:type="dxa"/>
            <w:vAlign w:val="center"/>
          </w:tcPr>
          <w:p>
            <w:pPr>
              <w:jc w:val="right"/>
            </w:pPr>
          </w:p>
        </w:tc>
        <w:tc>
          <w:tcPr>
            <w:tcW w:w="1706" w:type="dxa"/>
            <w:vAlign w:val="center"/>
          </w:tcPr>
          <w:p>
            <w:pPr>
              <w:jc w:val="right"/>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1560" w:type="dxa"/>
            <w:vAlign w:val="center"/>
          </w:tcPr>
          <w:p>
            <w:pPr>
              <w:jc w:val="right"/>
            </w:pPr>
          </w:p>
        </w:tc>
        <w:tc>
          <w:tcPr>
            <w:tcW w:w="1985" w:type="dxa"/>
            <w:vAlign w:val="center"/>
          </w:tcPr>
          <w:p>
            <w:pPr>
              <w:jc w:val="right"/>
            </w:pPr>
          </w:p>
        </w:tc>
        <w:tc>
          <w:tcPr>
            <w:tcW w:w="1985" w:type="dxa"/>
            <w:vAlign w:val="center"/>
          </w:tcPr>
          <w:p>
            <w:pPr>
              <w:jc w:val="right"/>
            </w:pPr>
          </w:p>
        </w:tc>
        <w:tc>
          <w:tcPr>
            <w:tcW w:w="1706" w:type="dxa"/>
            <w:vAlign w:val="center"/>
          </w:tcPr>
          <w:p>
            <w:pPr>
              <w:jc w:val="right"/>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1560" w:type="dxa"/>
            <w:vAlign w:val="center"/>
          </w:tcPr>
          <w:p>
            <w:pPr>
              <w:jc w:val="right"/>
            </w:pPr>
          </w:p>
        </w:tc>
        <w:tc>
          <w:tcPr>
            <w:tcW w:w="1985" w:type="dxa"/>
            <w:vAlign w:val="center"/>
          </w:tcPr>
          <w:p>
            <w:pPr>
              <w:jc w:val="right"/>
            </w:pPr>
          </w:p>
        </w:tc>
        <w:tc>
          <w:tcPr>
            <w:tcW w:w="1985" w:type="dxa"/>
            <w:vAlign w:val="center"/>
          </w:tcPr>
          <w:p>
            <w:pPr>
              <w:jc w:val="right"/>
            </w:pPr>
          </w:p>
        </w:tc>
        <w:tc>
          <w:tcPr>
            <w:tcW w:w="1706" w:type="dxa"/>
            <w:vAlign w:val="center"/>
          </w:tcPr>
          <w:p>
            <w:pPr>
              <w:jc w:val="right"/>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1560" w:type="dxa"/>
            <w:vAlign w:val="center"/>
          </w:tcPr>
          <w:p>
            <w:pPr>
              <w:jc w:val="right"/>
            </w:pPr>
            <w:r>
              <w:rPr>
                <w:rFonts w:ascii="宋体" w:hAnsi="宋体" w:cs="宋体" w:hint="eastAsia"/>
              </w:rPr>
              <w:t>-103,741</w:t>
            </w:r>
          </w:p>
        </w:tc>
        <w:tc>
          <w:tcPr>
            <w:tcW w:w="1985" w:type="dxa"/>
            <w:vAlign w:val="center"/>
          </w:tcPr>
          <w:p>
            <w:pPr>
              <w:jc w:val="right"/>
            </w:pPr>
          </w:p>
        </w:tc>
        <w:tc>
          <w:tcPr>
            <w:tcW w:w="1985" w:type="dxa"/>
            <w:vAlign w:val="center"/>
          </w:tcPr>
          <w:p>
            <w:pPr>
              <w:jc w:val="right"/>
            </w:pPr>
          </w:p>
        </w:tc>
        <w:tc>
          <w:tcPr>
            <w:tcW w:w="1706" w:type="dxa"/>
            <w:vAlign w:val="center"/>
          </w:tcPr>
          <w:p>
            <w:pPr>
              <w:jc w:val="right"/>
            </w:pPr>
            <w:r>
              <w:rPr>
                <w:rFonts w:ascii="宋体" w:hAnsi="宋体" w:cs="宋体" w:hint="eastAsia"/>
              </w:rPr>
              <w:t>-103,741</w:t>
            </w:r>
          </w:p>
        </w:tc>
      </w:tr>
      <w:tr>
        <w:tc>
          <w:tcPr>
            <w:tcW w:w="1811" w:type="dxa"/>
            <w:vAlign w:val="center"/>
          </w:tcPr>
          <w:p>
            <w:pPr>
              <w:pStyle w:val="Style123"/>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1560" w:type="dxa"/>
            <w:vAlign w:val="center"/>
          </w:tcPr>
          <w:p>
            <w:pPr>
              <w:jc w:val="right"/>
            </w:pPr>
            <w:r>
              <w:rPr>
                <w:rFonts w:ascii="宋体" w:hAnsi="宋体" w:cs="宋体" w:hint="eastAsia"/>
              </w:rPr>
              <w:t>203</w:t>
            </w:r>
          </w:p>
        </w:tc>
        <w:tc>
          <w:tcPr>
            <w:tcW w:w="1985" w:type="dxa"/>
            <w:vAlign w:val="center"/>
          </w:tcPr>
          <w:p>
            <w:pPr>
              <w:jc w:val="right"/>
            </w:pPr>
          </w:p>
        </w:tc>
        <w:tc>
          <w:tcPr>
            <w:tcW w:w="1985" w:type="dxa"/>
            <w:vAlign w:val="center"/>
          </w:tcPr>
          <w:p>
            <w:pPr>
              <w:jc w:val="right"/>
            </w:pPr>
          </w:p>
        </w:tc>
        <w:tc>
          <w:tcPr>
            <w:tcW w:w="1706" w:type="dxa"/>
            <w:vAlign w:val="center"/>
          </w:tcPr>
          <w:p>
            <w:pPr>
              <w:jc w:val="right"/>
            </w:pPr>
            <w:r>
              <w:rPr>
                <w:rFonts w:ascii="宋体" w:hAnsi="宋体" w:cs="宋体" w:hint="eastAsia"/>
              </w:rPr>
              <w:t>203</w:t>
            </w: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1560" w:type="dxa"/>
            <w:vAlign w:val="center"/>
          </w:tcPr>
          <w:p>
            <w:pPr>
              <w:jc w:val="right"/>
            </w:pPr>
          </w:p>
        </w:tc>
        <w:tc>
          <w:tcPr>
            <w:tcW w:w="1985" w:type="dxa"/>
            <w:vAlign w:val="center"/>
          </w:tcPr>
          <w:p>
            <w:pPr>
              <w:jc w:val="right"/>
            </w:pPr>
          </w:p>
        </w:tc>
        <w:tc>
          <w:tcPr>
            <w:tcW w:w="1985" w:type="dxa"/>
            <w:vAlign w:val="center"/>
          </w:tcPr>
          <w:p>
            <w:pPr>
              <w:jc w:val="right"/>
            </w:pPr>
          </w:p>
        </w:tc>
        <w:tc>
          <w:tcPr>
            <w:tcW w:w="1706" w:type="dxa"/>
            <w:vAlign w:val="center"/>
          </w:tcPr>
          <w:p>
            <w:pPr>
              <w:jc w:val="right"/>
            </w:pPr>
          </w:p>
        </w:tc>
      </w:tr>
      <w:tr>
        <w:tc>
          <w:tcPr>
            <w:tcW w:w="1811" w:type="dxa"/>
            <w:vAlign w:val="center"/>
          </w:tcPr>
          <w:p>
            <w:pPr>
              <w:pStyle w:val="Style123"/>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1560" w:type="dxa"/>
            <w:vAlign w:val="center"/>
          </w:tcPr>
          <w:p>
            <w:pPr>
              <w:jc w:val="right"/>
            </w:pPr>
          </w:p>
        </w:tc>
        <w:tc>
          <w:tcPr>
            <w:tcW w:w="1985" w:type="dxa"/>
            <w:vAlign w:val="center"/>
          </w:tcPr>
          <w:p>
            <w:pPr>
              <w:jc w:val="right"/>
            </w:pPr>
          </w:p>
        </w:tc>
        <w:tc>
          <w:tcPr>
            <w:tcW w:w="1985" w:type="dxa"/>
            <w:vAlign w:val="center"/>
          </w:tcPr>
          <w:p>
            <w:pPr>
              <w:jc w:val="right"/>
            </w:pPr>
          </w:p>
        </w:tc>
        <w:tc>
          <w:tcPr>
            <w:tcW w:w="1706" w:type="dxa"/>
            <w:vAlign w:val="center"/>
          </w:tcPr>
          <w:p>
            <w:pPr>
              <w:jc w:val="right"/>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1560" w:type="dxa"/>
            <w:vAlign w:val="center"/>
          </w:tcPr>
          <w:p>
            <w:pPr>
              <w:jc w:val="right"/>
            </w:pPr>
          </w:p>
        </w:tc>
        <w:tc>
          <w:tcPr>
            <w:tcW w:w="1985" w:type="dxa"/>
            <w:vAlign w:val="center"/>
          </w:tcPr>
          <w:p>
            <w:pPr>
              <w:jc w:val="right"/>
            </w:pPr>
          </w:p>
        </w:tc>
        <w:tc>
          <w:tcPr>
            <w:tcW w:w="1985" w:type="dxa"/>
            <w:vAlign w:val="center"/>
          </w:tcPr>
          <w:p>
            <w:pPr>
              <w:jc w:val="right"/>
            </w:pPr>
          </w:p>
        </w:tc>
        <w:tc>
          <w:tcPr>
            <w:tcW w:w="1706" w:type="dxa"/>
            <w:vAlign w:val="center"/>
          </w:tcPr>
          <w:p>
            <w:pPr>
              <w:jc w:val="right"/>
            </w:pPr>
          </w:p>
        </w:tc>
      </w:tr>
      <w:tr>
        <w:tc>
          <w:tcPr>
            <w:tcW w:w="1811"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t>余额</w:t>
            </w:r>
          </w:p>
        </w:tc>
        <w:tc>
          <w:tcPr>
            <w:tcW w:w="1560" w:type="dxa"/>
            <w:vAlign w:val="center"/>
          </w:tcPr>
          <w:p>
            <w:pPr>
              <w:jc w:val="right"/>
            </w:pPr>
            <w:r>
              <w:rPr>
                <w:rFonts w:ascii="宋体" w:hAnsi="宋体" w:cs="宋体" w:hint="eastAsia"/>
              </w:rPr>
              <w:t>16,513</w:t>
            </w:r>
          </w:p>
        </w:tc>
        <w:tc>
          <w:tcPr>
            <w:tcW w:w="1985" w:type="dxa"/>
            <w:vAlign w:val="center"/>
          </w:tcPr>
          <w:p>
            <w:pPr>
              <w:jc w:val="right"/>
            </w:pPr>
          </w:p>
        </w:tc>
        <w:tc>
          <w:tcPr>
            <w:tcW w:w="1985" w:type="dxa"/>
            <w:vAlign w:val="center"/>
          </w:tcPr>
          <w:p>
            <w:pPr>
              <w:jc w:val="right"/>
            </w:pPr>
            <w:r>
              <w:rPr>
                <w:rFonts w:ascii="宋体" w:hAnsi="宋体" w:cs="宋体" w:hint="eastAsia"/>
              </w:rPr>
              <w:t>167,123</w:t>
            </w:r>
          </w:p>
        </w:tc>
        <w:tc>
          <w:tcPr>
            <w:tcW w:w="1706" w:type="dxa"/>
            <w:vAlign w:val="center"/>
          </w:tcPr>
          <w:p>
            <w:pPr>
              <w:jc w:val="right"/>
            </w:pPr>
            <w:r>
              <w:rPr>
                <w:rFonts w:ascii="宋体" w:hAnsi="宋体" w:cs="宋体" w:hint="eastAsia"/>
              </w:rPr>
              <w:t>183,636</w:t>
            </w:r>
          </w:p>
        </w:tc>
      </w:tr>
    </w:tbl>
    <w:p>
      <w:pPr>
        <w:pStyle w:val="Style217"/>
      </w:pPr>
    </w:p>
    <w:p>
      <w:pPr>
        <w:autoSpaceDE w:val="0"/>
        <w:autoSpaceDN w:val="0"/>
        <w:adjustRightInd w:val="0"/>
        <w:ind w:rightChars="50" w:right="105"/>
      </w:pPr>
      <w:r>
        <w:rPr>
          <w:rFonts w:hint="eastAsia"/>
        </w:rPr>
        <w:t>各阶段划分依据和坏账准备计提比例</w:t>
      </w:r>
    </w:p>
    <w:sdt>
      <w:sdtPr>
        <w:rPr>
          <w:bCs/>
          <w:szCs w:val="22"/>
        </w:rPr>
        <w:alias w:val="长期应收款各阶段划分依据和减值准备计提比例"/>
        <w:tag w:val="_GBC_1ce93281b7234898b8b1b4056be89182"/>
        <w:id w:val="-405226357"/>
        <w:placeholder>
          <w:docPart w:val="GBC22222222222222222222222222222"/>
        </w:placeholder>
      </w:sdtPr>
      <w:sdtContent>
        <w:p>
          <w:pPr>
            <w:rPr>
              <w:bCs/>
              <w:szCs w:val="22"/>
            </w:rPr>
          </w:pPr>
          <w:r>
            <w:rPr>
              <w:rFonts w:hint="eastAsia"/>
              <w:bCs/>
              <w:szCs w:val="22"/>
            </w:rPr>
            <w:t>-</w:t>
          </w:r>
        </w:p>
      </w:sdtContent>
    </w:sdt>
    <w:p>
      <w:pPr>
        <w:pStyle w:val="Style217"/>
      </w:pPr>
    </w:p>
    <w:p>
      <w:pPr>
        <w:pStyle w:val="Style201"/>
      </w:pPr>
      <w:r>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8e2c1b904a3a4c10829d424151d47109"/>
        <w:id w:val="211224233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448"/>
    <w:p>
      <w:pPr>
        <w:pStyle w:val="Style201"/>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100689981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86"/>
        </w:numPr>
        <w:ind w:left="426" w:hanging="426"/>
      </w:pPr>
      <w:bookmarkStart w:id="449" w:name="_Hlk154131356"/>
      <w:bookmarkStart w:id="450" w:name="_Hlk153457634"/>
      <w:r>
        <w:rPr>
          <w:rFonts w:hint="eastAsia"/>
        </w:rPr>
        <w:t>坏账准备的情况</w:t>
      </w:r>
    </w:p>
    <w:sdt>
      <w:sdtPr>
        <w:alias w:val="是否适用：坏账准备情况[双击切换]"/>
        <w:tag w:val="_GBC_1878fe8dd18b4d7f9eb1b263bc7833d1"/>
        <w:id w:val="153007555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snapToGrid w:val="0"/>
        <w:spacing w:line="240" w:lineRule="atLeast"/>
        <w:ind w:left="425" w:firstLineChars="0" w:firstLine="0"/>
        <w:jc w:val="right"/>
        <w:rPr>
          <w:szCs w:val="21"/>
        </w:rPr>
      </w:pPr>
      <w:r>
        <w:rPr>
          <w:rFonts w:hint="eastAsia"/>
          <w:szCs w:val="21"/>
        </w:rPr>
        <w:t>单位：</w:t>
      </w:r>
      <w:sdt>
        <w:sdtPr>
          <w:rPr>
            <w:rFonts w:hint="eastAsia"/>
            <w:szCs w:val="21"/>
          </w:rPr>
          <w:alias w:val="单位：坏账准备情况"/>
          <w:tag w:val="_GBC_bc8d00c0d3174cfcb352620f1eb8a667"/>
          <w:id w:val="-146588062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坏账准备情况"/>
          <w:tag w:val="_GBC_91b48dea1a804a74bee76eea04035acd"/>
          <w:id w:val="-4286555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82"/>
        <w:gridCol w:w="1244"/>
        <w:gridCol w:w="1351"/>
        <w:gridCol w:w="1244"/>
        <w:gridCol w:w="1248"/>
        <w:gridCol w:w="1246"/>
        <w:gridCol w:w="1241"/>
      </w:tblGrid>
      <w:tr>
        <w:sdt>
          <w:sdtPr>
            <w:tag w:val="_PLD_1b57eec9eb0c4064b8160bee3fcae2b4"/>
            <w:id w:val="-1852327972"/>
          </w:sdtPr>
          <w:sdtContent>
            <w:tc>
              <w:tcPr>
                <w:tcW w:w="1482" w:type="dxa"/>
                <w:vMerge w:val="restart"/>
                <w:shd w:val="clear" w:color="auto" w:fill="FFFFFF"/>
                <w:vAlign w:val="center"/>
              </w:tcPr>
              <w:p>
                <w:pPr>
                  <w:widowControl w:val="0"/>
                  <w:jc w:val="center"/>
                </w:pPr>
                <w:r>
                  <w:t>类别</w:t>
                </w:r>
              </w:p>
            </w:tc>
          </w:sdtContent>
        </w:sdt>
        <w:sdt>
          <w:sdtPr>
            <w:tag w:val="_PLD_35b59bfd9c7d401382d341cb7fd9f429"/>
            <w:id w:val="-750502214"/>
          </w:sdtPr>
          <w:sdtContent>
            <w:tc>
              <w:tcPr>
                <w:tcW w:w="1244" w:type="dxa"/>
                <w:vMerge w:val="restart"/>
                <w:shd w:val="clear" w:color="auto" w:fill="FFFFFF"/>
                <w:vAlign w:val="center"/>
              </w:tcPr>
              <w:p>
                <w:pPr>
                  <w:widowControl w:val="0"/>
                  <w:jc w:val="center"/>
                </w:pPr>
                <w:r>
                  <w:t>期初余额</w:t>
                </w:r>
              </w:p>
            </w:tc>
          </w:sdtContent>
        </w:sdt>
        <w:sdt>
          <w:sdtPr>
            <w:tag w:val="_PLD_f832a927fbc74b77a4b316e48dd5b52d"/>
            <w:id w:val="-1289816150"/>
          </w:sdtPr>
          <w:sdtContent>
            <w:tc>
              <w:tcPr>
                <w:tcW w:w="5089" w:type="dxa"/>
                <w:gridSpan w:val="4"/>
                <w:shd w:val="clear" w:color="auto" w:fill="FFFFFF"/>
                <w:vAlign w:val="center"/>
              </w:tcPr>
              <w:p>
                <w:pPr>
                  <w:widowControl w:val="0"/>
                  <w:jc w:val="center"/>
                </w:pPr>
                <w:r>
                  <w:rPr>
                    <w:rFonts w:hint="eastAsia"/>
                  </w:rPr>
                  <w:t>本期变动</w:t>
                </w:r>
                <w:r>
                  <w:t>金额</w:t>
                </w:r>
              </w:p>
            </w:tc>
          </w:sdtContent>
        </w:sdt>
        <w:tc>
          <w:tcPr>
            <w:tcW w:w="1241" w:type="dxa"/>
            <w:vMerge w:val="restart"/>
            <w:shd w:val="clear" w:color="auto" w:fill="FFFFFF"/>
            <w:vAlign w:val="center"/>
          </w:tcPr>
          <w:sdt>
            <w:sdtPr>
              <w:tag w:val="_PLD_ccc97add96524818a21d9404254ba0a1"/>
              <w:id w:val="-1783026954"/>
            </w:sdtPr>
            <w:sdtContent>
              <w:p>
                <w:pPr>
                  <w:widowControl w:val="0"/>
                  <w:jc w:val="center"/>
                </w:pPr>
                <w:r>
                  <w:t>期末余额</w:t>
                </w:r>
              </w:p>
            </w:sdtContent>
          </w:sdt>
        </w:tc>
      </w:tr>
      <w:tr>
        <w:tc>
          <w:tcPr>
            <w:tcW w:w="1482" w:type="dxa"/>
            <w:vMerge/>
            <w:shd w:val="clear" w:color="auto" w:fill="FFFFFF"/>
            <w:vAlign w:val="center"/>
          </w:tcPr>
          <w:p>
            <w:pPr>
              <w:widowControl w:val="0"/>
              <w:jc w:val="center"/>
            </w:pPr>
          </w:p>
        </w:tc>
        <w:tc>
          <w:tcPr>
            <w:tcW w:w="1244" w:type="dxa"/>
            <w:vMerge/>
            <w:shd w:val="clear" w:color="auto" w:fill="FFFFFF"/>
            <w:vAlign w:val="center"/>
          </w:tcPr>
          <w:p>
            <w:pPr>
              <w:widowControl w:val="0"/>
              <w:jc w:val="center"/>
            </w:pPr>
          </w:p>
        </w:tc>
        <w:sdt>
          <w:sdtPr>
            <w:tag w:val="_PLD_8c73657619504c478224bb03d05744fb"/>
            <w:id w:val="1550182696"/>
          </w:sdtPr>
          <w:sdtContent>
            <w:tc>
              <w:tcPr>
                <w:tcW w:w="1351" w:type="dxa"/>
                <w:shd w:val="clear" w:color="auto" w:fill="FFFFFF"/>
                <w:vAlign w:val="center"/>
              </w:tcPr>
              <w:p>
                <w:pPr>
                  <w:widowControl w:val="0"/>
                  <w:jc w:val="center"/>
                </w:pPr>
                <w:r>
                  <w:t>计提</w:t>
                </w:r>
              </w:p>
            </w:tc>
          </w:sdtContent>
        </w:sdt>
        <w:sdt>
          <w:sdtPr>
            <w:tag w:val="_PLD_022cda494f134770bf3ef208bf599998"/>
            <w:id w:val="96380056"/>
          </w:sdtPr>
          <w:sdtContent>
            <w:tc>
              <w:tcPr>
                <w:tcW w:w="1244" w:type="dxa"/>
                <w:shd w:val="clear" w:color="auto" w:fill="FFFFFF"/>
                <w:vAlign w:val="center"/>
              </w:tcPr>
              <w:p>
                <w:pPr>
                  <w:widowControl w:val="0"/>
                  <w:jc w:val="center"/>
                </w:pPr>
                <w:r>
                  <w:rPr>
                    <w:rFonts w:hint="eastAsia"/>
                  </w:rPr>
                  <w:t>收回或转回</w:t>
                </w:r>
              </w:p>
            </w:tc>
          </w:sdtContent>
        </w:sdt>
        <w:sdt>
          <w:sdtPr>
            <w:tag w:val="_PLD_3c73b120957a4df8af659b57c66c504b"/>
            <w:id w:val="-1279640883"/>
          </w:sdtPr>
          <w:sdtContent>
            <w:tc>
              <w:tcPr>
                <w:tcW w:w="1248" w:type="dxa"/>
                <w:shd w:val="clear" w:color="auto" w:fill="FFFFFF"/>
                <w:vAlign w:val="center"/>
              </w:tcPr>
              <w:p>
                <w:pPr>
                  <w:widowControl w:val="0"/>
                  <w:jc w:val="center"/>
                </w:pPr>
                <w:r>
                  <w:rPr>
                    <w:rFonts w:hint="eastAsia"/>
                  </w:rPr>
                  <w:t>转销或核销</w:t>
                </w:r>
              </w:p>
            </w:tc>
          </w:sdtContent>
        </w:sdt>
        <w:sdt>
          <w:sdtPr>
            <w:tag w:val="_PLD_3a826535e5024414812e143b3ba426dc"/>
            <w:id w:val="481442122"/>
          </w:sdtPr>
          <w:sdtContent>
            <w:tc>
              <w:tcPr>
                <w:tcW w:w="1246" w:type="dxa"/>
                <w:shd w:val="clear" w:color="auto" w:fill="FFFFFF"/>
                <w:vAlign w:val="center"/>
              </w:tcPr>
              <w:p>
                <w:pPr>
                  <w:widowControl w:val="0"/>
                  <w:jc w:val="center"/>
                </w:pPr>
                <w:r>
                  <w:rPr>
                    <w:rFonts w:hint="eastAsia"/>
                  </w:rPr>
                  <w:t>其他变动</w:t>
                </w:r>
              </w:p>
            </w:tc>
          </w:sdtContent>
        </w:sdt>
        <w:tc>
          <w:tcPr>
            <w:tcW w:w="1241" w:type="dxa"/>
            <w:vMerge/>
            <w:shd w:val="clear" w:color="auto" w:fill="FFFFFF"/>
            <w:vAlign w:val="center"/>
          </w:tcPr>
          <w:p>
            <w:pPr>
              <w:widowControl w:val="0"/>
              <w:jc w:val="right"/>
            </w:pPr>
          </w:p>
        </w:tc>
      </w:tr>
      <w:tr>
        <w:tc>
          <w:tcPr>
            <w:tcW w:w="1482" w:type="dxa"/>
            <w:vAlign w:val="center"/>
          </w:tcPr>
          <w:p>
            <w:pPr>
              <w:widowControl w:val="0"/>
            </w:pPr>
            <w:r>
              <w:rPr>
                <w:rFonts w:ascii="宋体" w:hAnsi="宋体" w:cs="宋体" w:hint="eastAsia"/>
                <w:sz w:val="18"/>
                <w:szCs w:val="18"/>
              </w:rPr>
              <w:t>坏账准备</w:t>
            </w:r>
          </w:p>
        </w:tc>
        <w:tc>
          <w:tcPr>
            <w:tcW w:w="1244" w:type="dxa"/>
            <w:vAlign w:val="center"/>
          </w:tcPr>
          <w:p>
            <w:pPr>
              <w:widowControl w:val="0"/>
              <w:jc w:val="right"/>
            </w:pPr>
            <w:r>
              <w:rPr>
                <w:rFonts w:ascii="宋体" w:hAnsi="宋体" w:cs="宋体" w:hint="eastAsia"/>
              </w:rPr>
              <w:t>287,580</w:t>
            </w:r>
          </w:p>
        </w:tc>
        <w:tc>
          <w:tcPr>
            <w:tcW w:w="1351" w:type="dxa"/>
            <w:vAlign w:val="center"/>
          </w:tcPr>
          <w:p>
            <w:pPr>
              <w:widowControl w:val="0"/>
              <w:jc w:val="right"/>
            </w:pPr>
            <w:r>
              <w:rPr>
                <w:rFonts w:ascii="宋体" w:hAnsi="宋体" w:cs="宋体" w:hint="eastAsia"/>
              </w:rPr>
              <w:t>-103,741</w:t>
            </w:r>
          </w:p>
        </w:tc>
        <w:tc>
          <w:tcPr>
            <w:tcW w:w="1244" w:type="dxa"/>
            <w:vAlign w:val="center"/>
          </w:tcPr>
          <w:p>
            <w:pPr>
              <w:widowControl w:val="0"/>
              <w:jc w:val="right"/>
            </w:pPr>
            <w:r>
              <w:rPr>
                <w:rFonts w:ascii="宋体" w:hAnsi="宋体" w:cs="宋体" w:hint="eastAsia"/>
              </w:rPr>
              <w:t>203</w:t>
            </w:r>
          </w:p>
        </w:tc>
        <w:tc>
          <w:tcPr>
            <w:tcW w:w="1248" w:type="dxa"/>
            <w:vAlign w:val="center"/>
          </w:tcPr>
          <w:p>
            <w:pPr>
              <w:widowControl w:val="0"/>
              <w:jc w:val="right"/>
            </w:pPr>
          </w:p>
        </w:tc>
        <w:tc>
          <w:tcPr>
            <w:tcW w:w="1246" w:type="dxa"/>
            <w:vAlign w:val="center"/>
          </w:tcPr>
          <w:p>
            <w:pPr>
              <w:widowControl w:val="0"/>
              <w:jc w:val="right"/>
            </w:pPr>
          </w:p>
        </w:tc>
        <w:tc>
          <w:tcPr>
            <w:tcW w:w="1241" w:type="dxa"/>
            <w:vAlign w:val="center"/>
          </w:tcPr>
          <w:p>
            <w:pPr>
              <w:widowControl w:val="0"/>
              <w:jc w:val="right"/>
            </w:pPr>
            <w:r>
              <w:rPr>
                <w:rFonts w:ascii="宋体" w:hAnsi="宋体" w:cs="宋体" w:hint="eastAsia"/>
              </w:rPr>
              <w:t>183,636</w:t>
            </w:r>
          </w:p>
        </w:tc>
      </w:tr>
      <w:tr>
        <w:tc>
          <w:tcPr>
            <w:tcW w:w="1482" w:type="dxa"/>
            <w:vAlign w:val="center"/>
          </w:tcPr>
          <w:p>
            <w:pPr>
              <w:widowControl w:val="0"/>
              <w:jc w:val="center"/>
            </w:pPr>
            <w:r>
              <w:rPr>
                <w:rFonts w:hint="eastAsia"/>
              </w:rPr>
              <w:t>合计</w:t>
            </w:r>
          </w:p>
        </w:tc>
        <w:tc>
          <w:tcPr>
            <w:tcW w:w="1244" w:type="dxa"/>
            <w:vAlign w:val="center"/>
          </w:tcPr>
          <w:p>
            <w:pPr>
              <w:widowControl w:val="0"/>
              <w:jc w:val="right"/>
            </w:pPr>
            <w:r>
              <w:rPr>
                <w:rFonts w:ascii="宋体" w:hAnsi="宋体" w:cs="宋体" w:hint="eastAsia"/>
              </w:rPr>
              <w:t>287,580</w:t>
            </w:r>
          </w:p>
        </w:tc>
        <w:tc>
          <w:tcPr>
            <w:tcW w:w="1351" w:type="dxa"/>
            <w:vAlign w:val="center"/>
          </w:tcPr>
          <w:p>
            <w:pPr>
              <w:widowControl w:val="0"/>
              <w:jc w:val="right"/>
            </w:pPr>
            <w:r>
              <w:rPr>
                <w:rFonts w:ascii="宋体" w:hAnsi="宋体" w:cs="宋体" w:hint="eastAsia"/>
              </w:rPr>
              <w:t>-103,741</w:t>
            </w:r>
          </w:p>
        </w:tc>
        <w:tc>
          <w:tcPr>
            <w:tcW w:w="1244" w:type="dxa"/>
            <w:vAlign w:val="center"/>
          </w:tcPr>
          <w:p>
            <w:pPr>
              <w:widowControl w:val="0"/>
              <w:jc w:val="right"/>
            </w:pPr>
            <w:r>
              <w:rPr>
                <w:rFonts w:ascii="宋体" w:hAnsi="宋体" w:cs="宋体" w:hint="eastAsia"/>
              </w:rPr>
              <w:t>203</w:t>
            </w:r>
          </w:p>
        </w:tc>
        <w:tc>
          <w:tcPr>
            <w:tcW w:w="1248" w:type="dxa"/>
            <w:vAlign w:val="center"/>
          </w:tcPr>
          <w:p>
            <w:pPr>
              <w:widowControl w:val="0"/>
              <w:jc w:val="right"/>
            </w:pPr>
          </w:p>
        </w:tc>
        <w:tc>
          <w:tcPr>
            <w:tcW w:w="1246" w:type="dxa"/>
            <w:vAlign w:val="center"/>
          </w:tcPr>
          <w:p>
            <w:pPr>
              <w:widowControl w:val="0"/>
              <w:jc w:val="right"/>
            </w:pPr>
          </w:p>
        </w:tc>
        <w:tc>
          <w:tcPr>
            <w:tcW w:w="1241" w:type="dxa"/>
            <w:vAlign w:val="center"/>
          </w:tcPr>
          <w:p>
            <w:pPr>
              <w:widowControl w:val="0"/>
              <w:jc w:val="right"/>
            </w:pPr>
            <w:r>
              <w:rPr>
                <w:rFonts w:ascii="宋体" w:hAnsi="宋体" w:cs="宋体" w:hint="eastAsia"/>
              </w:rPr>
              <w:t>183,636</w:t>
            </w:r>
          </w:p>
        </w:tc>
      </w:tr>
    </w:tbl>
    <w:p>
      <w:pPr>
        <w:pStyle w:val="Style201"/>
      </w:pPr>
    </w:p>
    <w:bookmarkEnd w:id="449"/>
    <w:p>
      <w:pPr>
        <w:pStyle w:val="Style217"/>
      </w:pPr>
      <w:r>
        <w:rPr>
          <w:rFonts w:hint="eastAsia"/>
        </w:rPr>
        <w:t>其中本期坏账准备收回或转回金额重要的：</w:t>
      </w:r>
    </w:p>
    <w:sdt>
      <w:sdtPr>
        <w:alias w:val="是否适用：本期坏账准备收回或转回金额重要的[双击切换]"/>
        <w:tag w:val="_GBC_b4e3b5deca584587a596a753699de6b7"/>
        <w:id w:val="59467219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坏账准备情况的说明"/>
        <w:tag w:val="_GBC_b5a80a414fe14b5c9e4001ca8a0f4bbf"/>
        <w:id w:val="-625627656"/>
        <w:placeholder>
          <w:docPart w:val="GBC22222222222222222222222222222"/>
        </w:placeholder>
      </w:sdtPr>
      <w:sdtContent>
        <w:p>
          <w:pPr>
            <w:ind w:rightChars="20" w:right="42"/>
          </w:pPr>
          <w:r>
            <w:rPr>
              <w:rFonts w:hint="eastAsia"/>
            </w:rPr>
            <w:t>-</w:t>
          </w:r>
        </w:p>
      </w:sdtContent>
    </w:sdt>
    <w:p>
      <w:pPr>
        <w:ind w:rightChars="-759" w:right="-1594"/>
      </w:pPr>
    </w:p>
    <w:p>
      <w:pPr>
        <w:pStyle w:val="Style179"/>
        <w:numPr>
          <w:ilvl w:val="3"/>
          <w:numId w:val="86"/>
        </w:numPr>
        <w:ind w:left="426" w:hanging="426"/>
      </w:pPr>
      <w:r>
        <w:rPr>
          <w:rFonts w:hint="eastAsia"/>
        </w:rPr>
        <w:t>本期实际核销的长期应收款情况</w:t>
      </w:r>
    </w:p>
    <w:sdt>
      <w:sdtPr>
        <w:alias w:val="是否适用：实际核销的情况[双击切换]"/>
        <w:tag w:val="_GBC_e9d4e4f95df144d1beb521844e7c35e7"/>
        <w:id w:val="172132211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其中重要的长期应收款核销情况</w:t>
      </w:r>
    </w:p>
    <w:sdt>
      <w:sdtPr>
        <w:rPr>
          <w:rFonts w:hint="eastAsia"/>
        </w:rPr>
        <w:alias w:val="是否适用：重要的核销情况[双击切换]"/>
        <w:tag w:val="_GBC_17fbcf123507404b9fc25df0517e3788"/>
        <w:id w:val="-62291588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长期应收款核销说明：</w:t>
      </w:r>
    </w:p>
    <w:sdt>
      <w:sdtPr>
        <w:alias w:val="是否适用：核销说明[双击切换]"/>
        <w:tag w:val="_GBC_b5e2283b2a954039b963ac2506245e4d"/>
        <w:id w:val="-76518019"/>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bookmarkEnd w:id="450"/>
    <w:p>
      <w:pPr>
        <w:pStyle w:val="Style217"/>
      </w:pPr>
      <w:r>
        <w:rPr>
          <w:rFonts w:hint="eastAsia"/>
        </w:rPr>
        <w:t>其他说明：</w:t>
      </w:r>
    </w:p>
    <w:sdt>
      <w:sdtPr>
        <w:alias w:val="是否适用：长期应收款的其他说明[双击切换]"/>
        <w:tag w:val="_GBC_374ef9a861254142b9ef8519d87eb5ac"/>
        <w:id w:val="-156324533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p>
    <w:p>
      <w:pPr>
        <w:pStyle w:val="Style217"/>
      </w:pPr>
    </w:p>
    <w:p>
      <w:pPr>
        <w:pStyle w:val="Style217"/>
      </w:pPr>
    </w:p>
    <w:p>
      <w:pPr>
        <w:pStyle w:val="Style217"/>
      </w:pPr>
    </w:p>
    <w:p>
      <w:pPr>
        <w:pStyle w:val="Style217"/>
      </w:pPr>
    </w:p>
    <w:p>
      <w:pPr>
        <w:pStyle w:val="Style217"/>
      </w:pPr>
    </w:p>
    <w:p>
      <w:pPr>
        <w:sectPr>
          <w:pgSz w:w="11906" w:h="16838"/>
          <w:pgMar w:top="1440" w:right="1797" w:bottom="1525" w:left="1276" w:header="856" w:footer="992" w:gutter="0"/>
          <w:cols w:space="425"/>
          <w:docGrid w:linePitch="312"/>
        </w:sectPr>
      </w:pPr>
    </w:p>
    <w:p>
      <w:pPr>
        <w:pStyle w:val="Style217"/>
      </w:pPr>
    </w:p>
    <w:p>
      <w:pPr>
        <w:pStyle w:val="Style178"/>
        <w:numPr>
          <w:ilvl w:val="0"/>
          <w:numId w:val="75"/>
        </w:numPr>
        <w:rPr>
          <w:szCs w:val="21"/>
        </w:rPr>
      </w:pPr>
      <w:r>
        <w:rPr>
          <w:szCs w:val="21"/>
        </w:rPr>
        <w:t>长期股权投资</w:t>
      </w:r>
    </w:p>
    <w:p>
      <w:pPr>
        <w:pStyle w:val="Style179"/>
        <w:numPr>
          <w:ilvl w:val="0"/>
          <w:numId w:val="87"/>
        </w:numPr>
      </w:pPr>
      <w:bookmarkStart w:id="451" w:name="_Hlk152856977"/>
      <w:r>
        <w:rPr>
          <w:rFonts w:hint="eastAsia"/>
        </w:rPr>
        <w:t>长期股权投资情况</w:t>
      </w:r>
    </w:p>
    <w:p>
      <w:pPr>
        <w:pStyle w:val="Style217"/>
      </w:pPr>
      <w:sdt>
        <w:sdtPr>
          <w:rPr>
            <w:rFonts w:hint="eastAsia"/>
          </w:rPr>
          <w:alias w:val="是否适用：长期股权投资[双击切换]"/>
          <w:tag w:val="_GBC_94e2c461d3d34280a0a5f1e908656d3e"/>
          <w:id w:val="542800045"/>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长期股权投资"/>
          <w:tag w:val="_GBC_9ef1128bd666425898c1d0386f4940f0"/>
          <w:id w:val="-6458167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长期股权投资"/>
          <w:tag w:val="_GBC_3839232c7f594f79a27ec799cde377b3"/>
          <w:id w:val="8704981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4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992"/>
        <w:gridCol w:w="993"/>
        <w:gridCol w:w="1275"/>
        <w:gridCol w:w="1134"/>
        <w:gridCol w:w="1101"/>
        <w:gridCol w:w="1105"/>
        <w:gridCol w:w="771"/>
        <w:gridCol w:w="992"/>
        <w:gridCol w:w="993"/>
        <w:gridCol w:w="1417"/>
        <w:gridCol w:w="1268"/>
      </w:tblGrid>
      <w:tr>
        <w:trPr>
          <w:trHeight w:val="284"/>
        </w:trPr>
        <w:bookmarkEnd w:id="451" w:displacedByCustomXml="next"/>
        <w:sdt>
          <w:sdtPr>
            <w:tag w:val="_PLD_904000e8ce384d4988e09c22d5f8f725"/>
            <w:id w:val="-1527718429"/>
          </w:sdtPr>
          <w:sdtContent>
            <w:tc>
              <w:tcPr>
                <w:tcW w:w="851" w:type="dxa"/>
                <w:vMerge w:val="restart"/>
                <w:tcBorders>
                  <w:top w:val="single" w:sz="4" w:space="0" w:color="auto"/>
                  <w:left w:val="single" w:sz="4" w:space="0" w:color="auto"/>
                  <w:right w:val="single" w:sz="4" w:space="0" w:color="auto"/>
                </w:tcBorders>
                <w:vAlign w:val="center"/>
              </w:tcPr>
              <w:p>
                <w:pPr>
                  <w:jc w:val="center"/>
                </w:pPr>
                <w:r>
                  <w:rPr>
                    <w:rFonts w:hint="eastAsia"/>
                  </w:rPr>
                  <w:t>被投资单位</w:t>
                </w:r>
              </w:p>
            </w:tc>
          </w:sdtContent>
        </w:sdt>
        <w:sdt>
          <w:sdtPr>
            <w:tag w:val="_PLD_2325481f20324f949b4d5af7cfe3ea45"/>
            <w:id w:val="-1197767443"/>
          </w:sdtPr>
          <w:sdtContent>
            <w:tc>
              <w:tcPr>
                <w:tcW w:w="1276" w:type="dxa"/>
                <w:vMerge w:val="restart"/>
                <w:tcBorders>
                  <w:top w:val="single" w:sz="4" w:space="0" w:color="auto"/>
                  <w:left w:val="single" w:sz="4" w:space="0" w:color="auto"/>
                  <w:right w:val="single" w:sz="4" w:space="0" w:color="auto"/>
                </w:tcBorders>
                <w:vAlign w:val="center"/>
              </w:tcPr>
              <w:p>
                <w:pPr>
                  <w:jc w:val="center"/>
                </w:pPr>
                <w:r>
                  <w:rPr>
                    <w:rFonts w:hint="eastAsia"/>
                  </w:rPr>
                  <w:t>期初</w:t>
                </w:r>
              </w:p>
              <w:p>
                <w:pPr>
                  <w:jc w:val="center"/>
                </w:pPr>
                <w:r>
                  <w:rPr>
                    <w:rFonts w:hint="eastAsia"/>
                  </w:rPr>
                  <w:t>余额（账面价值）</w:t>
                </w:r>
              </w:p>
            </w:tc>
          </w:sdtContent>
        </w:sdt>
        <w:tc>
          <w:tcPr>
            <w:tcW w:w="9356" w:type="dxa"/>
            <w:gridSpan w:val="9"/>
            <w:tcBorders>
              <w:top w:val="single" w:sz="4" w:space="0" w:color="auto"/>
              <w:left w:val="single" w:sz="4" w:space="0" w:color="auto"/>
              <w:bottom w:val="single" w:sz="4" w:space="0" w:color="auto"/>
              <w:right w:val="single" w:sz="4" w:space="0" w:color="auto"/>
            </w:tcBorders>
            <w:vAlign w:val="center"/>
          </w:tcPr>
          <w:sdt>
            <w:sdtPr>
              <w:tag w:val="_PLD_62e0836260734d34965d8070b1a6f2dd"/>
              <w:id w:val="-767999030"/>
            </w:sdtPr>
            <w:sdtContent>
              <w:p>
                <w:pPr>
                  <w:jc w:val="center"/>
                </w:pPr>
                <w:r>
                  <w:rPr>
                    <w:rFonts w:hint="eastAsia"/>
                  </w:rPr>
                  <w:t>本期增减变动</w:t>
                </w:r>
              </w:p>
            </w:sdtContent>
          </w:sdt>
        </w:tc>
        <w:sdt>
          <w:sdtPr>
            <w:tag w:val="_PLD_7b9429fc29b64f4c83eea02ed0cad7ba"/>
            <w:id w:val="-259534271"/>
          </w:sdtPr>
          <w:sdtContent>
            <w:tc>
              <w:tcPr>
                <w:tcW w:w="1417" w:type="dxa"/>
                <w:vMerge w:val="restart"/>
                <w:tcBorders>
                  <w:top w:val="single" w:sz="4" w:space="0" w:color="auto"/>
                  <w:left w:val="single" w:sz="4" w:space="0" w:color="auto"/>
                  <w:right w:val="single" w:sz="4" w:space="0" w:color="auto"/>
                </w:tcBorders>
                <w:vAlign w:val="center"/>
              </w:tcPr>
              <w:p>
                <w:pPr>
                  <w:jc w:val="center"/>
                </w:pPr>
                <w:r>
                  <w:rPr>
                    <w:rFonts w:hint="eastAsia"/>
                  </w:rPr>
                  <w:t>期末</w:t>
                </w:r>
              </w:p>
              <w:p>
                <w:pPr>
                  <w:jc w:val="center"/>
                </w:pPr>
                <w:r>
                  <w:rPr>
                    <w:rFonts w:hint="eastAsia"/>
                  </w:rPr>
                  <w:t>余额（账面价值）</w:t>
                </w:r>
              </w:p>
            </w:tc>
          </w:sdtContent>
        </w:sdt>
        <w:sdt>
          <w:sdtPr>
            <w:tag w:val="_PLD_79298dc466f54a239357520005d5d0d6"/>
            <w:id w:val="-17785690"/>
          </w:sdtPr>
          <w:sdtContent>
            <w:tc>
              <w:tcPr>
                <w:tcW w:w="1268" w:type="dxa"/>
                <w:vMerge w:val="restart"/>
                <w:tcBorders>
                  <w:top w:val="single" w:sz="4" w:space="0" w:color="auto"/>
                  <w:left w:val="single" w:sz="4" w:space="0" w:color="auto"/>
                  <w:right w:val="single" w:sz="4" w:space="0" w:color="auto"/>
                </w:tcBorders>
                <w:vAlign w:val="center"/>
              </w:tcPr>
              <w:p>
                <w:pPr>
                  <w:jc w:val="center"/>
                </w:pPr>
                <w:r>
                  <w:rPr>
                    <w:rFonts w:hint="eastAsia"/>
                  </w:rPr>
                  <w:t>减值准备期末余额</w:t>
                </w:r>
              </w:p>
            </w:tc>
          </w:sdtContent>
        </w:sdt>
      </w:tr>
      <w:tr>
        <w:trPr>
          <w:trHeight w:val="152"/>
        </w:trPr>
        <w:tc>
          <w:tcPr>
            <w:tcW w:w="851" w:type="dxa"/>
            <w:vMerge/>
            <w:tcBorders>
              <w:left w:val="single" w:sz="4" w:space="0" w:color="auto"/>
              <w:bottom w:val="single" w:sz="4" w:space="0" w:color="auto"/>
              <w:right w:val="single" w:sz="4" w:space="0" w:color="auto"/>
            </w:tcBorders>
            <w:vAlign w:val="center"/>
          </w:tcPr>
          <w:p>
            <w:pPr>
              <w:jc w:val="center"/>
            </w:pPr>
          </w:p>
        </w:tc>
        <w:tc>
          <w:tcPr>
            <w:tcW w:w="1276" w:type="dxa"/>
            <w:vMerge/>
            <w:tcBorders>
              <w:left w:val="single" w:sz="4" w:space="0" w:color="auto"/>
              <w:bottom w:val="single" w:sz="4" w:space="0" w:color="auto"/>
              <w:right w:val="single" w:sz="4" w:space="0" w:color="auto"/>
            </w:tcBorders>
            <w:vAlign w:val="center"/>
          </w:tcPr>
          <w:p>
            <w:pPr>
              <w:jc w:val="center"/>
            </w:pPr>
          </w:p>
        </w:tc>
        <w:sdt>
          <w:sdtPr>
            <w:tag w:val="_PLD_32174384d8204c80ab4f8eb2ee1b7c00"/>
            <w:id w:val="-418724168"/>
          </w:sdtPr>
          <w:sdtContent>
            <w:tc>
              <w:tcPr>
                <w:tcW w:w="992"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追加投资</w:t>
                </w:r>
              </w:p>
            </w:tc>
          </w:sdtContent>
        </w:sdt>
        <w:sdt>
          <w:sdtPr>
            <w:tag w:val="_PLD_095046b604db44b8b22c0d62f18b7d7b"/>
            <w:id w:val="-496734047"/>
          </w:sdtPr>
          <w:sdtContent>
            <w:tc>
              <w:tcPr>
                <w:tcW w:w="993"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减少投资</w:t>
                </w:r>
              </w:p>
            </w:tc>
          </w:sdtContent>
        </w:sdt>
        <w:sdt>
          <w:sdtPr>
            <w:tag w:val="_PLD_6b1aa2f12a4b43c9acfdfe03af1b69b5"/>
            <w:id w:val="803744976"/>
          </w:sdtPr>
          <w:sdtContent>
            <w:tc>
              <w:tcPr>
                <w:tcW w:w="127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权益法下确认的投资损益</w:t>
                </w:r>
              </w:p>
            </w:tc>
          </w:sdtContent>
        </w:sdt>
        <w:sdt>
          <w:sdtPr>
            <w:tag w:val="_PLD_7843f54d0d14415a8d81c3e768bcd483"/>
            <w:id w:val="-2106324396"/>
          </w:sdtPr>
          <w:sdtContent>
            <w:tc>
              <w:tcPr>
                <w:tcW w:w="113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其他综合收益调整</w:t>
                </w:r>
              </w:p>
            </w:tc>
          </w:sdtContent>
        </w:sdt>
        <w:sdt>
          <w:sdtPr>
            <w:tag w:val="_PLD_dd698127723b4ea0815eca9ac49240a1"/>
            <w:id w:val="-1938130744"/>
          </w:sdtPr>
          <w:sdtContent>
            <w:tc>
              <w:tcPr>
                <w:tcW w:w="11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其他权益变动</w:t>
                </w:r>
              </w:p>
            </w:tc>
          </w:sdtContent>
        </w:sdt>
        <w:sdt>
          <w:sdtPr>
            <w:tag w:val="_PLD_6d37a876ad014b7ba59d452d3d7f5f15"/>
            <w:id w:val="-90622160"/>
          </w:sdtPr>
          <w:sdtContent>
            <w:tc>
              <w:tcPr>
                <w:tcW w:w="11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宣告发放现金股利或利润</w:t>
                </w:r>
              </w:p>
            </w:tc>
          </w:sdtContent>
        </w:sdt>
        <w:sdt>
          <w:sdtPr>
            <w:tag w:val="_PLD_050d96d5e62f42b9bb4f13a2ca047503"/>
            <w:id w:val="-1937206038"/>
          </w:sdtPr>
          <w:sdtContent>
            <w:tc>
              <w:tcPr>
                <w:tcW w:w="77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计提减值准备</w:t>
                </w:r>
              </w:p>
            </w:tc>
          </w:sdtContent>
        </w:sdt>
        <w:sdt>
          <w:sdtPr>
            <w:tag w:val="_PLD_add111e25b4543c48121d495919f2030"/>
            <w:id w:val="1005705316"/>
          </w:sdtPr>
          <w:sdtContent>
            <w:tc>
              <w:tcPr>
                <w:tcW w:w="992"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其他</w:t>
                </w:r>
              </w:p>
            </w:tc>
          </w:sdtContent>
        </w:sdt>
        <w:tc>
          <w:tcPr>
            <w:tcW w:w="993" w:type="dxa"/>
            <w:tcBorders>
              <w:left w:val="single" w:sz="4" w:space="0" w:color="auto"/>
              <w:bottom w:val="single" w:sz="4" w:space="0" w:color="auto"/>
              <w:right w:val="single" w:sz="4" w:space="0" w:color="auto"/>
            </w:tcBorders>
            <w:vAlign w:val="center"/>
          </w:tcPr>
          <w:p>
            <w:pPr>
              <w:jc w:val="center"/>
            </w:pPr>
            <w:r>
              <w:rPr>
                <w:rFonts w:ascii="宋体" w:hAnsi="宋体" w:cs="宋体" w:hint="eastAsia"/>
                <w:color w:val="000000"/>
                <w:sz w:val="18"/>
                <w:szCs w:val="18"/>
              </w:rPr>
              <w:t>外币报表折算</w:t>
            </w:r>
          </w:p>
        </w:tc>
        <w:tc>
          <w:tcPr>
            <w:tcW w:w="1417" w:type="dxa"/>
            <w:vMerge/>
            <w:tcBorders>
              <w:left w:val="single" w:sz="4" w:space="0" w:color="auto"/>
              <w:bottom w:val="single" w:sz="4" w:space="0" w:color="auto"/>
              <w:right w:val="single" w:sz="4" w:space="0" w:color="auto"/>
            </w:tcBorders>
            <w:vAlign w:val="center"/>
          </w:tcPr>
          <w:p>
            <w:pPr>
              <w:jc w:val="center"/>
            </w:pPr>
          </w:p>
        </w:tc>
        <w:tc>
          <w:tcPr>
            <w:tcW w:w="1268" w:type="dxa"/>
            <w:vMerge/>
            <w:tcBorders>
              <w:left w:val="single" w:sz="4" w:space="0" w:color="auto"/>
              <w:bottom w:val="single" w:sz="4" w:space="0" w:color="auto"/>
              <w:right w:val="single" w:sz="4" w:space="0" w:color="auto"/>
            </w:tcBorders>
            <w:vAlign w:val="center"/>
          </w:tcPr>
          <w:p>
            <w:pPr>
              <w:jc w:val="center"/>
            </w:pPr>
          </w:p>
        </w:tc>
      </w:tr>
      <w:tr>
        <w:trPr>
          <w:trHeight w:val="284"/>
        </w:trPr>
        <w:sdt>
          <w:sdtPr>
            <w:tag w:val="_PLD_35b755e14b594e4c91e0b7c9ecb32e60"/>
            <w:id w:val="-740483140"/>
          </w:sdtPr>
          <w:sdtContent>
            <w:tc>
              <w:tcPr>
                <w:tcW w:w="14168" w:type="dxa"/>
                <w:gridSpan w:val="13"/>
                <w:tcBorders>
                  <w:top w:val="single" w:sz="4" w:space="0" w:color="auto"/>
                  <w:left w:val="single" w:sz="4" w:space="0" w:color="auto"/>
                  <w:bottom w:val="single" w:sz="4" w:space="0" w:color="auto"/>
                  <w:right w:val="single" w:sz="4" w:space="0" w:color="auto"/>
                </w:tcBorders>
                <w:vAlign w:val="center"/>
              </w:tcPr>
              <w:p>
                <w:pPr>
                  <w:jc w:val="both"/>
                </w:pPr>
                <w:r>
                  <w:rPr>
                    <w:rFonts w:hint="eastAsia"/>
                  </w:rPr>
                  <w:t>一、合营企业</w:t>
                </w:r>
              </w:p>
            </w:tc>
          </w:sdtContent>
        </w:sdt>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lang w:bidi="ar"/>
              </w:rPr>
              <w:t>圣地芬雷选煤工程技术（天津）有限公司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29,267</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2,452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31,719</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lang w:bidi="ar"/>
              </w:rPr>
              <w:t>山东丰隆智控工业科技有限公司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41,649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-2,141</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39,508</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61"/>
        </w:trPr>
        <w:tc>
          <w:tcPr>
            <w:tcW w:w="8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lang w:bidi="ar"/>
              </w:rPr>
              <w:t>MiddlemountJointVenture（“</w:t>
            </w:r>
            <w:r>
              <w:rPr>
                <w:lang w:bidi="ar"/>
              </w:rPr>
              <w:t>中山矿合营企业</w:t>
            </w:r>
            <w:r>
              <w:rPr>
                <w:rFonts w:hint="eastAsia"/>
                <w:lang w:bidi="ar"/>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1,205,000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-100,065</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46,731</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1,151,666</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84"/>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小计</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1,275,916</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-99,754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46,731</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1,222,893</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96"/>
        </w:trPr>
        <w:sdt>
          <w:sdtPr>
            <w:rPr>
              <w:rFonts w:ascii="宋体" w:hAnsi="宋体"/>
            </w:rPr>
            <w:tag w:val="_PLD_2c448562bca04f23a9ec97848768cd82"/>
            <w:id w:val="-903137491"/>
          </w:sdtPr>
          <w:sdtContent>
            <w:tc>
              <w:tcPr>
                <w:tcW w:w="14168" w:type="dxa"/>
                <w:gridSpan w:val="13"/>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二、联营企业</w:t>
                </w:r>
              </w:p>
            </w:tc>
          </w:sdtContent>
        </w:sdt>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伊犁新天煤化工有限责任公司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2,099,069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181,486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2,280,555</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内蒙古伊泰呼准铁路有限公司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2,221,548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5,703</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-2,288</w:t>
            </w: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-867</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34,282</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2,189,814</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鄂尔多斯市海勒斯铁路运输有限公司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48,478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702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49,180</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兖州东方机电有限公司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5,864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65,399</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71,263</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兖矿清湖生态科技（山东）有限责任公司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5,083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5,083</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兖矿苗夫智慧生态科技（山东）有限公司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50,088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50,090</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山东聚合顺鲁化新材</w:t>
            </w:r>
            <w:r>
              <w:rPr>
                <w:rFonts w:ascii="宋体" w:hAnsi="宋体" w:cs="宋体" w:hint="eastAsia"/>
                <w:color w:val="000000"/>
                <w:sz w:val="18"/>
                <w:szCs w:val="18"/>
                <w:lang w:bidi="ar"/>
              </w:rPr>
              <w:lastRenderedPageBreak/>
              <w:t>料有限公司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lastRenderedPageBreak/>
              <w:t>199,406</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17,441</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12,600</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204,247</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内蒙古锦联铝材有限公司（注1）</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4,734,190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12,352</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1,117,705</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557,709</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5,306,538</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内蒙古霍煤锦联矿业有限责任公司（注2）</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14,129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30,000</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4,906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10,965</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内蒙古东能能源有限责任公司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12,279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208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12,487</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内蒙古西能能源有限责任公司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22,843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198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23,041</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福建东凯投资中心（有限合伙）</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32,401</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-32,401</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山东星链智行物流科技有限公司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1,174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618</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1,832</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西裕（上海）氢能科技有限公司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1,415</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-326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-618</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471</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lastRenderedPageBreak/>
              <w:t>常州标杰劳务有限公司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79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-79</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沃拉塔港煤炭服务公司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813,060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163,252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-1,362</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59,867</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34,866</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949,949</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浙商银行股份有限公司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6,442,055</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532,729</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7,642</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-44,833</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6,922,309</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水兴能源（邹城）有限公司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15,988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-394</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15,594</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山东省东岳泰恒发展有限公司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246,880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1,927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248,807</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齐鲁银行股份有限公司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2,998,717</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390,444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-142,801</w:t>
            </w: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-270,184</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94,179</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2,881,997</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华电邹县发电有限公司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1,102,420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33,572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81,171</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1,054,825</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山东宝能智维工业科技有限公司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1,725</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-1,725</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山东新宝龙工</w:t>
            </w:r>
            <w:r>
              <w:rPr>
                <w:rFonts w:ascii="宋体" w:hAnsi="宋体" w:cs="宋体" w:hint="eastAsia"/>
                <w:color w:val="000000"/>
                <w:sz w:val="18"/>
                <w:szCs w:val="18"/>
                <w:lang w:bidi="ar"/>
              </w:rPr>
              <w:lastRenderedPageBreak/>
              <w:t>业科技有限公司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lastRenderedPageBreak/>
              <w:t>197,751</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214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-24</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-18,960</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178,981</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上海中期期货股份有限公司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742,780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5,636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748,411</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山东能源（海南）智慧国际科技有限公司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89,224</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-35,209</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-2,042</w:t>
            </w: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23</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51,996</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临商银行股份有限公司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2,237,880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96,906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7,746</w:t>
            </w: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-9,703</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2,332,829</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山西安德辅助运输有限公司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53</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山东康格能源科技有限公司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53,542</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4,370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57,912</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color w:val="000000"/>
                <w:sz w:val="18"/>
                <w:szCs w:val="18"/>
                <w:lang w:bidi="ar"/>
              </w:rPr>
              <w:t>KTD</w:t>
            </w:r>
            <w:r>
              <w:rPr>
                <w:rFonts w:ascii="宋体" w:hAnsi="宋体" w:cs="宋体" w:hint="eastAsia"/>
                <w:color w:val="000000"/>
                <w:sz w:val="18"/>
                <w:szCs w:val="18"/>
                <w:lang w:bidi="ar"/>
              </w:rPr>
              <w:t xml:space="preserve"> </w:t>
            </w:r>
            <w:r>
              <w:rPr>
                <w:rFonts w:ascii="宋体" w:hAnsi="宋体" w:cs="宋体"/>
                <w:color w:val="000000"/>
                <w:sz w:val="18"/>
                <w:szCs w:val="18"/>
                <w:lang w:bidi="ar"/>
              </w:rPr>
              <w:t>GmbH</w:t>
            </w:r>
          </w:p>
        </w:tc>
        <w:tc>
          <w:tcPr>
            <w:tcW w:w="1276" w:type="dxa"/>
            <w:tcBorders>
              <w:top w:val="single" w:sz="4" w:space="0" w:color="auto"/>
              <w:left w:val="single" w:sz="4" w:space="0" w:color="auto"/>
              <w:bottom w:val="single" w:sz="4" w:space="0" w:color="auto"/>
              <w:right w:val="single" w:sz="4" w:space="0" w:color="auto"/>
            </w:tcBorders>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2,152</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219</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2,538</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48"/>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ascii="宋体" w:hAnsi="宋体" w:cs="宋体" w:hint="eastAsia"/>
                <w:color w:val="000000"/>
                <w:sz w:val="18"/>
                <w:szCs w:val="18"/>
                <w:lang w:bidi="ar"/>
              </w:rPr>
              <w:t>山能（邹城）风电有限公司（注3）</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19,873</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-106</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19,767</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84"/>
        </w:trPr>
        <w:tc>
          <w:tcPr>
            <w:tcW w:w="851"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小计</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24,384,257</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34,377</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30,053</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2,526,212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-139,385</w:t>
            </w: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-282,118</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847,450</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43,884</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-29,208</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25,660,516</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84"/>
        </w:trPr>
        <w:tc>
          <w:tcPr>
            <w:tcW w:w="14168" w:type="dxa"/>
            <w:gridSpan w:val="13"/>
            <w:tcBorders>
              <w:top w:val="single" w:sz="4" w:space="0" w:color="auto"/>
              <w:left w:val="single" w:sz="4" w:space="0" w:color="auto"/>
              <w:bottom w:val="single" w:sz="4" w:space="0" w:color="auto"/>
              <w:right w:val="single" w:sz="4" w:space="0" w:color="auto"/>
            </w:tcBorders>
            <w:vAlign w:val="center"/>
          </w:tcPr>
          <w:p>
            <w:pPr>
              <w:ind w:right="840"/>
              <w:rPr>
                <w:rFonts w:ascii="宋体" w:hAnsi="宋体"/>
              </w:rPr>
            </w:pPr>
            <w:r>
              <w:rPr>
                <w:rFonts w:ascii="宋体" w:hAnsi="宋体" w:hint="eastAsia"/>
              </w:rPr>
              <w:t>三、其他</w:t>
            </w:r>
          </w:p>
        </w:tc>
      </w:tr>
      <w:tr>
        <w:trPr>
          <w:trHeight w:val="284"/>
        </w:trPr>
        <w:tc>
          <w:tcPr>
            <w:tcW w:w="851" w:type="dxa"/>
            <w:tcBorders>
              <w:top w:val="single" w:sz="4" w:space="0" w:color="auto"/>
              <w:left w:val="single" w:sz="4" w:space="0" w:color="auto"/>
              <w:bottom w:val="single" w:sz="4" w:space="0" w:color="auto"/>
              <w:right w:val="single" w:sz="4" w:space="0" w:color="auto"/>
            </w:tcBorders>
            <w:vAlign w:val="center"/>
          </w:tcPr>
          <w:p>
            <w:pPr>
              <w:jc w:val="center"/>
            </w:pPr>
            <w:r>
              <w:rPr>
                <w:rFonts w:ascii="宋体" w:hAnsi="宋体" w:cs="宋体" w:hint="eastAsia"/>
                <w:color w:val="000000"/>
                <w:sz w:val="18"/>
                <w:szCs w:val="18"/>
                <w:lang w:bidi="ar"/>
              </w:rPr>
              <w:t>山东兖煤日照</w:t>
            </w:r>
            <w:r>
              <w:rPr>
                <w:rFonts w:ascii="宋体" w:hAnsi="宋体" w:cs="宋体" w:hint="eastAsia"/>
                <w:color w:val="000000"/>
                <w:sz w:val="18"/>
                <w:szCs w:val="18"/>
                <w:lang w:bidi="ar"/>
              </w:rPr>
              <w:lastRenderedPageBreak/>
              <w:t>港储配煤有限公司（注</w:t>
            </w:r>
            <w:r>
              <w:rPr>
                <w:rFonts w:ascii="宋体" w:hAnsi="宋体" w:cs="宋体" w:hint="eastAsia"/>
                <w:lang w:bidi="ar"/>
              </w:rPr>
              <w:t>4</w:t>
            </w:r>
            <w:r>
              <w:rPr>
                <w:rFonts w:hint="eastAsia"/>
                <w:lang w:bidi="ar"/>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209,240</w:t>
            </w:r>
          </w:p>
        </w:tc>
      </w:tr>
      <w:tr>
        <w:trPr>
          <w:trHeight w:val="284"/>
        </w:trPr>
        <w:tc>
          <w:tcPr>
            <w:tcW w:w="851" w:type="dxa"/>
            <w:tcBorders>
              <w:top w:val="single" w:sz="4" w:space="0" w:color="auto"/>
              <w:left w:val="single" w:sz="4" w:space="0" w:color="auto"/>
              <w:bottom w:val="single" w:sz="4" w:space="0" w:color="auto"/>
              <w:right w:val="single" w:sz="4" w:space="0" w:color="auto"/>
            </w:tcBorders>
            <w:vAlign w:val="center"/>
          </w:tcPr>
          <w:p>
            <w:pPr>
              <w:jc w:val="center"/>
            </w:pPr>
            <w:r>
              <w:rPr>
                <w:rFonts w:ascii="宋体" w:hAnsi="宋体" w:cs="宋体" w:hint="eastAsia"/>
                <w:color w:val="000000"/>
                <w:sz w:val="18"/>
                <w:szCs w:val="18"/>
                <w:lang w:bidi="ar"/>
              </w:rPr>
              <w:t>鄂尔多斯市绿能光电有限公司（注</w:t>
            </w:r>
            <w:r>
              <w:rPr>
                <w:rFonts w:ascii="宋体" w:hAnsi="宋体" w:cs="宋体" w:hint="eastAsia"/>
                <w:lang w:bidi="ar"/>
              </w:rPr>
              <w:t>5</w:t>
            </w:r>
            <w:r>
              <w:rPr>
                <w:rFonts w:hint="eastAsia"/>
                <w:lang w:bidi="ar"/>
              </w:rPr>
              <w:t>）</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881,580</w:t>
            </w:r>
          </w:p>
        </w:tc>
      </w:tr>
      <w:tr>
        <w:trPr>
          <w:trHeight w:val="284"/>
        </w:trPr>
        <w:tc>
          <w:tcPr>
            <w:tcW w:w="851" w:type="dxa"/>
            <w:tcBorders>
              <w:top w:val="single" w:sz="4" w:space="0" w:color="auto"/>
              <w:left w:val="single" w:sz="4" w:space="0" w:color="auto"/>
              <w:bottom w:val="single" w:sz="4" w:space="0" w:color="auto"/>
              <w:right w:val="single" w:sz="4" w:space="0" w:color="auto"/>
            </w:tcBorders>
            <w:vAlign w:val="center"/>
          </w:tcPr>
          <w:p>
            <w:pPr>
              <w:jc w:val="center"/>
            </w:pPr>
            <w:r>
              <w:rPr>
                <w:rFonts w:ascii="宋体" w:hAnsi="宋体" w:cs="宋体" w:hint="eastAsia"/>
                <w:color w:val="000000"/>
                <w:sz w:val="18"/>
                <w:szCs w:val="18"/>
                <w:lang w:bidi="ar"/>
              </w:rPr>
              <w:t>小计</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1,090,820</w:t>
            </w:r>
          </w:p>
        </w:tc>
      </w:tr>
      <w:tr>
        <w:trPr>
          <w:trHeight w:val="284"/>
        </w:trPr>
        <w:tc>
          <w:tcPr>
            <w:tcW w:w="851" w:type="dxa"/>
            <w:tcBorders>
              <w:top w:val="single" w:sz="4" w:space="0" w:color="auto"/>
              <w:left w:val="single" w:sz="4" w:space="0" w:color="auto"/>
              <w:bottom w:val="single" w:sz="4" w:space="0" w:color="auto"/>
              <w:right w:val="single" w:sz="4" w:space="0" w:color="auto"/>
            </w:tcBorders>
            <w:vAlign w:val="center"/>
          </w:tcPr>
          <w:p>
            <w:pPr>
              <w:jc w:val="center"/>
            </w:pPr>
            <w:r>
              <w:rPr>
                <w:rFonts w:ascii="宋体" w:hAnsi="宋体" w:cs="宋体" w:hint="eastAsia"/>
                <w:color w:val="000000"/>
                <w:sz w:val="18"/>
                <w:szCs w:val="18"/>
                <w:lang w:bidi="ar"/>
              </w:rPr>
              <w:t>合计</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25,660,173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34,377</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30,053</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2,426,458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-139,385</w:t>
            </w:r>
          </w:p>
        </w:tc>
        <w:tc>
          <w:tcPr>
            <w:tcW w:w="11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-282,118</w:t>
            </w:r>
          </w:p>
        </w:tc>
        <w:tc>
          <w:tcPr>
            <w:tcW w:w="11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847,450</w:t>
            </w:r>
          </w:p>
        </w:tc>
        <w:tc>
          <w:tcPr>
            <w:tcW w:w="7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43,884</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color w:val="000000"/>
                <w:lang w:bidi="ar"/>
              </w:rPr>
              <w:t>17,523</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26,883,409</w:t>
            </w:r>
          </w:p>
        </w:tc>
        <w:tc>
          <w:tcPr>
            <w:tcW w:w="1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cs="宋体" w:hint="eastAsia"/>
                <w:color w:val="000000"/>
                <w:lang w:bidi="ar"/>
              </w:rPr>
              <w:t>1,090,820</w:t>
            </w:r>
          </w:p>
        </w:tc>
      </w:tr>
    </w:tbl>
    <w:p>
      <w:pPr>
        <w:spacing w:afterLines="50" w:after="120" w:line="360" w:lineRule="exact"/>
        <w:ind w:firstLine="420"/>
        <w:rPr>
          <w:rFonts w:ascii="宋体" w:hAnsi="宋体"/>
        </w:rPr>
      </w:pPr>
      <w:r>
        <w:rPr>
          <w:rFonts w:ascii="宋体" w:hAnsi="宋体" w:hint="eastAsia"/>
        </w:rPr>
        <w:t>注1：内蒙古锦联铝材有限公司（以下简称“锦联铝材”），系兖矿能源集团股份有限公司（以下简称“兖矿能源”）于2020年并购内蒙古矿业（集团）有限公司（以下简称“内蒙古矿业”）带入，2025年8月锦联铝材股东会决议通过各股东以认缴比例进行同比例减资，并以现金增资的方式补足本金，缴足后持股44.25%。</w:t>
      </w:r>
    </w:p>
    <w:p>
      <w:pPr>
        <w:spacing w:afterLines="50" w:after="120" w:line="360" w:lineRule="exact"/>
        <w:ind w:firstLine="420"/>
        <w:rPr>
          <w:rFonts w:ascii="宋体" w:hAnsi="宋体"/>
        </w:rPr>
      </w:pPr>
      <w:r>
        <w:rPr>
          <w:rFonts w:ascii="宋体" w:hAnsi="宋体" w:hint="eastAsia"/>
        </w:rPr>
        <w:t>注2：内蒙古霍煤锦联有限公司（以下简称“霍煤锦联”），系兖矿能源于2020年并购内蒙古矿业带入，2025年1月兖矿能源分别以现金购买的方式，自内蒙古矿业（集团）有限公司和杭州锦江集团有限公司购入30%、35%股权，交易后兖矿能源持股65%，实现非同一控制下的企业合并，将其纳入兖矿能源合并子公司，并更名为兖矿能源（霍林郭勒）有限公司。</w:t>
      </w:r>
    </w:p>
    <w:p>
      <w:pPr>
        <w:spacing w:afterLines="50" w:after="120" w:line="360" w:lineRule="exact"/>
        <w:ind w:firstLine="420"/>
        <w:rPr>
          <w:rFonts w:ascii="宋体" w:hAnsi="宋体"/>
        </w:rPr>
      </w:pPr>
      <w:r>
        <w:rPr>
          <w:rFonts w:ascii="宋体" w:hAnsi="宋体" w:hint="eastAsia"/>
        </w:rPr>
        <w:t>注3：山能（邹城）风电有限公司（以下简称“邹城风电”），系兖矿能源于2025年12月与山东能源集团新能源集团有限公司、兖矿能源子公司兖煤国际（控股）有限公司协议出资设立，兖矿能源持股49%。</w:t>
      </w:r>
    </w:p>
    <w:p>
      <w:pPr>
        <w:spacing w:afterLines="50" w:after="120" w:line="360" w:lineRule="exact"/>
        <w:ind w:firstLine="420"/>
        <w:rPr>
          <w:rFonts w:ascii="宋体" w:hAnsi="宋体"/>
        </w:rPr>
      </w:pPr>
      <w:r>
        <w:rPr>
          <w:rFonts w:ascii="宋体" w:hAnsi="宋体" w:hint="eastAsia"/>
        </w:rPr>
        <w:t>注4：山东兖煤日照港储配煤有限公司（以下简称“兖煤日照港”）于2025年10月15日以其不能清偿到期债务，且已严重资不抵债为由，向山东省日照市中级人民法院申请破产清算，法院于2025年10月27日出具[2025]鲁11破2号民事裁定书同意受理期破产清算申请，兖煤日照港公司已向破产管理人移交控制权。2025年11月起兖煤日照港公司不再纳入合并范围。</w:t>
      </w:r>
    </w:p>
    <w:p>
      <w:pPr>
        <w:snapToGrid w:val="0"/>
        <w:spacing w:line="240" w:lineRule="atLeast"/>
        <w:ind w:firstLineChars="200" w:firstLine="420"/>
      </w:pPr>
      <w:r>
        <w:rPr>
          <w:rFonts w:ascii="宋体" w:hAnsi="宋体" w:hint="eastAsia"/>
        </w:rPr>
        <w:t>注5：鄂尔多斯市绿能光电有限公司（以下简称“绿能光电公司”）于2024年6月15日以其不能清偿到期债务，缺乏清偿能力为由，向内蒙古自治区鄂尔多斯市中级人民法院申请破产清算，法院于2024年8月20日出具[2024]内06破9号民事裁定书同意受理其破产清算申请，绿能光电公司已向破产管理人移交控制权。2024年10月起绿能光电公司不再纳入合并范围。</w:t>
      </w:r>
    </w:p>
    <w:p>
      <w:pPr>
        <w:pStyle w:val="Style179"/>
        <w:numPr>
          <w:ilvl w:val="0"/>
          <w:numId w:val="87"/>
        </w:numPr>
      </w:pPr>
      <w:r>
        <w:rPr>
          <w:rFonts w:hint="eastAsia"/>
        </w:rPr>
        <w:lastRenderedPageBreak/>
        <w:t>长期股权投资的减值测试情况</w:t>
      </w:r>
    </w:p>
    <w:sdt>
      <w:sdtPr>
        <w:alias w:val="是否适用：减值测试情况[双击切换]"/>
        <w:tag w:val="_GBC_869bca5d4169451086ae6ff386220647"/>
        <w:id w:val="13215097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snapToGrid w:val="0"/>
        <w:spacing w:line="240" w:lineRule="atLeast"/>
      </w:pPr>
      <w:r>
        <w:rPr>
          <w:rFonts w:hint="eastAsia"/>
        </w:rPr>
        <w:t>其他说明：</w:t>
      </w:r>
    </w:p>
    <w:p>
      <w:pPr>
        <w:snapToGrid w:val="0"/>
        <w:spacing w:line="240" w:lineRule="atLeast"/>
      </w:pPr>
      <w:sdt>
        <w:sdtPr>
          <w:alias w:val="长期股票投资的说明"/>
          <w:tag w:val="_GBC_4023b747651f4831814ee17f68bb62d6"/>
          <w:id w:val="1528143360"/>
          <w:placeholder>
            <w:docPart w:val="GBC22222222222222222222222222222"/>
          </w:placeholder>
        </w:sdtPr>
        <w:sdtContent>
          <w:r>
            <w:rPr>
              <w:rFonts w:hint="eastAsia"/>
            </w:rPr>
            <w:t>-</w:t>
          </w:r>
        </w:sdtContent>
      </w:sdt>
    </w:p>
    <w:p>
      <w:pPr>
        <w:snapToGrid w:val="0"/>
        <w:spacing w:line="240" w:lineRule="atLeast"/>
      </w:pPr>
    </w:p>
    <w:p>
      <w:pPr>
        <w:snapToGrid w:val="0"/>
        <w:spacing w:line="240" w:lineRule="atLeast"/>
        <w:sectPr>
          <w:pgSz w:w="16838" w:h="11906" w:orient="landscape"/>
          <w:pgMar w:top="1797" w:right="1525" w:bottom="1276" w:left="1440" w:header="856" w:footer="992" w:gutter="0"/>
          <w:cols w:space="425"/>
          <w:docGrid w:linePitch="312"/>
        </w:sectPr>
      </w:pPr>
    </w:p>
    <w:p>
      <w:pPr>
        <w:snapToGrid w:val="0"/>
        <w:spacing w:line="240" w:lineRule="atLeast"/>
      </w:pPr>
    </w:p>
    <w:p>
      <w:pPr>
        <w:pStyle w:val="Style180"/>
        <w:ind w:left="105"/>
      </w:pPr>
      <w:r>
        <w:rPr>
          <w:rFonts w:hint="eastAsia"/>
        </w:rPr>
        <w:t>可收回金额按公允价值减去处置费用后的净额确定</w:t>
      </w:r>
    </w:p>
    <w:sdt>
      <w:sdtPr>
        <w:alias w:val="是否适用：可收回金额按公允价值减去处置费用后的净额确定[双击切换]"/>
        <w:tag w:val="_GBC_5d79f5b7f9de47cfa1786c77c4f54e32"/>
        <w:id w:val="-110002551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ind w:left="105"/>
      </w:pPr>
      <w:r>
        <w:rPr>
          <w:rFonts w:hint="eastAsia"/>
        </w:rPr>
        <w:t>可收回金额按预计未来现金流量的现值确定</w:t>
      </w:r>
    </w:p>
    <w:sdt>
      <w:sdtPr>
        <w:rPr>
          <w:rFonts w:hint="eastAsia"/>
        </w:rPr>
        <w:alias w:val="是否适用：可收回金额按预计未来现金流量的现值确定[双击切换]"/>
        <w:tag w:val="_GBC_9c34e274367e466a9303b2bac84fe555"/>
        <w:id w:val="443350228"/>
        <w:placeholder>
          <w:docPart w:val="GBC22222222222222222222222222222"/>
        </w:placeholder>
      </w:sdtPr>
      <w:sdtContent>
        <w:p>
          <w:pPr>
            <w:pStyle w:val="Style175"/>
          </w:pPr>
          <w:r>
            <w:rPr>
              <w:rFonts w:ascii="宋体" w:hAnsi="宋体"/>
              <w:sz w:val="21"/>
            </w:rPr>
            <w:fldChar w:fldCharType="begin"/>
          </w:r>
          <w:r>
            <w:rPr>
              <w:rFonts w:ascii="宋体" w:hAnsi="宋体" w:hint="eastAsia"/>
              <w:sz w:val="21"/>
            </w:rPr>
            <w:instrText xml:space="preserve"> MACROBUTTON  SnrToggleCheckbox □适用 </w:instrText>
          </w:r>
          <w:r>
            <w:rPr>
              <w:rFonts w:ascii="宋体" w:hAnsi="宋体"/>
              <w:sz w:val="21"/>
            </w:rPr>
            <w:fldChar w:fldCharType="end"/>
          </w:r>
          <w:r>
            <w:rPr>
              <w:rFonts w:ascii="宋体" w:hAnsi="宋体"/>
              <w:sz w:val="21"/>
            </w:rPr>
            <w:fldChar w:fldCharType="begin"/>
          </w:r>
          <w:r>
            <w:rPr>
              <w:rFonts w:ascii="宋体" w:hAnsi="宋体" w:hint="eastAsia"/>
              <w:sz w:val="21"/>
            </w:rPr>
            <w:instrText xml:space="preserve"> MACROBUTTON  SnrToggleCheckbox √不适用 </w:instrText>
          </w:r>
          <w:r>
            <w:rPr>
              <w:rFonts w:ascii="宋体" w:hAnsi="宋体"/>
              <w:sz w:val="21"/>
            </w:rPr>
            <w:fldChar w:fldCharType="end"/>
          </w:r>
        </w:p>
      </w:sdtContent>
    </w:sdt>
    <w:p>
      <w:pPr>
        <w:pStyle w:val="Style217"/>
      </w:pPr>
    </w:p>
    <w:p>
      <w:pPr>
        <w:pStyle w:val="Style180"/>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3e8603325834699a6bb2289afd95ba7"/>
        <w:id w:val="-77817905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80"/>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1e50d30deb44faca454e96c06d70792"/>
        <w:id w:val="156459418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snapToGrid w:val="0"/>
        <w:spacing w:line="240" w:lineRule="atLeast"/>
      </w:pPr>
      <w:r>
        <w:rPr>
          <w:rFonts w:hint="eastAsia"/>
        </w:rPr>
        <w:t>其他说明：</w:t>
      </w:r>
    </w:p>
    <w:p>
      <w:pPr>
        <w:snapToGrid w:val="0"/>
        <w:spacing w:line="240" w:lineRule="atLeast"/>
      </w:pPr>
      <w:sdt>
        <w:sdtPr>
          <w:alias w:val="长期股票投资的说明"/>
          <w:tag w:val="_GBC_4023b747651f4831814ee17f68bb62d6"/>
          <w:id w:val="99073020"/>
          <w:placeholder>
            <w:docPart w:val="GBC22222222222222222222222222222"/>
          </w:placeholder>
        </w:sdtPr>
        <w:sdtContent>
          <w:r>
            <w:rPr>
              <w:rFonts w:hint="eastAsia"/>
            </w:rPr>
            <w:t>-</w:t>
          </w:r>
        </w:sdtContent>
      </w:sdt>
    </w:p>
    <w:p>
      <w:pPr>
        <w:snapToGrid w:val="0"/>
        <w:spacing w:line="240" w:lineRule="atLeast"/>
      </w:pPr>
    </w:p>
    <w:p>
      <w:pPr>
        <w:snapToGrid w:val="0"/>
        <w:spacing w:line="240" w:lineRule="atLeast"/>
        <w:sectPr>
          <w:pgSz w:w="11906" w:h="16838"/>
          <w:pgMar w:top="1440" w:right="1797" w:bottom="1525" w:left="1276" w:header="856" w:footer="992" w:gutter="0"/>
          <w:cols w:space="425"/>
          <w:docGrid w:linePitch="312"/>
        </w:sectPr>
      </w:pPr>
    </w:p>
    <w:p>
      <w:pPr>
        <w:snapToGrid w:val="0"/>
        <w:spacing w:line="240" w:lineRule="atLeast"/>
      </w:pPr>
    </w:p>
    <w:p>
      <w:pPr>
        <w:pStyle w:val="Style178"/>
        <w:numPr>
          <w:ilvl w:val="0"/>
          <w:numId w:val="75"/>
        </w:numPr>
        <w:rPr>
          <w:szCs w:val="21"/>
        </w:rPr>
      </w:pPr>
      <w:bookmarkStart w:id="452" w:name="_Hlk152858292"/>
      <w:bookmarkStart w:id="453" w:name="_Hlk533409746"/>
      <w:bookmarkStart w:id="454" w:name="_Hlk533409702"/>
      <w:r>
        <w:rPr>
          <w:szCs w:val="21"/>
        </w:rPr>
        <w:t>其他权益工具投资</w:t>
      </w:r>
    </w:p>
    <w:p>
      <w:pPr>
        <w:pStyle w:val="Style179"/>
        <w:numPr>
          <w:ilvl w:val="3"/>
          <w:numId w:val="88"/>
        </w:numPr>
        <w:ind w:left="426" w:hanging="426"/>
      </w:pPr>
      <w:bookmarkStart w:id="455" w:name="_Hlk532994936"/>
      <w:r>
        <w:rPr>
          <w:rFonts w:hint="eastAsia"/>
        </w:rPr>
        <w:t>其他权益工具投资情况</w:t>
      </w:r>
    </w:p>
    <w:sdt>
      <w:sdtPr>
        <w:alias w:val="是否适用：其他权益工具投资情况[双击切换]"/>
        <w:tag w:val="_GBC_d086d5c38ce84090b98eac90481c97aa"/>
        <w:id w:val="20800174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ind w:left="5880" w:right="105"/>
        <w:jc w:val="right"/>
      </w:pPr>
      <w:r>
        <w:rPr>
          <w:rFonts w:hint="eastAsia"/>
        </w:rPr>
        <w:t>单位：</w:t>
      </w:r>
      <w:sdt>
        <w:sdtPr>
          <w:rPr>
            <w:rFonts w:hint="eastAsia"/>
          </w:rPr>
          <w:alias w:val="单位：其他权益工具投资情况"/>
          <w:tag w:val="_GBC_afada4c07d144e589675aeac548ff1d0"/>
          <w:id w:val="17449183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其他权益工具投资情况"/>
          <w:tag w:val="_GBC_b0fd0da2e6914f91b6f9923463f182a5"/>
          <w:id w:val="-9225700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38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984"/>
        <w:gridCol w:w="709"/>
        <w:gridCol w:w="709"/>
        <w:gridCol w:w="1417"/>
        <w:gridCol w:w="1418"/>
        <w:gridCol w:w="850"/>
        <w:gridCol w:w="993"/>
        <w:gridCol w:w="992"/>
        <w:gridCol w:w="1134"/>
        <w:gridCol w:w="1134"/>
        <w:gridCol w:w="2251"/>
      </w:tblGrid>
      <w:tr>
        <w:trPr>
          <w:trHeight w:val="279"/>
        </w:trPr>
        <w:bookmarkEnd w:id="455" w:displacedByCustomXml="next"/>
        <w:bookmarkEnd w:id="454" w:displacedByCustomXml="next"/>
        <w:sdt>
          <w:sdtPr>
            <w:tag w:val="_PLD_0f1e4cd012be4666a6aee1d8ddb3d5fc"/>
            <w:id w:val="-1414773268"/>
          </w:sdtPr>
          <w:sdtContent>
            <w:tc>
              <w:tcPr>
                <w:tcW w:w="1279" w:type="dxa"/>
                <w:vMerge w:val="restart"/>
                <w:tcBorders>
                  <w:top w:val="single" w:sz="4" w:space="0" w:color="auto"/>
                  <w:left w:val="single" w:sz="4" w:space="0" w:color="auto"/>
                  <w:right w:val="single" w:sz="4" w:space="0" w:color="auto"/>
                </w:tcBorders>
                <w:vAlign w:val="center"/>
              </w:tcPr>
              <w:p>
                <w:pPr>
                  <w:jc w:val="center"/>
                </w:pPr>
                <w:r>
                  <w:rPr>
                    <w:rFonts w:hint="eastAsia"/>
                  </w:rPr>
                  <w:t>项目</w:t>
                </w:r>
              </w:p>
            </w:tc>
          </w:sdtContent>
        </w:sdt>
        <w:sdt>
          <w:sdtPr>
            <w:tag w:val="_PLD_cd86550f752a4870b5ecfa3ace922f6d"/>
            <w:id w:val="-863666712"/>
          </w:sdtPr>
          <w:sdtContent>
            <w:tc>
              <w:tcPr>
                <w:tcW w:w="984" w:type="dxa"/>
                <w:vMerge w:val="restart"/>
                <w:tcBorders>
                  <w:top w:val="single" w:sz="4" w:space="0" w:color="auto"/>
                  <w:left w:val="single" w:sz="4" w:space="0" w:color="auto"/>
                  <w:right w:val="single" w:sz="4" w:space="0" w:color="auto"/>
                </w:tcBorders>
                <w:vAlign w:val="center"/>
              </w:tcPr>
              <w:p>
                <w:pPr>
                  <w:jc w:val="center"/>
                </w:pPr>
                <w:r>
                  <w:rPr>
                    <w:rFonts w:hint="eastAsia"/>
                  </w:rPr>
                  <w:t>期初</w:t>
                </w:r>
              </w:p>
              <w:p>
                <w:pPr>
                  <w:jc w:val="center"/>
                </w:pPr>
                <w:r>
                  <w:rPr>
                    <w:rFonts w:hint="eastAsia"/>
                  </w:rPr>
                  <w:t>余额</w:t>
                </w:r>
              </w:p>
            </w:tc>
          </w:sdtContent>
        </w:sdt>
        <w:sdt>
          <w:sdtPr>
            <w:tag w:val="_PLD_379e5b07c94943c082f8141e69827eb8"/>
            <w:id w:val="-2098014451"/>
          </w:sdtPr>
          <w:sdtContent>
            <w:tc>
              <w:tcPr>
                <w:tcW w:w="5103" w:type="dxa"/>
                <w:gridSpan w:val="5"/>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本期增减变动</w:t>
                </w:r>
              </w:p>
            </w:tc>
          </w:sdtContent>
        </w:sdt>
        <w:sdt>
          <w:sdtPr>
            <w:tag w:val="_PLD_ac415aedc9c6446485bac805332ca59b"/>
            <w:id w:val="1689634898"/>
          </w:sdtPr>
          <w:sdtContent>
            <w:tc>
              <w:tcPr>
                <w:tcW w:w="993" w:type="dxa"/>
                <w:vMerge w:val="restart"/>
                <w:tcBorders>
                  <w:top w:val="single" w:sz="4" w:space="0" w:color="auto"/>
                  <w:left w:val="single" w:sz="4" w:space="0" w:color="auto"/>
                  <w:right w:val="single" w:sz="4" w:space="0" w:color="auto"/>
                </w:tcBorders>
                <w:vAlign w:val="center"/>
              </w:tcPr>
              <w:p>
                <w:pPr>
                  <w:jc w:val="center"/>
                </w:pPr>
                <w:r>
                  <w:rPr>
                    <w:rFonts w:hint="eastAsia"/>
                  </w:rPr>
                  <w:t>期末</w:t>
                </w:r>
              </w:p>
              <w:p>
                <w:pPr>
                  <w:jc w:val="center"/>
                </w:pPr>
                <w:r>
                  <w:rPr>
                    <w:rFonts w:hint="eastAsia"/>
                  </w:rPr>
                  <w:t>余额</w:t>
                </w:r>
              </w:p>
            </w:tc>
          </w:sdtContent>
        </w:sdt>
        <w:sdt>
          <w:sdtPr>
            <w:tag w:val="_PLD_d139f6e8adbe4eb2bd13c29bba65a2f9"/>
            <w:id w:val="1426382072"/>
          </w:sdtPr>
          <w:sdtContent>
            <w:tc>
              <w:tcPr>
                <w:tcW w:w="992" w:type="dxa"/>
                <w:vMerge w:val="restart"/>
                <w:tcBorders>
                  <w:top w:val="single" w:sz="4" w:space="0" w:color="auto"/>
                  <w:left w:val="single" w:sz="4" w:space="0" w:color="auto"/>
                  <w:right w:val="single" w:sz="4" w:space="0" w:color="auto"/>
                </w:tcBorders>
                <w:vAlign w:val="center"/>
              </w:tcPr>
              <w:p>
                <w:pPr>
                  <w:jc w:val="center"/>
                </w:pPr>
                <w:r>
                  <w:rPr>
                    <w:rFonts w:hint="eastAsia"/>
                  </w:rPr>
                  <w:t>本期确认的股利收入</w:t>
                </w:r>
              </w:p>
            </w:tc>
          </w:sdtContent>
        </w:sdt>
        <w:sdt>
          <w:sdtPr>
            <w:tag w:val="_PLD_0bed6b4465254f08b9b73b5b113c87f5"/>
            <w:id w:val="-1871441415"/>
          </w:sdtPr>
          <w:sdtContent>
            <w:tc>
              <w:tcPr>
                <w:tcW w:w="1134" w:type="dxa"/>
                <w:vMerge w:val="restart"/>
                <w:tcBorders>
                  <w:top w:val="single" w:sz="4" w:space="0" w:color="auto"/>
                  <w:left w:val="single" w:sz="4" w:space="0" w:color="auto"/>
                  <w:right w:val="single" w:sz="4" w:space="0" w:color="auto"/>
                </w:tcBorders>
                <w:vAlign w:val="center"/>
              </w:tcPr>
              <w:p>
                <w:pPr>
                  <w:jc w:val="center"/>
                </w:pPr>
                <w:r>
                  <w:rPr>
                    <w:rFonts w:hint="eastAsia"/>
                  </w:rPr>
                  <w:t>累计计入其他综合收益的利得</w:t>
                </w:r>
              </w:p>
            </w:tc>
          </w:sdtContent>
        </w:sdt>
        <w:sdt>
          <w:sdtPr>
            <w:tag w:val="_PLD_e1975ba88e6f4c8d8d6ca2c971af1701"/>
            <w:id w:val="-602880740"/>
          </w:sdtPr>
          <w:sdtContent>
            <w:tc>
              <w:tcPr>
                <w:tcW w:w="1134" w:type="dxa"/>
                <w:vMerge w:val="restart"/>
                <w:tcBorders>
                  <w:top w:val="single" w:sz="4" w:space="0" w:color="auto"/>
                  <w:left w:val="single" w:sz="4" w:space="0" w:color="auto"/>
                  <w:right w:val="single" w:sz="4" w:space="0" w:color="auto"/>
                </w:tcBorders>
                <w:vAlign w:val="center"/>
              </w:tcPr>
              <w:p>
                <w:pPr>
                  <w:jc w:val="center"/>
                </w:pPr>
                <w:r>
                  <w:rPr>
                    <w:rFonts w:hint="eastAsia"/>
                  </w:rPr>
                  <w:t>累计计入其他综合收益的损失</w:t>
                </w:r>
              </w:p>
            </w:tc>
          </w:sdtContent>
        </w:sdt>
        <w:sdt>
          <w:sdtPr>
            <w:tag w:val="_PLD_22e80ab64b37459ebc83e5b928d25051"/>
            <w:id w:val="451597990"/>
          </w:sdtPr>
          <w:sdtContent>
            <w:tc>
              <w:tcPr>
                <w:tcW w:w="2251" w:type="dxa"/>
                <w:vMerge w:val="restart"/>
                <w:tcBorders>
                  <w:top w:val="single" w:sz="4" w:space="0" w:color="auto"/>
                  <w:left w:val="single" w:sz="4" w:space="0" w:color="auto"/>
                  <w:right w:val="single" w:sz="4" w:space="0" w:color="auto"/>
                </w:tcBorders>
                <w:vAlign w:val="center"/>
              </w:tcPr>
              <w:p>
                <w:pPr>
                  <w:jc w:val="center"/>
                </w:pPr>
                <w:r>
                  <w:rPr>
                    <w:rFonts w:hint="eastAsia"/>
                  </w:rPr>
                  <w:t>指定为以公允价值计量且其变动计入其他综合收益的原因</w:t>
                </w:r>
              </w:p>
            </w:tc>
          </w:sdtContent>
        </w:sdt>
      </w:tr>
      <w:tr>
        <w:trPr>
          <w:trHeight w:val="150"/>
        </w:trPr>
        <w:tc>
          <w:tcPr>
            <w:tcW w:w="1279" w:type="dxa"/>
            <w:vMerge/>
            <w:tcBorders>
              <w:left w:val="single" w:sz="4" w:space="0" w:color="auto"/>
              <w:bottom w:val="single" w:sz="4" w:space="0" w:color="auto"/>
              <w:right w:val="single" w:sz="4" w:space="0" w:color="auto"/>
            </w:tcBorders>
            <w:vAlign w:val="center"/>
          </w:tcPr>
          <w:p>
            <w:pPr>
              <w:jc w:val="center"/>
            </w:pPr>
          </w:p>
        </w:tc>
        <w:tc>
          <w:tcPr>
            <w:tcW w:w="984" w:type="dxa"/>
            <w:vMerge/>
            <w:tcBorders>
              <w:left w:val="single" w:sz="4" w:space="0" w:color="auto"/>
              <w:bottom w:val="single" w:sz="4" w:space="0" w:color="auto"/>
              <w:right w:val="single" w:sz="4" w:space="0" w:color="auto"/>
            </w:tcBorders>
            <w:vAlign w:val="center"/>
          </w:tcPr>
          <w:p>
            <w:pPr>
              <w:jc w:val="center"/>
            </w:pPr>
          </w:p>
        </w:tc>
        <w:sdt>
          <w:sdtPr>
            <w:tag w:val="_PLD_dcfe2e1d36cd40b9af799c21d5b8002d"/>
            <w:id w:val="-7376994"/>
          </w:sdtPr>
          <w:sdtContent>
            <w:tc>
              <w:tcPr>
                <w:tcW w:w="70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追加投资</w:t>
                </w:r>
              </w:p>
            </w:tc>
          </w:sdtContent>
        </w:sdt>
        <w:sdt>
          <w:sdtPr>
            <w:tag w:val="_PLD_35b99bcd41834275ae207d04ef825953"/>
            <w:id w:val="1770884679"/>
          </w:sdtPr>
          <w:sdtContent>
            <w:tc>
              <w:tcPr>
                <w:tcW w:w="70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减少投资</w:t>
                </w:r>
              </w:p>
            </w:tc>
          </w:sdtContent>
        </w:sdt>
        <w:sdt>
          <w:sdtPr>
            <w:tag w:val="_PLD_8a4bbeebcb134d688741468780d5bbd1"/>
            <w:id w:val="-1526316186"/>
          </w:sdtPr>
          <w:sdtContent>
            <w:tc>
              <w:tcPr>
                <w:tcW w:w="141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本期计入其他综合收益的利得</w:t>
                </w:r>
              </w:p>
            </w:tc>
          </w:sdtContent>
        </w:sdt>
        <w:sdt>
          <w:sdtPr>
            <w:tag w:val="_PLD_34c6f06bd6ce4dec84766a6723567bb2"/>
            <w:id w:val="-40062935"/>
          </w:sdtPr>
          <w:sdtContent>
            <w:tc>
              <w:tcPr>
                <w:tcW w:w="1418"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本期计入其他综合收益的损失</w:t>
                </w:r>
              </w:p>
            </w:tc>
          </w:sdtContent>
        </w:sdt>
        <w:sdt>
          <w:sdtPr>
            <w:tag w:val="_PLD_10fb3a2b23634dbcb6ec64725618b767"/>
            <w:id w:val="-2073962149"/>
          </w:sdtPr>
          <w:sdtContent>
            <w:tc>
              <w:tcPr>
                <w:tcW w:w="850" w:type="dxa"/>
                <w:tcBorders>
                  <w:left w:val="single" w:sz="4" w:space="0" w:color="auto"/>
                  <w:bottom w:val="single" w:sz="4" w:space="0" w:color="auto"/>
                  <w:right w:val="single" w:sz="4" w:space="0" w:color="auto"/>
                </w:tcBorders>
                <w:vAlign w:val="center"/>
              </w:tcPr>
              <w:p>
                <w:pPr>
                  <w:jc w:val="center"/>
                </w:pPr>
                <w:r>
                  <w:rPr>
                    <w:rFonts w:hint="eastAsia"/>
                  </w:rPr>
                  <w:t>其他</w:t>
                </w:r>
              </w:p>
            </w:tc>
          </w:sdtContent>
        </w:sdt>
        <w:tc>
          <w:tcPr>
            <w:tcW w:w="993" w:type="dxa"/>
            <w:vMerge/>
            <w:tcBorders>
              <w:left w:val="single" w:sz="4" w:space="0" w:color="auto"/>
              <w:bottom w:val="single" w:sz="4" w:space="0" w:color="auto"/>
              <w:right w:val="single" w:sz="4" w:space="0" w:color="auto"/>
            </w:tcBorders>
            <w:vAlign w:val="center"/>
          </w:tcPr>
          <w:p>
            <w:pPr>
              <w:jc w:val="center"/>
            </w:pPr>
          </w:p>
        </w:tc>
        <w:tc>
          <w:tcPr>
            <w:tcW w:w="992" w:type="dxa"/>
            <w:vMerge/>
            <w:tcBorders>
              <w:left w:val="single" w:sz="4" w:space="0" w:color="auto"/>
              <w:bottom w:val="single" w:sz="4" w:space="0" w:color="auto"/>
              <w:right w:val="single" w:sz="4" w:space="0" w:color="auto"/>
            </w:tcBorders>
            <w:vAlign w:val="center"/>
          </w:tcPr>
          <w:p>
            <w:pPr>
              <w:jc w:val="center"/>
            </w:pPr>
          </w:p>
        </w:tc>
        <w:tc>
          <w:tcPr>
            <w:tcW w:w="1134" w:type="dxa"/>
            <w:vMerge/>
            <w:tcBorders>
              <w:left w:val="single" w:sz="4" w:space="0" w:color="auto"/>
              <w:bottom w:val="single" w:sz="4" w:space="0" w:color="auto"/>
              <w:right w:val="single" w:sz="4" w:space="0" w:color="auto"/>
            </w:tcBorders>
            <w:vAlign w:val="center"/>
          </w:tcPr>
          <w:p>
            <w:pPr>
              <w:jc w:val="center"/>
            </w:pPr>
          </w:p>
        </w:tc>
        <w:tc>
          <w:tcPr>
            <w:tcW w:w="1134" w:type="dxa"/>
            <w:vMerge/>
            <w:tcBorders>
              <w:left w:val="single" w:sz="4" w:space="0" w:color="auto"/>
              <w:bottom w:val="single" w:sz="4" w:space="0" w:color="auto"/>
              <w:right w:val="single" w:sz="4" w:space="0" w:color="auto"/>
            </w:tcBorders>
            <w:vAlign w:val="center"/>
          </w:tcPr>
          <w:p>
            <w:pPr>
              <w:jc w:val="center"/>
            </w:pPr>
          </w:p>
        </w:tc>
        <w:tc>
          <w:tcPr>
            <w:tcW w:w="2251" w:type="dxa"/>
            <w:vMerge/>
            <w:tcBorders>
              <w:left w:val="single" w:sz="4" w:space="0" w:color="auto"/>
              <w:bottom w:val="single" w:sz="4" w:space="0" w:color="auto"/>
              <w:right w:val="single" w:sz="4" w:space="0" w:color="auto"/>
            </w:tcBorders>
            <w:vAlign w:val="center"/>
          </w:tcPr>
          <w:p>
            <w:pPr>
              <w:jc w:val="center"/>
            </w:pP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江苏连云港港口股份有限公司</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346</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134</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480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534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277</w:t>
            </w: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山东邹城中银富登村镇银行有限责任公司</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3,728</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3,728</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135</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1,242</w:t>
            </w: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天津物产二号企业管理合伙企业（有限合伙）</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26,065</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26,065</w:t>
            </w:r>
          </w:p>
        </w:tc>
        <w:tc>
          <w:tcPr>
            <w:tcW w:w="992"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建信信托-彩蝶6号财产权信托计划</w:t>
            </w:r>
          </w:p>
        </w:tc>
        <w:tc>
          <w:tcPr>
            <w:tcW w:w="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70,519</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p>
        </w:tc>
        <w:tc>
          <w:tcPr>
            <w:tcW w:w="85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宋体"/>
              </w:rPr>
            </w:pPr>
            <w:r>
              <w:rPr>
                <w:rFonts w:ascii="宋体" w:hAnsi="宋体" w:cs="宋体"/>
              </w:rPr>
              <w:t>70,519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59</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w:t>
            </w: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lastRenderedPageBreak/>
              <w:t>天津物产三号企业管理合伙企业（有限合伙）</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15,967</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15,967</w:t>
            </w:r>
          </w:p>
        </w:tc>
        <w:tc>
          <w:tcPr>
            <w:tcW w:w="992"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乌审旗呼吉尔特矿山救援服务有限责任公司</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3,162</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3,162</w:t>
            </w:r>
          </w:p>
        </w:tc>
        <w:tc>
          <w:tcPr>
            <w:tcW w:w="992"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鄂尔多斯南部铁路有限责任公司</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264,393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264,393</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12,682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呼准鄂铁路有限责任公司</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13,201</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13,201</w:t>
            </w:r>
          </w:p>
        </w:tc>
        <w:tc>
          <w:tcPr>
            <w:tcW w:w="992"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56"/>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西平铁路有限责任公司</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131,899</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131,899</w:t>
            </w:r>
          </w:p>
        </w:tc>
        <w:tc>
          <w:tcPr>
            <w:tcW w:w="992"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44"/>
        </w:trPr>
        <w:tc>
          <w:tcPr>
            <w:tcW w:w="127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德国商业银行股份公司普通股股票</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347</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347</w:t>
            </w:r>
          </w:p>
        </w:tc>
        <w:tc>
          <w:tcPr>
            <w:tcW w:w="992"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持有原则为既以收取合同现金流量为目标又以出售该金融资产为目标，非短期出售目的持有。</w:t>
            </w:r>
          </w:p>
        </w:tc>
      </w:tr>
      <w:tr>
        <w:trPr>
          <w:trHeight w:val="279"/>
        </w:trPr>
        <w:tc>
          <w:tcPr>
            <w:tcW w:w="127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98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529,280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347</w:t>
            </w:r>
          </w:p>
        </w:tc>
        <w:tc>
          <w:tcPr>
            <w:tcW w:w="709" w:type="dxa"/>
            <w:tcBorders>
              <w:top w:val="single" w:sz="4" w:space="0" w:color="auto"/>
              <w:left w:val="single" w:sz="4" w:space="0" w:color="auto"/>
              <w:bottom w:val="single" w:sz="4" w:space="0" w:color="auto"/>
              <w:right w:val="single" w:sz="4" w:space="0" w:color="auto"/>
            </w:tcBorders>
            <w:vAlign w:val="center"/>
          </w:tcPr>
          <w:p>
            <w:pPr>
              <w:jc w:val="right"/>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134</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pPr>
          </w:p>
        </w:tc>
        <w:tc>
          <w:tcPr>
            <w:tcW w:w="850" w:type="dxa"/>
            <w:tcBorders>
              <w:top w:val="single" w:sz="4" w:space="0" w:color="auto"/>
              <w:left w:val="single" w:sz="4" w:space="0" w:color="auto"/>
              <w:bottom w:val="single" w:sz="4" w:space="0" w:color="auto"/>
              <w:right w:val="single" w:sz="4" w:space="0" w:color="auto"/>
            </w:tcBorders>
            <w:vAlign w:val="center"/>
          </w:tcPr>
          <w:p>
            <w:pPr>
              <w:jc w:val="right"/>
            </w:pPr>
          </w:p>
        </w:tc>
        <w:tc>
          <w:tcPr>
            <w:tcW w:w="993"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529,761</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12,876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534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1,520</w:t>
            </w:r>
          </w:p>
        </w:tc>
        <w:tc>
          <w:tcPr>
            <w:tcW w:w="2251" w:type="dxa"/>
            <w:tcBorders>
              <w:top w:val="single" w:sz="4" w:space="0" w:color="auto"/>
              <w:left w:val="single" w:sz="4" w:space="0" w:color="auto"/>
              <w:bottom w:val="single" w:sz="4" w:space="0" w:color="auto"/>
              <w:right w:val="single" w:sz="4" w:space="0" w:color="auto"/>
            </w:tcBorders>
            <w:vAlign w:val="center"/>
          </w:tcPr>
          <w:p>
            <w:pPr>
              <w:pStyle w:val="Style217"/>
            </w:pPr>
          </w:p>
        </w:tc>
      </w:tr>
    </w:tbl>
    <w:p>
      <w:pPr>
        <w:pStyle w:val="Style204"/>
        <w:ind w:firstLineChars="0" w:firstLine="0"/>
      </w:pPr>
    </w:p>
    <w:bookmarkEnd w:id="452"/>
    <w:p>
      <w:pPr>
        <w:pStyle w:val="Style179"/>
        <w:numPr>
          <w:ilvl w:val="3"/>
          <w:numId w:val="88"/>
        </w:numPr>
        <w:ind w:left="426" w:hanging="426"/>
      </w:pPr>
      <w:r>
        <w:rPr>
          <w:rFonts w:hint="eastAsia"/>
        </w:rPr>
        <w:t>本期存在终止确认的情况说明</w:t>
      </w:r>
    </w:p>
    <w:sdt>
      <w:sdtPr>
        <w:alias w:val="是否适用：本期存在终止确认的情况说明[双击切换]"/>
        <w:tag w:val="_GBC_27e93a66690f439284ed9d6df3a9bd6c"/>
        <w:id w:val="-31502903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w:t>
      </w:r>
      <w:r>
        <w:t>说明</w:t>
      </w:r>
      <w:r>
        <w:rPr>
          <w:rFonts w:hint="eastAsia"/>
        </w:rPr>
        <w:t>：</w:t>
      </w:r>
    </w:p>
    <w:sdt>
      <w:sdtPr>
        <w:alias w:val="是否适用：其他权益工具投资其他说明[双击切换]"/>
        <w:tag w:val="_GBC_217dff5073ff4a12b86d342292038452"/>
        <w:id w:val="-186951468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sectPr>
          <w:pgSz w:w="16838" w:h="11906" w:orient="landscape"/>
          <w:pgMar w:top="1797" w:right="1525" w:bottom="1276" w:left="1440" w:header="856" w:footer="992" w:gutter="0"/>
          <w:cols w:space="425"/>
          <w:docGrid w:linePitch="312"/>
        </w:sectPr>
      </w:pPr>
    </w:p>
    <w:p>
      <w:pPr>
        <w:pStyle w:val="Style217"/>
      </w:pPr>
    </w:p>
    <w:p>
      <w:pPr>
        <w:pStyle w:val="Style178"/>
        <w:numPr>
          <w:ilvl w:val="0"/>
          <w:numId w:val="75"/>
        </w:numPr>
        <w:rPr>
          <w:szCs w:val="21"/>
        </w:rPr>
      </w:pPr>
      <w:r>
        <w:rPr>
          <w:szCs w:val="21"/>
        </w:rPr>
        <w:t>其他非流动金融资产</w:t>
      </w:r>
    </w:p>
    <w:sdt>
      <w:sdtPr>
        <w:alias w:val="是否适用：其他非流动金融资产[双击切换]"/>
        <w:tag w:val="_GBC_6b599068045d444b87b686a3b6690bf1"/>
        <w:id w:val="-107813743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left="420" w:firstLineChars="0" w:firstLine="0"/>
        <w:jc w:val="right"/>
      </w:pPr>
      <w:r>
        <w:rPr>
          <w:rFonts w:hint="eastAsia"/>
        </w:rPr>
        <w:t>单位：</w:t>
      </w:r>
      <w:sdt>
        <w:sdtPr>
          <w:rPr>
            <w:rFonts w:hint="eastAsia"/>
          </w:rPr>
          <w:alias w:val="单位：其他非流动金融资产"/>
          <w:tag w:val="_GBC_b8c42dcb53bd4c3f9365edc05449c616"/>
          <w:id w:val="-663454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其他非流动金融资产"/>
          <w:tag w:val="_GBC_0ec4dd5c6d514c4eaee0c607d823645d"/>
          <w:id w:val="-15001962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0"/>
        <w:gridCol w:w="2687"/>
        <w:gridCol w:w="2711"/>
      </w:tblGrid>
      <w:tr>
        <w:sdt>
          <w:sdtPr>
            <w:tag w:val="_PLD_70b7398bc4e1451ebd7725f7c1da3c7c"/>
            <w:id w:val="1543016590"/>
          </w:sdtPr>
          <w:sdtContent>
            <w:tc>
              <w:tcPr>
                <w:tcW w:w="3650" w:type="dxa"/>
                <w:vAlign w:val="center"/>
              </w:tcPr>
              <w:p>
                <w:pPr>
                  <w:jc w:val="center"/>
                </w:pPr>
                <w:r>
                  <w:rPr>
                    <w:rFonts w:hint="eastAsia"/>
                  </w:rPr>
                  <w:t>项目</w:t>
                </w:r>
              </w:p>
            </w:tc>
          </w:sdtContent>
        </w:sdt>
        <w:sdt>
          <w:sdtPr>
            <w:tag w:val="_PLD_46e0364c5f14428588b5d737770a1709"/>
            <w:id w:val="-160693668"/>
          </w:sdtPr>
          <w:sdtContent>
            <w:tc>
              <w:tcPr>
                <w:tcW w:w="2687" w:type="dxa"/>
                <w:vAlign w:val="center"/>
              </w:tcPr>
              <w:p>
                <w:pPr>
                  <w:autoSpaceDE w:val="0"/>
                  <w:autoSpaceDN w:val="0"/>
                  <w:adjustRightInd w:val="0"/>
                  <w:snapToGrid w:val="0"/>
                  <w:spacing w:line="240" w:lineRule="atLeast"/>
                  <w:jc w:val="center"/>
                </w:pPr>
                <w:r>
                  <w:rPr>
                    <w:rFonts w:hint="eastAsia"/>
                  </w:rPr>
                  <w:t>期末余额</w:t>
                </w:r>
              </w:p>
            </w:tc>
          </w:sdtContent>
        </w:sdt>
        <w:sdt>
          <w:sdtPr>
            <w:tag w:val="_PLD_430a86eb7f8641b382f4d5e0f0afc66f"/>
            <w:id w:val="-1046596014"/>
          </w:sdtPr>
          <w:sdtContent>
            <w:tc>
              <w:tcPr>
                <w:tcW w:w="2711" w:type="dxa"/>
                <w:vAlign w:val="center"/>
              </w:tcPr>
              <w:p>
                <w:pPr>
                  <w:autoSpaceDE w:val="0"/>
                  <w:autoSpaceDN w:val="0"/>
                  <w:adjustRightInd w:val="0"/>
                  <w:snapToGrid w:val="0"/>
                  <w:spacing w:line="240" w:lineRule="atLeast"/>
                  <w:jc w:val="center"/>
                </w:pPr>
                <w:r>
                  <w:rPr>
                    <w:rFonts w:hint="eastAsia"/>
                  </w:rPr>
                  <w:t>期初余额</w:t>
                </w:r>
              </w:p>
            </w:tc>
          </w:sdtContent>
        </w:sdt>
      </w:tr>
      <w:tr>
        <w:tc>
          <w:tcPr>
            <w:tcW w:w="3650" w:type="dxa"/>
            <w:vAlign w:val="center"/>
          </w:tcPr>
          <w:p>
            <w:pPr>
              <w:pStyle w:val="Style217"/>
            </w:pPr>
            <w:r>
              <w:rPr>
                <w:rFonts w:hint="eastAsia"/>
              </w:rPr>
              <w:t>中山矿特许权费</w:t>
            </w:r>
          </w:p>
        </w:tc>
        <w:tc>
          <w:tcPr>
            <w:tcW w:w="2687" w:type="dxa"/>
            <w:vAlign w:val="center"/>
          </w:tcPr>
          <w:p>
            <w:pPr>
              <w:jc w:val="right"/>
            </w:pPr>
            <w:r>
              <w:rPr>
                <w:rFonts w:ascii="宋体" w:hAnsi="宋体"/>
              </w:rPr>
              <w:t>825,585</w:t>
            </w:r>
          </w:p>
        </w:tc>
        <w:tc>
          <w:tcPr>
            <w:tcW w:w="2711" w:type="dxa"/>
            <w:vAlign w:val="center"/>
          </w:tcPr>
          <w:p>
            <w:pPr>
              <w:jc w:val="right"/>
            </w:pPr>
            <w:r>
              <w:rPr>
                <w:rFonts w:ascii="宋体" w:hAnsi="宋体"/>
              </w:rPr>
              <w:t>891,508</w:t>
            </w:r>
          </w:p>
        </w:tc>
      </w:tr>
      <w:tr>
        <w:tc>
          <w:tcPr>
            <w:tcW w:w="3650" w:type="dxa"/>
            <w:vAlign w:val="center"/>
          </w:tcPr>
          <w:p>
            <w:pPr>
              <w:pStyle w:val="Style217"/>
            </w:pPr>
            <w:r>
              <w:rPr>
                <w:rFonts w:hint="eastAsia"/>
              </w:rPr>
              <w:t>鄂尔多斯南部铁路有限责任公司</w:t>
            </w:r>
          </w:p>
        </w:tc>
        <w:tc>
          <w:tcPr>
            <w:tcW w:w="2687" w:type="dxa"/>
            <w:vAlign w:val="center"/>
          </w:tcPr>
          <w:p>
            <w:pPr>
              <w:jc w:val="right"/>
            </w:pPr>
            <w:r>
              <w:rPr>
                <w:rFonts w:ascii="宋体" w:hAnsi="宋体" w:hint="eastAsia"/>
              </w:rPr>
              <w:t>155,340</w:t>
            </w:r>
          </w:p>
        </w:tc>
        <w:tc>
          <w:tcPr>
            <w:tcW w:w="2711" w:type="dxa"/>
            <w:vAlign w:val="center"/>
          </w:tcPr>
          <w:p>
            <w:pPr>
              <w:jc w:val="right"/>
            </w:pPr>
            <w:r>
              <w:rPr>
                <w:rFonts w:ascii="宋体" w:hAnsi="宋体" w:hint="eastAsia"/>
              </w:rPr>
              <w:t>155,340</w:t>
            </w:r>
          </w:p>
        </w:tc>
      </w:tr>
      <w:tr>
        <w:tc>
          <w:tcPr>
            <w:tcW w:w="3650" w:type="dxa"/>
            <w:vAlign w:val="center"/>
          </w:tcPr>
          <w:p>
            <w:pPr>
              <w:pStyle w:val="Style217"/>
            </w:pPr>
            <w:r>
              <w:rPr>
                <w:rFonts w:hint="eastAsia"/>
              </w:rPr>
              <w:t>上海骥琛企业管理合伙企业（有限合伙）</w:t>
            </w:r>
          </w:p>
        </w:tc>
        <w:tc>
          <w:tcPr>
            <w:tcW w:w="2687" w:type="dxa"/>
            <w:vAlign w:val="center"/>
          </w:tcPr>
          <w:p>
            <w:pPr>
              <w:jc w:val="right"/>
            </w:pPr>
            <w:r>
              <w:rPr>
                <w:rFonts w:ascii="宋体" w:hAnsi="宋体" w:hint="eastAsia"/>
              </w:rPr>
              <w:t>30,000</w:t>
            </w:r>
          </w:p>
        </w:tc>
        <w:tc>
          <w:tcPr>
            <w:tcW w:w="2711" w:type="dxa"/>
            <w:vAlign w:val="center"/>
          </w:tcPr>
          <w:p>
            <w:pPr>
              <w:jc w:val="right"/>
            </w:pPr>
            <w:r>
              <w:rPr>
                <w:rFonts w:ascii="宋体" w:hAnsi="宋体" w:hint="eastAsia"/>
              </w:rPr>
              <w:t>30,000</w:t>
            </w:r>
          </w:p>
        </w:tc>
      </w:tr>
      <w:tr>
        <w:tc>
          <w:tcPr>
            <w:tcW w:w="3650" w:type="dxa"/>
            <w:vAlign w:val="center"/>
          </w:tcPr>
          <w:p>
            <w:pPr>
              <w:pStyle w:val="Style217"/>
            </w:pPr>
            <w:r>
              <w:rPr>
                <w:rFonts w:hint="eastAsia"/>
              </w:rPr>
              <w:t>杭州时代鼎丰创业投资合伙企业（有限合伙）</w:t>
            </w:r>
          </w:p>
        </w:tc>
        <w:tc>
          <w:tcPr>
            <w:tcW w:w="2687" w:type="dxa"/>
            <w:vAlign w:val="center"/>
          </w:tcPr>
          <w:p>
            <w:pPr>
              <w:jc w:val="right"/>
            </w:pPr>
            <w:r>
              <w:rPr>
                <w:rFonts w:ascii="宋体" w:hAnsi="宋体" w:hint="eastAsia"/>
              </w:rPr>
              <w:t>29,299</w:t>
            </w:r>
          </w:p>
        </w:tc>
        <w:tc>
          <w:tcPr>
            <w:tcW w:w="2711" w:type="dxa"/>
            <w:vAlign w:val="center"/>
          </w:tcPr>
          <w:p>
            <w:pPr>
              <w:jc w:val="right"/>
            </w:pPr>
            <w:r>
              <w:rPr>
                <w:rFonts w:ascii="宋体" w:hAnsi="宋体" w:hint="eastAsia"/>
              </w:rPr>
              <w:t>24,538</w:t>
            </w:r>
          </w:p>
        </w:tc>
      </w:tr>
      <w:tr>
        <w:tc>
          <w:tcPr>
            <w:tcW w:w="3650" w:type="dxa"/>
            <w:vAlign w:val="center"/>
          </w:tcPr>
          <w:p>
            <w:pPr>
              <w:pStyle w:val="Style217"/>
            </w:pPr>
            <w:r>
              <w:rPr>
                <w:rFonts w:hint="eastAsia"/>
              </w:rPr>
              <w:t>陕西靖神铁路有限责任公司</w:t>
            </w:r>
          </w:p>
        </w:tc>
        <w:tc>
          <w:tcPr>
            <w:tcW w:w="2687" w:type="dxa"/>
            <w:vAlign w:val="center"/>
          </w:tcPr>
          <w:p>
            <w:pPr>
              <w:jc w:val="right"/>
            </w:pPr>
            <w:r>
              <w:rPr>
                <w:rFonts w:ascii="宋体" w:hAnsi="宋体" w:hint="eastAsia"/>
              </w:rPr>
              <w:t>180,697</w:t>
            </w:r>
          </w:p>
        </w:tc>
        <w:tc>
          <w:tcPr>
            <w:tcW w:w="2711" w:type="dxa"/>
            <w:vAlign w:val="center"/>
          </w:tcPr>
          <w:p>
            <w:pPr>
              <w:jc w:val="right"/>
            </w:pPr>
            <w:r>
              <w:rPr>
                <w:rFonts w:ascii="宋体" w:hAnsi="宋体" w:hint="eastAsia"/>
              </w:rPr>
              <w:t>180,697</w:t>
            </w:r>
          </w:p>
        </w:tc>
      </w:tr>
      <w:tr>
        <w:tc>
          <w:tcPr>
            <w:tcW w:w="3650" w:type="dxa"/>
            <w:vAlign w:val="center"/>
          </w:tcPr>
          <w:p>
            <w:pPr>
              <w:pStyle w:val="Style217"/>
            </w:pPr>
            <w:r>
              <w:rPr>
                <w:rFonts w:hint="eastAsia"/>
              </w:rPr>
              <w:t>榆林市榆阳区煤矿疏干水环境治理有限公司</w:t>
            </w:r>
          </w:p>
        </w:tc>
        <w:tc>
          <w:tcPr>
            <w:tcW w:w="2687" w:type="dxa"/>
            <w:vAlign w:val="center"/>
          </w:tcPr>
          <w:p>
            <w:pPr>
              <w:jc w:val="right"/>
            </w:pPr>
            <w:r>
              <w:rPr>
                <w:rFonts w:ascii="宋体" w:hAnsi="宋体"/>
              </w:rPr>
              <w:t>165,060</w:t>
            </w:r>
          </w:p>
        </w:tc>
        <w:tc>
          <w:tcPr>
            <w:tcW w:w="2711" w:type="dxa"/>
            <w:vAlign w:val="center"/>
          </w:tcPr>
          <w:p>
            <w:pPr>
              <w:jc w:val="right"/>
            </w:pPr>
            <w:r>
              <w:rPr>
                <w:rFonts w:ascii="宋体" w:hAnsi="宋体" w:hint="eastAsia"/>
              </w:rPr>
              <w:t>165,060</w:t>
            </w:r>
          </w:p>
        </w:tc>
      </w:tr>
      <w:tr>
        <w:tc>
          <w:tcPr>
            <w:tcW w:w="3650" w:type="dxa"/>
            <w:vAlign w:val="center"/>
          </w:tcPr>
          <w:p>
            <w:pPr>
              <w:pStyle w:val="Style217"/>
            </w:pPr>
            <w:r>
              <w:rPr>
                <w:rFonts w:hint="eastAsia"/>
              </w:rPr>
              <w:t>北京华福聚合控股中心（有限合伙）</w:t>
            </w:r>
          </w:p>
        </w:tc>
        <w:tc>
          <w:tcPr>
            <w:tcW w:w="2687" w:type="dxa"/>
          </w:tcPr>
          <w:p>
            <w:pPr>
              <w:jc w:val="right"/>
              <w:rPr>
                <w:rFonts w:ascii="宋体" w:hAnsi="宋体"/>
              </w:rPr>
            </w:pPr>
            <w:r>
              <w:rPr>
                <w:rFonts w:ascii="宋体" w:hAnsi="宋体"/>
              </w:rPr>
              <w:t>10</w:t>
            </w:r>
          </w:p>
        </w:tc>
        <w:tc>
          <w:tcPr>
            <w:tcW w:w="2711" w:type="dxa"/>
            <w:vAlign w:val="center"/>
          </w:tcPr>
          <w:p>
            <w:pPr>
              <w:jc w:val="right"/>
            </w:pPr>
          </w:p>
        </w:tc>
      </w:tr>
      <w:tr>
        <w:tc>
          <w:tcPr>
            <w:tcW w:w="3650" w:type="dxa"/>
            <w:vAlign w:val="center"/>
          </w:tcPr>
          <w:p>
            <w:pPr>
              <w:pStyle w:val="Style217"/>
            </w:pPr>
            <w:r>
              <w:rPr>
                <w:rFonts w:hint="eastAsia"/>
              </w:rPr>
              <w:t>青海诚启企业管理合伙企业(有限合伙）</w:t>
            </w:r>
          </w:p>
        </w:tc>
        <w:tc>
          <w:tcPr>
            <w:tcW w:w="2687" w:type="dxa"/>
            <w:vAlign w:val="center"/>
          </w:tcPr>
          <w:p>
            <w:pPr>
              <w:jc w:val="right"/>
              <w:rPr>
                <w:rFonts w:ascii="宋体" w:hAnsi="宋体"/>
              </w:rPr>
            </w:pPr>
            <w:r>
              <w:rPr>
                <w:rFonts w:ascii="宋体" w:hAnsi="宋体"/>
              </w:rPr>
              <w:t>178</w:t>
            </w:r>
          </w:p>
        </w:tc>
        <w:tc>
          <w:tcPr>
            <w:tcW w:w="2711" w:type="dxa"/>
            <w:vAlign w:val="center"/>
          </w:tcPr>
          <w:p>
            <w:pPr>
              <w:jc w:val="right"/>
            </w:pPr>
          </w:p>
        </w:tc>
      </w:tr>
      <w:tr>
        <w:tc>
          <w:tcPr>
            <w:tcW w:w="3650" w:type="dxa"/>
            <w:vAlign w:val="center"/>
          </w:tcPr>
          <w:p>
            <w:pPr>
              <w:jc w:val="center"/>
            </w:pPr>
            <w:r>
              <w:rPr>
                <w:rFonts w:ascii="宋体" w:hAnsi="宋体"/>
                <w:u w:val="double"/>
              </w:rPr>
              <w:t>合计</w:t>
            </w:r>
          </w:p>
        </w:tc>
        <w:tc>
          <w:tcPr>
            <w:tcW w:w="2687" w:type="dxa"/>
            <w:vAlign w:val="center"/>
          </w:tcPr>
          <w:p>
            <w:pPr>
              <w:jc w:val="right"/>
            </w:pPr>
            <w:r>
              <w:rPr>
                <w:rFonts w:ascii="宋体" w:hAnsi="宋体"/>
              </w:rPr>
              <w:t>1,386,169</w:t>
            </w:r>
          </w:p>
        </w:tc>
        <w:tc>
          <w:tcPr>
            <w:tcW w:w="2711" w:type="dxa"/>
            <w:vAlign w:val="center"/>
          </w:tcPr>
          <w:p>
            <w:pPr>
              <w:jc w:val="right"/>
            </w:pPr>
            <w:r>
              <w:rPr>
                <w:rFonts w:ascii="宋体" w:hAnsi="宋体" w:hint="eastAsia"/>
              </w:rPr>
              <w:t>1,447,143</w:t>
            </w:r>
          </w:p>
        </w:tc>
      </w:tr>
    </w:tbl>
    <w:p>
      <w:pPr>
        <w:pStyle w:val="Style217"/>
      </w:pPr>
    </w:p>
    <w:bookmarkEnd w:id="453"/>
    <w:p>
      <w:pPr>
        <w:pStyle w:val="Style217"/>
      </w:pPr>
      <w:r>
        <w:rPr>
          <w:rFonts w:hint="eastAsia"/>
        </w:rPr>
        <w:t>其他</w:t>
      </w:r>
      <w:r>
        <w:t>说明</w:t>
      </w:r>
      <w:r>
        <w:rPr>
          <w:rFonts w:hint="eastAsia"/>
        </w:rPr>
        <w:t>：</w:t>
      </w:r>
    </w:p>
    <w:sdt>
      <w:sdtPr>
        <w:alias w:val="是否适用：其他非流动金融资产其他说明[双击切换]"/>
        <w:tag w:val="_GBC_037912ebdd3b4e80b4b66cf88f8cb3e7"/>
        <w:id w:val="85030209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78"/>
        <w:numPr>
          <w:ilvl w:val="0"/>
          <w:numId w:val="75"/>
        </w:numPr>
        <w:rPr>
          <w:szCs w:val="21"/>
        </w:rPr>
      </w:pPr>
      <w:r>
        <w:rPr>
          <w:szCs w:val="21"/>
        </w:rPr>
        <w:t>投资性房地产</w:t>
      </w:r>
    </w:p>
    <w:p>
      <w:pPr>
        <w:pStyle w:val="Style217"/>
      </w:pPr>
      <w:r>
        <w:t>投资性房地产</w:t>
      </w:r>
      <w:r>
        <w:rPr>
          <w:rFonts w:hint="eastAsia"/>
        </w:rPr>
        <w:t>计量模式</w:t>
      </w:r>
    </w:p>
    <w:p>
      <w:pPr>
        <w:pStyle w:val="Style179"/>
        <w:numPr>
          <w:ilvl w:val="3"/>
          <w:numId w:val="89"/>
        </w:numPr>
        <w:ind w:left="426" w:hanging="426"/>
      </w:pPr>
      <w:r>
        <w:rPr>
          <w:rFonts w:hint="eastAsia"/>
        </w:rPr>
        <w:t>采用</w:t>
      </w:r>
      <w:r>
        <w:t>公允价值计量</w:t>
      </w:r>
      <w:r>
        <w:rPr>
          <w:rFonts w:hint="eastAsia"/>
        </w:rPr>
        <w:t>模式</w:t>
      </w:r>
      <w:r>
        <w:t>的投资性房地产</w:t>
      </w:r>
    </w:p>
    <w:p>
      <w:pPr>
        <w:jc w:val="right"/>
      </w:pPr>
      <w:r>
        <w:rPr>
          <w:rFonts w:hint="eastAsia"/>
        </w:rPr>
        <w:t>单位：</w:t>
      </w:r>
      <w:sdt>
        <w:sdtPr>
          <w:rPr>
            <w:rFonts w:hint="eastAsia"/>
          </w:rPr>
          <w:alias w:val="单位：财务附注：按公允价值计量的投资性房地产"/>
          <w:tag w:val="_GBC_edb2093e740b46cfa90fbbec84c4779e"/>
          <w:id w:val="6085511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按公允价值计量的投资性房地产"/>
          <w:tag w:val="_GBC_314dc21b542f417e9e3fa009103b2fad"/>
          <w:id w:val="11937395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0"/>
        <w:gridCol w:w="2631"/>
        <w:gridCol w:w="2574"/>
      </w:tblGrid>
      <w:tr>
        <w:trPr>
          <w:trHeight w:val="272"/>
        </w:trPr>
        <w:sdt>
          <w:sdtPr>
            <w:tag w:val="_PLD_ec2b0bdac5a848679dbc2f8fd98e0a15"/>
            <w:id w:val="-1963730071"/>
          </w:sdtPr>
          <w:sdtContent>
            <w:tc>
              <w:tcPr>
                <w:tcW w:w="3840"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edeac5439f954721b65cd63c777ed853"/>
            <w:id w:val="-1144346725"/>
          </w:sdtPr>
          <w:sdtContent>
            <w:tc>
              <w:tcPr>
                <w:tcW w:w="263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房屋、建筑物</w:t>
                </w:r>
              </w:p>
            </w:tc>
          </w:sdtContent>
        </w:sdt>
        <w:sdt>
          <w:sdtPr>
            <w:tag w:val="_PLD_9f1b0b9082fa472087bc17bc00c32446"/>
            <w:id w:val="1415278826"/>
          </w:sdtPr>
          <w:sdtContent>
            <w:tc>
              <w:tcPr>
                <w:tcW w:w="257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sdtContent>
        </w:sdt>
      </w:tr>
      <w:tr>
        <w:trPr>
          <w:trHeight w:val="273"/>
        </w:trPr>
        <w:tc>
          <w:tcPr>
            <w:tcW w:w="3840"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一、期初余额</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1,234,824</w:t>
            </w: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1,234,824</w:t>
            </w:r>
          </w:p>
        </w:tc>
      </w:tr>
      <w:tr>
        <w:trPr>
          <w:trHeight w:val="272"/>
        </w:trPr>
        <w:tc>
          <w:tcPr>
            <w:tcW w:w="3840"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二、本期变动</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rPr>
              <w:t>512,867</w:t>
            </w: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rPr>
              <w:t>512,867</w:t>
            </w:r>
          </w:p>
        </w:tc>
      </w:tr>
      <w:tr>
        <w:trPr>
          <w:trHeight w:val="272"/>
        </w:trPr>
        <w:tc>
          <w:tcPr>
            <w:tcW w:w="3840" w:type="dxa"/>
            <w:tcBorders>
              <w:top w:val="single" w:sz="4" w:space="0" w:color="auto"/>
              <w:left w:val="single" w:sz="4" w:space="0" w:color="auto"/>
              <w:bottom w:val="single" w:sz="4" w:space="0" w:color="auto"/>
              <w:right w:val="single" w:sz="4" w:space="0" w:color="auto"/>
            </w:tcBorders>
            <w:vAlign w:val="center"/>
          </w:tcPr>
          <w:p>
            <w:pPr>
              <w:ind w:firstLineChars="200" w:firstLine="420"/>
            </w:pPr>
            <w:r>
              <w:rPr>
                <w:rFonts w:hint="eastAsia"/>
              </w:rPr>
              <w:t>加：外购</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p>
        </w:tc>
      </w:tr>
      <w:tr>
        <w:trPr>
          <w:trHeight w:val="273"/>
        </w:trPr>
        <w:tc>
          <w:tcPr>
            <w:tcW w:w="3840" w:type="dxa"/>
            <w:tcBorders>
              <w:top w:val="single" w:sz="4" w:space="0" w:color="auto"/>
              <w:left w:val="single" w:sz="4" w:space="0" w:color="auto"/>
              <w:bottom w:val="single" w:sz="4" w:space="0" w:color="auto"/>
              <w:right w:val="single" w:sz="4" w:space="0" w:color="auto"/>
            </w:tcBorders>
            <w:vAlign w:val="center"/>
          </w:tcPr>
          <w:p>
            <w:pPr>
              <w:ind w:firstLineChars="400" w:firstLine="840"/>
            </w:pPr>
            <w:r>
              <w:rPr>
                <w:rFonts w:hint="eastAsia"/>
              </w:rPr>
              <w:t>存货</w:t>
            </w:r>
            <w:r>
              <w:rPr>
                <w:rFonts w:hint="eastAsia"/>
              </w:rPr>
              <w:t>\</w:t>
            </w:r>
            <w:r>
              <w:rPr>
                <w:rFonts w:hint="eastAsia"/>
              </w:rPr>
              <w:t>固定资产</w:t>
            </w:r>
            <w:r>
              <w:rPr>
                <w:rFonts w:hint="eastAsia"/>
              </w:rPr>
              <w:t>\</w:t>
            </w:r>
            <w:r>
              <w:rPr>
                <w:rFonts w:hint="eastAsia"/>
              </w:rPr>
              <w:t>在建工程转入</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531,957</w:t>
            </w: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531,957</w:t>
            </w:r>
          </w:p>
        </w:tc>
      </w:tr>
      <w:tr>
        <w:trPr>
          <w:trHeight w:val="273"/>
        </w:trPr>
        <w:tc>
          <w:tcPr>
            <w:tcW w:w="3840" w:type="dxa"/>
            <w:tcBorders>
              <w:top w:val="single" w:sz="4" w:space="0" w:color="auto"/>
              <w:left w:val="single" w:sz="4" w:space="0" w:color="auto"/>
              <w:bottom w:val="single" w:sz="4" w:space="0" w:color="auto"/>
              <w:right w:val="single" w:sz="4" w:space="0" w:color="auto"/>
            </w:tcBorders>
            <w:vAlign w:val="center"/>
          </w:tcPr>
          <w:p>
            <w:pPr>
              <w:ind w:firstLineChars="200" w:firstLine="420"/>
            </w:pPr>
            <w:r>
              <w:rPr>
                <w:rFonts w:hint="eastAsia"/>
              </w:rPr>
              <w:t>企业合并增加</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p>
        </w:tc>
      </w:tr>
      <w:tr>
        <w:trPr>
          <w:trHeight w:val="273"/>
        </w:trPr>
        <w:tc>
          <w:tcPr>
            <w:tcW w:w="3840" w:type="dxa"/>
            <w:tcBorders>
              <w:top w:val="single" w:sz="4" w:space="0" w:color="auto"/>
              <w:left w:val="single" w:sz="4" w:space="0" w:color="auto"/>
              <w:bottom w:val="single" w:sz="4" w:space="0" w:color="auto"/>
              <w:right w:val="single" w:sz="4" w:space="0" w:color="auto"/>
            </w:tcBorders>
            <w:vAlign w:val="center"/>
          </w:tcPr>
          <w:p>
            <w:pPr>
              <w:ind w:firstLineChars="200" w:firstLine="420"/>
            </w:pPr>
            <w:r>
              <w:rPr>
                <w:rFonts w:hint="eastAsia"/>
              </w:rPr>
              <w:t>减：处置</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p>
        </w:tc>
      </w:tr>
      <w:tr>
        <w:trPr>
          <w:trHeight w:val="273"/>
        </w:trPr>
        <w:tc>
          <w:tcPr>
            <w:tcW w:w="3840" w:type="dxa"/>
            <w:tcBorders>
              <w:top w:val="single" w:sz="4" w:space="0" w:color="auto"/>
              <w:left w:val="single" w:sz="4" w:space="0" w:color="auto"/>
              <w:bottom w:val="single" w:sz="4" w:space="0" w:color="auto"/>
              <w:right w:val="single" w:sz="4" w:space="0" w:color="auto"/>
            </w:tcBorders>
            <w:vAlign w:val="center"/>
          </w:tcPr>
          <w:p>
            <w:pPr>
              <w:ind w:firstLineChars="400" w:firstLine="840"/>
            </w:pPr>
            <w:r>
              <w:rPr>
                <w:rFonts w:hint="eastAsia"/>
              </w:rPr>
              <w:t>其他转出</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p>
        </w:tc>
      </w:tr>
      <w:tr>
        <w:trPr>
          <w:trHeight w:val="273"/>
        </w:trPr>
        <w:tc>
          <w:tcPr>
            <w:tcW w:w="3840" w:type="dxa"/>
            <w:tcBorders>
              <w:top w:val="single" w:sz="4" w:space="0" w:color="auto"/>
              <w:left w:val="single" w:sz="4" w:space="0" w:color="auto"/>
              <w:bottom w:val="single" w:sz="4" w:space="0" w:color="auto"/>
              <w:right w:val="single" w:sz="4" w:space="0" w:color="auto"/>
            </w:tcBorders>
            <w:vAlign w:val="center"/>
          </w:tcPr>
          <w:p>
            <w:pPr>
              <w:ind w:firstLineChars="200" w:firstLine="420"/>
            </w:pPr>
            <w:r>
              <w:rPr>
                <w:rFonts w:hint="eastAsia"/>
              </w:rPr>
              <w:t>公允价值变动</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-19,090</w:t>
            </w: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-19,090</w:t>
            </w:r>
          </w:p>
        </w:tc>
      </w:tr>
      <w:tr>
        <w:trPr>
          <w:trHeight w:val="272"/>
        </w:trPr>
        <w:tc>
          <w:tcPr>
            <w:tcW w:w="3840"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三、期末余额</w:t>
            </w:r>
          </w:p>
        </w:tc>
        <w:tc>
          <w:tcPr>
            <w:tcW w:w="2631"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1,747,691</w:t>
            </w:r>
          </w:p>
        </w:tc>
        <w:tc>
          <w:tcPr>
            <w:tcW w:w="2574" w:type="dxa"/>
            <w:tcBorders>
              <w:top w:val="single" w:sz="4" w:space="0" w:color="auto"/>
              <w:left w:val="single" w:sz="4" w:space="0" w:color="auto"/>
              <w:bottom w:val="single" w:sz="4" w:space="0" w:color="auto"/>
              <w:right w:val="single" w:sz="4" w:space="0" w:color="auto"/>
            </w:tcBorders>
            <w:vAlign w:val="center"/>
          </w:tcPr>
          <w:p>
            <w:pPr>
              <w:jc w:val="right"/>
            </w:pPr>
            <w:r>
              <w:rPr>
                <w:rFonts w:ascii="宋体" w:hAnsi="宋体" w:cs="宋体" w:hint="eastAsia"/>
              </w:rPr>
              <w:t>1,747,691</w:t>
            </w:r>
          </w:p>
        </w:tc>
      </w:tr>
    </w:tbl>
    <w:p>
      <w:pPr>
        <w:pStyle w:val="Style217"/>
      </w:pPr>
    </w:p>
    <w:p>
      <w:pPr>
        <w:pStyle w:val="Style179"/>
        <w:numPr>
          <w:ilvl w:val="3"/>
          <w:numId w:val="89"/>
        </w:numPr>
        <w:ind w:left="426" w:hanging="426"/>
      </w:pPr>
      <w:r>
        <w:rPr>
          <w:rFonts w:hint="eastAsia"/>
        </w:rPr>
        <w:t>未办妥产权证书的投资性房地产情况</w:t>
      </w:r>
    </w:p>
    <w:p>
      <w:pPr>
        <w:pStyle w:val="Style217"/>
      </w:pPr>
      <w:sdt>
        <w:sdtPr>
          <w:alias w:val="是否适用：未办妥产权证书的投资性房地产情况[双击切换]"/>
          <w:tag w:val="_GBC_aad55a6994294cf7a3592474b5d3538e"/>
          <w:id w:val="190125750"/>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投资性房地产情况"/>
          <w:tag w:val="_GBC_dd909de09a744489a78d879e630f180b"/>
          <w:id w:val="-20221574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未办妥产权证书的投资性房地产情况"/>
          <w:tag w:val="_GBC_0a09a7d3d40449358c2bce7203e0957c"/>
          <w:id w:val="10713138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2863"/>
        <w:gridCol w:w="2877"/>
      </w:tblGrid>
      <w:tr>
        <w:sdt>
          <w:sdtPr>
            <w:tag w:val="_PLD_03041015b61a49bb8b4adaca966bfd32"/>
            <w:id w:val="1449582877"/>
          </w:sdtPr>
          <w:sdtContent>
            <w:tc>
              <w:tcPr>
                <w:tcW w:w="3308" w:type="dxa"/>
                <w:vAlign w:val="center"/>
              </w:tcPr>
              <w:p>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33e298086c714b44be9784290a608e75"/>
            <w:id w:val="-1965191891"/>
          </w:sdtPr>
          <w:sdtContent>
            <w:tc>
              <w:tcPr>
                <w:tcW w:w="2863" w:type="dxa"/>
                <w:vAlign w:val="center"/>
              </w:tcPr>
              <w:p>
                <w:pPr>
                  <w:tabs>
                    <w:tab w:val="right" w:pos="3690"/>
                    <w:tab w:val="right" w:pos="5130"/>
                    <w:tab w:val="right" w:pos="6030"/>
                    <w:tab w:val="right" w:pos="7650"/>
                    <w:tab w:val="right" w:pos="9270"/>
                  </w:tabs>
                  <w:adjustRightInd w:val="0"/>
                  <w:snapToGrid w:val="0"/>
                  <w:jc w:val="center"/>
                </w:pPr>
                <w:r>
                  <w:rPr>
                    <w:rFonts w:hint="eastAsia"/>
                  </w:rPr>
                  <w:t>账面价值</w:t>
                </w:r>
              </w:p>
            </w:tc>
          </w:sdtContent>
        </w:sdt>
        <w:sdt>
          <w:sdtPr>
            <w:tag w:val="_PLD_4abbb3e21b9844baa14b22e4b21d862e"/>
            <w:id w:val="1722251423"/>
          </w:sdtPr>
          <w:sdtContent>
            <w:tc>
              <w:tcPr>
                <w:tcW w:w="2877" w:type="dxa"/>
                <w:vAlign w:val="center"/>
              </w:tcPr>
              <w:p>
                <w:pPr>
                  <w:tabs>
                    <w:tab w:val="right" w:pos="3690"/>
                    <w:tab w:val="right" w:pos="5130"/>
                    <w:tab w:val="right" w:pos="6030"/>
                    <w:tab w:val="right" w:pos="7650"/>
                    <w:tab w:val="right" w:pos="9270"/>
                  </w:tabs>
                  <w:adjustRightInd w:val="0"/>
                  <w:snapToGrid w:val="0"/>
                  <w:jc w:val="center"/>
                </w:pPr>
                <w:r>
                  <w:rPr>
                    <w:rFonts w:hint="eastAsia"/>
                  </w:rPr>
                  <w:t>未办妥产权证书原因</w:t>
                </w:r>
              </w:p>
            </w:tc>
          </w:sdtContent>
        </w:sdt>
      </w:tr>
      <w:tr>
        <w:tc>
          <w:tcPr>
            <w:tcW w:w="3308" w:type="dxa"/>
            <w:vAlign w:val="center"/>
          </w:tcPr>
          <w:p>
            <w:pPr>
              <w:tabs>
                <w:tab w:val="right" w:pos="3690"/>
                <w:tab w:val="right" w:pos="5130"/>
                <w:tab w:val="right" w:pos="6030"/>
                <w:tab w:val="right" w:pos="7650"/>
                <w:tab w:val="right" w:pos="9270"/>
              </w:tabs>
              <w:adjustRightInd w:val="0"/>
              <w:snapToGrid w:val="0"/>
            </w:pPr>
            <w:r>
              <w:rPr>
                <w:rFonts w:ascii="宋体" w:hAnsi="宋体" w:cs="宋体" w:hint="eastAsia"/>
              </w:rPr>
              <w:t>房屋、建筑物</w:t>
            </w:r>
          </w:p>
        </w:tc>
        <w:tc>
          <w:tcPr>
            <w:tcW w:w="2863" w:type="dxa"/>
            <w:vAlign w:val="center"/>
          </w:tcPr>
          <w:p>
            <w:pPr>
              <w:tabs>
                <w:tab w:val="right" w:pos="3690"/>
                <w:tab w:val="right" w:pos="5130"/>
                <w:tab w:val="right" w:pos="6030"/>
                <w:tab w:val="right" w:pos="7650"/>
                <w:tab w:val="right" w:pos="9270"/>
              </w:tabs>
              <w:adjustRightInd w:val="0"/>
              <w:snapToGrid w:val="0"/>
              <w:jc w:val="right"/>
            </w:pPr>
            <w:r>
              <w:rPr>
                <w:rFonts w:ascii="宋体" w:hAnsi="宋体" w:cs="宋体" w:hint="eastAsia"/>
              </w:rPr>
              <w:t>35,086</w:t>
            </w:r>
          </w:p>
        </w:tc>
        <w:tc>
          <w:tcPr>
            <w:tcW w:w="2877" w:type="dxa"/>
            <w:vAlign w:val="center"/>
          </w:tcPr>
          <w:p>
            <w:pPr>
              <w:tabs>
                <w:tab w:val="right" w:pos="3690"/>
                <w:tab w:val="right" w:pos="5130"/>
                <w:tab w:val="right" w:pos="6030"/>
                <w:tab w:val="right" w:pos="7650"/>
                <w:tab w:val="right" w:pos="9270"/>
              </w:tabs>
              <w:adjustRightInd w:val="0"/>
              <w:snapToGrid w:val="0"/>
            </w:pPr>
            <w:r>
              <w:rPr>
                <w:rFonts w:ascii="宋体" w:hAnsi="宋体" w:cs="宋体" w:hint="eastAsia"/>
              </w:rPr>
              <w:t>正在办理</w:t>
            </w:r>
          </w:p>
        </w:tc>
      </w:tr>
    </w:tbl>
    <w:p>
      <w:pPr>
        <w:pStyle w:val="Style217"/>
      </w:pPr>
    </w:p>
    <w:p>
      <w:pPr>
        <w:pStyle w:val="Style179"/>
        <w:numPr>
          <w:ilvl w:val="3"/>
          <w:numId w:val="89"/>
        </w:numPr>
        <w:ind w:left="426" w:hanging="426"/>
      </w:pPr>
      <w:r>
        <w:rPr>
          <w:rFonts w:hint="eastAsia"/>
        </w:rPr>
        <w:t>转换为投资性房地产并采用公允价值计量模式的情况说明</w:t>
      </w:r>
    </w:p>
    <w:sdt>
      <w:sdtPr>
        <w:alias w:val="是否适用：转换为投资性房地产并采用公允价值计量模式的情况[双击切换]"/>
        <w:tag w:val="_GBC_8f1d5a50f3204e339c7f95f02e0ded52"/>
        <w:id w:val="-97613881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lastRenderedPageBreak/>
        <w:t>其他说明：</w:t>
      </w:r>
    </w:p>
    <w:sdt>
      <w:sdtPr>
        <w:alias w:val="是否适用：投资性房地产的说明[双击切换]"/>
        <w:tag w:val="_GBC_8bfb4ff2be19482ea8535705f2db855a"/>
        <w:id w:val="-27163151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right="283"/>
        <w:rPr>
          <w:rFonts w:cstheme="minorBidi"/>
          <w:kern w:val="2"/>
        </w:rPr>
      </w:pPr>
    </w:p>
    <w:p>
      <w:pPr>
        <w:pStyle w:val="Style178"/>
        <w:numPr>
          <w:ilvl w:val="0"/>
          <w:numId w:val="75"/>
        </w:numPr>
        <w:rPr>
          <w:szCs w:val="21"/>
        </w:rPr>
      </w:pPr>
      <w:bookmarkStart w:id="456" w:name="_Hlk152860822"/>
      <w:bookmarkStart w:id="457" w:name="_Hlk153460290"/>
      <w:bookmarkEnd w:id="456"/>
      <w:bookmarkEnd w:id="457"/>
      <w:r>
        <w:rPr>
          <w:szCs w:val="21"/>
        </w:rPr>
        <w:t>固定资产</w:t>
      </w:r>
    </w:p>
    <w:p>
      <w:pPr>
        <w:pStyle w:val="Style179"/>
      </w:pPr>
      <w:bookmarkStart w:id="458" w:name="_Hlk532907583"/>
      <w:r>
        <w:rPr>
          <w:rFonts w:hint="eastAsia"/>
        </w:rPr>
        <w:t>项目列示</w:t>
      </w:r>
    </w:p>
    <w:sdt>
      <w:sdtPr>
        <w:alias w:val="是否适用：固定资产分类列示[双击切换]"/>
        <w:tag w:val="_GBC_aa56cf68790e4b9d866b3ea7d6d8073d"/>
        <w:id w:val="-145547915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固定资产分类列示"/>
          <w:tag w:val="_GBC_857b5f6755c84b5aa235351580358065"/>
          <w:id w:val="1827139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固定资产分类列示"/>
          <w:tag w:val="_GBC_726c882708c540a4a7832f00029fe5d4"/>
          <w:id w:val="-2744070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2863"/>
        <w:gridCol w:w="2877"/>
      </w:tblGrid>
      <w:tr>
        <w:sdt>
          <w:sdtPr>
            <w:tag w:val="_PLD_a1c8e68343ee4b7fa02f5422a7fad5c0"/>
            <w:id w:val="1040400855"/>
          </w:sdtPr>
          <w:sdtContent>
            <w:tc>
              <w:tcPr>
                <w:tcW w:w="3308" w:type="dxa"/>
                <w:vAlign w:val="center"/>
              </w:tcPr>
              <w:p>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526922238"/>
          </w:sdtPr>
          <w:sdtContent>
            <w:tc>
              <w:tcPr>
                <w:tcW w:w="2863" w:type="dxa"/>
                <w:vAlign w:val="center"/>
              </w:tcPr>
              <w:p>
                <w:pPr>
                  <w:jc w:val="center"/>
                </w:pPr>
                <w:r>
                  <w:rPr>
                    <w:rFonts w:hint="eastAsia"/>
                  </w:rPr>
                  <w:t>期末余额</w:t>
                </w:r>
              </w:p>
            </w:tc>
          </w:sdtContent>
        </w:sdt>
        <w:sdt>
          <w:sdtPr>
            <w:tag w:val="_PLD_a075f0130f1f4334b8370490adf71764"/>
            <w:id w:val="501631508"/>
          </w:sdtPr>
          <w:sdtContent>
            <w:tc>
              <w:tcPr>
                <w:tcW w:w="2877" w:type="dxa"/>
                <w:vAlign w:val="center"/>
              </w:tcPr>
              <w:p>
                <w:pPr>
                  <w:jc w:val="center"/>
                </w:pPr>
                <w:r>
                  <w:rPr>
                    <w:rFonts w:hint="eastAsia"/>
                  </w:rPr>
                  <w:t>期初余额</w:t>
                </w:r>
              </w:p>
            </w:tc>
          </w:sdtContent>
        </w:sdt>
      </w:tr>
      <w:tr>
        <w:tc>
          <w:tcPr>
            <w:tcW w:w="3308" w:type="dxa"/>
            <w:vAlign w:val="center"/>
          </w:tcPr>
          <w:p>
            <w:pPr>
              <w:tabs>
                <w:tab w:val="right" w:pos="3690"/>
                <w:tab w:val="right" w:pos="5130"/>
                <w:tab w:val="right" w:pos="6030"/>
                <w:tab w:val="right" w:pos="7650"/>
                <w:tab w:val="right" w:pos="9270"/>
              </w:tabs>
              <w:adjustRightInd w:val="0"/>
              <w:snapToGrid w:val="0"/>
            </w:pPr>
            <w:r>
              <w:rPr>
                <w:rFonts w:hint="eastAsia"/>
              </w:rPr>
              <w:t>固定资产</w:t>
            </w:r>
          </w:p>
        </w:tc>
        <w:tc>
          <w:tcPr>
            <w:tcW w:w="2863" w:type="dxa"/>
            <w:vAlign w:val="center"/>
          </w:tcPr>
          <w:p>
            <w:pPr>
              <w:tabs>
                <w:tab w:val="right" w:pos="3690"/>
                <w:tab w:val="right" w:pos="5130"/>
                <w:tab w:val="right" w:pos="6030"/>
                <w:tab w:val="right" w:pos="7650"/>
                <w:tab w:val="right" w:pos="9270"/>
              </w:tabs>
              <w:adjustRightInd w:val="0"/>
              <w:snapToGrid w:val="0"/>
              <w:jc w:val="right"/>
            </w:pPr>
            <w:r>
              <w:rPr>
                <w:rFonts w:ascii="宋体" w:hAnsi="宋体"/>
              </w:rPr>
              <w:t>142,093,549</w:t>
            </w:r>
          </w:p>
        </w:tc>
        <w:tc>
          <w:tcPr>
            <w:tcW w:w="2877" w:type="dxa"/>
            <w:vAlign w:val="center"/>
          </w:tcPr>
          <w:p>
            <w:pPr>
              <w:tabs>
                <w:tab w:val="right" w:pos="3690"/>
                <w:tab w:val="right" w:pos="5130"/>
                <w:tab w:val="right" w:pos="6030"/>
                <w:tab w:val="right" w:pos="7650"/>
                <w:tab w:val="right" w:pos="9270"/>
              </w:tabs>
              <w:adjustRightInd w:val="0"/>
              <w:snapToGrid w:val="0"/>
              <w:jc w:val="right"/>
            </w:pPr>
            <w:r>
              <w:rPr>
                <w:rFonts w:ascii="宋体" w:hAnsi="宋体"/>
              </w:rPr>
              <w:t>132,636,668</w:t>
            </w:r>
          </w:p>
        </w:tc>
      </w:tr>
      <w:tr>
        <w:tc>
          <w:tcPr>
            <w:tcW w:w="3308" w:type="dxa"/>
            <w:vAlign w:val="center"/>
          </w:tcPr>
          <w:p>
            <w:pPr>
              <w:tabs>
                <w:tab w:val="right" w:pos="3690"/>
                <w:tab w:val="right" w:pos="5130"/>
                <w:tab w:val="right" w:pos="6030"/>
                <w:tab w:val="right" w:pos="7650"/>
                <w:tab w:val="right" w:pos="9270"/>
              </w:tabs>
              <w:adjustRightInd w:val="0"/>
              <w:snapToGrid w:val="0"/>
            </w:pPr>
            <w:r>
              <w:rPr>
                <w:rFonts w:hint="eastAsia"/>
              </w:rPr>
              <w:t>固定资产清理</w:t>
            </w:r>
          </w:p>
        </w:tc>
        <w:tc>
          <w:tcPr>
            <w:tcW w:w="2863" w:type="dxa"/>
            <w:vAlign w:val="center"/>
          </w:tcPr>
          <w:p>
            <w:pPr>
              <w:tabs>
                <w:tab w:val="right" w:pos="3690"/>
                <w:tab w:val="right" w:pos="5130"/>
                <w:tab w:val="right" w:pos="6030"/>
                <w:tab w:val="right" w:pos="7650"/>
                <w:tab w:val="right" w:pos="9270"/>
              </w:tabs>
              <w:adjustRightInd w:val="0"/>
              <w:snapToGrid w:val="0"/>
              <w:jc w:val="right"/>
            </w:pPr>
            <w:r>
              <w:rPr>
                <w:rFonts w:ascii="宋体" w:hAnsi="宋体"/>
              </w:rPr>
              <w:t>26,210</w:t>
            </w:r>
          </w:p>
        </w:tc>
        <w:tc>
          <w:tcPr>
            <w:tcW w:w="2877" w:type="dxa"/>
            <w:vAlign w:val="center"/>
          </w:tcPr>
          <w:p>
            <w:pPr>
              <w:tabs>
                <w:tab w:val="right" w:pos="3690"/>
                <w:tab w:val="right" w:pos="5130"/>
                <w:tab w:val="right" w:pos="6030"/>
                <w:tab w:val="right" w:pos="7650"/>
                <w:tab w:val="right" w:pos="9270"/>
              </w:tabs>
              <w:adjustRightInd w:val="0"/>
              <w:snapToGrid w:val="0"/>
              <w:jc w:val="right"/>
            </w:pPr>
            <w:r>
              <w:rPr>
                <w:rFonts w:ascii="宋体" w:hAnsi="宋体" w:hint="eastAsia"/>
              </w:rPr>
              <w:t>25,995</w:t>
            </w:r>
          </w:p>
        </w:tc>
      </w:tr>
      <w:tr>
        <w:tc>
          <w:tcPr>
            <w:tcW w:w="3308" w:type="dxa"/>
            <w:vAlign w:val="center"/>
          </w:tcPr>
          <w:p>
            <w:pPr>
              <w:tabs>
                <w:tab w:val="right" w:pos="3690"/>
                <w:tab w:val="right" w:pos="5130"/>
                <w:tab w:val="right" w:pos="6030"/>
                <w:tab w:val="right" w:pos="7650"/>
                <w:tab w:val="right" w:pos="9270"/>
              </w:tabs>
              <w:adjustRightInd w:val="0"/>
              <w:snapToGrid w:val="0"/>
              <w:jc w:val="center"/>
            </w:pPr>
            <w:r>
              <w:rPr>
                <w:rFonts w:hint="eastAsia"/>
              </w:rPr>
              <w:t>合计</w:t>
            </w:r>
          </w:p>
        </w:tc>
        <w:tc>
          <w:tcPr>
            <w:tcW w:w="2863" w:type="dxa"/>
            <w:vAlign w:val="center"/>
          </w:tcPr>
          <w:p>
            <w:pPr>
              <w:tabs>
                <w:tab w:val="right" w:pos="3690"/>
                <w:tab w:val="right" w:pos="5130"/>
                <w:tab w:val="right" w:pos="6030"/>
                <w:tab w:val="right" w:pos="7650"/>
                <w:tab w:val="right" w:pos="9270"/>
              </w:tabs>
              <w:adjustRightInd w:val="0"/>
              <w:snapToGrid w:val="0"/>
              <w:jc w:val="right"/>
            </w:pPr>
            <w:r>
              <w:rPr>
                <w:rFonts w:ascii="宋体" w:hAnsi="宋体" w:hint="eastAsia"/>
              </w:rPr>
              <w:t>142,119,759</w:t>
            </w:r>
          </w:p>
        </w:tc>
        <w:tc>
          <w:tcPr>
            <w:tcW w:w="2877" w:type="dxa"/>
            <w:vAlign w:val="center"/>
          </w:tcPr>
          <w:p>
            <w:pPr>
              <w:tabs>
                <w:tab w:val="right" w:pos="3690"/>
                <w:tab w:val="right" w:pos="5130"/>
                <w:tab w:val="right" w:pos="6030"/>
                <w:tab w:val="right" w:pos="7650"/>
                <w:tab w:val="right" w:pos="9270"/>
              </w:tabs>
              <w:adjustRightInd w:val="0"/>
              <w:snapToGrid w:val="0"/>
              <w:jc w:val="right"/>
            </w:pPr>
            <w:r>
              <w:rPr>
                <w:rFonts w:ascii="宋体" w:hAnsi="宋体" w:hint="eastAsia"/>
              </w:rPr>
              <w:t>132,662,663</w:t>
            </w:r>
          </w:p>
        </w:tc>
      </w:tr>
    </w:tbl>
    <w:p>
      <w:pPr>
        <w:rPr>
          <w:b/>
        </w:rPr>
      </w:pPr>
    </w:p>
    <w:bookmarkEnd w:id="458"/>
    <w:p>
      <w:pPr>
        <w:pStyle w:val="Style217"/>
      </w:pPr>
      <w:r>
        <w:rPr>
          <w:rFonts w:hint="eastAsia"/>
        </w:rPr>
        <w:t>其他说明：</w:t>
      </w:r>
    </w:p>
    <w:sdt>
      <w:sdtPr>
        <w:alias w:val="是否适用：固定资产分类列示其他说明[双击切换]"/>
        <w:tag w:val="_GBC_242c272ba3a1435aacea1f45ade5a2e0"/>
        <w:id w:val="88791974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sectPr>
          <w:pgSz w:w="11906" w:h="16838"/>
          <w:pgMar w:top="1440" w:right="1797" w:bottom="1525" w:left="1276" w:header="856" w:footer="992" w:gutter="0"/>
          <w:cols w:space="425"/>
          <w:docGrid w:linePitch="312"/>
        </w:sectPr>
      </w:pPr>
    </w:p>
    <w:p>
      <w:pPr>
        <w:pStyle w:val="Style217"/>
      </w:pPr>
    </w:p>
    <w:p>
      <w:pPr>
        <w:pStyle w:val="Style179"/>
        <w:ind w:left="360" w:hanging="360"/>
      </w:pPr>
      <w:r>
        <w:rPr>
          <w:rFonts w:hint="eastAsia"/>
        </w:rPr>
        <w:t>固定资产</w:t>
      </w:r>
    </w:p>
    <w:p>
      <w:pPr>
        <w:pStyle w:val="Style180"/>
        <w:numPr>
          <w:ilvl w:val="0"/>
          <w:numId w:val="90"/>
        </w:numPr>
        <w:ind w:leftChars="0"/>
      </w:pPr>
      <w:r>
        <w:rPr>
          <w:rFonts w:hint="eastAsia"/>
        </w:rPr>
        <w:t>固定资产情况</w:t>
      </w:r>
    </w:p>
    <w:sdt>
      <w:sdtPr>
        <w:alias w:val="是否适用：固定资产情况[双击切换]"/>
        <w:tag w:val="_GBC_a44afb7019ae43b7a273970cf76154a3"/>
        <w:id w:val="119958786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15559196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固定资产情况"/>
          <w:tag w:val="_GBC_acfb726ad8bc4e37a6326a98b903d495"/>
          <w:id w:val="9253168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39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696"/>
        <w:gridCol w:w="1276"/>
        <w:gridCol w:w="1701"/>
        <w:gridCol w:w="1559"/>
        <w:gridCol w:w="1701"/>
        <w:gridCol w:w="1421"/>
        <w:gridCol w:w="1556"/>
        <w:gridCol w:w="1418"/>
        <w:gridCol w:w="1602"/>
      </w:tblGrid>
      <w:tr>
        <w:trPr>
          <w:trHeight w:val="567"/>
        </w:trPr>
        <w:sdt>
          <w:sdtPr>
            <w:rPr>
              <w:rFonts w:ascii="宋体" w:hAnsi="宋体"/>
            </w:rPr>
            <w:tag w:val="_PLD_0431b88b9ff14ebb90e5715c273e1c1d"/>
            <w:id w:val="-340084681"/>
          </w:sdtPr>
          <w:sdtContent>
            <w:tc>
              <w:tcPr>
                <w:tcW w:w="1696" w:type="dxa"/>
                <w:vAlign w:val="center"/>
              </w:tcPr>
              <w:p>
                <w:pPr>
                  <w:jc w:val="center"/>
                  <w:rPr>
                    <w:rFonts w:ascii="宋体" w:hAnsi="宋体"/>
                  </w:rPr>
                </w:pPr>
                <w:r>
                  <w:rPr>
                    <w:rFonts w:ascii="宋体" w:hAnsi="宋体" w:hint="eastAsia"/>
                  </w:rPr>
                  <w:t>项目</w:t>
                </w:r>
              </w:p>
            </w:tc>
          </w:sdtContent>
        </w:sdt>
        <w:sdt>
          <w:sdtPr>
            <w:rPr>
              <w:rFonts w:ascii="宋体" w:hAnsi="宋体"/>
            </w:rPr>
            <w:tag w:val="_GBC_d421638fcfb34bbba0e548b4cb719a06"/>
            <w:id w:val="2078316711"/>
          </w:sdtPr>
          <w:sdtContent>
            <w:tc>
              <w:tcPr>
                <w:tcW w:w="1276" w:type="dxa"/>
                <w:vAlign w:val="center"/>
              </w:tcPr>
              <w:p>
                <w:pPr>
                  <w:jc w:val="center"/>
                  <w:rPr>
                    <w:rFonts w:ascii="宋体" w:hAnsi="宋体"/>
                    <w:bCs/>
                  </w:rPr>
                </w:pPr>
                <w:r>
                  <w:rPr>
                    <w:rFonts w:ascii="宋体" w:hAnsi="宋体" w:cs="宋体" w:hint="eastAsia"/>
                    <w:bCs/>
                    <w:color w:val="000000"/>
                  </w:rPr>
                  <w:t>土地</w:t>
                </w:r>
              </w:p>
            </w:tc>
          </w:sdtContent>
        </w:sdt>
        <w:sdt>
          <w:sdtPr>
            <w:rPr>
              <w:rFonts w:ascii="宋体" w:hAnsi="宋体"/>
            </w:rPr>
            <w:tag w:val="_GBC_d421638fcfb34bbba0e548b4cb719a06"/>
            <w:id w:val="-1605190161"/>
          </w:sdtPr>
          <w:sdtContent>
            <w:tc>
              <w:tcPr>
                <w:tcW w:w="1701" w:type="dxa"/>
                <w:vAlign w:val="center"/>
              </w:tcPr>
              <w:p>
                <w:pPr>
                  <w:jc w:val="center"/>
                  <w:rPr>
                    <w:rFonts w:ascii="宋体" w:hAnsi="宋体"/>
                    <w:bCs/>
                  </w:rPr>
                </w:pPr>
                <w:r>
                  <w:rPr>
                    <w:rFonts w:ascii="宋体" w:hAnsi="宋体" w:cs="宋体" w:hint="eastAsia"/>
                    <w:bCs/>
                    <w:color w:val="000000"/>
                  </w:rPr>
                  <w:t>房屋建筑物</w:t>
                </w:r>
              </w:p>
            </w:tc>
          </w:sdtContent>
        </w:sdt>
        <w:sdt>
          <w:sdtPr>
            <w:rPr>
              <w:rFonts w:ascii="宋体" w:hAnsi="宋体"/>
            </w:rPr>
            <w:tag w:val="_GBC_d421638fcfb34bbba0e548b4cb719a06"/>
            <w:id w:val="-537584243"/>
          </w:sdtPr>
          <w:sdtContent>
            <w:tc>
              <w:tcPr>
                <w:tcW w:w="1559" w:type="dxa"/>
                <w:vAlign w:val="center"/>
              </w:tcPr>
              <w:p>
                <w:pPr>
                  <w:jc w:val="center"/>
                  <w:rPr>
                    <w:rFonts w:ascii="宋体" w:hAnsi="宋体"/>
                    <w:bCs/>
                  </w:rPr>
                </w:pPr>
                <w:r>
                  <w:rPr>
                    <w:rFonts w:ascii="宋体" w:hAnsi="宋体" w:cs="宋体" w:hint="eastAsia"/>
                    <w:bCs/>
                    <w:color w:val="000000"/>
                  </w:rPr>
                  <w:t>矿井建筑物</w:t>
                </w:r>
              </w:p>
            </w:tc>
          </w:sdtContent>
        </w:sdt>
        <w:sdt>
          <w:sdtPr>
            <w:rPr>
              <w:rFonts w:ascii="宋体" w:hAnsi="宋体"/>
            </w:rPr>
            <w:tag w:val="_GBC_d421638fcfb34bbba0e548b4cb719a06"/>
            <w:id w:val="-310942757"/>
          </w:sdtPr>
          <w:sdtContent>
            <w:tc>
              <w:tcPr>
                <w:tcW w:w="1701" w:type="dxa"/>
                <w:vAlign w:val="center"/>
              </w:tcPr>
              <w:p>
                <w:pPr>
                  <w:jc w:val="center"/>
                  <w:rPr>
                    <w:rFonts w:ascii="宋体" w:hAnsi="宋体"/>
                    <w:bCs/>
                  </w:rPr>
                </w:pPr>
                <w:r>
                  <w:rPr>
                    <w:rFonts w:ascii="宋体" w:hAnsi="宋体" w:cs="宋体" w:hint="eastAsia"/>
                    <w:bCs/>
                    <w:color w:val="000000"/>
                  </w:rPr>
                  <w:t>地面建筑物</w:t>
                </w:r>
              </w:p>
            </w:tc>
          </w:sdtContent>
        </w:sdt>
        <w:sdt>
          <w:sdtPr>
            <w:rPr>
              <w:rFonts w:ascii="宋体" w:hAnsi="宋体"/>
            </w:rPr>
            <w:tag w:val="_GBC_d421638fcfb34bbba0e548b4cb719a06"/>
            <w:id w:val="697974461"/>
          </w:sdtPr>
          <w:sdtContent>
            <w:tc>
              <w:tcPr>
                <w:tcW w:w="1421" w:type="dxa"/>
                <w:vAlign w:val="center"/>
              </w:tcPr>
              <w:p>
                <w:pPr>
                  <w:jc w:val="center"/>
                  <w:rPr>
                    <w:rFonts w:ascii="宋体" w:hAnsi="宋体"/>
                    <w:bCs/>
                  </w:rPr>
                </w:pPr>
                <w:r>
                  <w:rPr>
                    <w:rFonts w:ascii="宋体" w:hAnsi="宋体" w:cs="宋体" w:hint="eastAsia"/>
                    <w:bCs/>
                    <w:color w:val="000000"/>
                  </w:rPr>
                  <w:t>机器设备</w:t>
                </w:r>
              </w:p>
            </w:tc>
          </w:sdtContent>
        </w:sdt>
        <w:sdt>
          <w:sdtPr>
            <w:rPr>
              <w:rFonts w:ascii="宋体" w:hAnsi="宋体"/>
            </w:rPr>
            <w:tag w:val="_GBC_d421638fcfb34bbba0e548b4cb719a06"/>
            <w:id w:val="668064346"/>
          </w:sdtPr>
          <w:sdtContent>
            <w:tc>
              <w:tcPr>
                <w:tcW w:w="1556" w:type="dxa"/>
                <w:vAlign w:val="center"/>
              </w:tcPr>
              <w:p>
                <w:pPr>
                  <w:jc w:val="center"/>
                  <w:rPr>
                    <w:rFonts w:ascii="宋体" w:hAnsi="宋体"/>
                    <w:bCs/>
                  </w:rPr>
                </w:pPr>
                <w:r>
                  <w:rPr>
                    <w:rFonts w:ascii="宋体" w:hAnsi="宋体" w:cs="宋体" w:hint="eastAsia"/>
                    <w:bCs/>
                    <w:color w:val="000000"/>
                  </w:rPr>
                  <w:t>运输工具</w:t>
                </w:r>
              </w:p>
            </w:tc>
          </w:sdtContent>
        </w:sdt>
        <w:sdt>
          <w:sdtPr>
            <w:rPr>
              <w:rFonts w:ascii="宋体" w:hAnsi="宋体"/>
            </w:rPr>
            <w:tag w:val="_GBC_d421638fcfb34bbba0e548b4cb719a06"/>
            <w:id w:val="459076106"/>
          </w:sdtPr>
          <w:sdtContent>
            <w:tc>
              <w:tcPr>
                <w:tcW w:w="1418" w:type="dxa"/>
                <w:vAlign w:val="center"/>
              </w:tcPr>
              <w:p>
                <w:pPr>
                  <w:jc w:val="center"/>
                  <w:rPr>
                    <w:rFonts w:ascii="宋体" w:hAnsi="宋体"/>
                    <w:bCs/>
                  </w:rPr>
                </w:pPr>
                <w:r>
                  <w:rPr>
                    <w:rFonts w:ascii="宋体" w:hAnsi="宋体" w:cs="宋体" w:hint="eastAsia"/>
                    <w:bCs/>
                    <w:color w:val="000000"/>
                  </w:rPr>
                  <w:t>其他</w:t>
                </w:r>
              </w:p>
            </w:tc>
          </w:sdtContent>
        </w:sdt>
        <w:sdt>
          <w:sdtPr>
            <w:rPr>
              <w:rFonts w:ascii="宋体" w:hAnsi="宋体"/>
            </w:rPr>
            <w:tag w:val="_PLD_44989fc4cd3d46cc990c4d1941405a11"/>
            <w:id w:val="-375776443"/>
          </w:sdtPr>
          <w:sdtContent>
            <w:tc>
              <w:tcPr>
                <w:tcW w:w="1602" w:type="dxa"/>
                <w:vAlign w:val="center"/>
              </w:tcPr>
              <w:p>
                <w:pPr>
                  <w:jc w:val="center"/>
                  <w:rPr>
                    <w:rFonts w:ascii="宋体" w:hAnsi="宋体"/>
                    <w:bCs/>
                  </w:rPr>
                </w:pPr>
                <w:r>
                  <w:rPr>
                    <w:rFonts w:ascii="宋体" w:hAnsi="宋体" w:cs="宋体" w:hint="eastAsia"/>
                    <w:bCs/>
                    <w:color w:val="000000"/>
                  </w:rPr>
                  <w:t>合计</w:t>
                </w:r>
              </w:p>
            </w:tc>
          </w:sdtContent>
        </w:sdt>
      </w:tr>
      <w:tr>
        <w:trPr>
          <w:trHeight w:val="278"/>
        </w:trPr>
        <w:sdt>
          <w:sdtPr>
            <w:rPr>
              <w:rFonts w:ascii="宋体" w:hAnsi="宋体"/>
            </w:rPr>
            <w:tag w:val="_PLD_baa91289996942f0a3579319b339b24d"/>
            <w:id w:val="2135741888"/>
          </w:sdtPr>
          <w:sdtContent>
            <w:tc>
              <w:tcPr>
                <w:tcW w:w="13930" w:type="dxa"/>
                <w:gridSpan w:val="9"/>
                <w:vAlign w:val="center"/>
              </w:tcPr>
              <w:p>
                <w:pPr>
                  <w:rPr>
                    <w:rFonts w:ascii="宋体" w:hAnsi="宋体"/>
                  </w:rPr>
                </w:pPr>
                <w:r>
                  <w:rPr>
                    <w:rFonts w:ascii="宋体" w:hAnsi="宋体" w:hint="eastAsia"/>
                  </w:rPr>
                  <w:t>一、账面原值：</w:t>
                </w:r>
              </w:p>
            </w:tc>
          </w:sdtContent>
        </w:sdt>
      </w:tr>
      <w:tr>
        <w:trPr>
          <w:trHeight w:val="278"/>
        </w:trPr>
        <w:tc>
          <w:tcPr>
            <w:tcW w:w="1696" w:type="dxa"/>
            <w:vAlign w:val="center"/>
          </w:tcPr>
          <w:p>
            <w:pPr>
              <w:ind w:firstLineChars="200" w:firstLine="420"/>
              <w:rPr>
                <w:rFonts w:ascii="宋体" w:hAnsi="宋体"/>
              </w:rPr>
            </w:pPr>
            <w:r>
              <w:rPr>
                <w:rFonts w:ascii="宋体" w:hAnsi="宋体"/>
              </w:rPr>
              <w:t>1.</w:t>
            </w:r>
            <w:r>
              <w:rPr>
                <w:rFonts w:ascii="宋体" w:hAnsi="宋体" w:hint="eastAsia"/>
              </w:rPr>
              <w:t>期初余额</w:t>
            </w:r>
          </w:p>
        </w:tc>
        <w:tc>
          <w:tcPr>
            <w:tcW w:w="1276" w:type="dxa"/>
            <w:vAlign w:val="center"/>
          </w:tcPr>
          <w:p>
            <w:pPr>
              <w:jc w:val="right"/>
              <w:rPr>
                <w:rFonts w:ascii="宋体" w:hAnsi="宋体"/>
              </w:rPr>
            </w:pPr>
            <w:r>
              <w:rPr>
                <w:rFonts w:ascii="宋体" w:hAnsi="宋体" w:cs="宋体" w:hint="eastAsia"/>
              </w:rPr>
              <w:t>1,375,896</w:t>
            </w:r>
          </w:p>
        </w:tc>
        <w:tc>
          <w:tcPr>
            <w:tcW w:w="1701" w:type="dxa"/>
            <w:vAlign w:val="center"/>
          </w:tcPr>
          <w:p>
            <w:pPr>
              <w:jc w:val="right"/>
              <w:rPr>
                <w:rFonts w:ascii="宋体" w:hAnsi="宋体"/>
              </w:rPr>
            </w:pPr>
            <w:r>
              <w:rPr>
                <w:rFonts w:ascii="宋体" w:hAnsi="宋体" w:cs="宋体" w:hint="eastAsia"/>
              </w:rPr>
              <w:t>20,953,352</w:t>
            </w:r>
          </w:p>
        </w:tc>
        <w:tc>
          <w:tcPr>
            <w:tcW w:w="1559" w:type="dxa"/>
            <w:vAlign w:val="center"/>
          </w:tcPr>
          <w:p>
            <w:pPr>
              <w:jc w:val="right"/>
              <w:rPr>
                <w:rFonts w:ascii="宋体" w:hAnsi="宋体"/>
              </w:rPr>
            </w:pPr>
            <w:r>
              <w:rPr>
                <w:rFonts w:ascii="宋体" w:hAnsi="宋体" w:cs="宋体" w:hint="eastAsia"/>
              </w:rPr>
              <w:t>59,621,471</w:t>
            </w:r>
          </w:p>
        </w:tc>
        <w:tc>
          <w:tcPr>
            <w:tcW w:w="1701" w:type="dxa"/>
            <w:vAlign w:val="center"/>
          </w:tcPr>
          <w:p>
            <w:pPr>
              <w:jc w:val="right"/>
              <w:rPr>
                <w:rFonts w:ascii="宋体" w:hAnsi="宋体"/>
              </w:rPr>
            </w:pPr>
            <w:r>
              <w:rPr>
                <w:rFonts w:ascii="宋体" w:hAnsi="宋体" w:cs="宋体" w:hint="eastAsia"/>
              </w:rPr>
              <w:t>31,491,895</w:t>
            </w:r>
          </w:p>
        </w:tc>
        <w:tc>
          <w:tcPr>
            <w:tcW w:w="1421" w:type="dxa"/>
            <w:vAlign w:val="center"/>
          </w:tcPr>
          <w:p>
            <w:pPr>
              <w:jc w:val="right"/>
              <w:rPr>
                <w:rFonts w:ascii="宋体" w:hAnsi="宋体"/>
              </w:rPr>
            </w:pPr>
            <w:r>
              <w:rPr>
                <w:rFonts w:ascii="宋体" w:hAnsi="宋体" w:cs="宋体" w:hint="eastAsia"/>
              </w:rPr>
              <w:t>118,164,625</w:t>
            </w:r>
          </w:p>
        </w:tc>
        <w:tc>
          <w:tcPr>
            <w:tcW w:w="1556" w:type="dxa"/>
            <w:vAlign w:val="center"/>
          </w:tcPr>
          <w:p>
            <w:pPr>
              <w:jc w:val="right"/>
              <w:rPr>
                <w:rFonts w:ascii="宋体" w:hAnsi="宋体"/>
              </w:rPr>
            </w:pPr>
            <w:r>
              <w:rPr>
                <w:rFonts w:ascii="宋体" w:hAnsi="宋体" w:cs="宋体" w:hint="eastAsia"/>
              </w:rPr>
              <w:t>3,213,498</w:t>
            </w:r>
          </w:p>
        </w:tc>
        <w:tc>
          <w:tcPr>
            <w:tcW w:w="1418" w:type="dxa"/>
            <w:vAlign w:val="center"/>
          </w:tcPr>
          <w:p>
            <w:pPr>
              <w:jc w:val="right"/>
              <w:rPr>
                <w:rFonts w:ascii="宋体" w:hAnsi="宋体"/>
              </w:rPr>
            </w:pPr>
            <w:r>
              <w:rPr>
                <w:rFonts w:ascii="宋体" w:hAnsi="宋体" w:cs="宋体" w:hint="eastAsia"/>
              </w:rPr>
              <w:t>10,804,665</w:t>
            </w:r>
          </w:p>
        </w:tc>
        <w:tc>
          <w:tcPr>
            <w:tcW w:w="1602" w:type="dxa"/>
            <w:vAlign w:val="center"/>
          </w:tcPr>
          <w:p>
            <w:pPr>
              <w:jc w:val="right"/>
              <w:rPr>
                <w:rFonts w:ascii="宋体" w:hAnsi="宋体"/>
              </w:rPr>
            </w:pPr>
            <w:r>
              <w:rPr>
                <w:rFonts w:ascii="宋体" w:hAnsi="宋体" w:cs="宋体" w:hint="eastAsia"/>
              </w:rPr>
              <w:t>245,625,402</w:t>
            </w:r>
          </w:p>
        </w:tc>
      </w:tr>
      <w:tr>
        <w:trPr>
          <w:trHeight w:val="289"/>
        </w:trPr>
        <w:tc>
          <w:tcPr>
            <w:tcW w:w="1696" w:type="dxa"/>
            <w:vAlign w:val="center"/>
          </w:tcPr>
          <w:p>
            <w:pPr>
              <w:ind w:firstLineChars="200" w:firstLine="420"/>
              <w:rPr>
                <w:rFonts w:ascii="宋体" w:hAnsi="宋体"/>
              </w:rPr>
            </w:pPr>
            <w:r>
              <w:rPr>
                <w:rFonts w:ascii="宋体" w:hAnsi="宋体"/>
              </w:rPr>
              <w:t>2.</w:t>
            </w:r>
            <w:r>
              <w:rPr>
                <w:rFonts w:ascii="宋体" w:hAnsi="宋体" w:hint="eastAsia"/>
              </w:rPr>
              <w:t>本期增加金额</w:t>
            </w:r>
          </w:p>
        </w:tc>
        <w:tc>
          <w:tcPr>
            <w:tcW w:w="1276" w:type="dxa"/>
            <w:vAlign w:val="center"/>
          </w:tcPr>
          <w:p>
            <w:pPr>
              <w:jc w:val="right"/>
              <w:rPr>
                <w:rFonts w:ascii="宋体" w:hAnsi="宋体"/>
              </w:rPr>
            </w:pPr>
            <w:r>
              <w:rPr>
                <w:rFonts w:ascii="宋体" w:hAnsi="宋体" w:cs="宋体" w:hint="eastAsia"/>
              </w:rPr>
              <w:t>294,036</w:t>
            </w:r>
          </w:p>
        </w:tc>
        <w:tc>
          <w:tcPr>
            <w:tcW w:w="1701" w:type="dxa"/>
            <w:vAlign w:val="center"/>
          </w:tcPr>
          <w:p>
            <w:pPr>
              <w:jc w:val="right"/>
              <w:rPr>
                <w:rFonts w:ascii="宋体" w:hAnsi="宋体"/>
              </w:rPr>
            </w:pPr>
            <w:r>
              <w:rPr>
                <w:rFonts w:ascii="宋体" w:hAnsi="宋体" w:cs="宋体" w:hint="eastAsia"/>
              </w:rPr>
              <w:t>4,385,464</w:t>
            </w:r>
          </w:p>
        </w:tc>
        <w:tc>
          <w:tcPr>
            <w:tcW w:w="1559" w:type="dxa"/>
            <w:vAlign w:val="center"/>
          </w:tcPr>
          <w:p>
            <w:pPr>
              <w:jc w:val="right"/>
              <w:rPr>
                <w:rFonts w:ascii="宋体" w:hAnsi="宋体"/>
              </w:rPr>
            </w:pPr>
            <w:r>
              <w:rPr>
                <w:rFonts w:ascii="宋体" w:hAnsi="宋体" w:cs="宋体"/>
              </w:rPr>
              <w:t>9,211,388</w:t>
            </w:r>
          </w:p>
        </w:tc>
        <w:tc>
          <w:tcPr>
            <w:tcW w:w="1701" w:type="dxa"/>
            <w:vAlign w:val="center"/>
          </w:tcPr>
          <w:p>
            <w:pPr>
              <w:jc w:val="right"/>
              <w:rPr>
                <w:rFonts w:ascii="宋体" w:hAnsi="宋体"/>
              </w:rPr>
            </w:pPr>
            <w:r>
              <w:rPr>
                <w:rFonts w:ascii="宋体" w:hAnsi="宋体" w:cs="宋体" w:hint="eastAsia"/>
              </w:rPr>
              <w:t>17,287,789</w:t>
            </w:r>
          </w:p>
        </w:tc>
        <w:tc>
          <w:tcPr>
            <w:tcW w:w="1421" w:type="dxa"/>
            <w:vAlign w:val="center"/>
          </w:tcPr>
          <w:p>
            <w:pPr>
              <w:jc w:val="right"/>
              <w:rPr>
                <w:rFonts w:ascii="宋体" w:hAnsi="宋体"/>
              </w:rPr>
            </w:pPr>
            <w:r>
              <w:rPr>
                <w:rFonts w:ascii="宋体" w:hAnsi="宋体"/>
              </w:rPr>
              <w:t>19,995,963</w:t>
            </w:r>
          </w:p>
        </w:tc>
        <w:tc>
          <w:tcPr>
            <w:tcW w:w="1556" w:type="dxa"/>
            <w:vAlign w:val="center"/>
          </w:tcPr>
          <w:p>
            <w:pPr>
              <w:jc w:val="right"/>
              <w:rPr>
                <w:rFonts w:ascii="宋体" w:hAnsi="宋体"/>
              </w:rPr>
            </w:pPr>
            <w:r>
              <w:rPr>
                <w:rFonts w:ascii="宋体" w:hAnsi="宋体"/>
              </w:rPr>
              <w:t>1,838,601</w:t>
            </w:r>
          </w:p>
        </w:tc>
        <w:tc>
          <w:tcPr>
            <w:tcW w:w="1418" w:type="dxa"/>
            <w:vAlign w:val="center"/>
          </w:tcPr>
          <w:p>
            <w:pPr>
              <w:jc w:val="right"/>
              <w:rPr>
                <w:rFonts w:ascii="宋体" w:hAnsi="宋体"/>
              </w:rPr>
            </w:pPr>
            <w:r>
              <w:rPr>
                <w:rFonts w:ascii="宋体" w:hAnsi="宋体"/>
              </w:rPr>
              <w:t>4,436,136</w:t>
            </w:r>
          </w:p>
        </w:tc>
        <w:tc>
          <w:tcPr>
            <w:tcW w:w="1602" w:type="dxa"/>
            <w:vAlign w:val="center"/>
          </w:tcPr>
          <w:p>
            <w:pPr>
              <w:jc w:val="right"/>
              <w:rPr>
                <w:rFonts w:ascii="宋体" w:hAnsi="宋体"/>
              </w:rPr>
            </w:pPr>
            <w:r>
              <w:rPr>
                <w:rFonts w:ascii="宋体" w:hAnsi="宋体"/>
              </w:rPr>
              <w:t>57,449,377</w:t>
            </w:r>
          </w:p>
        </w:tc>
      </w:tr>
      <w:tr>
        <w:trPr>
          <w:trHeight w:val="278"/>
        </w:trPr>
        <w:tc>
          <w:tcPr>
            <w:tcW w:w="1696" w:type="dxa"/>
            <w:vAlign w:val="center"/>
          </w:tcPr>
          <w:p>
            <w:pPr>
              <w:ind w:firstLineChars="200" w:firstLine="420"/>
              <w:rPr>
                <w:rFonts w:ascii="宋体" w:hAnsi="宋体"/>
              </w:rPr>
            </w:pPr>
            <w:r>
              <w:rPr>
                <w:rFonts w:ascii="宋体" w:hAnsi="宋体" w:cs="宋体" w:hint="eastAsia"/>
              </w:rPr>
              <w:t>（1）购置</w:t>
            </w:r>
          </w:p>
        </w:tc>
        <w:tc>
          <w:tcPr>
            <w:tcW w:w="1276" w:type="dxa"/>
            <w:vAlign w:val="center"/>
          </w:tcPr>
          <w:p>
            <w:pPr>
              <w:jc w:val="right"/>
              <w:rPr>
                <w:rFonts w:ascii="宋体" w:hAnsi="宋体"/>
              </w:rPr>
            </w:pPr>
            <w:r>
              <w:rPr>
                <w:rFonts w:ascii="宋体" w:hAnsi="宋体" w:cs="宋体" w:hint="eastAsia"/>
              </w:rPr>
              <w:t>45</w:t>
            </w:r>
          </w:p>
        </w:tc>
        <w:tc>
          <w:tcPr>
            <w:tcW w:w="1701" w:type="dxa"/>
            <w:vAlign w:val="center"/>
          </w:tcPr>
          <w:p>
            <w:pPr>
              <w:jc w:val="right"/>
              <w:rPr>
                <w:rFonts w:ascii="宋体" w:hAnsi="宋体"/>
              </w:rPr>
            </w:pPr>
            <w:r>
              <w:rPr>
                <w:rFonts w:ascii="宋体" w:hAnsi="宋体" w:cs="宋体"/>
              </w:rPr>
              <w:t>378,957</w:t>
            </w:r>
          </w:p>
        </w:tc>
        <w:tc>
          <w:tcPr>
            <w:tcW w:w="1559" w:type="dxa"/>
            <w:vAlign w:val="center"/>
          </w:tcPr>
          <w:p>
            <w:pPr>
              <w:jc w:val="right"/>
              <w:rPr>
                <w:rFonts w:ascii="宋体" w:hAnsi="宋体"/>
              </w:rPr>
            </w:pPr>
            <w:r>
              <w:rPr>
                <w:rFonts w:ascii="宋体" w:hAnsi="宋体" w:cs="宋体" w:hint="eastAsia"/>
              </w:rPr>
              <w:t>705,666</w:t>
            </w:r>
          </w:p>
        </w:tc>
        <w:tc>
          <w:tcPr>
            <w:tcW w:w="1701" w:type="dxa"/>
            <w:vAlign w:val="center"/>
          </w:tcPr>
          <w:p>
            <w:pPr>
              <w:jc w:val="right"/>
              <w:rPr>
                <w:rFonts w:ascii="宋体" w:hAnsi="宋体"/>
              </w:rPr>
            </w:pPr>
            <w:r>
              <w:rPr>
                <w:rFonts w:ascii="宋体" w:hAnsi="宋体"/>
              </w:rPr>
              <w:t>25,013</w:t>
            </w:r>
          </w:p>
        </w:tc>
        <w:tc>
          <w:tcPr>
            <w:tcW w:w="1421" w:type="dxa"/>
            <w:vAlign w:val="center"/>
          </w:tcPr>
          <w:p>
            <w:pPr>
              <w:jc w:val="right"/>
              <w:rPr>
                <w:rFonts w:ascii="宋体" w:hAnsi="宋体"/>
              </w:rPr>
            </w:pPr>
            <w:r>
              <w:rPr>
                <w:rFonts w:ascii="宋体" w:hAnsi="宋体"/>
              </w:rPr>
              <w:t>2,828,817</w:t>
            </w:r>
          </w:p>
        </w:tc>
        <w:tc>
          <w:tcPr>
            <w:tcW w:w="1556" w:type="dxa"/>
            <w:vAlign w:val="center"/>
          </w:tcPr>
          <w:p>
            <w:pPr>
              <w:jc w:val="right"/>
              <w:rPr>
                <w:rFonts w:ascii="宋体" w:hAnsi="宋体"/>
              </w:rPr>
            </w:pPr>
            <w:r>
              <w:rPr>
                <w:rFonts w:ascii="宋体" w:hAnsi="宋体"/>
              </w:rPr>
              <w:t>72,326</w:t>
            </w:r>
          </w:p>
        </w:tc>
        <w:tc>
          <w:tcPr>
            <w:tcW w:w="1418" w:type="dxa"/>
            <w:vAlign w:val="center"/>
          </w:tcPr>
          <w:p>
            <w:pPr>
              <w:jc w:val="right"/>
              <w:rPr>
                <w:rFonts w:ascii="宋体" w:hAnsi="宋体"/>
              </w:rPr>
            </w:pPr>
            <w:r>
              <w:rPr>
                <w:rFonts w:ascii="宋体" w:hAnsi="宋体"/>
              </w:rPr>
              <w:t>370,381</w:t>
            </w:r>
          </w:p>
        </w:tc>
        <w:tc>
          <w:tcPr>
            <w:tcW w:w="1602" w:type="dxa"/>
            <w:vAlign w:val="center"/>
          </w:tcPr>
          <w:p>
            <w:pPr>
              <w:jc w:val="right"/>
              <w:rPr>
                <w:rFonts w:ascii="宋体" w:hAnsi="宋体"/>
              </w:rPr>
            </w:pPr>
            <w:r>
              <w:rPr>
                <w:rFonts w:ascii="宋体" w:hAnsi="宋体"/>
              </w:rPr>
              <w:t>4,381,205</w:t>
            </w:r>
          </w:p>
        </w:tc>
      </w:tr>
      <w:tr>
        <w:trPr>
          <w:trHeight w:val="567"/>
        </w:trPr>
        <w:tc>
          <w:tcPr>
            <w:tcW w:w="1696" w:type="dxa"/>
            <w:vAlign w:val="center"/>
          </w:tcPr>
          <w:p>
            <w:pPr>
              <w:ind w:firstLineChars="200" w:firstLine="420"/>
              <w:rPr>
                <w:rFonts w:ascii="宋体" w:hAnsi="宋体"/>
              </w:rPr>
            </w:pPr>
            <w:r>
              <w:rPr>
                <w:rFonts w:ascii="宋体" w:hAnsi="宋体" w:cs="宋体" w:hint="eastAsia"/>
              </w:rPr>
              <w:t>（2）在建工程转入</w:t>
            </w:r>
          </w:p>
        </w:tc>
        <w:tc>
          <w:tcPr>
            <w:tcW w:w="1276" w:type="dxa"/>
            <w:vAlign w:val="center"/>
          </w:tcPr>
          <w:p>
            <w:pPr>
              <w:jc w:val="right"/>
              <w:rPr>
                <w:rFonts w:ascii="宋体" w:hAnsi="宋体"/>
              </w:rPr>
            </w:pPr>
            <w:r>
              <w:rPr>
                <w:rFonts w:ascii="宋体" w:hAnsi="宋体" w:cs="宋体" w:hint="eastAsia"/>
              </w:rPr>
              <w:t>286,074</w:t>
            </w:r>
          </w:p>
        </w:tc>
        <w:tc>
          <w:tcPr>
            <w:tcW w:w="1701" w:type="dxa"/>
            <w:vAlign w:val="center"/>
          </w:tcPr>
          <w:p>
            <w:pPr>
              <w:jc w:val="right"/>
              <w:rPr>
                <w:rFonts w:ascii="宋体" w:hAnsi="宋体"/>
              </w:rPr>
            </w:pPr>
            <w:r>
              <w:rPr>
                <w:rFonts w:ascii="宋体" w:hAnsi="宋体" w:cs="宋体" w:hint="eastAsia"/>
              </w:rPr>
              <w:t>840,770</w:t>
            </w:r>
          </w:p>
        </w:tc>
        <w:tc>
          <w:tcPr>
            <w:tcW w:w="1559" w:type="dxa"/>
            <w:vAlign w:val="center"/>
          </w:tcPr>
          <w:p>
            <w:pPr>
              <w:jc w:val="right"/>
              <w:rPr>
                <w:rFonts w:ascii="宋体" w:hAnsi="宋体"/>
              </w:rPr>
            </w:pPr>
            <w:r>
              <w:rPr>
                <w:rFonts w:ascii="宋体" w:hAnsi="宋体" w:cs="宋体" w:hint="eastAsia"/>
              </w:rPr>
              <w:t>6,712,075</w:t>
            </w:r>
          </w:p>
        </w:tc>
        <w:tc>
          <w:tcPr>
            <w:tcW w:w="1701" w:type="dxa"/>
            <w:vAlign w:val="center"/>
          </w:tcPr>
          <w:p>
            <w:pPr>
              <w:jc w:val="right"/>
              <w:rPr>
                <w:rFonts w:ascii="宋体" w:hAnsi="宋体"/>
              </w:rPr>
            </w:pPr>
            <w:r>
              <w:rPr>
                <w:rFonts w:ascii="宋体" w:hAnsi="宋体" w:cs="宋体" w:hint="eastAsia"/>
              </w:rPr>
              <w:t>4,151,081</w:t>
            </w:r>
          </w:p>
        </w:tc>
        <w:tc>
          <w:tcPr>
            <w:tcW w:w="1421" w:type="dxa"/>
            <w:vAlign w:val="center"/>
          </w:tcPr>
          <w:p>
            <w:pPr>
              <w:jc w:val="right"/>
              <w:rPr>
                <w:rFonts w:ascii="宋体" w:hAnsi="宋体"/>
              </w:rPr>
            </w:pPr>
            <w:r>
              <w:rPr>
                <w:rFonts w:ascii="宋体" w:hAnsi="宋体" w:cs="宋体"/>
              </w:rPr>
              <w:t>6,800,374</w:t>
            </w:r>
          </w:p>
        </w:tc>
        <w:tc>
          <w:tcPr>
            <w:tcW w:w="1556" w:type="dxa"/>
            <w:vAlign w:val="center"/>
          </w:tcPr>
          <w:p>
            <w:pPr>
              <w:jc w:val="right"/>
              <w:rPr>
                <w:rFonts w:ascii="宋体" w:hAnsi="宋体"/>
              </w:rPr>
            </w:pPr>
            <w:r>
              <w:rPr>
                <w:rFonts w:ascii="宋体" w:hAnsi="宋体" w:cs="宋体" w:hint="eastAsia"/>
              </w:rPr>
              <w:t>62,581</w:t>
            </w:r>
          </w:p>
        </w:tc>
        <w:tc>
          <w:tcPr>
            <w:tcW w:w="1418" w:type="dxa"/>
            <w:vAlign w:val="center"/>
          </w:tcPr>
          <w:p>
            <w:pPr>
              <w:jc w:val="right"/>
              <w:rPr>
                <w:rFonts w:ascii="宋体" w:hAnsi="宋体"/>
              </w:rPr>
            </w:pPr>
            <w:r>
              <w:rPr>
                <w:rFonts w:ascii="宋体" w:hAnsi="宋体" w:cs="宋体" w:hint="eastAsia"/>
              </w:rPr>
              <w:t>869,043</w:t>
            </w:r>
          </w:p>
        </w:tc>
        <w:tc>
          <w:tcPr>
            <w:tcW w:w="1602" w:type="dxa"/>
            <w:vAlign w:val="center"/>
          </w:tcPr>
          <w:p>
            <w:pPr>
              <w:jc w:val="right"/>
              <w:rPr>
                <w:rFonts w:ascii="宋体" w:hAnsi="宋体"/>
              </w:rPr>
            </w:pPr>
            <w:r>
              <w:rPr>
                <w:rFonts w:ascii="宋体" w:hAnsi="宋体" w:cs="宋体"/>
              </w:rPr>
              <w:t>19,721,998</w:t>
            </w:r>
          </w:p>
        </w:tc>
      </w:tr>
      <w:tr>
        <w:trPr>
          <w:trHeight w:val="556"/>
        </w:trPr>
        <w:tc>
          <w:tcPr>
            <w:tcW w:w="1696" w:type="dxa"/>
            <w:vAlign w:val="center"/>
          </w:tcPr>
          <w:p>
            <w:pPr>
              <w:ind w:firstLineChars="200" w:firstLine="420"/>
              <w:rPr>
                <w:rFonts w:ascii="宋体" w:hAnsi="宋体"/>
              </w:rPr>
            </w:pPr>
            <w:r>
              <w:rPr>
                <w:rFonts w:ascii="宋体" w:hAnsi="宋体" w:cs="宋体" w:hint="eastAsia"/>
              </w:rPr>
              <w:t>（3）重分类转入</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rPr>
              <w:t>3,160,715</w:t>
            </w:r>
          </w:p>
        </w:tc>
        <w:tc>
          <w:tcPr>
            <w:tcW w:w="1559" w:type="dxa"/>
            <w:vAlign w:val="center"/>
          </w:tcPr>
          <w:p>
            <w:pPr>
              <w:jc w:val="right"/>
              <w:rPr>
                <w:rFonts w:ascii="宋体" w:hAnsi="宋体"/>
              </w:rPr>
            </w:pPr>
            <w:r>
              <w:rPr>
                <w:rFonts w:ascii="宋体" w:hAnsi="宋体" w:cs="宋体" w:hint="eastAsia"/>
              </w:rPr>
              <w:t>1,684,564</w:t>
            </w:r>
          </w:p>
        </w:tc>
        <w:tc>
          <w:tcPr>
            <w:tcW w:w="1701" w:type="dxa"/>
            <w:vAlign w:val="center"/>
          </w:tcPr>
          <w:p>
            <w:pPr>
              <w:jc w:val="right"/>
              <w:rPr>
                <w:rFonts w:ascii="宋体" w:hAnsi="宋体"/>
              </w:rPr>
            </w:pPr>
            <w:r>
              <w:rPr>
                <w:rFonts w:ascii="宋体" w:hAnsi="宋体" w:cs="宋体" w:hint="eastAsia"/>
              </w:rPr>
              <w:t>13,111,695</w:t>
            </w:r>
          </w:p>
        </w:tc>
        <w:tc>
          <w:tcPr>
            <w:tcW w:w="1421" w:type="dxa"/>
            <w:vAlign w:val="center"/>
          </w:tcPr>
          <w:p>
            <w:pPr>
              <w:jc w:val="right"/>
              <w:rPr>
                <w:rFonts w:ascii="宋体" w:hAnsi="宋体"/>
              </w:rPr>
            </w:pPr>
            <w:r>
              <w:rPr>
                <w:rFonts w:ascii="宋体" w:hAnsi="宋体" w:cs="宋体"/>
              </w:rPr>
              <w:t>10,263,956</w:t>
            </w:r>
          </w:p>
        </w:tc>
        <w:tc>
          <w:tcPr>
            <w:tcW w:w="1556" w:type="dxa"/>
            <w:vAlign w:val="center"/>
          </w:tcPr>
          <w:p>
            <w:pPr>
              <w:jc w:val="right"/>
              <w:rPr>
                <w:rFonts w:ascii="宋体" w:hAnsi="宋体"/>
              </w:rPr>
            </w:pPr>
            <w:r>
              <w:rPr>
                <w:rFonts w:ascii="宋体" w:hAnsi="宋体" w:cs="宋体" w:hint="eastAsia"/>
              </w:rPr>
              <w:t>1,703,421</w:t>
            </w:r>
          </w:p>
        </w:tc>
        <w:tc>
          <w:tcPr>
            <w:tcW w:w="1418" w:type="dxa"/>
            <w:vAlign w:val="center"/>
          </w:tcPr>
          <w:p>
            <w:pPr>
              <w:jc w:val="right"/>
              <w:rPr>
                <w:rFonts w:ascii="宋体" w:hAnsi="宋体"/>
              </w:rPr>
            </w:pPr>
            <w:r>
              <w:rPr>
                <w:rFonts w:ascii="宋体" w:hAnsi="宋体" w:cs="宋体" w:hint="eastAsia"/>
              </w:rPr>
              <w:t>3,091,262</w:t>
            </w:r>
          </w:p>
        </w:tc>
        <w:tc>
          <w:tcPr>
            <w:tcW w:w="1602" w:type="dxa"/>
            <w:vAlign w:val="center"/>
          </w:tcPr>
          <w:p>
            <w:pPr>
              <w:jc w:val="right"/>
              <w:rPr>
                <w:rFonts w:ascii="宋体" w:hAnsi="宋体"/>
              </w:rPr>
            </w:pPr>
            <w:r>
              <w:rPr>
                <w:rFonts w:ascii="宋体" w:hAnsi="宋体" w:cs="宋体"/>
              </w:rPr>
              <w:t>33,015,613</w:t>
            </w:r>
          </w:p>
        </w:tc>
      </w:tr>
      <w:tr>
        <w:trPr>
          <w:trHeight w:val="255"/>
        </w:trPr>
        <w:tc>
          <w:tcPr>
            <w:tcW w:w="1696" w:type="dxa"/>
            <w:vAlign w:val="center"/>
          </w:tcPr>
          <w:p>
            <w:pPr>
              <w:ind w:firstLineChars="200" w:firstLine="420"/>
              <w:rPr>
                <w:rFonts w:ascii="宋体" w:hAnsi="宋体"/>
              </w:rPr>
            </w:pPr>
            <w:r>
              <w:rPr>
                <w:rFonts w:ascii="宋体" w:hAnsi="宋体" w:cs="宋体" w:hint="eastAsia"/>
              </w:rPr>
              <w:t>（4）企业合并增加</w:t>
            </w:r>
          </w:p>
        </w:tc>
        <w:tc>
          <w:tcPr>
            <w:tcW w:w="1276" w:type="dxa"/>
            <w:vAlign w:val="center"/>
          </w:tcPr>
          <w:p>
            <w:pPr>
              <w:jc w:val="right"/>
              <w:rPr>
                <w:rFonts w:ascii="宋体" w:hAnsi="宋体"/>
              </w:rPr>
            </w:pPr>
            <w:r>
              <w:rPr>
                <w:rFonts w:ascii="宋体" w:hAnsi="宋体" w:cs="宋体" w:hint="eastAsia"/>
              </w:rPr>
              <w:t>7,917</w:t>
            </w:r>
          </w:p>
        </w:tc>
        <w:tc>
          <w:tcPr>
            <w:tcW w:w="1701" w:type="dxa"/>
            <w:vAlign w:val="center"/>
          </w:tcPr>
          <w:p>
            <w:pPr>
              <w:jc w:val="right"/>
              <w:rPr>
                <w:rFonts w:ascii="宋体" w:hAnsi="宋体"/>
              </w:rPr>
            </w:pPr>
            <w:r>
              <w:rPr>
                <w:rFonts w:ascii="宋体" w:hAnsi="宋体" w:cs="宋体" w:hint="eastAsia"/>
              </w:rPr>
              <w:t>5,022</w:t>
            </w:r>
          </w:p>
        </w:tc>
        <w:tc>
          <w:tcPr>
            <w:tcW w:w="1559" w:type="dxa"/>
            <w:vAlign w:val="center"/>
          </w:tcPr>
          <w:p>
            <w:pPr>
              <w:jc w:val="right"/>
              <w:rPr>
                <w:rFonts w:ascii="宋体" w:hAnsi="宋体"/>
              </w:rPr>
            </w:pPr>
            <w:r>
              <w:rPr>
                <w:rFonts w:ascii="宋体" w:hAnsi="宋体" w:cs="宋体" w:hint="eastAsia"/>
              </w:rPr>
              <w:t>102,711</w:t>
            </w:r>
          </w:p>
        </w:tc>
        <w:tc>
          <w:tcPr>
            <w:tcW w:w="1701" w:type="dxa"/>
            <w:vAlign w:val="center"/>
          </w:tcPr>
          <w:p>
            <w:pPr>
              <w:jc w:val="right"/>
              <w:rPr>
                <w:rFonts w:ascii="宋体" w:hAnsi="宋体"/>
              </w:rPr>
            </w:pPr>
          </w:p>
        </w:tc>
        <w:tc>
          <w:tcPr>
            <w:tcW w:w="1421" w:type="dxa"/>
            <w:vAlign w:val="center"/>
          </w:tcPr>
          <w:p>
            <w:pPr>
              <w:jc w:val="right"/>
              <w:rPr>
                <w:rFonts w:ascii="宋体" w:hAnsi="宋体"/>
              </w:rPr>
            </w:pPr>
            <w:r>
              <w:rPr>
                <w:rFonts w:ascii="宋体" w:hAnsi="宋体" w:cs="宋体" w:hint="eastAsia"/>
              </w:rPr>
              <w:t>102,747</w:t>
            </w:r>
          </w:p>
        </w:tc>
        <w:tc>
          <w:tcPr>
            <w:tcW w:w="1556" w:type="dxa"/>
            <w:vAlign w:val="center"/>
          </w:tcPr>
          <w:p>
            <w:pPr>
              <w:jc w:val="right"/>
              <w:rPr>
                <w:rFonts w:ascii="宋体" w:hAnsi="宋体"/>
              </w:rPr>
            </w:pPr>
            <w:r>
              <w:rPr>
                <w:rFonts w:ascii="宋体" w:hAnsi="宋体" w:cs="宋体" w:hint="eastAsia"/>
              </w:rPr>
              <w:t>273</w:t>
            </w:r>
          </w:p>
        </w:tc>
        <w:tc>
          <w:tcPr>
            <w:tcW w:w="1418" w:type="dxa"/>
            <w:vAlign w:val="center"/>
          </w:tcPr>
          <w:p>
            <w:pPr>
              <w:jc w:val="right"/>
              <w:rPr>
                <w:rFonts w:ascii="宋体" w:hAnsi="宋体"/>
              </w:rPr>
            </w:pPr>
            <w:r>
              <w:rPr>
                <w:rFonts w:ascii="宋体" w:hAnsi="宋体" w:cs="宋体" w:hint="eastAsia"/>
              </w:rPr>
              <w:t>28,931</w:t>
            </w:r>
          </w:p>
        </w:tc>
        <w:tc>
          <w:tcPr>
            <w:tcW w:w="1602" w:type="dxa"/>
            <w:vAlign w:val="center"/>
          </w:tcPr>
          <w:p>
            <w:pPr>
              <w:jc w:val="right"/>
              <w:rPr>
                <w:rFonts w:ascii="宋体" w:hAnsi="宋体"/>
              </w:rPr>
            </w:pPr>
            <w:r>
              <w:rPr>
                <w:rFonts w:ascii="宋体" w:hAnsi="宋体" w:cs="宋体" w:hint="eastAsia"/>
              </w:rPr>
              <w:t>24,7601</w:t>
            </w:r>
          </w:p>
        </w:tc>
      </w:tr>
      <w:tr>
        <w:trPr>
          <w:trHeight w:val="242"/>
        </w:trPr>
        <w:tc>
          <w:tcPr>
            <w:tcW w:w="1696" w:type="dxa"/>
            <w:vAlign w:val="center"/>
          </w:tcPr>
          <w:p>
            <w:pPr>
              <w:ind w:firstLineChars="200" w:firstLine="420"/>
              <w:rPr>
                <w:rFonts w:ascii="宋体" w:hAnsi="宋体"/>
              </w:rPr>
            </w:pPr>
            <w:r>
              <w:rPr>
                <w:rFonts w:ascii="宋体" w:hAnsi="宋体" w:cs="宋体" w:hint="eastAsia"/>
              </w:rPr>
              <w:t>（5）其他增加</w:t>
            </w:r>
          </w:p>
        </w:tc>
        <w:tc>
          <w:tcPr>
            <w:tcW w:w="1276"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cs="宋体"/>
              </w:rPr>
              <w:t>6,372</w:t>
            </w:r>
          </w:p>
        </w:tc>
        <w:tc>
          <w:tcPr>
            <w:tcW w:w="1701" w:type="dxa"/>
            <w:vAlign w:val="center"/>
          </w:tcPr>
          <w:p>
            <w:pPr>
              <w:jc w:val="right"/>
              <w:rPr>
                <w:rFonts w:ascii="宋体" w:hAnsi="宋体"/>
              </w:rPr>
            </w:pPr>
          </w:p>
        </w:tc>
        <w:tc>
          <w:tcPr>
            <w:tcW w:w="1421" w:type="dxa"/>
            <w:vAlign w:val="center"/>
          </w:tcPr>
          <w:p>
            <w:pPr>
              <w:jc w:val="right"/>
              <w:rPr>
                <w:rFonts w:ascii="宋体" w:hAnsi="宋体"/>
              </w:rPr>
            </w:pPr>
            <w:r>
              <w:rPr>
                <w:rFonts w:ascii="宋体" w:hAnsi="宋体" w:cs="宋体" w:hint="eastAsia"/>
              </w:rPr>
              <w:t>69</w:t>
            </w:r>
          </w:p>
        </w:tc>
        <w:tc>
          <w:tcPr>
            <w:tcW w:w="1556"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cs="宋体"/>
              </w:rPr>
              <w:t>76,519</w:t>
            </w:r>
          </w:p>
        </w:tc>
        <w:tc>
          <w:tcPr>
            <w:tcW w:w="1602" w:type="dxa"/>
            <w:vAlign w:val="center"/>
          </w:tcPr>
          <w:p>
            <w:pPr>
              <w:jc w:val="right"/>
              <w:rPr>
                <w:rFonts w:ascii="宋体" w:hAnsi="宋体"/>
              </w:rPr>
            </w:pPr>
            <w:r>
              <w:rPr>
                <w:rFonts w:ascii="宋体" w:hAnsi="宋体" w:cs="宋体"/>
              </w:rPr>
              <w:t>82,960</w:t>
            </w:r>
          </w:p>
        </w:tc>
      </w:tr>
      <w:tr>
        <w:trPr>
          <w:trHeight w:val="289"/>
        </w:trPr>
        <w:tc>
          <w:tcPr>
            <w:tcW w:w="1696" w:type="dxa"/>
            <w:vAlign w:val="center"/>
          </w:tcPr>
          <w:p>
            <w:pPr>
              <w:ind w:firstLineChars="202" w:firstLine="424"/>
              <w:rPr>
                <w:rFonts w:ascii="宋体" w:hAnsi="宋体"/>
              </w:rPr>
            </w:pPr>
            <w:r>
              <w:rPr>
                <w:rFonts w:ascii="宋体" w:hAnsi="宋体" w:hint="eastAsia"/>
              </w:rPr>
              <w:t>3.本期减少金额</w:t>
            </w:r>
          </w:p>
        </w:tc>
        <w:tc>
          <w:tcPr>
            <w:tcW w:w="1276" w:type="dxa"/>
            <w:vAlign w:val="center"/>
          </w:tcPr>
          <w:p>
            <w:pPr>
              <w:jc w:val="right"/>
              <w:rPr>
                <w:rFonts w:ascii="宋体" w:hAnsi="宋体"/>
              </w:rPr>
            </w:pPr>
            <w:r>
              <w:rPr>
                <w:rFonts w:ascii="宋体" w:hAnsi="宋体" w:cs="宋体" w:hint="eastAsia"/>
              </w:rPr>
              <w:t>461,624</w:t>
            </w:r>
          </w:p>
        </w:tc>
        <w:tc>
          <w:tcPr>
            <w:tcW w:w="1701" w:type="dxa"/>
            <w:vAlign w:val="center"/>
          </w:tcPr>
          <w:p>
            <w:pPr>
              <w:jc w:val="right"/>
              <w:rPr>
                <w:rFonts w:ascii="宋体" w:hAnsi="宋体"/>
              </w:rPr>
            </w:pPr>
            <w:r>
              <w:rPr>
                <w:rFonts w:ascii="宋体" w:hAnsi="宋体"/>
              </w:rPr>
              <w:t>10,542,459</w:t>
            </w:r>
          </w:p>
        </w:tc>
        <w:tc>
          <w:tcPr>
            <w:tcW w:w="1559" w:type="dxa"/>
            <w:vAlign w:val="center"/>
          </w:tcPr>
          <w:p>
            <w:pPr>
              <w:jc w:val="right"/>
              <w:rPr>
                <w:rFonts w:ascii="宋体" w:hAnsi="宋体"/>
              </w:rPr>
            </w:pPr>
            <w:r>
              <w:rPr>
                <w:rFonts w:ascii="宋体" w:hAnsi="宋体" w:cs="宋体" w:hint="eastAsia"/>
              </w:rPr>
              <w:t>3,249,791</w:t>
            </w:r>
          </w:p>
        </w:tc>
        <w:tc>
          <w:tcPr>
            <w:tcW w:w="1701" w:type="dxa"/>
            <w:vAlign w:val="center"/>
          </w:tcPr>
          <w:p>
            <w:pPr>
              <w:jc w:val="right"/>
              <w:rPr>
                <w:rFonts w:ascii="宋体" w:hAnsi="宋体"/>
              </w:rPr>
            </w:pPr>
            <w:r>
              <w:rPr>
                <w:rFonts w:ascii="宋体" w:hAnsi="宋体" w:cs="宋体" w:hint="eastAsia"/>
              </w:rPr>
              <w:t>4,750,266</w:t>
            </w:r>
          </w:p>
        </w:tc>
        <w:tc>
          <w:tcPr>
            <w:tcW w:w="1421" w:type="dxa"/>
            <w:vAlign w:val="center"/>
          </w:tcPr>
          <w:p>
            <w:pPr>
              <w:jc w:val="right"/>
              <w:rPr>
                <w:rFonts w:ascii="宋体" w:hAnsi="宋体"/>
              </w:rPr>
            </w:pPr>
            <w:r>
              <w:rPr>
                <w:rFonts w:ascii="宋体" w:hAnsi="宋体"/>
              </w:rPr>
              <w:t>13,797,967</w:t>
            </w:r>
          </w:p>
        </w:tc>
        <w:tc>
          <w:tcPr>
            <w:tcW w:w="1556" w:type="dxa"/>
            <w:vAlign w:val="center"/>
          </w:tcPr>
          <w:p>
            <w:pPr>
              <w:jc w:val="right"/>
              <w:rPr>
                <w:rFonts w:ascii="宋体" w:hAnsi="宋体"/>
              </w:rPr>
            </w:pPr>
            <w:r>
              <w:rPr>
                <w:rFonts w:ascii="宋体" w:hAnsi="宋体"/>
              </w:rPr>
              <w:t>1,862,863</w:t>
            </w:r>
          </w:p>
        </w:tc>
        <w:tc>
          <w:tcPr>
            <w:tcW w:w="1418" w:type="dxa"/>
            <w:vAlign w:val="center"/>
          </w:tcPr>
          <w:p>
            <w:pPr>
              <w:jc w:val="right"/>
              <w:rPr>
                <w:rFonts w:ascii="宋体" w:hAnsi="宋体"/>
              </w:rPr>
            </w:pPr>
            <w:r>
              <w:rPr>
                <w:rFonts w:ascii="宋体" w:hAnsi="宋体" w:cs="宋体" w:hint="eastAsia"/>
              </w:rPr>
              <w:t>4,755,582</w:t>
            </w:r>
          </w:p>
        </w:tc>
        <w:tc>
          <w:tcPr>
            <w:tcW w:w="1602" w:type="dxa"/>
            <w:vAlign w:val="center"/>
          </w:tcPr>
          <w:p>
            <w:pPr>
              <w:jc w:val="right"/>
              <w:rPr>
                <w:rFonts w:ascii="宋体" w:hAnsi="宋体" w:cs="宋体"/>
              </w:rPr>
            </w:pPr>
            <w:r>
              <w:rPr>
                <w:rFonts w:ascii="宋体" w:hAnsi="宋体" w:cs="宋体"/>
              </w:rPr>
              <w:t>39,420,552</w:t>
            </w:r>
          </w:p>
        </w:tc>
      </w:tr>
      <w:tr>
        <w:trPr>
          <w:trHeight w:val="278"/>
        </w:trPr>
        <w:tc>
          <w:tcPr>
            <w:tcW w:w="1696" w:type="dxa"/>
            <w:vAlign w:val="center"/>
          </w:tcPr>
          <w:p>
            <w:pPr>
              <w:ind w:firstLineChars="200" w:firstLine="420"/>
              <w:rPr>
                <w:rFonts w:ascii="宋体" w:hAnsi="宋体"/>
              </w:rPr>
            </w:pPr>
            <w:r>
              <w:rPr>
                <w:rFonts w:ascii="宋体" w:hAnsi="宋体" w:cs="宋体" w:hint="eastAsia"/>
              </w:rPr>
              <w:t>（1）处置或报废</w:t>
            </w:r>
          </w:p>
        </w:tc>
        <w:tc>
          <w:tcPr>
            <w:tcW w:w="1276" w:type="dxa"/>
            <w:vAlign w:val="center"/>
          </w:tcPr>
          <w:p>
            <w:pPr>
              <w:jc w:val="right"/>
              <w:rPr>
                <w:rFonts w:ascii="宋体" w:hAnsi="宋体"/>
              </w:rPr>
            </w:pPr>
            <w:r>
              <w:rPr>
                <w:rFonts w:ascii="宋体" w:hAnsi="宋体" w:cs="宋体" w:hint="eastAsia"/>
              </w:rPr>
              <w:t>154,547</w:t>
            </w:r>
          </w:p>
        </w:tc>
        <w:tc>
          <w:tcPr>
            <w:tcW w:w="1701" w:type="dxa"/>
            <w:vAlign w:val="center"/>
          </w:tcPr>
          <w:p>
            <w:pPr>
              <w:jc w:val="right"/>
              <w:rPr>
                <w:rFonts w:ascii="宋体" w:hAnsi="宋体"/>
              </w:rPr>
            </w:pPr>
            <w:r>
              <w:rPr>
                <w:rFonts w:ascii="宋体" w:hAnsi="宋体"/>
              </w:rPr>
              <w:t>438,916</w:t>
            </w:r>
          </w:p>
        </w:tc>
        <w:tc>
          <w:tcPr>
            <w:tcW w:w="1559" w:type="dxa"/>
            <w:vAlign w:val="center"/>
          </w:tcPr>
          <w:p>
            <w:pPr>
              <w:jc w:val="right"/>
              <w:rPr>
                <w:rFonts w:ascii="宋体" w:hAnsi="宋体"/>
              </w:rPr>
            </w:pPr>
            <w:r>
              <w:rPr>
                <w:rFonts w:ascii="宋体" w:hAnsi="宋体" w:cs="宋体" w:hint="eastAsia"/>
              </w:rPr>
              <w:t>688,998</w:t>
            </w:r>
          </w:p>
        </w:tc>
        <w:tc>
          <w:tcPr>
            <w:tcW w:w="1701" w:type="dxa"/>
            <w:vAlign w:val="center"/>
          </w:tcPr>
          <w:p>
            <w:pPr>
              <w:jc w:val="right"/>
              <w:rPr>
                <w:rFonts w:ascii="宋体" w:hAnsi="宋体"/>
              </w:rPr>
            </w:pPr>
            <w:r>
              <w:rPr>
                <w:rFonts w:ascii="宋体" w:hAnsi="宋体" w:cs="宋体" w:hint="eastAsia"/>
              </w:rPr>
              <w:t>40,451</w:t>
            </w:r>
          </w:p>
        </w:tc>
        <w:tc>
          <w:tcPr>
            <w:tcW w:w="1421" w:type="dxa"/>
            <w:vAlign w:val="center"/>
          </w:tcPr>
          <w:p>
            <w:pPr>
              <w:jc w:val="right"/>
              <w:rPr>
                <w:rFonts w:ascii="宋体" w:hAnsi="宋体"/>
              </w:rPr>
            </w:pPr>
            <w:r>
              <w:rPr>
                <w:rFonts w:ascii="宋体" w:hAnsi="宋体"/>
              </w:rPr>
              <w:t>2,155,887</w:t>
            </w:r>
          </w:p>
        </w:tc>
        <w:tc>
          <w:tcPr>
            <w:tcW w:w="1556" w:type="dxa"/>
            <w:vAlign w:val="center"/>
          </w:tcPr>
          <w:p>
            <w:pPr>
              <w:jc w:val="right"/>
              <w:rPr>
                <w:rFonts w:ascii="宋体" w:hAnsi="宋体"/>
              </w:rPr>
            </w:pPr>
            <w:r>
              <w:rPr>
                <w:rFonts w:ascii="宋体" w:hAnsi="宋体"/>
              </w:rPr>
              <w:t>85,039</w:t>
            </w:r>
          </w:p>
        </w:tc>
        <w:tc>
          <w:tcPr>
            <w:tcW w:w="1418" w:type="dxa"/>
            <w:vAlign w:val="center"/>
          </w:tcPr>
          <w:p>
            <w:pPr>
              <w:jc w:val="right"/>
              <w:rPr>
                <w:rFonts w:ascii="宋体" w:hAnsi="宋体"/>
              </w:rPr>
            </w:pPr>
            <w:r>
              <w:rPr>
                <w:rFonts w:ascii="宋体" w:hAnsi="宋体" w:cs="宋体" w:hint="eastAsia"/>
              </w:rPr>
              <w:t>1,769,866</w:t>
            </w:r>
          </w:p>
        </w:tc>
        <w:tc>
          <w:tcPr>
            <w:tcW w:w="1602" w:type="dxa"/>
            <w:vAlign w:val="center"/>
          </w:tcPr>
          <w:p>
            <w:pPr>
              <w:jc w:val="right"/>
              <w:rPr>
                <w:rFonts w:ascii="宋体" w:hAnsi="宋体" w:cs="宋体"/>
              </w:rPr>
            </w:pPr>
            <w:r>
              <w:rPr>
                <w:rFonts w:ascii="宋体" w:hAnsi="宋体" w:cs="宋体"/>
              </w:rPr>
              <w:t>5,333,704</w:t>
            </w:r>
          </w:p>
        </w:tc>
      </w:tr>
      <w:tr>
        <w:trPr>
          <w:trHeight w:val="242"/>
        </w:trPr>
        <w:tc>
          <w:tcPr>
            <w:tcW w:w="1696" w:type="dxa"/>
            <w:vAlign w:val="center"/>
          </w:tcPr>
          <w:p>
            <w:pPr>
              <w:ind w:firstLineChars="200" w:firstLine="420"/>
              <w:rPr>
                <w:rFonts w:ascii="宋体" w:hAnsi="宋体"/>
              </w:rPr>
            </w:pPr>
            <w:r>
              <w:rPr>
                <w:rFonts w:ascii="宋体" w:hAnsi="宋体" w:cs="宋体" w:hint="eastAsia"/>
              </w:rPr>
              <w:t>（2）重分类转出</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10,068,076</w:t>
            </w:r>
          </w:p>
        </w:tc>
        <w:tc>
          <w:tcPr>
            <w:tcW w:w="1559" w:type="dxa"/>
            <w:vAlign w:val="center"/>
          </w:tcPr>
          <w:p>
            <w:pPr>
              <w:jc w:val="right"/>
              <w:rPr>
                <w:rFonts w:ascii="宋体" w:hAnsi="宋体"/>
              </w:rPr>
            </w:pPr>
            <w:r>
              <w:rPr>
                <w:rFonts w:ascii="宋体" w:hAnsi="宋体" w:cs="宋体" w:hint="eastAsia"/>
              </w:rPr>
              <w:t>2,560,793</w:t>
            </w:r>
          </w:p>
        </w:tc>
        <w:tc>
          <w:tcPr>
            <w:tcW w:w="1701" w:type="dxa"/>
            <w:vAlign w:val="center"/>
          </w:tcPr>
          <w:p>
            <w:pPr>
              <w:jc w:val="right"/>
              <w:rPr>
                <w:rFonts w:ascii="宋体" w:hAnsi="宋体"/>
              </w:rPr>
            </w:pPr>
            <w:r>
              <w:rPr>
                <w:rFonts w:ascii="宋体" w:hAnsi="宋体" w:cs="宋体" w:hint="eastAsia"/>
              </w:rPr>
              <w:t>4,242,661</w:t>
            </w:r>
          </w:p>
        </w:tc>
        <w:tc>
          <w:tcPr>
            <w:tcW w:w="1421" w:type="dxa"/>
            <w:vAlign w:val="center"/>
          </w:tcPr>
          <w:p>
            <w:pPr>
              <w:jc w:val="right"/>
              <w:rPr>
                <w:rFonts w:ascii="宋体" w:hAnsi="宋体"/>
              </w:rPr>
            </w:pPr>
            <w:r>
              <w:rPr>
                <w:rFonts w:ascii="宋体" w:hAnsi="宋体"/>
              </w:rPr>
              <w:t>11,392,322</w:t>
            </w:r>
          </w:p>
        </w:tc>
        <w:tc>
          <w:tcPr>
            <w:tcW w:w="1556" w:type="dxa"/>
            <w:vAlign w:val="center"/>
          </w:tcPr>
          <w:p>
            <w:pPr>
              <w:jc w:val="right"/>
              <w:rPr>
                <w:rFonts w:ascii="宋体" w:hAnsi="宋体"/>
              </w:rPr>
            </w:pPr>
            <w:r>
              <w:rPr>
                <w:rFonts w:ascii="宋体" w:hAnsi="宋体"/>
              </w:rPr>
              <w:t>1,777,448</w:t>
            </w:r>
          </w:p>
        </w:tc>
        <w:tc>
          <w:tcPr>
            <w:tcW w:w="1418" w:type="dxa"/>
            <w:vAlign w:val="center"/>
          </w:tcPr>
          <w:p>
            <w:pPr>
              <w:jc w:val="right"/>
              <w:rPr>
                <w:rFonts w:ascii="宋体" w:hAnsi="宋体"/>
              </w:rPr>
            </w:pPr>
            <w:r>
              <w:rPr>
                <w:rFonts w:ascii="宋体" w:hAnsi="宋体" w:cs="宋体" w:hint="eastAsia"/>
              </w:rPr>
              <w:t>2,974,313</w:t>
            </w:r>
          </w:p>
        </w:tc>
        <w:tc>
          <w:tcPr>
            <w:tcW w:w="1602" w:type="dxa"/>
            <w:vAlign w:val="center"/>
          </w:tcPr>
          <w:p>
            <w:pPr>
              <w:jc w:val="right"/>
              <w:rPr>
                <w:rFonts w:ascii="宋体" w:hAnsi="宋体" w:cs="宋体"/>
              </w:rPr>
            </w:pPr>
            <w:r>
              <w:rPr>
                <w:rFonts w:ascii="宋体" w:hAnsi="宋体" w:cs="宋体"/>
              </w:rPr>
              <w:t>33,015,613</w:t>
            </w:r>
          </w:p>
        </w:tc>
      </w:tr>
      <w:tr>
        <w:trPr>
          <w:trHeight w:val="255"/>
        </w:trPr>
        <w:tc>
          <w:tcPr>
            <w:tcW w:w="1696" w:type="dxa"/>
            <w:vAlign w:val="center"/>
          </w:tcPr>
          <w:p>
            <w:pPr>
              <w:ind w:firstLineChars="200" w:firstLine="420"/>
              <w:rPr>
                <w:rFonts w:ascii="宋体" w:hAnsi="宋体"/>
              </w:rPr>
            </w:pPr>
            <w:r>
              <w:rPr>
                <w:rFonts w:ascii="宋体" w:hAnsi="宋体" w:cs="宋体" w:hint="eastAsia"/>
              </w:rPr>
              <w:t>（3）其他减少</w:t>
            </w:r>
          </w:p>
        </w:tc>
        <w:tc>
          <w:tcPr>
            <w:tcW w:w="1276" w:type="dxa"/>
            <w:vAlign w:val="center"/>
          </w:tcPr>
          <w:p>
            <w:pPr>
              <w:jc w:val="right"/>
              <w:rPr>
                <w:rFonts w:ascii="宋体" w:hAnsi="宋体"/>
              </w:rPr>
            </w:pPr>
            <w:r>
              <w:rPr>
                <w:rFonts w:ascii="宋体" w:hAnsi="宋体" w:cs="宋体" w:hint="eastAsia"/>
              </w:rPr>
              <w:t>307,077</w:t>
            </w:r>
          </w:p>
        </w:tc>
        <w:tc>
          <w:tcPr>
            <w:tcW w:w="1701" w:type="dxa"/>
            <w:vAlign w:val="center"/>
          </w:tcPr>
          <w:p>
            <w:pPr>
              <w:jc w:val="right"/>
              <w:rPr>
                <w:rFonts w:ascii="宋体" w:hAnsi="宋体"/>
              </w:rPr>
            </w:pPr>
            <w:r>
              <w:rPr>
                <w:rFonts w:ascii="宋体" w:hAnsi="宋体" w:cs="宋体" w:hint="eastAsia"/>
              </w:rPr>
              <w:t>35,467</w:t>
            </w:r>
          </w:p>
        </w:tc>
        <w:tc>
          <w:tcPr>
            <w:tcW w:w="1559"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467,154</w:t>
            </w:r>
          </w:p>
        </w:tc>
        <w:tc>
          <w:tcPr>
            <w:tcW w:w="1421" w:type="dxa"/>
            <w:vAlign w:val="center"/>
          </w:tcPr>
          <w:p>
            <w:pPr>
              <w:jc w:val="right"/>
              <w:rPr>
                <w:rFonts w:ascii="宋体" w:hAnsi="宋体"/>
              </w:rPr>
            </w:pPr>
            <w:r>
              <w:rPr>
                <w:rFonts w:ascii="宋体" w:hAnsi="宋体" w:cs="宋体" w:hint="eastAsia"/>
              </w:rPr>
              <w:t>249,758</w:t>
            </w:r>
          </w:p>
        </w:tc>
        <w:tc>
          <w:tcPr>
            <w:tcW w:w="1556" w:type="dxa"/>
            <w:vAlign w:val="center"/>
          </w:tcPr>
          <w:p>
            <w:pPr>
              <w:jc w:val="right"/>
              <w:rPr>
                <w:rFonts w:ascii="宋体" w:hAnsi="宋体"/>
              </w:rPr>
            </w:pPr>
            <w:r>
              <w:rPr>
                <w:rFonts w:ascii="宋体" w:hAnsi="宋体" w:cs="宋体" w:hint="eastAsia"/>
              </w:rPr>
              <w:t>376</w:t>
            </w:r>
          </w:p>
        </w:tc>
        <w:tc>
          <w:tcPr>
            <w:tcW w:w="1418" w:type="dxa"/>
            <w:vAlign w:val="center"/>
          </w:tcPr>
          <w:p>
            <w:pPr>
              <w:jc w:val="right"/>
              <w:rPr>
                <w:rFonts w:ascii="宋体" w:hAnsi="宋体"/>
              </w:rPr>
            </w:pPr>
            <w:r>
              <w:rPr>
                <w:rFonts w:ascii="宋体" w:hAnsi="宋体" w:cs="宋体" w:hint="eastAsia"/>
              </w:rPr>
              <w:t>11,403</w:t>
            </w:r>
          </w:p>
        </w:tc>
        <w:tc>
          <w:tcPr>
            <w:tcW w:w="1602" w:type="dxa"/>
            <w:vAlign w:val="center"/>
          </w:tcPr>
          <w:p>
            <w:pPr>
              <w:jc w:val="right"/>
              <w:rPr>
                <w:rFonts w:ascii="宋体" w:hAnsi="宋体"/>
              </w:rPr>
            </w:pPr>
            <w:r>
              <w:rPr>
                <w:rFonts w:ascii="宋体" w:hAnsi="宋体" w:cs="宋体" w:hint="eastAsia"/>
              </w:rPr>
              <w:t>1,071,235</w:t>
            </w:r>
          </w:p>
        </w:tc>
      </w:tr>
      <w:tr>
        <w:tc>
          <w:tcPr>
            <w:tcW w:w="1696" w:type="dxa"/>
            <w:vAlign w:val="center"/>
          </w:tcPr>
          <w:p>
            <w:pPr>
              <w:ind w:firstLineChars="200" w:firstLine="420"/>
              <w:rPr>
                <w:rFonts w:ascii="宋体" w:hAnsi="宋体"/>
              </w:rPr>
            </w:pPr>
            <w:r>
              <w:rPr>
                <w:rFonts w:ascii="宋体" w:hAnsi="宋体" w:hint="eastAsia"/>
              </w:rPr>
              <w:t>4.外币报表折算差额</w:t>
            </w:r>
          </w:p>
        </w:tc>
        <w:tc>
          <w:tcPr>
            <w:tcW w:w="1276" w:type="dxa"/>
            <w:vAlign w:val="center"/>
          </w:tcPr>
          <w:p>
            <w:pPr>
              <w:jc w:val="right"/>
              <w:rPr>
                <w:rFonts w:ascii="宋体" w:hAnsi="宋体"/>
              </w:rPr>
            </w:pPr>
            <w:r>
              <w:rPr>
                <w:rFonts w:ascii="宋体" w:hAnsi="宋体" w:cs="宋体" w:hint="eastAsia"/>
              </w:rPr>
              <w:t>53,344</w:t>
            </w:r>
          </w:p>
        </w:tc>
        <w:tc>
          <w:tcPr>
            <w:tcW w:w="1701" w:type="dxa"/>
            <w:vAlign w:val="center"/>
          </w:tcPr>
          <w:p>
            <w:pPr>
              <w:jc w:val="right"/>
              <w:rPr>
                <w:rFonts w:ascii="宋体" w:hAnsi="宋体"/>
              </w:rPr>
            </w:pPr>
            <w:r>
              <w:rPr>
                <w:rFonts w:ascii="宋体" w:hAnsi="宋体" w:cs="宋体" w:hint="eastAsia"/>
              </w:rPr>
              <w:t>85,066</w:t>
            </w:r>
          </w:p>
        </w:tc>
        <w:tc>
          <w:tcPr>
            <w:tcW w:w="1559" w:type="dxa"/>
            <w:vAlign w:val="center"/>
          </w:tcPr>
          <w:p>
            <w:pPr>
              <w:jc w:val="right"/>
              <w:rPr>
                <w:rFonts w:ascii="宋体" w:hAnsi="宋体"/>
              </w:rPr>
            </w:pPr>
            <w:r>
              <w:rPr>
                <w:rFonts w:ascii="宋体" w:hAnsi="宋体" w:cs="宋体" w:hint="eastAsia"/>
              </w:rPr>
              <w:t>561,470</w:t>
            </w:r>
          </w:p>
        </w:tc>
        <w:tc>
          <w:tcPr>
            <w:tcW w:w="1701" w:type="dxa"/>
            <w:vAlign w:val="center"/>
          </w:tcPr>
          <w:p>
            <w:pPr>
              <w:jc w:val="right"/>
              <w:rPr>
                <w:rFonts w:ascii="宋体" w:hAnsi="宋体"/>
              </w:rPr>
            </w:pPr>
          </w:p>
        </w:tc>
        <w:tc>
          <w:tcPr>
            <w:tcW w:w="1421" w:type="dxa"/>
            <w:vAlign w:val="center"/>
          </w:tcPr>
          <w:p>
            <w:pPr>
              <w:jc w:val="right"/>
              <w:rPr>
                <w:rFonts w:ascii="宋体" w:hAnsi="宋体"/>
              </w:rPr>
            </w:pPr>
            <w:r>
              <w:rPr>
                <w:rFonts w:ascii="宋体" w:hAnsi="宋体" w:cs="宋体" w:hint="eastAsia"/>
              </w:rPr>
              <w:t>896,461</w:t>
            </w:r>
          </w:p>
        </w:tc>
        <w:tc>
          <w:tcPr>
            <w:tcW w:w="1556"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cs="宋体" w:hint="eastAsia"/>
              </w:rPr>
              <w:t>62,315</w:t>
            </w:r>
          </w:p>
        </w:tc>
        <w:tc>
          <w:tcPr>
            <w:tcW w:w="1602" w:type="dxa"/>
            <w:vAlign w:val="center"/>
          </w:tcPr>
          <w:p>
            <w:pPr>
              <w:jc w:val="right"/>
              <w:rPr>
                <w:rFonts w:ascii="宋体" w:hAnsi="宋体"/>
              </w:rPr>
            </w:pPr>
            <w:r>
              <w:rPr>
                <w:rFonts w:ascii="宋体" w:hAnsi="宋体" w:cs="宋体" w:hint="eastAsia"/>
              </w:rPr>
              <w:t>1,658,656</w:t>
            </w:r>
          </w:p>
        </w:tc>
      </w:tr>
      <w:tr>
        <w:trPr>
          <w:trHeight w:val="278"/>
        </w:trPr>
        <w:tc>
          <w:tcPr>
            <w:tcW w:w="1696" w:type="dxa"/>
            <w:vAlign w:val="center"/>
          </w:tcPr>
          <w:p>
            <w:pPr>
              <w:ind w:firstLineChars="200" w:firstLine="420"/>
              <w:rPr>
                <w:rFonts w:ascii="宋体" w:hAnsi="宋体"/>
              </w:rPr>
            </w:pPr>
            <w:r>
              <w:rPr>
                <w:rFonts w:ascii="宋体" w:hAnsi="宋体" w:hint="eastAsia"/>
              </w:rPr>
              <w:lastRenderedPageBreak/>
              <w:t>5.期末余额</w:t>
            </w:r>
          </w:p>
        </w:tc>
        <w:tc>
          <w:tcPr>
            <w:tcW w:w="1276" w:type="dxa"/>
            <w:vAlign w:val="center"/>
          </w:tcPr>
          <w:p>
            <w:pPr>
              <w:jc w:val="right"/>
              <w:rPr>
                <w:rFonts w:ascii="宋体" w:hAnsi="宋体"/>
              </w:rPr>
            </w:pPr>
            <w:r>
              <w:rPr>
                <w:rFonts w:ascii="宋体" w:hAnsi="宋体" w:cs="宋体" w:hint="eastAsia"/>
              </w:rPr>
              <w:t>1,261,652</w:t>
            </w:r>
          </w:p>
        </w:tc>
        <w:tc>
          <w:tcPr>
            <w:tcW w:w="1701" w:type="dxa"/>
            <w:vAlign w:val="center"/>
          </w:tcPr>
          <w:p>
            <w:pPr>
              <w:jc w:val="right"/>
              <w:rPr>
                <w:rFonts w:ascii="宋体" w:hAnsi="宋体"/>
              </w:rPr>
            </w:pPr>
            <w:r>
              <w:rPr>
                <w:rFonts w:ascii="宋体" w:hAnsi="宋体"/>
              </w:rPr>
              <w:t>14,881,423</w:t>
            </w:r>
          </w:p>
        </w:tc>
        <w:tc>
          <w:tcPr>
            <w:tcW w:w="1559" w:type="dxa"/>
            <w:vAlign w:val="center"/>
          </w:tcPr>
          <w:p>
            <w:pPr>
              <w:jc w:val="right"/>
              <w:rPr>
                <w:rFonts w:ascii="宋体" w:hAnsi="宋体"/>
              </w:rPr>
            </w:pPr>
            <w:r>
              <w:rPr>
                <w:rFonts w:ascii="宋体" w:hAnsi="宋体"/>
              </w:rPr>
              <w:t>66,144,538</w:t>
            </w:r>
          </w:p>
        </w:tc>
        <w:tc>
          <w:tcPr>
            <w:tcW w:w="1701" w:type="dxa"/>
            <w:vAlign w:val="center"/>
          </w:tcPr>
          <w:p>
            <w:pPr>
              <w:jc w:val="right"/>
              <w:rPr>
                <w:rFonts w:ascii="宋体" w:hAnsi="宋体"/>
              </w:rPr>
            </w:pPr>
            <w:r>
              <w:rPr>
                <w:rFonts w:ascii="宋体" w:hAnsi="宋体" w:cs="宋体" w:hint="eastAsia"/>
              </w:rPr>
              <w:t>44,029,418</w:t>
            </w:r>
          </w:p>
        </w:tc>
        <w:tc>
          <w:tcPr>
            <w:tcW w:w="1421" w:type="dxa"/>
          </w:tcPr>
          <w:p>
            <w:pPr>
              <w:jc w:val="right"/>
              <w:rPr>
                <w:rFonts w:ascii="宋体" w:hAnsi="宋体"/>
              </w:rPr>
            </w:pPr>
            <w:r>
              <w:rPr>
                <w:rFonts w:ascii="宋体" w:hAnsi="宋体"/>
              </w:rPr>
              <w:t>125,259,082</w:t>
            </w:r>
          </w:p>
        </w:tc>
        <w:tc>
          <w:tcPr>
            <w:tcW w:w="1556" w:type="dxa"/>
          </w:tcPr>
          <w:p>
            <w:pPr>
              <w:jc w:val="right"/>
              <w:rPr>
                <w:rFonts w:ascii="宋体" w:hAnsi="宋体"/>
              </w:rPr>
            </w:pPr>
            <w:r>
              <w:rPr>
                <w:rFonts w:ascii="宋体" w:hAnsi="宋体"/>
              </w:rPr>
              <w:t>3,189,236</w:t>
            </w:r>
          </w:p>
        </w:tc>
        <w:tc>
          <w:tcPr>
            <w:tcW w:w="1418" w:type="dxa"/>
          </w:tcPr>
          <w:p>
            <w:pPr>
              <w:jc w:val="right"/>
              <w:rPr>
                <w:rFonts w:ascii="宋体" w:hAnsi="宋体"/>
              </w:rPr>
            </w:pPr>
            <w:r>
              <w:rPr>
                <w:rFonts w:ascii="宋体" w:hAnsi="宋体"/>
              </w:rPr>
              <w:t>10,547,534</w:t>
            </w:r>
          </w:p>
        </w:tc>
        <w:tc>
          <w:tcPr>
            <w:tcW w:w="1602" w:type="dxa"/>
          </w:tcPr>
          <w:p>
            <w:pPr>
              <w:jc w:val="right"/>
              <w:rPr>
                <w:rFonts w:ascii="宋体" w:hAnsi="宋体"/>
              </w:rPr>
            </w:pPr>
            <w:r>
              <w:rPr>
                <w:rFonts w:ascii="宋体" w:hAnsi="宋体"/>
              </w:rPr>
              <w:t>265,312,883</w:t>
            </w:r>
          </w:p>
        </w:tc>
      </w:tr>
      <w:tr>
        <w:trPr>
          <w:trHeight w:val="289"/>
        </w:trPr>
        <w:sdt>
          <w:sdtPr>
            <w:rPr>
              <w:rFonts w:ascii="宋体" w:hAnsi="宋体"/>
            </w:rPr>
            <w:tag w:val="_PLD_14f44e7a4341414ca27a4047f9622e44"/>
            <w:id w:val="-1949926090"/>
          </w:sdtPr>
          <w:sdtContent>
            <w:tc>
              <w:tcPr>
                <w:tcW w:w="13930" w:type="dxa"/>
                <w:gridSpan w:val="9"/>
                <w:vAlign w:val="center"/>
              </w:tcPr>
              <w:p>
                <w:pPr>
                  <w:rPr>
                    <w:rFonts w:ascii="宋体" w:hAnsi="宋体"/>
                  </w:rPr>
                </w:pPr>
                <w:r>
                  <w:rPr>
                    <w:rFonts w:ascii="宋体" w:hAnsi="宋体" w:hint="eastAsia"/>
                  </w:rPr>
                  <w:t>二、累计折旧</w:t>
                </w:r>
              </w:p>
            </w:tc>
          </w:sdtContent>
        </w:sdt>
      </w:tr>
      <w:tr>
        <w:trPr>
          <w:trHeight w:val="278"/>
        </w:trPr>
        <w:tc>
          <w:tcPr>
            <w:tcW w:w="1696" w:type="dxa"/>
            <w:vAlign w:val="center"/>
          </w:tcPr>
          <w:p>
            <w:pPr>
              <w:ind w:firstLineChars="200" w:firstLine="420"/>
              <w:rPr>
                <w:rFonts w:ascii="宋体" w:hAnsi="宋体"/>
              </w:rPr>
            </w:pPr>
            <w:r>
              <w:rPr>
                <w:rFonts w:ascii="宋体" w:hAnsi="宋体"/>
              </w:rPr>
              <w:t>1.</w:t>
            </w:r>
            <w:r>
              <w:rPr>
                <w:rFonts w:ascii="宋体" w:hAnsi="宋体" w:hint="eastAsia"/>
              </w:rPr>
              <w:t>期初余额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8,062,496</w:t>
            </w:r>
          </w:p>
        </w:tc>
        <w:tc>
          <w:tcPr>
            <w:tcW w:w="1559" w:type="dxa"/>
            <w:vAlign w:val="center"/>
          </w:tcPr>
          <w:p>
            <w:pPr>
              <w:jc w:val="right"/>
              <w:rPr>
                <w:rFonts w:ascii="宋体" w:hAnsi="宋体"/>
              </w:rPr>
            </w:pPr>
            <w:r>
              <w:rPr>
                <w:rFonts w:ascii="宋体" w:hAnsi="宋体" w:cs="宋体" w:hint="eastAsia"/>
              </w:rPr>
              <w:t>18,723,006</w:t>
            </w:r>
          </w:p>
        </w:tc>
        <w:tc>
          <w:tcPr>
            <w:tcW w:w="1701" w:type="dxa"/>
            <w:vAlign w:val="center"/>
          </w:tcPr>
          <w:p>
            <w:pPr>
              <w:jc w:val="right"/>
              <w:rPr>
                <w:rFonts w:ascii="宋体" w:hAnsi="宋体"/>
              </w:rPr>
            </w:pPr>
            <w:r>
              <w:rPr>
                <w:rFonts w:ascii="宋体" w:hAnsi="宋体" w:cs="宋体" w:hint="eastAsia"/>
              </w:rPr>
              <w:t>12,597,406</w:t>
            </w:r>
          </w:p>
        </w:tc>
        <w:tc>
          <w:tcPr>
            <w:tcW w:w="1421" w:type="dxa"/>
            <w:vAlign w:val="center"/>
          </w:tcPr>
          <w:p>
            <w:pPr>
              <w:jc w:val="right"/>
              <w:rPr>
                <w:rFonts w:ascii="宋体" w:hAnsi="宋体"/>
              </w:rPr>
            </w:pPr>
            <w:r>
              <w:rPr>
                <w:rFonts w:ascii="宋体" w:hAnsi="宋体" w:cs="宋体" w:hint="eastAsia"/>
              </w:rPr>
              <w:t>62,157,828</w:t>
            </w:r>
          </w:p>
        </w:tc>
        <w:tc>
          <w:tcPr>
            <w:tcW w:w="1556" w:type="dxa"/>
            <w:vAlign w:val="center"/>
          </w:tcPr>
          <w:p>
            <w:pPr>
              <w:jc w:val="right"/>
              <w:rPr>
                <w:rFonts w:ascii="宋体" w:hAnsi="宋体"/>
              </w:rPr>
            </w:pPr>
            <w:r>
              <w:rPr>
                <w:rFonts w:ascii="宋体" w:hAnsi="宋体" w:cs="宋体" w:hint="eastAsia"/>
              </w:rPr>
              <w:t>2,598,833</w:t>
            </w:r>
          </w:p>
        </w:tc>
        <w:tc>
          <w:tcPr>
            <w:tcW w:w="1418" w:type="dxa"/>
            <w:vAlign w:val="center"/>
          </w:tcPr>
          <w:p>
            <w:pPr>
              <w:jc w:val="right"/>
              <w:rPr>
                <w:rFonts w:ascii="宋体" w:hAnsi="宋体"/>
              </w:rPr>
            </w:pPr>
            <w:r>
              <w:rPr>
                <w:rFonts w:ascii="宋体" w:hAnsi="宋体" w:cs="宋体" w:hint="eastAsia"/>
              </w:rPr>
              <w:t>7,259,927</w:t>
            </w:r>
          </w:p>
        </w:tc>
        <w:tc>
          <w:tcPr>
            <w:tcW w:w="1602" w:type="dxa"/>
            <w:vAlign w:val="center"/>
          </w:tcPr>
          <w:p>
            <w:pPr>
              <w:jc w:val="right"/>
              <w:rPr>
                <w:rFonts w:ascii="宋体" w:hAnsi="宋体"/>
              </w:rPr>
            </w:pPr>
            <w:r>
              <w:rPr>
                <w:rFonts w:ascii="宋体" w:hAnsi="宋体" w:cs="宋体" w:hint="eastAsia"/>
              </w:rPr>
              <w:t>111,399,496</w:t>
            </w:r>
          </w:p>
        </w:tc>
      </w:tr>
      <w:tr>
        <w:trPr>
          <w:trHeight w:val="278"/>
        </w:trPr>
        <w:tc>
          <w:tcPr>
            <w:tcW w:w="1696" w:type="dxa"/>
            <w:vAlign w:val="center"/>
          </w:tcPr>
          <w:p>
            <w:pPr>
              <w:ind w:firstLineChars="200" w:firstLine="420"/>
              <w:rPr>
                <w:rFonts w:ascii="宋体" w:hAnsi="宋体"/>
              </w:rPr>
            </w:pPr>
            <w:r>
              <w:rPr>
                <w:rFonts w:ascii="宋体" w:hAnsi="宋体"/>
              </w:rPr>
              <w:t>2.</w:t>
            </w:r>
            <w:r>
              <w:rPr>
                <w:rFonts w:ascii="宋体" w:hAnsi="宋体" w:hint="eastAsia"/>
              </w:rPr>
              <w:t>本期增加金额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1,707,371</w:t>
            </w:r>
          </w:p>
        </w:tc>
        <w:tc>
          <w:tcPr>
            <w:tcW w:w="1559" w:type="dxa"/>
            <w:vAlign w:val="center"/>
          </w:tcPr>
          <w:p>
            <w:pPr>
              <w:jc w:val="right"/>
              <w:rPr>
                <w:rFonts w:ascii="宋体" w:hAnsi="宋体"/>
              </w:rPr>
            </w:pPr>
            <w:r>
              <w:rPr>
                <w:rFonts w:ascii="宋体" w:hAnsi="宋体" w:cs="宋体" w:hint="eastAsia"/>
              </w:rPr>
              <w:t>2,308,807</w:t>
            </w:r>
          </w:p>
        </w:tc>
        <w:tc>
          <w:tcPr>
            <w:tcW w:w="1701" w:type="dxa"/>
            <w:vAlign w:val="center"/>
          </w:tcPr>
          <w:p>
            <w:pPr>
              <w:jc w:val="right"/>
              <w:rPr>
                <w:rFonts w:ascii="宋体" w:hAnsi="宋体"/>
              </w:rPr>
            </w:pPr>
            <w:r>
              <w:rPr>
                <w:rFonts w:ascii="宋体" w:hAnsi="宋体" w:cs="宋体" w:hint="eastAsia"/>
              </w:rPr>
              <w:t>4,395,909</w:t>
            </w:r>
          </w:p>
        </w:tc>
        <w:tc>
          <w:tcPr>
            <w:tcW w:w="1421" w:type="dxa"/>
            <w:vAlign w:val="center"/>
          </w:tcPr>
          <w:p>
            <w:pPr>
              <w:jc w:val="right"/>
              <w:rPr>
                <w:rFonts w:ascii="宋体" w:hAnsi="宋体"/>
              </w:rPr>
            </w:pPr>
            <w:r>
              <w:rPr>
                <w:rFonts w:ascii="宋体" w:hAnsi="宋体"/>
              </w:rPr>
              <w:t>9,941,509</w:t>
            </w:r>
          </w:p>
        </w:tc>
        <w:tc>
          <w:tcPr>
            <w:tcW w:w="1556" w:type="dxa"/>
            <w:vAlign w:val="center"/>
          </w:tcPr>
          <w:p>
            <w:pPr>
              <w:jc w:val="right"/>
              <w:rPr>
                <w:rFonts w:ascii="宋体" w:hAnsi="宋体"/>
              </w:rPr>
            </w:pPr>
            <w:r>
              <w:rPr>
                <w:rFonts w:ascii="宋体" w:hAnsi="宋体"/>
              </w:rPr>
              <w:t>1,263,462</w:t>
            </w:r>
          </w:p>
        </w:tc>
        <w:tc>
          <w:tcPr>
            <w:tcW w:w="1418" w:type="dxa"/>
            <w:vAlign w:val="center"/>
          </w:tcPr>
          <w:p>
            <w:pPr>
              <w:jc w:val="right"/>
              <w:rPr>
                <w:rFonts w:ascii="宋体" w:hAnsi="宋体"/>
              </w:rPr>
            </w:pPr>
            <w:r>
              <w:rPr>
                <w:rFonts w:ascii="宋体" w:hAnsi="宋体"/>
              </w:rPr>
              <w:t>2,749,773</w:t>
            </w:r>
          </w:p>
        </w:tc>
        <w:tc>
          <w:tcPr>
            <w:tcW w:w="1602" w:type="dxa"/>
            <w:vAlign w:val="center"/>
          </w:tcPr>
          <w:p>
            <w:pPr>
              <w:jc w:val="right"/>
              <w:rPr>
                <w:rFonts w:ascii="宋体" w:hAnsi="宋体"/>
              </w:rPr>
            </w:pPr>
            <w:r>
              <w:rPr>
                <w:rFonts w:ascii="宋体" w:hAnsi="宋体"/>
              </w:rPr>
              <w:t>22,366,831</w:t>
            </w:r>
          </w:p>
        </w:tc>
      </w:tr>
      <w:tr>
        <w:trPr>
          <w:trHeight w:val="278"/>
        </w:trPr>
        <w:tc>
          <w:tcPr>
            <w:tcW w:w="1696" w:type="dxa"/>
            <w:vAlign w:val="center"/>
          </w:tcPr>
          <w:p>
            <w:pPr>
              <w:ind w:firstLineChars="200" w:firstLine="420"/>
              <w:rPr>
                <w:rFonts w:ascii="宋体" w:hAnsi="宋体"/>
              </w:rPr>
            </w:pPr>
            <w:r>
              <w:rPr>
                <w:rFonts w:ascii="宋体" w:hAnsi="宋体" w:cs="宋体" w:hint="eastAsia"/>
              </w:rPr>
              <w:t>（1）计提</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878,005</w:t>
            </w:r>
          </w:p>
        </w:tc>
        <w:tc>
          <w:tcPr>
            <w:tcW w:w="1559" w:type="dxa"/>
            <w:vAlign w:val="center"/>
          </w:tcPr>
          <w:p>
            <w:pPr>
              <w:jc w:val="right"/>
              <w:rPr>
                <w:rFonts w:ascii="宋体" w:hAnsi="宋体"/>
              </w:rPr>
            </w:pPr>
            <w:r>
              <w:rPr>
                <w:rFonts w:ascii="宋体" w:hAnsi="宋体" w:cs="宋体" w:hint="eastAsia"/>
              </w:rPr>
              <w:t>2,308,665</w:t>
            </w:r>
          </w:p>
        </w:tc>
        <w:tc>
          <w:tcPr>
            <w:tcW w:w="1701" w:type="dxa"/>
            <w:vAlign w:val="center"/>
          </w:tcPr>
          <w:p>
            <w:pPr>
              <w:jc w:val="right"/>
              <w:rPr>
                <w:rFonts w:ascii="宋体" w:hAnsi="宋体"/>
              </w:rPr>
            </w:pPr>
            <w:r>
              <w:rPr>
                <w:rFonts w:ascii="宋体" w:hAnsi="宋体" w:cs="宋体" w:hint="eastAsia"/>
              </w:rPr>
              <w:t>1,187,098</w:t>
            </w:r>
          </w:p>
        </w:tc>
        <w:tc>
          <w:tcPr>
            <w:tcW w:w="1421" w:type="dxa"/>
            <w:vAlign w:val="center"/>
          </w:tcPr>
          <w:p>
            <w:pPr>
              <w:jc w:val="right"/>
              <w:rPr>
                <w:rFonts w:ascii="宋体" w:hAnsi="宋体"/>
              </w:rPr>
            </w:pPr>
            <w:r>
              <w:rPr>
                <w:rFonts w:ascii="宋体" w:hAnsi="宋体"/>
              </w:rPr>
              <w:t>8,088,962</w:t>
            </w:r>
          </w:p>
        </w:tc>
        <w:tc>
          <w:tcPr>
            <w:tcW w:w="1556" w:type="dxa"/>
            <w:vAlign w:val="center"/>
          </w:tcPr>
          <w:p>
            <w:pPr>
              <w:jc w:val="right"/>
              <w:rPr>
                <w:rFonts w:ascii="宋体" w:hAnsi="宋体"/>
              </w:rPr>
            </w:pPr>
            <w:r>
              <w:rPr>
                <w:rFonts w:ascii="宋体" w:hAnsi="宋体"/>
              </w:rPr>
              <w:t>211,122</w:t>
            </w:r>
          </w:p>
        </w:tc>
        <w:tc>
          <w:tcPr>
            <w:tcW w:w="1418" w:type="dxa"/>
            <w:vAlign w:val="center"/>
          </w:tcPr>
          <w:p>
            <w:pPr>
              <w:jc w:val="right"/>
              <w:rPr>
                <w:rFonts w:ascii="宋体" w:hAnsi="宋体"/>
              </w:rPr>
            </w:pPr>
            <w:r>
              <w:rPr>
                <w:rFonts w:ascii="宋体" w:hAnsi="宋体"/>
              </w:rPr>
              <w:t>1,294,627</w:t>
            </w:r>
          </w:p>
        </w:tc>
        <w:tc>
          <w:tcPr>
            <w:tcW w:w="1602" w:type="dxa"/>
            <w:vAlign w:val="center"/>
          </w:tcPr>
          <w:p>
            <w:pPr>
              <w:jc w:val="right"/>
              <w:rPr>
                <w:rFonts w:ascii="宋体" w:hAnsi="宋体"/>
              </w:rPr>
            </w:pPr>
            <w:r>
              <w:rPr>
                <w:rFonts w:ascii="宋体" w:hAnsi="宋体"/>
              </w:rPr>
              <w:t>13,968,479</w:t>
            </w:r>
          </w:p>
        </w:tc>
      </w:tr>
      <w:tr>
        <w:trPr>
          <w:trHeight w:val="255"/>
        </w:trPr>
        <w:tc>
          <w:tcPr>
            <w:tcW w:w="1696" w:type="dxa"/>
            <w:vAlign w:val="center"/>
          </w:tcPr>
          <w:p>
            <w:pPr>
              <w:ind w:firstLineChars="200" w:firstLine="420"/>
              <w:rPr>
                <w:rFonts w:ascii="宋体" w:hAnsi="宋体"/>
              </w:rPr>
            </w:pPr>
            <w:r>
              <w:rPr>
                <w:rFonts w:ascii="宋体" w:hAnsi="宋体" w:cs="宋体" w:hint="eastAsia"/>
              </w:rPr>
              <w:t>（2）重分类转入</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828,252</w:t>
            </w:r>
          </w:p>
        </w:tc>
        <w:tc>
          <w:tcPr>
            <w:tcW w:w="1559"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3,208,811</w:t>
            </w:r>
          </w:p>
        </w:tc>
        <w:tc>
          <w:tcPr>
            <w:tcW w:w="1421" w:type="dxa"/>
            <w:vAlign w:val="center"/>
          </w:tcPr>
          <w:p>
            <w:pPr>
              <w:jc w:val="right"/>
              <w:rPr>
                <w:rFonts w:ascii="宋体" w:hAnsi="宋体"/>
              </w:rPr>
            </w:pPr>
            <w:r>
              <w:rPr>
                <w:rFonts w:ascii="宋体" w:hAnsi="宋体" w:cs="宋体"/>
              </w:rPr>
              <w:t>1,852,322</w:t>
            </w:r>
          </w:p>
        </w:tc>
        <w:tc>
          <w:tcPr>
            <w:tcW w:w="1556" w:type="dxa"/>
            <w:vAlign w:val="center"/>
          </w:tcPr>
          <w:p>
            <w:pPr>
              <w:jc w:val="right"/>
              <w:rPr>
                <w:rFonts w:ascii="宋体" w:hAnsi="宋体"/>
              </w:rPr>
            </w:pPr>
            <w:r>
              <w:rPr>
                <w:rFonts w:ascii="宋体" w:hAnsi="宋体" w:cs="宋体" w:hint="eastAsia"/>
              </w:rPr>
              <w:t>1,052,080</w:t>
            </w:r>
          </w:p>
        </w:tc>
        <w:tc>
          <w:tcPr>
            <w:tcW w:w="1418" w:type="dxa"/>
            <w:vAlign w:val="center"/>
          </w:tcPr>
          <w:p>
            <w:pPr>
              <w:jc w:val="right"/>
              <w:rPr>
                <w:rFonts w:ascii="宋体" w:hAnsi="宋体"/>
              </w:rPr>
            </w:pPr>
            <w:r>
              <w:rPr>
                <w:rFonts w:ascii="宋体" w:hAnsi="宋体" w:cs="宋体" w:hint="eastAsia"/>
              </w:rPr>
              <w:t>1,453,910</w:t>
            </w:r>
          </w:p>
        </w:tc>
        <w:tc>
          <w:tcPr>
            <w:tcW w:w="1602" w:type="dxa"/>
            <w:vAlign w:val="center"/>
          </w:tcPr>
          <w:p>
            <w:pPr>
              <w:jc w:val="right"/>
              <w:rPr>
                <w:rFonts w:ascii="宋体" w:hAnsi="宋体"/>
              </w:rPr>
            </w:pPr>
            <w:r>
              <w:rPr>
                <w:rFonts w:ascii="宋体" w:hAnsi="宋体" w:cs="宋体"/>
              </w:rPr>
              <w:t>8,395,375</w:t>
            </w:r>
          </w:p>
        </w:tc>
      </w:tr>
      <w:tr>
        <w:trPr>
          <w:trHeight w:val="255"/>
        </w:trPr>
        <w:tc>
          <w:tcPr>
            <w:tcW w:w="1696" w:type="dxa"/>
            <w:vAlign w:val="center"/>
          </w:tcPr>
          <w:p>
            <w:pPr>
              <w:ind w:firstLineChars="200" w:firstLine="420"/>
              <w:rPr>
                <w:rFonts w:ascii="宋体" w:hAnsi="宋体"/>
              </w:rPr>
            </w:pPr>
            <w:r>
              <w:rPr>
                <w:rFonts w:ascii="宋体" w:hAnsi="宋体" w:cs="宋体" w:hint="eastAsia"/>
              </w:rPr>
              <w:t>（3）企业合并增加</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1,114</w:t>
            </w:r>
          </w:p>
        </w:tc>
        <w:tc>
          <w:tcPr>
            <w:tcW w:w="1559" w:type="dxa"/>
            <w:vAlign w:val="center"/>
          </w:tcPr>
          <w:p>
            <w:pPr>
              <w:jc w:val="right"/>
              <w:rPr>
                <w:rFonts w:ascii="宋体" w:hAnsi="宋体"/>
              </w:rPr>
            </w:pPr>
            <w:r>
              <w:rPr>
                <w:rFonts w:ascii="宋体" w:hAnsi="宋体" w:cs="宋体" w:hint="eastAsia"/>
              </w:rPr>
              <w:t>142</w:t>
            </w:r>
          </w:p>
        </w:tc>
        <w:tc>
          <w:tcPr>
            <w:tcW w:w="1701" w:type="dxa"/>
            <w:vAlign w:val="center"/>
          </w:tcPr>
          <w:p>
            <w:pPr>
              <w:jc w:val="right"/>
              <w:rPr>
                <w:rFonts w:ascii="宋体" w:hAnsi="宋体"/>
              </w:rPr>
            </w:pPr>
          </w:p>
        </w:tc>
        <w:tc>
          <w:tcPr>
            <w:tcW w:w="1421" w:type="dxa"/>
            <w:vAlign w:val="center"/>
          </w:tcPr>
          <w:p>
            <w:pPr>
              <w:jc w:val="right"/>
              <w:rPr>
                <w:rFonts w:ascii="宋体" w:hAnsi="宋体"/>
              </w:rPr>
            </w:pPr>
            <w:r>
              <w:rPr>
                <w:rFonts w:ascii="宋体" w:hAnsi="宋体" w:cs="宋体" w:hint="eastAsia"/>
              </w:rPr>
              <w:t>225</w:t>
            </w:r>
          </w:p>
        </w:tc>
        <w:tc>
          <w:tcPr>
            <w:tcW w:w="1556" w:type="dxa"/>
            <w:vAlign w:val="center"/>
          </w:tcPr>
          <w:p>
            <w:pPr>
              <w:jc w:val="right"/>
              <w:rPr>
                <w:rFonts w:ascii="宋体" w:hAnsi="宋体"/>
              </w:rPr>
            </w:pPr>
            <w:r>
              <w:rPr>
                <w:rFonts w:ascii="宋体" w:hAnsi="宋体" w:cs="宋体" w:hint="eastAsia"/>
              </w:rPr>
              <w:t>260</w:t>
            </w:r>
          </w:p>
        </w:tc>
        <w:tc>
          <w:tcPr>
            <w:tcW w:w="1418" w:type="dxa"/>
            <w:vAlign w:val="center"/>
          </w:tcPr>
          <w:p>
            <w:pPr>
              <w:jc w:val="right"/>
              <w:rPr>
                <w:rFonts w:ascii="宋体" w:hAnsi="宋体"/>
              </w:rPr>
            </w:pPr>
          </w:p>
        </w:tc>
        <w:tc>
          <w:tcPr>
            <w:tcW w:w="1602" w:type="dxa"/>
            <w:vAlign w:val="center"/>
          </w:tcPr>
          <w:p>
            <w:pPr>
              <w:jc w:val="right"/>
              <w:rPr>
                <w:rFonts w:ascii="宋体" w:hAnsi="宋体"/>
              </w:rPr>
            </w:pPr>
            <w:r>
              <w:rPr>
                <w:rFonts w:ascii="宋体" w:hAnsi="宋体" w:cs="宋体" w:hint="eastAsia"/>
              </w:rPr>
              <w:t>1,741</w:t>
            </w:r>
          </w:p>
        </w:tc>
      </w:tr>
      <w:tr>
        <w:trPr>
          <w:trHeight w:val="242"/>
        </w:trPr>
        <w:tc>
          <w:tcPr>
            <w:tcW w:w="1696" w:type="dxa"/>
            <w:vAlign w:val="center"/>
          </w:tcPr>
          <w:p>
            <w:pPr>
              <w:ind w:firstLineChars="200" w:firstLine="420"/>
              <w:rPr>
                <w:rFonts w:ascii="宋体" w:hAnsi="宋体"/>
              </w:rPr>
            </w:pPr>
            <w:r>
              <w:rPr>
                <w:rFonts w:ascii="宋体" w:hAnsi="宋体" w:cs="宋体" w:hint="eastAsia"/>
              </w:rPr>
              <w:t>（4）其他增加</w:t>
            </w:r>
          </w:p>
        </w:tc>
        <w:tc>
          <w:tcPr>
            <w:tcW w:w="1276"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421" w:type="dxa"/>
            <w:vAlign w:val="center"/>
          </w:tcPr>
          <w:p>
            <w:pPr>
              <w:jc w:val="right"/>
              <w:rPr>
                <w:rFonts w:ascii="宋体" w:hAnsi="宋体"/>
              </w:rPr>
            </w:pPr>
          </w:p>
        </w:tc>
        <w:tc>
          <w:tcPr>
            <w:tcW w:w="1556"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cs="宋体" w:hint="eastAsia"/>
              </w:rPr>
              <w:t>1,236</w:t>
            </w:r>
          </w:p>
        </w:tc>
        <w:tc>
          <w:tcPr>
            <w:tcW w:w="1602" w:type="dxa"/>
            <w:vAlign w:val="center"/>
          </w:tcPr>
          <w:p>
            <w:pPr>
              <w:jc w:val="right"/>
              <w:rPr>
                <w:rFonts w:ascii="宋体" w:hAnsi="宋体"/>
              </w:rPr>
            </w:pPr>
            <w:r>
              <w:rPr>
                <w:rFonts w:ascii="宋体" w:hAnsi="宋体" w:cs="宋体"/>
              </w:rPr>
              <w:t>1,236</w:t>
            </w:r>
          </w:p>
        </w:tc>
      </w:tr>
      <w:tr>
        <w:trPr>
          <w:trHeight w:val="289"/>
        </w:trPr>
        <w:tc>
          <w:tcPr>
            <w:tcW w:w="1696" w:type="dxa"/>
            <w:vAlign w:val="center"/>
          </w:tcPr>
          <w:p>
            <w:pPr>
              <w:ind w:firstLineChars="200" w:firstLine="420"/>
              <w:rPr>
                <w:rFonts w:ascii="宋体" w:hAnsi="宋体"/>
              </w:rPr>
            </w:pPr>
            <w:r>
              <w:rPr>
                <w:rFonts w:ascii="宋体" w:hAnsi="宋体" w:hint="eastAsia"/>
              </w:rPr>
              <w:t>3.本期减少金额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3,091,993</w:t>
            </w:r>
          </w:p>
        </w:tc>
        <w:tc>
          <w:tcPr>
            <w:tcW w:w="1559" w:type="dxa"/>
            <w:vAlign w:val="center"/>
          </w:tcPr>
          <w:p>
            <w:pPr>
              <w:jc w:val="right"/>
              <w:rPr>
                <w:rFonts w:ascii="宋体" w:hAnsi="宋体"/>
              </w:rPr>
            </w:pPr>
            <w:r>
              <w:rPr>
                <w:rFonts w:ascii="宋体" w:hAnsi="宋体" w:cs="宋体" w:hint="eastAsia"/>
              </w:rPr>
              <w:t>967,629</w:t>
            </w:r>
          </w:p>
        </w:tc>
        <w:tc>
          <w:tcPr>
            <w:tcW w:w="1701" w:type="dxa"/>
            <w:vAlign w:val="center"/>
          </w:tcPr>
          <w:p>
            <w:pPr>
              <w:jc w:val="right"/>
              <w:rPr>
                <w:rFonts w:ascii="宋体" w:hAnsi="宋体"/>
              </w:rPr>
            </w:pPr>
            <w:r>
              <w:rPr>
                <w:rFonts w:ascii="宋体" w:hAnsi="宋体" w:cs="宋体" w:hint="eastAsia"/>
              </w:rPr>
              <w:t>15,592</w:t>
            </w:r>
          </w:p>
        </w:tc>
        <w:tc>
          <w:tcPr>
            <w:tcW w:w="1421" w:type="dxa"/>
            <w:vAlign w:val="center"/>
          </w:tcPr>
          <w:p>
            <w:pPr>
              <w:jc w:val="right"/>
              <w:rPr>
                <w:rFonts w:ascii="宋体" w:hAnsi="宋体"/>
              </w:rPr>
            </w:pPr>
            <w:r>
              <w:rPr>
                <w:rFonts w:ascii="宋体" w:hAnsi="宋体"/>
              </w:rPr>
              <w:t>5,108,999</w:t>
            </w:r>
          </w:p>
        </w:tc>
        <w:tc>
          <w:tcPr>
            <w:tcW w:w="1556" w:type="dxa"/>
            <w:vAlign w:val="center"/>
          </w:tcPr>
          <w:p>
            <w:pPr>
              <w:jc w:val="right"/>
              <w:rPr>
                <w:rFonts w:ascii="宋体" w:hAnsi="宋体"/>
              </w:rPr>
            </w:pPr>
            <w:r>
              <w:rPr>
                <w:rFonts w:ascii="宋体" w:hAnsi="宋体"/>
              </w:rPr>
              <w:t>1,226,868</w:t>
            </w:r>
          </w:p>
        </w:tc>
        <w:tc>
          <w:tcPr>
            <w:tcW w:w="1418" w:type="dxa"/>
            <w:vAlign w:val="center"/>
          </w:tcPr>
          <w:p>
            <w:pPr>
              <w:jc w:val="right"/>
              <w:rPr>
                <w:rFonts w:ascii="宋体" w:hAnsi="宋体"/>
              </w:rPr>
            </w:pPr>
            <w:r>
              <w:rPr>
                <w:rFonts w:ascii="宋体" w:hAnsi="宋体" w:cs="宋体" w:hint="eastAsia"/>
              </w:rPr>
              <w:t>2,160,583</w:t>
            </w:r>
          </w:p>
        </w:tc>
        <w:tc>
          <w:tcPr>
            <w:tcW w:w="1602" w:type="dxa"/>
            <w:vAlign w:val="center"/>
          </w:tcPr>
          <w:p>
            <w:pPr>
              <w:jc w:val="right"/>
              <w:rPr>
                <w:rFonts w:ascii="宋体" w:hAnsi="宋体"/>
              </w:rPr>
            </w:pPr>
            <w:r>
              <w:rPr>
                <w:rFonts w:ascii="宋体" w:hAnsi="宋体"/>
              </w:rPr>
              <w:t>12,571,664</w:t>
            </w:r>
          </w:p>
        </w:tc>
      </w:tr>
      <w:tr>
        <w:trPr>
          <w:trHeight w:val="278"/>
        </w:trPr>
        <w:tc>
          <w:tcPr>
            <w:tcW w:w="1696" w:type="dxa"/>
            <w:vAlign w:val="center"/>
          </w:tcPr>
          <w:p>
            <w:pPr>
              <w:ind w:firstLineChars="200" w:firstLine="420"/>
              <w:rPr>
                <w:rFonts w:ascii="宋体" w:hAnsi="宋体"/>
              </w:rPr>
            </w:pPr>
            <w:r>
              <w:rPr>
                <w:rFonts w:ascii="宋体" w:hAnsi="宋体" w:cs="宋体" w:hint="eastAsia"/>
              </w:rPr>
              <w:t>（1）处置或报废</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180,418</w:t>
            </w:r>
          </w:p>
        </w:tc>
        <w:tc>
          <w:tcPr>
            <w:tcW w:w="1559" w:type="dxa"/>
            <w:vAlign w:val="center"/>
          </w:tcPr>
          <w:p>
            <w:pPr>
              <w:jc w:val="right"/>
              <w:rPr>
                <w:rFonts w:ascii="宋体" w:hAnsi="宋体"/>
              </w:rPr>
            </w:pPr>
            <w:r>
              <w:rPr>
                <w:rFonts w:ascii="宋体" w:hAnsi="宋体" w:cs="宋体" w:hint="eastAsia"/>
              </w:rPr>
              <w:t>366,854</w:t>
            </w:r>
          </w:p>
        </w:tc>
        <w:tc>
          <w:tcPr>
            <w:tcW w:w="1701" w:type="dxa"/>
            <w:vAlign w:val="center"/>
          </w:tcPr>
          <w:p>
            <w:pPr>
              <w:jc w:val="right"/>
              <w:rPr>
                <w:rFonts w:ascii="宋体" w:hAnsi="宋体"/>
              </w:rPr>
            </w:pPr>
            <w:r>
              <w:rPr>
                <w:rFonts w:ascii="宋体" w:hAnsi="宋体" w:cs="宋体" w:hint="eastAsia"/>
              </w:rPr>
              <w:t>8,489</w:t>
            </w:r>
          </w:p>
        </w:tc>
        <w:tc>
          <w:tcPr>
            <w:tcW w:w="1421" w:type="dxa"/>
            <w:vAlign w:val="center"/>
          </w:tcPr>
          <w:p>
            <w:pPr>
              <w:jc w:val="right"/>
              <w:rPr>
                <w:rFonts w:ascii="宋体" w:hAnsi="宋体"/>
              </w:rPr>
            </w:pPr>
            <w:r>
              <w:rPr>
                <w:rFonts w:ascii="宋体" w:hAnsi="宋体"/>
              </w:rPr>
              <w:t>1,888,001</w:t>
            </w:r>
          </w:p>
        </w:tc>
        <w:tc>
          <w:tcPr>
            <w:tcW w:w="1556" w:type="dxa"/>
            <w:vAlign w:val="center"/>
          </w:tcPr>
          <w:p>
            <w:pPr>
              <w:jc w:val="right"/>
              <w:rPr>
                <w:rFonts w:ascii="宋体" w:hAnsi="宋体"/>
              </w:rPr>
            </w:pPr>
            <w:r>
              <w:rPr>
                <w:rFonts w:ascii="宋体" w:hAnsi="宋体"/>
              </w:rPr>
              <w:t>85,514</w:t>
            </w:r>
          </w:p>
        </w:tc>
        <w:tc>
          <w:tcPr>
            <w:tcW w:w="1418" w:type="dxa"/>
            <w:vAlign w:val="center"/>
          </w:tcPr>
          <w:p>
            <w:pPr>
              <w:jc w:val="right"/>
              <w:rPr>
                <w:rFonts w:ascii="宋体" w:hAnsi="宋体"/>
              </w:rPr>
            </w:pPr>
            <w:r>
              <w:rPr>
                <w:rFonts w:ascii="宋体" w:hAnsi="宋体" w:cs="宋体" w:hint="eastAsia"/>
              </w:rPr>
              <w:t>1,566,669</w:t>
            </w:r>
          </w:p>
        </w:tc>
        <w:tc>
          <w:tcPr>
            <w:tcW w:w="1602" w:type="dxa"/>
            <w:vAlign w:val="center"/>
          </w:tcPr>
          <w:p>
            <w:pPr>
              <w:jc w:val="right"/>
              <w:rPr>
                <w:rFonts w:ascii="宋体" w:hAnsi="宋体"/>
              </w:rPr>
            </w:pPr>
            <w:r>
              <w:rPr>
                <w:rFonts w:ascii="宋体" w:hAnsi="宋体"/>
              </w:rPr>
              <w:t>4,095,945</w:t>
            </w:r>
          </w:p>
        </w:tc>
      </w:tr>
      <w:tr>
        <w:trPr>
          <w:trHeight w:val="242"/>
        </w:trPr>
        <w:tc>
          <w:tcPr>
            <w:tcW w:w="1696" w:type="dxa"/>
            <w:vAlign w:val="center"/>
          </w:tcPr>
          <w:p>
            <w:pPr>
              <w:ind w:firstLineChars="200" w:firstLine="420"/>
              <w:rPr>
                <w:rFonts w:ascii="宋体" w:hAnsi="宋体"/>
              </w:rPr>
            </w:pPr>
            <w:r>
              <w:rPr>
                <w:rFonts w:ascii="宋体" w:hAnsi="宋体" w:cs="宋体" w:hint="eastAsia"/>
              </w:rPr>
              <w:t>（2）出售</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1,519</w:t>
            </w:r>
          </w:p>
        </w:tc>
        <w:tc>
          <w:tcPr>
            <w:tcW w:w="1559"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7,103</w:t>
            </w:r>
          </w:p>
        </w:tc>
        <w:tc>
          <w:tcPr>
            <w:tcW w:w="1421" w:type="dxa"/>
            <w:vAlign w:val="center"/>
          </w:tcPr>
          <w:p>
            <w:pPr>
              <w:jc w:val="right"/>
              <w:rPr>
                <w:rFonts w:ascii="宋体" w:hAnsi="宋体"/>
              </w:rPr>
            </w:pPr>
            <w:r>
              <w:rPr>
                <w:rFonts w:ascii="宋体" w:hAnsi="宋体" w:cs="宋体" w:hint="eastAsia"/>
              </w:rPr>
              <w:t>18,345</w:t>
            </w:r>
          </w:p>
        </w:tc>
        <w:tc>
          <w:tcPr>
            <w:tcW w:w="1556" w:type="dxa"/>
            <w:vAlign w:val="center"/>
          </w:tcPr>
          <w:p>
            <w:pPr>
              <w:jc w:val="right"/>
              <w:rPr>
                <w:rFonts w:ascii="宋体" w:hAnsi="宋体"/>
              </w:rPr>
            </w:pPr>
            <w:r>
              <w:rPr>
                <w:rFonts w:ascii="宋体" w:hAnsi="宋体" w:cs="宋体" w:hint="eastAsia"/>
              </w:rPr>
              <w:t>393</w:t>
            </w:r>
          </w:p>
        </w:tc>
        <w:tc>
          <w:tcPr>
            <w:tcW w:w="1418" w:type="dxa"/>
            <w:vAlign w:val="center"/>
          </w:tcPr>
          <w:p>
            <w:pPr>
              <w:jc w:val="right"/>
              <w:rPr>
                <w:rFonts w:ascii="宋体" w:hAnsi="宋体"/>
              </w:rPr>
            </w:pPr>
            <w:r>
              <w:rPr>
                <w:rFonts w:ascii="宋体" w:hAnsi="宋体" w:cs="宋体" w:hint="eastAsia"/>
              </w:rPr>
              <w:t>10,392</w:t>
            </w:r>
          </w:p>
        </w:tc>
        <w:tc>
          <w:tcPr>
            <w:tcW w:w="1602" w:type="dxa"/>
            <w:vAlign w:val="center"/>
          </w:tcPr>
          <w:p>
            <w:pPr>
              <w:jc w:val="right"/>
              <w:rPr>
                <w:rFonts w:ascii="宋体" w:hAnsi="宋体"/>
              </w:rPr>
            </w:pPr>
            <w:r>
              <w:rPr>
                <w:rFonts w:ascii="宋体" w:hAnsi="宋体" w:cs="宋体" w:hint="eastAsia"/>
              </w:rPr>
              <w:t>37,752</w:t>
            </w:r>
          </w:p>
        </w:tc>
      </w:tr>
      <w:tr>
        <w:trPr>
          <w:trHeight w:val="255"/>
        </w:trPr>
        <w:tc>
          <w:tcPr>
            <w:tcW w:w="1696" w:type="dxa"/>
            <w:vAlign w:val="center"/>
          </w:tcPr>
          <w:p>
            <w:pPr>
              <w:ind w:firstLineChars="200" w:firstLine="420"/>
              <w:rPr>
                <w:rFonts w:ascii="宋体" w:hAnsi="宋体"/>
              </w:rPr>
            </w:pPr>
            <w:r>
              <w:rPr>
                <w:rFonts w:ascii="宋体" w:hAnsi="宋体" w:cs="宋体" w:hint="eastAsia"/>
              </w:rPr>
              <w:t>（3）重分类转出</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rPr>
              <w:t>2,905,288</w:t>
            </w:r>
          </w:p>
        </w:tc>
        <w:tc>
          <w:tcPr>
            <w:tcW w:w="1559" w:type="dxa"/>
            <w:vAlign w:val="center"/>
          </w:tcPr>
          <w:p>
            <w:pPr>
              <w:jc w:val="right"/>
              <w:rPr>
                <w:rFonts w:ascii="宋体" w:hAnsi="宋体"/>
              </w:rPr>
            </w:pPr>
            <w:r>
              <w:rPr>
                <w:rFonts w:ascii="宋体" w:hAnsi="宋体" w:cs="宋体" w:hint="eastAsia"/>
              </w:rPr>
              <w:t>600,775</w:t>
            </w:r>
          </w:p>
        </w:tc>
        <w:tc>
          <w:tcPr>
            <w:tcW w:w="1701" w:type="dxa"/>
            <w:vAlign w:val="center"/>
          </w:tcPr>
          <w:p>
            <w:pPr>
              <w:jc w:val="right"/>
              <w:rPr>
                <w:rFonts w:ascii="宋体" w:hAnsi="宋体"/>
              </w:rPr>
            </w:pPr>
          </w:p>
        </w:tc>
        <w:tc>
          <w:tcPr>
            <w:tcW w:w="1421" w:type="dxa"/>
            <w:vAlign w:val="center"/>
          </w:tcPr>
          <w:p>
            <w:pPr>
              <w:jc w:val="right"/>
              <w:rPr>
                <w:rFonts w:ascii="宋体" w:hAnsi="宋体"/>
              </w:rPr>
            </w:pPr>
            <w:r>
              <w:rPr>
                <w:rFonts w:ascii="宋体" w:hAnsi="宋体"/>
              </w:rPr>
              <w:t>3,164,829</w:t>
            </w:r>
          </w:p>
        </w:tc>
        <w:tc>
          <w:tcPr>
            <w:tcW w:w="1556" w:type="dxa"/>
            <w:vAlign w:val="center"/>
          </w:tcPr>
          <w:p>
            <w:pPr>
              <w:jc w:val="right"/>
              <w:rPr>
                <w:rFonts w:ascii="宋体" w:hAnsi="宋体"/>
              </w:rPr>
            </w:pPr>
            <w:r>
              <w:rPr>
                <w:rFonts w:ascii="宋体" w:hAnsi="宋体"/>
              </w:rPr>
              <w:t>1,140,961</w:t>
            </w:r>
          </w:p>
        </w:tc>
        <w:tc>
          <w:tcPr>
            <w:tcW w:w="1418" w:type="dxa"/>
            <w:vAlign w:val="center"/>
          </w:tcPr>
          <w:p>
            <w:pPr>
              <w:jc w:val="right"/>
              <w:rPr>
                <w:rFonts w:ascii="宋体" w:hAnsi="宋体"/>
              </w:rPr>
            </w:pPr>
            <w:r>
              <w:rPr>
                <w:rFonts w:ascii="宋体" w:hAnsi="宋体" w:cs="宋体" w:hint="eastAsia"/>
              </w:rPr>
              <w:t>583,522</w:t>
            </w:r>
          </w:p>
        </w:tc>
        <w:tc>
          <w:tcPr>
            <w:tcW w:w="1602" w:type="dxa"/>
            <w:vAlign w:val="center"/>
          </w:tcPr>
          <w:p>
            <w:pPr>
              <w:jc w:val="right"/>
              <w:rPr>
                <w:rFonts w:ascii="宋体" w:hAnsi="宋体"/>
              </w:rPr>
            </w:pPr>
            <w:r>
              <w:rPr>
                <w:rFonts w:ascii="宋体" w:hAnsi="宋体"/>
              </w:rPr>
              <w:t>8,395,375</w:t>
            </w:r>
          </w:p>
        </w:tc>
      </w:tr>
      <w:tr>
        <w:trPr>
          <w:trHeight w:val="255"/>
        </w:trPr>
        <w:tc>
          <w:tcPr>
            <w:tcW w:w="1696" w:type="dxa"/>
            <w:vAlign w:val="center"/>
          </w:tcPr>
          <w:p>
            <w:pPr>
              <w:ind w:firstLineChars="200" w:firstLine="420"/>
              <w:rPr>
                <w:rFonts w:ascii="宋体" w:hAnsi="宋体"/>
              </w:rPr>
            </w:pPr>
            <w:r>
              <w:rPr>
                <w:rFonts w:ascii="宋体" w:hAnsi="宋体" w:cs="宋体" w:hint="eastAsia"/>
              </w:rPr>
              <w:t>（4）其他减少</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rPr>
              <w:t>4,768</w:t>
            </w: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421" w:type="dxa"/>
            <w:vAlign w:val="center"/>
          </w:tcPr>
          <w:p>
            <w:pPr>
              <w:jc w:val="right"/>
              <w:rPr>
                <w:rFonts w:ascii="宋体" w:hAnsi="宋体"/>
              </w:rPr>
            </w:pPr>
            <w:r>
              <w:rPr>
                <w:rFonts w:ascii="宋体" w:hAnsi="宋体"/>
              </w:rPr>
              <w:t>37,824</w:t>
            </w: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r>
              <w:rPr>
                <w:rFonts w:ascii="宋体" w:hAnsi="宋体"/>
              </w:rPr>
              <w:t>42,592</w:t>
            </w:r>
          </w:p>
        </w:tc>
      </w:tr>
      <w:tr>
        <w:tc>
          <w:tcPr>
            <w:tcW w:w="1696" w:type="dxa"/>
            <w:vAlign w:val="center"/>
          </w:tcPr>
          <w:p>
            <w:pPr>
              <w:ind w:firstLineChars="200" w:firstLine="420"/>
              <w:rPr>
                <w:rFonts w:ascii="宋体" w:hAnsi="宋体"/>
              </w:rPr>
            </w:pPr>
            <w:r>
              <w:rPr>
                <w:rFonts w:ascii="宋体" w:hAnsi="宋体" w:hint="eastAsia"/>
              </w:rPr>
              <w:t>4.外币报表折算差额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53,167</w:t>
            </w:r>
          </w:p>
        </w:tc>
        <w:tc>
          <w:tcPr>
            <w:tcW w:w="1559" w:type="dxa"/>
            <w:vAlign w:val="center"/>
          </w:tcPr>
          <w:p>
            <w:pPr>
              <w:jc w:val="right"/>
              <w:rPr>
                <w:rFonts w:ascii="宋体" w:hAnsi="宋体"/>
              </w:rPr>
            </w:pPr>
            <w:r>
              <w:rPr>
                <w:rFonts w:ascii="宋体" w:hAnsi="宋体" w:cs="宋体" w:hint="eastAsia"/>
              </w:rPr>
              <w:t>270,345</w:t>
            </w:r>
          </w:p>
        </w:tc>
        <w:tc>
          <w:tcPr>
            <w:tcW w:w="1701" w:type="dxa"/>
            <w:vAlign w:val="center"/>
          </w:tcPr>
          <w:p>
            <w:pPr>
              <w:jc w:val="right"/>
              <w:rPr>
                <w:rFonts w:ascii="宋体" w:hAnsi="宋体"/>
              </w:rPr>
            </w:pPr>
          </w:p>
        </w:tc>
        <w:tc>
          <w:tcPr>
            <w:tcW w:w="1421" w:type="dxa"/>
            <w:vAlign w:val="center"/>
          </w:tcPr>
          <w:p>
            <w:pPr>
              <w:jc w:val="right"/>
              <w:rPr>
                <w:rFonts w:ascii="宋体" w:hAnsi="宋体"/>
              </w:rPr>
            </w:pPr>
            <w:r>
              <w:rPr>
                <w:rFonts w:ascii="宋体" w:hAnsi="宋体" w:cs="宋体" w:hint="eastAsia"/>
              </w:rPr>
              <w:t>584,269</w:t>
            </w:r>
          </w:p>
        </w:tc>
        <w:tc>
          <w:tcPr>
            <w:tcW w:w="1556"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cs="宋体" w:hint="eastAsia"/>
              </w:rPr>
              <w:t>49,698</w:t>
            </w:r>
          </w:p>
        </w:tc>
        <w:tc>
          <w:tcPr>
            <w:tcW w:w="1602" w:type="dxa"/>
            <w:vAlign w:val="center"/>
          </w:tcPr>
          <w:p>
            <w:pPr>
              <w:jc w:val="right"/>
              <w:rPr>
                <w:rFonts w:ascii="宋体" w:hAnsi="宋体"/>
              </w:rPr>
            </w:pPr>
            <w:r>
              <w:rPr>
                <w:rFonts w:ascii="宋体" w:hAnsi="宋体"/>
              </w:rPr>
              <w:t>957,479</w:t>
            </w:r>
          </w:p>
        </w:tc>
      </w:tr>
      <w:tr>
        <w:trPr>
          <w:trHeight w:val="278"/>
        </w:trPr>
        <w:tc>
          <w:tcPr>
            <w:tcW w:w="1696" w:type="dxa"/>
            <w:vAlign w:val="center"/>
          </w:tcPr>
          <w:p>
            <w:pPr>
              <w:ind w:firstLineChars="200" w:firstLine="420"/>
              <w:rPr>
                <w:rFonts w:ascii="宋体" w:hAnsi="宋体"/>
              </w:rPr>
            </w:pPr>
            <w:r>
              <w:rPr>
                <w:rFonts w:ascii="宋体" w:hAnsi="宋体" w:hint="eastAsia"/>
              </w:rPr>
              <w:t>5.期末余额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6,731,041</w:t>
            </w:r>
          </w:p>
        </w:tc>
        <w:tc>
          <w:tcPr>
            <w:tcW w:w="1559" w:type="dxa"/>
            <w:vAlign w:val="center"/>
          </w:tcPr>
          <w:p>
            <w:pPr>
              <w:jc w:val="right"/>
              <w:rPr>
                <w:rFonts w:ascii="宋体" w:hAnsi="宋体"/>
              </w:rPr>
            </w:pPr>
            <w:r>
              <w:rPr>
                <w:rFonts w:ascii="宋体" w:hAnsi="宋体" w:cs="宋体" w:hint="eastAsia"/>
              </w:rPr>
              <w:t>20,334,529</w:t>
            </w:r>
          </w:p>
        </w:tc>
        <w:tc>
          <w:tcPr>
            <w:tcW w:w="1701" w:type="dxa"/>
            <w:vAlign w:val="center"/>
          </w:tcPr>
          <w:p>
            <w:pPr>
              <w:jc w:val="right"/>
              <w:rPr>
                <w:rFonts w:ascii="宋体" w:hAnsi="宋体"/>
              </w:rPr>
            </w:pPr>
            <w:r>
              <w:rPr>
                <w:rFonts w:ascii="宋体" w:hAnsi="宋体" w:cs="宋体" w:hint="eastAsia"/>
              </w:rPr>
              <w:t>16,977,723</w:t>
            </w:r>
          </w:p>
        </w:tc>
        <w:tc>
          <w:tcPr>
            <w:tcW w:w="1421" w:type="dxa"/>
            <w:vAlign w:val="center"/>
          </w:tcPr>
          <w:p>
            <w:pPr>
              <w:jc w:val="right"/>
              <w:rPr>
                <w:rFonts w:ascii="宋体" w:hAnsi="宋体"/>
              </w:rPr>
            </w:pPr>
            <w:r>
              <w:rPr>
                <w:rFonts w:ascii="宋体" w:hAnsi="宋体"/>
              </w:rPr>
              <w:t>67,574,607</w:t>
            </w:r>
          </w:p>
        </w:tc>
        <w:tc>
          <w:tcPr>
            <w:tcW w:w="1556" w:type="dxa"/>
            <w:vAlign w:val="center"/>
          </w:tcPr>
          <w:p>
            <w:pPr>
              <w:jc w:val="right"/>
              <w:rPr>
                <w:rFonts w:ascii="宋体" w:hAnsi="宋体"/>
              </w:rPr>
            </w:pPr>
            <w:r>
              <w:rPr>
                <w:rFonts w:ascii="宋体" w:hAnsi="宋体"/>
              </w:rPr>
              <w:t>2,635,427</w:t>
            </w:r>
          </w:p>
        </w:tc>
        <w:tc>
          <w:tcPr>
            <w:tcW w:w="1418" w:type="dxa"/>
            <w:vAlign w:val="center"/>
          </w:tcPr>
          <w:p>
            <w:pPr>
              <w:jc w:val="right"/>
              <w:rPr>
                <w:rFonts w:ascii="宋体" w:hAnsi="宋体"/>
              </w:rPr>
            </w:pPr>
            <w:r>
              <w:rPr>
                <w:rFonts w:ascii="宋体" w:hAnsi="宋体"/>
              </w:rPr>
              <w:t>7,898,815</w:t>
            </w:r>
          </w:p>
        </w:tc>
        <w:tc>
          <w:tcPr>
            <w:tcW w:w="1602" w:type="dxa"/>
            <w:vAlign w:val="center"/>
          </w:tcPr>
          <w:p>
            <w:pPr>
              <w:jc w:val="right"/>
              <w:rPr>
                <w:rFonts w:ascii="宋体" w:hAnsi="宋体"/>
              </w:rPr>
            </w:pPr>
            <w:r>
              <w:rPr>
                <w:rFonts w:ascii="宋体" w:hAnsi="宋体"/>
              </w:rPr>
              <w:t>122,152,142</w:t>
            </w:r>
          </w:p>
        </w:tc>
      </w:tr>
      <w:tr>
        <w:trPr>
          <w:trHeight w:val="278"/>
        </w:trPr>
        <w:sdt>
          <w:sdtPr>
            <w:rPr>
              <w:rFonts w:ascii="宋体" w:hAnsi="宋体"/>
            </w:rPr>
            <w:tag w:val="_PLD_b98cd9e8075a44b28b16fc9fd4c3c81f"/>
            <w:id w:val="-712885996"/>
          </w:sdtPr>
          <w:sdtContent>
            <w:tc>
              <w:tcPr>
                <w:tcW w:w="13930" w:type="dxa"/>
                <w:gridSpan w:val="9"/>
                <w:vAlign w:val="center"/>
              </w:tcPr>
              <w:p>
                <w:pPr>
                  <w:rPr>
                    <w:rFonts w:ascii="宋体" w:hAnsi="宋体"/>
                  </w:rPr>
                </w:pPr>
                <w:r>
                  <w:rPr>
                    <w:rFonts w:ascii="宋体" w:hAnsi="宋体" w:hint="eastAsia"/>
                  </w:rPr>
                  <w:t>三、减值准备</w:t>
                </w:r>
              </w:p>
            </w:tc>
          </w:sdtContent>
        </w:sdt>
      </w:tr>
      <w:tr>
        <w:trPr>
          <w:trHeight w:val="278"/>
        </w:trPr>
        <w:tc>
          <w:tcPr>
            <w:tcW w:w="1696" w:type="dxa"/>
            <w:vAlign w:val="center"/>
          </w:tcPr>
          <w:p>
            <w:pPr>
              <w:ind w:firstLineChars="200" w:firstLine="420"/>
              <w:rPr>
                <w:rFonts w:ascii="宋体" w:hAnsi="宋体"/>
              </w:rPr>
            </w:pPr>
            <w:r>
              <w:rPr>
                <w:rFonts w:ascii="宋体" w:hAnsi="宋体"/>
              </w:rPr>
              <w:t>1.</w:t>
            </w:r>
            <w:r>
              <w:rPr>
                <w:rFonts w:ascii="宋体" w:hAnsi="宋体" w:hint="eastAsia"/>
              </w:rPr>
              <w:t>期初余额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60,914</w:t>
            </w:r>
          </w:p>
        </w:tc>
        <w:tc>
          <w:tcPr>
            <w:tcW w:w="1559" w:type="dxa"/>
            <w:vAlign w:val="center"/>
          </w:tcPr>
          <w:p>
            <w:pPr>
              <w:jc w:val="right"/>
              <w:rPr>
                <w:rFonts w:ascii="宋体" w:hAnsi="宋体"/>
              </w:rPr>
            </w:pPr>
            <w:r>
              <w:rPr>
                <w:rFonts w:ascii="宋体" w:hAnsi="宋体" w:cs="宋体" w:hint="eastAsia"/>
              </w:rPr>
              <w:t>1,160,837</w:t>
            </w:r>
          </w:p>
        </w:tc>
        <w:tc>
          <w:tcPr>
            <w:tcW w:w="1701" w:type="dxa"/>
            <w:vAlign w:val="center"/>
          </w:tcPr>
          <w:p>
            <w:pPr>
              <w:jc w:val="right"/>
              <w:rPr>
                <w:rFonts w:ascii="宋体" w:hAnsi="宋体"/>
              </w:rPr>
            </w:pPr>
            <w:r>
              <w:rPr>
                <w:rFonts w:ascii="宋体" w:hAnsi="宋体" w:cs="宋体" w:hint="eastAsia"/>
              </w:rPr>
              <w:t>92,184</w:t>
            </w:r>
          </w:p>
        </w:tc>
        <w:tc>
          <w:tcPr>
            <w:tcW w:w="1421" w:type="dxa"/>
            <w:vAlign w:val="center"/>
          </w:tcPr>
          <w:p>
            <w:pPr>
              <w:jc w:val="right"/>
              <w:rPr>
                <w:rFonts w:ascii="宋体" w:hAnsi="宋体"/>
              </w:rPr>
            </w:pPr>
            <w:r>
              <w:rPr>
                <w:rFonts w:ascii="宋体" w:hAnsi="宋体" w:cs="宋体" w:hint="eastAsia"/>
              </w:rPr>
              <w:t>264,633</w:t>
            </w:r>
          </w:p>
        </w:tc>
        <w:tc>
          <w:tcPr>
            <w:tcW w:w="1556" w:type="dxa"/>
            <w:vAlign w:val="center"/>
          </w:tcPr>
          <w:p>
            <w:pPr>
              <w:jc w:val="right"/>
              <w:rPr>
                <w:rFonts w:ascii="宋体" w:hAnsi="宋体"/>
              </w:rPr>
            </w:pPr>
            <w:r>
              <w:rPr>
                <w:rFonts w:ascii="宋体" w:hAnsi="宋体" w:cs="宋体" w:hint="eastAsia"/>
              </w:rPr>
              <w:t>1,119</w:t>
            </w:r>
          </w:p>
        </w:tc>
        <w:tc>
          <w:tcPr>
            <w:tcW w:w="1418" w:type="dxa"/>
            <w:vAlign w:val="center"/>
          </w:tcPr>
          <w:p>
            <w:pPr>
              <w:jc w:val="right"/>
              <w:rPr>
                <w:rFonts w:ascii="宋体" w:hAnsi="宋体"/>
              </w:rPr>
            </w:pPr>
            <w:r>
              <w:rPr>
                <w:rFonts w:ascii="宋体" w:hAnsi="宋体" w:cs="宋体" w:hint="eastAsia"/>
              </w:rPr>
              <w:t>9,551</w:t>
            </w:r>
          </w:p>
        </w:tc>
        <w:tc>
          <w:tcPr>
            <w:tcW w:w="1602" w:type="dxa"/>
            <w:vAlign w:val="center"/>
          </w:tcPr>
          <w:p>
            <w:pPr>
              <w:jc w:val="right"/>
              <w:rPr>
                <w:rFonts w:ascii="宋体" w:hAnsi="宋体"/>
              </w:rPr>
            </w:pPr>
            <w:r>
              <w:rPr>
                <w:rFonts w:ascii="宋体" w:hAnsi="宋体" w:cs="宋体" w:hint="eastAsia"/>
              </w:rPr>
              <w:t>1,589,238</w:t>
            </w:r>
          </w:p>
        </w:tc>
      </w:tr>
      <w:tr>
        <w:trPr>
          <w:trHeight w:val="289"/>
        </w:trPr>
        <w:tc>
          <w:tcPr>
            <w:tcW w:w="1696" w:type="dxa"/>
            <w:vAlign w:val="center"/>
          </w:tcPr>
          <w:p>
            <w:pPr>
              <w:ind w:firstLineChars="200" w:firstLine="420"/>
              <w:rPr>
                <w:rFonts w:ascii="宋体" w:hAnsi="宋体"/>
              </w:rPr>
            </w:pPr>
            <w:r>
              <w:rPr>
                <w:rFonts w:ascii="宋体" w:hAnsi="宋体"/>
              </w:rPr>
              <w:t>2.</w:t>
            </w:r>
            <w:r>
              <w:rPr>
                <w:rFonts w:ascii="宋体" w:hAnsi="宋体" w:hint="eastAsia"/>
              </w:rPr>
              <w:t>本期增加金额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6,404</w:t>
            </w:r>
          </w:p>
        </w:tc>
        <w:tc>
          <w:tcPr>
            <w:tcW w:w="1559" w:type="dxa"/>
            <w:vAlign w:val="center"/>
          </w:tcPr>
          <w:p>
            <w:pPr>
              <w:jc w:val="right"/>
              <w:rPr>
                <w:rFonts w:ascii="宋体" w:hAnsi="宋体"/>
              </w:rPr>
            </w:pPr>
            <w:r>
              <w:rPr>
                <w:rFonts w:ascii="宋体" w:hAnsi="宋体" w:cs="宋体" w:hint="eastAsia"/>
              </w:rPr>
              <w:t>1,872</w:t>
            </w:r>
          </w:p>
        </w:tc>
        <w:tc>
          <w:tcPr>
            <w:tcW w:w="1701" w:type="dxa"/>
            <w:vAlign w:val="center"/>
          </w:tcPr>
          <w:p>
            <w:pPr>
              <w:jc w:val="right"/>
              <w:rPr>
                <w:rFonts w:ascii="宋体" w:hAnsi="宋体"/>
              </w:rPr>
            </w:pPr>
            <w:r>
              <w:rPr>
                <w:rFonts w:ascii="宋体" w:hAnsi="宋体" w:cs="宋体" w:hint="eastAsia"/>
              </w:rPr>
              <w:t>332</w:t>
            </w:r>
          </w:p>
        </w:tc>
        <w:tc>
          <w:tcPr>
            <w:tcW w:w="1421" w:type="dxa"/>
            <w:vAlign w:val="center"/>
          </w:tcPr>
          <w:p>
            <w:pPr>
              <w:jc w:val="right"/>
              <w:rPr>
                <w:rFonts w:ascii="宋体" w:hAnsi="宋体"/>
              </w:rPr>
            </w:pPr>
            <w:r>
              <w:rPr>
                <w:rFonts w:ascii="宋体" w:hAnsi="宋体" w:cs="宋体" w:hint="eastAsia"/>
              </w:rPr>
              <w:t>7</w:t>
            </w: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r>
              <w:rPr>
                <w:rFonts w:ascii="宋体" w:hAnsi="宋体" w:cs="宋体" w:hint="eastAsia"/>
              </w:rPr>
              <w:t>8,615</w:t>
            </w:r>
          </w:p>
        </w:tc>
      </w:tr>
      <w:tr>
        <w:trPr>
          <w:trHeight w:val="278"/>
        </w:trPr>
        <w:tc>
          <w:tcPr>
            <w:tcW w:w="1696" w:type="dxa"/>
            <w:vAlign w:val="center"/>
          </w:tcPr>
          <w:p>
            <w:pPr>
              <w:ind w:firstLineChars="200" w:firstLine="420"/>
              <w:rPr>
                <w:rFonts w:ascii="宋体" w:hAnsi="宋体"/>
              </w:rPr>
            </w:pPr>
            <w:r>
              <w:rPr>
                <w:rFonts w:ascii="宋体" w:hAnsi="宋体" w:cs="宋体" w:hint="eastAsia"/>
              </w:rPr>
              <w:t>（1）计提</w:t>
            </w:r>
          </w:p>
        </w:tc>
        <w:tc>
          <w:tcPr>
            <w:tcW w:w="1276"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421" w:type="dxa"/>
            <w:vAlign w:val="center"/>
          </w:tcPr>
          <w:p>
            <w:pPr>
              <w:jc w:val="right"/>
              <w:rPr>
                <w:rFonts w:ascii="宋体" w:hAnsi="宋体"/>
              </w:rPr>
            </w:pP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p>
        </w:tc>
      </w:tr>
      <w:tr>
        <w:trPr>
          <w:trHeight w:val="255"/>
        </w:trPr>
        <w:tc>
          <w:tcPr>
            <w:tcW w:w="1696" w:type="dxa"/>
            <w:vAlign w:val="center"/>
          </w:tcPr>
          <w:p>
            <w:pPr>
              <w:ind w:firstLineChars="200" w:firstLine="420"/>
              <w:rPr>
                <w:rFonts w:ascii="宋体" w:hAnsi="宋体"/>
              </w:rPr>
            </w:pPr>
            <w:r>
              <w:rPr>
                <w:rFonts w:ascii="宋体" w:hAnsi="宋体" w:cs="宋体" w:hint="eastAsia"/>
              </w:rPr>
              <w:t>（2）重分类转入</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6,404</w:t>
            </w:r>
          </w:p>
        </w:tc>
        <w:tc>
          <w:tcPr>
            <w:tcW w:w="1559" w:type="dxa"/>
            <w:vAlign w:val="center"/>
          </w:tcPr>
          <w:p>
            <w:pPr>
              <w:jc w:val="right"/>
              <w:rPr>
                <w:rFonts w:ascii="宋体" w:hAnsi="宋体"/>
              </w:rPr>
            </w:pPr>
            <w:r>
              <w:rPr>
                <w:rFonts w:ascii="宋体" w:hAnsi="宋体" w:cs="宋体" w:hint="eastAsia"/>
              </w:rPr>
              <w:t>1,872</w:t>
            </w:r>
          </w:p>
        </w:tc>
        <w:tc>
          <w:tcPr>
            <w:tcW w:w="1701" w:type="dxa"/>
            <w:vAlign w:val="center"/>
          </w:tcPr>
          <w:p>
            <w:pPr>
              <w:jc w:val="right"/>
              <w:rPr>
                <w:rFonts w:ascii="宋体" w:hAnsi="宋体"/>
              </w:rPr>
            </w:pPr>
            <w:r>
              <w:rPr>
                <w:rFonts w:ascii="宋体" w:hAnsi="宋体" w:cs="宋体" w:hint="eastAsia"/>
              </w:rPr>
              <w:t>332</w:t>
            </w:r>
          </w:p>
        </w:tc>
        <w:tc>
          <w:tcPr>
            <w:tcW w:w="1421" w:type="dxa"/>
            <w:vAlign w:val="center"/>
          </w:tcPr>
          <w:p>
            <w:pPr>
              <w:jc w:val="right"/>
              <w:rPr>
                <w:rFonts w:ascii="宋体" w:hAnsi="宋体"/>
              </w:rPr>
            </w:pPr>
            <w:r>
              <w:rPr>
                <w:rFonts w:ascii="宋体" w:hAnsi="宋体" w:cs="宋体" w:hint="eastAsia"/>
              </w:rPr>
              <w:t>7</w:t>
            </w: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r>
              <w:rPr>
                <w:rFonts w:ascii="宋体" w:hAnsi="宋体" w:cs="宋体" w:hint="eastAsia"/>
              </w:rPr>
              <w:t>8,615</w:t>
            </w:r>
          </w:p>
        </w:tc>
      </w:tr>
      <w:tr>
        <w:trPr>
          <w:trHeight w:val="242"/>
        </w:trPr>
        <w:tc>
          <w:tcPr>
            <w:tcW w:w="1696" w:type="dxa"/>
            <w:vAlign w:val="center"/>
          </w:tcPr>
          <w:p>
            <w:pPr>
              <w:ind w:firstLineChars="200" w:firstLine="420"/>
              <w:rPr>
                <w:rFonts w:ascii="宋体" w:hAnsi="宋体"/>
              </w:rPr>
            </w:pPr>
            <w:r>
              <w:rPr>
                <w:rFonts w:ascii="宋体" w:hAnsi="宋体" w:cs="宋体" w:hint="eastAsia"/>
              </w:rPr>
              <w:lastRenderedPageBreak/>
              <w:t>（3）其他增加</w:t>
            </w:r>
          </w:p>
        </w:tc>
        <w:tc>
          <w:tcPr>
            <w:tcW w:w="1276"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421" w:type="dxa"/>
            <w:vAlign w:val="center"/>
          </w:tcPr>
          <w:p>
            <w:pPr>
              <w:jc w:val="right"/>
              <w:rPr>
                <w:rFonts w:ascii="宋体" w:hAnsi="宋体"/>
              </w:rPr>
            </w:pP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p>
        </w:tc>
      </w:tr>
      <w:tr>
        <w:trPr>
          <w:trHeight w:val="278"/>
        </w:trPr>
        <w:tc>
          <w:tcPr>
            <w:tcW w:w="1696" w:type="dxa"/>
            <w:vAlign w:val="center"/>
          </w:tcPr>
          <w:p>
            <w:pPr>
              <w:ind w:firstLineChars="200" w:firstLine="420"/>
              <w:rPr>
                <w:rFonts w:ascii="宋体" w:hAnsi="宋体"/>
              </w:rPr>
            </w:pPr>
            <w:r>
              <w:rPr>
                <w:rFonts w:ascii="宋体" w:hAnsi="宋体" w:hint="eastAsia"/>
              </w:rPr>
              <w:t>3.本期减少金额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24,146</w:t>
            </w:r>
          </w:p>
        </w:tc>
        <w:tc>
          <w:tcPr>
            <w:tcW w:w="1559" w:type="dxa"/>
            <w:vAlign w:val="center"/>
          </w:tcPr>
          <w:p>
            <w:pPr>
              <w:jc w:val="right"/>
              <w:rPr>
                <w:rFonts w:ascii="宋体" w:hAnsi="宋体"/>
              </w:rPr>
            </w:pPr>
            <w:r>
              <w:rPr>
                <w:rFonts w:ascii="宋体" w:hAnsi="宋体" w:cs="宋体" w:hint="eastAsia"/>
              </w:rPr>
              <w:t>358,036</w:t>
            </w:r>
          </w:p>
        </w:tc>
        <w:tc>
          <w:tcPr>
            <w:tcW w:w="1701" w:type="dxa"/>
            <w:vAlign w:val="center"/>
          </w:tcPr>
          <w:p>
            <w:pPr>
              <w:jc w:val="right"/>
              <w:rPr>
                <w:rFonts w:ascii="宋体" w:hAnsi="宋体"/>
              </w:rPr>
            </w:pPr>
            <w:r>
              <w:rPr>
                <w:rFonts w:ascii="宋体" w:hAnsi="宋体" w:cs="宋体" w:hint="eastAsia"/>
              </w:rPr>
              <w:t>18,465</w:t>
            </w:r>
          </w:p>
        </w:tc>
        <w:tc>
          <w:tcPr>
            <w:tcW w:w="1421" w:type="dxa"/>
            <w:vAlign w:val="center"/>
          </w:tcPr>
          <w:p>
            <w:pPr>
              <w:jc w:val="right"/>
              <w:rPr>
                <w:rFonts w:ascii="宋体" w:hAnsi="宋体"/>
              </w:rPr>
            </w:pPr>
            <w:r>
              <w:rPr>
                <w:rFonts w:ascii="宋体" w:hAnsi="宋体" w:cs="宋体" w:hint="eastAsia"/>
              </w:rPr>
              <w:t>144,253</w:t>
            </w: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r>
              <w:rPr>
                <w:rFonts w:ascii="宋体" w:hAnsi="宋体" w:cs="宋体" w:hint="eastAsia"/>
              </w:rPr>
              <w:t>544,900</w:t>
            </w:r>
          </w:p>
        </w:tc>
      </w:tr>
      <w:tr>
        <w:trPr>
          <w:trHeight w:val="289"/>
        </w:trPr>
        <w:tc>
          <w:tcPr>
            <w:tcW w:w="1696" w:type="dxa"/>
            <w:vAlign w:val="center"/>
          </w:tcPr>
          <w:p>
            <w:pPr>
              <w:ind w:firstLineChars="200" w:firstLine="420"/>
              <w:rPr>
                <w:rFonts w:ascii="宋体" w:hAnsi="宋体"/>
              </w:rPr>
            </w:pPr>
            <w:r>
              <w:rPr>
                <w:rFonts w:ascii="宋体" w:hAnsi="宋体" w:cs="宋体" w:hint="eastAsia"/>
              </w:rPr>
              <w:t>（1）处置或报废</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17,669</w:t>
            </w:r>
          </w:p>
        </w:tc>
        <w:tc>
          <w:tcPr>
            <w:tcW w:w="1559" w:type="dxa"/>
            <w:vAlign w:val="center"/>
          </w:tcPr>
          <w:p>
            <w:pPr>
              <w:jc w:val="right"/>
              <w:rPr>
                <w:rFonts w:ascii="宋体" w:hAnsi="宋体"/>
              </w:rPr>
            </w:pPr>
            <w:r>
              <w:rPr>
                <w:rFonts w:ascii="宋体" w:hAnsi="宋体" w:cs="宋体" w:hint="eastAsia"/>
              </w:rPr>
              <w:t>358,036</w:t>
            </w:r>
          </w:p>
        </w:tc>
        <w:tc>
          <w:tcPr>
            <w:tcW w:w="1701" w:type="dxa"/>
            <w:vAlign w:val="center"/>
          </w:tcPr>
          <w:p>
            <w:pPr>
              <w:jc w:val="right"/>
              <w:rPr>
                <w:rFonts w:ascii="宋体" w:hAnsi="宋体"/>
              </w:rPr>
            </w:pPr>
            <w:r>
              <w:rPr>
                <w:rFonts w:ascii="宋体" w:hAnsi="宋体" w:cs="宋体" w:hint="eastAsia"/>
              </w:rPr>
              <w:t>16,500</w:t>
            </w:r>
          </w:p>
        </w:tc>
        <w:tc>
          <w:tcPr>
            <w:tcW w:w="1421" w:type="dxa"/>
            <w:vAlign w:val="center"/>
          </w:tcPr>
          <w:p>
            <w:pPr>
              <w:jc w:val="right"/>
              <w:rPr>
                <w:rFonts w:ascii="宋体" w:hAnsi="宋体"/>
              </w:rPr>
            </w:pPr>
            <w:r>
              <w:rPr>
                <w:rFonts w:ascii="宋体" w:hAnsi="宋体" w:cs="宋体" w:hint="eastAsia"/>
              </w:rPr>
              <w:t>144,080</w:t>
            </w: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r>
              <w:rPr>
                <w:rFonts w:ascii="宋体" w:hAnsi="宋体" w:cs="宋体" w:hint="eastAsia"/>
              </w:rPr>
              <w:t>536,285</w:t>
            </w:r>
          </w:p>
        </w:tc>
      </w:tr>
      <w:tr>
        <w:trPr>
          <w:trHeight w:val="242"/>
        </w:trPr>
        <w:tc>
          <w:tcPr>
            <w:tcW w:w="1696" w:type="dxa"/>
            <w:vAlign w:val="center"/>
          </w:tcPr>
          <w:p>
            <w:pPr>
              <w:ind w:firstLineChars="200" w:firstLine="420"/>
              <w:rPr>
                <w:rFonts w:ascii="宋体" w:hAnsi="宋体"/>
              </w:rPr>
            </w:pPr>
            <w:r>
              <w:rPr>
                <w:rFonts w:ascii="宋体" w:hAnsi="宋体" w:cs="宋体" w:hint="eastAsia"/>
              </w:rPr>
              <w:t>（2）重分类转出</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6,477</w:t>
            </w:r>
          </w:p>
        </w:tc>
        <w:tc>
          <w:tcPr>
            <w:tcW w:w="1559"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1,965</w:t>
            </w:r>
          </w:p>
        </w:tc>
        <w:tc>
          <w:tcPr>
            <w:tcW w:w="1421" w:type="dxa"/>
            <w:vAlign w:val="center"/>
          </w:tcPr>
          <w:p>
            <w:pPr>
              <w:jc w:val="right"/>
              <w:rPr>
                <w:rFonts w:ascii="宋体" w:hAnsi="宋体"/>
              </w:rPr>
            </w:pPr>
            <w:r>
              <w:rPr>
                <w:rFonts w:ascii="宋体" w:hAnsi="宋体" w:cs="宋体" w:hint="eastAsia"/>
              </w:rPr>
              <w:t>173</w:t>
            </w: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r>
              <w:rPr>
                <w:rFonts w:ascii="宋体" w:hAnsi="宋体" w:cs="宋体" w:hint="eastAsia"/>
              </w:rPr>
              <w:t>8,615</w:t>
            </w:r>
          </w:p>
        </w:tc>
      </w:tr>
      <w:tr>
        <w:trPr>
          <w:trHeight w:val="255"/>
        </w:trPr>
        <w:tc>
          <w:tcPr>
            <w:tcW w:w="1696" w:type="dxa"/>
            <w:vAlign w:val="center"/>
          </w:tcPr>
          <w:p>
            <w:pPr>
              <w:ind w:firstLineChars="200" w:firstLine="420"/>
              <w:rPr>
                <w:rFonts w:ascii="宋体" w:hAnsi="宋体"/>
              </w:rPr>
            </w:pPr>
            <w:r>
              <w:rPr>
                <w:rFonts w:ascii="宋体" w:hAnsi="宋体" w:cs="宋体" w:hint="eastAsia"/>
              </w:rPr>
              <w:t>（3）其他减少</w:t>
            </w:r>
          </w:p>
        </w:tc>
        <w:tc>
          <w:tcPr>
            <w:tcW w:w="1276"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421" w:type="dxa"/>
            <w:vAlign w:val="center"/>
          </w:tcPr>
          <w:p>
            <w:pPr>
              <w:jc w:val="right"/>
              <w:rPr>
                <w:rFonts w:ascii="宋体" w:hAnsi="宋体"/>
              </w:rPr>
            </w:pP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p>
        </w:tc>
      </w:tr>
      <w:tr>
        <w:trPr>
          <w:trHeight w:val="278"/>
        </w:trPr>
        <w:tc>
          <w:tcPr>
            <w:tcW w:w="1696" w:type="dxa"/>
            <w:vAlign w:val="center"/>
          </w:tcPr>
          <w:p>
            <w:pPr>
              <w:ind w:firstLineChars="200" w:firstLine="420"/>
              <w:rPr>
                <w:rFonts w:ascii="宋体" w:hAnsi="宋体"/>
              </w:rPr>
            </w:pPr>
            <w:r>
              <w:rPr>
                <w:rFonts w:ascii="宋体" w:hAnsi="宋体" w:hint="eastAsia"/>
              </w:rPr>
              <w:t>4.外币报表折算差额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74</w:t>
            </w:r>
          </w:p>
        </w:tc>
        <w:tc>
          <w:tcPr>
            <w:tcW w:w="1559" w:type="dxa"/>
            <w:vAlign w:val="center"/>
          </w:tcPr>
          <w:p>
            <w:pPr>
              <w:jc w:val="right"/>
              <w:rPr>
                <w:rFonts w:ascii="宋体" w:hAnsi="宋体"/>
              </w:rPr>
            </w:pPr>
            <w:r>
              <w:rPr>
                <w:rFonts w:ascii="宋体" w:hAnsi="宋体" w:cs="宋体" w:hint="eastAsia"/>
              </w:rPr>
              <w:t>10,722</w:t>
            </w:r>
          </w:p>
        </w:tc>
        <w:tc>
          <w:tcPr>
            <w:tcW w:w="1701" w:type="dxa"/>
            <w:vAlign w:val="center"/>
          </w:tcPr>
          <w:p>
            <w:pPr>
              <w:jc w:val="right"/>
              <w:rPr>
                <w:rFonts w:ascii="宋体" w:hAnsi="宋体"/>
              </w:rPr>
            </w:pPr>
          </w:p>
        </w:tc>
        <w:tc>
          <w:tcPr>
            <w:tcW w:w="1421" w:type="dxa"/>
            <w:vAlign w:val="center"/>
          </w:tcPr>
          <w:p>
            <w:pPr>
              <w:jc w:val="right"/>
              <w:rPr>
                <w:rFonts w:ascii="宋体" w:hAnsi="宋体"/>
              </w:rPr>
            </w:pPr>
            <w:r>
              <w:rPr>
                <w:rFonts w:ascii="宋体" w:hAnsi="宋体" w:cs="宋体" w:hint="eastAsia"/>
              </w:rPr>
              <w:t>3,443</w:t>
            </w:r>
          </w:p>
        </w:tc>
        <w:tc>
          <w:tcPr>
            <w:tcW w:w="1556" w:type="dxa"/>
            <w:vAlign w:val="center"/>
          </w:tcPr>
          <w:p>
            <w:pPr>
              <w:jc w:val="right"/>
              <w:rPr>
                <w:rFonts w:ascii="宋体" w:hAnsi="宋体"/>
              </w:rPr>
            </w:pPr>
          </w:p>
        </w:tc>
        <w:tc>
          <w:tcPr>
            <w:tcW w:w="1418" w:type="dxa"/>
            <w:vAlign w:val="center"/>
          </w:tcPr>
          <w:p>
            <w:pPr>
              <w:jc w:val="right"/>
              <w:rPr>
                <w:rFonts w:ascii="宋体" w:hAnsi="宋体"/>
              </w:rPr>
            </w:pPr>
          </w:p>
        </w:tc>
        <w:tc>
          <w:tcPr>
            <w:tcW w:w="1602" w:type="dxa"/>
            <w:vAlign w:val="center"/>
          </w:tcPr>
          <w:p>
            <w:pPr>
              <w:jc w:val="right"/>
              <w:rPr>
                <w:rFonts w:ascii="宋体" w:hAnsi="宋体"/>
              </w:rPr>
            </w:pPr>
            <w:r>
              <w:rPr>
                <w:rFonts w:ascii="宋体" w:hAnsi="宋体" w:cs="宋体" w:hint="eastAsia"/>
              </w:rPr>
              <w:t>14,239</w:t>
            </w:r>
          </w:p>
        </w:tc>
      </w:tr>
      <w:tr>
        <w:trPr>
          <w:trHeight w:val="278"/>
        </w:trPr>
        <w:tc>
          <w:tcPr>
            <w:tcW w:w="1696" w:type="dxa"/>
            <w:vAlign w:val="center"/>
          </w:tcPr>
          <w:p>
            <w:pPr>
              <w:ind w:firstLineChars="200" w:firstLine="420"/>
              <w:rPr>
                <w:rFonts w:ascii="宋体" w:hAnsi="宋体"/>
              </w:rPr>
            </w:pPr>
            <w:r>
              <w:rPr>
                <w:rFonts w:ascii="宋体" w:hAnsi="宋体" w:hint="eastAsia"/>
              </w:rPr>
              <w:t>5.期末余额</w:t>
            </w:r>
          </w:p>
        </w:tc>
        <w:tc>
          <w:tcPr>
            <w:tcW w:w="1276"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cs="宋体" w:hint="eastAsia"/>
              </w:rPr>
              <w:t>43,246</w:t>
            </w:r>
          </w:p>
        </w:tc>
        <w:tc>
          <w:tcPr>
            <w:tcW w:w="1559" w:type="dxa"/>
            <w:vAlign w:val="center"/>
          </w:tcPr>
          <w:p>
            <w:pPr>
              <w:jc w:val="right"/>
              <w:rPr>
                <w:rFonts w:ascii="宋体" w:hAnsi="宋体"/>
              </w:rPr>
            </w:pPr>
            <w:r>
              <w:rPr>
                <w:rFonts w:ascii="宋体" w:hAnsi="宋体" w:cs="宋体" w:hint="eastAsia"/>
              </w:rPr>
              <w:t>815,395</w:t>
            </w:r>
          </w:p>
        </w:tc>
        <w:tc>
          <w:tcPr>
            <w:tcW w:w="1701" w:type="dxa"/>
            <w:vAlign w:val="center"/>
          </w:tcPr>
          <w:p>
            <w:pPr>
              <w:jc w:val="right"/>
              <w:rPr>
                <w:rFonts w:ascii="宋体" w:hAnsi="宋体"/>
              </w:rPr>
            </w:pPr>
            <w:r>
              <w:rPr>
                <w:rFonts w:ascii="宋体" w:hAnsi="宋体" w:cs="宋体" w:hint="eastAsia"/>
              </w:rPr>
              <w:t>74,051</w:t>
            </w:r>
          </w:p>
        </w:tc>
        <w:tc>
          <w:tcPr>
            <w:tcW w:w="1421" w:type="dxa"/>
            <w:vAlign w:val="center"/>
          </w:tcPr>
          <w:p>
            <w:pPr>
              <w:jc w:val="right"/>
              <w:rPr>
                <w:rFonts w:ascii="宋体" w:hAnsi="宋体"/>
              </w:rPr>
            </w:pPr>
            <w:r>
              <w:rPr>
                <w:rFonts w:ascii="宋体" w:hAnsi="宋体" w:cs="宋体" w:hint="eastAsia"/>
              </w:rPr>
              <w:t>123,830</w:t>
            </w:r>
          </w:p>
        </w:tc>
        <w:tc>
          <w:tcPr>
            <w:tcW w:w="1556" w:type="dxa"/>
            <w:vAlign w:val="center"/>
          </w:tcPr>
          <w:p>
            <w:pPr>
              <w:jc w:val="right"/>
              <w:rPr>
                <w:rFonts w:ascii="宋体" w:hAnsi="宋体"/>
              </w:rPr>
            </w:pPr>
            <w:r>
              <w:rPr>
                <w:rFonts w:ascii="宋体" w:hAnsi="宋体" w:cs="宋体" w:hint="eastAsia"/>
              </w:rPr>
              <w:t>1,119</w:t>
            </w:r>
          </w:p>
        </w:tc>
        <w:tc>
          <w:tcPr>
            <w:tcW w:w="1418" w:type="dxa"/>
            <w:vAlign w:val="center"/>
          </w:tcPr>
          <w:p>
            <w:pPr>
              <w:jc w:val="right"/>
              <w:rPr>
                <w:rFonts w:ascii="宋体" w:hAnsi="宋体"/>
              </w:rPr>
            </w:pPr>
            <w:r>
              <w:rPr>
                <w:rFonts w:ascii="宋体" w:hAnsi="宋体" w:cs="宋体" w:hint="eastAsia"/>
              </w:rPr>
              <w:t>9,551</w:t>
            </w:r>
          </w:p>
        </w:tc>
        <w:tc>
          <w:tcPr>
            <w:tcW w:w="1602" w:type="dxa"/>
            <w:vAlign w:val="center"/>
          </w:tcPr>
          <w:p>
            <w:pPr>
              <w:jc w:val="right"/>
              <w:rPr>
                <w:rFonts w:ascii="宋体" w:hAnsi="宋体"/>
              </w:rPr>
            </w:pPr>
            <w:r>
              <w:rPr>
                <w:rFonts w:ascii="宋体" w:hAnsi="宋体" w:cs="宋体" w:hint="eastAsia"/>
              </w:rPr>
              <w:t>1,067,192</w:t>
            </w:r>
          </w:p>
        </w:tc>
      </w:tr>
      <w:tr>
        <w:trPr>
          <w:trHeight w:val="278"/>
        </w:trPr>
        <w:sdt>
          <w:sdtPr>
            <w:rPr>
              <w:rFonts w:ascii="宋体" w:hAnsi="宋体"/>
            </w:rPr>
            <w:tag w:val="_PLD_e1d51c426bd84ffbb9a1a19b00d3b374"/>
            <w:id w:val="240225206"/>
          </w:sdtPr>
          <w:sdtContent>
            <w:tc>
              <w:tcPr>
                <w:tcW w:w="13930" w:type="dxa"/>
                <w:gridSpan w:val="9"/>
                <w:vAlign w:val="center"/>
              </w:tcPr>
              <w:p>
                <w:pPr>
                  <w:rPr>
                    <w:rFonts w:ascii="宋体" w:hAnsi="宋体"/>
                  </w:rPr>
                </w:pPr>
                <w:r>
                  <w:rPr>
                    <w:rFonts w:ascii="宋体" w:hAnsi="宋体" w:hint="eastAsia"/>
                  </w:rPr>
                  <w:t>四、账面价值</w:t>
                </w:r>
              </w:p>
            </w:tc>
          </w:sdtContent>
        </w:sdt>
      </w:tr>
      <w:tr>
        <w:trPr>
          <w:trHeight w:val="289"/>
        </w:trPr>
        <w:tc>
          <w:tcPr>
            <w:tcW w:w="1696" w:type="dxa"/>
            <w:vAlign w:val="center"/>
          </w:tcPr>
          <w:p>
            <w:pPr>
              <w:ind w:firstLineChars="200" w:firstLine="420"/>
              <w:rPr>
                <w:rFonts w:ascii="宋体" w:hAnsi="宋体"/>
              </w:rPr>
            </w:pPr>
            <w:r>
              <w:rPr>
                <w:rFonts w:ascii="宋体" w:hAnsi="宋体" w:hint="eastAsia"/>
              </w:rPr>
              <w:t>1.期末账面价值</w:t>
            </w:r>
          </w:p>
        </w:tc>
        <w:tc>
          <w:tcPr>
            <w:tcW w:w="1276" w:type="dxa"/>
            <w:vAlign w:val="center"/>
          </w:tcPr>
          <w:p>
            <w:pPr>
              <w:jc w:val="right"/>
              <w:rPr>
                <w:rFonts w:ascii="宋体" w:hAnsi="宋体"/>
              </w:rPr>
            </w:pPr>
            <w:r>
              <w:rPr>
                <w:rFonts w:ascii="宋体" w:hAnsi="宋体"/>
              </w:rPr>
              <w:t>1,261,652</w:t>
            </w:r>
          </w:p>
        </w:tc>
        <w:tc>
          <w:tcPr>
            <w:tcW w:w="1701" w:type="dxa"/>
            <w:vAlign w:val="center"/>
          </w:tcPr>
          <w:p>
            <w:pPr>
              <w:jc w:val="right"/>
              <w:rPr>
                <w:rFonts w:ascii="宋体" w:hAnsi="宋体"/>
              </w:rPr>
            </w:pPr>
            <w:r>
              <w:rPr>
                <w:rFonts w:ascii="宋体" w:hAnsi="宋体"/>
              </w:rPr>
              <w:t>8,107,136</w:t>
            </w:r>
          </w:p>
        </w:tc>
        <w:tc>
          <w:tcPr>
            <w:tcW w:w="1559" w:type="dxa"/>
            <w:vAlign w:val="center"/>
          </w:tcPr>
          <w:p>
            <w:pPr>
              <w:jc w:val="right"/>
              <w:rPr>
                <w:rFonts w:ascii="宋体" w:hAnsi="宋体"/>
              </w:rPr>
            </w:pPr>
            <w:r>
              <w:rPr>
                <w:rFonts w:ascii="宋体" w:hAnsi="宋体"/>
              </w:rPr>
              <w:t>44,994,614</w:t>
            </w:r>
          </w:p>
        </w:tc>
        <w:tc>
          <w:tcPr>
            <w:tcW w:w="1701" w:type="dxa"/>
            <w:vAlign w:val="center"/>
          </w:tcPr>
          <w:p>
            <w:pPr>
              <w:jc w:val="right"/>
              <w:rPr>
                <w:rFonts w:ascii="宋体" w:hAnsi="宋体"/>
              </w:rPr>
            </w:pPr>
            <w:r>
              <w:rPr>
                <w:rFonts w:ascii="宋体" w:hAnsi="宋体" w:cs="宋体" w:hint="eastAsia"/>
              </w:rPr>
              <w:t>26,977,644</w:t>
            </w:r>
          </w:p>
        </w:tc>
        <w:tc>
          <w:tcPr>
            <w:tcW w:w="1421" w:type="dxa"/>
            <w:vAlign w:val="center"/>
          </w:tcPr>
          <w:p>
            <w:pPr>
              <w:jc w:val="right"/>
              <w:rPr>
                <w:rFonts w:ascii="宋体" w:hAnsi="宋体"/>
              </w:rPr>
            </w:pPr>
            <w:r>
              <w:rPr>
                <w:rFonts w:ascii="宋体" w:hAnsi="宋体"/>
              </w:rPr>
              <w:t>57,560,645</w:t>
            </w:r>
          </w:p>
        </w:tc>
        <w:tc>
          <w:tcPr>
            <w:tcW w:w="1556" w:type="dxa"/>
            <w:vAlign w:val="center"/>
          </w:tcPr>
          <w:p>
            <w:pPr>
              <w:jc w:val="right"/>
              <w:rPr>
                <w:rFonts w:ascii="宋体" w:hAnsi="宋体"/>
              </w:rPr>
            </w:pPr>
            <w:r>
              <w:rPr>
                <w:rFonts w:ascii="宋体" w:hAnsi="宋体"/>
              </w:rPr>
              <w:t>552,690</w:t>
            </w:r>
          </w:p>
        </w:tc>
        <w:tc>
          <w:tcPr>
            <w:tcW w:w="1418" w:type="dxa"/>
            <w:vAlign w:val="center"/>
          </w:tcPr>
          <w:p>
            <w:pPr>
              <w:jc w:val="right"/>
              <w:rPr>
                <w:rFonts w:ascii="宋体" w:hAnsi="宋体"/>
              </w:rPr>
            </w:pPr>
            <w:r>
              <w:rPr>
                <w:rFonts w:ascii="宋体" w:hAnsi="宋体" w:cs="宋体" w:hint="eastAsia"/>
              </w:rPr>
              <w:t>2,639,168</w:t>
            </w:r>
          </w:p>
        </w:tc>
        <w:tc>
          <w:tcPr>
            <w:tcW w:w="1602" w:type="dxa"/>
            <w:vAlign w:val="center"/>
          </w:tcPr>
          <w:p>
            <w:pPr>
              <w:jc w:val="right"/>
              <w:rPr>
                <w:rFonts w:ascii="宋体" w:hAnsi="宋体"/>
              </w:rPr>
            </w:pPr>
            <w:r>
              <w:rPr>
                <w:rFonts w:ascii="宋体" w:hAnsi="宋体" w:cs="宋体" w:hint="eastAsia"/>
              </w:rPr>
              <w:t>142,093,549</w:t>
            </w:r>
          </w:p>
        </w:tc>
      </w:tr>
      <w:tr>
        <w:trPr>
          <w:trHeight w:val="278"/>
        </w:trPr>
        <w:tc>
          <w:tcPr>
            <w:tcW w:w="1696" w:type="dxa"/>
            <w:vAlign w:val="center"/>
          </w:tcPr>
          <w:p>
            <w:pPr>
              <w:ind w:firstLineChars="200" w:firstLine="420"/>
              <w:rPr>
                <w:rFonts w:ascii="宋体" w:hAnsi="宋体"/>
              </w:rPr>
            </w:pPr>
            <w:r>
              <w:rPr>
                <w:rFonts w:ascii="宋体" w:hAnsi="宋体" w:hint="eastAsia"/>
              </w:rPr>
              <w:t>2.期初账面价值</w:t>
            </w:r>
          </w:p>
        </w:tc>
        <w:tc>
          <w:tcPr>
            <w:tcW w:w="1276" w:type="dxa"/>
            <w:vAlign w:val="center"/>
          </w:tcPr>
          <w:p>
            <w:pPr>
              <w:jc w:val="right"/>
              <w:rPr>
                <w:rFonts w:ascii="宋体" w:hAnsi="宋体"/>
              </w:rPr>
            </w:pPr>
            <w:r>
              <w:rPr>
                <w:rFonts w:ascii="宋体" w:hAnsi="宋体" w:cs="宋体" w:hint="eastAsia"/>
              </w:rPr>
              <w:t>1,375,896</w:t>
            </w:r>
          </w:p>
        </w:tc>
        <w:tc>
          <w:tcPr>
            <w:tcW w:w="1701" w:type="dxa"/>
            <w:vAlign w:val="center"/>
          </w:tcPr>
          <w:p>
            <w:pPr>
              <w:jc w:val="right"/>
              <w:rPr>
                <w:rFonts w:ascii="宋体" w:hAnsi="宋体"/>
              </w:rPr>
            </w:pPr>
            <w:r>
              <w:rPr>
                <w:rFonts w:ascii="宋体" w:hAnsi="宋体" w:cs="宋体" w:hint="eastAsia"/>
              </w:rPr>
              <w:t>12,829,942</w:t>
            </w:r>
          </w:p>
        </w:tc>
        <w:tc>
          <w:tcPr>
            <w:tcW w:w="1559" w:type="dxa"/>
            <w:vAlign w:val="center"/>
          </w:tcPr>
          <w:p>
            <w:pPr>
              <w:jc w:val="right"/>
              <w:rPr>
                <w:rFonts w:ascii="宋体" w:hAnsi="宋体"/>
              </w:rPr>
            </w:pPr>
            <w:r>
              <w:rPr>
                <w:rFonts w:ascii="宋体" w:hAnsi="宋体" w:cs="宋体" w:hint="eastAsia"/>
              </w:rPr>
              <w:t>39,737,628</w:t>
            </w:r>
          </w:p>
        </w:tc>
        <w:tc>
          <w:tcPr>
            <w:tcW w:w="1701" w:type="dxa"/>
            <w:vAlign w:val="center"/>
          </w:tcPr>
          <w:p>
            <w:pPr>
              <w:jc w:val="right"/>
              <w:rPr>
                <w:rFonts w:ascii="宋体" w:hAnsi="宋体"/>
              </w:rPr>
            </w:pPr>
            <w:r>
              <w:rPr>
                <w:rFonts w:ascii="宋体" w:hAnsi="宋体" w:cs="宋体" w:hint="eastAsia"/>
              </w:rPr>
              <w:t>18,802,305</w:t>
            </w:r>
          </w:p>
        </w:tc>
        <w:tc>
          <w:tcPr>
            <w:tcW w:w="1421" w:type="dxa"/>
            <w:vAlign w:val="center"/>
          </w:tcPr>
          <w:p>
            <w:pPr>
              <w:jc w:val="right"/>
              <w:rPr>
                <w:rFonts w:ascii="宋体" w:hAnsi="宋体"/>
              </w:rPr>
            </w:pPr>
            <w:r>
              <w:rPr>
                <w:rFonts w:ascii="宋体" w:hAnsi="宋体" w:cs="宋体" w:hint="eastAsia"/>
              </w:rPr>
              <w:t>55,742,164</w:t>
            </w:r>
          </w:p>
        </w:tc>
        <w:tc>
          <w:tcPr>
            <w:tcW w:w="1556" w:type="dxa"/>
            <w:vAlign w:val="center"/>
          </w:tcPr>
          <w:p>
            <w:pPr>
              <w:jc w:val="right"/>
              <w:rPr>
                <w:rFonts w:ascii="宋体" w:hAnsi="宋体"/>
              </w:rPr>
            </w:pPr>
            <w:r>
              <w:rPr>
                <w:rFonts w:ascii="宋体" w:hAnsi="宋体" w:cs="宋体" w:hint="eastAsia"/>
              </w:rPr>
              <w:t>613,546</w:t>
            </w:r>
          </w:p>
        </w:tc>
        <w:tc>
          <w:tcPr>
            <w:tcW w:w="1418" w:type="dxa"/>
            <w:vAlign w:val="center"/>
          </w:tcPr>
          <w:p>
            <w:pPr>
              <w:jc w:val="right"/>
              <w:rPr>
                <w:rFonts w:ascii="宋体" w:hAnsi="宋体"/>
              </w:rPr>
            </w:pPr>
            <w:r>
              <w:rPr>
                <w:rFonts w:ascii="宋体" w:hAnsi="宋体" w:cs="宋体" w:hint="eastAsia"/>
              </w:rPr>
              <w:t>3,535,187</w:t>
            </w:r>
          </w:p>
        </w:tc>
        <w:tc>
          <w:tcPr>
            <w:tcW w:w="1602" w:type="dxa"/>
            <w:vAlign w:val="center"/>
          </w:tcPr>
          <w:p>
            <w:pPr>
              <w:jc w:val="right"/>
              <w:rPr>
                <w:rFonts w:ascii="宋体" w:hAnsi="宋体"/>
              </w:rPr>
            </w:pPr>
            <w:r>
              <w:rPr>
                <w:rFonts w:ascii="宋体" w:hAnsi="宋体" w:cs="宋体" w:hint="eastAsia"/>
              </w:rPr>
              <w:t>132,636,668</w:t>
            </w:r>
          </w:p>
        </w:tc>
      </w:tr>
    </w:tbl>
    <w:p>
      <w:pPr>
        <w:pStyle w:val="Style214"/>
        <w:numPr>
          <w:ilvl w:val="0"/>
          <w:numId w:val="0"/>
        </w:numPr>
        <w:spacing w:after="120"/>
        <w:ind w:left="200" w:firstLine="220"/>
        <w:outlineLvl w:val="9"/>
      </w:pPr>
      <w:r>
        <w:rPr>
          <w:rFonts w:hint="eastAsia"/>
        </w:rPr>
        <w:t>注:土地类固定资产系本集团之子公司澳洲公司拥有的永久性土地使用权，因此无需计提折旧。</w:t>
      </w:r>
    </w:p>
    <w:p>
      <w:pPr>
        <w:pStyle w:val="Style217"/>
      </w:pPr>
    </w:p>
    <w:p>
      <w:pPr>
        <w:pStyle w:val="Style217"/>
      </w:pPr>
    </w:p>
    <w:p>
      <w:pPr>
        <w:pStyle w:val="Style217"/>
      </w:pPr>
    </w:p>
    <w:p>
      <w:pPr>
        <w:sectPr>
          <w:pgSz w:w="16838" w:h="11906" w:orient="landscape"/>
          <w:pgMar w:top="1276" w:right="1440" w:bottom="1797" w:left="1525" w:header="856" w:footer="992" w:gutter="0"/>
          <w:cols w:space="425"/>
          <w:docGrid w:linePitch="312"/>
        </w:sectPr>
      </w:pPr>
    </w:p>
    <w:p>
      <w:pPr>
        <w:pStyle w:val="Style217"/>
      </w:pPr>
    </w:p>
    <w:p>
      <w:pPr>
        <w:pStyle w:val="Style180"/>
        <w:numPr>
          <w:ilvl w:val="0"/>
          <w:numId w:val="90"/>
        </w:numPr>
        <w:ind w:leftChars="0"/>
      </w:pPr>
      <w:r>
        <w:rPr>
          <w:rFonts w:hint="eastAsia"/>
        </w:rPr>
        <w:t>暂时闲置的固定资产情况</w:t>
      </w:r>
    </w:p>
    <w:sdt>
      <w:sdtPr>
        <w:rPr>
          <w:rFonts w:hAnsiTheme="minorHAnsi" w:cstheme="minorBidi"/>
          <w:kern w:val="2"/>
          <w:sz w:val="20"/>
          <w:szCs w:val="24"/>
          <w14:ligatures w14:val="standardContextual"/>
        </w:rPr>
        <w:alias w:val="是否适用：暂时闲置的固定资产情况[双击切换]"/>
        <w:tag w:val="_GBC_2fdfdf37e427442eb50e14c905c59fbe"/>
        <w:id w:val="48150819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p>
          <w:pPr>
            <w:pStyle w:val="Style137"/>
            <w:numPr>
              <w:ilvl w:val="255"/>
              <w:numId w:val="0"/>
            </w:numPr>
            <w:spacing w:after="120"/>
            <w:ind w:left="426"/>
          </w:pPr>
          <w:r>
            <w:rPr>
              <w:rFonts w:hAnsi="宋体" w:hint="eastAsia"/>
              <w:sz w:val="21"/>
            </w:rPr>
            <w:t>期末不存在暂时闲置的固定资产。</w:t>
          </w:r>
        </w:p>
      </w:sdtContent>
    </w:sdt>
    <w:p>
      <w:pPr>
        <w:pStyle w:val="Style180"/>
        <w:numPr>
          <w:ilvl w:val="0"/>
          <w:numId w:val="90"/>
        </w:numPr>
        <w:ind w:leftChars="0"/>
      </w:pPr>
      <w:r>
        <w:rPr>
          <w:rFonts w:hint="eastAsia"/>
        </w:rPr>
        <w:t>通过经营租赁租出的固定资产</w:t>
      </w:r>
    </w:p>
    <w:sdt>
      <w:sdtPr>
        <w:alias w:val="是否适用：通过经营租赁租出的固定资产[双击切换]"/>
        <w:tag w:val="_GBC_c2ddde62aad742b6997b43c9077b5c4b"/>
        <w:id w:val="-146557250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FF0000"/>
        </w:rPr>
      </w:pPr>
    </w:p>
    <w:p>
      <w:pPr>
        <w:pStyle w:val="Style180"/>
        <w:numPr>
          <w:ilvl w:val="0"/>
          <w:numId w:val="90"/>
        </w:numPr>
        <w:ind w:leftChars="0"/>
      </w:pPr>
      <w:r>
        <w:rPr>
          <w:rFonts w:hint="eastAsia"/>
        </w:rPr>
        <w:t>未办妥产权证书的固定资产情况</w:t>
      </w:r>
    </w:p>
    <w:p>
      <w:pPr>
        <w:pStyle w:val="Style217"/>
      </w:pPr>
      <w:sdt>
        <w:sdtPr>
          <w:alias w:val="是否适用：未办妥产权证书的固定资产情况[双击切换]"/>
          <w:tag w:val="_GBC_46625a97c34c4326af56ee4f005058fb"/>
          <w:id w:val="-1062169054"/>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固定资产情况"/>
          <w:tag w:val="_GBC_af0b65f779a444509a345fcc235c4e13"/>
          <w:id w:val="323973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未办妥产权证书的固定资产情况"/>
          <w:tag w:val="_GBC_8b4f91db9e314b61ac2d85b092fd5832"/>
          <w:id w:val="14714743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3042"/>
        <w:gridCol w:w="3058"/>
      </w:tblGrid>
      <w:tr>
        <w:sdt>
          <w:sdtPr>
            <w:tag w:val="_PLD_3112d13ed7a04a10bce803acc672660e"/>
            <w:id w:val="-687981365"/>
          </w:sdtPr>
          <w:sdtContent>
            <w:tc>
              <w:tcPr>
                <w:tcW w:w="2948" w:type="dxa"/>
                <w:vAlign w:val="center"/>
              </w:tcPr>
              <w:p>
                <w:pPr>
                  <w:jc w:val="center"/>
                </w:pPr>
                <w:r>
                  <w:rPr>
                    <w:rFonts w:hint="eastAsia"/>
                  </w:rPr>
                  <w:t>项目</w:t>
                </w:r>
              </w:p>
            </w:tc>
          </w:sdtContent>
        </w:sdt>
        <w:sdt>
          <w:sdtPr>
            <w:tag w:val="_PLD_5fca73223de74724a06b56d07c06e26b"/>
            <w:id w:val="-1875146537"/>
          </w:sdtPr>
          <w:sdtContent>
            <w:tc>
              <w:tcPr>
                <w:tcW w:w="3042" w:type="dxa"/>
                <w:vAlign w:val="center"/>
              </w:tcPr>
              <w:p>
                <w:pPr>
                  <w:jc w:val="center"/>
                </w:pPr>
                <w:r>
                  <w:rPr>
                    <w:rFonts w:hint="eastAsia"/>
                  </w:rPr>
                  <w:t>账面价值</w:t>
                </w:r>
              </w:p>
            </w:tc>
          </w:sdtContent>
        </w:sdt>
        <w:sdt>
          <w:sdtPr>
            <w:tag w:val="_PLD_0f07869ee4694758ae54754a2afb45dd"/>
            <w:id w:val="-14776324"/>
          </w:sdtPr>
          <w:sdtContent>
            <w:tc>
              <w:tcPr>
                <w:tcW w:w="3058" w:type="dxa"/>
                <w:vAlign w:val="center"/>
              </w:tcPr>
              <w:p>
                <w:pPr>
                  <w:jc w:val="center"/>
                </w:pPr>
                <w:r>
                  <w:rPr>
                    <w:rFonts w:hint="eastAsia"/>
                  </w:rPr>
                  <w:t>未办妥产权证书的原因</w:t>
                </w:r>
              </w:p>
            </w:tc>
          </w:sdtContent>
        </w:sdt>
      </w:tr>
      <w:tr>
        <w:tc>
          <w:tcPr>
            <w:tcW w:w="2948" w:type="dxa"/>
            <w:vAlign w:val="center"/>
          </w:tcPr>
          <w:p>
            <w:pPr>
              <w:pStyle w:val="Style217"/>
            </w:pPr>
            <w:r>
              <w:rPr>
                <w:rFonts w:hint="eastAsia"/>
              </w:rPr>
              <w:t>地面建筑物</w:t>
            </w:r>
          </w:p>
        </w:tc>
        <w:tc>
          <w:tcPr>
            <w:tcW w:w="3042" w:type="dxa"/>
            <w:vAlign w:val="center"/>
          </w:tcPr>
          <w:p>
            <w:pPr>
              <w:jc w:val="right"/>
            </w:pPr>
            <w:r>
              <w:rPr>
                <w:rFonts w:ascii="宋体" w:hAnsi="宋体" w:hint="eastAsia"/>
              </w:rPr>
              <w:t>2,250,220</w:t>
            </w:r>
          </w:p>
        </w:tc>
        <w:tc>
          <w:tcPr>
            <w:tcW w:w="3058" w:type="dxa"/>
            <w:vAlign w:val="center"/>
          </w:tcPr>
          <w:p>
            <w:pPr>
              <w:pStyle w:val="Style217"/>
            </w:pPr>
            <w:r>
              <w:rPr>
                <w:rFonts w:hint="eastAsia"/>
              </w:rPr>
              <w:t>正在办理</w:t>
            </w:r>
          </w:p>
        </w:tc>
      </w:tr>
      <w:tr>
        <w:tc>
          <w:tcPr>
            <w:tcW w:w="2948" w:type="dxa"/>
            <w:vAlign w:val="center"/>
          </w:tcPr>
          <w:p>
            <w:pPr>
              <w:pStyle w:val="Style217"/>
            </w:pPr>
            <w:r>
              <w:rPr>
                <w:rFonts w:hint="eastAsia"/>
              </w:rPr>
              <w:t>房屋建筑物</w:t>
            </w:r>
          </w:p>
        </w:tc>
        <w:tc>
          <w:tcPr>
            <w:tcW w:w="3042" w:type="dxa"/>
            <w:vAlign w:val="center"/>
          </w:tcPr>
          <w:p>
            <w:pPr>
              <w:jc w:val="right"/>
            </w:pPr>
            <w:r>
              <w:rPr>
                <w:rFonts w:ascii="宋体" w:hAnsi="宋体" w:hint="eastAsia"/>
              </w:rPr>
              <w:t>415,521</w:t>
            </w:r>
          </w:p>
        </w:tc>
        <w:tc>
          <w:tcPr>
            <w:tcW w:w="3058" w:type="dxa"/>
            <w:vAlign w:val="center"/>
          </w:tcPr>
          <w:p>
            <w:pPr>
              <w:pStyle w:val="Style217"/>
            </w:pPr>
            <w:r>
              <w:rPr>
                <w:rFonts w:hint="eastAsia"/>
              </w:rPr>
              <w:t>正在办理</w:t>
            </w:r>
          </w:p>
        </w:tc>
      </w:tr>
      <w:tr>
        <w:tc>
          <w:tcPr>
            <w:tcW w:w="2948" w:type="dxa"/>
            <w:vAlign w:val="center"/>
          </w:tcPr>
          <w:p>
            <w:pPr>
              <w:pStyle w:val="Style217"/>
            </w:pPr>
            <w:r>
              <w:t>合计</w:t>
            </w:r>
          </w:p>
        </w:tc>
        <w:tc>
          <w:tcPr>
            <w:tcW w:w="3042" w:type="dxa"/>
            <w:vAlign w:val="center"/>
          </w:tcPr>
          <w:p>
            <w:pPr>
              <w:jc w:val="right"/>
            </w:pPr>
            <w:r>
              <w:rPr>
                <w:rFonts w:ascii="宋体" w:hAnsi="宋体" w:hint="eastAsia"/>
              </w:rPr>
              <w:t>2,665,741</w:t>
            </w:r>
          </w:p>
        </w:tc>
        <w:tc>
          <w:tcPr>
            <w:tcW w:w="3058" w:type="dxa"/>
            <w:vAlign w:val="center"/>
          </w:tcPr>
          <w:p>
            <w:pPr>
              <w:pStyle w:val="Style217"/>
            </w:pPr>
          </w:p>
        </w:tc>
      </w:tr>
    </w:tbl>
    <w:p>
      <w:pPr>
        <w:pStyle w:val="Style217"/>
      </w:pPr>
    </w:p>
    <w:p>
      <w:pPr>
        <w:pStyle w:val="Style180"/>
        <w:numPr>
          <w:ilvl w:val="0"/>
          <w:numId w:val="90"/>
        </w:numPr>
        <w:ind w:leftChars="0"/>
      </w:pPr>
      <w:bookmarkStart w:id="459" w:name="_Hlk153460880"/>
      <w:r>
        <w:rPr>
          <w:rFonts w:hint="eastAsia"/>
        </w:rPr>
        <w:t>固定资产的减值测试情况</w:t>
      </w:r>
    </w:p>
    <w:sdt>
      <w:sdtPr>
        <w:alias w:val="是否适用：减值测试情况[双击切换]"/>
        <w:tag w:val="_GBC_d1f21a00be1347f697689e4105263cab"/>
        <w:id w:val="86178446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p>
          <w:pPr>
            <w:pStyle w:val="Style217"/>
          </w:pPr>
        </w:p>
      </w:sdtContent>
    </w:sdt>
    <w:bookmarkEnd w:id="459"/>
    <w:p>
      <w:pPr>
        <w:pStyle w:val="Style217"/>
      </w:pPr>
      <w:r>
        <w:rPr>
          <w:rFonts w:hint="eastAsia"/>
        </w:rPr>
        <w:t>其他说明：</w:t>
      </w:r>
    </w:p>
    <w:sdt>
      <w:sdtPr>
        <w:alias w:val="是否适用：固定资产的说明[双击切换]"/>
        <w:tag w:val="_GBC_a7ec4df8fd354d7d9980e0f731a85e12"/>
        <w:id w:val="-97113269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ind w:left="360" w:hanging="360"/>
      </w:pPr>
      <w:r>
        <w:rPr>
          <w:rFonts w:hint="eastAsia"/>
        </w:rPr>
        <w:t>固定资产清理</w:t>
      </w:r>
    </w:p>
    <w:sdt>
      <w:sdtPr>
        <w:alias w:val="是否适用：固定资产清理[双击切换]"/>
        <w:tag w:val="_GBC_e3c92a1042004e36882d16145109bd0e"/>
        <w:id w:val="-102617652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p>
    <w:p>
      <w:pPr>
        <w:pStyle w:val="Style178"/>
        <w:numPr>
          <w:ilvl w:val="0"/>
          <w:numId w:val="75"/>
        </w:numPr>
        <w:rPr>
          <w:szCs w:val="21"/>
        </w:rPr>
      </w:pPr>
      <w:r>
        <w:rPr>
          <w:szCs w:val="21"/>
        </w:rPr>
        <w:t>在建工程</w:t>
      </w:r>
    </w:p>
    <w:p>
      <w:pPr>
        <w:pStyle w:val="Style179"/>
        <w:rPr>
          <w:rFonts w:ascii="宋体" w:hAnsi="宋体"/>
          <w:szCs w:val="21"/>
        </w:rPr>
      </w:pPr>
      <w:bookmarkStart w:id="460" w:name="_Hlk532914352"/>
      <w:r>
        <w:rPr>
          <w:rFonts w:hint="eastAsia"/>
        </w:rPr>
        <w:t>项目列示</w:t>
      </w:r>
    </w:p>
    <w:sdt>
      <w:sdtPr>
        <w:alias w:val="是否适用：在建工程分类列示[双击切换]"/>
        <w:tag w:val="_GBC_c1e2db0ea96a470497d3e7b3545f11ff"/>
        <w:id w:val="94927557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在建工程分类列示"/>
          <w:tag w:val="_GBC_c3fc0d9041a1447580d30c51269288ae"/>
          <w:id w:val="-802278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在建工程分类列示"/>
          <w:tag w:val="_GBC_1bdb2a3deae044179993a80635469bb5"/>
          <w:id w:val="16779217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196"/>
        <w:gridCol w:w="2938"/>
        <w:gridCol w:w="2924"/>
      </w:tblGrid>
      <w:tr>
        <w:trPr>
          <w:cantSplit/>
        </w:trPr>
        <w:sdt>
          <w:sdtPr>
            <w:tag w:val="_PLD_e3fac3cdac65475ca8ba6bb772e3b841"/>
            <w:id w:val="-476068310"/>
          </w:sdtPr>
          <w:sdtContent>
            <w:tc>
              <w:tcPr>
                <w:tcW w:w="3196" w:type="dxa"/>
                <w:vAlign w:val="center"/>
              </w:tcPr>
              <w:p>
                <w:pPr>
                  <w:jc w:val="center"/>
                </w:pPr>
                <w:r>
                  <w:rPr>
                    <w:rFonts w:hint="eastAsia"/>
                  </w:rPr>
                  <w:t>项目</w:t>
                </w:r>
              </w:p>
            </w:tc>
          </w:sdtContent>
        </w:sdt>
        <w:sdt>
          <w:sdtPr>
            <w:tag w:val="_PLD_4e98919cdcd84191b541b2ee895e77bf"/>
            <w:id w:val="-1815481373"/>
          </w:sdtPr>
          <w:sdtContent>
            <w:tc>
              <w:tcPr>
                <w:tcW w:w="2938" w:type="dxa"/>
                <w:vAlign w:val="center"/>
              </w:tcPr>
              <w:p>
                <w:pPr>
                  <w:jc w:val="center"/>
                </w:pPr>
                <w:r>
                  <w:rPr>
                    <w:rFonts w:hint="eastAsia"/>
                  </w:rPr>
                  <w:t>期末余额</w:t>
                </w:r>
              </w:p>
            </w:tc>
          </w:sdtContent>
        </w:sdt>
        <w:sdt>
          <w:sdtPr>
            <w:tag w:val="_PLD_4ce0928269bc47149a98320193bd0b0a"/>
            <w:id w:val="-956107314"/>
          </w:sdtPr>
          <w:sdtContent>
            <w:tc>
              <w:tcPr>
                <w:tcW w:w="2924" w:type="dxa"/>
                <w:vAlign w:val="center"/>
              </w:tcPr>
              <w:p>
                <w:pPr>
                  <w:jc w:val="center"/>
                </w:pPr>
                <w:r>
                  <w:rPr>
                    <w:rFonts w:hint="eastAsia"/>
                  </w:rPr>
                  <w:t>期初余额</w:t>
                </w:r>
              </w:p>
            </w:tc>
          </w:sdtContent>
        </w:sdt>
      </w:tr>
      <w:tr>
        <w:trPr>
          <w:cantSplit/>
        </w:trPr>
        <w:tc>
          <w:tcPr>
            <w:tcW w:w="3196" w:type="dxa"/>
            <w:vAlign w:val="center"/>
          </w:tcPr>
          <w:p>
            <w:pPr>
              <w:tabs>
                <w:tab w:val="right" w:pos="3690"/>
                <w:tab w:val="right" w:pos="5130"/>
                <w:tab w:val="right" w:pos="6030"/>
                <w:tab w:val="right" w:pos="7650"/>
                <w:tab w:val="right" w:pos="9270"/>
              </w:tabs>
              <w:adjustRightInd w:val="0"/>
              <w:snapToGrid w:val="0"/>
            </w:pPr>
            <w:r>
              <w:rPr>
                <w:rFonts w:hint="eastAsia"/>
              </w:rPr>
              <w:t>在建工程</w:t>
            </w:r>
          </w:p>
        </w:tc>
        <w:tc>
          <w:tcPr>
            <w:tcW w:w="2938" w:type="dxa"/>
            <w:vAlign w:val="center"/>
          </w:tcPr>
          <w:p>
            <w:pPr>
              <w:ind w:right="5"/>
              <w:jc w:val="right"/>
            </w:pPr>
            <w:r>
              <w:rPr>
                <w:rFonts w:ascii="宋体" w:hAnsi="宋体" w:hint="eastAsia"/>
              </w:rPr>
              <w:t>23,146,909</w:t>
            </w:r>
          </w:p>
        </w:tc>
        <w:tc>
          <w:tcPr>
            <w:tcW w:w="2924" w:type="dxa"/>
            <w:vAlign w:val="center"/>
          </w:tcPr>
          <w:p>
            <w:pPr>
              <w:ind w:right="5"/>
              <w:jc w:val="right"/>
            </w:pPr>
            <w:r>
              <w:rPr>
                <w:rFonts w:ascii="宋体" w:hAnsi="宋体" w:hint="eastAsia"/>
              </w:rPr>
              <w:t>24,866,316</w:t>
            </w:r>
          </w:p>
        </w:tc>
      </w:tr>
      <w:tr>
        <w:trPr>
          <w:cantSplit/>
        </w:trPr>
        <w:tc>
          <w:tcPr>
            <w:tcW w:w="3196" w:type="dxa"/>
            <w:vAlign w:val="center"/>
          </w:tcPr>
          <w:p>
            <w:pPr>
              <w:autoSpaceDE w:val="0"/>
              <w:autoSpaceDN w:val="0"/>
              <w:adjustRightInd w:val="0"/>
              <w:jc w:val="center"/>
            </w:pPr>
            <w:r>
              <w:rPr>
                <w:rFonts w:hint="eastAsia"/>
              </w:rPr>
              <w:t>合计</w:t>
            </w:r>
          </w:p>
        </w:tc>
        <w:tc>
          <w:tcPr>
            <w:tcW w:w="2938" w:type="dxa"/>
            <w:vAlign w:val="center"/>
          </w:tcPr>
          <w:p>
            <w:pPr>
              <w:jc w:val="right"/>
            </w:pPr>
            <w:r>
              <w:rPr>
                <w:rFonts w:ascii="宋体" w:hAnsi="宋体"/>
              </w:rPr>
              <w:t>23,146,909</w:t>
            </w:r>
          </w:p>
        </w:tc>
        <w:tc>
          <w:tcPr>
            <w:tcW w:w="2924" w:type="dxa"/>
            <w:vAlign w:val="center"/>
          </w:tcPr>
          <w:p>
            <w:pPr>
              <w:ind w:right="5"/>
              <w:jc w:val="right"/>
            </w:pPr>
            <w:r>
              <w:rPr>
                <w:rFonts w:ascii="宋体" w:hAnsi="宋体"/>
              </w:rPr>
              <w:t>24,866,316</w:t>
            </w:r>
          </w:p>
        </w:tc>
      </w:tr>
    </w:tbl>
    <w:p>
      <w:pPr>
        <w:pStyle w:val="Style217"/>
      </w:pPr>
    </w:p>
    <w:p>
      <w:pPr>
        <w:pStyle w:val="Style217"/>
      </w:pPr>
      <w:bookmarkStart w:id="461" w:name="_Hlk532915382"/>
      <w:bookmarkEnd w:id="460"/>
      <w:r>
        <w:rPr>
          <w:rFonts w:hint="eastAsia"/>
        </w:rPr>
        <w:t>其他说明：</w:t>
      </w:r>
    </w:p>
    <w:sdt>
      <w:sdtPr>
        <w:alias w:val="是否适用：在建工程分类列示其他说明[双击切换]"/>
        <w:tag w:val="_GBC_97da24841dd24220bc5206311fc28039"/>
        <w:id w:val="159658517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61"/>
    <w:p>
      <w:pPr>
        <w:pStyle w:val="Style217"/>
      </w:pPr>
    </w:p>
    <w:p>
      <w:pPr>
        <w:pStyle w:val="Style179"/>
        <w:ind w:left="360" w:hanging="360"/>
      </w:pPr>
      <w:r>
        <w:rPr>
          <w:rFonts w:hint="eastAsia"/>
        </w:rPr>
        <w:t>在建工程</w:t>
      </w:r>
    </w:p>
    <w:p>
      <w:pPr>
        <w:pStyle w:val="Style180"/>
        <w:numPr>
          <w:ilvl w:val="0"/>
          <w:numId w:val="91"/>
        </w:numPr>
        <w:ind w:leftChars="0"/>
      </w:pPr>
      <w:r>
        <w:rPr>
          <w:rFonts w:hint="eastAsia"/>
        </w:rPr>
        <w:t>在建工程情况</w:t>
      </w:r>
    </w:p>
    <w:sdt>
      <w:sdtPr>
        <w:alias w:val="是否适用：在建工程情况[双击切换]"/>
        <w:tag w:val="_GBC_3d1e0f4f19d8472c9f5250b0ba025185"/>
        <w:id w:val="-87492253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在建工程"/>
          <w:tag w:val="_GBC_c20f70bc9d1e4476bd65c1988111664f"/>
          <w:id w:val="-19432929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在建工程"/>
          <w:tag w:val="_GBC_8057969f154445809d2bd47ba3a4ee1d"/>
          <w:id w:val="5616047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134"/>
        <w:gridCol w:w="1418"/>
        <w:gridCol w:w="1276"/>
        <w:gridCol w:w="992"/>
        <w:gridCol w:w="1398"/>
      </w:tblGrid>
      <w:tr>
        <w:trPr>
          <w:cantSplit/>
        </w:trPr>
        <w:sdt>
          <w:sdtPr>
            <w:tag w:val="_PLD_64c6d788b0564cf39dd83135bd94fa33"/>
            <w:id w:val="-1982527356"/>
          </w:sdtPr>
          <w:sdtContent>
            <w:tc>
              <w:tcPr>
                <w:tcW w:w="1413" w:type="dxa"/>
                <w:vMerge w:val="restart"/>
                <w:vAlign w:val="center"/>
              </w:tcPr>
              <w:p>
                <w:pPr>
                  <w:jc w:val="center"/>
                </w:pPr>
                <w:r>
                  <w:rPr>
                    <w:rFonts w:hint="eastAsia"/>
                  </w:rPr>
                  <w:t>项目</w:t>
                </w:r>
              </w:p>
            </w:tc>
          </w:sdtContent>
        </w:sdt>
        <w:sdt>
          <w:sdtPr>
            <w:tag w:val="_PLD_0f8aeba685c643d8bbe995cb6221e768"/>
            <w:id w:val="175928918"/>
          </w:sdtPr>
          <w:sdtContent>
            <w:tc>
              <w:tcPr>
                <w:tcW w:w="3969" w:type="dxa"/>
                <w:gridSpan w:val="3"/>
                <w:vAlign w:val="center"/>
              </w:tcPr>
              <w:p>
                <w:pPr>
                  <w:jc w:val="center"/>
                </w:pPr>
                <w:r>
                  <w:rPr>
                    <w:rFonts w:hint="eastAsia"/>
                  </w:rPr>
                  <w:t>期末余额</w:t>
                </w:r>
              </w:p>
            </w:tc>
          </w:sdtContent>
        </w:sdt>
        <w:sdt>
          <w:sdtPr>
            <w:tag w:val="_PLD_87e3270219434e9f8494ce0079d505fd"/>
            <w:id w:val="292481299"/>
          </w:sdtPr>
          <w:sdtContent>
            <w:tc>
              <w:tcPr>
                <w:tcW w:w="3666" w:type="dxa"/>
                <w:gridSpan w:val="3"/>
                <w:vAlign w:val="center"/>
              </w:tcPr>
              <w:p>
                <w:pPr>
                  <w:jc w:val="center"/>
                </w:pPr>
                <w:r>
                  <w:rPr>
                    <w:rFonts w:hint="eastAsia"/>
                  </w:rPr>
                  <w:t>期初余额</w:t>
                </w:r>
              </w:p>
            </w:tc>
          </w:sdtContent>
        </w:sdt>
      </w:tr>
      <w:tr>
        <w:trPr>
          <w:cantSplit/>
        </w:trPr>
        <w:tc>
          <w:tcPr>
            <w:tcW w:w="1413" w:type="dxa"/>
            <w:vMerge/>
            <w:vAlign w:val="center"/>
          </w:tcPr>
          <w:p>
            <w:pPr>
              <w:tabs>
                <w:tab w:val="left" w:pos="420"/>
              </w:tabs>
              <w:ind w:left="420" w:hanging="420"/>
              <w:jc w:val="center"/>
            </w:pPr>
          </w:p>
        </w:tc>
        <w:sdt>
          <w:sdtPr>
            <w:tag w:val="_PLD_38fd2fe6396a41ae994e421a6ad8573a"/>
            <w:id w:val="-259150166"/>
          </w:sdtPr>
          <w:sdtContent>
            <w:tc>
              <w:tcPr>
                <w:tcW w:w="1417" w:type="dxa"/>
                <w:vAlign w:val="center"/>
              </w:tcPr>
              <w:p>
                <w:pPr>
                  <w:tabs>
                    <w:tab w:val="left" w:pos="420"/>
                  </w:tabs>
                  <w:ind w:left="420" w:hanging="420"/>
                  <w:jc w:val="center"/>
                </w:pPr>
                <w:r>
                  <w:rPr>
                    <w:rFonts w:hint="eastAsia"/>
                  </w:rPr>
                  <w:t>账面余额</w:t>
                </w:r>
              </w:p>
            </w:tc>
          </w:sdtContent>
        </w:sdt>
        <w:sdt>
          <w:sdtPr>
            <w:tag w:val="_PLD_efb5f565ae7d43338576e6ba69d207b2"/>
            <w:id w:val="223647473"/>
          </w:sdtPr>
          <w:sdtContent>
            <w:tc>
              <w:tcPr>
                <w:tcW w:w="1134" w:type="dxa"/>
                <w:vAlign w:val="center"/>
              </w:tcPr>
              <w:p>
                <w:pPr>
                  <w:pStyle w:val="Style184"/>
                  <w:spacing w:line="240" w:lineRule="auto"/>
                  <w:jc w:val="center"/>
                </w:pPr>
                <w:r>
                  <w:rPr>
                    <w:rFonts w:hint="eastAsia"/>
                  </w:rPr>
                  <w:t>减值准备</w:t>
                </w:r>
              </w:p>
            </w:tc>
          </w:sdtContent>
        </w:sdt>
        <w:sdt>
          <w:sdtPr>
            <w:tag w:val="_PLD_74e2fff2faeb4e10b56ba612a8b3b4e8"/>
            <w:id w:val="181024027"/>
          </w:sdtPr>
          <w:sdtContent>
            <w:tc>
              <w:tcPr>
                <w:tcW w:w="1418" w:type="dxa"/>
                <w:vAlign w:val="center"/>
              </w:tcPr>
              <w:p>
                <w:pPr>
                  <w:pStyle w:val="Style184"/>
                  <w:spacing w:line="240" w:lineRule="auto"/>
                  <w:jc w:val="center"/>
                </w:pPr>
                <w:r>
                  <w:rPr>
                    <w:rFonts w:hint="eastAsia"/>
                  </w:rPr>
                  <w:t>账面价值</w:t>
                </w:r>
              </w:p>
            </w:tc>
          </w:sdtContent>
        </w:sdt>
        <w:sdt>
          <w:sdtPr>
            <w:tag w:val="_PLD_320b5c6e751a40cb8f8d6cb989669680"/>
            <w:id w:val="-1436198815"/>
          </w:sdtPr>
          <w:sdtContent>
            <w:tc>
              <w:tcPr>
                <w:tcW w:w="1276" w:type="dxa"/>
                <w:vAlign w:val="center"/>
              </w:tcPr>
              <w:p>
                <w:pPr>
                  <w:tabs>
                    <w:tab w:val="left" w:pos="420"/>
                  </w:tabs>
                  <w:ind w:left="420" w:hanging="420"/>
                  <w:jc w:val="center"/>
                </w:pPr>
                <w:r>
                  <w:rPr>
                    <w:rFonts w:hint="eastAsia"/>
                  </w:rPr>
                  <w:t>账面余额</w:t>
                </w:r>
              </w:p>
            </w:tc>
          </w:sdtContent>
        </w:sdt>
        <w:sdt>
          <w:sdtPr>
            <w:tag w:val="_PLD_887f924a18a14763b7d38b336e4eca91"/>
            <w:id w:val="-836614327"/>
          </w:sdtPr>
          <w:sdtContent>
            <w:tc>
              <w:tcPr>
                <w:tcW w:w="992" w:type="dxa"/>
                <w:vAlign w:val="center"/>
              </w:tcPr>
              <w:p>
                <w:pPr>
                  <w:pStyle w:val="Style184"/>
                  <w:spacing w:line="240" w:lineRule="auto"/>
                  <w:jc w:val="center"/>
                </w:pPr>
                <w:r>
                  <w:rPr>
                    <w:rFonts w:hint="eastAsia"/>
                  </w:rPr>
                  <w:t>减值准备</w:t>
                </w:r>
              </w:p>
            </w:tc>
          </w:sdtContent>
        </w:sdt>
        <w:sdt>
          <w:sdtPr>
            <w:tag w:val="_PLD_56d3163c60044998bf2f3d80a83c26a6"/>
            <w:id w:val="65012500"/>
          </w:sdtPr>
          <w:sdtContent>
            <w:tc>
              <w:tcPr>
                <w:tcW w:w="1398" w:type="dxa"/>
                <w:vAlign w:val="center"/>
              </w:tcPr>
              <w:p>
                <w:pPr>
                  <w:pStyle w:val="Style184"/>
                  <w:spacing w:line="240" w:lineRule="auto"/>
                  <w:jc w:val="center"/>
                </w:pPr>
                <w:r>
                  <w:rPr>
                    <w:rFonts w:hint="eastAsia"/>
                  </w:rPr>
                  <w:t>账面价值</w:t>
                </w:r>
              </w:p>
            </w:tc>
          </w:sdtContent>
        </w:sdt>
      </w:tr>
      <w:tr>
        <w:trPr>
          <w:cantSplit/>
        </w:trPr>
        <w:tc>
          <w:tcPr>
            <w:tcW w:w="1413" w:type="dxa"/>
            <w:vAlign w:val="center"/>
          </w:tcPr>
          <w:p>
            <w:pPr>
              <w:pStyle w:val="Style217"/>
            </w:pPr>
            <w:r>
              <w:rPr>
                <w:rFonts w:hint="eastAsia"/>
              </w:rPr>
              <w:lastRenderedPageBreak/>
              <w:t>一、维简工程</w:t>
            </w:r>
          </w:p>
        </w:tc>
        <w:tc>
          <w:tcPr>
            <w:tcW w:w="1417" w:type="dxa"/>
            <w:vAlign w:val="center"/>
          </w:tcPr>
          <w:p>
            <w:pPr>
              <w:ind w:right="105"/>
              <w:jc w:val="right"/>
            </w:pPr>
            <w:r>
              <w:rPr>
                <w:rFonts w:ascii="宋体" w:hAnsi="宋体" w:cs="宋体" w:hint="eastAsia"/>
                <w:color w:val="000000"/>
                <w:lang w:bidi="ar"/>
              </w:rPr>
              <w:t>4,892,998</w:t>
            </w:r>
          </w:p>
        </w:tc>
        <w:tc>
          <w:tcPr>
            <w:tcW w:w="1134" w:type="dxa"/>
            <w:vAlign w:val="center"/>
          </w:tcPr>
          <w:p>
            <w:pPr>
              <w:ind w:right="73"/>
              <w:jc w:val="right"/>
              <w:rPr>
                <w:rFonts w:ascii="宋体" w:hAnsi="宋体"/>
              </w:rPr>
            </w:pPr>
            <w:r>
              <w:rPr>
                <w:rFonts w:ascii="宋体" w:hAnsi="宋体"/>
              </w:rPr>
              <w:t>44,358</w:t>
            </w:r>
          </w:p>
        </w:tc>
        <w:tc>
          <w:tcPr>
            <w:tcW w:w="1418" w:type="dxa"/>
            <w:vAlign w:val="center"/>
          </w:tcPr>
          <w:p>
            <w:pPr>
              <w:ind w:right="73"/>
              <w:jc w:val="right"/>
              <w:rPr>
                <w:rFonts w:ascii="宋体" w:hAnsi="宋体"/>
              </w:rPr>
            </w:pPr>
            <w:r>
              <w:rPr>
                <w:rFonts w:ascii="宋体" w:hAnsi="宋体"/>
              </w:rPr>
              <w:t>4,848,640</w:t>
            </w:r>
          </w:p>
        </w:tc>
        <w:tc>
          <w:tcPr>
            <w:tcW w:w="1276" w:type="dxa"/>
            <w:vAlign w:val="center"/>
          </w:tcPr>
          <w:p>
            <w:pPr>
              <w:jc w:val="right"/>
            </w:pPr>
            <w:r>
              <w:rPr>
                <w:rFonts w:ascii="宋体" w:hAnsi="宋体" w:cs="宋体" w:hint="eastAsia"/>
                <w:color w:val="000000"/>
              </w:rPr>
              <w:t>3,998,040</w:t>
            </w:r>
          </w:p>
        </w:tc>
        <w:tc>
          <w:tcPr>
            <w:tcW w:w="992" w:type="dxa"/>
            <w:vAlign w:val="center"/>
          </w:tcPr>
          <w:p>
            <w:pPr>
              <w:jc w:val="right"/>
            </w:pPr>
            <w:r>
              <w:rPr>
                <w:rFonts w:ascii="宋体" w:hAnsi="宋体" w:cs="宋体" w:hint="eastAsia"/>
              </w:rPr>
              <w:t>44,358</w:t>
            </w:r>
          </w:p>
        </w:tc>
        <w:tc>
          <w:tcPr>
            <w:tcW w:w="1398" w:type="dxa"/>
            <w:vAlign w:val="center"/>
          </w:tcPr>
          <w:p>
            <w:pPr>
              <w:jc w:val="right"/>
            </w:pPr>
            <w:r>
              <w:rPr>
                <w:rFonts w:ascii="宋体" w:hAnsi="宋体" w:cs="宋体" w:hint="eastAsia"/>
                <w:color w:val="000000"/>
              </w:rPr>
              <w:t>3,953,682</w:t>
            </w:r>
          </w:p>
        </w:tc>
      </w:tr>
      <w:tr>
        <w:trPr>
          <w:cantSplit/>
        </w:trPr>
        <w:tc>
          <w:tcPr>
            <w:tcW w:w="1413" w:type="dxa"/>
            <w:vAlign w:val="center"/>
          </w:tcPr>
          <w:p>
            <w:pPr>
              <w:pStyle w:val="Style217"/>
            </w:pPr>
            <w:r>
              <w:rPr>
                <w:rFonts w:hint="eastAsia"/>
              </w:rPr>
              <w:t>二、技改工程</w:t>
            </w:r>
          </w:p>
        </w:tc>
        <w:tc>
          <w:tcPr>
            <w:tcW w:w="1417" w:type="dxa"/>
            <w:vAlign w:val="center"/>
          </w:tcPr>
          <w:p>
            <w:pPr>
              <w:ind w:right="105"/>
              <w:jc w:val="right"/>
            </w:pPr>
            <w:r>
              <w:rPr>
                <w:rFonts w:ascii="宋体" w:hAnsi="宋体" w:cs="宋体" w:hint="eastAsia"/>
                <w:color w:val="000000"/>
                <w:lang w:bidi="ar"/>
              </w:rPr>
              <w:t>90,768</w:t>
            </w:r>
          </w:p>
        </w:tc>
        <w:tc>
          <w:tcPr>
            <w:tcW w:w="1134" w:type="dxa"/>
            <w:vAlign w:val="center"/>
          </w:tcPr>
          <w:p>
            <w:pPr>
              <w:ind w:right="73"/>
              <w:jc w:val="right"/>
            </w:pPr>
          </w:p>
        </w:tc>
        <w:tc>
          <w:tcPr>
            <w:tcW w:w="1418" w:type="dxa"/>
            <w:vAlign w:val="center"/>
          </w:tcPr>
          <w:p>
            <w:pPr>
              <w:ind w:right="73"/>
              <w:jc w:val="right"/>
            </w:pPr>
            <w:r>
              <w:rPr>
                <w:rFonts w:ascii="宋体" w:hAnsi="宋体" w:cs="宋体" w:hint="eastAsia"/>
                <w:color w:val="000000"/>
                <w:lang w:bidi="ar"/>
              </w:rPr>
              <w:t>90,768</w:t>
            </w:r>
          </w:p>
        </w:tc>
        <w:tc>
          <w:tcPr>
            <w:tcW w:w="1276" w:type="dxa"/>
            <w:vAlign w:val="center"/>
          </w:tcPr>
          <w:p>
            <w:pPr>
              <w:jc w:val="right"/>
            </w:pPr>
            <w:r>
              <w:rPr>
                <w:rFonts w:ascii="宋体" w:hAnsi="宋体" w:cs="宋体" w:hint="eastAsia"/>
                <w:color w:val="000000"/>
              </w:rPr>
              <w:t>1,034,903</w:t>
            </w:r>
          </w:p>
        </w:tc>
        <w:tc>
          <w:tcPr>
            <w:tcW w:w="992" w:type="dxa"/>
            <w:vAlign w:val="center"/>
          </w:tcPr>
          <w:p>
            <w:pPr>
              <w:jc w:val="right"/>
            </w:pPr>
          </w:p>
        </w:tc>
        <w:tc>
          <w:tcPr>
            <w:tcW w:w="1398" w:type="dxa"/>
            <w:vAlign w:val="center"/>
          </w:tcPr>
          <w:p>
            <w:pPr>
              <w:jc w:val="right"/>
            </w:pPr>
            <w:r>
              <w:rPr>
                <w:rFonts w:ascii="宋体" w:hAnsi="宋体" w:cs="宋体" w:hint="eastAsia"/>
                <w:color w:val="000000"/>
              </w:rPr>
              <w:t>1,034,903</w:t>
            </w:r>
          </w:p>
        </w:tc>
      </w:tr>
      <w:tr>
        <w:trPr>
          <w:cantSplit/>
        </w:trPr>
        <w:tc>
          <w:tcPr>
            <w:tcW w:w="1413" w:type="dxa"/>
            <w:vAlign w:val="center"/>
          </w:tcPr>
          <w:p>
            <w:pPr>
              <w:pStyle w:val="Style217"/>
            </w:pPr>
            <w:r>
              <w:rPr>
                <w:rFonts w:hint="eastAsia"/>
              </w:rPr>
              <w:t>三、基建工程</w:t>
            </w:r>
          </w:p>
        </w:tc>
        <w:tc>
          <w:tcPr>
            <w:tcW w:w="1417" w:type="dxa"/>
            <w:vAlign w:val="center"/>
          </w:tcPr>
          <w:p>
            <w:pPr>
              <w:ind w:right="105"/>
              <w:jc w:val="right"/>
            </w:pPr>
            <w:r>
              <w:rPr>
                <w:rFonts w:ascii="宋体" w:hAnsi="宋体" w:cs="宋体" w:hint="eastAsia"/>
                <w:color w:val="000000"/>
                <w:lang w:bidi="ar"/>
              </w:rPr>
              <w:t>17,205,229</w:t>
            </w:r>
          </w:p>
        </w:tc>
        <w:tc>
          <w:tcPr>
            <w:tcW w:w="1134" w:type="dxa"/>
            <w:vAlign w:val="center"/>
          </w:tcPr>
          <w:p>
            <w:pPr>
              <w:ind w:right="73"/>
              <w:jc w:val="right"/>
              <w:rPr>
                <w:rFonts w:ascii="宋体" w:hAnsi="宋体"/>
              </w:rPr>
            </w:pPr>
            <w:r>
              <w:rPr>
                <w:rFonts w:ascii="宋体" w:hAnsi="宋体"/>
              </w:rPr>
              <w:t>23,125</w:t>
            </w:r>
          </w:p>
        </w:tc>
        <w:tc>
          <w:tcPr>
            <w:tcW w:w="1418" w:type="dxa"/>
            <w:vAlign w:val="center"/>
          </w:tcPr>
          <w:p>
            <w:pPr>
              <w:ind w:right="73"/>
              <w:jc w:val="right"/>
              <w:rPr>
                <w:rFonts w:ascii="宋体" w:hAnsi="宋体"/>
              </w:rPr>
            </w:pPr>
            <w:r>
              <w:rPr>
                <w:rFonts w:ascii="宋体" w:hAnsi="宋体"/>
              </w:rPr>
              <w:t>17,182,104</w:t>
            </w:r>
          </w:p>
        </w:tc>
        <w:tc>
          <w:tcPr>
            <w:tcW w:w="1276" w:type="dxa"/>
            <w:vAlign w:val="center"/>
          </w:tcPr>
          <w:p>
            <w:pPr>
              <w:jc w:val="right"/>
            </w:pPr>
            <w:r>
              <w:rPr>
                <w:rFonts w:ascii="宋体" w:hAnsi="宋体" w:cs="宋体" w:hint="eastAsia"/>
                <w:color w:val="000000"/>
              </w:rPr>
              <w:t>18,668,071</w:t>
            </w:r>
          </w:p>
        </w:tc>
        <w:tc>
          <w:tcPr>
            <w:tcW w:w="992" w:type="dxa"/>
            <w:vAlign w:val="center"/>
          </w:tcPr>
          <w:p>
            <w:pPr>
              <w:jc w:val="right"/>
            </w:pPr>
            <w:r>
              <w:rPr>
                <w:rFonts w:ascii="宋体" w:hAnsi="宋体" w:cs="宋体" w:hint="eastAsia"/>
                <w:color w:val="000000"/>
              </w:rPr>
              <w:t>23,125</w:t>
            </w:r>
          </w:p>
        </w:tc>
        <w:tc>
          <w:tcPr>
            <w:tcW w:w="1398" w:type="dxa"/>
            <w:vAlign w:val="center"/>
          </w:tcPr>
          <w:p>
            <w:pPr>
              <w:jc w:val="right"/>
            </w:pPr>
            <w:r>
              <w:rPr>
                <w:rFonts w:ascii="宋体" w:hAnsi="宋体" w:cs="宋体" w:hint="eastAsia"/>
                <w:color w:val="000000"/>
              </w:rPr>
              <w:t>18,644,946</w:t>
            </w:r>
          </w:p>
        </w:tc>
      </w:tr>
      <w:tr>
        <w:trPr>
          <w:cantSplit/>
        </w:trPr>
        <w:tc>
          <w:tcPr>
            <w:tcW w:w="1413" w:type="dxa"/>
            <w:vAlign w:val="center"/>
          </w:tcPr>
          <w:p>
            <w:pPr>
              <w:pStyle w:val="Style217"/>
            </w:pPr>
            <w:r>
              <w:rPr>
                <w:rFonts w:hint="eastAsia"/>
              </w:rPr>
              <w:t>四、安全工程</w:t>
            </w:r>
          </w:p>
        </w:tc>
        <w:tc>
          <w:tcPr>
            <w:tcW w:w="1417" w:type="dxa"/>
            <w:vAlign w:val="center"/>
          </w:tcPr>
          <w:p>
            <w:pPr>
              <w:ind w:right="105"/>
              <w:jc w:val="right"/>
            </w:pPr>
            <w:r>
              <w:rPr>
                <w:rFonts w:ascii="宋体" w:hAnsi="宋体" w:cs="宋体" w:hint="eastAsia"/>
                <w:color w:val="000000"/>
                <w:lang w:bidi="ar"/>
              </w:rPr>
              <w:t>649,996</w:t>
            </w:r>
          </w:p>
        </w:tc>
        <w:tc>
          <w:tcPr>
            <w:tcW w:w="1134" w:type="dxa"/>
            <w:vAlign w:val="center"/>
          </w:tcPr>
          <w:p>
            <w:pPr>
              <w:ind w:right="73"/>
              <w:jc w:val="right"/>
            </w:pPr>
          </w:p>
        </w:tc>
        <w:tc>
          <w:tcPr>
            <w:tcW w:w="1418" w:type="dxa"/>
            <w:vAlign w:val="center"/>
          </w:tcPr>
          <w:p>
            <w:pPr>
              <w:ind w:right="73"/>
              <w:jc w:val="right"/>
            </w:pPr>
            <w:r>
              <w:rPr>
                <w:rFonts w:ascii="宋体" w:hAnsi="宋体" w:cs="宋体" w:hint="eastAsia"/>
                <w:color w:val="000000"/>
                <w:lang w:bidi="ar"/>
              </w:rPr>
              <w:t>649,996</w:t>
            </w:r>
          </w:p>
        </w:tc>
        <w:tc>
          <w:tcPr>
            <w:tcW w:w="1276" w:type="dxa"/>
            <w:vAlign w:val="center"/>
          </w:tcPr>
          <w:p>
            <w:pPr>
              <w:jc w:val="right"/>
            </w:pPr>
            <w:r>
              <w:rPr>
                <w:rFonts w:ascii="宋体" w:hAnsi="宋体" w:cs="宋体" w:hint="eastAsia"/>
                <w:color w:val="000000"/>
              </w:rPr>
              <w:t>763,274</w:t>
            </w:r>
          </w:p>
        </w:tc>
        <w:tc>
          <w:tcPr>
            <w:tcW w:w="992" w:type="dxa"/>
            <w:vAlign w:val="center"/>
          </w:tcPr>
          <w:p>
            <w:pPr>
              <w:jc w:val="right"/>
            </w:pPr>
          </w:p>
        </w:tc>
        <w:tc>
          <w:tcPr>
            <w:tcW w:w="1398" w:type="dxa"/>
            <w:vAlign w:val="center"/>
          </w:tcPr>
          <w:p>
            <w:pPr>
              <w:jc w:val="right"/>
            </w:pPr>
            <w:r>
              <w:rPr>
                <w:rFonts w:ascii="宋体" w:hAnsi="宋体" w:cs="宋体" w:hint="eastAsia"/>
                <w:color w:val="000000"/>
              </w:rPr>
              <w:t>763,274</w:t>
            </w:r>
          </w:p>
        </w:tc>
      </w:tr>
      <w:tr>
        <w:trPr>
          <w:cantSplit/>
        </w:trPr>
        <w:tc>
          <w:tcPr>
            <w:tcW w:w="1413" w:type="dxa"/>
            <w:vAlign w:val="center"/>
          </w:tcPr>
          <w:p>
            <w:pPr>
              <w:pStyle w:val="Style217"/>
            </w:pPr>
            <w:r>
              <w:rPr>
                <w:rFonts w:hint="eastAsia"/>
              </w:rPr>
              <w:t>五、勘探工程</w:t>
            </w:r>
          </w:p>
        </w:tc>
        <w:tc>
          <w:tcPr>
            <w:tcW w:w="1417" w:type="dxa"/>
          </w:tcPr>
          <w:p>
            <w:pPr>
              <w:ind w:right="73"/>
              <w:jc w:val="right"/>
              <w:rPr>
                <w:rFonts w:ascii="宋体" w:hAnsi="宋体"/>
              </w:rPr>
            </w:pPr>
            <w:r>
              <w:rPr>
                <w:rFonts w:ascii="宋体" w:hAnsi="宋体"/>
              </w:rPr>
              <w:t>821,262</w:t>
            </w:r>
          </w:p>
        </w:tc>
        <w:tc>
          <w:tcPr>
            <w:tcW w:w="1134" w:type="dxa"/>
            <w:vAlign w:val="center"/>
          </w:tcPr>
          <w:p>
            <w:pPr>
              <w:ind w:right="73"/>
              <w:jc w:val="right"/>
              <w:rPr>
                <w:rFonts w:ascii="宋体" w:hAnsi="宋体"/>
              </w:rPr>
            </w:pPr>
            <w:r>
              <w:rPr>
                <w:rFonts w:ascii="宋体" w:hAnsi="宋体"/>
              </w:rPr>
              <w:t>552,277</w:t>
            </w:r>
          </w:p>
        </w:tc>
        <w:tc>
          <w:tcPr>
            <w:tcW w:w="1418" w:type="dxa"/>
            <w:vAlign w:val="center"/>
          </w:tcPr>
          <w:p>
            <w:pPr>
              <w:ind w:right="73"/>
              <w:jc w:val="right"/>
              <w:rPr>
                <w:rFonts w:ascii="宋体" w:hAnsi="宋体"/>
              </w:rPr>
            </w:pPr>
            <w:r>
              <w:rPr>
                <w:rFonts w:ascii="宋体" w:hAnsi="宋体"/>
              </w:rPr>
              <w:t>268,985</w:t>
            </w:r>
          </w:p>
        </w:tc>
        <w:tc>
          <w:tcPr>
            <w:tcW w:w="1276" w:type="dxa"/>
            <w:vAlign w:val="center"/>
          </w:tcPr>
          <w:p>
            <w:pPr>
              <w:jc w:val="right"/>
            </w:pPr>
            <w:r>
              <w:rPr>
                <w:rFonts w:ascii="宋体" w:hAnsi="宋体" w:cs="宋体" w:hint="eastAsia"/>
                <w:color w:val="000000"/>
              </w:rPr>
              <w:t>1,097,497</w:t>
            </w:r>
          </w:p>
        </w:tc>
        <w:tc>
          <w:tcPr>
            <w:tcW w:w="992" w:type="dxa"/>
            <w:vAlign w:val="center"/>
          </w:tcPr>
          <w:p>
            <w:pPr>
              <w:jc w:val="right"/>
            </w:pPr>
            <w:r>
              <w:rPr>
                <w:rFonts w:ascii="宋体" w:hAnsi="宋体" w:cs="宋体" w:hint="eastAsia"/>
              </w:rPr>
              <w:t>633,578</w:t>
            </w:r>
          </w:p>
        </w:tc>
        <w:tc>
          <w:tcPr>
            <w:tcW w:w="1398" w:type="dxa"/>
            <w:vAlign w:val="center"/>
          </w:tcPr>
          <w:p>
            <w:pPr>
              <w:jc w:val="right"/>
            </w:pPr>
            <w:r>
              <w:rPr>
                <w:rFonts w:ascii="宋体" w:hAnsi="宋体" w:cs="宋体" w:hint="eastAsia"/>
                <w:color w:val="000000"/>
              </w:rPr>
              <w:t>463,919</w:t>
            </w:r>
          </w:p>
        </w:tc>
      </w:tr>
      <w:tr>
        <w:trPr>
          <w:cantSplit/>
        </w:trPr>
        <w:tc>
          <w:tcPr>
            <w:tcW w:w="1413" w:type="dxa"/>
            <w:vAlign w:val="center"/>
          </w:tcPr>
          <w:p>
            <w:pPr>
              <w:pStyle w:val="Style217"/>
            </w:pPr>
            <w:r>
              <w:rPr>
                <w:rFonts w:hint="eastAsia"/>
              </w:rPr>
              <w:t>六、科技工程</w:t>
            </w:r>
          </w:p>
        </w:tc>
        <w:tc>
          <w:tcPr>
            <w:tcW w:w="1417" w:type="dxa"/>
            <w:vAlign w:val="center"/>
          </w:tcPr>
          <w:p>
            <w:pPr>
              <w:ind w:right="105"/>
              <w:jc w:val="right"/>
            </w:pPr>
            <w:r>
              <w:rPr>
                <w:rFonts w:ascii="宋体" w:hAnsi="宋体" w:cs="宋体" w:hint="eastAsia"/>
                <w:color w:val="000000"/>
                <w:lang w:bidi="ar"/>
              </w:rPr>
              <w:t>77,561</w:t>
            </w:r>
          </w:p>
        </w:tc>
        <w:tc>
          <w:tcPr>
            <w:tcW w:w="1134" w:type="dxa"/>
            <w:vAlign w:val="center"/>
          </w:tcPr>
          <w:p>
            <w:pPr>
              <w:ind w:right="73"/>
              <w:jc w:val="right"/>
            </w:pPr>
          </w:p>
        </w:tc>
        <w:tc>
          <w:tcPr>
            <w:tcW w:w="1418" w:type="dxa"/>
            <w:vAlign w:val="center"/>
          </w:tcPr>
          <w:p>
            <w:pPr>
              <w:ind w:right="73"/>
              <w:jc w:val="right"/>
            </w:pPr>
            <w:r>
              <w:rPr>
                <w:rFonts w:ascii="宋体" w:hAnsi="宋体" w:cs="宋体" w:hint="eastAsia"/>
                <w:color w:val="000000"/>
                <w:lang w:bidi="ar"/>
              </w:rPr>
              <w:t>77,561</w:t>
            </w:r>
          </w:p>
        </w:tc>
        <w:tc>
          <w:tcPr>
            <w:tcW w:w="1276" w:type="dxa"/>
            <w:vAlign w:val="center"/>
          </w:tcPr>
          <w:p>
            <w:pPr>
              <w:jc w:val="right"/>
            </w:pPr>
            <w:r>
              <w:rPr>
                <w:rFonts w:ascii="宋体" w:hAnsi="宋体" w:cs="宋体" w:hint="eastAsia"/>
                <w:color w:val="000000"/>
              </w:rPr>
              <w:t>2,929</w:t>
            </w:r>
          </w:p>
        </w:tc>
        <w:tc>
          <w:tcPr>
            <w:tcW w:w="992" w:type="dxa"/>
            <w:vAlign w:val="center"/>
          </w:tcPr>
          <w:p>
            <w:pPr>
              <w:jc w:val="right"/>
            </w:pPr>
          </w:p>
        </w:tc>
        <w:tc>
          <w:tcPr>
            <w:tcW w:w="1398" w:type="dxa"/>
            <w:vAlign w:val="center"/>
          </w:tcPr>
          <w:p>
            <w:pPr>
              <w:jc w:val="right"/>
            </w:pPr>
            <w:r>
              <w:rPr>
                <w:rFonts w:ascii="宋体" w:hAnsi="宋体" w:cs="宋体" w:hint="eastAsia"/>
                <w:color w:val="000000"/>
              </w:rPr>
              <w:t>2,929</w:t>
            </w:r>
          </w:p>
        </w:tc>
      </w:tr>
      <w:tr>
        <w:trPr>
          <w:cantSplit/>
        </w:trPr>
        <w:tc>
          <w:tcPr>
            <w:tcW w:w="1413" w:type="dxa"/>
            <w:vAlign w:val="center"/>
          </w:tcPr>
          <w:p>
            <w:pPr>
              <w:pStyle w:val="Style217"/>
            </w:pPr>
            <w:r>
              <w:rPr>
                <w:rFonts w:hint="eastAsia"/>
              </w:rPr>
              <w:t>七、修理工程</w:t>
            </w:r>
          </w:p>
        </w:tc>
        <w:tc>
          <w:tcPr>
            <w:tcW w:w="1417" w:type="dxa"/>
            <w:vAlign w:val="center"/>
          </w:tcPr>
          <w:p>
            <w:pPr>
              <w:ind w:right="105"/>
              <w:jc w:val="right"/>
            </w:pPr>
            <w:r>
              <w:rPr>
                <w:rFonts w:ascii="宋体" w:hAnsi="宋体" w:cs="宋体" w:hint="eastAsia"/>
                <w:color w:val="000000"/>
                <w:lang w:bidi="ar"/>
              </w:rPr>
              <w:t>29,349</w:t>
            </w:r>
          </w:p>
        </w:tc>
        <w:tc>
          <w:tcPr>
            <w:tcW w:w="1134" w:type="dxa"/>
            <w:vAlign w:val="center"/>
          </w:tcPr>
          <w:p>
            <w:pPr>
              <w:ind w:right="73"/>
              <w:jc w:val="right"/>
            </w:pPr>
            <w:r>
              <w:rPr>
                <w:rFonts w:ascii="宋体" w:hAnsi="宋体" w:cs="宋体" w:hint="eastAsia"/>
                <w:color w:val="000000"/>
                <w:lang w:bidi="ar"/>
              </w:rPr>
              <w:t>494</w:t>
            </w:r>
          </w:p>
        </w:tc>
        <w:tc>
          <w:tcPr>
            <w:tcW w:w="1418" w:type="dxa"/>
            <w:vAlign w:val="center"/>
          </w:tcPr>
          <w:p>
            <w:pPr>
              <w:ind w:right="73"/>
              <w:jc w:val="right"/>
            </w:pPr>
            <w:r>
              <w:rPr>
                <w:rFonts w:ascii="宋体" w:hAnsi="宋体" w:cs="宋体" w:hint="eastAsia"/>
                <w:color w:val="000000"/>
                <w:lang w:bidi="ar"/>
              </w:rPr>
              <w:t>28,855</w:t>
            </w:r>
          </w:p>
        </w:tc>
        <w:tc>
          <w:tcPr>
            <w:tcW w:w="1276" w:type="dxa"/>
            <w:vAlign w:val="center"/>
          </w:tcPr>
          <w:p>
            <w:pPr>
              <w:jc w:val="right"/>
            </w:pPr>
            <w:r>
              <w:rPr>
                <w:rFonts w:ascii="宋体" w:hAnsi="宋体" w:cs="宋体" w:hint="eastAsia"/>
                <w:color w:val="000000"/>
              </w:rPr>
              <w:t>3,157</w:t>
            </w:r>
          </w:p>
        </w:tc>
        <w:tc>
          <w:tcPr>
            <w:tcW w:w="992" w:type="dxa"/>
            <w:vAlign w:val="center"/>
          </w:tcPr>
          <w:p>
            <w:pPr>
              <w:jc w:val="right"/>
            </w:pPr>
            <w:r>
              <w:rPr>
                <w:rFonts w:ascii="宋体" w:hAnsi="宋体" w:cs="宋体" w:hint="eastAsia"/>
                <w:color w:val="000000"/>
              </w:rPr>
              <w:t>494</w:t>
            </w:r>
          </w:p>
        </w:tc>
        <w:tc>
          <w:tcPr>
            <w:tcW w:w="1398" w:type="dxa"/>
            <w:vAlign w:val="center"/>
          </w:tcPr>
          <w:p>
            <w:pPr>
              <w:jc w:val="right"/>
            </w:pPr>
            <w:r>
              <w:rPr>
                <w:rFonts w:ascii="宋体" w:hAnsi="宋体" w:cs="宋体" w:hint="eastAsia"/>
                <w:color w:val="000000"/>
              </w:rPr>
              <w:t>2,663</w:t>
            </w:r>
          </w:p>
        </w:tc>
      </w:tr>
      <w:tr>
        <w:trPr>
          <w:cantSplit/>
        </w:trPr>
        <w:tc>
          <w:tcPr>
            <w:tcW w:w="1413" w:type="dxa"/>
            <w:vAlign w:val="center"/>
          </w:tcPr>
          <w:p>
            <w:pPr>
              <w:jc w:val="center"/>
            </w:pPr>
            <w:r>
              <w:rPr>
                <w:rFonts w:hint="eastAsia"/>
              </w:rPr>
              <w:t>合计</w:t>
            </w:r>
          </w:p>
        </w:tc>
        <w:tc>
          <w:tcPr>
            <w:tcW w:w="1417" w:type="dxa"/>
          </w:tcPr>
          <w:p>
            <w:pPr>
              <w:ind w:right="73"/>
              <w:jc w:val="right"/>
              <w:rPr>
                <w:rFonts w:ascii="宋体" w:hAnsi="宋体"/>
              </w:rPr>
            </w:pPr>
            <w:r>
              <w:rPr>
                <w:rFonts w:ascii="宋体" w:hAnsi="宋体"/>
              </w:rPr>
              <w:t>23,767,163</w:t>
            </w:r>
          </w:p>
        </w:tc>
        <w:tc>
          <w:tcPr>
            <w:tcW w:w="1134" w:type="dxa"/>
          </w:tcPr>
          <w:p>
            <w:pPr>
              <w:ind w:right="73"/>
              <w:jc w:val="right"/>
              <w:rPr>
                <w:rFonts w:ascii="宋体" w:hAnsi="宋体"/>
              </w:rPr>
            </w:pPr>
            <w:r>
              <w:rPr>
                <w:rFonts w:ascii="宋体" w:hAnsi="宋体"/>
              </w:rPr>
              <w:t>620,254</w:t>
            </w:r>
          </w:p>
        </w:tc>
        <w:tc>
          <w:tcPr>
            <w:tcW w:w="1418" w:type="dxa"/>
            <w:vAlign w:val="center"/>
          </w:tcPr>
          <w:p>
            <w:pPr>
              <w:ind w:right="73"/>
              <w:jc w:val="right"/>
            </w:pPr>
            <w:r>
              <w:rPr>
                <w:rFonts w:ascii="宋体" w:hAnsi="宋体" w:cs="宋体" w:hint="eastAsia"/>
                <w:color w:val="000000"/>
                <w:lang w:bidi="ar"/>
              </w:rPr>
              <w:t>23,146,909</w:t>
            </w:r>
          </w:p>
        </w:tc>
        <w:tc>
          <w:tcPr>
            <w:tcW w:w="1276" w:type="dxa"/>
            <w:vAlign w:val="center"/>
          </w:tcPr>
          <w:p>
            <w:pPr>
              <w:jc w:val="right"/>
            </w:pPr>
            <w:r>
              <w:rPr>
                <w:rFonts w:ascii="宋体" w:hAnsi="宋体" w:cs="宋体" w:hint="eastAsia"/>
                <w:color w:val="000000"/>
              </w:rPr>
              <w:t>25,567,871</w:t>
            </w:r>
          </w:p>
        </w:tc>
        <w:tc>
          <w:tcPr>
            <w:tcW w:w="992" w:type="dxa"/>
            <w:vAlign w:val="center"/>
          </w:tcPr>
          <w:p>
            <w:pPr>
              <w:jc w:val="right"/>
            </w:pPr>
            <w:r>
              <w:rPr>
                <w:rFonts w:ascii="宋体" w:hAnsi="宋体" w:cs="宋体" w:hint="eastAsia"/>
                <w:color w:val="000000"/>
              </w:rPr>
              <w:t>701,555</w:t>
            </w:r>
          </w:p>
        </w:tc>
        <w:tc>
          <w:tcPr>
            <w:tcW w:w="1398" w:type="dxa"/>
            <w:vAlign w:val="center"/>
          </w:tcPr>
          <w:p>
            <w:pPr>
              <w:jc w:val="right"/>
            </w:pPr>
            <w:r>
              <w:rPr>
                <w:rFonts w:ascii="宋体" w:hAnsi="宋体" w:cs="宋体" w:hint="eastAsia"/>
                <w:color w:val="000000"/>
              </w:rPr>
              <w:t>24,866,316</w:t>
            </w:r>
          </w:p>
        </w:tc>
      </w:tr>
    </w:tbl>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pStyle w:val="Style217"/>
      </w:pPr>
    </w:p>
    <w:p>
      <w:pPr>
        <w:sectPr>
          <w:pgSz w:w="11906" w:h="16838"/>
          <w:pgMar w:top="1525" w:right="1276" w:bottom="1440" w:left="1797" w:header="856" w:footer="992" w:gutter="0"/>
          <w:cols w:space="425"/>
          <w:docGrid w:linePitch="312"/>
        </w:sectPr>
      </w:pPr>
    </w:p>
    <w:p>
      <w:pPr>
        <w:pStyle w:val="Style217"/>
      </w:pPr>
    </w:p>
    <w:p>
      <w:pPr>
        <w:pStyle w:val="Style180"/>
        <w:numPr>
          <w:ilvl w:val="0"/>
          <w:numId w:val="91"/>
        </w:numPr>
        <w:ind w:leftChars="0"/>
      </w:pPr>
      <w:r>
        <w:rPr>
          <w:rFonts w:hint="eastAsia"/>
        </w:rPr>
        <w:t>重要在建工程项目本期变动情况</w:t>
      </w:r>
    </w:p>
    <w:sdt>
      <w:sdtPr>
        <w:alias w:val="是否适用：重要在建工程项目本期变动情况[双击切换]"/>
        <w:tag w:val="_GBC_964f4529e8234c358a8541e8c4754ec8"/>
        <w:id w:val="160490970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在建工程项目变动情况"/>
          <w:tag w:val="_GBC_9057dff5be8544c398fdbd55cff334f7"/>
          <w:id w:val="21065390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在建工程项目变动情况"/>
          <w:tag w:val="_GBC_110e0fe0dd4f471bae83a62e58e88d74"/>
          <w:id w:val="3624893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536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275"/>
        <w:gridCol w:w="1348"/>
        <w:gridCol w:w="1204"/>
        <w:gridCol w:w="864"/>
        <w:gridCol w:w="1404"/>
        <w:gridCol w:w="1417"/>
        <w:gridCol w:w="851"/>
        <w:gridCol w:w="992"/>
        <w:gridCol w:w="1276"/>
        <w:gridCol w:w="850"/>
        <w:gridCol w:w="851"/>
        <w:gridCol w:w="621"/>
      </w:tblGrid>
      <w:tr>
        <w:trPr>
          <w:cantSplit/>
          <w:trHeight w:val="2134"/>
        </w:trPr>
        <w:sdt>
          <w:sdtPr>
            <w:tag w:val="_PLD_0072ffbc51294cefbe17dde844d0e5ed"/>
            <w:id w:val="-1239098213"/>
          </w:sdtPr>
          <w:sdtContent>
            <w:tc>
              <w:tcPr>
                <w:tcW w:w="1135" w:type="dxa"/>
                <w:vAlign w:val="center"/>
              </w:tcPr>
              <w:p>
                <w:pPr>
                  <w:jc w:val="center"/>
                </w:pPr>
                <w:r>
                  <w:rPr>
                    <w:rFonts w:hint="eastAsia"/>
                  </w:rPr>
                  <w:t>项目名称</w:t>
                </w:r>
              </w:p>
            </w:tc>
          </w:sdtContent>
        </w:sdt>
        <w:sdt>
          <w:sdtPr>
            <w:tag w:val="_PLD_392420deb7e94f0a8026947a325da4f4"/>
            <w:id w:val="-1682034447"/>
          </w:sdtPr>
          <w:sdtContent>
            <w:tc>
              <w:tcPr>
                <w:tcW w:w="1276" w:type="dxa"/>
                <w:vAlign w:val="center"/>
              </w:tcPr>
              <w:p>
                <w:pPr>
                  <w:jc w:val="center"/>
                </w:pPr>
                <w:r>
                  <w:rPr>
                    <w:rFonts w:hint="eastAsia"/>
                  </w:rPr>
                  <w:t>期初</w:t>
                </w:r>
              </w:p>
              <w:p>
                <w:pPr>
                  <w:jc w:val="center"/>
                </w:pPr>
                <w:r>
                  <w:rPr>
                    <w:rFonts w:hint="eastAsia"/>
                  </w:rPr>
                  <w:t>余额</w:t>
                </w:r>
              </w:p>
            </w:tc>
          </w:sdtContent>
        </w:sdt>
        <w:sdt>
          <w:sdtPr>
            <w:tag w:val="_PLD_de4faed3465b4da6b8ac35d7e677431c"/>
            <w:id w:val="-608036976"/>
          </w:sdtPr>
          <w:sdtContent>
            <w:tc>
              <w:tcPr>
                <w:tcW w:w="1275" w:type="dxa"/>
                <w:vAlign w:val="center"/>
              </w:tcPr>
              <w:p>
                <w:pPr>
                  <w:jc w:val="center"/>
                </w:pPr>
                <w:r>
                  <w:rPr>
                    <w:rFonts w:hint="eastAsia"/>
                  </w:rPr>
                  <w:t>本期增加金额</w:t>
                </w:r>
              </w:p>
            </w:tc>
          </w:sdtContent>
        </w:sdt>
        <w:sdt>
          <w:sdtPr>
            <w:tag w:val="_PLD_51ce4224316b4f4b99a8fb0c8e4500a5"/>
            <w:id w:val="936563555"/>
          </w:sdtPr>
          <w:sdtContent>
            <w:tc>
              <w:tcPr>
                <w:tcW w:w="1348" w:type="dxa"/>
                <w:vAlign w:val="center"/>
              </w:tcPr>
              <w:p>
                <w:pPr>
                  <w:jc w:val="center"/>
                </w:pPr>
                <w:r>
                  <w:rPr>
                    <w:rFonts w:hint="eastAsia"/>
                  </w:rPr>
                  <w:t>本期转入固定资产、无形资产金额</w:t>
                </w:r>
              </w:p>
            </w:tc>
          </w:sdtContent>
        </w:sdt>
        <w:sdt>
          <w:sdtPr>
            <w:tag w:val="_PLD_d80ffbe10b944f57a31723041ffbcbdf"/>
            <w:id w:val="-681742938"/>
          </w:sdtPr>
          <w:sdtContent>
            <w:tc>
              <w:tcPr>
                <w:tcW w:w="1204" w:type="dxa"/>
                <w:vAlign w:val="center"/>
              </w:tcPr>
              <w:p>
                <w:pPr>
                  <w:jc w:val="center"/>
                </w:pPr>
                <w:r>
                  <w:rPr>
                    <w:rFonts w:hint="eastAsia"/>
                  </w:rPr>
                  <w:t>本期其他减少金额</w:t>
                </w:r>
              </w:p>
            </w:tc>
          </w:sdtContent>
        </w:sdt>
        <w:tc>
          <w:tcPr>
            <w:tcW w:w="864" w:type="dxa"/>
            <w:vAlign w:val="center"/>
          </w:tcPr>
          <w:p>
            <w:pPr>
              <w:jc w:val="center"/>
            </w:pPr>
            <w:r>
              <w:rPr>
                <w:rFonts w:ascii="宋体" w:hAnsi="宋体" w:cs="宋体" w:hint="eastAsia"/>
                <w:color w:val="000000"/>
                <w:sz w:val="18"/>
                <w:szCs w:val="18"/>
              </w:rPr>
              <w:t>外币报表折算</w:t>
            </w:r>
          </w:p>
        </w:tc>
        <w:sdt>
          <w:sdtPr>
            <w:tag w:val="_PLD_c8b617c64ad64a03834695d9bc0b8d2f"/>
            <w:id w:val="-539131339"/>
          </w:sdtPr>
          <w:sdtContent>
            <w:tc>
              <w:tcPr>
                <w:tcW w:w="1404" w:type="dxa"/>
                <w:vAlign w:val="center"/>
              </w:tcPr>
              <w:p>
                <w:pPr>
                  <w:jc w:val="center"/>
                </w:pPr>
                <w:r>
                  <w:rPr>
                    <w:rFonts w:hint="eastAsia"/>
                  </w:rPr>
                  <w:t>期末</w:t>
                </w:r>
              </w:p>
              <w:p>
                <w:pPr>
                  <w:jc w:val="center"/>
                </w:pPr>
                <w:r>
                  <w:rPr>
                    <w:rFonts w:hint="eastAsia"/>
                  </w:rPr>
                  <w:t>余额</w:t>
                </w:r>
              </w:p>
            </w:tc>
          </w:sdtContent>
        </w:sdt>
        <w:tc>
          <w:tcPr>
            <w:tcW w:w="1417" w:type="dxa"/>
            <w:vAlign w:val="center"/>
          </w:tcPr>
          <w:p>
            <w:pPr>
              <w:jc w:val="center"/>
            </w:pPr>
            <w:r>
              <w:rPr>
                <w:rFonts w:ascii="宋体" w:hAnsi="宋体" w:cs="宋体" w:hint="eastAsia"/>
                <w:color w:val="000000"/>
                <w:sz w:val="18"/>
                <w:szCs w:val="18"/>
              </w:rPr>
              <w:t>预算数</w:t>
            </w:r>
          </w:p>
        </w:tc>
        <w:sdt>
          <w:sdtPr>
            <w:tag w:val="_PLD_738551d97ef741f093f852402c423e47"/>
            <w:id w:val="-1807463814"/>
          </w:sdtPr>
          <w:sdtContent>
            <w:tc>
              <w:tcPr>
                <w:tcW w:w="851" w:type="dxa"/>
                <w:vAlign w:val="center"/>
              </w:tcPr>
              <w:p>
                <w:pPr>
                  <w:jc w:val="center"/>
                </w:pPr>
                <w:r>
                  <w:rPr>
                    <w:rFonts w:hint="eastAsia"/>
                  </w:rPr>
                  <w:t>工程累计投入占预算比例</w:t>
                </w:r>
                <w:r>
                  <w:rPr>
                    <w:rFonts w:hint="eastAsia"/>
                  </w:rPr>
                  <w:t>(%)</w:t>
                </w:r>
              </w:p>
            </w:tc>
          </w:sdtContent>
        </w:sdt>
        <w:sdt>
          <w:sdtPr>
            <w:tag w:val="_PLD_0f7f749f98e74f33ae9032c17002d136"/>
            <w:id w:val="-2095623066"/>
          </w:sdtPr>
          <w:sdtContent>
            <w:tc>
              <w:tcPr>
                <w:tcW w:w="992" w:type="dxa"/>
                <w:vAlign w:val="center"/>
              </w:tcPr>
              <w:p>
                <w:pPr>
                  <w:jc w:val="center"/>
                </w:pPr>
                <w:r>
                  <w:rPr>
                    <w:rFonts w:hint="eastAsia"/>
                  </w:rPr>
                  <w:t>工程进度</w:t>
                </w:r>
              </w:p>
            </w:tc>
          </w:sdtContent>
        </w:sdt>
        <w:sdt>
          <w:sdtPr>
            <w:tag w:val="_PLD_0b58d44121d2475586a13d1ce8eaed0a"/>
            <w:id w:val="423079030"/>
          </w:sdtPr>
          <w:sdtContent>
            <w:tc>
              <w:tcPr>
                <w:tcW w:w="1276" w:type="dxa"/>
                <w:vAlign w:val="center"/>
              </w:tcPr>
              <w:p>
                <w:pPr>
                  <w:jc w:val="center"/>
                </w:pPr>
                <w:r>
                  <w:rPr>
                    <w:rFonts w:hint="eastAsia"/>
                  </w:rPr>
                  <w:t>利息资本化累计金额</w:t>
                </w:r>
              </w:p>
            </w:tc>
          </w:sdtContent>
        </w:sdt>
        <w:sdt>
          <w:sdtPr>
            <w:tag w:val="_PLD_2250f692e957437687c2cafcae1d7f81"/>
            <w:id w:val="-2064236122"/>
          </w:sdtPr>
          <w:sdtContent>
            <w:tc>
              <w:tcPr>
                <w:tcW w:w="850" w:type="dxa"/>
                <w:vAlign w:val="center"/>
              </w:tcPr>
              <w:p>
                <w:pPr>
                  <w:jc w:val="center"/>
                </w:pPr>
                <w:r>
                  <w:rPr>
                    <w:rFonts w:hint="eastAsia"/>
                  </w:rPr>
                  <w:t>其中：本期利息资本化金额</w:t>
                </w:r>
              </w:p>
            </w:tc>
          </w:sdtContent>
        </w:sdt>
        <w:sdt>
          <w:sdtPr>
            <w:tag w:val="_PLD_7a9834f354d948e19f071bbf4b5baafe"/>
            <w:id w:val="-778406384"/>
          </w:sdtPr>
          <w:sdtContent>
            <w:tc>
              <w:tcPr>
                <w:tcW w:w="851" w:type="dxa"/>
                <w:vAlign w:val="center"/>
              </w:tcPr>
              <w:p>
                <w:pPr>
                  <w:jc w:val="center"/>
                </w:pPr>
                <w:r>
                  <w:rPr>
                    <w:rFonts w:hint="eastAsia"/>
                  </w:rPr>
                  <w:t>本期利息资本化率</w:t>
                </w:r>
                <w:r>
                  <w:rPr>
                    <w:rFonts w:hint="eastAsia"/>
                  </w:rPr>
                  <w:t>(%)</w:t>
                </w:r>
              </w:p>
            </w:tc>
          </w:sdtContent>
        </w:sdt>
        <w:sdt>
          <w:sdtPr>
            <w:tag w:val="_PLD_6015e39597424a7ea59d45da3ff56e99"/>
            <w:id w:val="-1318565945"/>
          </w:sdtPr>
          <w:sdtContent>
            <w:tc>
              <w:tcPr>
                <w:tcW w:w="621" w:type="dxa"/>
                <w:vAlign w:val="center"/>
              </w:tcPr>
              <w:p>
                <w:pPr>
                  <w:jc w:val="center"/>
                </w:pPr>
                <w:r>
                  <w:rPr>
                    <w:rFonts w:hint="eastAsia"/>
                  </w:rPr>
                  <w:t>资金来源</w:t>
                </w:r>
              </w:p>
            </w:tc>
          </w:sdtContent>
        </w:sdt>
      </w:tr>
      <w:tr>
        <w:trPr>
          <w:cantSplit/>
          <w:trHeight w:val="261"/>
        </w:trPr>
        <w:tc>
          <w:tcPr>
            <w:tcW w:w="1135" w:type="dxa"/>
            <w:vAlign w:val="center"/>
          </w:tcPr>
          <w:p>
            <w:pPr>
              <w:rPr>
                <w:rFonts w:ascii="宋体" w:hAnsi="宋体"/>
              </w:rPr>
            </w:pPr>
            <w:r>
              <w:rPr>
                <w:rFonts w:ascii="宋体" w:hAnsi="宋体" w:cs="宋体" w:hint="eastAsia"/>
                <w:color w:val="000000"/>
              </w:rPr>
              <w:t>加拿大钾矿</w:t>
            </w:r>
          </w:p>
        </w:tc>
        <w:tc>
          <w:tcPr>
            <w:tcW w:w="1276" w:type="dxa"/>
            <w:vAlign w:val="center"/>
          </w:tcPr>
          <w:p>
            <w:pPr>
              <w:jc w:val="right"/>
              <w:rPr>
                <w:rFonts w:ascii="宋体" w:hAnsi="宋体"/>
              </w:rPr>
            </w:pPr>
            <w:r>
              <w:rPr>
                <w:rFonts w:ascii="宋体" w:hAnsi="宋体" w:cs="宋体" w:hint="eastAsia"/>
                <w:color w:val="000000"/>
              </w:rPr>
              <w:t>1,857,831</w:t>
            </w:r>
          </w:p>
        </w:tc>
        <w:tc>
          <w:tcPr>
            <w:tcW w:w="1275" w:type="dxa"/>
            <w:vAlign w:val="center"/>
          </w:tcPr>
          <w:p>
            <w:pPr>
              <w:jc w:val="right"/>
              <w:rPr>
                <w:rFonts w:ascii="宋体" w:hAnsi="宋体"/>
              </w:rPr>
            </w:pPr>
          </w:p>
        </w:tc>
        <w:tc>
          <w:tcPr>
            <w:tcW w:w="1348" w:type="dxa"/>
            <w:vAlign w:val="center"/>
          </w:tcPr>
          <w:p>
            <w:pPr>
              <w:jc w:val="right"/>
              <w:rPr>
                <w:rFonts w:ascii="宋体" w:hAnsi="宋体"/>
              </w:rPr>
            </w:pPr>
          </w:p>
        </w:tc>
        <w:tc>
          <w:tcPr>
            <w:tcW w:w="1204" w:type="dxa"/>
            <w:vAlign w:val="center"/>
          </w:tcPr>
          <w:p>
            <w:pPr>
              <w:jc w:val="right"/>
              <w:rPr>
                <w:rFonts w:ascii="宋体" w:hAnsi="宋体"/>
              </w:rPr>
            </w:pPr>
          </w:p>
        </w:tc>
        <w:tc>
          <w:tcPr>
            <w:tcW w:w="864" w:type="dxa"/>
            <w:vAlign w:val="center"/>
          </w:tcPr>
          <w:p>
            <w:pPr>
              <w:jc w:val="right"/>
              <w:rPr>
                <w:rFonts w:ascii="宋体" w:hAnsi="宋体"/>
              </w:rPr>
            </w:pPr>
            <w:r>
              <w:rPr>
                <w:rFonts w:ascii="宋体" w:hAnsi="宋体" w:cs="宋体" w:hint="eastAsia"/>
                <w:color w:val="000000"/>
              </w:rPr>
              <w:t>31,703</w:t>
            </w:r>
          </w:p>
        </w:tc>
        <w:tc>
          <w:tcPr>
            <w:tcW w:w="1404" w:type="dxa"/>
            <w:vAlign w:val="center"/>
          </w:tcPr>
          <w:p>
            <w:pPr>
              <w:jc w:val="right"/>
              <w:rPr>
                <w:rFonts w:ascii="宋体" w:hAnsi="宋体"/>
              </w:rPr>
            </w:pPr>
            <w:r>
              <w:rPr>
                <w:rFonts w:ascii="宋体" w:hAnsi="宋体" w:cs="宋体" w:hint="eastAsia"/>
                <w:color w:val="000000"/>
              </w:rPr>
              <w:t>1,889,534</w:t>
            </w:r>
          </w:p>
        </w:tc>
        <w:tc>
          <w:tcPr>
            <w:tcW w:w="1417" w:type="dxa"/>
            <w:vAlign w:val="center"/>
          </w:tcPr>
          <w:p>
            <w:pPr>
              <w:jc w:val="right"/>
              <w:rPr>
                <w:rFonts w:ascii="宋体" w:hAnsi="宋体"/>
              </w:rPr>
            </w:pPr>
          </w:p>
        </w:tc>
        <w:tc>
          <w:tcPr>
            <w:tcW w:w="851" w:type="dxa"/>
            <w:vAlign w:val="center"/>
          </w:tcPr>
          <w:p>
            <w:pPr>
              <w:jc w:val="right"/>
              <w:rPr>
                <w:rFonts w:ascii="宋体" w:hAnsi="宋体"/>
              </w:rPr>
            </w:pPr>
          </w:p>
        </w:tc>
        <w:tc>
          <w:tcPr>
            <w:tcW w:w="992" w:type="dxa"/>
            <w:vAlign w:val="center"/>
          </w:tcPr>
          <w:p>
            <w:pPr>
              <w:jc w:val="right"/>
              <w:rPr>
                <w:rFonts w:ascii="宋体" w:hAnsi="宋体"/>
              </w:rPr>
            </w:pPr>
          </w:p>
        </w:tc>
        <w:tc>
          <w:tcPr>
            <w:tcW w:w="1276" w:type="dxa"/>
            <w:vAlign w:val="center"/>
          </w:tcPr>
          <w:p>
            <w:pPr>
              <w:jc w:val="right"/>
              <w:rPr>
                <w:rFonts w:ascii="宋体" w:hAnsi="宋体"/>
              </w:rPr>
            </w:pPr>
          </w:p>
        </w:tc>
        <w:tc>
          <w:tcPr>
            <w:tcW w:w="850" w:type="dxa"/>
            <w:vAlign w:val="center"/>
          </w:tcPr>
          <w:p>
            <w:pPr>
              <w:jc w:val="right"/>
              <w:rPr>
                <w:rFonts w:ascii="宋体" w:hAnsi="宋体"/>
              </w:rPr>
            </w:pPr>
          </w:p>
        </w:tc>
        <w:tc>
          <w:tcPr>
            <w:tcW w:w="851" w:type="dxa"/>
            <w:vAlign w:val="center"/>
          </w:tcPr>
          <w:p>
            <w:pPr>
              <w:jc w:val="right"/>
              <w:rPr>
                <w:rFonts w:ascii="宋体" w:hAnsi="宋体"/>
              </w:rPr>
            </w:pPr>
          </w:p>
        </w:tc>
        <w:tc>
          <w:tcPr>
            <w:tcW w:w="621" w:type="dxa"/>
            <w:vAlign w:val="center"/>
          </w:tcPr>
          <w:p>
            <w:pPr>
              <w:rPr>
                <w:rFonts w:ascii="宋体" w:hAnsi="宋体"/>
              </w:rPr>
            </w:pPr>
            <w:r>
              <w:rPr>
                <w:rFonts w:ascii="宋体" w:hAnsi="宋体" w:cs="宋体" w:hint="eastAsia"/>
              </w:rPr>
              <w:t>贷款</w:t>
            </w:r>
          </w:p>
        </w:tc>
      </w:tr>
      <w:tr>
        <w:trPr>
          <w:cantSplit/>
          <w:trHeight w:val="274"/>
        </w:trPr>
        <w:tc>
          <w:tcPr>
            <w:tcW w:w="1135" w:type="dxa"/>
            <w:vAlign w:val="center"/>
          </w:tcPr>
          <w:p>
            <w:pPr>
              <w:rPr>
                <w:rFonts w:ascii="宋体" w:hAnsi="宋体"/>
              </w:rPr>
            </w:pPr>
            <w:r>
              <w:rPr>
                <w:rFonts w:ascii="宋体" w:hAnsi="宋体" w:cs="宋体" w:hint="eastAsia"/>
                <w:color w:val="000000"/>
              </w:rPr>
              <w:t>万福煤矿</w:t>
            </w:r>
          </w:p>
        </w:tc>
        <w:tc>
          <w:tcPr>
            <w:tcW w:w="1276" w:type="dxa"/>
            <w:vAlign w:val="center"/>
          </w:tcPr>
          <w:p>
            <w:pPr>
              <w:jc w:val="right"/>
              <w:rPr>
                <w:rFonts w:ascii="宋体" w:hAnsi="宋体"/>
              </w:rPr>
            </w:pPr>
            <w:r>
              <w:rPr>
                <w:rFonts w:ascii="宋体" w:hAnsi="宋体" w:cs="宋体" w:hint="eastAsia"/>
                <w:color w:val="000000"/>
              </w:rPr>
              <w:t>6,699,250</w:t>
            </w:r>
          </w:p>
        </w:tc>
        <w:tc>
          <w:tcPr>
            <w:tcW w:w="1275" w:type="dxa"/>
            <w:vAlign w:val="center"/>
          </w:tcPr>
          <w:p>
            <w:pPr>
              <w:jc w:val="right"/>
              <w:rPr>
                <w:rFonts w:ascii="宋体" w:hAnsi="宋体"/>
              </w:rPr>
            </w:pPr>
            <w:r>
              <w:rPr>
                <w:rFonts w:ascii="宋体" w:hAnsi="宋体" w:cs="宋体" w:hint="eastAsia"/>
              </w:rPr>
              <w:t>26,243</w:t>
            </w:r>
          </w:p>
        </w:tc>
        <w:tc>
          <w:tcPr>
            <w:tcW w:w="1348" w:type="dxa"/>
            <w:vAlign w:val="center"/>
          </w:tcPr>
          <w:p>
            <w:pPr>
              <w:jc w:val="right"/>
              <w:rPr>
                <w:rFonts w:ascii="宋体" w:hAnsi="宋体"/>
              </w:rPr>
            </w:pPr>
            <w:r>
              <w:rPr>
                <w:rFonts w:ascii="宋体" w:hAnsi="宋体" w:cs="宋体" w:hint="eastAsia"/>
              </w:rPr>
              <w:t>6,331,114</w:t>
            </w:r>
          </w:p>
        </w:tc>
        <w:tc>
          <w:tcPr>
            <w:tcW w:w="1204" w:type="dxa"/>
            <w:vAlign w:val="center"/>
          </w:tcPr>
          <w:p>
            <w:pPr>
              <w:jc w:val="right"/>
              <w:rPr>
                <w:rFonts w:ascii="宋体" w:hAnsi="宋体"/>
              </w:rPr>
            </w:pPr>
            <w:r>
              <w:rPr>
                <w:rFonts w:ascii="宋体" w:hAnsi="宋体" w:cs="宋体" w:hint="eastAsia"/>
              </w:rPr>
              <w:t>18,860</w:t>
            </w:r>
          </w:p>
        </w:tc>
        <w:tc>
          <w:tcPr>
            <w:tcW w:w="864" w:type="dxa"/>
            <w:vAlign w:val="center"/>
          </w:tcPr>
          <w:p>
            <w:pPr>
              <w:jc w:val="right"/>
              <w:rPr>
                <w:rFonts w:ascii="宋体" w:hAnsi="宋体"/>
              </w:rPr>
            </w:pPr>
          </w:p>
        </w:tc>
        <w:tc>
          <w:tcPr>
            <w:tcW w:w="1404" w:type="dxa"/>
            <w:vAlign w:val="center"/>
          </w:tcPr>
          <w:p>
            <w:pPr>
              <w:jc w:val="right"/>
              <w:rPr>
                <w:rFonts w:ascii="宋体" w:hAnsi="宋体"/>
              </w:rPr>
            </w:pPr>
            <w:r>
              <w:rPr>
                <w:rFonts w:ascii="宋体" w:hAnsi="宋体" w:cs="宋体" w:hint="eastAsia"/>
                <w:color w:val="000000"/>
              </w:rPr>
              <w:t>375,519</w:t>
            </w:r>
          </w:p>
        </w:tc>
        <w:tc>
          <w:tcPr>
            <w:tcW w:w="1417" w:type="dxa"/>
            <w:vAlign w:val="center"/>
          </w:tcPr>
          <w:p>
            <w:pPr>
              <w:jc w:val="right"/>
              <w:rPr>
                <w:rFonts w:ascii="宋体" w:hAnsi="宋体"/>
              </w:rPr>
            </w:pPr>
            <w:r>
              <w:rPr>
                <w:rFonts w:ascii="宋体" w:hAnsi="宋体" w:cs="宋体" w:hint="eastAsia"/>
              </w:rPr>
              <w:t>8,395,930</w:t>
            </w:r>
          </w:p>
        </w:tc>
        <w:tc>
          <w:tcPr>
            <w:tcW w:w="851" w:type="dxa"/>
            <w:vAlign w:val="center"/>
          </w:tcPr>
          <w:p>
            <w:pPr>
              <w:jc w:val="right"/>
              <w:rPr>
                <w:rFonts w:ascii="宋体" w:hAnsi="宋体"/>
              </w:rPr>
            </w:pPr>
            <w:r>
              <w:rPr>
                <w:rFonts w:ascii="宋体" w:hAnsi="宋体" w:cs="宋体" w:hint="eastAsia"/>
              </w:rPr>
              <w:t>80.00</w:t>
            </w:r>
          </w:p>
        </w:tc>
        <w:tc>
          <w:tcPr>
            <w:tcW w:w="992" w:type="dxa"/>
            <w:vAlign w:val="center"/>
          </w:tcPr>
          <w:p>
            <w:pPr>
              <w:jc w:val="right"/>
              <w:rPr>
                <w:rFonts w:ascii="宋体" w:hAnsi="宋体"/>
              </w:rPr>
            </w:pPr>
            <w:r>
              <w:rPr>
                <w:rFonts w:ascii="宋体" w:hAnsi="宋体" w:cs="宋体" w:hint="eastAsia"/>
              </w:rPr>
              <w:t>80.00</w:t>
            </w:r>
          </w:p>
        </w:tc>
        <w:tc>
          <w:tcPr>
            <w:tcW w:w="1276" w:type="dxa"/>
            <w:vAlign w:val="center"/>
          </w:tcPr>
          <w:p>
            <w:pPr>
              <w:jc w:val="right"/>
              <w:rPr>
                <w:rFonts w:ascii="宋体" w:hAnsi="宋体"/>
              </w:rPr>
            </w:pPr>
            <w:r>
              <w:rPr>
                <w:rFonts w:ascii="宋体" w:hAnsi="宋体" w:cs="宋体" w:hint="eastAsia"/>
              </w:rPr>
              <w:t>1,443,877</w:t>
            </w:r>
          </w:p>
        </w:tc>
        <w:tc>
          <w:tcPr>
            <w:tcW w:w="850" w:type="dxa"/>
            <w:vAlign w:val="center"/>
          </w:tcPr>
          <w:p>
            <w:pPr>
              <w:jc w:val="right"/>
              <w:rPr>
                <w:rFonts w:ascii="宋体" w:hAnsi="宋体"/>
              </w:rPr>
            </w:pPr>
            <w:r>
              <w:rPr>
                <w:rFonts w:ascii="宋体" w:hAnsi="宋体" w:cs="宋体" w:hint="eastAsia"/>
              </w:rPr>
              <w:t>344</w:t>
            </w:r>
          </w:p>
        </w:tc>
        <w:tc>
          <w:tcPr>
            <w:tcW w:w="851" w:type="dxa"/>
            <w:vAlign w:val="center"/>
          </w:tcPr>
          <w:p>
            <w:pPr>
              <w:jc w:val="right"/>
              <w:rPr>
                <w:rFonts w:ascii="宋体" w:hAnsi="宋体"/>
              </w:rPr>
            </w:pPr>
            <w:r>
              <w:rPr>
                <w:rFonts w:ascii="宋体" w:hAnsi="宋体" w:cs="宋体" w:hint="eastAsia"/>
              </w:rPr>
              <w:t>2.27-4.75</w:t>
            </w:r>
          </w:p>
        </w:tc>
        <w:tc>
          <w:tcPr>
            <w:tcW w:w="621" w:type="dxa"/>
            <w:vAlign w:val="center"/>
          </w:tcPr>
          <w:p>
            <w:pPr>
              <w:rPr>
                <w:rFonts w:ascii="宋体" w:hAnsi="宋体"/>
              </w:rPr>
            </w:pPr>
            <w:r>
              <w:rPr>
                <w:rFonts w:ascii="宋体" w:hAnsi="宋体" w:cs="宋体" w:hint="eastAsia"/>
              </w:rPr>
              <w:t>自筹及贷款</w:t>
            </w:r>
          </w:p>
        </w:tc>
      </w:tr>
      <w:tr>
        <w:trPr>
          <w:cantSplit/>
          <w:trHeight w:val="261"/>
        </w:trPr>
        <w:tc>
          <w:tcPr>
            <w:tcW w:w="1135" w:type="dxa"/>
            <w:vAlign w:val="center"/>
          </w:tcPr>
          <w:p>
            <w:pPr>
              <w:rPr>
                <w:rFonts w:ascii="宋体" w:hAnsi="宋体"/>
              </w:rPr>
            </w:pPr>
            <w:r>
              <w:rPr>
                <w:rFonts w:ascii="宋体" w:hAnsi="宋体" w:cs="宋体" w:hint="eastAsia"/>
                <w:color w:val="000000"/>
              </w:rPr>
              <w:t>兖矿泰安港公铁水联运物流园项目</w:t>
            </w:r>
          </w:p>
        </w:tc>
        <w:tc>
          <w:tcPr>
            <w:tcW w:w="1276" w:type="dxa"/>
            <w:vAlign w:val="center"/>
          </w:tcPr>
          <w:p>
            <w:pPr>
              <w:jc w:val="right"/>
              <w:rPr>
                <w:rFonts w:ascii="宋体" w:hAnsi="宋体"/>
              </w:rPr>
            </w:pPr>
            <w:r>
              <w:rPr>
                <w:rFonts w:ascii="宋体" w:hAnsi="宋体" w:cs="宋体" w:hint="eastAsia"/>
                <w:color w:val="000000"/>
              </w:rPr>
              <w:t>2,130,281</w:t>
            </w:r>
          </w:p>
        </w:tc>
        <w:tc>
          <w:tcPr>
            <w:tcW w:w="1275" w:type="dxa"/>
            <w:vAlign w:val="center"/>
          </w:tcPr>
          <w:p>
            <w:pPr>
              <w:jc w:val="right"/>
              <w:rPr>
                <w:rFonts w:ascii="宋体" w:hAnsi="宋体"/>
              </w:rPr>
            </w:pPr>
          </w:p>
        </w:tc>
        <w:tc>
          <w:tcPr>
            <w:tcW w:w="1348" w:type="dxa"/>
            <w:vAlign w:val="center"/>
          </w:tcPr>
          <w:p>
            <w:pPr>
              <w:jc w:val="right"/>
              <w:rPr>
                <w:rFonts w:ascii="宋体" w:hAnsi="宋体"/>
              </w:rPr>
            </w:pPr>
            <w:r>
              <w:rPr>
                <w:rFonts w:ascii="宋体" w:hAnsi="宋体" w:cs="宋体" w:hint="eastAsia"/>
              </w:rPr>
              <w:t>1,652,416</w:t>
            </w:r>
          </w:p>
        </w:tc>
        <w:tc>
          <w:tcPr>
            <w:tcW w:w="1204" w:type="dxa"/>
            <w:vAlign w:val="center"/>
          </w:tcPr>
          <w:p>
            <w:pPr>
              <w:jc w:val="right"/>
              <w:rPr>
                <w:rFonts w:ascii="宋体" w:hAnsi="宋体"/>
              </w:rPr>
            </w:pPr>
          </w:p>
        </w:tc>
        <w:tc>
          <w:tcPr>
            <w:tcW w:w="864" w:type="dxa"/>
            <w:vAlign w:val="center"/>
          </w:tcPr>
          <w:p>
            <w:pPr>
              <w:jc w:val="right"/>
              <w:rPr>
                <w:rFonts w:ascii="宋体" w:hAnsi="宋体"/>
              </w:rPr>
            </w:pPr>
          </w:p>
        </w:tc>
        <w:tc>
          <w:tcPr>
            <w:tcW w:w="1404" w:type="dxa"/>
            <w:vAlign w:val="center"/>
          </w:tcPr>
          <w:p>
            <w:pPr>
              <w:jc w:val="right"/>
              <w:rPr>
                <w:rFonts w:ascii="宋体" w:hAnsi="宋体"/>
              </w:rPr>
            </w:pPr>
            <w:r>
              <w:rPr>
                <w:rFonts w:ascii="宋体" w:hAnsi="宋体" w:cs="宋体" w:hint="eastAsia"/>
                <w:color w:val="000000"/>
              </w:rPr>
              <w:t>477,865</w:t>
            </w:r>
          </w:p>
        </w:tc>
        <w:tc>
          <w:tcPr>
            <w:tcW w:w="1417" w:type="dxa"/>
            <w:vAlign w:val="center"/>
          </w:tcPr>
          <w:p>
            <w:pPr>
              <w:jc w:val="right"/>
              <w:rPr>
                <w:rFonts w:ascii="宋体" w:hAnsi="宋体"/>
              </w:rPr>
            </w:pPr>
            <w:r>
              <w:rPr>
                <w:rFonts w:ascii="宋体" w:hAnsi="宋体" w:cs="宋体" w:hint="eastAsia"/>
              </w:rPr>
              <w:t>2,380,610</w:t>
            </w:r>
          </w:p>
        </w:tc>
        <w:tc>
          <w:tcPr>
            <w:tcW w:w="851" w:type="dxa"/>
            <w:vAlign w:val="center"/>
          </w:tcPr>
          <w:p>
            <w:pPr>
              <w:jc w:val="right"/>
              <w:rPr>
                <w:rFonts w:ascii="宋体" w:hAnsi="宋体"/>
              </w:rPr>
            </w:pPr>
            <w:r>
              <w:rPr>
                <w:rFonts w:ascii="宋体" w:hAnsi="宋体" w:cs="宋体" w:hint="eastAsia"/>
              </w:rPr>
              <w:t>89.00</w:t>
            </w:r>
          </w:p>
        </w:tc>
        <w:tc>
          <w:tcPr>
            <w:tcW w:w="992" w:type="dxa"/>
            <w:vAlign w:val="center"/>
          </w:tcPr>
          <w:p>
            <w:pPr>
              <w:jc w:val="right"/>
              <w:rPr>
                <w:rFonts w:ascii="宋体" w:hAnsi="宋体"/>
              </w:rPr>
            </w:pPr>
            <w:r>
              <w:rPr>
                <w:rFonts w:ascii="宋体" w:hAnsi="宋体" w:cs="宋体" w:hint="eastAsia"/>
              </w:rPr>
              <w:t>89.00</w:t>
            </w:r>
          </w:p>
        </w:tc>
        <w:tc>
          <w:tcPr>
            <w:tcW w:w="1276" w:type="dxa"/>
            <w:vAlign w:val="center"/>
          </w:tcPr>
          <w:p>
            <w:pPr>
              <w:jc w:val="right"/>
              <w:rPr>
                <w:rFonts w:ascii="宋体" w:hAnsi="宋体"/>
              </w:rPr>
            </w:pPr>
            <w:r>
              <w:rPr>
                <w:rFonts w:ascii="宋体" w:hAnsi="宋体" w:cs="宋体" w:hint="eastAsia"/>
              </w:rPr>
              <w:t>92,013</w:t>
            </w:r>
          </w:p>
        </w:tc>
        <w:tc>
          <w:tcPr>
            <w:tcW w:w="850" w:type="dxa"/>
            <w:vAlign w:val="center"/>
          </w:tcPr>
          <w:p>
            <w:pPr>
              <w:jc w:val="right"/>
              <w:rPr>
                <w:rFonts w:ascii="宋体" w:hAnsi="宋体"/>
              </w:rPr>
            </w:pPr>
          </w:p>
        </w:tc>
        <w:tc>
          <w:tcPr>
            <w:tcW w:w="851" w:type="dxa"/>
            <w:vAlign w:val="center"/>
          </w:tcPr>
          <w:p>
            <w:pPr>
              <w:jc w:val="right"/>
              <w:rPr>
                <w:rFonts w:ascii="宋体" w:hAnsi="宋体"/>
              </w:rPr>
            </w:pPr>
            <w:r>
              <w:rPr>
                <w:rFonts w:ascii="宋体" w:hAnsi="宋体" w:cs="宋体" w:hint="eastAsia"/>
                <w:color w:val="000000"/>
              </w:rPr>
              <w:t>3.13-3.27</w:t>
            </w:r>
          </w:p>
        </w:tc>
        <w:tc>
          <w:tcPr>
            <w:tcW w:w="621" w:type="dxa"/>
            <w:vAlign w:val="center"/>
          </w:tcPr>
          <w:p>
            <w:pPr>
              <w:rPr>
                <w:rFonts w:ascii="宋体" w:hAnsi="宋体"/>
              </w:rPr>
            </w:pPr>
            <w:r>
              <w:rPr>
                <w:rFonts w:ascii="宋体" w:hAnsi="宋体" w:cs="宋体" w:hint="eastAsia"/>
              </w:rPr>
              <w:t>自筹及贷款</w:t>
            </w:r>
          </w:p>
        </w:tc>
      </w:tr>
      <w:tr>
        <w:trPr>
          <w:cantSplit/>
          <w:trHeight w:val="274"/>
        </w:trPr>
        <w:tc>
          <w:tcPr>
            <w:tcW w:w="1135" w:type="dxa"/>
            <w:vAlign w:val="center"/>
          </w:tcPr>
          <w:p>
            <w:pPr>
              <w:rPr>
                <w:rFonts w:ascii="宋体" w:hAnsi="宋体"/>
              </w:rPr>
            </w:pPr>
            <w:r>
              <w:rPr>
                <w:rFonts w:ascii="宋体" w:hAnsi="宋体" w:cs="宋体" w:hint="eastAsia"/>
                <w:color w:val="000000"/>
              </w:rPr>
              <w:t>兖矿能源智慧制造园区项目</w:t>
            </w:r>
          </w:p>
        </w:tc>
        <w:tc>
          <w:tcPr>
            <w:tcW w:w="1276" w:type="dxa"/>
            <w:vAlign w:val="center"/>
          </w:tcPr>
          <w:p>
            <w:pPr>
              <w:jc w:val="right"/>
              <w:rPr>
                <w:rFonts w:ascii="宋体" w:hAnsi="宋体"/>
              </w:rPr>
            </w:pPr>
            <w:r>
              <w:rPr>
                <w:rFonts w:ascii="宋体" w:hAnsi="宋体" w:cs="宋体" w:hint="eastAsia"/>
                <w:color w:val="000000"/>
              </w:rPr>
              <w:t>1,703,774</w:t>
            </w:r>
          </w:p>
        </w:tc>
        <w:tc>
          <w:tcPr>
            <w:tcW w:w="1275" w:type="dxa"/>
            <w:vAlign w:val="center"/>
          </w:tcPr>
          <w:p>
            <w:pPr>
              <w:jc w:val="right"/>
              <w:rPr>
                <w:rFonts w:ascii="宋体" w:hAnsi="宋体"/>
              </w:rPr>
            </w:pPr>
            <w:r>
              <w:rPr>
                <w:rFonts w:ascii="宋体" w:hAnsi="宋体" w:cs="宋体" w:hint="eastAsia"/>
              </w:rPr>
              <w:t>15,007</w:t>
            </w:r>
          </w:p>
        </w:tc>
        <w:tc>
          <w:tcPr>
            <w:tcW w:w="1348" w:type="dxa"/>
            <w:vAlign w:val="center"/>
          </w:tcPr>
          <w:p>
            <w:pPr>
              <w:jc w:val="right"/>
              <w:rPr>
                <w:rFonts w:ascii="宋体" w:hAnsi="宋体"/>
              </w:rPr>
            </w:pPr>
            <w:r>
              <w:rPr>
                <w:rFonts w:ascii="宋体" w:hAnsi="宋体" w:cs="宋体" w:hint="eastAsia"/>
              </w:rPr>
              <w:t>1,718,781</w:t>
            </w:r>
          </w:p>
        </w:tc>
        <w:tc>
          <w:tcPr>
            <w:tcW w:w="1204" w:type="dxa"/>
            <w:vAlign w:val="center"/>
          </w:tcPr>
          <w:p>
            <w:pPr>
              <w:jc w:val="right"/>
              <w:rPr>
                <w:rFonts w:ascii="宋体" w:hAnsi="宋体"/>
              </w:rPr>
            </w:pPr>
          </w:p>
        </w:tc>
        <w:tc>
          <w:tcPr>
            <w:tcW w:w="864" w:type="dxa"/>
            <w:vAlign w:val="center"/>
          </w:tcPr>
          <w:p>
            <w:pPr>
              <w:jc w:val="right"/>
              <w:rPr>
                <w:rFonts w:ascii="宋体" w:hAnsi="宋体"/>
              </w:rPr>
            </w:pPr>
          </w:p>
        </w:tc>
        <w:tc>
          <w:tcPr>
            <w:tcW w:w="1404"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cs="宋体" w:hint="eastAsia"/>
              </w:rPr>
              <w:t>1,855,008</w:t>
            </w:r>
          </w:p>
        </w:tc>
        <w:tc>
          <w:tcPr>
            <w:tcW w:w="851" w:type="dxa"/>
            <w:vAlign w:val="center"/>
          </w:tcPr>
          <w:p>
            <w:pPr>
              <w:jc w:val="right"/>
              <w:rPr>
                <w:rFonts w:ascii="宋体" w:hAnsi="宋体"/>
              </w:rPr>
            </w:pPr>
            <w:r>
              <w:rPr>
                <w:rFonts w:ascii="宋体" w:hAnsi="宋体" w:cs="宋体" w:hint="eastAsia"/>
              </w:rPr>
              <w:t>92.66</w:t>
            </w:r>
          </w:p>
        </w:tc>
        <w:tc>
          <w:tcPr>
            <w:tcW w:w="992" w:type="dxa"/>
            <w:vAlign w:val="center"/>
          </w:tcPr>
          <w:p>
            <w:pPr>
              <w:jc w:val="right"/>
              <w:rPr>
                <w:rFonts w:ascii="宋体" w:hAnsi="宋体"/>
              </w:rPr>
            </w:pPr>
            <w:r>
              <w:rPr>
                <w:rFonts w:ascii="宋体" w:hAnsi="宋体" w:cs="宋体" w:hint="eastAsia"/>
              </w:rPr>
              <w:t>100.00</w:t>
            </w:r>
          </w:p>
        </w:tc>
        <w:tc>
          <w:tcPr>
            <w:tcW w:w="1276" w:type="dxa"/>
            <w:vAlign w:val="center"/>
          </w:tcPr>
          <w:p>
            <w:pPr>
              <w:jc w:val="right"/>
              <w:rPr>
                <w:rFonts w:ascii="宋体" w:hAnsi="宋体"/>
              </w:rPr>
            </w:pPr>
          </w:p>
        </w:tc>
        <w:tc>
          <w:tcPr>
            <w:tcW w:w="850" w:type="dxa"/>
            <w:vAlign w:val="center"/>
          </w:tcPr>
          <w:p>
            <w:pPr>
              <w:jc w:val="right"/>
              <w:rPr>
                <w:rFonts w:ascii="宋体" w:hAnsi="宋体"/>
              </w:rPr>
            </w:pPr>
          </w:p>
        </w:tc>
        <w:tc>
          <w:tcPr>
            <w:tcW w:w="851" w:type="dxa"/>
            <w:vAlign w:val="center"/>
          </w:tcPr>
          <w:p>
            <w:pPr>
              <w:jc w:val="right"/>
              <w:rPr>
                <w:rFonts w:ascii="宋体" w:hAnsi="宋体"/>
              </w:rPr>
            </w:pPr>
          </w:p>
        </w:tc>
        <w:tc>
          <w:tcPr>
            <w:tcW w:w="621" w:type="dxa"/>
            <w:vAlign w:val="center"/>
          </w:tcPr>
          <w:p>
            <w:pPr>
              <w:rPr>
                <w:rFonts w:ascii="宋体" w:hAnsi="宋体"/>
              </w:rPr>
            </w:pPr>
            <w:r>
              <w:rPr>
                <w:rFonts w:ascii="宋体" w:hAnsi="宋体" w:cs="宋体" w:hint="eastAsia"/>
              </w:rPr>
              <w:t>自筹</w:t>
            </w:r>
          </w:p>
        </w:tc>
      </w:tr>
      <w:tr>
        <w:trPr>
          <w:cantSplit/>
          <w:trHeight w:val="261"/>
        </w:trPr>
        <w:tc>
          <w:tcPr>
            <w:tcW w:w="1135" w:type="dxa"/>
            <w:vAlign w:val="center"/>
          </w:tcPr>
          <w:p>
            <w:pPr>
              <w:rPr>
                <w:rFonts w:ascii="宋体" w:hAnsi="宋体"/>
              </w:rPr>
            </w:pPr>
            <w:r>
              <w:rPr>
                <w:rFonts w:ascii="宋体" w:hAnsi="宋体" w:cs="宋体" w:hint="eastAsia"/>
                <w:color w:val="000000"/>
              </w:rPr>
              <w:lastRenderedPageBreak/>
              <w:t>年产80万吨烯烃项目</w:t>
            </w:r>
          </w:p>
        </w:tc>
        <w:tc>
          <w:tcPr>
            <w:tcW w:w="1276" w:type="dxa"/>
            <w:vAlign w:val="center"/>
          </w:tcPr>
          <w:p>
            <w:pPr>
              <w:jc w:val="right"/>
              <w:rPr>
                <w:rFonts w:ascii="宋体" w:hAnsi="宋体"/>
              </w:rPr>
            </w:pPr>
            <w:r>
              <w:rPr>
                <w:rFonts w:ascii="宋体" w:hAnsi="宋体" w:cs="宋体" w:hint="eastAsia"/>
                <w:color w:val="000000"/>
              </w:rPr>
              <w:t>380,173</w:t>
            </w:r>
          </w:p>
        </w:tc>
        <w:tc>
          <w:tcPr>
            <w:tcW w:w="1275" w:type="dxa"/>
            <w:vAlign w:val="center"/>
          </w:tcPr>
          <w:p>
            <w:pPr>
              <w:jc w:val="right"/>
              <w:rPr>
                <w:rFonts w:ascii="宋体" w:hAnsi="宋体"/>
              </w:rPr>
            </w:pPr>
            <w:r>
              <w:rPr>
                <w:rFonts w:ascii="宋体" w:hAnsi="宋体" w:cs="宋体" w:hint="eastAsia"/>
              </w:rPr>
              <w:t>2,188,081</w:t>
            </w:r>
          </w:p>
        </w:tc>
        <w:tc>
          <w:tcPr>
            <w:tcW w:w="1348" w:type="dxa"/>
            <w:vAlign w:val="center"/>
          </w:tcPr>
          <w:p>
            <w:pPr>
              <w:jc w:val="right"/>
              <w:rPr>
                <w:rFonts w:ascii="宋体" w:hAnsi="宋体"/>
              </w:rPr>
            </w:pPr>
          </w:p>
        </w:tc>
        <w:tc>
          <w:tcPr>
            <w:tcW w:w="1204" w:type="dxa"/>
            <w:vAlign w:val="center"/>
          </w:tcPr>
          <w:p>
            <w:pPr>
              <w:jc w:val="right"/>
              <w:rPr>
                <w:rFonts w:ascii="宋体" w:hAnsi="宋体"/>
              </w:rPr>
            </w:pPr>
          </w:p>
        </w:tc>
        <w:tc>
          <w:tcPr>
            <w:tcW w:w="864" w:type="dxa"/>
            <w:vAlign w:val="center"/>
          </w:tcPr>
          <w:p>
            <w:pPr>
              <w:jc w:val="right"/>
              <w:rPr>
                <w:rFonts w:ascii="宋体" w:hAnsi="宋体"/>
              </w:rPr>
            </w:pPr>
          </w:p>
        </w:tc>
        <w:tc>
          <w:tcPr>
            <w:tcW w:w="1404" w:type="dxa"/>
            <w:vAlign w:val="center"/>
          </w:tcPr>
          <w:p>
            <w:pPr>
              <w:jc w:val="right"/>
              <w:rPr>
                <w:rFonts w:ascii="宋体" w:hAnsi="宋体"/>
              </w:rPr>
            </w:pPr>
            <w:r>
              <w:rPr>
                <w:rFonts w:ascii="宋体" w:hAnsi="宋体" w:cs="宋体" w:hint="eastAsia"/>
                <w:color w:val="000000"/>
              </w:rPr>
              <w:t>2,568,254</w:t>
            </w:r>
          </w:p>
        </w:tc>
        <w:tc>
          <w:tcPr>
            <w:tcW w:w="1417" w:type="dxa"/>
            <w:vAlign w:val="center"/>
          </w:tcPr>
          <w:p>
            <w:pPr>
              <w:jc w:val="right"/>
              <w:rPr>
                <w:rFonts w:ascii="宋体" w:hAnsi="宋体"/>
              </w:rPr>
            </w:pPr>
            <w:r>
              <w:rPr>
                <w:rFonts w:ascii="宋体" w:hAnsi="宋体" w:cs="宋体" w:hint="eastAsia"/>
              </w:rPr>
              <w:t>9,573,895</w:t>
            </w:r>
          </w:p>
        </w:tc>
        <w:tc>
          <w:tcPr>
            <w:tcW w:w="851" w:type="dxa"/>
            <w:vAlign w:val="center"/>
          </w:tcPr>
          <w:p>
            <w:pPr>
              <w:jc w:val="right"/>
              <w:rPr>
                <w:rFonts w:ascii="宋体" w:hAnsi="宋体"/>
              </w:rPr>
            </w:pPr>
            <w:r>
              <w:rPr>
                <w:rFonts w:ascii="宋体" w:hAnsi="宋体" w:cs="宋体" w:hint="eastAsia"/>
              </w:rPr>
              <w:t>26.83</w:t>
            </w:r>
          </w:p>
        </w:tc>
        <w:tc>
          <w:tcPr>
            <w:tcW w:w="992" w:type="dxa"/>
            <w:vAlign w:val="center"/>
          </w:tcPr>
          <w:p>
            <w:pPr>
              <w:jc w:val="right"/>
              <w:rPr>
                <w:rFonts w:ascii="宋体" w:hAnsi="宋体"/>
              </w:rPr>
            </w:pPr>
            <w:r>
              <w:rPr>
                <w:rFonts w:ascii="宋体" w:hAnsi="宋体" w:cs="宋体" w:hint="eastAsia"/>
              </w:rPr>
              <w:t>26.83</w:t>
            </w:r>
          </w:p>
        </w:tc>
        <w:tc>
          <w:tcPr>
            <w:tcW w:w="1276" w:type="dxa"/>
            <w:vAlign w:val="center"/>
          </w:tcPr>
          <w:p>
            <w:pPr>
              <w:jc w:val="right"/>
              <w:rPr>
                <w:rFonts w:ascii="宋体" w:hAnsi="宋体"/>
              </w:rPr>
            </w:pPr>
            <w:r>
              <w:rPr>
                <w:rFonts w:ascii="宋体" w:hAnsi="宋体" w:cs="宋体" w:hint="eastAsia"/>
              </w:rPr>
              <w:t>14,802</w:t>
            </w:r>
          </w:p>
        </w:tc>
        <w:tc>
          <w:tcPr>
            <w:tcW w:w="850" w:type="dxa"/>
            <w:vAlign w:val="center"/>
          </w:tcPr>
          <w:p>
            <w:pPr>
              <w:jc w:val="right"/>
              <w:rPr>
                <w:rFonts w:ascii="宋体" w:hAnsi="宋体"/>
              </w:rPr>
            </w:pPr>
            <w:r>
              <w:rPr>
                <w:rFonts w:ascii="宋体" w:hAnsi="宋体" w:cs="宋体" w:hint="eastAsia"/>
              </w:rPr>
              <w:t>7,810</w:t>
            </w:r>
          </w:p>
        </w:tc>
        <w:tc>
          <w:tcPr>
            <w:tcW w:w="851" w:type="dxa"/>
            <w:vAlign w:val="center"/>
          </w:tcPr>
          <w:p>
            <w:pPr>
              <w:jc w:val="right"/>
              <w:rPr>
                <w:rFonts w:ascii="宋体" w:hAnsi="宋体"/>
              </w:rPr>
            </w:pPr>
            <w:r>
              <w:rPr>
                <w:rFonts w:ascii="宋体" w:hAnsi="宋体" w:cs="宋体" w:hint="eastAsia"/>
              </w:rPr>
              <w:t>0.80</w:t>
            </w:r>
          </w:p>
        </w:tc>
        <w:tc>
          <w:tcPr>
            <w:tcW w:w="621" w:type="dxa"/>
            <w:vAlign w:val="center"/>
          </w:tcPr>
          <w:p>
            <w:pPr>
              <w:rPr>
                <w:rFonts w:ascii="宋体" w:hAnsi="宋体"/>
              </w:rPr>
            </w:pPr>
            <w:r>
              <w:rPr>
                <w:rFonts w:ascii="宋体" w:hAnsi="宋体" w:cs="宋体" w:hint="eastAsia"/>
              </w:rPr>
              <w:t>自筹及贷款</w:t>
            </w:r>
          </w:p>
        </w:tc>
      </w:tr>
      <w:tr>
        <w:trPr>
          <w:cantSplit/>
          <w:trHeight w:val="274"/>
        </w:trPr>
        <w:tc>
          <w:tcPr>
            <w:tcW w:w="1135" w:type="dxa"/>
            <w:vAlign w:val="center"/>
          </w:tcPr>
          <w:p>
            <w:pPr>
              <w:rPr>
                <w:rFonts w:ascii="宋体" w:hAnsi="宋体"/>
              </w:rPr>
            </w:pPr>
            <w:r>
              <w:rPr>
                <w:rFonts w:ascii="宋体" w:hAnsi="宋体" w:cs="宋体" w:hint="eastAsia"/>
                <w:color w:val="000000"/>
              </w:rPr>
              <w:t>新疆兖矿其能煤业有限公司-采剥工程</w:t>
            </w:r>
          </w:p>
        </w:tc>
        <w:tc>
          <w:tcPr>
            <w:tcW w:w="1276" w:type="dxa"/>
            <w:vAlign w:val="center"/>
          </w:tcPr>
          <w:p>
            <w:pPr>
              <w:jc w:val="right"/>
              <w:rPr>
                <w:rFonts w:ascii="宋体" w:hAnsi="宋体"/>
              </w:rPr>
            </w:pPr>
            <w:r>
              <w:rPr>
                <w:rFonts w:ascii="宋体" w:hAnsi="宋体" w:cs="宋体" w:hint="eastAsia"/>
                <w:color w:val="000000"/>
              </w:rPr>
              <w:t>131,991</w:t>
            </w:r>
          </w:p>
        </w:tc>
        <w:tc>
          <w:tcPr>
            <w:tcW w:w="1275" w:type="dxa"/>
            <w:vAlign w:val="center"/>
          </w:tcPr>
          <w:p>
            <w:pPr>
              <w:jc w:val="right"/>
              <w:rPr>
                <w:rFonts w:ascii="宋体" w:hAnsi="宋体"/>
              </w:rPr>
            </w:pPr>
            <w:r>
              <w:rPr>
                <w:rFonts w:ascii="宋体" w:hAnsi="宋体" w:cs="宋体" w:hint="eastAsia"/>
                <w:color w:val="000000"/>
              </w:rPr>
              <w:t>1,924,958</w:t>
            </w:r>
          </w:p>
        </w:tc>
        <w:tc>
          <w:tcPr>
            <w:tcW w:w="1348" w:type="dxa"/>
            <w:vAlign w:val="center"/>
          </w:tcPr>
          <w:p>
            <w:pPr>
              <w:jc w:val="right"/>
              <w:rPr>
                <w:rFonts w:ascii="宋体" w:hAnsi="宋体"/>
              </w:rPr>
            </w:pPr>
          </w:p>
        </w:tc>
        <w:tc>
          <w:tcPr>
            <w:tcW w:w="1204" w:type="dxa"/>
            <w:vAlign w:val="center"/>
          </w:tcPr>
          <w:p>
            <w:pPr>
              <w:jc w:val="right"/>
              <w:rPr>
                <w:rFonts w:ascii="宋体" w:hAnsi="宋体"/>
              </w:rPr>
            </w:pPr>
          </w:p>
        </w:tc>
        <w:tc>
          <w:tcPr>
            <w:tcW w:w="864" w:type="dxa"/>
            <w:vAlign w:val="center"/>
          </w:tcPr>
          <w:p>
            <w:pPr>
              <w:jc w:val="right"/>
              <w:rPr>
                <w:rFonts w:ascii="宋体" w:hAnsi="宋体"/>
              </w:rPr>
            </w:pPr>
          </w:p>
        </w:tc>
        <w:tc>
          <w:tcPr>
            <w:tcW w:w="1404" w:type="dxa"/>
            <w:vAlign w:val="center"/>
          </w:tcPr>
          <w:p>
            <w:pPr>
              <w:jc w:val="right"/>
              <w:rPr>
                <w:rFonts w:ascii="宋体" w:hAnsi="宋体"/>
              </w:rPr>
            </w:pPr>
            <w:r>
              <w:rPr>
                <w:rFonts w:ascii="宋体" w:hAnsi="宋体" w:cs="宋体" w:hint="eastAsia"/>
              </w:rPr>
              <w:t>2,056,949</w:t>
            </w:r>
          </w:p>
        </w:tc>
        <w:tc>
          <w:tcPr>
            <w:tcW w:w="1417" w:type="dxa"/>
            <w:vAlign w:val="center"/>
          </w:tcPr>
          <w:p>
            <w:pPr>
              <w:jc w:val="right"/>
              <w:rPr>
                <w:rFonts w:ascii="宋体" w:hAnsi="宋体"/>
              </w:rPr>
            </w:pPr>
            <w:r>
              <w:rPr>
                <w:rFonts w:ascii="宋体" w:hAnsi="宋体" w:cs="宋体" w:hint="eastAsia"/>
              </w:rPr>
              <w:t>2,123,930</w:t>
            </w:r>
          </w:p>
        </w:tc>
        <w:tc>
          <w:tcPr>
            <w:tcW w:w="851" w:type="dxa"/>
            <w:vAlign w:val="center"/>
          </w:tcPr>
          <w:p>
            <w:pPr>
              <w:jc w:val="right"/>
              <w:rPr>
                <w:rFonts w:ascii="宋体" w:hAnsi="宋体"/>
              </w:rPr>
            </w:pPr>
            <w:r>
              <w:rPr>
                <w:rFonts w:ascii="宋体" w:hAnsi="宋体" w:cs="宋体" w:hint="eastAsia"/>
              </w:rPr>
              <w:t>96.85</w:t>
            </w:r>
          </w:p>
        </w:tc>
        <w:tc>
          <w:tcPr>
            <w:tcW w:w="992" w:type="dxa"/>
            <w:vAlign w:val="center"/>
          </w:tcPr>
          <w:p>
            <w:pPr>
              <w:jc w:val="right"/>
              <w:rPr>
                <w:rFonts w:ascii="宋体" w:hAnsi="宋体"/>
              </w:rPr>
            </w:pPr>
            <w:r>
              <w:rPr>
                <w:rFonts w:ascii="宋体" w:hAnsi="宋体" w:cs="宋体" w:hint="eastAsia"/>
              </w:rPr>
              <w:t>96.85</w:t>
            </w:r>
          </w:p>
        </w:tc>
        <w:tc>
          <w:tcPr>
            <w:tcW w:w="1276" w:type="dxa"/>
            <w:vAlign w:val="center"/>
          </w:tcPr>
          <w:p>
            <w:pPr>
              <w:jc w:val="right"/>
              <w:rPr>
                <w:rFonts w:ascii="宋体" w:hAnsi="宋体"/>
              </w:rPr>
            </w:pPr>
            <w:r>
              <w:rPr>
                <w:rFonts w:ascii="宋体" w:hAnsi="宋体" w:cs="宋体" w:hint="eastAsia"/>
              </w:rPr>
              <w:t>45,458</w:t>
            </w:r>
          </w:p>
        </w:tc>
        <w:tc>
          <w:tcPr>
            <w:tcW w:w="850" w:type="dxa"/>
            <w:vAlign w:val="center"/>
          </w:tcPr>
          <w:p>
            <w:pPr>
              <w:jc w:val="right"/>
              <w:rPr>
                <w:rFonts w:ascii="宋体" w:hAnsi="宋体"/>
              </w:rPr>
            </w:pPr>
            <w:r>
              <w:rPr>
                <w:rFonts w:ascii="宋体" w:hAnsi="宋体" w:cs="宋体" w:hint="eastAsia"/>
              </w:rPr>
              <w:t>45,458</w:t>
            </w:r>
          </w:p>
        </w:tc>
        <w:tc>
          <w:tcPr>
            <w:tcW w:w="851" w:type="dxa"/>
            <w:vAlign w:val="center"/>
          </w:tcPr>
          <w:p>
            <w:pPr>
              <w:jc w:val="right"/>
              <w:rPr>
                <w:rFonts w:ascii="宋体" w:hAnsi="宋体"/>
              </w:rPr>
            </w:pPr>
            <w:r>
              <w:rPr>
                <w:rFonts w:ascii="宋体" w:hAnsi="宋体" w:cs="宋体" w:hint="eastAsia"/>
              </w:rPr>
              <w:t>4.90</w:t>
            </w:r>
          </w:p>
        </w:tc>
        <w:tc>
          <w:tcPr>
            <w:tcW w:w="621" w:type="dxa"/>
            <w:vAlign w:val="center"/>
          </w:tcPr>
          <w:p>
            <w:pPr>
              <w:rPr>
                <w:rFonts w:ascii="宋体" w:hAnsi="宋体"/>
              </w:rPr>
            </w:pPr>
            <w:r>
              <w:rPr>
                <w:rFonts w:ascii="宋体" w:hAnsi="宋体" w:cs="宋体" w:hint="eastAsia"/>
              </w:rPr>
              <w:t>贷款</w:t>
            </w:r>
          </w:p>
        </w:tc>
      </w:tr>
      <w:tr>
        <w:trPr>
          <w:cantSplit/>
          <w:trHeight w:val="261"/>
        </w:trPr>
        <w:tc>
          <w:tcPr>
            <w:tcW w:w="1135" w:type="dxa"/>
            <w:vAlign w:val="center"/>
          </w:tcPr>
          <w:p>
            <w:pPr>
              <w:rPr>
                <w:rFonts w:ascii="宋体" w:hAnsi="宋体"/>
              </w:rPr>
            </w:pPr>
            <w:r>
              <w:rPr>
                <w:rFonts w:ascii="宋体" w:hAnsi="宋体" w:cs="宋体" w:hint="eastAsia"/>
              </w:rPr>
              <w:t>马福川项目</w:t>
            </w:r>
          </w:p>
        </w:tc>
        <w:tc>
          <w:tcPr>
            <w:tcW w:w="1276" w:type="dxa"/>
            <w:vAlign w:val="center"/>
          </w:tcPr>
          <w:p>
            <w:pPr>
              <w:jc w:val="right"/>
              <w:rPr>
                <w:rFonts w:ascii="宋体" w:hAnsi="宋体"/>
              </w:rPr>
            </w:pPr>
            <w:r>
              <w:rPr>
                <w:rFonts w:ascii="宋体" w:hAnsi="宋体" w:cs="宋体" w:hint="eastAsia"/>
              </w:rPr>
              <w:t>924,647</w:t>
            </w:r>
          </w:p>
        </w:tc>
        <w:tc>
          <w:tcPr>
            <w:tcW w:w="1275" w:type="dxa"/>
            <w:vAlign w:val="center"/>
          </w:tcPr>
          <w:p>
            <w:pPr>
              <w:jc w:val="right"/>
              <w:rPr>
                <w:rFonts w:ascii="宋体" w:hAnsi="宋体"/>
              </w:rPr>
            </w:pPr>
            <w:r>
              <w:rPr>
                <w:rFonts w:ascii="宋体" w:hAnsi="宋体" w:cs="宋体" w:hint="eastAsia"/>
              </w:rPr>
              <w:t>180,054</w:t>
            </w:r>
          </w:p>
        </w:tc>
        <w:tc>
          <w:tcPr>
            <w:tcW w:w="1348" w:type="dxa"/>
            <w:vAlign w:val="center"/>
          </w:tcPr>
          <w:p>
            <w:pPr>
              <w:jc w:val="right"/>
              <w:rPr>
                <w:rFonts w:ascii="宋体" w:hAnsi="宋体"/>
              </w:rPr>
            </w:pPr>
            <w:r>
              <w:rPr>
                <w:rFonts w:ascii="宋体" w:hAnsi="宋体" w:cs="宋体" w:hint="eastAsia"/>
              </w:rPr>
              <w:t>607</w:t>
            </w:r>
          </w:p>
        </w:tc>
        <w:tc>
          <w:tcPr>
            <w:tcW w:w="1204" w:type="dxa"/>
            <w:vAlign w:val="center"/>
          </w:tcPr>
          <w:p>
            <w:pPr>
              <w:jc w:val="right"/>
              <w:rPr>
                <w:rFonts w:ascii="宋体" w:hAnsi="宋体"/>
              </w:rPr>
            </w:pPr>
          </w:p>
        </w:tc>
        <w:tc>
          <w:tcPr>
            <w:tcW w:w="864" w:type="dxa"/>
            <w:vAlign w:val="center"/>
          </w:tcPr>
          <w:p>
            <w:pPr>
              <w:jc w:val="right"/>
              <w:rPr>
                <w:rFonts w:ascii="宋体" w:hAnsi="宋体"/>
              </w:rPr>
            </w:pPr>
          </w:p>
        </w:tc>
        <w:tc>
          <w:tcPr>
            <w:tcW w:w="1404" w:type="dxa"/>
            <w:vAlign w:val="center"/>
          </w:tcPr>
          <w:p>
            <w:pPr>
              <w:jc w:val="right"/>
              <w:rPr>
                <w:rFonts w:ascii="宋体" w:hAnsi="宋体"/>
              </w:rPr>
            </w:pPr>
            <w:r>
              <w:rPr>
                <w:rFonts w:ascii="宋体" w:hAnsi="宋体" w:cs="宋体" w:hint="eastAsia"/>
              </w:rPr>
              <w:t>1,104,094</w:t>
            </w:r>
          </w:p>
        </w:tc>
        <w:tc>
          <w:tcPr>
            <w:tcW w:w="1417" w:type="dxa"/>
            <w:vAlign w:val="center"/>
          </w:tcPr>
          <w:p>
            <w:pPr>
              <w:jc w:val="right"/>
              <w:rPr>
                <w:rFonts w:ascii="宋体" w:hAnsi="宋体"/>
              </w:rPr>
            </w:pPr>
            <w:r>
              <w:rPr>
                <w:rFonts w:ascii="宋体" w:hAnsi="宋体" w:cs="宋体" w:hint="eastAsia"/>
              </w:rPr>
              <w:t>7,952,313</w:t>
            </w:r>
          </w:p>
        </w:tc>
        <w:tc>
          <w:tcPr>
            <w:tcW w:w="851" w:type="dxa"/>
            <w:vAlign w:val="center"/>
          </w:tcPr>
          <w:p>
            <w:pPr>
              <w:jc w:val="right"/>
              <w:rPr>
                <w:rFonts w:ascii="宋体" w:hAnsi="宋体"/>
              </w:rPr>
            </w:pPr>
            <w:r>
              <w:rPr>
                <w:rFonts w:ascii="宋体" w:hAnsi="宋体" w:cs="宋体" w:hint="eastAsia"/>
              </w:rPr>
              <w:t>13.89</w:t>
            </w:r>
          </w:p>
        </w:tc>
        <w:tc>
          <w:tcPr>
            <w:tcW w:w="992" w:type="dxa"/>
            <w:vAlign w:val="center"/>
          </w:tcPr>
          <w:p>
            <w:pPr>
              <w:jc w:val="right"/>
              <w:rPr>
                <w:rFonts w:ascii="宋体" w:hAnsi="宋体"/>
              </w:rPr>
            </w:pPr>
            <w:r>
              <w:rPr>
                <w:rFonts w:ascii="宋体" w:hAnsi="宋体" w:cs="宋体" w:hint="eastAsia"/>
              </w:rPr>
              <w:t>13.89</w:t>
            </w:r>
          </w:p>
        </w:tc>
        <w:tc>
          <w:tcPr>
            <w:tcW w:w="1276" w:type="dxa"/>
            <w:vAlign w:val="center"/>
          </w:tcPr>
          <w:p>
            <w:pPr>
              <w:jc w:val="right"/>
              <w:rPr>
                <w:rFonts w:ascii="宋体" w:hAnsi="宋体"/>
              </w:rPr>
            </w:pPr>
            <w:r>
              <w:rPr>
                <w:rFonts w:ascii="宋体" w:hAnsi="宋体" w:cs="宋体" w:hint="eastAsia"/>
              </w:rPr>
              <w:t>19,515</w:t>
            </w:r>
          </w:p>
        </w:tc>
        <w:tc>
          <w:tcPr>
            <w:tcW w:w="850" w:type="dxa"/>
            <w:vAlign w:val="center"/>
          </w:tcPr>
          <w:p>
            <w:pPr>
              <w:jc w:val="right"/>
              <w:rPr>
                <w:rFonts w:ascii="宋体" w:hAnsi="宋体"/>
              </w:rPr>
            </w:pPr>
            <w:r>
              <w:rPr>
                <w:rFonts w:ascii="宋体" w:hAnsi="宋体" w:cs="宋体" w:hint="eastAsia"/>
              </w:rPr>
              <w:t>19,515</w:t>
            </w:r>
          </w:p>
        </w:tc>
        <w:tc>
          <w:tcPr>
            <w:tcW w:w="851" w:type="dxa"/>
            <w:vAlign w:val="center"/>
          </w:tcPr>
          <w:p>
            <w:pPr>
              <w:jc w:val="right"/>
              <w:rPr>
                <w:rFonts w:ascii="宋体" w:hAnsi="宋体"/>
              </w:rPr>
            </w:pPr>
            <w:r>
              <w:rPr>
                <w:rFonts w:ascii="宋体" w:hAnsi="宋体" w:cs="宋体" w:hint="eastAsia"/>
              </w:rPr>
              <w:t>2.31</w:t>
            </w:r>
          </w:p>
        </w:tc>
        <w:tc>
          <w:tcPr>
            <w:tcW w:w="621" w:type="dxa"/>
            <w:vAlign w:val="center"/>
          </w:tcPr>
          <w:p>
            <w:pPr>
              <w:rPr>
                <w:rFonts w:ascii="宋体" w:hAnsi="宋体"/>
              </w:rPr>
            </w:pPr>
            <w:r>
              <w:rPr>
                <w:rFonts w:ascii="宋体" w:hAnsi="宋体" w:cs="宋体" w:hint="eastAsia"/>
              </w:rPr>
              <w:t>自筹及贷款</w:t>
            </w:r>
          </w:p>
        </w:tc>
      </w:tr>
      <w:tr>
        <w:trPr>
          <w:cantSplit/>
          <w:trHeight w:val="274"/>
        </w:trPr>
        <w:tc>
          <w:tcPr>
            <w:tcW w:w="1135" w:type="dxa"/>
            <w:vAlign w:val="center"/>
          </w:tcPr>
          <w:p>
            <w:pPr>
              <w:rPr>
                <w:rFonts w:ascii="宋体" w:hAnsi="宋体"/>
              </w:rPr>
            </w:pPr>
            <w:r>
              <w:rPr>
                <w:rFonts w:ascii="宋体" w:hAnsi="宋体" w:cs="宋体" w:hint="eastAsia"/>
              </w:rPr>
              <w:t>油房壕矿井及选煤厂建设项目</w:t>
            </w:r>
          </w:p>
        </w:tc>
        <w:tc>
          <w:tcPr>
            <w:tcW w:w="1276" w:type="dxa"/>
            <w:vAlign w:val="center"/>
          </w:tcPr>
          <w:p>
            <w:pPr>
              <w:jc w:val="right"/>
              <w:rPr>
                <w:rFonts w:ascii="宋体" w:hAnsi="宋体"/>
              </w:rPr>
            </w:pPr>
            <w:r>
              <w:rPr>
                <w:rFonts w:ascii="宋体" w:hAnsi="宋体" w:cs="宋体" w:hint="eastAsia"/>
              </w:rPr>
              <w:t>608,266</w:t>
            </w:r>
          </w:p>
        </w:tc>
        <w:tc>
          <w:tcPr>
            <w:tcW w:w="1275" w:type="dxa"/>
            <w:vAlign w:val="center"/>
          </w:tcPr>
          <w:p>
            <w:pPr>
              <w:jc w:val="right"/>
              <w:rPr>
                <w:rFonts w:ascii="宋体" w:hAnsi="宋体"/>
              </w:rPr>
            </w:pPr>
            <w:r>
              <w:rPr>
                <w:rFonts w:ascii="宋体" w:hAnsi="宋体" w:cs="宋体" w:hint="eastAsia"/>
              </w:rPr>
              <w:t>930,915</w:t>
            </w:r>
          </w:p>
        </w:tc>
        <w:tc>
          <w:tcPr>
            <w:tcW w:w="1348" w:type="dxa"/>
            <w:vAlign w:val="center"/>
          </w:tcPr>
          <w:p>
            <w:pPr>
              <w:jc w:val="right"/>
              <w:rPr>
                <w:rFonts w:ascii="宋体" w:hAnsi="宋体"/>
              </w:rPr>
            </w:pPr>
            <w:r>
              <w:rPr>
                <w:rFonts w:ascii="宋体" w:hAnsi="宋体"/>
              </w:rPr>
              <w:t>6,123</w:t>
            </w:r>
          </w:p>
        </w:tc>
        <w:tc>
          <w:tcPr>
            <w:tcW w:w="1204" w:type="dxa"/>
            <w:vAlign w:val="center"/>
          </w:tcPr>
          <w:p>
            <w:pPr>
              <w:jc w:val="right"/>
              <w:rPr>
                <w:rFonts w:ascii="宋体" w:hAnsi="宋体"/>
              </w:rPr>
            </w:pPr>
          </w:p>
        </w:tc>
        <w:tc>
          <w:tcPr>
            <w:tcW w:w="864" w:type="dxa"/>
            <w:vAlign w:val="center"/>
          </w:tcPr>
          <w:p>
            <w:pPr>
              <w:jc w:val="right"/>
              <w:rPr>
                <w:rFonts w:ascii="宋体" w:hAnsi="宋体"/>
              </w:rPr>
            </w:pPr>
          </w:p>
        </w:tc>
        <w:tc>
          <w:tcPr>
            <w:tcW w:w="1404" w:type="dxa"/>
            <w:vAlign w:val="center"/>
          </w:tcPr>
          <w:p>
            <w:pPr>
              <w:jc w:val="right"/>
              <w:rPr>
                <w:rFonts w:ascii="宋体" w:hAnsi="宋体"/>
              </w:rPr>
            </w:pPr>
            <w:r>
              <w:rPr>
                <w:rFonts w:ascii="宋体" w:hAnsi="宋体" w:cs="宋体" w:hint="eastAsia"/>
              </w:rPr>
              <w:t>1,533,058</w:t>
            </w:r>
          </w:p>
        </w:tc>
        <w:tc>
          <w:tcPr>
            <w:tcW w:w="1417" w:type="dxa"/>
            <w:vAlign w:val="center"/>
          </w:tcPr>
          <w:p>
            <w:pPr>
              <w:jc w:val="right"/>
              <w:rPr>
                <w:rFonts w:ascii="宋体" w:hAnsi="宋体"/>
              </w:rPr>
            </w:pPr>
            <w:r>
              <w:rPr>
                <w:rFonts w:ascii="宋体" w:hAnsi="宋体" w:cs="宋体" w:hint="eastAsia"/>
              </w:rPr>
              <w:t>5,717,484</w:t>
            </w:r>
          </w:p>
        </w:tc>
        <w:tc>
          <w:tcPr>
            <w:tcW w:w="851" w:type="dxa"/>
            <w:vAlign w:val="center"/>
          </w:tcPr>
          <w:p>
            <w:pPr>
              <w:jc w:val="right"/>
              <w:rPr>
                <w:rFonts w:ascii="宋体" w:hAnsi="宋体"/>
              </w:rPr>
            </w:pPr>
            <w:r>
              <w:rPr>
                <w:rFonts w:ascii="宋体" w:hAnsi="宋体" w:cs="宋体" w:hint="eastAsia"/>
              </w:rPr>
              <w:t>45.80</w:t>
            </w:r>
          </w:p>
        </w:tc>
        <w:tc>
          <w:tcPr>
            <w:tcW w:w="992" w:type="dxa"/>
            <w:vAlign w:val="center"/>
          </w:tcPr>
          <w:p>
            <w:pPr>
              <w:jc w:val="right"/>
              <w:rPr>
                <w:rFonts w:ascii="宋体" w:hAnsi="宋体"/>
              </w:rPr>
            </w:pPr>
            <w:r>
              <w:rPr>
                <w:rFonts w:ascii="宋体" w:hAnsi="宋体" w:cs="宋体" w:hint="eastAsia"/>
              </w:rPr>
              <w:t>45.80</w:t>
            </w:r>
          </w:p>
        </w:tc>
        <w:tc>
          <w:tcPr>
            <w:tcW w:w="1276" w:type="dxa"/>
            <w:vAlign w:val="center"/>
          </w:tcPr>
          <w:p>
            <w:pPr>
              <w:jc w:val="right"/>
              <w:rPr>
                <w:rFonts w:ascii="宋体" w:hAnsi="宋体"/>
              </w:rPr>
            </w:pPr>
            <w:r>
              <w:rPr>
                <w:rFonts w:ascii="宋体" w:hAnsi="宋体" w:cs="宋体" w:hint="eastAsia"/>
              </w:rPr>
              <w:t>13,942</w:t>
            </w:r>
          </w:p>
        </w:tc>
        <w:tc>
          <w:tcPr>
            <w:tcW w:w="850" w:type="dxa"/>
            <w:vAlign w:val="center"/>
          </w:tcPr>
          <w:p>
            <w:pPr>
              <w:jc w:val="right"/>
              <w:rPr>
                <w:rFonts w:ascii="宋体" w:hAnsi="宋体"/>
              </w:rPr>
            </w:pPr>
            <w:r>
              <w:rPr>
                <w:rFonts w:ascii="宋体" w:hAnsi="宋体" w:cs="宋体" w:hint="eastAsia"/>
              </w:rPr>
              <w:t>6,172</w:t>
            </w:r>
          </w:p>
        </w:tc>
        <w:tc>
          <w:tcPr>
            <w:tcW w:w="851" w:type="dxa"/>
            <w:vAlign w:val="center"/>
          </w:tcPr>
          <w:p>
            <w:pPr>
              <w:jc w:val="right"/>
              <w:rPr>
                <w:rFonts w:ascii="宋体" w:hAnsi="宋体"/>
              </w:rPr>
            </w:pPr>
            <w:r>
              <w:rPr>
                <w:rFonts w:ascii="宋体" w:hAnsi="宋体" w:cs="宋体" w:hint="eastAsia"/>
              </w:rPr>
              <w:t>2.35</w:t>
            </w:r>
          </w:p>
        </w:tc>
        <w:tc>
          <w:tcPr>
            <w:tcW w:w="621" w:type="dxa"/>
            <w:vAlign w:val="center"/>
          </w:tcPr>
          <w:p>
            <w:pPr>
              <w:rPr>
                <w:rFonts w:ascii="宋体" w:hAnsi="宋体"/>
              </w:rPr>
            </w:pPr>
            <w:r>
              <w:rPr>
                <w:rFonts w:ascii="宋体" w:hAnsi="宋体" w:cs="宋体" w:hint="eastAsia"/>
              </w:rPr>
              <w:t>自筹及贷款</w:t>
            </w:r>
          </w:p>
        </w:tc>
      </w:tr>
      <w:tr>
        <w:trPr>
          <w:cantSplit/>
          <w:trHeight w:val="299"/>
        </w:trPr>
        <w:tc>
          <w:tcPr>
            <w:tcW w:w="1135" w:type="dxa"/>
            <w:vAlign w:val="center"/>
          </w:tcPr>
          <w:p>
            <w:pPr>
              <w:jc w:val="center"/>
              <w:rPr>
                <w:rFonts w:ascii="宋体" w:hAnsi="宋体" w:cs="宋体"/>
              </w:rPr>
            </w:pPr>
            <w:r>
              <w:rPr>
                <w:rFonts w:ascii="宋体" w:hAnsi="宋体" w:cs="宋体" w:hint="eastAsia"/>
              </w:rPr>
              <w:t>合计</w:t>
            </w:r>
          </w:p>
        </w:tc>
        <w:tc>
          <w:tcPr>
            <w:tcW w:w="1276" w:type="dxa"/>
            <w:vAlign w:val="center"/>
          </w:tcPr>
          <w:p>
            <w:pPr>
              <w:jc w:val="right"/>
              <w:rPr>
                <w:rFonts w:ascii="宋体" w:hAnsi="宋体" w:cs="宋体"/>
              </w:rPr>
            </w:pPr>
            <w:r>
              <w:rPr>
                <w:rFonts w:ascii="宋体" w:hAnsi="宋体" w:cs="宋体" w:hint="eastAsia"/>
              </w:rPr>
              <w:t>14,436,213</w:t>
            </w:r>
          </w:p>
        </w:tc>
        <w:tc>
          <w:tcPr>
            <w:tcW w:w="1275" w:type="dxa"/>
            <w:vAlign w:val="center"/>
          </w:tcPr>
          <w:p>
            <w:pPr>
              <w:jc w:val="right"/>
              <w:rPr>
                <w:rFonts w:ascii="宋体" w:hAnsi="宋体" w:cs="宋体"/>
              </w:rPr>
            </w:pPr>
            <w:r>
              <w:rPr>
                <w:rFonts w:ascii="宋体" w:hAnsi="宋体" w:cs="宋体" w:hint="eastAsia"/>
              </w:rPr>
              <w:t>5,265,258</w:t>
            </w:r>
          </w:p>
        </w:tc>
        <w:tc>
          <w:tcPr>
            <w:tcW w:w="1348" w:type="dxa"/>
            <w:vAlign w:val="center"/>
          </w:tcPr>
          <w:p>
            <w:pPr>
              <w:jc w:val="right"/>
              <w:rPr>
                <w:rFonts w:ascii="宋体" w:hAnsi="宋体" w:cs="宋体"/>
              </w:rPr>
            </w:pPr>
            <w:r>
              <w:rPr>
                <w:rFonts w:ascii="宋体" w:hAnsi="宋体" w:cs="宋体" w:hint="eastAsia"/>
              </w:rPr>
              <w:t>9,709,041</w:t>
            </w:r>
          </w:p>
        </w:tc>
        <w:tc>
          <w:tcPr>
            <w:tcW w:w="1204" w:type="dxa"/>
            <w:vAlign w:val="center"/>
          </w:tcPr>
          <w:p>
            <w:pPr>
              <w:jc w:val="right"/>
              <w:rPr>
                <w:rFonts w:ascii="宋体" w:hAnsi="宋体" w:cs="宋体"/>
              </w:rPr>
            </w:pPr>
            <w:r>
              <w:rPr>
                <w:rFonts w:ascii="宋体" w:hAnsi="宋体" w:cs="宋体" w:hint="eastAsia"/>
              </w:rPr>
              <w:t>18,860</w:t>
            </w:r>
          </w:p>
        </w:tc>
        <w:tc>
          <w:tcPr>
            <w:tcW w:w="864" w:type="dxa"/>
            <w:vAlign w:val="center"/>
          </w:tcPr>
          <w:p>
            <w:pPr>
              <w:jc w:val="right"/>
              <w:rPr>
                <w:rFonts w:ascii="宋体" w:hAnsi="宋体" w:cs="宋体"/>
              </w:rPr>
            </w:pPr>
            <w:r>
              <w:rPr>
                <w:rFonts w:ascii="宋体" w:hAnsi="宋体" w:cs="宋体" w:hint="eastAsia"/>
              </w:rPr>
              <w:t>31,703</w:t>
            </w:r>
          </w:p>
        </w:tc>
        <w:tc>
          <w:tcPr>
            <w:tcW w:w="1404" w:type="dxa"/>
            <w:vAlign w:val="center"/>
          </w:tcPr>
          <w:p>
            <w:pPr>
              <w:jc w:val="right"/>
              <w:rPr>
                <w:rFonts w:ascii="宋体" w:hAnsi="宋体" w:cs="宋体"/>
              </w:rPr>
            </w:pPr>
            <w:r>
              <w:rPr>
                <w:rFonts w:ascii="宋体" w:hAnsi="宋体" w:cs="宋体" w:hint="eastAsia"/>
              </w:rPr>
              <w:t>10,005,273</w:t>
            </w:r>
          </w:p>
        </w:tc>
        <w:tc>
          <w:tcPr>
            <w:tcW w:w="1417" w:type="dxa"/>
            <w:vAlign w:val="center"/>
          </w:tcPr>
          <w:p>
            <w:pPr>
              <w:jc w:val="right"/>
              <w:rPr>
                <w:rFonts w:ascii="宋体" w:hAnsi="宋体" w:cs="宋体"/>
              </w:rPr>
            </w:pPr>
            <w:r>
              <w:rPr>
                <w:rFonts w:ascii="宋体" w:hAnsi="宋体" w:cs="宋体" w:hint="eastAsia"/>
              </w:rPr>
              <w:t>37,999,170</w:t>
            </w:r>
          </w:p>
        </w:tc>
        <w:tc>
          <w:tcPr>
            <w:tcW w:w="851" w:type="dxa"/>
            <w:vAlign w:val="center"/>
          </w:tcPr>
          <w:p>
            <w:pPr>
              <w:jc w:val="right"/>
              <w:rPr>
                <w:rFonts w:ascii="宋体" w:hAnsi="宋体" w:cs="宋体"/>
              </w:rPr>
            </w:pPr>
          </w:p>
        </w:tc>
        <w:tc>
          <w:tcPr>
            <w:tcW w:w="992" w:type="dxa"/>
            <w:vAlign w:val="center"/>
          </w:tcPr>
          <w:p>
            <w:pPr>
              <w:jc w:val="right"/>
              <w:rPr>
                <w:rFonts w:ascii="宋体" w:hAnsi="宋体" w:cs="宋体"/>
              </w:rPr>
            </w:pPr>
          </w:p>
        </w:tc>
        <w:tc>
          <w:tcPr>
            <w:tcW w:w="1276" w:type="dxa"/>
            <w:vAlign w:val="center"/>
          </w:tcPr>
          <w:p>
            <w:pPr>
              <w:jc w:val="right"/>
              <w:rPr>
                <w:rFonts w:ascii="宋体" w:hAnsi="宋体" w:cs="宋体"/>
              </w:rPr>
            </w:pPr>
            <w:r>
              <w:rPr>
                <w:rFonts w:ascii="宋体" w:hAnsi="宋体" w:cs="宋体" w:hint="eastAsia"/>
              </w:rPr>
              <w:t>1,629,607</w:t>
            </w:r>
          </w:p>
        </w:tc>
        <w:tc>
          <w:tcPr>
            <w:tcW w:w="850" w:type="dxa"/>
            <w:vAlign w:val="center"/>
          </w:tcPr>
          <w:p>
            <w:pPr>
              <w:jc w:val="right"/>
              <w:rPr>
                <w:rFonts w:ascii="宋体" w:hAnsi="宋体" w:cs="宋体"/>
              </w:rPr>
            </w:pPr>
            <w:r>
              <w:rPr>
                <w:rFonts w:ascii="宋体" w:hAnsi="宋体" w:cs="宋体" w:hint="eastAsia"/>
              </w:rPr>
              <w:t>79,299</w:t>
            </w:r>
          </w:p>
        </w:tc>
        <w:tc>
          <w:tcPr>
            <w:tcW w:w="851" w:type="dxa"/>
            <w:vAlign w:val="center"/>
          </w:tcPr>
          <w:p>
            <w:pPr>
              <w:jc w:val="right"/>
              <w:rPr>
                <w:rFonts w:ascii="宋体" w:hAnsi="宋体" w:cs="宋体"/>
              </w:rPr>
            </w:pPr>
          </w:p>
        </w:tc>
        <w:tc>
          <w:tcPr>
            <w:tcW w:w="621" w:type="dxa"/>
            <w:vAlign w:val="center"/>
          </w:tcPr>
          <w:p>
            <w:pPr>
              <w:jc w:val="center"/>
              <w:rPr>
                <w:rFonts w:ascii="宋体" w:hAnsi="宋体" w:cs="宋体"/>
              </w:rPr>
            </w:pPr>
          </w:p>
        </w:tc>
      </w:tr>
    </w:tbl>
    <w:p>
      <w:pPr>
        <w:pStyle w:val="Style217"/>
      </w:pPr>
    </w:p>
    <w:p>
      <w:pPr>
        <w:pStyle w:val="Style217"/>
      </w:pPr>
    </w:p>
    <w:p>
      <w:pPr>
        <w:pStyle w:val="Style217"/>
      </w:pPr>
    </w:p>
    <w:p>
      <w:pPr>
        <w:pStyle w:val="Style217"/>
      </w:pPr>
    </w:p>
    <w:p>
      <w:pPr>
        <w:sectPr>
          <w:pgSz w:w="16838" w:h="11906" w:orient="landscape"/>
          <w:pgMar w:top="1797" w:right="1525" w:bottom="1276" w:left="1440" w:header="856" w:footer="992" w:gutter="0"/>
          <w:cols w:space="425"/>
          <w:docGrid w:linePitch="312"/>
        </w:sectPr>
      </w:pPr>
    </w:p>
    <w:p>
      <w:pPr>
        <w:pStyle w:val="Style217"/>
      </w:pPr>
    </w:p>
    <w:p>
      <w:pPr>
        <w:pStyle w:val="Style180"/>
        <w:numPr>
          <w:ilvl w:val="0"/>
          <w:numId w:val="91"/>
        </w:numPr>
        <w:ind w:leftChars="0"/>
      </w:pPr>
      <w:r>
        <w:rPr>
          <w:rFonts w:hint="eastAsia"/>
        </w:rPr>
        <w:t>本期计提在建工程减值准备情况</w:t>
      </w:r>
    </w:p>
    <w:sdt>
      <w:sdtPr>
        <w:alias w:val="是否适用：本期计提在建工程减值准备情况[双击切换]"/>
        <w:tag w:val="_GBC_f0a78e682a314d34a7b55dd88c219307"/>
        <w:id w:val="-2348605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pacing w:line="360" w:lineRule="exact"/>
        <w:jc w:val="right"/>
      </w:pPr>
      <w:r>
        <w:rPr>
          <w:rFonts w:hint="eastAsia"/>
        </w:rPr>
        <w:t>单位：</w:t>
      </w:r>
      <w:sdt>
        <w:sdtPr>
          <w:rPr>
            <w:rFonts w:hint="eastAsia"/>
          </w:rPr>
          <w:alias w:val="单位：财务附注：在建工程减值准备"/>
          <w:tag w:val="_GBC_8d07728a10e04fe8975346f691b08703"/>
          <w:id w:val="17483808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在建工程减值准备"/>
          <w:tag w:val="_GBC_dcac5a7bb0554146902fd010b31997cd"/>
          <w:id w:val="-5370486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7"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4A0" w:firstRow="1" w:lastRow="0" w:firstColumn="1" w:lastColumn="0" w:noHBand="0" w:noVBand="1"/>
      </w:tblPr>
      <w:tblGrid>
        <w:gridCol w:w="1063"/>
        <w:gridCol w:w="1347"/>
        <w:gridCol w:w="1346"/>
        <w:gridCol w:w="1346"/>
        <w:gridCol w:w="1263"/>
        <w:gridCol w:w="1346"/>
        <w:gridCol w:w="1346"/>
      </w:tblGrid>
      <w:tr>
        <w:trPr>
          <w:cantSplit/>
          <w:trHeight w:val="280"/>
          <w:tblHeader/>
        </w:trPr>
        <w:bookmarkStart w:id="462" w:name="_Hlk153461314" w:displacedByCustomXml="next"/>
        <w:sdt>
          <w:sdtPr>
            <w:tag w:val="_PLD_ca5fca2bcae54c8d81b3befb48b8bf1c"/>
            <w:id w:val="937722884"/>
          </w:sdtPr>
          <w:sdtContent>
            <w:tc>
              <w:tcPr>
                <w:tcW w:w="1063" w:type="dxa"/>
                <w:tcBorders>
                  <w:top w:val="single" w:sz="2" w:space="0" w:color="auto"/>
                  <w:left w:val="single" w:sz="2" w:space="0" w:color="auto"/>
                  <w:bottom w:val="single" w:sz="2" w:space="0" w:color="auto"/>
                  <w:right w:val="single" w:sz="2" w:space="0" w:color="auto"/>
                </w:tcBorders>
                <w:vAlign w:val="center"/>
              </w:tcPr>
              <w:p>
                <w:pPr>
                  <w:jc w:val="center"/>
                </w:pPr>
                <w:r>
                  <w:rPr>
                    <w:rFonts w:hint="eastAsia"/>
                  </w:rPr>
                  <w:t>项目</w:t>
                </w:r>
              </w:p>
            </w:tc>
          </w:sdtContent>
        </w:sdt>
        <w:sdt>
          <w:sdtPr>
            <w:tag w:val="_PLD_28dd15af0114424f8f5185950c3635bc"/>
            <w:id w:val="-541979168"/>
          </w:sdtPr>
          <w:sdtContent>
            <w:tc>
              <w:tcPr>
                <w:tcW w:w="1347" w:type="dxa"/>
                <w:tcBorders>
                  <w:top w:val="single" w:sz="2" w:space="0" w:color="auto"/>
                  <w:left w:val="single" w:sz="2" w:space="0" w:color="auto"/>
                  <w:bottom w:val="single" w:sz="2" w:space="0" w:color="auto"/>
                  <w:right w:val="single" w:sz="2" w:space="0" w:color="auto"/>
                </w:tcBorders>
                <w:vAlign w:val="center"/>
              </w:tcPr>
              <w:p>
                <w:pPr>
                  <w:jc w:val="center"/>
                </w:pPr>
                <w:r>
                  <w:t>期初余额</w:t>
                </w:r>
              </w:p>
            </w:tc>
          </w:sdtContent>
        </w:sdt>
        <w:sdt>
          <w:sdtPr>
            <w:tag w:val="_PLD_ec3d7160e0da43cdacd9d2ec22f977da"/>
            <w:id w:val="-1591922301"/>
          </w:sdtPr>
          <w:sdtContent>
            <w:tc>
              <w:tcPr>
                <w:tcW w:w="1346" w:type="dxa"/>
                <w:tcBorders>
                  <w:top w:val="single" w:sz="2" w:space="0" w:color="auto"/>
                  <w:left w:val="single" w:sz="2" w:space="0" w:color="auto"/>
                  <w:bottom w:val="single" w:sz="2" w:space="0" w:color="auto"/>
                  <w:right w:val="single" w:sz="2" w:space="0" w:color="auto"/>
                </w:tcBorders>
                <w:vAlign w:val="center"/>
              </w:tcPr>
              <w:p>
                <w:pPr>
                  <w:jc w:val="center"/>
                </w:pPr>
                <w:r>
                  <w:t>本期增加</w:t>
                </w:r>
              </w:p>
            </w:tc>
          </w:sdtContent>
        </w:sdt>
        <w:sdt>
          <w:sdtPr>
            <w:tag w:val="_PLD_2a4dec9242fb44d7bd2cf9053d3ffd92"/>
            <w:id w:val="-997198233"/>
          </w:sdtPr>
          <w:sdtContent>
            <w:tc>
              <w:tcPr>
                <w:tcW w:w="1346" w:type="dxa"/>
                <w:tcBorders>
                  <w:top w:val="single" w:sz="2" w:space="0" w:color="auto"/>
                  <w:left w:val="single" w:sz="2" w:space="0" w:color="auto"/>
                  <w:bottom w:val="single" w:sz="2" w:space="0" w:color="auto"/>
                  <w:right w:val="single" w:sz="2" w:space="0" w:color="auto"/>
                </w:tcBorders>
                <w:vAlign w:val="center"/>
              </w:tcPr>
              <w:p>
                <w:pPr>
                  <w:jc w:val="center"/>
                </w:pPr>
                <w:r>
                  <w:t>本期减少</w:t>
                </w:r>
              </w:p>
            </w:tc>
          </w:sdtContent>
        </w:sdt>
        <w:tc>
          <w:tcPr>
            <w:tcW w:w="1263" w:type="dxa"/>
            <w:tcBorders>
              <w:top w:val="single" w:sz="2" w:space="0" w:color="auto"/>
              <w:left w:val="single" w:sz="2" w:space="0" w:color="auto"/>
              <w:bottom w:val="single" w:sz="2" w:space="0" w:color="auto"/>
              <w:right w:val="single" w:sz="2" w:space="0" w:color="auto"/>
            </w:tcBorders>
            <w:vAlign w:val="center"/>
          </w:tcPr>
          <w:p>
            <w:pPr>
              <w:spacing w:line="360" w:lineRule="exact"/>
              <w:jc w:val="center"/>
              <w:rPr>
                <w:rFonts w:ascii="宋体" w:hAnsi="宋体" w:cs="宋体"/>
                <w:bCs/>
                <w:sz w:val="18"/>
                <w:szCs w:val="18"/>
              </w:rPr>
            </w:pPr>
            <w:r>
              <w:rPr>
                <w:rFonts w:ascii="宋体" w:hAnsi="宋体" w:cs="宋体" w:hint="eastAsia"/>
                <w:bCs/>
                <w:sz w:val="18"/>
                <w:szCs w:val="18"/>
              </w:rPr>
              <w:t>外币报表</w:t>
            </w:r>
          </w:p>
          <w:p>
            <w:pPr>
              <w:jc w:val="center"/>
            </w:pPr>
            <w:r>
              <w:rPr>
                <w:rFonts w:ascii="宋体" w:hAnsi="宋体" w:cs="宋体" w:hint="eastAsia"/>
                <w:bCs/>
                <w:sz w:val="18"/>
                <w:szCs w:val="18"/>
              </w:rPr>
              <w:t>折算差异</w:t>
            </w:r>
          </w:p>
        </w:tc>
        <w:sdt>
          <w:sdtPr>
            <w:tag w:val="_PLD_a48d3febdc3b43778ed5bbd8e0c30ba0"/>
            <w:id w:val="1146861157"/>
          </w:sdtPr>
          <w:sdtContent>
            <w:tc>
              <w:tcPr>
                <w:tcW w:w="1346" w:type="dxa"/>
                <w:tcBorders>
                  <w:top w:val="single" w:sz="2" w:space="0" w:color="auto"/>
                  <w:left w:val="single" w:sz="2" w:space="0" w:color="auto"/>
                  <w:bottom w:val="single" w:sz="2" w:space="0" w:color="auto"/>
                  <w:right w:val="single" w:sz="2" w:space="0" w:color="auto"/>
                </w:tcBorders>
                <w:vAlign w:val="center"/>
              </w:tcPr>
              <w:p>
                <w:pPr>
                  <w:jc w:val="center"/>
                </w:pPr>
                <w:r>
                  <w:rPr>
                    <w:rFonts w:hint="eastAsia"/>
                  </w:rPr>
                  <w:t>期末余额</w:t>
                </w:r>
              </w:p>
            </w:tc>
          </w:sdtContent>
        </w:sdt>
        <w:sdt>
          <w:sdtPr>
            <w:tag w:val="_PLD_671763ef665249248712c4c3426bd61e"/>
            <w:id w:val="-1464806719"/>
          </w:sdtPr>
          <w:sdtContent>
            <w:tc>
              <w:tcPr>
                <w:tcW w:w="1346" w:type="dxa"/>
                <w:tcBorders>
                  <w:top w:val="single" w:sz="2" w:space="0" w:color="auto"/>
                  <w:left w:val="single" w:sz="2" w:space="0" w:color="auto"/>
                  <w:bottom w:val="single" w:sz="2" w:space="0" w:color="auto"/>
                  <w:right w:val="single" w:sz="2" w:space="0" w:color="auto"/>
                </w:tcBorders>
                <w:vAlign w:val="center"/>
              </w:tcPr>
              <w:p>
                <w:pPr>
                  <w:jc w:val="center"/>
                </w:pPr>
                <w:r>
                  <w:rPr>
                    <w:rFonts w:hint="eastAsia"/>
                  </w:rPr>
                  <w:t>计提原因</w:t>
                </w:r>
              </w:p>
            </w:tc>
          </w:sdtContent>
        </w:sdt>
      </w:tr>
      <w:tr>
        <w:trPr>
          <w:cantSplit/>
        </w:trPr>
        <w:tc>
          <w:tcPr>
            <w:tcW w:w="1063" w:type="dxa"/>
            <w:tcBorders>
              <w:top w:val="single" w:sz="2" w:space="0" w:color="auto"/>
              <w:left w:val="single" w:sz="2" w:space="0" w:color="auto"/>
              <w:bottom w:val="single" w:sz="2" w:space="0" w:color="auto"/>
              <w:right w:val="single" w:sz="2" w:space="0" w:color="auto"/>
            </w:tcBorders>
            <w:vAlign w:val="center"/>
          </w:tcPr>
          <w:p>
            <w:pPr>
              <w:pStyle w:val="Style217"/>
            </w:pPr>
            <w:r>
              <w:rPr>
                <w:rFonts w:hint="eastAsia"/>
              </w:rPr>
              <w:t>维简工程</w:t>
            </w:r>
          </w:p>
        </w:tc>
        <w:tc>
          <w:tcPr>
            <w:tcW w:w="1347" w:type="dxa"/>
            <w:tcBorders>
              <w:top w:val="single" w:sz="2" w:space="0" w:color="auto"/>
              <w:left w:val="single" w:sz="2" w:space="0" w:color="auto"/>
              <w:bottom w:val="single" w:sz="2" w:space="0" w:color="auto"/>
              <w:right w:val="single" w:sz="2" w:space="0" w:color="auto"/>
            </w:tcBorders>
            <w:vAlign w:val="center"/>
          </w:tcPr>
          <w:p>
            <w:pPr>
              <w:jc w:val="right"/>
            </w:pPr>
            <w:r>
              <w:rPr>
                <w:rFonts w:ascii="宋体" w:hAnsi="宋体" w:cs="宋体" w:hint="eastAsia"/>
                <w:color w:val="000000"/>
                <w:lang w:bidi="ar"/>
              </w:rPr>
              <w:t>44,358</w:t>
            </w: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p>
        </w:tc>
        <w:tc>
          <w:tcPr>
            <w:tcW w:w="1263" w:type="dxa"/>
            <w:tcBorders>
              <w:top w:val="single" w:sz="2" w:space="0" w:color="auto"/>
              <w:left w:val="single" w:sz="2" w:space="0" w:color="auto"/>
              <w:bottom w:val="single" w:sz="2" w:space="0" w:color="auto"/>
              <w:right w:val="single" w:sz="2" w:space="0" w:color="auto"/>
            </w:tcBorders>
            <w:vAlign w:val="center"/>
          </w:tcPr>
          <w:p>
            <w:pPr>
              <w:jc w:val="right"/>
            </w:pP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r>
              <w:rPr>
                <w:rFonts w:ascii="宋体" w:hAnsi="宋体" w:cs="宋体" w:hint="eastAsia"/>
                <w:color w:val="000000"/>
                <w:lang w:bidi="ar"/>
              </w:rPr>
              <w:t>44,358</w:t>
            </w:r>
          </w:p>
        </w:tc>
        <w:tc>
          <w:tcPr>
            <w:tcW w:w="1346" w:type="dxa"/>
            <w:tcBorders>
              <w:top w:val="single" w:sz="2" w:space="0" w:color="auto"/>
              <w:left w:val="single" w:sz="2" w:space="0" w:color="auto"/>
              <w:bottom w:val="single" w:sz="2" w:space="0" w:color="auto"/>
              <w:right w:val="single" w:sz="2" w:space="0" w:color="auto"/>
            </w:tcBorders>
            <w:vAlign w:val="center"/>
          </w:tcPr>
          <w:p>
            <w:pPr>
              <w:pStyle w:val="Style217"/>
            </w:pPr>
          </w:p>
        </w:tc>
      </w:tr>
      <w:tr>
        <w:trPr>
          <w:cantSplit/>
        </w:trPr>
        <w:tc>
          <w:tcPr>
            <w:tcW w:w="1063" w:type="dxa"/>
            <w:tcBorders>
              <w:top w:val="single" w:sz="2" w:space="0" w:color="auto"/>
              <w:left w:val="single" w:sz="2" w:space="0" w:color="auto"/>
              <w:bottom w:val="single" w:sz="2" w:space="0" w:color="auto"/>
              <w:right w:val="single" w:sz="2" w:space="0" w:color="auto"/>
            </w:tcBorders>
            <w:vAlign w:val="center"/>
          </w:tcPr>
          <w:p>
            <w:pPr>
              <w:pStyle w:val="Style217"/>
            </w:pPr>
            <w:r>
              <w:rPr>
                <w:rFonts w:hint="eastAsia"/>
              </w:rPr>
              <w:t>基建工程</w:t>
            </w:r>
          </w:p>
        </w:tc>
        <w:tc>
          <w:tcPr>
            <w:tcW w:w="1347" w:type="dxa"/>
            <w:tcBorders>
              <w:top w:val="single" w:sz="2" w:space="0" w:color="auto"/>
              <w:left w:val="single" w:sz="2" w:space="0" w:color="auto"/>
              <w:bottom w:val="single" w:sz="2" w:space="0" w:color="auto"/>
              <w:right w:val="single" w:sz="2" w:space="0" w:color="auto"/>
            </w:tcBorders>
            <w:vAlign w:val="center"/>
          </w:tcPr>
          <w:p>
            <w:pPr>
              <w:jc w:val="right"/>
            </w:pPr>
            <w:r>
              <w:rPr>
                <w:rFonts w:ascii="宋体" w:hAnsi="宋体" w:cs="宋体" w:hint="eastAsia"/>
                <w:color w:val="000000"/>
                <w:lang w:bidi="ar"/>
              </w:rPr>
              <w:t>23,125</w:t>
            </w: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p>
        </w:tc>
        <w:tc>
          <w:tcPr>
            <w:tcW w:w="1346" w:type="dxa"/>
            <w:tcBorders>
              <w:top w:val="single" w:sz="2" w:space="0" w:color="auto"/>
              <w:left w:val="single" w:sz="2" w:space="0" w:color="auto"/>
              <w:bottom w:val="single" w:sz="2" w:space="0" w:color="auto"/>
              <w:right w:val="single" w:sz="2" w:space="0" w:color="auto"/>
            </w:tcBorders>
            <w:vAlign w:val="center"/>
          </w:tcPr>
          <w:p>
            <w:pPr>
              <w:jc w:val="right"/>
              <w:rPr>
                <w:rFonts w:ascii="宋体" w:hAnsi="宋体"/>
              </w:rPr>
            </w:pPr>
          </w:p>
        </w:tc>
        <w:tc>
          <w:tcPr>
            <w:tcW w:w="1263" w:type="dxa"/>
            <w:tcBorders>
              <w:top w:val="single" w:sz="2" w:space="0" w:color="auto"/>
              <w:left w:val="single" w:sz="2" w:space="0" w:color="auto"/>
              <w:bottom w:val="single" w:sz="2" w:space="0" w:color="auto"/>
              <w:right w:val="single" w:sz="2" w:space="0" w:color="auto"/>
            </w:tcBorders>
            <w:vAlign w:val="center"/>
          </w:tcPr>
          <w:p>
            <w:pPr>
              <w:jc w:val="right"/>
            </w:pPr>
          </w:p>
        </w:tc>
        <w:tc>
          <w:tcPr>
            <w:tcW w:w="1346" w:type="dxa"/>
            <w:tcBorders>
              <w:top w:val="single" w:sz="2" w:space="0" w:color="auto"/>
              <w:left w:val="single" w:sz="2" w:space="0" w:color="auto"/>
              <w:bottom w:val="single" w:sz="2" w:space="0" w:color="auto"/>
              <w:right w:val="single" w:sz="2" w:space="0" w:color="auto"/>
            </w:tcBorders>
            <w:vAlign w:val="center"/>
          </w:tcPr>
          <w:p>
            <w:pPr>
              <w:jc w:val="right"/>
              <w:rPr>
                <w:rFonts w:ascii="宋体" w:hAnsi="宋体"/>
              </w:rPr>
            </w:pPr>
            <w:r>
              <w:rPr>
                <w:rFonts w:ascii="宋体" w:hAnsi="宋体"/>
              </w:rPr>
              <w:t>23,125</w:t>
            </w:r>
          </w:p>
        </w:tc>
        <w:tc>
          <w:tcPr>
            <w:tcW w:w="1346" w:type="dxa"/>
            <w:tcBorders>
              <w:top w:val="single" w:sz="2" w:space="0" w:color="auto"/>
              <w:left w:val="single" w:sz="2" w:space="0" w:color="auto"/>
              <w:bottom w:val="single" w:sz="2" w:space="0" w:color="auto"/>
              <w:right w:val="single" w:sz="2" w:space="0" w:color="auto"/>
            </w:tcBorders>
            <w:vAlign w:val="center"/>
          </w:tcPr>
          <w:p>
            <w:pPr>
              <w:pStyle w:val="Style217"/>
            </w:pPr>
          </w:p>
        </w:tc>
      </w:tr>
      <w:tr>
        <w:trPr>
          <w:cantSplit/>
        </w:trPr>
        <w:tc>
          <w:tcPr>
            <w:tcW w:w="1063" w:type="dxa"/>
            <w:tcBorders>
              <w:top w:val="single" w:sz="2" w:space="0" w:color="auto"/>
              <w:left w:val="single" w:sz="2" w:space="0" w:color="auto"/>
              <w:bottom w:val="single" w:sz="2" w:space="0" w:color="auto"/>
              <w:right w:val="single" w:sz="2" w:space="0" w:color="auto"/>
            </w:tcBorders>
            <w:vAlign w:val="center"/>
          </w:tcPr>
          <w:p>
            <w:pPr>
              <w:pStyle w:val="Style217"/>
            </w:pPr>
            <w:r>
              <w:rPr>
                <w:rFonts w:hint="eastAsia"/>
              </w:rPr>
              <w:t>勘探工程</w:t>
            </w:r>
          </w:p>
        </w:tc>
        <w:tc>
          <w:tcPr>
            <w:tcW w:w="1347" w:type="dxa"/>
            <w:tcBorders>
              <w:top w:val="single" w:sz="2" w:space="0" w:color="auto"/>
              <w:left w:val="single" w:sz="2" w:space="0" w:color="auto"/>
              <w:bottom w:val="single" w:sz="2" w:space="0" w:color="auto"/>
              <w:right w:val="single" w:sz="2" w:space="0" w:color="auto"/>
            </w:tcBorders>
            <w:vAlign w:val="center"/>
          </w:tcPr>
          <w:p>
            <w:pPr>
              <w:jc w:val="right"/>
            </w:pPr>
            <w:r>
              <w:rPr>
                <w:rFonts w:ascii="宋体" w:hAnsi="宋体" w:cs="宋体" w:hint="eastAsia"/>
                <w:color w:val="000000"/>
                <w:lang w:bidi="ar"/>
              </w:rPr>
              <w:t>633,578</w:t>
            </w: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p>
        </w:tc>
        <w:tc>
          <w:tcPr>
            <w:tcW w:w="1346" w:type="dxa"/>
            <w:tcBorders>
              <w:top w:val="single" w:sz="2" w:space="0" w:color="auto"/>
              <w:left w:val="single" w:sz="2" w:space="0" w:color="auto"/>
              <w:bottom w:val="single" w:sz="2" w:space="0" w:color="auto"/>
              <w:right w:val="single" w:sz="2" w:space="0" w:color="auto"/>
            </w:tcBorders>
            <w:vAlign w:val="center"/>
          </w:tcPr>
          <w:p>
            <w:pPr>
              <w:jc w:val="right"/>
              <w:rPr>
                <w:rFonts w:ascii="宋体" w:hAnsi="宋体"/>
              </w:rPr>
            </w:pPr>
            <w:r>
              <w:rPr>
                <w:rFonts w:ascii="宋体" w:hAnsi="宋体"/>
              </w:rPr>
              <w:t>106,972</w:t>
            </w:r>
          </w:p>
        </w:tc>
        <w:tc>
          <w:tcPr>
            <w:tcW w:w="1263" w:type="dxa"/>
            <w:tcBorders>
              <w:top w:val="single" w:sz="2" w:space="0" w:color="auto"/>
              <w:left w:val="single" w:sz="2" w:space="0" w:color="auto"/>
              <w:bottom w:val="single" w:sz="2" w:space="0" w:color="auto"/>
              <w:right w:val="single" w:sz="2" w:space="0" w:color="auto"/>
            </w:tcBorders>
            <w:vAlign w:val="center"/>
          </w:tcPr>
          <w:p>
            <w:pPr>
              <w:jc w:val="right"/>
              <w:rPr>
                <w:rFonts w:ascii="宋体" w:hAnsi="宋体"/>
              </w:rPr>
            </w:pPr>
            <w:r>
              <w:rPr>
                <w:rFonts w:ascii="宋体" w:hAnsi="宋体"/>
              </w:rPr>
              <w:t>25,671</w:t>
            </w:r>
          </w:p>
        </w:tc>
        <w:tc>
          <w:tcPr>
            <w:tcW w:w="1346" w:type="dxa"/>
            <w:tcBorders>
              <w:top w:val="single" w:sz="2" w:space="0" w:color="auto"/>
              <w:left w:val="single" w:sz="2" w:space="0" w:color="auto"/>
              <w:bottom w:val="single" w:sz="2" w:space="0" w:color="auto"/>
              <w:right w:val="single" w:sz="2" w:space="0" w:color="auto"/>
            </w:tcBorders>
            <w:vAlign w:val="center"/>
          </w:tcPr>
          <w:p>
            <w:pPr>
              <w:jc w:val="right"/>
              <w:rPr>
                <w:rFonts w:ascii="宋体" w:hAnsi="宋体"/>
              </w:rPr>
            </w:pPr>
            <w:r>
              <w:rPr>
                <w:rFonts w:ascii="宋体" w:hAnsi="宋体"/>
              </w:rPr>
              <w:t>552,277</w:t>
            </w:r>
          </w:p>
        </w:tc>
        <w:tc>
          <w:tcPr>
            <w:tcW w:w="1346" w:type="dxa"/>
            <w:tcBorders>
              <w:top w:val="single" w:sz="2" w:space="0" w:color="auto"/>
              <w:left w:val="single" w:sz="2" w:space="0" w:color="auto"/>
              <w:bottom w:val="single" w:sz="2" w:space="0" w:color="auto"/>
              <w:right w:val="single" w:sz="2" w:space="0" w:color="auto"/>
            </w:tcBorders>
            <w:vAlign w:val="center"/>
          </w:tcPr>
          <w:p>
            <w:pPr>
              <w:pStyle w:val="Style217"/>
            </w:pPr>
          </w:p>
        </w:tc>
      </w:tr>
      <w:tr>
        <w:trPr>
          <w:cantSplit/>
        </w:trPr>
        <w:tc>
          <w:tcPr>
            <w:tcW w:w="1063" w:type="dxa"/>
            <w:tcBorders>
              <w:top w:val="single" w:sz="2" w:space="0" w:color="auto"/>
              <w:left w:val="single" w:sz="2" w:space="0" w:color="auto"/>
              <w:bottom w:val="single" w:sz="2" w:space="0" w:color="auto"/>
              <w:right w:val="single" w:sz="2" w:space="0" w:color="auto"/>
            </w:tcBorders>
            <w:vAlign w:val="center"/>
          </w:tcPr>
          <w:p>
            <w:pPr>
              <w:pStyle w:val="Style217"/>
            </w:pPr>
            <w:r>
              <w:rPr>
                <w:rFonts w:hint="eastAsia"/>
              </w:rPr>
              <w:t>修理工程</w:t>
            </w:r>
          </w:p>
        </w:tc>
        <w:tc>
          <w:tcPr>
            <w:tcW w:w="1347" w:type="dxa"/>
            <w:tcBorders>
              <w:top w:val="single" w:sz="2" w:space="0" w:color="auto"/>
              <w:left w:val="single" w:sz="2" w:space="0" w:color="auto"/>
              <w:bottom w:val="single" w:sz="2" w:space="0" w:color="auto"/>
              <w:right w:val="single" w:sz="2" w:space="0" w:color="auto"/>
            </w:tcBorders>
            <w:vAlign w:val="center"/>
          </w:tcPr>
          <w:p>
            <w:pPr>
              <w:jc w:val="right"/>
            </w:pPr>
            <w:r>
              <w:rPr>
                <w:rFonts w:ascii="宋体" w:hAnsi="宋体" w:cs="宋体" w:hint="eastAsia"/>
                <w:color w:val="000000"/>
                <w:lang w:bidi="ar"/>
              </w:rPr>
              <w:t>494</w:t>
            </w: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p>
        </w:tc>
        <w:tc>
          <w:tcPr>
            <w:tcW w:w="1263" w:type="dxa"/>
            <w:tcBorders>
              <w:top w:val="single" w:sz="2" w:space="0" w:color="auto"/>
              <w:left w:val="single" w:sz="2" w:space="0" w:color="auto"/>
              <w:bottom w:val="single" w:sz="2" w:space="0" w:color="auto"/>
              <w:right w:val="single" w:sz="2" w:space="0" w:color="auto"/>
            </w:tcBorders>
            <w:vAlign w:val="center"/>
          </w:tcPr>
          <w:p>
            <w:pPr>
              <w:jc w:val="right"/>
            </w:pP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r>
              <w:rPr>
                <w:rFonts w:ascii="宋体" w:hAnsi="宋体" w:cs="宋体" w:hint="eastAsia"/>
                <w:color w:val="000000"/>
                <w:lang w:bidi="ar"/>
              </w:rPr>
              <w:t>494</w:t>
            </w:r>
          </w:p>
        </w:tc>
        <w:tc>
          <w:tcPr>
            <w:tcW w:w="1346" w:type="dxa"/>
            <w:tcBorders>
              <w:top w:val="single" w:sz="2" w:space="0" w:color="auto"/>
              <w:left w:val="single" w:sz="2" w:space="0" w:color="auto"/>
              <w:bottom w:val="single" w:sz="2" w:space="0" w:color="auto"/>
              <w:right w:val="single" w:sz="2" w:space="0" w:color="auto"/>
            </w:tcBorders>
            <w:vAlign w:val="center"/>
          </w:tcPr>
          <w:p>
            <w:pPr>
              <w:pStyle w:val="Style217"/>
            </w:pPr>
          </w:p>
        </w:tc>
      </w:tr>
      <w:tr>
        <w:trPr>
          <w:cantSplit/>
        </w:trPr>
        <w:tc>
          <w:tcPr>
            <w:tcW w:w="1063" w:type="dxa"/>
            <w:tcBorders>
              <w:top w:val="single" w:sz="2" w:space="0" w:color="auto"/>
              <w:left w:val="single" w:sz="2" w:space="0" w:color="auto"/>
              <w:bottom w:val="single" w:sz="2" w:space="0" w:color="auto"/>
              <w:right w:val="single" w:sz="2" w:space="0" w:color="auto"/>
            </w:tcBorders>
            <w:vAlign w:val="center"/>
          </w:tcPr>
          <w:p>
            <w:pPr>
              <w:jc w:val="center"/>
            </w:pPr>
            <w:r>
              <w:rPr>
                <w:rFonts w:hint="eastAsia"/>
              </w:rPr>
              <w:t>合计</w:t>
            </w:r>
          </w:p>
        </w:tc>
        <w:tc>
          <w:tcPr>
            <w:tcW w:w="1347" w:type="dxa"/>
            <w:tcBorders>
              <w:top w:val="single" w:sz="2" w:space="0" w:color="auto"/>
              <w:left w:val="single" w:sz="2" w:space="0" w:color="auto"/>
              <w:bottom w:val="single" w:sz="2" w:space="0" w:color="auto"/>
              <w:right w:val="single" w:sz="2" w:space="0" w:color="auto"/>
            </w:tcBorders>
            <w:vAlign w:val="center"/>
          </w:tcPr>
          <w:p>
            <w:pPr>
              <w:jc w:val="right"/>
            </w:pPr>
            <w:r>
              <w:rPr>
                <w:rFonts w:ascii="宋体" w:hAnsi="宋体" w:cs="宋体" w:hint="eastAsia"/>
                <w:color w:val="000000"/>
                <w:lang w:bidi="ar"/>
              </w:rPr>
              <w:t>701,555</w:t>
            </w: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p>
        </w:tc>
        <w:tc>
          <w:tcPr>
            <w:tcW w:w="1346" w:type="dxa"/>
            <w:tcBorders>
              <w:top w:val="single" w:sz="2" w:space="0" w:color="auto"/>
              <w:left w:val="single" w:sz="2" w:space="0" w:color="auto"/>
              <w:bottom w:val="single" w:sz="2" w:space="0" w:color="auto"/>
              <w:right w:val="single" w:sz="2" w:space="0" w:color="auto"/>
            </w:tcBorders>
            <w:vAlign w:val="center"/>
          </w:tcPr>
          <w:p>
            <w:pPr>
              <w:jc w:val="right"/>
            </w:pPr>
            <w:r>
              <w:rPr>
                <w:rFonts w:ascii="宋体" w:hAnsi="宋体" w:cs="宋体" w:hint="eastAsia"/>
                <w:color w:val="000000"/>
                <w:lang w:bidi="ar"/>
              </w:rPr>
              <w:t>106,972</w:t>
            </w:r>
          </w:p>
        </w:tc>
        <w:tc>
          <w:tcPr>
            <w:tcW w:w="1263" w:type="dxa"/>
            <w:tcBorders>
              <w:top w:val="single" w:sz="2" w:space="0" w:color="auto"/>
              <w:left w:val="single" w:sz="2" w:space="0" w:color="auto"/>
              <w:bottom w:val="single" w:sz="2" w:space="0" w:color="auto"/>
              <w:right w:val="single" w:sz="2" w:space="0" w:color="auto"/>
            </w:tcBorders>
            <w:vAlign w:val="center"/>
          </w:tcPr>
          <w:p>
            <w:pPr>
              <w:jc w:val="right"/>
              <w:rPr>
                <w:rFonts w:ascii="宋体" w:hAnsi="宋体"/>
              </w:rPr>
            </w:pPr>
            <w:r>
              <w:rPr>
                <w:rFonts w:ascii="宋体" w:hAnsi="宋体"/>
              </w:rPr>
              <w:t>25,671</w:t>
            </w:r>
          </w:p>
        </w:tc>
        <w:tc>
          <w:tcPr>
            <w:tcW w:w="1346" w:type="dxa"/>
            <w:tcBorders>
              <w:top w:val="single" w:sz="2" w:space="0" w:color="auto"/>
              <w:left w:val="single" w:sz="2" w:space="0" w:color="auto"/>
              <w:bottom w:val="single" w:sz="2" w:space="0" w:color="auto"/>
              <w:right w:val="single" w:sz="2" w:space="0" w:color="auto"/>
            </w:tcBorders>
            <w:vAlign w:val="center"/>
          </w:tcPr>
          <w:p>
            <w:pPr>
              <w:jc w:val="right"/>
              <w:rPr>
                <w:rFonts w:ascii="宋体" w:hAnsi="宋体"/>
              </w:rPr>
            </w:pPr>
            <w:r>
              <w:rPr>
                <w:rFonts w:ascii="宋体" w:hAnsi="宋体"/>
              </w:rPr>
              <w:t>620,254</w:t>
            </w:r>
          </w:p>
        </w:tc>
        <w:tc>
          <w:tcPr>
            <w:tcW w:w="1346" w:type="dxa"/>
            <w:tcBorders>
              <w:top w:val="single" w:sz="2" w:space="0" w:color="auto"/>
              <w:left w:val="single" w:sz="2" w:space="0" w:color="auto"/>
              <w:bottom w:val="single" w:sz="2" w:space="0" w:color="auto"/>
              <w:right w:val="single" w:sz="2" w:space="0" w:color="auto"/>
            </w:tcBorders>
            <w:vAlign w:val="center"/>
          </w:tcPr>
          <w:p>
            <w:pPr>
              <w:jc w:val="center"/>
            </w:pPr>
          </w:p>
        </w:tc>
      </w:tr>
    </w:tbl>
    <w:p>
      <w:pPr>
        <w:pStyle w:val="Style217"/>
      </w:pPr>
    </w:p>
    <w:p>
      <w:pPr>
        <w:pStyle w:val="Style180"/>
        <w:numPr>
          <w:ilvl w:val="0"/>
          <w:numId w:val="91"/>
        </w:numPr>
        <w:ind w:leftChars="0"/>
      </w:pPr>
      <w:r>
        <w:rPr>
          <w:rFonts w:hint="eastAsia"/>
        </w:rPr>
        <w:t>在建工程的减值测试情况</w:t>
      </w:r>
    </w:p>
    <w:sdt>
      <w:sdtPr>
        <w:alias w:val="是否适用：减值测试情况[双击切换]"/>
        <w:tag w:val="_GBC_d3e3ceb3450d42e8a3d61da2c2d7d3cb"/>
        <w:id w:val="-185787742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62"/>
    <w:p>
      <w:pPr>
        <w:pStyle w:val="Style217"/>
      </w:pPr>
    </w:p>
    <w:p>
      <w:pPr>
        <w:pStyle w:val="Style181"/>
        <w:ind w:left="105"/>
      </w:pPr>
      <w:r>
        <w:rPr>
          <w:rFonts w:hint="eastAsia"/>
        </w:rPr>
        <w:t>可收回金额按公允价值减去处置费用后的净额确定</w:t>
      </w:r>
    </w:p>
    <w:sdt>
      <w:sdtPr>
        <w:alias w:val="是否适用：可收回金额按公允价值减去处置费用后的净额确定[双击切换]"/>
        <w:tag w:val="_GBC_5d3bced30472464198eed0ab56e1e93b"/>
        <w:id w:val="57578404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1"/>
        <w:ind w:left="105"/>
      </w:pPr>
      <w:r>
        <w:rPr>
          <w:rFonts w:hint="eastAsia"/>
        </w:rPr>
        <w:t>可收回金额按预计未来现金流量的现值确定</w:t>
      </w:r>
    </w:p>
    <w:sdt>
      <w:sdtPr>
        <w:rPr>
          <w:rFonts w:hint="eastAsia"/>
        </w:rPr>
        <w:alias w:val="是否适用：可收回金额按预计未来现金流量的现值确定[双击切换]"/>
        <w:tag w:val="_GBC_ea285cba95d04aae86fc950e09c04394"/>
        <w:id w:val="1116258025"/>
        <w:placeholder>
          <w:docPart w:val="GBC22222222222222222222222222222"/>
        </w:placeholder>
      </w:sdtPr>
      <w:sdtContent>
        <w:p>
          <w:pPr>
            <w:pStyle w:val="Style175"/>
          </w:pPr>
          <w:r>
            <w:rPr>
              <w:rFonts w:ascii="宋体" w:hAnsi="宋体"/>
              <w:sz w:val="21"/>
            </w:rPr>
            <w:fldChar w:fldCharType="begin"/>
          </w:r>
          <w:r>
            <w:rPr>
              <w:rFonts w:ascii="宋体" w:hAnsi="宋体" w:hint="eastAsia"/>
              <w:sz w:val="21"/>
            </w:rPr>
            <w:instrText xml:space="preserve"> MACROBUTTON  SnrToggleCheckbox □适用 </w:instrText>
          </w:r>
          <w:r>
            <w:rPr>
              <w:rFonts w:ascii="宋体" w:hAnsi="宋体"/>
              <w:sz w:val="21"/>
            </w:rPr>
            <w:fldChar w:fldCharType="end"/>
          </w:r>
          <w:r>
            <w:rPr>
              <w:rFonts w:ascii="宋体" w:hAnsi="宋体"/>
              <w:sz w:val="21"/>
            </w:rPr>
            <w:fldChar w:fldCharType="begin"/>
          </w:r>
          <w:r>
            <w:rPr>
              <w:rFonts w:ascii="宋体" w:hAnsi="宋体" w:hint="eastAsia"/>
              <w:sz w:val="21"/>
            </w:rPr>
            <w:instrText xml:space="preserve"> MACROBUTTON  SnrToggleCheckbox √不适用 </w:instrText>
          </w:r>
          <w:r>
            <w:rPr>
              <w:rFonts w:ascii="宋体" w:hAnsi="宋体"/>
              <w:sz w:val="21"/>
            </w:rPr>
            <w:fldChar w:fldCharType="end"/>
          </w:r>
        </w:p>
      </w:sdtContent>
    </w:sdt>
    <w:p>
      <w:pPr>
        <w:pStyle w:val="Style217"/>
      </w:pPr>
    </w:p>
    <w:p>
      <w:pPr>
        <w:pStyle w:val="Style181"/>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773ceb30e8424e53bb816ca62cef3995"/>
        <w:id w:val="140418626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81"/>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92dac75ad56344d69181c076d6d1699a"/>
        <w:id w:val="158680131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217"/>
      </w:pPr>
      <w:r>
        <w:rPr>
          <w:rFonts w:hint="eastAsia"/>
        </w:rPr>
        <w:t>其他说明：</w:t>
      </w:r>
    </w:p>
    <w:sdt>
      <w:sdtPr>
        <w:alias w:val="在建工程的说明"/>
        <w:tag w:val="_GBC_917b304512fa407ebe1ac25233a9f6a6"/>
        <w:id w:val="-1151216669"/>
        <w:placeholder>
          <w:docPart w:val="GBC22222222222222222222222222222"/>
        </w:placeholder>
      </w:sdtPr>
      <w:sdtContent>
        <w:p>
          <w:pPr>
            <w:rPr>
              <w:color w:val="FF0000"/>
            </w:rPr>
          </w:pPr>
          <w:r>
            <w:rPr>
              <w:rFonts w:hint="eastAsia"/>
            </w:rPr>
            <w:t>-</w:t>
          </w:r>
        </w:p>
      </w:sdtContent>
    </w:sdt>
    <w:p>
      <w:pPr>
        <w:pStyle w:val="Style217"/>
      </w:pPr>
    </w:p>
    <w:p>
      <w:pPr>
        <w:pStyle w:val="Style179"/>
        <w:ind w:left="360" w:hanging="360"/>
      </w:pPr>
      <w:bookmarkStart w:id="463" w:name="_Hlk532903321"/>
      <w:r>
        <w:rPr>
          <w:rFonts w:hint="eastAsia"/>
        </w:rPr>
        <w:t>工程物资</w:t>
      </w:r>
    </w:p>
    <w:p>
      <w:pPr>
        <w:pStyle w:val="Style180"/>
        <w:numPr>
          <w:ilvl w:val="0"/>
          <w:numId w:val="91"/>
        </w:numPr>
        <w:ind w:leftChars="0"/>
      </w:pPr>
      <w:r>
        <w:rPr>
          <w:rFonts w:hint="eastAsia"/>
        </w:rPr>
        <w:t>工程物资情况</w:t>
      </w:r>
    </w:p>
    <w:sdt>
      <w:sdtPr>
        <w:alias w:val="是否适用：工程物资[双击切换]"/>
        <w:tag w:val="_GBC_91916c11fa864423a1c0e6a4024fdda5"/>
        <w:id w:val="55620296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63"/>
    <w:p>
      <w:pPr>
        <w:pStyle w:val="Style178"/>
        <w:numPr>
          <w:ilvl w:val="0"/>
          <w:numId w:val="75"/>
        </w:numPr>
        <w:rPr>
          <w:szCs w:val="21"/>
        </w:rPr>
      </w:pPr>
      <w:r>
        <w:rPr>
          <w:szCs w:val="21"/>
        </w:rPr>
        <w:t>生产性生物资产</w:t>
      </w:r>
    </w:p>
    <w:p>
      <w:pPr>
        <w:pStyle w:val="Style179"/>
        <w:numPr>
          <w:ilvl w:val="3"/>
          <w:numId w:val="92"/>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220417853"/>
        <w:placeholder>
          <w:docPart w:val="GBC22222222222222222222222222222"/>
        </w:placeholder>
      </w:sdtPr>
      <w:sdtContent>
        <w:p>
          <w:pPr>
            <w:pStyle w:val="Style175"/>
          </w:pPr>
          <w:r>
            <w:rPr>
              <w:rFonts w:ascii="宋体" w:hAnsi="宋体"/>
              <w:sz w:val="21"/>
            </w:rPr>
            <w:fldChar w:fldCharType="begin"/>
          </w:r>
          <w:r>
            <w:rPr>
              <w:rFonts w:ascii="宋体" w:hAnsi="宋体" w:hint="eastAsia"/>
              <w:sz w:val="21"/>
            </w:rPr>
            <w:instrText xml:space="preserve">MACROBUTTON  SnrToggleCheckbox □适用 </w:instrText>
          </w:r>
          <w:r>
            <w:rPr>
              <w:rFonts w:ascii="宋体" w:hAnsi="宋体"/>
              <w:sz w:val="21"/>
            </w:rPr>
            <w:fldChar w:fldCharType="end"/>
          </w:r>
          <w:r>
            <w:rPr>
              <w:rFonts w:ascii="宋体" w:hAnsi="宋体"/>
              <w:sz w:val="21"/>
            </w:rPr>
            <w:fldChar w:fldCharType="begin"/>
          </w:r>
          <w:r>
            <w:rPr>
              <w:rFonts w:ascii="宋体" w:hAnsi="宋体" w:hint="eastAsia"/>
              <w:sz w:val="21"/>
            </w:rPr>
            <w:instrText xml:space="preserve"> MACROBUTTON  SnrToggleCheckbox √不适用 </w:instrText>
          </w:r>
          <w:r>
            <w:rPr>
              <w:rFonts w:ascii="宋体" w:hAnsi="宋体"/>
              <w:sz w:val="21"/>
            </w:rPr>
            <w:fldChar w:fldCharType="end"/>
          </w:r>
        </w:p>
      </w:sdtContent>
    </w:sdt>
    <w:p>
      <w:pPr>
        <w:rPr>
          <w:rFonts w:cstheme="minorBidi"/>
        </w:rPr>
      </w:pPr>
    </w:p>
    <w:p>
      <w:pPr>
        <w:pStyle w:val="Style179"/>
        <w:numPr>
          <w:ilvl w:val="3"/>
          <w:numId w:val="92"/>
        </w:numPr>
        <w:ind w:left="426" w:hanging="426"/>
      </w:pPr>
      <w:bookmarkStart w:id="464" w:name="_Hlk153461442"/>
      <w:r>
        <w:rPr>
          <w:rFonts w:hint="eastAsia"/>
        </w:rPr>
        <w:t>采用成本计量模式的生产性生物资产的减值测试情况</w:t>
      </w:r>
    </w:p>
    <w:sdt>
      <w:sdtPr>
        <w:alias w:val="是否适用：减值测试情况[双击切换]"/>
        <w:tag w:val="_GBC_1463ca9b414a4cb28d5d13fd1d3b8486"/>
        <w:id w:val="106129277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bookmarkEnd w:id="464"/>
    <w:p>
      <w:pPr>
        <w:pStyle w:val="Style180"/>
        <w:ind w:left="105"/>
      </w:pPr>
      <w:r>
        <w:rPr>
          <w:rFonts w:hint="eastAsia"/>
        </w:rPr>
        <w:lastRenderedPageBreak/>
        <w:t>可收回金额按公允价值减去处置费用后的净额确定</w:t>
      </w:r>
    </w:p>
    <w:sdt>
      <w:sdtPr>
        <w:alias w:val="是否适用：可收回金额按公允价值减去处置费用后的净额确定[双击切换]"/>
        <w:tag w:val="_GBC_1acd719dc56741df8335a956e1d05e9f"/>
        <w:id w:val="-177454829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ind w:left="105"/>
      </w:pPr>
      <w:r>
        <w:rPr>
          <w:rFonts w:hint="eastAsia"/>
        </w:rPr>
        <w:t>可收回金额按预计未来现金流量的现值确定</w:t>
      </w:r>
    </w:p>
    <w:sdt>
      <w:sdtPr>
        <w:rPr>
          <w:rFonts w:hint="eastAsia"/>
        </w:rPr>
        <w:alias w:val="是否适用：可收回金额按预计未来现金流量的现值确定[双击切换]"/>
        <w:tag w:val="_GBC_a627235c4b11443b95a69fc5ac0f0026"/>
        <w:id w:val="-1781324161"/>
        <w:placeholder>
          <w:docPart w:val="GBC22222222222222222222222222222"/>
        </w:placeholder>
      </w:sdtPr>
      <w:sdtContent>
        <w:p>
          <w:pPr>
            <w:pStyle w:val="Style175"/>
          </w:pPr>
          <w:r>
            <w:rPr>
              <w:rFonts w:ascii="宋体" w:hAnsi="宋体"/>
              <w:sz w:val="21"/>
            </w:rPr>
            <w:fldChar w:fldCharType="begin"/>
          </w:r>
          <w:r>
            <w:rPr>
              <w:rFonts w:ascii="宋体" w:hAnsi="宋体" w:hint="eastAsia"/>
              <w:sz w:val="21"/>
            </w:rPr>
            <w:instrText xml:space="preserve"> MACROBUTTON  SnrToggleCheckbox □适用 </w:instrText>
          </w:r>
          <w:r>
            <w:rPr>
              <w:rFonts w:ascii="宋体" w:hAnsi="宋体"/>
              <w:sz w:val="21"/>
            </w:rPr>
            <w:fldChar w:fldCharType="end"/>
          </w:r>
          <w:r>
            <w:rPr>
              <w:rFonts w:ascii="宋体" w:hAnsi="宋体"/>
              <w:sz w:val="21"/>
            </w:rPr>
            <w:fldChar w:fldCharType="begin"/>
          </w:r>
          <w:r>
            <w:rPr>
              <w:rFonts w:ascii="宋体" w:hAnsi="宋体" w:hint="eastAsia"/>
              <w:sz w:val="21"/>
            </w:rPr>
            <w:instrText xml:space="preserve"> MACROBUTTON  SnrToggleCheckbox √不适用 </w:instrText>
          </w:r>
          <w:r>
            <w:rPr>
              <w:rFonts w:ascii="宋体" w:hAnsi="宋体"/>
              <w:sz w:val="21"/>
            </w:rPr>
            <w:fldChar w:fldCharType="end"/>
          </w:r>
        </w:p>
      </w:sdtContent>
    </w:sdt>
    <w:p>
      <w:pPr>
        <w:pStyle w:val="Style217"/>
      </w:pPr>
    </w:p>
    <w:p>
      <w:pPr>
        <w:pStyle w:val="Style180"/>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197b8f01263a4a3c81aa83a71bb28283"/>
        <w:id w:val="60284570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80"/>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ec22e7f84b5d47c8a1b810d274fcc92f"/>
        <w:id w:val="200701521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79"/>
        <w:numPr>
          <w:ilvl w:val="3"/>
          <w:numId w:val="92"/>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68193891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autoSpaceDE w:val="0"/>
        <w:autoSpaceDN w:val="0"/>
        <w:adjustRightInd w:val="0"/>
      </w:pPr>
      <w:r>
        <w:rPr>
          <w:rFonts w:hint="eastAsia"/>
        </w:rPr>
        <w:t>其他说明：</w:t>
      </w:r>
    </w:p>
    <w:sdt>
      <w:sdtPr>
        <w:alias w:val="是否适用：生产性生物资产的说明[双击切换]"/>
        <w:tag w:val="_GBC_d3e0f749d04b4097a0886c38dadda8f4"/>
        <w:id w:val="-1159155905"/>
        <w:placeholder>
          <w:docPart w:val="GBC22222222222222222222222222222"/>
        </w:placeholder>
      </w:sdtPr>
      <w:sdtContent>
        <w:p>
          <w:pPr>
            <w:autoSpaceDE w:val="0"/>
            <w:autoSpaceDN w:val="0"/>
            <w:adjustRightInd w:val="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8"/>
        <w:numPr>
          <w:ilvl w:val="0"/>
          <w:numId w:val="75"/>
        </w:numPr>
        <w:rPr>
          <w:szCs w:val="21"/>
        </w:rPr>
      </w:pPr>
      <w:r>
        <w:rPr>
          <w:szCs w:val="21"/>
        </w:rPr>
        <w:t>油气资产</w:t>
      </w:r>
    </w:p>
    <w:p>
      <w:pPr>
        <w:pStyle w:val="Style179"/>
        <w:numPr>
          <w:ilvl w:val="0"/>
          <w:numId w:val="93"/>
        </w:numPr>
      </w:pPr>
      <w:r>
        <w:rPr>
          <w:rFonts w:hint="eastAsia"/>
        </w:rPr>
        <w:t>油气资产情况</w:t>
      </w:r>
    </w:p>
    <w:sdt>
      <w:sdtPr>
        <w:alias w:val="是否适用：油气资产[双击切换]"/>
        <w:tag w:val="_GBC_a587239cd6ac4d96b99f6fe496e97c34"/>
        <w:id w:val="164715677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cstheme="minorBidi"/>
          <w:kern w:val="2"/>
        </w:rPr>
      </w:pPr>
    </w:p>
    <w:p>
      <w:pPr>
        <w:pStyle w:val="Style179"/>
        <w:numPr>
          <w:ilvl w:val="0"/>
          <w:numId w:val="93"/>
        </w:numPr>
        <w:ind w:left="450" w:hanging="450"/>
      </w:pPr>
      <w:bookmarkStart w:id="465" w:name="_Hlk153461604"/>
      <w:r>
        <w:rPr>
          <w:rFonts w:hint="eastAsia"/>
        </w:rPr>
        <w:t>油气资产的减值测试情况</w:t>
      </w:r>
    </w:p>
    <w:sdt>
      <w:sdtPr>
        <w:alias w:val="是否适用：减值测试情况[双击切换]"/>
        <w:tag w:val="_GBC_c658db7dbb96462dbe4ab745ca73e3ca"/>
        <w:id w:val="-155314743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bookmarkEnd w:id="465"/>
    <w:p>
      <w:pPr>
        <w:autoSpaceDE w:val="0"/>
        <w:autoSpaceDN w:val="0"/>
        <w:adjustRightInd w:val="0"/>
      </w:pPr>
      <w:r>
        <w:rPr>
          <w:rFonts w:hint="eastAsia"/>
        </w:rPr>
        <w:t>其他说明：</w:t>
      </w:r>
    </w:p>
    <w:p>
      <w:pPr>
        <w:pStyle w:val="Style217"/>
      </w:pPr>
      <w:sdt>
        <w:sdtPr>
          <w:alias w:val="油气资产的说明"/>
          <w:tag w:val="_GBC_4766b2b071af48e7aaf22a35a082671e"/>
          <w:id w:val="-662004087"/>
          <w:placeholder>
            <w:docPart w:val="GBC22222222222222222222222222222"/>
          </w:placeholder>
        </w:sdtPr>
        <w:sdtContent>
          <w:r>
            <w:rPr>
              <w:rFonts w:hint="eastAsia"/>
            </w:rPr>
            <w:t>-</w:t>
          </w:r>
        </w:sdtContent>
      </w:sdt>
    </w:p>
    <w:p>
      <w:pPr>
        <w:pStyle w:val="Style180"/>
        <w:ind w:left="105"/>
      </w:pPr>
      <w:r>
        <w:rPr>
          <w:rFonts w:hint="eastAsia"/>
        </w:rPr>
        <w:t>可收回金额按公允价值减去处置费用后的净额确定</w:t>
      </w:r>
    </w:p>
    <w:bookmarkStart w:id="466" w:name="_Hlk121390344" w:displacedByCustomXml="next"/>
    <w:bookmarkStart w:id="467" w:name="_Hlk24026112" w:displacedByCustomXml="next"/>
    <w:sdt>
      <w:sdtPr>
        <w:alias w:val="是否适用：可收回金额按公允价值减去处置费用后的净额确定[双击切换]"/>
        <w:tag w:val="_GBC_6d7ad453f0d544e18fe765afbf799c12"/>
        <w:id w:val="108248989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ind w:left="105"/>
      </w:pPr>
      <w:r>
        <w:rPr>
          <w:rFonts w:hint="eastAsia"/>
        </w:rPr>
        <w:t>可收回金额按预计未来现金流量的现值确定</w:t>
      </w:r>
    </w:p>
    <w:sdt>
      <w:sdtPr>
        <w:rPr>
          <w:rFonts w:hint="eastAsia"/>
        </w:rPr>
        <w:alias w:val="是否适用：可收回金额按预计未来现金流量的现值确定[双击切换]"/>
        <w:tag w:val="_GBC_5dfaf9e2c5e44d74ab2b5eb6a9244c8c"/>
        <w:id w:val="1540079470"/>
        <w:placeholder>
          <w:docPart w:val="GBC22222222222222222222222222222"/>
        </w:placeholder>
      </w:sdtPr>
      <w:sdtContent>
        <w:p>
          <w:pPr>
            <w:pStyle w:val="Style175"/>
          </w:pPr>
          <w:r>
            <w:rPr>
              <w:rFonts w:ascii="宋体" w:hAnsi="宋体"/>
              <w:sz w:val="21"/>
            </w:rPr>
            <w:fldChar w:fldCharType="begin"/>
          </w:r>
          <w:r>
            <w:rPr>
              <w:rFonts w:ascii="宋体" w:hAnsi="宋体" w:hint="eastAsia"/>
              <w:sz w:val="21"/>
            </w:rPr>
            <w:instrText xml:space="preserve"> MACROBUTTON  SnrToggleCheckbox □适用 </w:instrText>
          </w:r>
          <w:r>
            <w:rPr>
              <w:rFonts w:ascii="宋体" w:hAnsi="宋体"/>
              <w:sz w:val="21"/>
            </w:rPr>
            <w:fldChar w:fldCharType="end"/>
          </w:r>
          <w:r>
            <w:rPr>
              <w:rFonts w:ascii="宋体" w:hAnsi="宋体"/>
              <w:sz w:val="21"/>
            </w:rPr>
            <w:fldChar w:fldCharType="begin"/>
          </w:r>
          <w:r>
            <w:rPr>
              <w:rFonts w:ascii="宋体" w:hAnsi="宋体" w:hint="eastAsia"/>
              <w:sz w:val="21"/>
            </w:rPr>
            <w:instrText xml:space="preserve"> MACROBUTTON  SnrToggleCheckbox √不适用 </w:instrText>
          </w:r>
          <w:r>
            <w:rPr>
              <w:rFonts w:ascii="宋体" w:hAnsi="宋体"/>
              <w:sz w:val="21"/>
            </w:rPr>
            <w:fldChar w:fldCharType="end"/>
          </w:r>
        </w:p>
      </w:sdtContent>
    </w:sdt>
    <w:p>
      <w:pPr>
        <w:pStyle w:val="Style217"/>
      </w:pPr>
    </w:p>
    <w:p>
      <w:pPr>
        <w:pStyle w:val="Style180"/>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f6fcd0742a4142e79c5e5aa93745eb4c"/>
        <w:id w:val="114122896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80"/>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200bdc80e8a64d2b82cc9b21383fc6ee"/>
        <w:id w:val="74198312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autoSpaceDE w:val="0"/>
        <w:autoSpaceDN w:val="0"/>
        <w:adjustRightInd w:val="0"/>
      </w:pPr>
      <w:bookmarkStart w:id="468" w:name="_Hlk152863119"/>
      <w:r>
        <w:rPr>
          <w:rFonts w:hint="eastAsia"/>
        </w:rPr>
        <w:t>其他说明：</w:t>
      </w:r>
    </w:p>
    <w:p>
      <w:pPr>
        <w:pStyle w:val="Style217"/>
      </w:pPr>
      <w:sdt>
        <w:sdtPr>
          <w:alias w:val="油气资产的说明"/>
          <w:tag w:val="_GBC_4766b2b071af48e7aaf22a35a082671e"/>
          <w:id w:val="993606404"/>
          <w:placeholder>
            <w:docPart w:val="GBC22222222222222222222222222222"/>
          </w:placeholder>
        </w:sdtPr>
        <w:sdtContent>
          <w:r>
            <w:rPr>
              <w:rFonts w:hint="eastAsia"/>
            </w:rPr>
            <w:t>-</w:t>
          </w:r>
        </w:sdtContent>
      </w:sdt>
    </w:p>
    <w:bookmarkEnd w:id="468"/>
    <w:p>
      <w:pPr>
        <w:pStyle w:val="Style217"/>
      </w:pPr>
    </w:p>
    <w:p>
      <w:pPr>
        <w:pStyle w:val="Style217"/>
      </w:pPr>
    </w:p>
    <w:sdt>
      <w:sdtPr>
        <w:rPr>
          <w:rFonts w:ascii="宋体" w:hAnsi="宋体" w:cs="宋体" w:hint="eastAsia"/>
          <w:b w:val="0"/>
          <w:bCs w:val="0"/>
          <w:kern w:val="0"/>
          <w:szCs w:val="21"/>
        </w:rPr>
        <w:alias w:val="模块:使用权资产"/>
        <w:tag w:val="_SEC_56ef077439914c3f97ba31c1af9eef32"/>
        <w:id w:val="1081563834"/>
        <w:placeholder>
          <w:docPart w:val="GBC22222222222222222222222222222"/>
        </w:placeholder>
      </w:sdtPr>
      <w:sdtEndPr>
        <w:rPr>
          <w:rFonts w:cs="Times New Roman"/>
          <w:szCs w:val="20"/>
        </w:rPr>
      </w:sdtEndPr>
      <w:sdtContent>
        <w:p>
          <w:pPr>
            <w:pStyle w:val="Style178"/>
            <w:numPr>
              <w:ilvl w:val="0"/>
              <w:numId w:val="75"/>
            </w:numPr>
            <w:rPr>
              <w:szCs w:val="21"/>
            </w:rPr>
          </w:pPr>
          <w:r>
            <w:rPr>
              <w:szCs w:val="21"/>
            </w:rPr>
            <w:t>使用权资产</w:t>
          </w:r>
        </w:p>
        <w:p>
          <w:pPr>
            <w:pStyle w:val="Style179"/>
            <w:numPr>
              <w:ilvl w:val="0"/>
              <w:numId w:val="94"/>
            </w:numPr>
          </w:pPr>
          <w:r>
            <w:rPr>
              <w:rFonts w:hint="eastAsia"/>
            </w:rPr>
            <w:t>使用权资产情况</w:t>
          </w:r>
        </w:p>
        <w:sdt>
          <w:sdtPr>
            <w:alias w:val="是否适用：使用权资产[双击切换]"/>
            <w:tag w:val="_GBC_0d86ed9789d84ef592fcb1556e3f676f"/>
            <w:id w:val="158163762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jc w:val="right"/>
          </w:pPr>
          <w:r>
            <w:rPr>
              <w:rFonts w:hint="eastAsia"/>
            </w:rPr>
            <w:t>单位：</w:t>
          </w:r>
          <w:sdt>
            <w:sdtPr>
              <w:rPr>
                <w:rFonts w:hint="eastAsia"/>
              </w:rPr>
              <w:alias w:val="单位：使用权资产"/>
              <w:tag w:val="_GBC_f958637710fb400c8900b59a67a7bfeb"/>
              <w:id w:val="-47236336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使用权资产"/>
              <w:tag w:val="_GBC_52957ed8d1644c96801bc28a57ac0486"/>
              <w:id w:val="-20726477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3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1281"/>
            <w:gridCol w:w="1306"/>
            <w:gridCol w:w="1298"/>
            <w:gridCol w:w="1241"/>
            <w:gridCol w:w="1148"/>
            <w:gridCol w:w="1339"/>
          </w:tblGrid>
          <w:tr>
            <w:trPr>
              <w:trHeight w:val="283"/>
            </w:trPr>
            <w:sdt>
              <w:sdtPr>
                <w:tag w:val="_PLD_6e52ac1447e040bbbee6d5db3fc1c995"/>
                <w:id w:val="-1810158900"/>
              </w:sdtPr>
              <w:sdtContent>
                <w:tc>
                  <w:tcPr>
                    <w:tcW w:w="1753" w:type="dxa"/>
                    <w:vAlign w:val="center"/>
                  </w:tcPr>
                  <w:p>
                    <w:pPr>
                      <w:spacing w:line="240" w:lineRule="atLeast"/>
                      <w:jc w:val="center"/>
                    </w:pPr>
                    <w:r>
                      <w:rPr>
                        <w:rFonts w:hint="eastAsia"/>
                      </w:rPr>
                      <w:t>项目</w:t>
                    </w:r>
                  </w:p>
                </w:tc>
              </w:sdtContent>
            </w:sdt>
            <w:tc>
              <w:tcPr>
                <w:tcW w:w="1281" w:type="dxa"/>
                <w:vAlign w:val="center"/>
              </w:tcPr>
              <w:p>
                <w:pPr>
                  <w:spacing w:line="360" w:lineRule="exact"/>
                  <w:jc w:val="center"/>
                  <w:rPr>
                    <w:rFonts w:ascii="宋体" w:hAnsi="宋体" w:cs="宋体"/>
                    <w:color w:val="000000"/>
                    <w:sz w:val="18"/>
                    <w:szCs w:val="18"/>
                  </w:rPr>
                </w:pPr>
                <w:r>
                  <w:rPr>
                    <w:rFonts w:ascii="宋体" w:hAnsi="宋体" w:cs="宋体" w:hint="eastAsia"/>
                    <w:color w:val="000000"/>
                    <w:sz w:val="18"/>
                    <w:szCs w:val="18"/>
                  </w:rPr>
                  <w:t>房屋及</w:t>
                </w:r>
              </w:p>
              <w:p>
                <w:pPr>
                  <w:spacing w:line="240" w:lineRule="atLeast"/>
                  <w:jc w:val="center"/>
                </w:pPr>
                <w:r>
                  <w:rPr>
                    <w:rFonts w:ascii="宋体" w:hAnsi="宋体" w:cs="宋体" w:hint="eastAsia"/>
                    <w:color w:val="000000"/>
                    <w:sz w:val="18"/>
                    <w:szCs w:val="18"/>
                  </w:rPr>
                  <w:t>建筑物</w:t>
                </w:r>
              </w:p>
            </w:tc>
            <w:tc>
              <w:tcPr>
                <w:tcW w:w="1306" w:type="dxa"/>
                <w:vAlign w:val="center"/>
              </w:tcPr>
              <w:p>
                <w:pPr>
                  <w:spacing w:line="240" w:lineRule="atLeast"/>
                  <w:jc w:val="center"/>
                </w:pPr>
                <w:r>
                  <w:rPr>
                    <w:rFonts w:ascii="宋体" w:hAnsi="宋体" w:cs="宋体" w:hint="eastAsia"/>
                    <w:color w:val="000000"/>
                    <w:sz w:val="18"/>
                    <w:szCs w:val="18"/>
                  </w:rPr>
                  <w:t>地面建筑物</w:t>
                </w:r>
              </w:p>
            </w:tc>
            <w:tc>
              <w:tcPr>
                <w:tcW w:w="1298" w:type="dxa"/>
                <w:vAlign w:val="center"/>
              </w:tcPr>
              <w:p>
                <w:pPr>
                  <w:spacing w:line="240" w:lineRule="atLeast"/>
                  <w:jc w:val="center"/>
                </w:pPr>
                <w:r>
                  <w:rPr>
                    <w:rFonts w:ascii="宋体" w:hAnsi="宋体" w:cs="宋体" w:hint="eastAsia"/>
                    <w:color w:val="000000"/>
                    <w:sz w:val="18"/>
                    <w:szCs w:val="18"/>
                  </w:rPr>
                  <w:t>机器设备</w:t>
                </w:r>
              </w:p>
            </w:tc>
            <w:tc>
              <w:tcPr>
                <w:tcW w:w="1241" w:type="dxa"/>
                <w:vAlign w:val="center"/>
              </w:tcPr>
              <w:p>
                <w:pPr>
                  <w:spacing w:line="240" w:lineRule="atLeast"/>
                  <w:jc w:val="center"/>
                </w:pPr>
                <w:r>
                  <w:rPr>
                    <w:rFonts w:ascii="宋体" w:hAnsi="宋体" w:cs="宋体" w:hint="eastAsia"/>
                    <w:color w:val="000000"/>
                    <w:sz w:val="18"/>
                    <w:szCs w:val="18"/>
                  </w:rPr>
                  <w:t>运输设备</w:t>
                </w:r>
              </w:p>
            </w:tc>
            <w:tc>
              <w:tcPr>
                <w:tcW w:w="1148" w:type="dxa"/>
                <w:vAlign w:val="center"/>
              </w:tcPr>
              <w:p>
                <w:pPr>
                  <w:spacing w:line="240" w:lineRule="atLeast"/>
                  <w:jc w:val="center"/>
                </w:pPr>
                <w:r>
                  <w:rPr>
                    <w:rFonts w:ascii="宋体" w:hAnsi="宋体" w:cs="宋体" w:hint="eastAsia"/>
                    <w:color w:val="000000"/>
                    <w:sz w:val="18"/>
                    <w:szCs w:val="18"/>
                  </w:rPr>
                  <w:t>其他</w:t>
                </w:r>
              </w:p>
            </w:tc>
            <w:sdt>
              <w:sdtPr>
                <w:tag w:val="_PLD_9c5be9b6ed044311be8a2370c18f35f0"/>
                <w:id w:val="499158865"/>
              </w:sdtPr>
              <w:sdtContent>
                <w:tc>
                  <w:tcPr>
                    <w:tcW w:w="1339" w:type="dxa"/>
                    <w:vAlign w:val="center"/>
                  </w:tcPr>
                  <w:p>
                    <w:pPr>
                      <w:spacing w:line="240" w:lineRule="atLeast"/>
                      <w:jc w:val="center"/>
                    </w:pPr>
                    <w:r>
                      <w:t>合计</w:t>
                    </w:r>
                  </w:p>
                </w:tc>
              </w:sdtContent>
            </w:sdt>
          </w:tr>
          <w:tr>
            <w:trPr>
              <w:trHeight w:val="283"/>
            </w:trPr>
            <w:sdt>
              <w:sdtPr>
                <w:tag w:val="_PLD_3548dba12ab44fffb8352baf0a2432b0"/>
                <w:id w:val="1976562440"/>
              </w:sdtPr>
              <w:sdtContent>
                <w:tc>
                  <w:tcPr>
                    <w:tcW w:w="9366" w:type="dxa"/>
                    <w:gridSpan w:val="7"/>
                    <w:vAlign w:val="center"/>
                  </w:tcPr>
                  <w:p>
                    <w:pPr>
                      <w:spacing w:line="240" w:lineRule="atLeast"/>
                    </w:pPr>
                    <w:r>
                      <w:t>一、</w:t>
                    </w:r>
                    <w:r>
                      <w:rPr>
                        <w:rFonts w:hint="eastAsia"/>
                      </w:rPr>
                      <w:t>账面</w:t>
                    </w:r>
                    <w:r>
                      <w:t>原</w:t>
                    </w:r>
                    <w:r>
                      <w:rPr>
                        <w:rFonts w:hint="eastAsia"/>
                      </w:rPr>
                      <w:t>值</w:t>
                    </w:r>
                  </w:p>
                </w:tc>
              </w:sdtContent>
            </w:sdt>
          </w:tr>
          <w:tr>
            <w:trPr>
              <w:trHeight w:val="283"/>
            </w:trPr>
            <w:tc>
              <w:tcPr>
                <w:tcW w:w="1753" w:type="dxa"/>
                <w:vAlign w:val="center"/>
              </w:tcPr>
              <w:p>
                <w:pPr>
                  <w:spacing w:line="240" w:lineRule="atLeast"/>
                </w:pPr>
                <w:r>
                  <w:t>1.</w:t>
                </w:r>
                <w:r>
                  <w:rPr>
                    <w:rFonts w:hint="eastAsia"/>
                  </w:rPr>
                  <w:t>期</w:t>
                </w:r>
                <w:r>
                  <w:t>初余额</w:t>
                </w:r>
              </w:p>
            </w:tc>
            <w:tc>
              <w:tcPr>
                <w:tcW w:w="1281" w:type="dxa"/>
                <w:vAlign w:val="center"/>
              </w:tcPr>
              <w:p>
                <w:pPr>
                  <w:spacing w:line="240" w:lineRule="atLeast"/>
                  <w:ind w:firstLineChars="200" w:firstLine="420"/>
                  <w:jc w:val="right"/>
                </w:pPr>
                <w:r>
                  <w:rPr>
                    <w:rFonts w:ascii="宋体" w:hAnsi="宋体" w:cs="宋体" w:hint="eastAsia"/>
                  </w:rPr>
                  <w:t>94,826</w:t>
                </w:r>
              </w:p>
            </w:tc>
            <w:tc>
              <w:tcPr>
                <w:tcW w:w="1306" w:type="dxa"/>
                <w:vAlign w:val="center"/>
              </w:tcPr>
              <w:p>
                <w:pPr>
                  <w:spacing w:line="240" w:lineRule="atLeast"/>
                  <w:ind w:firstLineChars="200" w:firstLine="420"/>
                  <w:jc w:val="right"/>
                </w:pPr>
                <w:r>
                  <w:rPr>
                    <w:rFonts w:ascii="宋体" w:hAnsi="宋体" w:cs="宋体" w:hint="eastAsia"/>
                  </w:rPr>
                  <w:t>32,409</w:t>
                </w:r>
              </w:p>
            </w:tc>
            <w:tc>
              <w:tcPr>
                <w:tcW w:w="1298" w:type="dxa"/>
                <w:vAlign w:val="center"/>
              </w:tcPr>
              <w:p>
                <w:pPr>
                  <w:spacing w:line="240" w:lineRule="atLeast"/>
                  <w:ind w:firstLineChars="200" w:firstLine="420"/>
                  <w:jc w:val="right"/>
                </w:pPr>
                <w:r>
                  <w:rPr>
                    <w:rFonts w:ascii="宋体" w:hAnsi="宋体" w:cs="宋体" w:hint="eastAsia"/>
                  </w:rPr>
                  <w:t>1,164,928</w:t>
                </w:r>
              </w:p>
            </w:tc>
            <w:tc>
              <w:tcPr>
                <w:tcW w:w="1241" w:type="dxa"/>
                <w:vAlign w:val="center"/>
              </w:tcPr>
              <w:p>
                <w:pPr>
                  <w:spacing w:line="240" w:lineRule="atLeast"/>
                  <w:ind w:firstLineChars="200" w:firstLine="420"/>
                  <w:jc w:val="right"/>
                </w:pPr>
                <w:r>
                  <w:rPr>
                    <w:rFonts w:ascii="宋体" w:hAnsi="宋体" w:cs="宋体" w:hint="eastAsia"/>
                  </w:rPr>
                  <w:t>3,858</w:t>
                </w:r>
              </w:p>
            </w:tc>
            <w:tc>
              <w:tcPr>
                <w:tcW w:w="1148" w:type="dxa"/>
                <w:vAlign w:val="center"/>
              </w:tcPr>
              <w:p>
                <w:pPr>
                  <w:spacing w:line="240" w:lineRule="atLeast"/>
                  <w:ind w:firstLineChars="200" w:firstLine="420"/>
                  <w:jc w:val="right"/>
                </w:pPr>
                <w:r>
                  <w:rPr>
                    <w:rFonts w:ascii="宋体" w:hAnsi="宋体" w:cs="宋体" w:hint="eastAsia"/>
                  </w:rPr>
                  <w:t>66,506</w:t>
                </w:r>
              </w:p>
            </w:tc>
            <w:tc>
              <w:tcPr>
                <w:tcW w:w="1339" w:type="dxa"/>
                <w:vAlign w:val="center"/>
              </w:tcPr>
              <w:p>
                <w:pPr>
                  <w:spacing w:line="240" w:lineRule="atLeast"/>
                  <w:jc w:val="right"/>
                </w:pPr>
                <w:r>
                  <w:rPr>
                    <w:rFonts w:ascii="宋体" w:hAnsi="宋体" w:cs="宋体" w:hint="eastAsia"/>
                  </w:rPr>
                  <w:t>1,362,527</w:t>
                </w:r>
              </w:p>
            </w:tc>
          </w:tr>
          <w:tr>
            <w:trPr>
              <w:trHeight w:val="283"/>
            </w:trPr>
            <w:tc>
              <w:tcPr>
                <w:tcW w:w="1753" w:type="dxa"/>
                <w:vAlign w:val="center"/>
              </w:tcPr>
              <w:p>
                <w:pPr>
                  <w:spacing w:line="240" w:lineRule="atLeast"/>
                </w:pPr>
                <w:r>
                  <w:t>2.</w:t>
                </w:r>
                <w:r>
                  <w:t>本期增加</w:t>
                </w:r>
                <w:r>
                  <w:rPr>
                    <w:rFonts w:hint="eastAsia"/>
                  </w:rPr>
                  <w:t>金额</w:t>
                </w:r>
              </w:p>
            </w:tc>
            <w:tc>
              <w:tcPr>
                <w:tcW w:w="1281" w:type="dxa"/>
                <w:vAlign w:val="center"/>
              </w:tcPr>
              <w:p>
                <w:pPr>
                  <w:spacing w:line="240" w:lineRule="atLeast"/>
                  <w:jc w:val="right"/>
                </w:pPr>
                <w:r>
                  <w:rPr>
                    <w:rFonts w:ascii="宋体" w:hAnsi="宋体" w:cs="宋体" w:hint="eastAsia"/>
                  </w:rPr>
                  <w:t>41,853</w:t>
                </w:r>
              </w:p>
            </w:tc>
            <w:tc>
              <w:tcPr>
                <w:tcW w:w="1306" w:type="dxa"/>
                <w:vAlign w:val="center"/>
              </w:tcPr>
              <w:p>
                <w:pPr>
                  <w:spacing w:line="240" w:lineRule="atLeast"/>
                  <w:jc w:val="right"/>
                </w:pPr>
                <w:r>
                  <w:rPr>
                    <w:rFonts w:ascii="宋体" w:hAnsi="宋体" w:cs="宋体" w:hint="eastAsia"/>
                  </w:rPr>
                  <w:t>69,246</w:t>
                </w:r>
              </w:p>
            </w:tc>
            <w:tc>
              <w:tcPr>
                <w:tcW w:w="1298" w:type="dxa"/>
                <w:vAlign w:val="center"/>
              </w:tcPr>
              <w:p>
                <w:pPr>
                  <w:spacing w:line="240" w:lineRule="atLeast"/>
                  <w:jc w:val="right"/>
                </w:pPr>
                <w:r>
                  <w:rPr>
                    <w:rFonts w:ascii="宋体" w:hAnsi="宋体" w:cs="宋体" w:hint="eastAsia"/>
                  </w:rPr>
                  <w:t>233,396</w:t>
                </w:r>
              </w:p>
            </w:tc>
            <w:tc>
              <w:tcPr>
                <w:tcW w:w="1241" w:type="dxa"/>
                <w:vAlign w:val="center"/>
              </w:tcPr>
              <w:p>
                <w:pPr>
                  <w:spacing w:line="240" w:lineRule="atLeast"/>
                  <w:jc w:val="right"/>
                </w:pPr>
                <w:r>
                  <w:rPr>
                    <w:rFonts w:ascii="宋体" w:hAnsi="宋体" w:cs="宋体" w:hint="eastAsia"/>
                  </w:rPr>
                  <w:t>798</w:t>
                </w:r>
              </w:p>
            </w:tc>
            <w:tc>
              <w:tcPr>
                <w:tcW w:w="1148" w:type="dxa"/>
                <w:vAlign w:val="center"/>
              </w:tcPr>
              <w:p>
                <w:pPr>
                  <w:spacing w:line="240" w:lineRule="atLeast"/>
                  <w:jc w:val="right"/>
                </w:pPr>
                <w:r>
                  <w:rPr>
                    <w:rFonts w:ascii="宋体" w:hAnsi="宋体" w:cs="宋体" w:hint="eastAsia"/>
                  </w:rPr>
                  <w:t>1,574</w:t>
                </w:r>
              </w:p>
            </w:tc>
            <w:tc>
              <w:tcPr>
                <w:tcW w:w="1339" w:type="dxa"/>
                <w:vAlign w:val="center"/>
              </w:tcPr>
              <w:p>
                <w:pPr>
                  <w:spacing w:line="240" w:lineRule="atLeast"/>
                  <w:jc w:val="right"/>
                </w:pPr>
                <w:r>
                  <w:rPr>
                    <w:rFonts w:ascii="宋体" w:hAnsi="宋体" w:cs="宋体" w:hint="eastAsia"/>
                  </w:rPr>
                  <w:t>346,867</w:t>
                </w:r>
              </w:p>
            </w:tc>
          </w:tr>
          <w:tr>
            <w:trPr>
              <w:trHeight w:val="283"/>
            </w:trPr>
            <w:tc>
              <w:tcPr>
                <w:tcW w:w="1753" w:type="dxa"/>
                <w:vAlign w:val="center"/>
              </w:tcPr>
              <w:p>
                <w:pPr>
                  <w:spacing w:line="240" w:lineRule="atLeast"/>
                </w:pPr>
                <w:r>
                  <w:rPr>
                    <w:rFonts w:ascii="宋体" w:hAnsi="宋体" w:cs="宋体" w:hint="eastAsia"/>
                    <w:color w:val="000000"/>
                    <w:sz w:val="18"/>
                    <w:szCs w:val="18"/>
                  </w:rPr>
                  <w:t>（1）租入</w:t>
                </w:r>
              </w:p>
            </w:tc>
            <w:tc>
              <w:tcPr>
                <w:tcW w:w="1281" w:type="dxa"/>
                <w:vAlign w:val="center"/>
              </w:tcPr>
              <w:p>
                <w:pPr>
                  <w:spacing w:line="240" w:lineRule="atLeast"/>
                  <w:jc w:val="right"/>
                </w:pPr>
                <w:r>
                  <w:rPr>
                    <w:rFonts w:ascii="宋体" w:hAnsi="宋体" w:cs="宋体" w:hint="eastAsia"/>
                  </w:rPr>
                  <w:t>41,853</w:t>
                </w:r>
              </w:p>
            </w:tc>
            <w:tc>
              <w:tcPr>
                <w:tcW w:w="1306" w:type="dxa"/>
                <w:vAlign w:val="center"/>
              </w:tcPr>
              <w:p>
                <w:pPr>
                  <w:spacing w:line="240" w:lineRule="atLeast"/>
                  <w:jc w:val="right"/>
                </w:pPr>
                <w:r>
                  <w:rPr>
                    <w:rFonts w:ascii="宋体" w:hAnsi="宋体" w:cs="宋体" w:hint="eastAsia"/>
                  </w:rPr>
                  <w:t>69,246</w:t>
                </w:r>
              </w:p>
            </w:tc>
            <w:tc>
              <w:tcPr>
                <w:tcW w:w="1298" w:type="dxa"/>
                <w:vAlign w:val="center"/>
              </w:tcPr>
              <w:p>
                <w:pPr>
                  <w:spacing w:line="240" w:lineRule="atLeast"/>
                  <w:jc w:val="right"/>
                </w:pPr>
                <w:r>
                  <w:rPr>
                    <w:rFonts w:ascii="宋体" w:hAnsi="宋体" w:cs="宋体" w:hint="eastAsia"/>
                  </w:rPr>
                  <w:t>232,643</w:t>
                </w:r>
              </w:p>
            </w:tc>
            <w:tc>
              <w:tcPr>
                <w:tcW w:w="1241" w:type="dxa"/>
                <w:vAlign w:val="center"/>
              </w:tcPr>
              <w:p>
                <w:pPr>
                  <w:spacing w:line="240" w:lineRule="atLeast"/>
                  <w:jc w:val="right"/>
                </w:pPr>
                <w:r>
                  <w:rPr>
                    <w:rFonts w:ascii="宋体" w:hAnsi="宋体" w:cs="宋体" w:hint="eastAsia"/>
                  </w:rPr>
                  <w:t>798</w:t>
                </w:r>
              </w:p>
            </w:tc>
            <w:tc>
              <w:tcPr>
                <w:tcW w:w="1148" w:type="dxa"/>
                <w:vAlign w:val="center"/>
              </w:tcPr>
              <w:p>
                <w:pPr>
                  <w:spacing w:line="240" w:lineRule="atLeast"/>
                  <w:jc w:val="right"/>
                </w:pPr>
                <w:r>
                  <w:rPr>
                    <w:rFonts w:ascii="宋体" w:hAnsi="宋体" w:cs="宋体" w:hint="eastAsia"/>
                  </w:rPr>
                  <w:t>1,574</w:t>
                </w:r>
              </w:p>
            </w:tc>
            <w:tc>
              <w:tcPr>
                <w:tcW w:w="1339" w:type="dxa"/>
                <w:vAlign w:val="center"/>
              </w:tcPr>
              <w:p>
                <w:pPr>
                  <w:spacing w:line="240" w:lineRule="atLeast"/>
                  <w:jc w:val="right"/>
                </w:pPr>
                <w:r>
                  <w:rPr>
                    <w:rFonts w:ascii="宋体" w:hAnsi="宋体" w:cs="宋体" w:hint="eastAsia"/>
                  </w:rPr>
                  <w:t>346,114</w:t>
                </w:r>
              </w:p>
            </w:tc>
          </w:tr>
          <w:tr>
            <w:trPr>
              <w:trHeight w:val="283"/>
            </w:trPr>
            <w:tc>
              <w:tcPr>
                <w:tcW w:w="1753" w:type="dxa"/>
                <w:vAlign w:val="center"/>
              </w:tcPr>
              <w:p>
                <w:pPr>
                  <w:spacing w:line="240" w:lineRule="atLeast"/>
                </w:pPr>
                <w:r>
                  <w:rPr>
                    <w:rFonts w:ascii="宋体" w:hAnsi="宋体" w:cs="宋体" w:hint="eastAsia"/>
                    <w:color w:val="000000"/>
                    <w:sz w:val="18"/>
                    <w:szCs w:val="18"/>
                  </w:rPr>
                  <w:t>（2）其它</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753</w:t>
                </w: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r>
                  <w:rPr>
                    <w:rFonts w:ascii="宋体" w:hAnsi="宋体" w:cs="宋体" w:hint="eastAsia"/>
                  </w:rPr>
                  <w:t>753</w:t>
                </w:r>
              </w:p>
            </w:tc>
          </w:tr>
          <w:tr>
            <w:trPr>
              <w:trHeight w:val="283"/>
            </w:trPr>
            <w:tc>
              <w:tcPr>
                <w:tcW w:w="1753" w:type="dxa"/>
                <w:vAlign w:val="center"/>
              </w:tcPr>
              <w:p>
                <w:pPr>
                  <w:spacing w:line="240" w:lineRule="atLeast"/>
                </w:pPr>
                <w:r>
                  <w:t>3.</w:t>
                </w:r>
                <w:r>
                  <w:t>本期减少</w:t>
                </w:r>
                <w:r>
                  <w:rPr>
                    <w:rFonts w:hint="eastAsia"/>
                  </w:rPr>
                  <w:t>金额</w:t>
                </w:r>
              </w:p>
            </w:tc>
            <w:tc>
              <w:tcPr>
                <w:tcW w:w="1281" w:type="dxa"/>
                <w:vAlign w:val="center"/>
              </w:tcPr>
              <w:p>
                <w:pPr>
                  <w:spacing w:line="240" w:lineRule="atLeast"/>
                  <w:jc w:val="right"/>
                </w:pPr>
                <w:r>
                  <w:rPr>
                    <w:rFonts w:ascii="宋体" w:hAnsi="宋体" w:cs="宋体" w:hint="eastAsia"/>
                  </w:rPr>
                  <w:t>12,354</w:t>
                </w:r>
              </w:p>
            </w:tc>
            <w:tc>
              <w:tcPr>
                <w:tcW w:w="1306" w:type="dxa"/>
                <w:vAlign w:val="center"/>
              </w:tcPr>
              <w:p>
                <w:pPr>
                  <w:spacing w:line="240" w:lineRule="atLeast"/>
                  <w:jc w:val="right"/>
                </w:pPr>
                <w:r>
                  <w:rPr>
                    <w:rFonts w:ascii="宋体" w:hAnsi="宋体" w:cs="宋体" w:hint="eastAsia"/>
                  </w:rPr>
                  <w:t>208</w:t>
                </w:r>
              </w:p>
            </w:tc>
            <w:tc>
              <w:tcPr>
                <w:tcW w:w="1298" w:type="dxa"/>
                <w:vAlign w:val="center"/>
              </w:tcPr>
              <w:p>
                <w:pPr>
                  <w:spacing w:line="240" w:lineRule="atLeast"/>
                  <w:jc w:val="right"/>
                </w:pPr>
                <w:r>
                  <w:rPr>
                    <w:rFonts w:ascii="宋体" w:hAnsi="宋体" w:cs="宋体" w:hint="eastAsia"/>
                  </w:rPr>
                  <w:t>365,388</w:t>
                </w:r>
              </w:p>
            </w:tc>
            <w:tc>
              <w:tcPr>
                <w:tcW w:w="1241" w:type="dxa"/>
                <w:vAlign w:val="center"/>
              </w:tcPr>
              <w:p>
                <w:pPr>
                  <w:spacing w:line="240" w:lineRule="atLeast"/>
                  <w:jc w:val="right"/>
                </w:pPr>
              </w:p>
            </w:tc>
            <w:tc>
              <w:tcPr>
                <w:tcW w:w="1148" w:type="dxa"/>
                <w:vAlign w:val="center"/>
              </w:tcPr>
              <w:p>
                <w:pPr>
                  <w:spacing w:line="240" w:lineRule="atLeast"/>
                  <w:jc w:val="right"/>
                </w:pPr>
                <w:r>
                  <w:rPr>
                    <w:rFonts w:ascii="宋体" w:hAnsi="宋体" w:cs="宋体" w:hint="eastAsia"/>
                  </w:rPr>
                  <w:t>16,015</w:t>
                </w:r>
              </w:p>
            </w:tc>
            <w:tc>
              <w:tcPr>
                <w:tcW w:w="1339" w:type="dxa"/>
                <w:vAlign w:val="center"/>
              </w:tcPr>
              <w:p>
                <w:pPr>
                  <w:spacing w:line="240" w:lineRule="atLeast"/>
                  <w:jc w:val="right"/>
                </w:pPr>
                <w:r>
                  <w:rPr>
                    <w:rFonts w:ascii="宋体" w:hAnsi="宋体" w:cs="宋体" w:hint="eastAsia"/>
                  </w:rPr>
                  <w:t>393,965</w:t>
                </w:r>
              </w:p>
            </w:tc>
          </w:tr>
          <w:tr>
            <w:trPr>
              <w:trHeight w:val="283"/>
            </w:trPr>
            <w:tc>
              <w:tcPr>
                <w:tcW w:w="1753" w:type="dxa"/>
                <w:vAlign w:val="center"/>
              </w:tcPr>
              <w:p>
                <w:pPr>
                  <w:spacing w:line="240" w:lineRule="atLeast"/>
                </w:pPr>
                <w:r>
                  <w:rPr>
                    <w:rFonts w:ascii="宋体" w:hAnsi="宋体" w:cs="宋体" w:hint="eastAsia"/>
                    <w:color w:val="000000"/>
                    <w:sz w:val="18"/>
                    <w:szCs w:val="18"/>
                  </w:rPr>
                  <w:t>（1）处置或报废</w:t>
                </w:r>
              </w:p>
            </w:tc>
            <w:tc>
              <w:tcPr>
                <w:tcW w:w="1281" w:type="dxa"/>
                <w:vAlign w:val="center"/>
              </w:tcPr>
              <w:p>
                <w:pPr>
                  <w:spacing w:line="240" w:lineRule="atLeast"/>
                  <w:jc w:val="right"/>
                </w:pPr>
                <w:r>
                  <w:rPr>
                    <w:rFonts w:ascii="宋体" w:hAnsi="宋体" w:cs="宋体" w:hint="eastAsia"/>
                  </w:rPr>
                  <w:t>622</w:t>
                </w: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337,216</w:t>
                </w:r>
              </w:p>
            </w:tc>
            <w:tc>
              <w:tcPr>
                <w:tcW w:w="1241" w:type="dxa"/>
                <w:vAlign w:val="center"/>
              </w:tcPr>
              <w:p>
                <w:pPr>
                  <w:spacing w:line="240" w:lineRule="atLeast"/>
                  <w:jc w:val="right"/>
                </w:pPr>
              </w:p>
            </w:tc>
            <w:tc>
              <w:tcPr>
                <w:tcW w:w="1148" w:type="dxa"/>
                <w:vAlign w:val="center"/>
              </w:tcPr>
              <w:p>
                <w:pPr>
                  <w:spacing w:line="240" w:lineRule="atLeast"/>
                  <w:jc w:val="right"/>
                </w:pPr>
                <w:r>
                  <w:rPr>
                    <w:rFonts w:ascii="宋体" w:hAnsi="宋体" w:cs="宋体" w:hint="eastAsia"/>
                  </w:rPr>
                  <w:t>6,446</w:t>
                </w:r>
              </w:p>
            </w:tc>
            <w:tc>
              <w:tcPr>
                <w:tcW w:w="1339" w:type="dxa"/>
                <w:vAlign w:val="center"/>
              </w:tcPr>
              <w:p>
                <w:pPr>
                  <w:spacing w:line="240" w:lineRule="atLeast"/>
                  <w:jc w:val="right"/>
                </w:pPr>
                <w:r>
                  <w:rPr>
                    <w:rFonts w:ascii="宋体" w:hAnsi="宋体" w:cs="宋体" w:hint="eastAsia"/>
                  </w:rPr>
                  <w:t>344,284</w:t>
                </w:r>
              </w:p>
            </w:tc>
          </w:tr>
          <w:tr>
            <w:trPr>
              <w:trHeight w:val="283"/>
            </w:trPr>
            <w:tc>
              <w:tcPr>
                <w:tcW w:w="1753" w:type="dxa"/>
                <w:vAlign w:val="center"/>
              </w:tcPr>
              <w:p>
                <w:pPr>
                  <w:spacing w:line="240" w:lineRule="atLeast"/>
                </w:pPr>
                <w:r>
                  <w:rPr>
                    <w:rFonts w:ascii="宋体" w:hAnsi="宋体" w:cs="宋体" w:hint="eastAsia"/>
                    <w:sz w:val="18"/>
                    <w:szCs w:val="18"/>
                  </w:rPr>
                  <w:t>（2）其它</w:t>
                </w:r>
              </w:p>
            </w:tc>
            <w:tc>
              <w:tcPr>
                <w:tcW w:w="1281" w:type="dxa"/>
                <w:vAlign w:val="center"/>
              </w:tcPr>
              <w:p>
                <w:pPr>
                  <w:spacing w:line="240" w:lineRule="atLeast"/>
                  <w:jc w:val="right"/>
                </w:pPr>
                <w:r>
                  <w:rPr>
                    <w:rFonts w:ascii="宋体" w:hAnsi="宋体" w:cs="宋体" w:hint="eastAsia"/>
                  </w:rPr>
                  <w:t>11,732</w:t>
                </w:r>
              </w:p>
            </w:tc>
            <w:tc>
              <w:tcPr>
                <w:tcW w:w="1306" w:type="dxa"/>
                <w:vAlign w:val="center"/>
              </w:tcPr>
              <w:p>
                <w:pPr>
                  <w:spacing w:line="240" w:lineRule="atLeast"/>
                  <w:jc w:val="right"/>
                </w:pPr>
                <w:r>
                  <w:rPr>
                    <w:rFonts w:ascii="宋体" w:hAnsi="宋体" w:cs="宋体" w:hint="eastAsia"/>
                  </w:rPr>
                  <w:t>208</w:t>
                </w:r>
              </w:p>
            </w:tc>
            <w:tc>
              <w:tcPr>
                <w:tcW w:w="1298" w:type="dxa"/>
                <w:vAlign w:val="center"/>
              </w:tcPr>
              <w:p>
                <w:pPr>
                  <w:spacing w:line="240" w:lineRule="atLeast"/>
                  <w:jc w:val="right"/>
                </w:pPr>
                <w:r>
                  <w:rPr>
                    <w:rFonts w:ascii="宋体" w:hAnsi="宋体" w:cs="宋体" w:hint="eastAsia"/>
                  </w:rPr>
                  <w:t>28,172</w:t>
                </w:r>
              </w:p>
            </w:tc>
            <w:tc>
              <w:tcPr>
                <w:tcW w:w="1241" w:type="dxa"/>
                <w:vAlign w:val="center"/>
              </w:tcPr>
              <w:p>
                <w:pPr>
                  <w:spacing w:line="240" w:lineRule="atLeast"/>
                  <w:jc w:val="right"/>
                </w:pPr>
              </w:p>
            </w:tc>
            <w:tc>
              <w:tcPr>
                <w:tcW w:w="1148" w:type="dxa"/>
                <w:vAlign w:val="center"/>
              </w:tcPr>
              <w:p>
                <w:pPr>
                  <w:spacing w:line="240" w:lineRule="atLeast"/>
                  <w:jc w:val="right"/>
                </w:pPr>
                <w:r>
                  <w:rPr>
                    <w:rFonts w:ascii="宋体" w:hAnsi="宋体" w:cs="宋体" w:hint="eastAsia"/>
                  </w:rPr>
                  <w:t>9,569</w:t>
                </w:r>
              </w:p>
            </w:tc>
            <w:tc>
              <w:tcPr>
                <w:tcW w:w="1339" w:type="dxa"/>
                <w:vAlign w:val="center"/>
              </w:tcPr>
              <w:p>
                <w:pPr>
                  <w:spacing w:line="240" w:lineRule="atLeast"/>
                  <w:jc w:val="right"/>
                </w:pPr>
                <w:r>
                  <w:rPr>
                    <w:rFonts w:ascii="宋体" w:hAnsi="宋体" w:cs="宋体" w:hint="eastAsia"/>
                  </w:rPr>
                  <w:t>49,681</w:t>
                </w:r>
              </w:p>
            </w:tc>
          </w:tr>
          <w:tr>
            <w:trPr>
              <w:trHeight w:val="284"/>
            </w:trPr>
            <w:tc>
              <w:tcPr>
                <w:tcW w:w="1753" w:type="dxa"/>
                <w:vAlign w:val="center"/>
              </w:tcPr>
              <w:p>
                <w:pPr>
                  <w:spacing w:line="240" w:lineRule="atLeast"/>
                </w:pPr>
                <w:r>
                  <w:rPr>
                    <w:rFonts w:hint="eastAsia"/>
                  </w:rPr>
                  <w:t>4.</w:t>
                </w:r>
                <w:r>
                  <w:rPr>
                    <w:rFonts w:hint="eastAsia"/>
                  </w:rPr>
                  <w:t>外币报表折算差额</w:t>
                </w:r>
              </w:p>
            </w:tc>
            <w:tc>
              <w:tcPr>
                <w:tcW w:w="1281" w:type="dxa"/>
                <w:vAlign w:val="center"/>
              </w:tcPr>
              <w:p>
                <w:pPr>
                  <w:spacing w:line="240" w:lineRule="atLeast"/>
                  <w:jc w:val="right"/>
                </w:pPr>
                <w:r>
                  <w:rPr>
                    <w:rFonts w:ascii="宋体" w:hAnsi="宋体" w:cs="宋体" w:hint="eastAsia"/>
                  </w:rPr>
                  <w:t>1,602</w:t>
                </w: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41,732</w:t>
                </w:r>
              </w:p>
            </w:tc>
            <w:tc>
              <w:tcPr>
                <w:tcW w:w="1241" w:type="dxa"/>
                <w:vAlign w:val="center"/>
              </w:tcPr>
              <w:p>
                <w:pPr>
                  <w:spacing w:line="240" w:lineRule="atLeast"/>
                  <w:jc w:val="right"/>
                </w:pPr>
              </w:p>
            </w:tc>
            <w:tc>
              <w:tcPr>
                <w:tcW w:w="1148" w:type="dxa"/>
                <w:vAlign w:val="center"/>
              </w:tcPr>
              <w:p>
                <w:pPr>
                  <w:spacing w:line="240" w:lineRule="atLeast"/>
                  <w:jc w:val="right"/>
                </w:pPr>
                <w:r>
                  <w:rPr>
                    <w:rFonts w:ascii="宋体" w:hAnsi="宋体" w:cs="宋体" w:hint="eastAsia"/>
                  </w:rPr>
                  <w:t>2,085</w:t>
                </w:r>
              </w:p>
            </w:tc>
            <w:tc>
              <w:tcPr>
                <w:tcW w:w="1339" w:type="dxa"/>
                <w:vAlign w:val="center"/>
              </w:tcPr>
              <w:p>
                <w:pPr>
                  <w:spacing w:line="240" w:lineRule="atLeast"/>
                  <w:jc w:val="right"/>
                </w:pPr>
                <w:r>
                  <w:rPr>
                    <w:rFonts w:ascii="宋体" w:hAnsi="宋体" w:cs="宋体" w:hint="eastAsia"/>
                  </w:rPr>
                  <w:t>45,419</w:t>
                </w:r>
              </w:p>
            </w:tc>
          </w:tr>
          <w:tr>
            <w:trPr>
              <w:trHeight w:val="283"/>
            </w:trPr>
            <w:tc>
              <w:tcPr>
                <w:tcW w:w="1753" w:type="dxa"/>
                <w:vAlign w:val="center"/>
              </w:tcPr>
              <w:p>
                <w:pPr>
                  <w:spacing w:line="240" w:lineRule="atLeast"/>
                </w:pPr>
                <w:r>
                  <w:rPr>
                    <w:rFonts w:hint="eastAsia"/>
                  </w:rPr>
                  <w:t>5</w:t>
                </w:r>
                <w:r>
                  <w:t>.</w:t>
                </w:r>
                <w:r>
                  <w:t>期末余额</w:t>
                </w:r>
              </w:p>
            </w:tc>
            <w:tc>
              <w:tcPr>
                <w:tcW w:w="1281" w:type="dxa"/>
                <w:vAlign w:val="center"/>
              </w:tcPr>
              <w:p>
                <w:pPr>
                  <w:spacing w:line="240" w:lineRule="atLeast"/>
                  <w:jc w:val="right"/>
                </w:pPr>
                <w:r>
                  <w:rPr>
                    <w:rFonts w:ascii="宋体" w:hAnsi="宋体" w:cs="宋体" w:hint="eastAsia"/>
                  </w:rPr>
                  <w:t>125,927</w:t>
                </w:r>
              </w:p>
            </w:tc>
            <w:tc>
              <w:tcPr>
                <w:tcW w:w="1306" w:type="dxa"/>
                <w:vAlign w:val="center"/>
              </w:tcPr>
              <w:p>
                <w:pPr>
                  <w:spacing w:line="240" w:lineRule="atLeast"/>
                  <w:jc w:val="right"/>
                </w:pPr>
                <w:r>
                  <w:rPr>
                    <w:rFonts w:ascii="宋体" w:hAnsi="宋体" w:cs="宋体" w:hint="eastAsia"/>
                  </w:rPr>
                  <w:t>101,447</w:t>
                </w:r>
              </w:p>
            </w:tc>
            <w:tc>
              <w:tcPr>
                <w:tcW w:w="1298" w:type="dxa"/>
                <w:vAlign w:val="center"/>
              </w:tcPr>
              <w:p>
                <w:pPr>
                  <w:spacing w:line="240" w:lineRule="atLeast"/>
                  <w:jc w:val="right"/>
                </w:pPr>
                <w:r>
                  <w:rPr>
                    <w:rFonts w:ascii="宋体" w:hAnsi="宋体" w:cs="宋体" w:hint="eastAsia"/>
                  </w:rPr>
                  <w:t>1,074,668</w:t>
                </w:r>
              </w:p>
            </w:tc>
            <w:tc>
              <w:tcPr>
                <w:tcW w:w="1241" w:type="dxa"/>
                <w:vAlign w:val="center"/>
              </w:tcPr>
              <w:p>
                <w:pPr>
                  <w:spacing w:line="240" w:lineRule="atLeast"/>
                  <w:jc w:val="right"/>
                </w:pPr>
                <w:r>
                  <w:rPr>
                    <w:rFonts w:ascii="宋体" w:hAnsi="宋体" w:cs="宋体" w:hint="eastAsia"/>
                  </w:rPr>
                  <w:t>4,656</w:t>
                </w:r>
              </w:p>
            </w:tc>
            <w:tc>
              <w:tcPr>
                <w:tcW w:w="1148" w:type="dxa"/>
                <w:vAlign w:val="center"/>
              </w:tcPr>
              <w:p>
                <w:pPr>
                  <w:spacing w:line="240" w:lineRule="atLeast"/>
                  <w:jc w:val="right"/>
                </w:pPr>
                <w:r>
                  <w:rPr>
                    <w:rFonts w:ascii="宋体" w:hAnsi="宋体" w:cs="宋体" w:hint="eastAsia"/>
                  </w:rPr>
                  <w:t>54,150</w:t>
                </w:r>
              </w:p>
            </w:tc>
            <w:tc>
              <w:tcPr>
                <w:tcW w:w="1339" w:type="dxa"/>
                <w:vAlign w:val="center"/>
              </w:tcPr>
              <w:p>
                <w:pPr>
                  <w:spacing w:line="240" w:lineRule="atLeast"/>
                  <w:jc w:val="right"/>
                </w:pPr>
                <w:r>
                  <w:rPr>
                    <w:rFonts w:ascii="宋体" w:hAnsi="宋体" w:cs="宋体" w:hint="eastAsia"/>
                  </w:rPr>
                  <w:t>1,360,848</w:t>
                </w:r>
              </w:p>
            </w:tc>
          </w:tr>
          <w:tr>
            <w:trPr>
              <w:trHeight w:val="283"/>
            </w:trPr>
            <w:sdt>
              <w:sdtPr>
                <w:tag w:val="_PLD_39b1174f077e44e0af9583631dcb785f"/>
                <w:id w:val="-251429292"/>
              </w:sdtPr>
              <w:sdtContent>
                <w:tc>
                  <w:tcPr>
                    <w:tcW w:w="9366" w:type="dxa"/>
                    <w:gridSpan w:val="7"/>
                    <w:vAlign w:val="center"/>
                  </w:tcPr>
                  <w:p>
                    <w:pPr>
                      <w:spacing w:line="240" w:lineRule="atLeast"/>
                    </w:pPr>
                    <w:r>
                      <w:t>二、累计折旧</w:t>
                    </w:r>
                  </w:p>
                </w:tc>
              </w:sdtContent>
            </w:sdt>
          </w:tr>
          <w:tr>
            <w:trPr>
              <w:trHeight w:val="283"/>
            </w:trPr>
            <w:tc>
              <w:tcPr>
                <w:tcW w:w="1753" w:type="dxa"/>
                <w:vAlign w:val="center"/>
              </w:tcPr>
              <w:p>
                <w:pPr>
                  <w:spacing w:line="240" w:lineRule="atLeast"/>
                </w:pPr>
                <w:r>
                  <w:rPr>
                    <w:rFonts w:hint="eastAsia"/>
                  </w:rPr>
                  <w:t>1.</w:t>
                </w:r>
                <w:r>
                  <w:rPr>
                    <w:rFonts w:hint="eastAsia"/>
                  </w:rPr>
                  <w:t>期</w:t>
                </w:r>
                <w:r>
                  <w:t>初余额</w:t>
                </w:r>
              </w:p>
            </w:tc>
            <w:tc>
              <w:tcPr>
                <w:tcW w:w="1281" w:type="dxa"/>
                <w:vAlign w:val="center"/>
              </w:tcPr>
              <w:p>
                <w:pPr>
                  <w:spacing w:line="240" w:lineRule="atLeast"/>
                  <w:jc w:val="right"/>
                </w:pPr>
                <w:r>
                  <w:rPr>
                    <w:rFonts w:ascii="宋体" w:hAnsi="宋体" w:cs="宋体" w:hint="eastAsia"/>
                  </w:rPr>
                  <w:t>51,636</w:t>
                </w:r>
              </w:p>
            </w:tc>
            <w:tc>
              <w:tcPr>
                <w:tcW w:w="1306" w:type="dxa"/>
                <w:vAlign w:val="center"/>
              </w:tcPr>
              <w:p>
                <w:pPr>
                  <w:spacing w:line="240" w:lineRule="atLeast"/>
                  <w:jc w:val="right"/>
                </w:pPr>
                <w:r>
                  <w:rPr>
                    <w:rFonts w:ascii="宋体" w:hAnsi="宋体" w:cs="宋体" w:hint="eastAsia"/>
                  </w:rPr>
                  <w:t>20,401</w:t>
                </w:r>
              </w:p>
            </w:tc>
            <w:tc>
              <w:tcPr>
                <w:tcW w:w="1298" w:type="dxa"/>
                <w:vAlign w:val="center"/>
              </w:tcPr>
              <w:p>
                <w:pPr>
                  <w:spacing w:line="240" w:lineRule="atLeast"/>
                  <w:jc w:val="right"/>
                </w:pPr>
                <w:r>
                  <w:rPr>
                    <w:rFonts w:ascii="宋体" w:hAnsi="宋体" w:cs="宋体" w:hint="eastAsia"/>
                  </w:rPr>
                  <w:t>641,665</w:t>
                </w:r>
              </w:p>
            </w:tc>
            <w:tc>
              <w:tcPr>
                <w:tcW w:w="1241" w:type="dxa"/>
                <w:vAlign w:val="center"/>
              </w:tcPr>
              <w:p>
                <w:pPr>
                  <w:spacing w:line="240" w:lineRule="atLeast"/>
                  <w:jc w:val="right"/>
                </w:pPr>
                <w:r>
                  <w:rPr>
                    <w:rFonts w:ascii="宋体" w:hAnsi="宋体" w:cs="宋体" w:hint="eastAsia"/>
                  </w:rPr>
                  <w:t>1,362</w:t>
                </w:r>
              </w:p>
            </w:tc>
            <w:tc>
              <w:tcPr>
                <w:tcW w:w="1148" w:type="dxa"/>
                <w:vAlign w:val="center"/>
              </w:tcPr>
              <w:p>
                <w:pPr>
                  <w:spacing w:line="240" w:lineRule="atLeast"/>
                  <w:jc w:val="right"/>
                </w:pPr>
                <w:r>
                  <w:rPr>
                    <w:rFonts w:ascii="宋体" w:hAnsi="宋体" w:cs="宋体" w:hint="eastAsia"/>
                  </w:rPr>
                  <w:t>21,174</w:t>
                </w:r>
              </w:p>
            </w:tc>
            <w:tc>
              <w:tcPr>
                <w:tcW w:w="1339" w:type="dxa"/>
                <w:vAlign w:val="center"/>
              </w:tcPr>
              <w:p>
                <w:pPr>
                  <w:spacing w:line="240" w:lineRule="atLeast"/>
                  <w:jc w:val="right"/>
                </w:pPr>
                <w:r>
                  <w:rPr>
                    <w:rFonts w:ascii="宋体" w:hAnsi="宋体" w:cs="宋体" w:hint="eastAsia"/>
                  </w:rPr>
                  <w:t>736,238</w:t>
                </w:r>
              </w:p>
            </w:tc>
          </w:tr>
          <w:tr>
            <w:trPr>
              <w:trHeight w:val="283"/>
            </w:trPr>
            <w:tc>
              <w:tcPr>
                <w:tcW w:w="1753" w:type="dxa"/>
                <w:vAlign w:val="center"/>
              </w:tcPr>
              <w:p>
                <w:pPr>
                  <w:spacing w:line="240" w:lineRule="atLeast"/>
                </w:pPr>
                <w:r>
                  <w:t>2.</w:t>
                </w:r>
                <w:r>
                  <w:t>本期增加</w:t>
                </w:r>
                <w:r>
                  <w:rPr>
                    <w:rFonts w:hint="eastAsia"/>
                  </w:rPr>
                  <w:t>金额</w:t>
                </w:r>
              </w:p>
            </w:tc>
            <w:tc>
              <w:tcPr>
                <w:tcW w:w="1281" w:type="dxa"/>
                <w:vAlign w:val="center"/>
              </w:tcPr>
              <w:p>
                <w:pPr>
                  <w:spacing w:line="240" w:lineRule="atLeast"/>
                  <w:jc w:val="right"/>
                </w:pPr>
                <w:r>
                  <w:rPr>
                    <w:rFonts w:ascii="宋体" w:hAnsi="宋体" w:cs="宋体" w:hint="eastAsia"/>
                  </w:rPr>
                  <w:t>22,638</w:t>
                </w:r>
              </w:p>
            </w:tc>
            <w:tc>
              <w:tcPr>
                <w:tcW w:w="1306" w:type="dxa"/>
                <w:vAlign w:val="center"/>
              </w:tcPr>
              <w:p>
                <w:pPr>
                  <w:spacing w:line="240" w:lineRule="atLeast"/>
                  <w:jc w:val="right"/>
                </w:pPr>
                <w:r>
                  <w:rPr>
                    <w:rFonts w:ascii="宋体" w:hAnsi="宋体" w:cs="宋体" w:hint="eastAsia"/>
                  </w:rPr>
                  <w:t>21,200</w:t>
                </w:r>
              </w:p>
            </w:tc>
            <w:tc>
              <w:tcPr>
                <w:tcW w:w="1298" w:type="dxa"/>
                <w:vAlign w:val="center"/>
              </w:tcPr>
              <w:p>
                <w:pPr>
                  <w:spacing w:line="240" w:lineRule="atLeast"/>
                  <w:jc w:val="right"/>
                </w:pPr>
                <w:r>
                  <w:rPr>
                    <w:rFonts w:ascii="宋体" w:hAnsi="宋体" w:cs="宋体" w:hint="eastAsia"/>
                  </w:rPr>
                  <w:t>189,517</w:t>
                </w:r>
              </w:p>
            </w:tc>
            <w:tc>
              <w:tcPr>
                <w:tcW w:w="1241" w:type="dxa"/>
                <w:vAlign w:val="center"/>
              </w:tcPr>
              <w:p>
                <w:pPr>
                  <w:spacing w:line="240" w:lineRule="atLeast"/>
                  <w:jc w:val="right"/>
                </w:pPr>
                <w:r>
                  <w:rPr>
                    <w:rFonts w:ascii="宋体" w:hAnsi="宋体" w:cs="宋体" w:hint="eastAsia"/>
                  </w:rPr>
                  <w:t>905</w:t>
                </w:r>
              </w:p>
            </w:tc>
            <w:tc>
              <w:tcPr>
                <w:tcW w:w="1148" w:type="dxa"/>
                <w:vAlign w:val="center"/>
              </w:tcPr>
              <w:p>
                <w:pPr>
                  <w:spacing w:line="240" w:lineRule="atLeast"/>
                  <w:jc w:val="right"/>
                </w:pPr>
                <w:r>
                  <w:rPr>
                    <w:rFonts w:ascii="宋体" w:hAnsi="宋体" w:cs="宋体" w:hint="eastAsia"/>
                  </w:rPr>
                  <w:t>12,233</w:t>
                </w:r>
              </w:p>
            </w:tc>
            <w:tc>
              <w:tcPr>
                <w:tcW w:w="1339" w:type="dxa"/>
                <w:vAlign w:val="center"/>
              </w:tcPr>
              <w:p>
                <w:pPr>
                  <w:spacing w:line="240" w:lineRule="atLeast"/>
                  <w:jc w:val="right"/>
                </w:pPr>
                <w:r>
                  <w:rPr>
                    <w:rFonts w:ascii="宋体" w:hAnsi="宋体" w:cs="宋体" w:hint="eastAsia"/>
                  </w:rPr>
                  <w:t>246,493</w:t>
                </w:r>
              </w:p>
            </w:tc>
          </w:tr>
          <w:tr>
            <w:trPr>
              <w:trHeight w:val="283"/>
            </w:trPr>
            <w:tc>
              <w:tcPr>
                <w:tcW w:w="1753" w:type="dxa"/>
                <w:vAlign w:val="center"/>
              </w:tcPr>
              <w:p>
                <w:pPr>
                  <w:spacing w:line="240" w:lineRule="atLeast"/>
                </w:pPr>
                <w:r>
                  <w:rPr>
                    <w:rFonts w:hint="eastAsia"/>
                  </w:rPr>
                  <w:t>（</w:t>
                </w:r>
                <w:r>
                  <w:rPr>
                    <w:rFonts w:hint="eastAsia"/>
                  </w:rPr>
                  <w:t>1</w:t>
                </w:r>
                <w:r>
                  <w:rPr>
                    <w:rFonts w:hint="eastAsia"/>
                  </w:rPr>
                  <w:t>）</w:t>
                </w:r>
                <w:r>
                  <w:t>计提</w:t>
                </w:r>
              </w:p>
            </w:tc>
            <w:tc>
              <w:tcPr>
                <w:tcW w:w="1281" w:type="dxa"/>
                <w:vAlign w:val="center"/>
              </w:tcPr>
              <w:p>
                <w:pPr>
                  <w:spacing w:line="240" w:lineRule="atLeast"/>
                  <w:jc w:val="right"/>
                </w:pPr>
                <w:r>
                  <w:rPr>
                    <w:rFonts w:ascii="宋体" w:hAnsi="宋体" w:cs="宋体" w:hint="eastAsia"/>
                    <w:color w:val="000000"/>
                  </w:rPr>
                  <w:t>22,638</w:t>
                </w:r>
              </w:p>
            </w:tc>
            <w:tc>
              <w:tcPr>
                <w:tcW w:w="1306" w:type="dxa"/>
                <w:vAlign w:val="center"/>
              </w:tcPr>
              <w:p>
                <w:pPr>
                  <w:spacing w:line="240" w:lineRule="atLeast"/>
                  <w:jc w:val="right"/>
                </w:pPr>
                <w:r>
                  <w:rPr>
                    <w:rFonts w:ascii="宋体" w:hAnsi="宋体" w:cs="宋体" w:hint="eastAsia"/>
                    <w:color w:val="000000"/>
                  </w:rPr>
                  <w:t>21,200</w:t>
                </w:r>
              </w:p>
            </w:tc>
            <w:tc>
              <w:tcPr>
                <w:tcW w:w="1298" w:type="dxa"/>
                <w:vAlign w:val="center"/>
              </w:tcPr>
              <w:p>
                <w:pPr>
                  <w:spacing w:line="240" w:lineRule="atLeast"/>
                  <w:jc w:val="right"/>
                </w:pPr>
                <w:r>
                  <w:rPr>
                    <w:rFonts w:ascii="宋体" w:hAnsi="宋体" w:cs="宋体" w:hint="eastAsia"/>
                  </w:rPr>
                  <w:t>189,517</w:t>
                </w:r>
              </w:p>
            </w:tc>
            <w:tc>
              <w:tcPr>
                <w:tcW w:w="1241" w:type="dxa"/>
                <w:vAlign w:val="center"/>
              </w:tcPr>
              <w:p>
                <w:pPr>
                  <w:spacing w:line="240" w:lineRule="atLeast"/>
                  <w:jc w:val="right"/>
                </w:pPr>
                <w:r>
                  <w:rPr>
                    <w:rFonts w:ascii="宋体" w:hAnsi="宋体" w:cs="宋体" w:hint="eastAsia"/>
                  </w:rPr>
                  <w:t>905</w:t>
                </w:r>
              </w:p>
            </w:tc>
            <w:tc>
              <w:tcPr>
                <w:tcW w:w="1148" w:type="dxa"/>
                <w:vAlign w:val="center"/>
              </w:tcPr>
              <w:p>
                <w:pPr>
                  <w:spacing w:line="240" w:lineRule="atLeast"/>
                  <w:jc w:val="right"/>
                </w:pPr>
                <w:r>
                  <w:rPr>
                    <w:rFonts w:ascii="宋体" w:hAnsi="宋体" w:cs="宋体" w:hint="eastAsia"/>
                  </w:rPr>
                  <w:t>12,233</w:t>
                </w:r>
              </w:p>
            </w:tc>
            <w:tc>
              <w:tcPr>
                <w:tcW w:w="1339" w:type="dxa"/>
                <w:vAlign w:val="center"/>
              </w:tcPr>
              <w:p>
                <w:pPr>
                  <w:spacing w:line="240" w:lineRule="atLeast"/>
                  <w:jc w:val="right"/>
                </w:pPr>
                <w:r>
                  <w:rPr>
                    <w:rFonts w:ascii="宋体" w:hAnsi="宋体" w:cs="宋体" w:hint="eastAsia"/>
                  </w:rPr>
                  <w:t>246,493</w:t>
                </w:r>
              </w:p>
            </w:tc>
          </w:tr>
          <w:tr>
            <w:trPr>
              <w:trHeight w:val="283"/>
            </w:trPr>
            <w:tc>
              <w:tcPr>
                <w:tcW w:w="1753" w:type="dxa"/>
                <w:vAlign w:val="center"/>
              </w:tcPr>
              <w:p>
                <w:pPr>
                  <w:spacing w:line="240" w:lineRule="atLeast"/>
                </w:pPr>
                <w:r>
                  <w:rPr>
                    <w:rFonts w:hint="eastAsia"/>
                  </w:rPr>
                  <w:t>（</w:t>
                </w:r>
                <w:r>
                  <w:rPr>
                    <w:rFonts w:hint="eastAsia"/>
                  </w:rPr>
                  <w:t>2</w:t>
                </w:r>
                <w:r>
                  <w:rPr>
                    <w:rFonts w:hint="eastAsia"/>
                  </w:rPr>
                  <w:t>）其它</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p>
            </w:tc>
          </w:tr>
          <w:tr>
            <w:trPr>
              <w:trHeight w:val="283"/>
            </w:trPr>
            <w:tc>
              <w:tcPr>
                <w:tcW w:w="1753" w:type="dxa"/>
                <w:vAlign w:val="center"/>
              </w:tcPr>
              <w:p>
                <w:pPr>
                  <w:spacing w:line="240" w:lineRule="atLeast"/>
                </w:pPr>
                <w:r>
                  <w:rPr>
                    <w:rFonts w:hint="eastAsia"/>
                  </w:rPr>
                  <w:t>3.</w:t>
                </w:r>
                <w:r>
                  <w:t>本期减少</w:t>
                </w:r>
                <w:r>
                  <w:rPr>
                    <w:rFonts w:hint="eastAsia"/>
                  </w:rPr>
                  <w:t>金额</w:t>
                </w:r>
              </w:p>
            </w:tc>
            <w:tc>
              <w:tcPr>
                <w:tcW w:w="1281" w:type="dxa"/>
                <w:vAlign w:val="center"/>
              </w:tcPr>
              <w:p>
                <w:pPr>
                  <w:spacing w:line="240" w:lineRule="atLeast"/>
                  <w:jc w:val="right"/>
                </w:pPr>
                <w:r>
                  <w:rPr>
                    <w:rFonts w:ascii="宋体" w:hAnsi="宋体" w:cs="宋体" w:hint="eastAsia"/>
                  </w:rPr>
                  <w:t>10,058</w:t>
                </w:r>
              </w:p>
            </w:tc>
            <w:tc>
              <w:tcPr>
                <w:tcW w:w="1306" w:type="dxa"/>
                <w:vAlign w:val="center"/>
              </w:tcPr>
              <w:p>
                <w:pPr>
                  <w:spacing w:line="240" w:lineRule="atLeast"/>
                  <w:jc w:val="right"/>
                </w:pPr>
                <w:r>
                  <w:rPr>
                    <w:rFonts w:ascii="宋体" w:hAnsi="宋体" w:cs="宋体" w:hint="eastAsia"/>
                  </w:rPr>
                  <w:t>208</w:t>
                </w:r>
              </w:p>
            </w:tc>
            <w:tc>
              <w:tcPr>
                <w:tcW w:w="1298" w:type="dxa"/>
                <w:vAlign w:val="center"/>
              </w:tcPr>
              <w:p>
                <w:pPr>
                  <w:spacing w:line="240" w:lineRule="atLeast"/>
                  <w:jc w:val="right"/>
                </w:pPr>
                <w:r>
                  <w:rPr>
                    <w:rFonts w:ascii="宋体" w:hAnsi="宋体" w:cs="宋体" w:hint="eastAsia"/>
                  </w:rPr>
                  <w:t>258,296</w:t>
                </w:r>
              </w:p>
            </w:tc>
            <w:tc>
              <w:tcPr>
                <w:tcW w:w="1241" w:type="dxa"/>
                <w:vAlign w:val="center"/>
              </w:tcPr>
              <w:p>
                <w:pPr>
                  <w:spacing w:line="240" w:lineRule="atLeast"/>
                  <w:jc w:val="right"/>
                </w:pPr>
              </w:p>
            </w:tc>
            <w:tc>
              <w:tcPr>
                <w:tcW w:w="1148" w:type="dxa"/>
                <w:vAlign w:val="center"/>
              </w:tcPr>
              <w:p>
                <w:pPr>
                  <w:spacing w:line="240" w:lineRule="atLeast"/>
                  <w:jc w:val="right"/>
                </w:pPr>
                <w:r>
                  <w:rPr>
                    <w:rFonts w:ascii="宋体" w:hAnsi="宋体" w:cs="宋体" w:hint="eastAsia"/>
                  </w:rPr>
                  <w:t>7,536</w:t>
                </w:r>
              </w:p>
            </w:tc>
            <w:tc>
              <w:tcPr>
                <w:tcW w:w="1339" w:type="dxa"/>
                <w:vAlign w:val="center"/>
              </w:tcPr>
              <w:p>
                <w:pPr>
                  <w:spacing w:line="240" w:lineRule="atLeast"/>
                  <w:jc w:val="right"/>
                </w:pPr>
                <w:r>
                  <w:rPr>
                    <w:rFonts w:ascii="宋体" w:hAnsi="宋体" w:cs="宋体" w:hint="eastAsia"/>
                  </w:rPr>
                  <w:t>276,098</w:t>
                </w:r>
              </w:p>
            </w:tc>
          </w:tr>
          <w:tr>
            <w:trPr>
              <w:trHeight w:val="283"/>
            </w:trPr>
            <w:tc>
              <w:tcPr>
                <w:tcW w:w="1753" w:type="dxa"/>
                <w:vAlign w:val="center"/>
              </w:tcPr>
              <w:p>
                <w:pPr>
                  <w:spacing w:line="240" w:lineRule="atLeast"/>
                </w:pPr>
                <w:r>
                  <w:rPr>
                    <w:rFonts w:ascii="宋体" w:hAnsi="宋体" w:cs="宋体" w:hint="eastAsia"/>
                    <w:sz w:val="18"/>
                    <w:szCs w:val="18"/>
                  </w:rPr>
                  <w:t>（1）处置或报废</w:t>
                </w:r>
              </w:p>
            </w:tc>
            <w:tc>
              <w:tcPr>
                <w:tcW w:w="1281" w:type="dxa"/>
                <w:vAlign w:val="center"/>
              </w:tcPr>
              <w:p>
                <w:pPr>
                  <w:spacing w:line="240" w:lineRule="atLeast"/>
                  <w:jc w:val="right"/>
                </w:pPr>
                <w:r>
                  <w:rPr>
                    <w:rFonts w:ascii="宋体" w:hAnsi="宋体" w:cs="宋体" w:hint="eastAsia"/>
                  </w:rPr>
                  <w:t>246</w:t>
                </w: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252,861</w:t>
                </w:r>
              </w:p>
            </w:tc>
            <w:tc>
              <w:tcPr>
                <w:tcW w:w="1241" w:type="dxa"/>
                <w:vAlign w:val="center"/>
              </w:tcPr>
              <w:p>
                <w:pPr>
                  <w:spacing w:line="240" w:lineRule="atLeast"/>
                  <w:jc w:val="right"/>
                </w:pPr>
              </w:p>
            </w:tc>
            <w:tc>
              <w:tcPr>
                <w:tcW w:w="1148" w:type="dxa"/>
                <w:vAlign w:val="center"/>
              </w:tcPr>
              <w:p>
                <w:pPr>
                  <w:spacing w:line="240" w:lineRule="atLeast"/>
                  <w:jc w:val="right"/>
                </w:pPr>
                <w:r>
                  <w:rPr>
                    <w:rFonts w:ascii="宋体" w:hAnsi="宋体" w:cs="宋体" w:hint="eastAsia"/>
                  </w:rPr>
                  <w:t>6,405</w:t>
                </w:r>
              </w:p>
            </w:tc>
            <w:tc>
              <w:tcPr>
                <w:tcW w:w="1339" w:type="dxa"/>
                <w:vAlign w:val="center"/>
              </w:tcPr>
              <w:p>
                <w:pPr>
                  <w:spacing w:line="240" w:lineRule="atLeast"/>
                  <w:jc w:val="right"/>
                </w:pPr>
                <w:r>
                  <w:rPr>
                    <w:rFonts w:ascii="宋体" w:hAnsi="宋体" w:cs="宋体" w:hint="eastAsia"/>
                  </w:rPr>
                  <w:t>259,512</w:t>
                </w:r>
              </w:p>
            </w:tc>
          </w:tr>
          <w:tr>
            <w:trPr>
              <w:trHeight w:val="283"/>
            </w:trPr>
            <w:tc>
              <w:tcPr>
                <w:tcW w:w="1753" w:type="dxa"/>
                <w:vAlign w:val="center"/>
              </w:tcPr>
              <w:p>
                <w:pPr>
                  <w:spacing w:line="240" w:lineRule="atLeast"/>
                </w:pPr>
                <w:r>
                  <w:rPr>
                    <w:rFonts w:ascii="宋体" w:hAnsi="宋体" w:cs="宋体" w:hint="eastAsia"/>
                    <w:sz w:val="18"/>
                    <w:szCs w:val="18"/>
                  </w:rPr>
                  <w:t>（2）其它</w:t>
                </w:r>
              </w:p>
            </w:tc>
            <w:tc>
              <w:tcPr>
                <w:tcW w:w="1281" w:type="dxa"/>
                <w:vAlign w:val="center"/>
              </w:tcPr>
              <w:p>
                <w:pPr>
                  <w:spacing w:line="240" w:lineRule="atLeast"/>
                  <w:jc w:val="right"/>
                </w:pPr>
                <w:r>
                  <w:rPr>
                    <w:rFonts w:ascii="宋体" w:hAnsi="宋体" w:cs="宋体" w:hint="eastAsia"/>
                  </w:rPr>
                  <w:t>9,812</w:t>
                </w:r>
              </w:p>
            </w:tc>
            <w:tc>
              <w:tcPr>
                <w:tcW w:w="1306" w:type="dxa"/>
                <w:vAlign w:val="center"/>
              </w:tcPr>
              <w:p>
                <w:pPr>
                  <w:spacing w:line="240" w:lineRule="atLeast"/>
                  <w:jc w:val="right"/>
                </w:pPr>
                <w:r>
                  <w:rPr>
                    <w:rFonts w:ascii="宋体" w:hAnsi="宋体" w:cs="宋体" w:hint="eastAsia"/>
                  </w:rPr>
                  <w:t>208</w:t>
                </w:r>
              </w:p>
            </w:tc>
            <w:tc>
              <w:tcPr>
                <w:tcW w:w="1298" w:type="dxa"/>
                <w:vAlign w:val="center"/>
              </w:tcPr>
              <w:p>
                <w:pPr>
                  <w:spacing w:line="240" w:lineRule="atLeast"/>
                  <w:jc w:val="right"/>
                </w:pPr>
                <w:r>
                  <w:rPr>
                    <w:rFonts w:ascii="宋体" w:hAnsi="宋体" w:cs="宋体" w:hint="eastAsia"/>
                  </w:rPr>
                  <w:t>5,435</w:t>
                </w:r>
              </w:p>
            </w:tc>
            <w:tc>
              <w:tcPr>
                <w:tcW w:w="1241" w:type="dxa"/>
                <w:vAlign w:val="center"/>
              </w:tcPr>
              <w:p>
                <w:pPr>
                  <w:spacing w:line="240" w:lineRule="atLeast"/>
                  <w:jc w:val="right"/>
                </w:pPr>
              </w:p>
            </w:tc>
            <w:tc>
              <w:tcPr>
                <w:tcW w:w="1148" w:type="dxa"/>
                <w:vAlign w:val="center"/>
              </w:tcPr>
              <w:p>
                <w:pPr>
                  <w:spacing w:line="240" w:lineRule="atLeast"/>
                  <w:jc w:val="right"/>
                </w:pPr>
                <w:r>
                  <w:rPr>
                    <w:rFonts w:ascii="宋体" w:hAnsi="宋体" w:cs="宋体" w:hint="eastAsia"/>
                  </w:rPr>
                  <w:t>1,131</w:t>
                </w:r>
              </w:p>
            </w:tc>
            <w:tc>
              <w:tcPr>
                <w:tcW w:w="1339" w:type="dxa"/>
                <w:vAlign w:val="center"/>
              </w:tcPr>
              <w:p>
                <w:pPr>
                  <w:spacing w:line="240" w:lineRule="atLeast"/>
                  <w:jc w:val="right"/>
                </w:pPr>
                <w:r>
                  <w:rPr>
                    <w:rFonts w:ascii="宋体" w:hAnsi="宋体" w:cs="宋体" w:hint="eastAsia"/>
                  </w:rPr>
                  <w:t>16,586</w:t>
                </w:r>
              </w:p>
            </w:tc>
          </w:tr>
          <w:tr>
            <w:trPr>
              <w:trHeight w:val="284"/>
            </w:trPr>
            <w:tc>
              <w:tcPr>
                <w:tcW w:w="1753" w:type="dxa"/>
                <w:vAlign w:val="center"/>
              </w:tcPr>
              <w:p>
                <w:pPr>
                  <w:spacing w:line="240" w:lineRule="atLeast"/>
                </w:pPr>
                <w:r>
                  <w:rPr>
                    <w:rFonts w:hint="eastAsia"/>
                  </w:rPr>
                  <w:t>4.</w:t>
                </w:r>
                <w:r>
                  <w:rPr>
                    <w:rFonts w:hint="eastAsia"/>
                  </w:rPr>
                  <w:t>外币报表折算差额</w:t>
                </w:r>
              </w:p>
            </w:tc>
            <w:tc>
              <w:tcPr>
                <w:tcW w:w="1281" w:type="dxa"/>
                <w:vAlign w:val="center"/>
              </w:tcPr>
              <w:p>
                <w:pPr>
                  <w:spacing w:line="240" w:lineRule="atLeast"/>
                  <w:jc w:val="right"/>
                </w:pPr>
                <w:r>
                  <w:rPr>
                    <w:rFonts w:ascii="宋体" w:hAnsi="宋体" w:cs="宋体" w:hint="eastAsia"/>
                  </w:rPr>
                  <w:t>2,348</w:t>
                </w: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23,934</w:t>
                </w:r>
              </w:p>
            </w:tc>
            <w:tc>
              <w:tcPr>
                <w:tcW w:w="1241" w:type="dxa"/>
                <w:vAlign w:val="center"/>
              </w:tcPr>
              <w:p>
                <w:pPr>
                  <w:spacing w:line="240" w:lineRule="atLeast"/>
                  <w:jc w:val="right"/>
                </w:pPr>
              </w:p>
            </w:tc>
            <w:tc>
              <w:tcPr>
                <w:tcW w:w="1148" w:type="dxa"/>
                <w:vAlign w:val="center"/>
              </w:tcPr>
              <w:p>
                <w:pPr>
                  <w:spacing w:line="240" w:lineRule="atLeast"/>
                  <w:jc w:val="right"/>
                </w:pPr>
                <w:r>
                  <w:rPr>
                    <w:rFonts w:ascii="宋体" w:hAnsi="宋体" w:cs="宋体" w:hint="eastAsia"/>
                  </w:rPr>
                  <w:t>968</w:t>
                </w:r>
              </w:p>
            </w:tc>
            <w:tc>
              <w:tcPr>
                <w:tcW w:w="1339" w:type="dxa"/>
                <w:vAlign w:val="center"/>
              </w:tcPr>
              <w:p>
                <w:pPr>
                  <w:spacing w:line="240" w:lineRule="atLeast"/>
                  <w:jc w:val="right"/>
                </w:pPr>
                <w:r>
                  <w:rPr>
                    <w:rFonts w:ascii="宋体" w:hAnsi="宋体" w:cs="宋体" w:hint="eastAsia"/>
                  </w:rPr>
                  <w:t>27,250</w:t>
                </w:r>
              </w:p>
            </w:tc>
          </w:tr>
          <w:tr>
            <w:trPr>
              <w:trHeight w:val="283"/>
            </w:trPr>
            <w:tc>
              <w:tcPr>
                <w:tcW w:w="1753" w:type="dxa"/>
                <w:vAlign w:val="center"/>
              </w:tcPr>
              <w:p>
                <w:pPr>
                  <w:spacing w:line="240" w:lineRule="atLeast"/>
                </w:pPr>
                <w:r>
                  <w:rPr>
                    <w:rFonts w:hint="eastAsia"/>
                  </w:rPr>
                  <w:t>5.</w:t>
                </w:r>
                <w:r>
                  <w:t>期末余额</w:t>
                </w:r>
              </w:p>
            </w:tc>
            <w:tc>
              <w:tcPr>
                <w:tcW w:w="1281" w:type="dxa"/>
                <w:vAlign w:val="center"/>
              </w:tcPr>
              <w:p>
                <w:pPr>
                  <w:spacing w:line="240" w:lineRule="atLeast"/>
                  <w:jc w:val="right"/>
                </w:pPr>
                <w:r>
                  <w:rPr>
                    <w:rFonts w:ascii="宋体" w:hAnsi="宋体" w:cs="宋体" w:hint="eastAsia"/>
                    <w:color w:val="000000"/>
                  </w:rPr>
                  <w:t>66,564</w:t>
                </w:r>
              </w:p>
            </w:tc>
            <w:tc>
              <w:tcPr>
                <w:tcW w:w="1306" w:type="dxa"/>
                <w:vAlign w:val="center"/>
              </w:tcPr>
              <w:p>
                <w:pPr>
                  <w:spacing w:line="240" w:lineRule="atLeast"/>
                  <w:jc w:val="right"/>
                </w:pPr>
                <w:r>
                  <w:rPr>
                    <w:rFonts w:ascii="宋体" w:hAnsi="宋体" w:cs="宋体" w:hint="eastAsia"/>
                    <w:color w:val="000000"/>
                  </w:rPr>
                  <w:t>41,393</w:t>
                </w:r>
              </w:p>
            </w:tc>
            <w:tc>
              <w:tcPr>
                <w:tcW w:w="1298" w:type="dxa"/>
                <w:vAlign w:val="center"/>
              </w:tcPr>
              <w:p>
                <w:pPr>
                  <w:spacing w:line="240" w:lineRule="atLeast"/>
                  <w:jc w:val="right"/>
                </w:pPr>
                <w:r>
                  <w:rPr>
                    <w:rFonts w:ascii="宋体" w:hAnsi="宋体" w:cs="宋体" w:hint="eastAsia"/>
                  </w:rPr>
                  <w:t>596,820</w:t>
                </w:r>
              </w:p>
            </w:tc>
            <w:tc>
              <w:tcPr>
                <w:tcW w:w="1241" w:type="dxa"/>
                <w:vAlign w:val="center"/>
              </w:tcPr>
              <w:p>
                <w:pPr>
                  <w:spacing w:line="240" w:lineRule="atLeast"/>
                  <w:jc w:val="right"/>
                </w:pPr>
                <w:r>
                  <w:rPr>
                    <w:rFonts w:ascii="宋体" w:hAnsi="宋体" w:cs="宋体" w:hint="eastAsia"/>
                  </w:rPr>
                  <w:t>2,267</w:t>
                </w:r>
              </w:p>
            </w:tc>
            <w:tc>
              <w:tcPr>
                <w:tcW w:w="1148" w:type="dxa"/>
                <w:vAlign w:val="center"/>
              </w:tcPr>
              <w:p>
                <w:pPr>
                  <w:spacing w:line="240" w:lineRule="atLeast"/>
                  <w:jc w:val="right"/>
                </w:pPr>
                <w:r>
                  <w:rPr>
                    <w:rFonts w:ascii="宋体" w:hAnsi="宋体" w:cs="宋体" w:hint="eastAsia"/>
                  </w:rPr>
                  <w:t>26,839</w:t>
                </w:r>
              </w:p>
            </w:tc>
            <w:tc>
              <w:tcPr>
                <w:tcW w:w="1339" w:type="dxa"/>
                <w:vAlign w:val="center"/>
              </w:tcPr>
              <w:p>
                <w:pPr>
                  <w:spacing w:line="240" w:lineRule="atLeast"/>
                  <w:jc w:val="right"/>
                </w:pPr>
                <w:r>
                  <w:rPr>
                    <w:rFonts w:ascii="宋体" w:hAnsi="宋体" w:cs="宋体" w:hint="eastAsia"/>
                  </w:rPr>
                  <w:t>733,883</w:t>
                </w:r>
              </w:p>
            </w:tc>
          </w:tr>
          <w:tr>
            <w:trPr>
              <w:trHeight w:val="283"/>
            </w:trPr>
            <w:sdt>
              <w:sdtPr>
                <w:tag w:val="_PLD_a32c53282c7a49e1a1747c76e44e7471"/>
                <w:id w:val="-907138580"/>
              </w:sdtPr>
              <w:sdtContent>
                <w:tc>
                  <w:tcPr>
                    <w:tcW w:w="9366" w:type="dxa"/>
                    <w:gridSpan w:val="7"/>
                    <w:vAlign w:val="center"/>
                  </w:tcPr>
                  <w:p>
                    <w:pPr>
                      <w:spacing w:line="240" w:lineRule="atLeast"/>
                    </w:pPr>
                    <w:r>
                      <w:t>三、减值准备</w:t>
                    </w:r>
                  </w:p>
                </w:tc>
              </w:sdtContent>
            </w:sdt>
          </w:tr>
          <w:tr>
            <w:trPr>
              <w:trHeight w:val="283"/>
            </w:trPr>
            <w:tc>
              <w:tcPr>
                <w:tcW w:w="1753" w:type="dxa"/>
                <w:vAlign w:val="center"/>
              </w:tcPr>
              <w:p>
                <w:pPr>
                  <w:spacing w:line="240" w:lineRule="atLeast"/>
                </w:pPr>
                <w:r>
                  <w:rPr>
                    <w:rFonts w:hint="eastAsia"/>
                  </w:rPr>
                  <w:t>1.</w:t>
                </w:r>
                <w:r>
                  <w:rPr>
                    <w:rFonts w:hint="eastAsia"/>
                  </w:rPr>
                  <w:t>期</w:t>
                </w:r>
                <w:r>
                  <w:t>初余额</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82,684</w:t>
                </w: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r>
                  <w:rPr>
                    <w:rFonts w:ascii="宋体" w:hAnsi="宋体" w:cs="宋体" w:hint="eastAsia"/>
                  </w:rPr>
                  <w:t>82,684</w:t>
                </w:r>
              </w:p>
            </w:tc>
          </w:tr>
          <w:tr>
            <w:trPr>
              <w:trHeight w:val="283"/>
            </w:trPr>
            <w:tc>
              <w:tcPr>
                <w:tcW w:w="1753" w:type="dxa"/>
                <w:vAlign w:val="center"/>
              </w:tcPr>
              <w:p>
                <w:pPr>
                  <w:spacing w:line="240" w:lineRule="atLeast"/>
                </w:pPr>
                <w:r>
                  <w:t>2.</w:t>
                </w:r>
                <w:r>
                  <w:t>本期增加</w:t>
                </w:r>
                <w:r>
                  <w:rPr>
                    <w:rFonts w:hint="eastAsia"/>
                  </w:rPr>
                  <w:t>金额</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p>
            </w:tc>
          </w:tr>
          <w:tr>
            <w:trPr>
              <w:trHeight w:val="283"/>
            </w:trPr>
            <w:tc>
              <w:tcPr>
                <w:tcW w:w="1753" w:type="dxa"/>
                <w:vAlign w:val="center"/>
              </w:tcPr>
              <w:p>
                <w:pPr>
                  <w:spacing w:line="240" w:lineRule="atLeast"/>
                </w:pPr>
                <w:r>
                  <w:rPr>
                    <w:rFonts w:hint="eastAsia"/>
                  </w:rPr>
                  <w:t>（</w:t>
                </w:r>
                <w:r>
                  <w:rPr>
                    <w:rFonts w:hint="eastAsia"/>
                  </w:rPr>
                  <w:t>1</w:t>
                </w:r>
                <w:r>
                  <w:rPr>
                    <w:rFonts w:hint="eastAsia"/>
                  </w:rPr>
                  <w:t>）</w:t>
                </w:r>
                <w:r>
                  <w:t>计提</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p>
            </w:tc>
          </w:tr>
          <w:tr>
            <w:trPr>
              <w:trHeight w:val="283"/>
            </w:trPr>
            <w:tc>
              <w:tcPr>
                <w:tcW w:w="1753" w:type="dxa"/>
                <w:vAlign w:val="center"/>
              </w:tcPr>
              <w:p>
                <w:pPr>
                  <w:spacing w:line="240" w:lineRule="atLeast"/>
                </w:pPr>
                <w:r>
                  <w:rPr>
                    <w:rFonts w:hint="eastAsia"/>
                  </w:rPr>
                  <w:t>3.</w:t>
                </w:r>
                <w:r>
                  <w:t>本期减少</w:t>
                </w:r>
                <w:r>
                  <w:rPr>
                    <w:rFonts w:hint="eastAsia"/>
                  </w:rPr>
                  <w:t>金额</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84,355</w:t>
                </w: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r>
                  <w:rPr>
                    <w:rFonts w:ascii="宋体" w:hAnsi="宋体" w:cs="宋体" w:hint="eastAsia"/>
                  </w:rPr>
                  <w:t>84,355</w:t>
                </w:r>
              </w:p>
            </w:tc>
          </w:tr>
          <w:tr>
            <w:trPr>
              <w:trHeight w:val="283"/>
            </w:trPr>
            <w:tc>
              <w:tcPr>
                <w:tcW w:w="1753" w:type="dxa"/>
                <w:vAlign w:val="center"/>
              </w:tcPr>
              <w:p>
                <w:pPr>
                  <w:spacing w:line="240" w:lineRule="atLeast"/>
                </w:pPr>
                <w:r>
                  <w:rPr>
                    <w:rFonts w:ascii="宋体" w:hAnsi="宋体" w:cs="宋体" w:hint="eastAsia"/>
                    <w:color w:val="000000"/>
                    <w:sz w:val="18"/>
                    <w:szCs w:val="18"/>
                  </w:rPr>
                  <w:t>（1）处置或报废</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84,355</w:t>
                </w: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r>
                  <w:rPr>
                    <w:rFonts w:ascii="宋体" w:hAnsi="宋体" w:cs="宋体" w:hint="eastAsia"/>
                  </w:rPr>
                  <w:t>84,355</w:t>
                </w:r>
              </w:p>
            </w:tc>
          </w:tr>
          <w:tr>
            <w:trPr>
              <w:trHeight w:val="283"/>
            </w:trPr>
            <w:tc>
              <w:tcPr>
                <w:tcW w:w="1753" w:type="dxa"/>
                <w:vAlign w:val="center"/>
              </w:tcPr>
              <w:p>
                <w:pPr>
                  <w:spacing w:line="240" w:lineRule="atLeast"/>
                </w:pPr>
                <w:r>
                  <w:rPr>
                    <w:rFonts w:ascii="宋体" w:hAnsi="宋体" w:cs="宋体" w:hint="eastAsia"/>
                    <w:sz w:val="18"/>
                    <w:szCs w:val="18"/>
                  </w:rPr>
                  <w:t>（2）其他减少</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p>
            </w:tc>
          </w:tr>
          <w:tr>
            <w:trPr>
              <w:trHeight w:val="283"/>
            </w:trPr>
            <w:tc>
              <w:tcPr>
                <w:tcW w:w="1753" w:type="dxa"/>
                <w:vAlign w:val="center"/>
              </w:tcPr>
              <w:p>
                <w:pPr>
                  <w:spacing w:line="240" w:lineRule="atLeast"/>
                </w:pPr>
                <w:r>
                  <w:rPr>
                    <w:rFonts w:ascii="宋体" w:hAnsi="宋体" w:cs="宋体" w:hint="eastAsia"/>
                    <w:sz w:val="18"/>
                    <w:szCs w:val="18"/>
                  </w:rPr>
                  <w:t>4.外币报表折算差额</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r>
                  <w:rPr>
                    <w:rFonts w:ascii="宋体" w:hAnsi="宋体" w:cs="宋体" w:hint="eastAsia"/>
                  </w:rPr>
                  <w:t>1,671</w:t>
                </w: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r>
                  <w:rPr>
                    <w:rFonts w:ascii="宋体" w:hAnsi="宋体" w:cs="宋体" w:hint="eastAsia"/>
                  </w:rPr>
                  <w:t>1,671</w:t>
                </w:r>
              </w:p>
            </w:tc>
          </w:tr>
          <w:tr>
            <w:trPr>
              <w:trHeight w:val="283"/>
            </w:trPr>
            <w:tc>
              <w:tcPr>
                <w:tcW w:w="1753" w:type="dxa"/>
                <w:vAlign w:val="center"/>
              </w:tcPr>
              <w:p>
                <w:pPr>
                  <w:spacing w:line="240" w:lineRule="atLeast"/>
                </w:pPr>
                <w:r>
                  <w:rPr>
                    <w:rFonts w:hint="eastAsia"/>
                  </w:rPr>
                  <w:t>5.</w:t>
                </w:r>
                <w:r>
                  <w:t>期末余额</w:t>
                </w:r>
              </w:p>
            </w:tc>
            <w:tc>
              <w:tcPr>
                <w:tcW w:w="1281" w:type="dxa"/>
                <w:vAlign w:val="center"/>
              </w:tcPr>
              <w:p>
                <w:pPr>
                  <w:spacing w:line="240" w:lineRule="atLeast"/>
                  <w:jc w:val="right"/>
                </w:pPr>
              </w:p>
            </w:tc>
            <w:tc>
              <w:tcPr>
                <w:tcW w:w="1306" w:type="dxa"/>
                <w:vAlign w:val="center"/>
              </w:tcPr>
              <w:p>
                <w:pPr>
                  <w:spacing w:line="240" w:lineRule="atLeast"/>
                  <w:jc w:val="right"/>
                </w:pPr>
              </w:p>
            </w:tc>
            <w:tc>
              <w:tcPr>
                <w:tcW w:w="1298" w:type="dxa"/>
                <w:vAlign w:val="center"/>
              </w:tcPr>
              <w:p>
                <w:pPr>
                  <w:spacing w:line="240" w:lineRule="atLeast"/>
                  <w:jc w:val="right"/>
                </w:pPr>
              </w:p>
            </w:tc>
            <w:tc>
              <w:tcPr>
                <w:tcW w:w="1241" w:type="dxa"/>
                <w:vAlign w:val="center"/>
              </w:tcPr>
              <w:p>
                <w:pPr>
                  <w:spacing w:line="240" w:lineRule="atLeast"/>
                  <w:jc w:val="right"/>
                </w:pPr>
              </w:p>
            </w:tc>
            <w:tc>
              <w:tcPr>
                <w:tcW w:w="1148" w:type="dxa"/>
                <w:vAlign w:val="center"/>
              </w:tcPr>
              <w:p>
                <w:pPr>
                  <w:spacing w:line="240" w:lineRule="atLeast"/>
                  <w:jc w:val="right"/>
                </w:pPr>
              </w:p>
            </w:tc>
            <w:tc>
              <w:tcPr>
                <w:tcW w:w="1339" w:type="dxa"/>
                <w:vAlign w:val="center"/>
              </w:tcPr>
              <w:p>
                <w:pPr>
                  <w:spacing w:line="240" w:lineRule="atLeast"/>
                  <w:jc w:val="right"/>
                </w:pPr>
              </w:p>
            </w:tc>
          </w:tr>
          <w:tr>
            <w:trPr>
              <w:trHeight w:val="283"/>
            </w:trPr>
            <w:sdt>
              <w:sdtPr>
                <w:tag w:val="_PLD_11c4f53648e149a88b6ff0ef5ef90dc8"/>
                <w:id w:val="-1587767118"/>
              </w:sdtPr>
              <w:sdtContent>
                <w:tc>
                  <w:tcPr>
                    <w:tcW w:w="9366" w:type="dxa"/>
                    <w:gridSpan w:val="7"/>
                    <w:vAlign w:val="center"/>
                  </w:tcPr>
                  <w:p>
                    <w:pPr>
                      <w:spacing w:line="240" w:lineRule="atLeast"/>
                    </w:pPr>
                    <w:r>
                      <w:t>四、账面价值</w:t>
                    </w:r>
                  </w:p>
                </w:tc>
              </w:sdtContent>
            </w:sdt>
          </w:tr>
          <w:tr>
            <w:trPr>
              <w:trHeight w:val="283"/>
            </w:trPr>
            <w:tc>
              <w:tcPr>
                <w:tcW w:w="1753" w:type="dxa"/>
                <w:vAlign w:val="center"/>
              </w:tcPr>
              <w:p>
                <w:pPr>
                  <w:spacing w:line="240" w:lineRule="atLeast"/>
                </w:pPr>
                <w:r>
                  <w:t>1.</w:t>
                </w:r>
                <w:r>
                  <w:t>期末账面价值</w:t>
                </w:r>
              </w:p>
            </w:tc>
            <w:tc>
              <w:tcPr>
                <w:tcW w:w="1281" w:type="dxa"/>
                <w:vAlign w:val="center"/>
              </w:tcPr>
              <w:p>
                <w:pPr>
                  <w:spacing w:line="240" w:lineRule="atLeast"/>
                  <w:jc w:val="right"/>
                </w:pPr>
                <w:r>
                  <w:rPr>
                    <w:rFonts w:ascii="宋体" w:hAnsi="宋体" w:cs="宋体" w:hint="eastAsia"/>
                    <w:color w:val="000000"/>
                  </w:rPr>
                  <w:t>59,363</w:t>
                </w:r>
              </w:p>
            </w:tc>
            <w:tc>
              <w:tcPr>
                <w:tcW w:w="1306" w:type="dxa"/>
                <w:vAlign w:val="center"/>
              </w:tcPr>
              <w:p>
                <w:pPr>
                  <w:spacing w:line="240" w:lineRule="atLeast"/>
                  <w:jc w:val="right"/>
                </w:pPr>
                <w:r>
                  <w:rPr>
                    <w:rFonts w:ascii="宋体" w:hAnsi="宋体" w:cs="宋体" w:hint="eastAsia"/>
                    <w:color w:val="000000"/>
                  </w:rPr>
                  <w:t>60,054</w:t>
                </w:r>
              </w:p>
            </w:tc>
            <w:tc>
              <w:tcPr>
                <w:tcW w:w="1298" w:type="dxa"/>
                <w:vAlign w:val="center"/>
              </w:tcPr>
              <w:p>
                <w:pPr>
                  <w:spacing w:line="240" w:lineRule="atLeast"/>
                  <w:jc w:val="right"/>
                </w:pPr>
                <w:r>
                  <w:rPr>
                    <w:rFonts w:ascii="宋体" w:hAnsi="宋体" w:cs="宋体" w:hint="eastAsia"/>
                  </w:rPr>
                  <w:t>477,848</w:t>
                </w:r>
              </w:p>
            </w:tc>
            <w:tc>
              <w:tcPr>
                <w:tcW w:w="1241" w:type="dxa"/>
                <w:vAlign w:val="center"/>
              </w:tcPr>
              <w:p>
                <w:pPr>
                  <w:spacing w:line="240" w:lineRule="atLeast"/>
                  <w:jc w:val="right"/>
                </w:pPr>
                <w:r>
                  <w:rPr>
                    <w:rFonts w:ascii="宋体" w:hAnsi="宋体" w:cs="宋体" w:hint="eastAsia"/>
                  </w:rPr>
                  <w:t>2,389</w:t>
                </w:r>
              </w:p>
            </w:tc>
            <w:tc>
              <w:tcPr>
                <w:tcW w:w="1148" w:type="dxa"/>
                <w:vAlign w:val="center"/>
              </w:tcPr>
              <w:p>
                <w:pPr>
                  <w:spacing w:line="240" w:lineRule="atLeast"/>
                  <w:jc w:val="right"/>
                </w:pPr>
                <w:r>
                  <w:rPr>
                    <w:rFonts w:ascii="宋体" w:hAnsi="宋体" w:cs="宋体" w:hint="eastAsia"/>
                  </w:rPr>
                  <w:t>27,311</w:t>
                </w:r>
              </w:p>
            </w:tc>
            <w:tc>
              <w:tcPr>
                <w:tcW w:w="1339" w:type="dxa"/>
                <w:vAlign w:val="center"/>
              </w:tcPr>
              <w:p>
                <w:pPr>
                  <w:spacing w:line="240" w:lineRule="atLeast"/>
                  <w:jc w:val="right"/>
                </w:pPr>
                <w:r>
                  <w:rPr>
                    <w:rFonts w:ascii="宋体" w:hAnsi="宋体" w:cs="宋体" w:hint="eastAsia"/>
                  </w:rPr>
                  <w:t>626,965</w:t>
                </w:r>
              </w:p>
            </w:tc>
          </w:tr>
          <w:tr>
            <w:trPr>
              <w:trHeight w:val="283"/>
            </w:trPr>
            <w:tc>
              <w:tcPr>
                <w:tcW w:w="1753" w:type="dxa"/>
                <w:vAlign w:val="center"/>
              </w:tcPr>
              <w:p>
                <w:pPr>
                  <w:spacing w:line="240" w:lineRule="atLeast"/>
                </w:pPr>
                <w:r>
                  <w:t>2.</w:t>
                </w:r>
                <w:r>
                  <w:t>期初账面价值</w:t>
                </w:r>
              </w:p>
            </w:tc>
            <w:tc>
              <w:tcPr>
                <w:tcW w:w="1281" w:type="dxa"/>
                <w:vAlign w:val="center"/>
              </w:tcPr>
              <w:p>
                <w:pPr>
                  <w:spacing w:line="240" w:lineRule="atLeast"/>
                  <w:jc w:val="right"/>
                </w:pPr>
                <w:r>
                  <w:rPr>
                    <w:rFonts w:ascii="宋体" w:hAnsi="宋体" w:cs="宋体" w:hint="eastAsia"/>
                    <w:color w:val="000000"/>
                  </w:rPr>
                  <w:t>43,190</w:t>
                </w:r>
              </w:p>
            </w:tc>
            <w:tc>
              <w:tcPr>
                <w:tcW w:w="1306" w:type="dxa"/>
                <w:vAlign w:val="center"/>
              </w:tcPr>
              <w:p>
                <w:pPr>
                  <w:spacing w:line="240" w:lineRule="atLeast"/>
                  <w:jc w:val="right"/>
                </w:pPr>
                <w:r>
                  <w:rPr>
                    <w:rFonts w:ascii="宋体" w:hAnsi="宋体" w:cs="宋体" w:hint="eastAsia"/>
                    <w:color w:val="000000"/>
                  </w:rPr>
                  <w:t>12,008</w:t>
                </w:r>
              </w:p>
            </w:tc>
            <w:tc>
              <w:tcPr>
                <w:tcW w:w="1298" w:type="dxa"/>
                <w:vAlign w:val="center"/>
              </w:tcPr>
              <w:p>
                <w:pPr>
                  <w:spacing w:line="240" w:lineRule="atLeast"/>
                  <w:jc w:val="right"/>
                </w:pPr>
                <w:r>
                  <w:rPr>
                    <w:rFonts w:ascii="宋体" w:hAnsi="宋体" w:cs="宋体" w:hint="eastAsia"/>
                  </w:rPr>
                  <w:t>440,579</w:t>
                </w:r>
              </w:p>
            </w:tc>
            <w:tc>
              <w:tcPr>
                <w:tcW w:w="1241" w:type="dxa"/>
                <w:vAlign w:val="center"/>
              </w:tcPr>
              <w:p>
                <w:pPr>
                  <w:spacing w:line="240" w:lineRule="atLeast"/>
                  <w:jc w:val="right"/>
                </w:pPr>
                <w:r>
                  <w:rPr>
                    <w:rFonts w:ascii="宋体" w:hAnsi="宋体" w:cs="宋体" w:hint="eastAsia"/>
                  </w:rPr>
                  <w:t>2,496</w:t>
                </w:r>
              </w:p>
            </w:tc>
            <w:tc>
              <w:tcPr>
                <w:tcW w:w="1148" w:type="dxa"/>
                <w:vAlign w:val="center"/>
              </w:tcPr>
              <w:p>
                <w:pPr>
                  <w:spacing w:line="240" w:lineRule="atLeast"/>
                  <w:jc w:val="right"/>
                </w:pPr>
                <w:r>
                  <w:rPr>
                    <w:rFonts w:ascii="宋体" w:hAnsi="宋体" w:cs="宋体" w:hint="eastAsia"/>
                  </w:rPr>
                  <w:t>45,332</w:t>
                </w:r>
              </w:p>
            </w:tc>
            <w:tc>
              <w:tcPr>
                <w:tcW w:w="1339" w:type="dxa"/>
                <w:vAlign w:val="center"/>
              </w:tcPr>
              <w:p>
                <w:pPr>
                  <w:spacing w:line="240" w:lineRule="atLeast"/>
                  <w:jc w:val="right"/>
                </w:pPr>
                <w:r>
                  <w:rPr>
                    <w:rFonts w:ascii="宋体" w:hAnsi="宋体" w:cs="宋体" w:hint="eastAsia"/>
                  </w:rPr>
                  <w:t>543,605</w:t>
                </w:r>
              </w:p>
            </w:tc>
          </w:tr>
        </w:tbl>
        <w:p>
          <w:pPr>
            <w:pStyle w:val="Style217"/>
          </w:pPr>
        </w:p>
      </w:sdtContent>
    </w:sdt>
    <w:p>
      <w:pPr>
        <w:pStyle w:val="Style179"/>
        <w:numPr>
          <w:ilvl w:val="0"/>
          <w:numId w:val="94"/>
        </w:numPr>
      </w:pPr>
      <w:bookmarkStart w:id="469" w:name="_Hlk153461708"/>
      <w:bookmarkEnd w:id="466"/>
      <w:r>
        <w:rPr>
          <w:rFonts w:hint="eastAsia"/>
        </w:rPr>
        <w:t>使用权资产的减值测试情况</w:t>
      </w:r>
    </w:p>
    <w:sdt>
      <w:sdtPr>
        <w:alias w:val="是否适用：减值测试情况[双击切换]"/>
        <w:tag w:val="_GBC_3b3aabc5b9ad4e9896fb84bfd63b8c60"/>
        <w:id w:val="-33222223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67"/>
    <w:bookmarkEnd w:id="469"/>
    <w:p>
      <w:pPr>
        <w:autoSpaceDE w:val="0"/>
        <w:autoSpaceDN w:val="0"/>
        <w:adjustRightInd w:val="0"/>
      </w:pPr>
      <w:r>
        <w:rPr>
          <w:rFonts w:hint="eastAsia"/>
        </w:rPr>
        <w:t>其他说明：</w:t>
      </w:r>
    </w:p>
    <w:sdt>
      <w:sdtPr>
        <w:rPr>
          <w:rFonts w:ascii="宋体" w:hAnsi="宋体"/>
          <w:sz w:val="20"/>
          <w:szCs w:val="20"/>
        </w:rPr>
        <w:alias w:val="使用权资产其他说明"/>
        <w:tag w:val="_GBC_41c40d661bff4f1b859d4bd00049983c"/>
        <w:id w:val="-1803303762"/>
        <w:placeholder>
          <w:docPart w:val="GBC22222222222222222222222222222"/>
        </w:placeholder>
      </w:sdtPr>
      <w:sdtEndPr>
        <w:rPr>
          <w:sz w:val="21"/>
        </w:rPr>
      </w:sdtEndPr>
      <w:sdtContent>
        <w:p>
          <w:pPr>
            <w:sectPr>
              <w:pgSz w:w="11906" w:h="16838"/>
              <w:pgMar w:top="1440" w:right="1797" w:bottom="1525" w:left="1276" w:header="856" w:footer="992" w:gutter="0"/>
              <w:cols w:space="425"/>
              <w:docGrid w:linePitch="312"/>
            </w:sectPr>
          </w:pPr>
        </w:p>
        <w:p>
          <w:pPr>
            <w:pStyle w:val="Style217"/>
          </w:pPr>
        </w:p>
      </w:sdtContent>
    </w:sdt>
    <w:p>
      <w:pPr>
        <w:pStyle w:val="Style180"/>
        <w:ind w:left="105"/>
      </w:pPr>
      <w:r>
        <w:rPr>
          <w:rFonts w:hint="eastAsia"/>
        </w:rPr>
        <w:t>可收回金额按公允价值减去处置费用后的净额确定</w:t>
      </w:r>
    </w:p>
    <w:sdt>
      <w:sdtPr>
        <w:alias w:val="是否适用：可收回金额按公允价值减去处置费用后的净额确定[双击切换]"/>
        <w:tag w:val="_GBC_d3038797d38a4401b89fb8fc1fb11846"/>
        <w:id w:val="-158977299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ind w:left="105"/>
      </w:pPr>
      <w:r>
        <w:rPr>
          <w:rFonts w:hint="eastAsia"/>
        </w:rPr>
        <w:t>可收回金额按预计未来现金流量的现值确定</w:t>
      </w:r>
    </w:p>
    <w:sdt>
      <w:sdtPr>
        <w:rPr>
          <w:rFonts w:hint="eastAsia"/>
        </w:rPr>
        <w:alias w:val="是否适用：可收回金额按预计未来现金流量的现值确定[双击切换]"/>
        <w:tag w:val="_GBC_24d330fe44d94151b7d1b5c7aeb6deb4"/>
        <w:id w:val="75714977"/>
        <w:placeholder>
          <w:docPart w:val="GBC22222222222222222222222222222"/>
        </w:placeholder>
      </w:sdtPr>
      <w:sdtContent>
        <w:p>
          <w:pPr>
            <w:pStyle w:val="Style175"/>
          </w:pPr>
          <w:r>
            <w:rPr>
              <w:rFonts w:ascii="宋体" w:hAnsi="宋体"/>
              <w:sz w:val="21"/>
            </w:rPr>
            <w:fldChar w:fldCharType="begin"/>
          </w:r>
          <w:r>
            <w:rPr>
              <w:rFonts w:ascii="宋体" w:hAnsi="宋体" w:hint="eastAsia"/>
              <w:sz w:val="21"/>
            </w:rPr>
            <w:instrText xml:space="preserve"> MACROBUTTON  SnrToggleCheckbox □适用 </w:instrText>
          </w:r>
          <w:r>
            <w:rPr>
              <w:rFonts w:ascii="宋体" w:hAnsi="宋体"/>
              <w:sz w:val="21"/>
            </w:rPr>
            <w:fldChar w:fldCharType="end"/>
          </w:r>
          <w:r>
            <w:rPr>
              <w:rFonts w:ascii="宋体" w:hAnsi="宋体"/>
              <w:sz w:val="21"/>
            </w:rPr>
            <w:fldChar w:fldCharType="begin"/>
          </w:r>
          <w:r>
            <w:rPr>
              <w:rFonts w:ascii="宋体" w:hAnsi="宋体" w:hint="eastAsia"/>
              <w:sz w:val="21"/>
            </w:rPr>
            <w:instrText xml:space="preserve"> MACROBUTTON  SnrToggleCheckbox √不适用 </w:instrText>
          </w:r>
          <w:r>
            <w:rPr>
              <w:rFonts w:ascii="宋体" w:hAnsi="宋体"/>
              <w:sz w:val="21"/>
            </w:rPr>
            <w:fldChar w:fldCharType="end"/>
          </w:r>
        </w:p>
      </w:sdtContent>
    </w:sdt>
    <w:p>
      <w:pPr>
        <w:pStyle w:val="Style217"/>
      </w:pPr>
    </w:p>
    <w:p>
      <w:pPr>
        <w:pStyle w:val="Style180"/>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53217500891c4eecac0a0ea6216dc5f2"/>
        <w:id w:val="-67965280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80"/>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941248173701497daa6efb275c38c31c"/>
        <w:id w:val="-48671222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autoSpaceDE w:val="0"/>
        <w:autoSpaceDN w:val="0"/>
        <w:adjustRightInd w:val="0"/>
      </w:pPr>
      <w:bookmarkStart w:id="470" w:name="_Hlk152863567"/>
      <w:r>
        <w:rPr>
          <w:rFonts w:hint="eastAsia"/>
        </w:rPr>
        <w:t>其他说明：</w:t>
      </w:r>
    </w:p>
    <w:p>
      <w:pPr>
        <w:pStyle w:val="Style217"/>
      </w:pPr>
      <w:sdt>
        <w:sdtPr>
          <w:alias w:val="使用权资产其他说明"/>
          <w:tag w:val="_GBC_41c40d661bff4f1b859d4bd00049983c"/>
          <w:id w:val="1410110323"/>
          <w:placeholder>
            <w:docPart w:val="GBC22222222222222222222222222222"/>
          </w:placeholder>
        </w:sdtPr>
        <w:sdtContent>
          <w:r>
            <w:rPr>
              <w:rFonts w:hint="eastAsia"/>
            </w:rPr>
            <w:t>-</w:t>
          </w:r>
        </w:sdtContent>
      </w:sdt>
    </w:p>
    <w:bookmarkEnd w:id="470"/>
    <w:p>
      <w:pPr>
        <w:pStyle w:val="Style178"/>
        <w:numPr>
          <w:ilvl w:val="0"/>
          <w:numId w:val="75"/>
        </w:numPr>
        <w:rPr>
          <w:szCs w:val="21"/>
        </w:rPr>
      </w:pPr>
      <w:r>
        <w:rPr>
          <w:szCs w:val="21"/>
        </w:rPr>
        <w:t>无形资产</w:t>
      </w:r>
    </w:p>
    <w:p>
      <w:pPr>
        <w:pStyle w:val="Style179"/>
        <w:numPr>
          <w:ilvl w:val="3"/>
          <w:numId w:val="95"/>
        </w:numPr>
        <w:ind w:left="426" w:hanging="426"/>
      </w:pPr>
      <w:r>
        <w:rPr>
          <w:rFonts w:hint="eastAsia"/>
        </w:rPr>
        <w:t>无形资产情况</w:t>
      </w:r>
    </w:p>
    <w:sdt>
      <w:sdtPr>
        <w:rPr>
          <w:rFonts w:hint="eastAsia"/>
        </w:rPr>
        <w:alias w:val="是否适用：无形资产情况[双击切换]"/>
        <w:tag w:val="_GBC_42237c7a99c64602a661c1668bc893bd"/>
        <w:id w:val="15662315"/>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rPr>
            <w:rFonts w:hint="eastAsia"/>
          </w:rPr>
          <w:alias w:val="单位：财务附注：无形资产情况"/>
          <w:tag w:val="_GBC_37e64bddc8e645b48a19b4e7bafb7839"/>
          <w:id w:val="10616840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无形资产情况"/>
          <w:tag w:val="_GBC_2c85ccef3cf1470c8cf657b14b474192"/>
          <w:id w:val="14284665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41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1502"/>
        <w:gridCol w:w="1502"/>
        <w:gridCol w:w="1502"/>
        <w:gridCol w:w="1503"/>
        <w:gridCol w:w="1503"/>
        <w:gridCol w:w="1503"/>
        <w:gridCol w:w="1503"/>
        <w:gridCol w:w="1509"/>
      </w:tblGrid>
      <w:tr>
        <w:trPr>
          <w:trHeight w:val="344"/>
        </w:trPr>
        <w:sdt>
          <w:sdtPr>
            <w:tag w:val="_PLD_0d0c5c4c9acf46eaa7c41a19eb731a5c"/>
            <w:id w:val="262816726"/>
          </w:sdtPr>
          <w:sdtContent>
            <w:tc>
              <w:tcPr>
                <w:tcW w:w="2148" w:type="dxa"/>
                <w:vAlign w:val="center"/>
              </w:tcPr>
              <w:p>
                <w:pPr>
                  <w:jc w:val="center"/>
                </w:pPr>
                <w:r>
                  <w:rPr>
                    <w:rFonts w:hint="eastAsia"/>
                  </w:rPr>
                  <w:t>项目</w:t>
                </w:r>
              </w:p>
            </w:tc>
          </w:sdtContent>
        </w:sdt>
        <w:tc>
          <w:tcPr>
            <w:tcW w:w="1502" w:type="dxa"/>
            <w:vAlign w:val="center"/>
          </w:tcPr>
          <w:p>
            <w:pPr>
              <w:jc w:val="center"/>
            </w:pPr>
            <w:r>
              <w:rPr>
                <w:rFonts w:ascii="宋体" w:hAnsi="宋体" w:cs="宋体" w:hint="eastAsia"/>
                <w:sz w:val="18"/>
                <w:szCs w:val="18"/>
              </w:rPr>
              <w:t>采矿权</w:t>
            </w:r>
          </w:p>
        </w:tc>
        <w:tc>
          <w:tcPr>
            <w:tcW w:w="1502" w:type="dxa"/>
            <w:vAlign w:val="center"/>
          </w:tcPr>
          <w:p>
            <w:pPr>
              <w:jc w:val="center"/>
            </w:pPr>
            <w:r>
              <w:rPr>
                <w:rFonts w:ascii="宋体" w:hAnsi="宋体" w:cs="宋体" w:hint="eastAsia"/>
                <w:sz w:val="18"/>
                <w:szCs w:val="18"/>
              </w:rPr>
              <w:t>未探明矿区权益</w:t>
            </w:r>
          </w:p>
        </w:tc>
        <w:tc>
          <w:tcPr>
            <w:tcW w:w="1502" w:type="dxa"/>
            <w:vAlign w:val="center"/>
          </w:tcPr>
          <w:p>
            <w:pPr>
              <w:jc w:val="center"/>
            </w:pPr>
            <w:r>
              <w:rPr>
                <w:rFonts w:ascii="宋体" w:hAnsi="宋体" w:cs="宋体" w:hint="eastAsia"/>
                <w:sz w:val="18"/>
                <w:szCs w:val="18"/>
              </w:rPr>
              <w:t>土地使用权</w:t>
            </w:r>
          </w:p>
        </w:tc>
        <w:tc>
          <w:tcPr>
            <w:tcW w:w="1503" w:type="dxa"/>
            <w:vAlign w:val="center"/>
          </w:tcPr>
          <w:p>
            <w:pPr>
              <w:jc w:val="center"/>
            </w:pPr>
            <w:r>
              <w:rPr>
                <w:rFonts w:ascii="宋体" w:hAnsi="宋体" w:cs="宋体" w:hint="eastAsia"/>
                <w:sz w:val="18"/>
                <w:szCs w:val="18"/>
              </w:rPr>
              <w:t>专利和专有技术</w:t>
            </w:r>
          </w:p>
        </w:tc>
        <w:tc>
          <w:tcPr>
            <w:tcW w:w="1503" w:type="dxa"/>
            <w:vAlign w:val="center"/>
          </w:tcPr>
          <w:p>
            <w:pPr>
              <w:jc w:val="center"/>
            </w:pPr>
            <w:r>
              <w:rPr>
                <w:rFonts w:ascii="宋体" w:hAnsi="宋体" w:cs="宋体" w:hint="eastAsia"/>
                <w:sz w:val="18"/>
                <w:szCs w:val="18"/>
              </w:rPr>
              <w:t>水资源使用权</w:t>
            </w:r>
          </w:p>
        </w:tc>
        <w:tc>
          <w:tcPr>
            <w:tcW w:w="1503" w:type="dxa"/>
            <w:vAlign w:val="center"/>
          </w:tcPr>
          <w:p>
            <w:pPr>
              <w:jc w:val="center"/>
            </w:pPr>
            <w:r>
              <w:rPr>
                <w:rFonts w:ascii="宋体" w:hAnsi="宋体" w:cs="宋体" w:hint="eastAsia"/>
                <w:sz w:val="18"/>
                <w:szCs w:val="18"/>
              </w:rPr>
              <w:t>产能置换</w:t>
            </w:r>
          </w:p>
        </w:tc>
        <w:tc>
          <w:tcPr>
            <w:tcW w:w="1503" w:type="dxa"/>
            <w:vAlign w:val="center"/>
          </w:tcPr>
          <w:p>
            <w:pPr>
              <w:jc w:val="center"/>
            </w:pPr>
            <w:r>
              <w:rPr>
                <w:rFonts w:ascii="宋体" w:hAnsi="宋体" w:cs="宋体" w:hint="eastAsia"/>
                <w:sz w:val="18"/>
                <w:szCs w:val="18"/>
              </w:rPr>
              <w:t>计算机软件</w:t>
            </w:r>
          </w:p>
        </w:tc>
        <w:tc>
          <w:tcPr>
            <w:tcW w:w="1509" w:type="dxa"/>
            <w:vAlign w:val="center"/>
          </w:tcPr>
          <w:p>
            <w:pPr>
              <w:jc w:val="center"/>
            </w:pPr>
            <w:r>
              <w:rPr>
                <w:rFonts w:ascii="宋体" w:hAnsi="宋体" w:cs="宋体" w:hint="eastAsia"/>
                <w:sz w:val="18"/>
                <w:szCs w:val="18"/>
              </w:rPr>
              <w:t>合计</w:t>
            </w:r>
          </w:p>
        </w:tc>
      </w:tr>
      <w:tr>
        <w:trPr>
          <w:trHeight w:val="344"/>
        </w:trPr>
        <w:sdt>
          <w:sdtPr>
            <w:tag w:val="_PLD_d38b2136312a4180852ade61efe6b93c"/>
            <w:id w:val="-1105029567"/>
          </w:sdtPr>
          <w:sdtContent>
            <w:tc>
              <w:tcPr>
                <w:tcW w:w="14175" w:type="dxa"/>
                <w:gridSpan w:val="9"/>
                <w:vAlign w:val="center"/>
              </w:tcPr>
              <w:p>
                <w:pPr>
                  <w:pStyle w:val="Style217"/>
                </w:pPr>
                <w:r>
                  <w:t>一、</w:t>
                </w:r>
                <w:r>
                  <w:rPr>
                    <w:rFonts w:hint="eastAsia"/>
                  </w:rPr>
                  <w:t>账面原值</w:t>
                </w:r>
              </w:p>
            </w:tc>
          </w:sdtContent>
        </w:sdt>
      </w:tr>
      <w:tr>
        <w:trPr>
          <w:trHeight w:val="344"/>
        </w:trPr>
        <w:tc>
          <w:tcPr>
            <w:tcW w:w="2148" w:type="dxa"/>
            <w:vAlign w:val="center"/>
          </w:tcPr>
          <w:p>
            <w:pPr>
              <w:pStyle w:val="Style93"/>
            </w:pPr>
            <w:r>
              <w:t>1.</w:t>
            </w:r>
            <w:r>
              <w:rPr>
                <w:rFonts w:hint="eastAsia"/>
              </w:rPr>
              <w:t>期</w:t>
            </w:r>
            <w:r>
              <w:t>初余额</w:t>
            </w:r>
          </w:p>
        </w:tc>
        <w:tc>
          <w:tcPr>
            <w:tcW w:w="1502" w:type="dxa"/>
            <w:vAlign w:val="center"/>
          </w:tcPr>
          <w:p>
            <w:pPr>
              <w:jc w:val="right"/>
            </w:pPr>
            <w:r>
              <w:rPr>
                <w:rFonts w:ascii="宋体" w:hAnsi="宋体" w:cs="宋体" w:hint="eastAsia"/>
              </w:rPr>
              <w:t>97,726,799</w:t>
            </w:r>
          </w:p>
        </w:tc>
        <w:tc>
          <w:tcPr>
            <w:tcW w:w="1502" w:type="dxa"/>
            <w:vAlign w:val="center"/>
          </w:tcPr>
          <w:p>
            <w:pPr>
              <w:jc w:val="right"/>
            </w:pPr>
            <w:r>
              <w:rPr>
                <w:rFonts w:ascii="宋体" w:hAnsi="宋体" w:cs="宋体" w:hint="eastAsia"/>
              </w:rPr>
              <w:t>6,588,392</w:t>
            </w:r>
          </w:p>
        </w:tc>
        <w:tc>
          <w:tcPr>
            <w:tcW w:w="1502" w:type="dxa"/>
            <w:vAlign w:val="center"/>
          </w:tcPr>
          <w:p>
            <w:pPr>
              <w:jc w:val="right"/>
            </w:pPr>
            <w:r>
              <w:rPr>
                <w:rFonts w:ascii="宋体" w:hAnsi="宋体" w:cs="宋体" w:hint="eastAsia"/>
              </w:rPr>
              <w:t>7,253,364</w:t>
            </w:r>
          </w:p>
        </w:tc>
        <w:tc>
          <w:tcPr>
            <w:tcW w:w="1503" w:type="dxa"/>
            <w:vAlign w:val="center"/>
          </w:tcPr>
          <w:p>
            <w:pPr>
              <w:jc w:val="right"/>
            </w:pPr>
            <w:r>
              <w:rPr>
                <w:rFonts w:ascii="宋体" w:hAnsi="宋体" w:cs="宋体" w:hint="eastAsia"/>
              </w:rPr>
              <w:t>1,268,901</w:t>
            </w:r>
          </w:p>
        </w:tc>
        <w:tc>
          <w:tcPr>
            <w:tcW w:w="1503" w:type="dxa"/>
            <w:vAlign w:val="center"/>
          </w:tcPr>
          <w:p>
            <w:pPr>
              <w:jc w:val="right"/>
            </w:pPr>
            <w:r>
              <w:rPr>
                <w:rFonts w:ascii="宋体" w:hAnsi="宋体" w:cs="宋体" w:hint="eastAsia"/>
              </w:rPr>
              <w:t>575,494</w:t>
            </w:r>
          </w:p>
        </w:tc>
        <w:tc>
          <w:tcPr>
            <w:tcW w:w="1503" w:type="dxa"/>
            <w:vAlign w:val="center"/>
          </w:tcPr>
          <w:p>
            <w:pPr>
              <w:jc w:val="right"/>
            </w:pPr>
            <w:r>
              <w:rPr>
                <w:rFonts w:ascii="宋体" w:hAnsi="宋体" w:cs="宋体" w:hint="eastAsia"/>
              </w:rPr>
              <w:t>4,427,509</w:t>
            </w:r>
          </w:p>
        </w:tc>
        <w:tc>
          <w:tcPr>
            <w:tcW w:w="1503" w:type="dxa"/>
            <w:vAlign w:val="center"/>
          </w:tcPr>
          <w:p>
            <w:pPr>
              <w:jc w:val="right"/>
            </w:pPr>
            <w:r>
              <w:rPr>
                <w:rFonts w:ascii="宋体" w:hAnsi="宋体" w:cs="宋体" w:hint="eastAsia"/>
              </w:rPr>
              <w:t>746,944</w:t>
            </w:r>
          </w:p>
        </w:tc>
        <w:tc>
          <w:tcPr>
            <w:tcW w:w="1509" w:type="dxa"/>
            <w:vAlign w:val="center"/>
          </w:tcPr>
          <w:p>
            <w:pPr>
              <w:jc w:val="right"/>
            </w:pPr>
            <w:r>
              <w:rPr>
                <w:rFonts w:ascii="宋体" w:hAnsi="宋体" w:cs="宋体" w:hint="eastAsia"/>
              </w:rPr>
              <w:t>118,587,403</w:t>
            </w:r>
          </w:p>
        </w:tc>
      </w:tr>
      <w:tr>
        <w:trPr>
          <w:trHeight w:val="344"/>
        </w:trPr>
        <w:tc>
          <w:tcPr>
            <w:tcW w:w="2148" w:type="dxa"/>
            <w:vAlign w:val="center"/>
          </w:tcPr>
          <w:p>
            <w:pPr>
              <w:pStyle w:val="Style93"/>
            </w:pPr>
            <w:r>
              <w:t>2.</w:t>
            </w:r>
            <w:r>
              <w:t>本期增加</w:t>
            </w:r>
            <w:r>
              <w:rPr>
                <w:rFonts w:hint="eastAsia"/>
              </w:rPr>
              <w:t>金额</w:t>
            </w:r>
          </w:p>
        </w:tc>
        <w:tc>
          <w:tcPr>
            <w:tcW w:w="1502" w:type="dxa"/>
            <w:vAlign w:val="center"/>
          </w:tcPr>
          <w:p>
            <w:pPr>
              <w:jc w:val="right"/>
            </w:pPr>
            <w:r>
              <w:rPr>
                <w:rFonts w:ascii="宋体" w:hAnsi="宋体" w:cs="宋体"/>
              </w:rPr>
              <w:t>17,170,129</w:t>
            </w:r>
          </w:p>
        </w:tc>
        <w:tc>
          <w:tcPr>
            <w:tcW w:w="1502" w:type="dxa"/>
            <w:vAlign w:val="center"/>
          </w:tcPr>
          <w:p>
            <w:pPr>
              <w:jc w:val="right"/>
            </w:pPr>
            <w:r>
              <w:rPr>
                <w:rFonts w:ascii="宋体" w:hAnsi="宋体" w:cs="宋体" w:hint="eastAsia"/>
              </w:rPr>
              <w:t>796,192</w:t>
            </w:r>
          </w:p>
        </w:tc>
        <w:tc>
          <w:tcPr>
            <w:tcW w:w="1502" w:type="dxa"/>
            <w:vAlign w:val="center"/>
          </w:tcPr>
          <w:p>
            <w:pPr>
              <w:jc w:val="right"/>
            </w:pPr>
            <w:r>
              <w:rPr>
                <w:rFonts w:ascii="宋体" w:hAnsi="宋体" w:cs="宋体" w:hint="eastAsia"/>
              </w:rPr>
              <w:t>895,151</w:t>
            </w:r>
          </w:p>
        </w:tc>
        <w:tc>
          <w:tcPr>
            <w:tcW w:w="1503" w:type="dxa"/>
            <w:vAlign w:val="center"/>
          </w:tcPr>
          <w:p>
            <w:pPr>
              <w:jc w:val="right"/>
            </w:pPr>
            <w:r>
              <w:rPr>
                <w:rFonts w:ascii="宋体" w:hAnsi="宋体" w:cs="宋体" w:hint="eastAsia"/>
              </w:rPr>
              <w:t>1,387</w:t>
            </w:r>
          </w:p>
        </w:tc>
        <w:tc>
          <w:tcPr>
            <w:tcW w:w="1503" w:type="dxa"/>
            <w:vAlign w:val="center"/>
          </w:tcPr>
          <w:p>
            <w:pPr>
              <w:jc w:val="right"/>
            </w:pPr>
            <w:r>
              <w:rPr>
                <w:rFonts w:ascii="宋体" w:hAnsi="宋体" w:cs="宋体" w:hint="eastAsia"/>
              </w:rPr>
              <w:t>1,582</w:t>
            </w:r>
          </w:p>
        </w:tc>
        <w:tc>
          <w:tcPr>
            <w:tcW w:w="1503" w:type="dxa"/>
            <w:vAlign w:val="center"/>
          </w:tcPr>
          <w:p>
            <w:pPr>
              <w:jc w:val="right"/>
            </w:pPr>
            <w:r>
              <w:rPr>
                <w:rFonts w:ascii="宋体" w:hAnsi="宋体" w:cs="宋体" w:hint="eastAsia"/>
              </w:rPr>
              <w:t>80,832</w:t>
            </w:r>
          </w:p>
        </w:tc>
        <w:tc>
          <w:tcPr>
            <w:tcW w:w="1503" w:type="dxa"/>
            <w:vAlign w:val="center"/>
          </w:tcPr>
          <w:p>
            <w:pPr>
              <w:jc w:val="right"/>
            </w:pPr>
            <w:r>
              <w:rPr>
                <w:rFonts w:ascii="宋体" w:hAnsi="宋体" w:cs="宋体" w:hint="eastAsia"/>
              </w:rPr>
              <w:t>69,185</w:t>
            </w:r>
          </w:p>
        </w:tc>
        <w:tc>
          <w:tcPr>
            <w:tcW w:w="1509" w:type="dxa"/>
            <w:vAlign w:val="center"/>
          </w:tcPr>
          <w:p>
            <w:pPr>
              <w:jc w:val="right"/>
            </w:pPr>
            <w:r>
              <w:rPr>
                <w:rFonts w:ascii="宋体" w:hAnsi="宋体" w:cs="宋体"/>
              </w:rPr>
              <w:t>19,014,458</w:t>
            </w:r>
          </w:p>
        </w:tc>
      </w:tr>
      <w:tr>
        <w:trPr>
          <w:trHeight w:val="344"/>
        </w:trPr>
        <w:tc>
          <w:tcPr>
            <w:tcW w:w="2148" w:type="dxa"/>
            <w:vAlign w:val="center"/>
          </w:tcPr>
          <w:p>
            <w:pPr>
              <w:pStyle w:val="Style93"/>
            </w:pPr>
            <w:r>
              <w:rPr>
                <w:rFonts w:hint="eastAsia"/>
              </w:rPr>
              <w:t>（</w:t>
            </w:r>
            <w:r>
              <w:rPr>
                <w:rFonts w:hint="eastAsia"/>
              </w:rPr>
              <w:t>1</w:t>
            </w:r>
            <w:r>
              <w:rPr>
                <w:rFonts w:hint="eastAsia"/>
              </w:rPr>
              <w:t>）购置</w:t>
            </w:r>
          </w:p>
        </w:tc>
        <w:tc>
          <w:tcPr>
            <w:tcW w:w="1502" w:type="dxa"/>
            <w:vAlign w:val="center"/>
          </w:tcPr>
          <w:p>
            <w:pPr>
              <w:jc w:val="right"/>
            </w:pPr>
            <w:r>
              <w:rPr>
                <w:rFonts w:ascii="宋体" w:hAnsi="宋体" w:cs="宋体" w:hint="eastAsia"/>
              </w:rPr>
              <w:t>16,868,994</w:t>
            </w:r>
          </w:p>
        </w:tc>
        <w:tc>
          <w:tcPr>
            <w:tcW w:w="1502" w:type="dxa"/>
            <w:vAlign w:val="center"/>
          </w:tcPr>
          <w:p>
            <w:pPr>
              <w:jc w:val="right"/>
            </w:pPr>
            <w:r>
              <w:rPr>
                <w:rFonts w:ascii="宋体" w:hAnsi="宋体" w:cs="宋体" w:hint="eastAsia"/>
              </w:rPr>
              <w:t>796,192</w:t>
            </w:r>
          </w:p>
        </w:tc>
        <w:tc>
          <w:tcPr>
            <w:tcW w:w="1502" w:type="dxa"/>
            <w:vAlign w:val="center"/>
          </w:tcPr>
          <w:p>
            <w:pPr>
              <w:jc w:val="right"/>
            </w:pPr>
            <w:r>
              <w:rPr>
                <w:rFonts w:ascii="宋体" w:hAnsi="宋体" w:cs="宋体" w:hint="eastAsia"/>
              </w:rPr>
              <w:t>342,007</w:t>
            </w:r>
          </w:p>
        </w:tc>
        <w:tc>
          <w:tcPr>
            <w:tcW w:w="1503" w:type="dxa"/>
            <w:vAlign w:val="center"/>
          </w:tcPr>
          <w:p>
            <w:pPr>
              <w:jc w:val="right"/>
            </w:pPr>
            <w:r>
              <w:rPr>
                <w:rFonts w:ascii="宋体" w:hAnsi="宋体" w:cs="宋体" w:hint="eastAsia"/>
              </w:rPr>
              <w:t>315</w:t>
            </w:r>
          </w:p>
        </w:tc>
        <w:tc>
          <w:tcPr>
            <w:tcW w:w="1503" w:type="dxa"/>
            <w:vAlign w:val="center"/>
          </w:tcPr>
          <w:p>
            <w:pPr>
              <w:jc w:val="right"/>
            </w:pPr>
          </w:p>
        </w:tc>
        <w:tc>
          <w:tcPr>
            <w:tcW w:w="1503" w:type="dxa"/>
            <w:vAlign w:val="center"/>
          </w:tcPr>
          <w:p>
            <w:pPr>
              <w:jc w:val="right"/>
            </w:pPr>
            <w:r>
              <w:rPr>
                <w:rFonts w:ascii="宋体" w:hAnsi="宋体" w:cs="宋体" w:hint="eastAsia"/>
              </w:rPr>
              <w:t>53,208</w:t>
            </w:r>
          </w:p>
        </w:tc>
        <w:tc>
          <w:tcPr>
            <w:tcW w:w="1503" w:type="dxa"/>
            <w:vAlign w:val="center"/>
          </w:tcPr>
          <w:p>
            <w:pPr>
              <w:jc w:val="right"/>
            </w:pPr>
            <w:r>
              <w:rPr>
                <w:rFonts w:ascii="宋体" w:hAnsi="宋体" w:cs="宋体" w:hint="eastAsia"/>
              </w:rPr>
              <w:t>15,329</w:t>
            </w:r>
          </w:p>
        </w:tc>
        <w:tc>
          <w:tcPr>
            <w:tcW w:w="1509" w:type="dxa"/>
            <w:vAlign w:val="center"/>
          </w:tcPr>
          <w:p>
            <w:pPr>
              <w:jc w:val="right"/>
            </w:pPr>
            <w:r>
              <w:rPr>
                <w:rFonts w:ascii="宋体" w:hAnsi="宋体" w:cs="宋体" w:hint="eastAsia"/>
              </w:rPr>
              <w:t>18,076,045</w:t>
            </w:r>
          </w:p>
        </w:tc>
      </w:tr>
      <w:tr>
        <w:trPr>
          <w:trHeight w:val="344"/>
        </w:trPr>
        <w:tc>
          <w:tcPr>
            <w:tcW w:w="2148" w:type="dxa"/>
          </w:tcPr>
          <w:p>
            <w:pPr>
              <w:pStyle w:val="Style93"/>
            </w:pPr>
            <w:r>
              <w:rPr>
                <w:rFonts w:ascii="宋体" w:hAnsi="宋体" w:cs="宋体" w:hint="eastAsia"/>
              </w:rPr>
              <w:t>（2）在建工程转入</w:t>
            </w:r>
          </w:p>
        </w:tc>
        <w:tc>
          <w:tcPr>
            <w:tcW w:w="1502" w:type="dxa"/>
            <w:vAlign w:val="center"/>
          </w:tcPr>
          <w:p>
            <w:pPr>
              <w:jc w:val="right"/>
            </w:pPr>
          </w:p>
        </w:tc>
        <w:tc>
          <w:tcPr>
            <w:tcW w:w="1502" w:type="dxa"/>
            <w:vAlign w:val="center"/>
          </w:tcPr>
          <w:p>
            <w:pPr>
              <w:jc w:val="right"/>
            </w:pPr>
          </w:p>
        </w:tc>
        <w:tc>
          <w:tcPr>
            <w:tcW w:w="1502" w:type="dxa"/>
            <w:vAlign w:val="center"/>
          </w:tcPr>
          <w:p>
            <w:pPr>
              <w:jc w:val="right"/>
            </w:pPr>
            <w:r>
              <w:rPr>
                <w:rFonts w:ascii="宋体" w:hAnsi="宋体" w:cs="宋体" w:hint="eastAsia"/>
              </w:rPr>
              <w:t>441,059</w:t>
            </w:r>
          </w:p>
        </w:tc>
        <w:tc>
          <w:tcPr>
            <w:tcW w:w="1503" w:type="dxa"/>
            <w:vAlign w:val="center"/>
          </w:tcPr>
          <w:p>
            <w:pPr>
              <w:jc w:val="right"/>
            </w:pPr>
            <w:r>
              <w:rPr>
                <w:rFonts w:ascii="宋体" w:hAnsi="宋体" w:cs="宋体" w:hint="eastAsia"/>
              </w:rPr>
              <w:t>1,072</w:t>
            </w:r>
          </w:p>
        </w:tc>
        <w:tc>
          <w:tcPr>
            <w:tcW w:w="1503" w:type="dxa"/>
            <w:vAlign w:val="center"/>
          </w:tcPr>
          <w:p>
            <w:pPr>
              <w:jc w:val="right"/>
            </w:pPr>
          </w:p>
        </w:tc>
        <w:tc>
          <w:tcPr>
            <w:tcW w:w="1503" w:type="dxa"/>
            <w:vAlign w:val="center"/>
          </w:tcPr>
          <w:p>
            <w:pPr>
              <w:jc w:val="right"/>
            </w:pPr>
            <w:r>
              <w:rPr>
                <w:rFonts w:ascii="宋体" w:hAnsi="宋体" w:cs="宋体" w:hint="eastAsia"/>
              </w:rPr>
              <w:t>27,624</w:t>
            </w:r>
          </w:p>
        </w:tc>
        <w:tc>
          <w:tcPr>
            <w:tcW w:w="1503" w:type="dxa"/>
            <w:vAlign w:val="center"/>
          </w:tcPr>
          <w:p>
            <w:pPr>
              <w:jc w:val="right"/>
            </w:pPr>
            <w:r>
              <w:rPr>
                <w:rFonts w:ascii="宋体" w:hAnsi="宋体" w:cs="宋体" w:hint="eastAsia"/>
              </w:rPr>
              <w:t>29,933</w:t>
            </w:r>
          </w:p>
        </w:tc>
        <w:tc>
          <w:tcPr>
            <w:tcW w:w="1509" w:type="dxa"/>
            <w:vAlign w:val="center"/>
          </w:tcPr>
          <w:p>
            <w:pPr>
              <w:jc w:val="right"/>
            </w:pPr>
            <w:r>
              <w:rPr>
                <w:rFonts w:ascii="宋体" w:hAnsi="宋体" w:cs="宋体" w:hint="eastAsia"/>
              </w:rPr>
              <w:t>499,688</w:t>
            </w:r>
          </w:p>
        </w:tc>
      </w:tr>
      <w:tr>
        <w:trPr>
          <w:trHeight w:val="344"/>
        </w:trPr>
        <w:tc>
          <w:tcPr>
            <w:tcW w:w="2148" w:type="dxa"/>
          </w:tcPr>
          <w:p>
            <w:pPr>
              <w:pStyle w:val="Style93"/>
            </w:pPr>
            <w:r>
              <w:rPr>
                <w:rFonts w:ascii="宋体" w:hAnsi="宋体" w:cs="宋体" w:hint="eastAsia"/>
              </w:rPr>
              <w:lastRenderedPageBreak/>
              <w:t>（3）其它</w:t>
            </w:r>
          </w:p>
        </w:tc>
        <w:tc>
          <w:tcPr>
            <w:tcW w:w="1502" w:type="dxa"/>
            <w:vAlign w:val="center"/>
          </w:tcPr>
          <w:p>
            <w:pPr>
              <w:jc w:val="right"/>
            </w:pPr>
            <w:r>
              <w:rPr>
                <w:rFonts w:ascii="宋体" w:hAnsi="宋体" w:cs="宋体"/>
              </w:rPr>
              <w:t>301,135</w:t>
            </w:r>
          </w:p>
        </w:tc>
        <w:tc>
          <w:tcPr>
            <w:tcW w:w="1502" w:type="dxa"/>
            <w:vAlign w:val="center"/>
          </w:tcPr>
          <w:p>
            <w:pPr>
              <w:jc w:val="right"/>
            </w:pPr>
          </w:p>
        </w:tc>
        <w:tc>
          <w:tcPr>
            <w:tcW w:w="1502" w:type="dxa"/>
            <w:vAlign w:val="center"/>
          </w:tcPr>
          <w:p>
            <w:pPr>
              <w:jc w:val="right"/>
            </w:pPr>
            <w:r>
              <w:rPr>
                <w:rFonts w:ascii="宋体" w:hAnsi="宋体" w:cs="宋体" w:hint="eastAsia"/>
              </w:rPr>
              <w:t>112,085</w:t>
            </w:r>
          </w:p>
        </w:tc>
        <w:tc>
          <w:tcPr>
            <w:tcW w:w="1503" w:type="dxa"/>
            <w:vAlign w:val="center"/>
          </w:tcPr>
          <w:p>
            <w:pPr>
              <w:jc w:val="right"/>
            </w:pPr>
          </w:p>
        </w:tc>
        <w:tc>
          <w:tcPr>
            <w:tcW w:w="1503" w:type="dxa"/>
            <w:vAlign w:val="center"/>
          </w:tcPr>
          <w:p>
            <w:pPr>
              <w:jc w:val="right"/>
            </w:pPr>
            <w:r>
              <w:rPr>
                <w:rFonts w:ascii="宋体" w:hAnsi="宋体" w:cs="宋体" w:hint="eastAsia"/>
              </w:rPr>
              <w:t>1,582</w:t>
            </w:r>
          </w:p>
        </w:tc>
        <w:tc>
          <w:tcPr>
            <w:tcW w:w="1503" w:type="dxa"/>
            <w:vAlign w:val="center"/>
          </w:tcPr>
          <w:p>
            <w:pPr>
              <w:jc w:val="right"/>
            </w:pPr>
          </w:p>
        </w:tc>
        <w:tc>
          <w:tcPr>
            <w:tcW w:w="1503" w:type="dxa"/>
            <w:vAlign w:val="center"/>
          </w:tcPr>
          <w:p>
            <w:pPr>
              <w:jc w:val="right"/>
            </w:pPr>
            <w:r>
              <w:rPr>
                <w:rFonts w:ascii="宋体" w:hAnsi="宋体" w:cs="宋体" w:hint="eastAsia"/>
              </w:rPr>
              <w:t>23,923</w:t>
            </w:r>
          </w:p>
        </w:tc>
        <w:tc>
          <w:tcPr>
            <w:tcW w:w="1509" w:type="dxa"/>
            <w:vAlign w:val="center"/>
          </w:tcPr>
          <w:p>
            <w:pPr>
              <w:jc w:val="right"/>
            </w:pPr>
            <w:r>
              <w:rPr>
                <w:rFonts w:ascii="宋体" w:hAnsi="宋体" w:cs="宋体" w:hint="eastAsia"/>
              </w:rPr>
              <w:t>4</w:t>
            </w:r>
            <w:r>
              <w:rPr>
                <w:rFonts w:ascii="宋体" w:hAnsi="宋体" w:cs="宋体"/>
              </w:rPr>
              <w:t>38,725</w:t>
            </w:r>
          </w:p>
        </w:tc>
      </w:tr>
      <w:tr>
        <w:trPr>
          <w:trHeight w:val="344"/>
        </w:trPr>
        <w:tc>
          <w:tcPr>
            <w:tcW w:w="2148" w:type="dxa"/>
            <w:vAlign w:val="center"/>
          </w:tcPr>
          <w:p>
            <w:pPr>
              <w:pStyle w:val="Style93"/>
            </w:pPr>
            <w:r>
              <w:t>3.</w:t>
            </w:r>
            <w:r>
              <w:t>本期减少</w:t>
            </w:r>
            <w:r>
              <w:rPr>
                <w:rFonts w:hint="eastAsia"/>
              </w:rPr>
              <w:t>金额</w:t>
            </w:r>
          </w:p>
        </w:tc>
        <w:tc>
          <w:tcPr>
            <w:tcW w:w="1502" w:type="dxa"/>
            <w:vAlign w:val="center"/>
          </w:tcPr>
          <w:p>
            <w:pPr>
              <w:jc w:val="right"/>
            </w:pPr>
            <w:r>
              <w:rPr>
                <w:rFonts w:ascii="宋体" w:hAnsi="宋体" w:cs="宋体" w:hint="eastAsia"/>
              </w:rPr>
              <w:t>598,377</w:t>
            </w:r>
          </w:p>
        </w:tc>
        <w:tc>
          <w:tcPr>
            <w:tcW w:w="1502" w:type="dxa"/>
            <w:vAlign w:val="center"/>
          </w:tcPr>
          <w:p>
            <w:pPr>
              <w:jc w:val="right"/>
            </w:pPr>
          </w:p>
        </w:tc>
        <w:tc>
          <w:tcPr>
            <w:tcW w:w="1502" w:type="dxa"/>
            <w:vAlign w:val="center"/>
          </w:tcPr>
          <w:p>
            <w:pPr>
              <w:jc w:val="right"/>
            </w:pPr>
            <w:r>
              <w:rPr>
                <w:rFonts w:ascii="宋体" w:hAnsi="宋体" w:cs="宋体" w:hint="eastAsia"/>
              </w:rPr>
              <w:t>74,774</w:t>
            </w:r>
          </w:p>
        </w:tc>
        <w:tc>
          <w:tcPr>
            <w:tcW w:w="1503" w:type="dxa"/>
            <w:vAlign w:val="center"/>
          </w:tcPr>
          <w:p>
            <w:pPr>
              <w:jc w:val="right"/>
            </w:pPr>
            <w:r>
              <w:rPr>
                <w:rFonts w:ascii="宋体" w:hAnsi="宋体" w:cs="宋体" w:hint="eastAsia"/>
              </w:rPr>
              <w:t>33,214</w:t>
            </w:r>
          </w:p>
        </w:tc>
        <w:tc>
          <w:tcPr>
            <w:tcW w:w="1503" w:type="dxa"/>
            <w:vAlign w:val="center"/>
          </w:tcPr>
          <w:p>
            <w:pPr>
              <w:jc w:val="right"/>
            </w:pPr>
            <w:r>
              <w:rPr>
                <w:rFonts w:ascii="宋体" w:hAnsi="宋体" w:cs="宋体" w:hint="eastAsia"/>
              </w:rPr>
              <w:t>25,749</w:t>
            </w:r>
          </w:p>
        </w:tc>
        <w:tc>
          <w:tcPr>
            <w:tcW w:w="1503" w:type="dxa"/>
            <w:vAlign w:val="center"/>
          </w:tcPr>
          <w:p>
            <w:pPr>
              <w:jc w:val="right"/>
            </w:pPr>
            <w:r>
              <w:rPr>
                <w:rFonts w:ascii="宋体" w:hAnsi="宋体" w:cs="宋体" w:hint="eastAsia"/>
              </w:rPr>
              <w:t>270,984</w:t>
            </w:r>
          </w:p>
        </w:tc>
        <w:tc>
          <w:tcPr>
            <w:tcW w:w="1503" w:type="dxa"/>
            <w:vAlign w:val="center"/>
          </w:tcPr>
          <w:p>
            <w:pPr>
              <w:jc w:val="right"/>
            </w:pPr>
            <w:r>
              <w:rPr>
                <w:rFonts w:ascii="宋体" w:hAnsi="宋体" w:cs="宋体" w:hint="eastAsia"/>
              </w:rPr>
              <w:t>3,644</w:t>
            </w:r>
          </w:p>
        </w:tc>
        <w:tc>
          <w:tcPr>
            <w:tcW w:w="1509" w:type="dxa"/>
            <w:vAlign w:val="center"/>
          </w:tcPr>
          <w:p>
            <w:pPr>
              <w:jc w:val="right"/>
            </w:pPr>
            <w:r>
              <w:t>1,006,742</w:t>
            </w:r>
          </w:p>
        </w:tc>
      </w:tr>
      <w:tr>
        <w:trPr>
          <w:trHeight w:val="344"/>
        </w:trPr>
        <w:tc>
          <w:tcPr>
            <w:tcW w:w="2148" w:type="dxa"/>
            <w:vAlign w:val="center"/>
          </w:tcPr>
          <w:p>
            <w:pPr>
              <w:pStyle w:val="Style93"/>
            </w:pPr>
            <w:r>
              <w:rPr>
                <w:rFonts w:hint="eastAsia"/>
              </w:rPr>
              <w:t>（</w:t>
            </w:r>
            <w:r>
              <w:rPr>
                <w:rFonts w:hint="eastAsia"/>
              </w:rPr>
              <w:t>1</w:t>
            </w:r>
            <w:r>
              <w:rPr>
                <w:rFonts w:hint="eastAsia"/>
              </w:rPr>
              <w:t>）处置</w:t>
            </w:r>
          </w:p>
        </w:tc>
        <w:tc>
          <w:tcPr>
            <w:tcW w:w="1502" w:type="dxa"/>
            <w:vAlign w:val="center"/>
          </w:tcPr>
          <w:p>
            <w:pPr>
              <w:jc w:val="right"/>
            </w:pPr>
            <w:r>
              <w:rPr>
                <w:rFonts w:ascii="宋体" w:hAnsi="宋体" w:cs="宋体" w:hint="eastAsia"/>
              </w:rPr>
              <w:t>598,377</w:t>
            </w:r>
          </w:p>
        </w:tc>
        <w:tc>
          <w:tcPr>
            <w:tcW w:w="1502" w:type="dxa"/>
            <w:vAlign w:val="center"/>
          </w:tcPr>
          <w:p>
            <w:pPr>
              <w:jc w:val="right"/>
            </w:pPr>
          </w:p>
        </w:tc>
        <w:tc>
          <w:tcPr>
            <w:tcW w:w="1502" w:type="dxa"/>
            <w:vAlign w:val="center"/>
          </w:tcPr>
          <w:p>
            <w:pPr>
              <w:jc w:val="right"/>
            </w:pPr>
            <w:r>
              <w:rPr>
                <w:rFonts w:ascii="宋体" w:hAnsi="宋体" w:cs="宋体" w:hint="eastAsia"/>
              </w:rPr>
              <w:t>74,774</w:t>
            </w:r>
          </w:p>
        </w:tc>
        <w:tc>
          <w:tcPr>
            <w:tcW w:w="1503" w:type="dxa"/>
            <w:vAlign w:val="center"/>
          </w:tcPr>
          <w:p>
            <w:pPr>
              <w:jc w:val="right"/>
            </w:pPr>
            <w:r>
              <w:rPr>
                <w:rFonts w:ascii="宋体" w:hAnsi="宋体" w:cs="宋体" w:hint="eastAsia"/>
              </w:rPr>
              <w:t>33,214</w:t>
            </w:r>
          </w:p>
        </w:tc>
        <w:tc>
          <w:tcPr>
            <w:tcW w:w="1503" w:type="dxa"/>
            <w:vAlign w:val="center"/>
          </w:tcPr>
          <w:p>
            <w:pPr>
              <w:jc w:val="right"/>
            </w:pPr>
            <w:r>
              <w:rPr>
                <w:rFonts w:ascii="宋体" w:hAnsi="宋体" w:cs="宋体" w:hint="eastAsia"/>
              </w:rPr>
              <w:t>25,749</w:t>
            </w:r>
          </w:p>
        </w:tc>
        <w:tc>
          <w:tcPr>
            <w:tcW w:w="1503" w:type="dxa"/>
            <w:vAlign w:val="center"/>
          </w:tcPr>
          <w:p>
            <w:pPr>
              <w:jc w:val="right"/>
            </w:pPr>
            <w:r>
              <w:rPr>
                <w:rFonts w:ascii="宋体" w:hAnsi="宋体" w:cs="宋体" w:hint="eastAsia"/>
              </w:rPr>
              <w:t>270,984</w:t>
            </w:r>
          </w:p>
        </w:tc>
        <w:tc>
          <w:tcPr>
            <w:tcW w:w="1503" w:type="dxa"/>
            <w:vAlign w:val="center"/>
          </w:tcPr>
          <w:p>
            <w:pPr>
              <w:jc w:val="right"/>
            </w:pPr>
            <w:r>
              <w:rPr>
                <w:rFonts w:ascii="宋体" w:hAnsi="宋体" w:cs="宋体" w:hint="eastAsia"/>
              </w:rPr>
              <w:t>3,644</w:t>
            </w:r>
          </w:p>
        </w:tc>
        <w:tc>
          <w:tcPr>
            <w:tcW w:w="1509" w:type="dxa"/>
            <w:vAlign w:val="center"/>
          </w:tcPr>
          <w:p>
            <w:pPr>
              <w:jc w:val="right"/>
              <w:rPr>
                <w:rFonts w:ascii="宋体" w:hAnsi="宋体"/>
              </w:rPr>
            </w:pPr>
            <w:r>
              <w:t>1,006,742</w:t>
            </w:r>
          </w:p>
        </w:tc>
      </w:tr>
      <w:tr>
        <w:trPr>
          <w:trHeight w:val="146"/>
        </w:trPr>
        <w:tc>
          <w:tcPr>
            <w:tcW w:w="2148" w:type="dxa"/>
            <w:vAlign w:val="center"/>
          </w:tcPr>
          <w:p>
            <w:pPr>
              <w:pStyle w:val="Style93"/>
            </w:pPr>
            <w:r>
              <w:rPr>
                <w:rFonts w:hint="eastAsia"/>
              </w:rPr>
              <w:t>4.</w:t>
            </w:r>
            <w:r>
              <w:rPr>
                <w:rFonts w:hint="eastAsia"/>
              </w:rPr>
              <w:t>外币报表折算差额</w:t>
            </w:r>
          </w:p>
        </w:tc>
        <w:tc>
          <w:tcPr>
            <w:tcW w:w="1502" w:type="dxa"/>
            <w:vAlign w:val="center"/>
          </w:tcPr>
          <w:p>
            <w:pPr>
              <w:jc w:val="right"/>
            </w:pPr>
            <w:r>
              <w:rPr>
                <w:rFonts w:ascii="宋体" w:hAnsi="宋体" w:cs="宋体" w:hint="eastAsia"/>
              </w:rPr>
              <w:t>1,220,278</w:t>
            </w:r>
          </w:p>
        </w:tc>
        <w:tc>
          <w:tcPr>
            <w:tcW w:w="1502" w:type="dxa"/>
            <w:vAlign w:val="center"/>
          </w:tcPr>
          <w:p>
            <w:pPr>
              <w:jc w:val="right"/>
            </w:pPr>
            <w:r>
              <w:rPr>
                <w:rFonts w:ascii="宋体" w:hAnsi="宋体" w:cs="宋体" w:hint="eastAsia"/>
              </w:rPr>
              <w:t>102,388</w:t>
            </w:r>
          </w:p>
        </w:tc>
        <w:tc>
          <w:tcPr>
            <w:tcW w:w="1502" w:type="dxa"/>
            <w:vAlign w:val="center"/>
          </w:tcPr>
          <w:p>
            <w:pPr>
              <w:jc w:val="right"/>
            </w:pPr>
            <w:r>
              <w:rPr>
                <w:rFonts w:ascii="宋体" w:hAnsi="宋体" w:cs="宋体" w:hint="eastAsia"/>
              </w:rPr>
              <w:t>2,529</w:t>
            </w:r>
          </w:p>
        </w:tc>
        <w:tc>
          <w:tcPr>
            <w:tcW w:w="1503" w:type="dxa"/>
            <w:vAlign w:val="center"/>
          </w:tcPr>
          <w:p>
            <w:pPr>
              <w:jc w:val="right"/>
            </w:pPr>
          </w:p>
        </w:tc>
        <w:tc>
          <w:tcPr>
            <w:tcW w:w="1503" w:type="dxa"/>
            <w:vAlign w:val="center"/>
          </w:tcPr>
          <w:p>
            <w:pPr>
              <w:jc w:val="right"/>
            </w:pPr>
            <w:r>
              <w:rPr>
                <w:rFonts w:ascii="宋体" w:hAnsi="宋体" w:cs="宋体" w:hint="eastAsia"/>
              </w:rPr>
              <w:t>9,074</w:t>
            </w:r>
          </w:p>
        </w:tc>
        <w:tc>
          <w:tcPr>
            <w:tcW w:w="1503" w:type="dxa"/>
            <w:vAlign w:val="center"/>
          </w:tcPr>
          <w:p>
            <w:pPr>
              <w:jc w:val="right"/>
            </w:pPr>
          </w:p>
        </w:tc>
        <w:tc>
          <w:tcPr>
            <w:tcW w:w="1503" w:type="dxa"/>
            <w:vAlign w:val="center"/>
          </w:tcPr>
          <w:p>
            <w:pPr>
              <w:jc w:val="right"/>
            </w:pPr>
            <w:r>
              <w:rPr>
                <w:rFonts w:ascii="宋体" w:hAnsi="宋体" w:cs="宋体" w:hint="eastAsia"/>
              </w:rPr>
              <w:t>32,811</w:t>
            </w:r>
          </w:p>
        </w:tc>
        <w:tc>
          <w:tcPr>
            <w:tcW w:w="1509" w:type="dxa"/>
            <w:vAlign w:val="center"/>
          </w:tcPr>
          <w:p>
            <w:pPr>
              <w:jc w:val="right"/>
            </w:pPr>
            <w:r>
              <w:rPr>
                <w:rFonts w:ascii="宋体" w:hAnsi="宋体" w:cs="宋体" w:hint="eastAsia"/>
              </w:rPr>
              <w:t>1,367,080</w:t>
            </w:r>
          </w:p>
        </w:tc>
      </w:tr>
      <w:tr>
        <w:trPr>
          <w:trHeight w:val="344"/>
        </w:trPr>
        <w:tc>
          <w:tcPr>
            <w:tcW w:w="2148" w:type="dxa"/>
            <w:vAlign w:val="center"/>
          </w:tcPr>
          <w:p>
            <w:pPr>
              <w:pStyle w:val="Style93"/>
            </w:pPr>
            <w:r>
              <w:rPr>
                <w:rFonts w:hint="eastAsia"/>
              </w:rPr>
              <w:t>5</w:t>
            </w:r>
            <w:r>
              <w:t>.</w:t>
            </w:r>
            <w:r>
              <w:t>期末余额</w:t>
            </w:r>
          </w:p>
        </w:tc>
        <w:tc>
          <w:tcPr>
            <w:tcW w:w="1502" w:type="dxa"/>
            <w:vAlign w:val="center"/>
          </w:tcPr>
          <w:p>
            <w:pPr>
              <w:jc w:val="right"/>
              <w:rPr>
                <w:rFonts w:ascii="宋体" w:hAnsi="宋体"/>
              </w:rPr>
            </w:pPr>
            <w:r>
              <w:rPr>
                <w:rFonts w:ascii="宋体" w:hAnsi="宋体"/>
              </w:rPr>
              <w:t>115,518,829</w:t>
            </w:r>
          </w:p>
        </w:tc>
        <w:tc>
          <w:tcPr>
            <w:tcW w:w="1502" w:type="dxa"/>
            <w:vAlign w:val="center"/>
          </w:tcPr>
          <w:p>
            <w:pPr>
              <w:jc w:val="right"/>
              <w:rPr>
                <w:rFonts w:ascii="宋体" w:hAnsi="宋体"/>
              </w:rPr>
            </w:pPr>
            <w:r>
              <w:rPr>
                <w:rFonts w:ascii="宋体" w:hAnsi="宋体"/>
              </w:rPr>
              <w:t>7,486,972</w:t>
            </w:r>
          </w:p>
        </w:tc>
        <w:tc>
          <w:tcPr>
            <w:tcW w:w="1502" w:type="dxa"/>
            <w:vAlign w:val="center"/>
          </w:tcPr>
          <w:p>
            <w:pPr>
              <w:jc w:val="right"/>
            </w:pPr>
            <w:r>
              <w:rPr>
                <w:rFonts w:ascii="宋体" w:hAnsi="宋体" w:cs="宋体" w:hint="eastAsia"/>
              </w:rPr>
              <w:t>8,076,270</w:t>
            </w:r>
          </w:p>
        </w:tc>
        <w:tc>
          <w:tcPr>
            <w:tcW w:w="1503" w:type="dxa"/>
            <w:vAlign w:val="center"/>
          </w:tcPr>
          <w:p>
            <w:pPr>
              <w:jc w:val="right"/>
            </w:pPr>
            <w:r>
              <w:rPr>
                <w:rFonts w:ascii="宋体" w:hAnsi="宋体" w:cs="宋体" w:hint="eastAsia"/>
              </w:rPr>
              <w:t>1,237,074</w:t>
            </w:r>
          </w:p>
        </w:tc>
        <w:tc>
          <w:tcPr>
            <w:tcW w:w="1503" w:type="dxa"/>
            <w:vAlign w:val="center"/>
          </w:tcPr>
          <w:p>
            <w:pPr>
              <w:jc w:val="right"/>
            </w:pPr>
            <w:r>
              <w:rPr>
                <w:rFonts w:ascii="宋体" w:hAnsi="宋体" w:cs="宋体" w:hint="eastAsia"/>
              </w:rPr>
              <w:t>560,401</w:t>
            </w:r>
          </w:p>
        </w:tc>
        <w:tc>
          <w:tcPr>
            <w:tcW w:w="1503" w:type="dxa"/>
            <w:vAlign w:val="center"/>
          </w:tcPr>
          <w:p>
            <w:pPr>
              <w:jc w:val="right"/>
            </w:pPr>
            <w:r>
              <w:rPr>
                <w:rFonts w:ascii="宋体" w:hAnsi="宋体" w:cs="宋体" w:hint="eastAsia"/>
              </w:rPr>
              <w:t>4,237,357</w:t>
            </w:r>
          </w:p>
        </w:tc>
        <w:tc>
          <w:tcPr>
            <w:tcW w:w="1503" w:type="dxa"/>
            <w:vAlign w:val="center"/>
          </w:tcPr>
          <w:p>
            <w:pPr>
              <w:jc w:val="right"/>
            </w:pPr>
            <w:r>
              <w:rPr>
                <w:rFonts w:ascii="宋体" w:hAnsi="宋体" w:cs="宋体" w:hint="eastAsia"/>
              </w:rPr>
              <w:t>845,296</w:t>
            </w:r>
          </w:p>
        </w:tc>
        <w:tc>
          <w:tcPr>
            <w:tcW w:w="1509" w:type="dxa"/>
            <w:vAlign w:val="center"/>
          </w:tcPr>
          <w:p>
            <w:pPr>
              <w:jc w:val="right"/>
            </w:pPr>
            <w:r>
              <w:rPr>
                <w:rFonts w:ascii="宋体" w:hAnsi="宋体" w:cs="宋体" w:hint="eastAsia"/>
              </w:rPr>
              <w:t>137,962,199</w:t>
            </w:r>
          </w:p>
        </w:tc>
      </w:tr>
      <w:tr>
        <w:trPr>
          <w:trHeight w:val="344"/>
        </w:trPr>
        <w:sdt>
          <w:sdtPr>
            <w:tag w:val="_PLD_31b6b6971eff48bf893163f2b1779469"/>
            <w:id w:val="-1716108669"/>
          </w:sdtPr>
          <w:sdtContent>
            <w:tc>
              <w:tcPr>
                <w:tcW w:w="14175" w:type="dxa"/>
                <w:gridSpan w:val="9"/>
                <w:vAlign w:val="center"/>
              </w:tcPr>
              <w:p>
                <w:pPr>
                  <w:pStyle w:val="Style93"/>
                </w:pPr>
                <w:r>
                  <w:t>二、累计</w:t>
                </w:r>
                <w:r>
                  <w:rPr>
                    <w:rFonts w:hint="eastAsia"/>
                  </w:rPr>
                  <w:t>摊销</w:t>
                </w:r>
              </w:p>
            </w:tc>
          </w:sdtContent>
        </w:sdt>
      </w:tr>
      <w:tr>
        <w:trPr>
          <w:trHeight w:val="344"/>
        </w:trPr>
        <w:tc>
          <w:tcPr>
            <w:tcW w:w="2148" w:type="dxa"/>
            <w:vAlign w:val="center"/>
          </w:tcPr>
          <w:p>
            <w:pPr>
              <w:pStyle w:val="Style93"/>
            </w:pPr>
            <w:r>
              <w:rPr>
                <w:rFonts w:hint="eastAsia"/>
              </w:rPr>
              <w:t>1.</w:t>
            </w:r>
            <w:r>
              <w:rPr>
                <w:rFonts w:hint="eastAsia"/>
              </w:rPr>
              <w:t>期</w:t>
            </w:r>
            <w:r>
              <w:t>初余额</w:t>
            </w:r>
          </w:p>
        </w:tc>
        <w:tc>
          <w:tcPr>
            <w:tcW w:w="1502" w:type="dxa"/>
            <w:vAlign w:val="center"/>
          </w:tcPr>
          <w:p>
            <w:pPr>
              <w:jc w:val="right"/>
            </w:pPr>
            <w:r>
              <w:rPr>
                <w:rFonts w:ascii="宋体" w:hAnsi="宋体" w:cs="宋体" w:hint="eastAsia"/>
              </w:rPr>
              <w:t>25,066,764</w:t>
            </w:r>
          </w:p>
        </w:tc>
        <w:tc>
          <w:tcPr>
            <w:tcW w:w="1502" w:type="dxa"/>
            <w:vAlign w:val="center"/>
          </w:tcPr>
          <w:p>
            <w:pPr>
              <w:jc w:val="right"/>
            </w:pPr>
          </w:p>
        </w:tc>
        <w:tc>
          <w:tcPr>
            <w:tcW w:w="1502" w:type="dxa"/>
            <w:vAlign w:val="center"/>
          </w:tcPr>
          <w:p>
            <w:pPr>
              <w:jc w:val="right"/>
            </w:pPr>
            <w:r>
              <w:rPr>
                <w:rFonts w:ascii="宋体" w:hAnsi="宋体" w:cs="宋体" w:hint="eastAsia"/>
              </w:rPr>
              <w:t>1,333,302</w:t>
            </w:r>
          </w:p>
        </w:tc>
        <w:tc>
          <w:tcPr>
            <w:tcW w:w="1503" w:type="dxa"/>
            <w:vAlign w:val="center"/>
          </w:tcPr>
          <w:p>
            <w:pPr>
              <w:jc w:val="right"/>
            </w:pPr>
            <w:r>
              <w:rPr>
                <w:rFonts w:ascii="宋体" w:hAnsi="宋体" w:cs="宋体" w:hint="eastAsia"/>
              </w:rPr>
              <w:t>919,162</w:t>
            </w:r>
          </w:p>
        </w:tc>
        <w:tc>
          <w:tcPr>
            <w:tcW w:w="1503" w:type="dxa"/>
            <w:vAlign w:val="center"/>
          </w:tcPr>
          <w:p>
            <w:pPr>
              <w:jc w:val="right"/>
            </w:pPr>
            <w:r>
              <w:rPr>
                <w:rFonts w:ascii="宋体" w:hAnsi="宋体" w:cs="宋体" w:hint="eastAsia"/>
              </w:rPr>
              <w:t>69,761</w:t>
            </w:r>
          </w:p>
        </w:tc>
        <w:tc>
          <w:tcPr>
            <w:tcW w:w="1503" w:type="dxa"/>
            <w:vAlign w:val="center"/>
          </w:tcPr>
          <w:p>
            <w:pPr>
              <w:jc w:val="right"/>
            </w:pPr>
            <w:r>
              <w:rPr>
                <w:rFonts w:ascii="宋体" w:hAnsi="宋体" w:cs="宋体" w:hint="eastAsia"/>
              </w:rPr>
              <w:t>490,421</w:t>
            </w:r>
          </w:p>
        </w:tc>
        <w:tc>
          <w:tcPr>
            <w:tcW w:w="1503" w:type="dxa"/>
            <w:vAlign w:val="center"/>
          </w:tcPr>
          <w:p>
            <w:pPr>
              <w:jc w:val="right"/>
            </w:pPr>
            <w:r>
              <w:rPr>
                <w:rFonts w:ascii="宋体" w:hAnsi="宋体" w:cs="宋体" w:hint="eastAsia"/>
              </w:rPr>
              <w:t>365,183</w:t>
            </w:r>
          </w:p>
        </w:tc>
        <w:tc>
          <w:tcPr>
            <w:tcW w:w="1509" w:type="dxa"/>
            <w:vAlign w:val="center"/>
          </w:tcPr>
          <w:p>
            <w:pPr>
              <w:jc w:val="right"/>
            </w:pPr>
            <w:r>
              <w:rPr>
                <w:rFonts w:ascii="宋体" w:hAnsi="宋体" w:cs="宋体" w:hint="eastAsia"/>
              </w:rPr>
              <w:t>28,244,593</w:t>
            </w:r>
          </w:p>
        </w:tc>
      </w:tr>
      <w:tr>
        <w:trPr>
          <w:trHeight w:val="344"/>
        </w:trPr>
        <w:tc>
          <w:tcPr>
            <w:tcW w:w="2148" w:type="dxa"/>
            <w:vAlign w:val="center"/>
          </w:tcPr>
          <w:p>
            <w:pPr>
              <w:pStyle w:val="Style93"/>
            </w:pPr>
            <w:r>
              <w:t>2.</w:t>
            </w:r>
            <w:r>
              <w:t>本期增加</w:t>
            </w:r>
            <w:r>
              <w:rPr>
                <w:rFonts w:hint="eastAsia"/>
              </w:rPr>
              <w:t>金额</w:t>
            </w:r>
          </w:p>
        </w:tc>
        <w:tc>
          <w:tcPr>
            <w:tcW w:w="1502" w:type="dxa"/>
            <w:vAlign w:val="center"/>
          </w:tcPr>
          <w:p>
            <w:pPr>
              <w:jc w:val="right"/>
            </w:pPr>
            <w:r>
              <w:rPr>
                <w:rFonts w:ascii="宋体" w:hAnsi="宋体" w:cs="宋体" w:hint="eastAsia"/>
              </w:rPr>
              <w:t>2,070,192</w:t>
            </w:r>
          </w:p>
        </w:tc>
        <w:tc>
          <w:tcPr>
            <w:tcW w:w="1502" w:type="dxa"/>
            <w:vAlign w:val="center"/>
          </w:tcPr>
          <w:p>
            <w:pPr>
              <w:jc w:val="right"/>
            </w:pPr>
          </w:p>
        </w:tc>
        <w:tc>
          <w:tcPr>
            <w:tcW w:w="1502" w:type="dxa"/>
            <w:vAlign w:val="center"/>
          </w:tcPr>
          <w:p>
            <w:pPr>
              <w:jc w:val="right"/>
            </w:pPr>
            <w:r>
              <w:rPr>
                <w:rFonts w:ascii="宋体" w:hAnsi="宋体" w:cs="宋体" w:hint="eastAsia"/>
              </w:rPr>
              <w:t>188,698</w:t>
            </w:r>
          </w:p>
        </w:tc>
        <w:tc>
          <w:tcPr>
            <w:tcW w:w="1503" w:type="dxa"/>
            <w:vAlign w:val="center"/>
          </w:tcPr>
          <w:p>
            <w:pPr>
              <w:jc w:val="right"/>
            </w:pPr>
            <w:r>
              <w:rPr>
                <w:rFonts w:ascii="宋体" w:hAnsi="宋体" w:cs="宋体" w:hint="eastAsia"/>
              </w:rPr>
              <w:t>88,040</w:t>
            </w:r>
          </w:p>
        </w:tc>
        <w:tc>
          <w:tcPr>
            <w:tcW w:w="1503" w:type="dxa"/>
            <w:vAlign w:val="center"/>
          </w:tcPr>
          <w:p>
            <w:pPr>
              <w:jc w:val="right"/>
            </w:pPr>
            <w:r>
              <w:rPr>
                <w:rFonts w:ascii="宋体" w:hAnsi="宋体" w:cs="宋体" w:hint="eastAsia"/>
              </w:rPr>
              <w:t>13,713</w:t>
            </w:r>
          </w:p>
        </w:tc>
        <w:tc>
          <w:tcPr>
            <w:tcW w:w="1503" w:type="dxa"/>
            <w:vAlign w:val="center"/>
          </w:tcPr>
          <w:p>
            <w:pPr>
              <w:jc w:val="right"/>
            </w:pPr>
            <w:r>
              <w:rPr>
                <w:rFonts w:ascii="宋体" w:hAnsi="宋体" w:cs="宋体" w:hint="eastAsia"/>
              </w:rPr>
              <w:t>131,153</w:t>
            </w:r>
          </w:p>
        </w:tc>
        <w:tc>
          <w:tcPr>
            <w:tcW w:w="1503" w:type="dxa"/>
            <w:vAlign w:val="center"/>
          </w:tcPr>
          <w:p>
            <w:pPr>
              <w:jc w:val="right"/>
            </w:pPr>
            <w:r>
              <w:rPr>
                <w:rFonts w:ascii="宋体" w:hAnsi="宋体" w:cs="宋体" w:hint="eastAsia"/>
              </w:rPr>
              <w:t>75,047</w:t>
            </w:r>
          </w:p>
        </w:tc>
        <w:tc>
          <w:tcPr>
            <w:tcW w:w="1509" w:type="dxa"/>
            <w:vAlign w:val="center"/>
          </w:tcPr>
          <w:p>
            <w:pPr>
              <w:jc w:val="right"/>
            </w:pPr>
            <w:r>
              <w:rPr>
                <w:rFonts w:ascii="宋体" w:hAnsi="宋体" w:cs="宋体" w:hint="eastAsia"/>
              </w:rPr>
              <w:t>2,566,843</w:t>
            </w:r>
          </w:p>
        </w:tc>
      </w:tr>
      <w:tr>
        <w:trPr>
          <w:trHeight w:val="344"/>
        </w:trPr>
        <w:tc>
          <w:tcPr>
            <w:tcW w:w="2148" w:type="dxa"/>
          </w:tcPr>
          <w:p>
            <w:pPr>
              <w:ind w:firstLineChars="200" w:firstLine="420"/>
            </w:pPr>
            <w:r>
              <w:rPr>
                <w:rFonts w:ascii="宋体" w:hAnsi="宋体" w:cs="宋体" w:hint="eastAsia"/>
              </w:rPr>
              <w:t>（1）计提</w:t>
            </w:r>
          </w:p>
        </w:tc>
        <w:tc>
          <w:tcPr>
            <w:tcW w:w="1502" w:type="dxa"/>
            <w:vAlign w:val="center"/>
          </w:tcPr>
          <w:p>
            <w:pPr>
              <w:jc w:val="right"/>
            </w:pPr>
            <w:r>
              <w:rPr>
                <w:rFonts w:ascii="宋体" w:hAnsi="宋体" w:cs="宋体" w:hint="eastAsia"/>
              </w:rPr>
              <w:t>2,070,192</w:t>
            </w:r>
          </w:p>
        </w:tc>
        <w:tc>
          <w:tcPr>
            <w:tcW w:w="1502" w:type="dxa"/>
            <w:vAlign w:val="center"/>
          </w:tcPr>
          <w:p>
            <w:pPr>
              <w:jc w:val="right"/>
            </w:pPr>
          </w:p>
        </w:tc>
        <w:tc>
          <w:tcPr>
            <w:tcW w:w="1502" w:type="dxa"/>
            <w:vAlign w:val="center"/>
          </w:tcPr>
          <w:p>
            <w:pPr>
              <w:jc w:val="right"/>
            </w:pPr>
            <w:r>
              <w:rPr>
                <w:rFonts w:ascii="宋体" w:hAnsi="宋体" w:cs="宋体" w:hint="eastAsia"/>
              </w:rPr>
              <w:t>172,306</w:t>
            </w:r>
          </w:p>
        </w:tc>
        <w:tc>
          <w:tcPr>
            <w:tcW w:w="1503" w:type="dxa"/>
            <w:vAlign w:val="center"/>
          </w:tcPr>
          <w:p>
            <w:pPr>
              <w:jc w:val="right"/>
            </w:pPr>
            <w:r>
              <w:rPr>
                <w:rFonts w:ascii="宋体" w:hAnsi="宋体" w:cs="宋体" w:hint="eastAsia"/>
              </w:rPr>
              <w:t>88,040</w:t>
            </w:r>
          </w:p>
        </w:tc>
        <w:tc>
          <w:tcPr>
            <w:tcW w:w="1503" w:type="dxa"/>
            <w:vAlign w:val="center"/>
          </w:tcPr>
          <w:p>
            <w:pPr>
              <w:jc w:val="right"/>
            </w:pPr>
            <w:r>
              <w:rPr>
                <w:rFonts w:ascii="宋体" w:hAnsi="宋体" w:cs="宋体" w:hint="eastAsia"/>
              </w:rPr>
              <w:t>13,713</w:t>
            </w:r>
          </w:p>
        </w:tc>
        <w:tc>
          <w:tcPr>
            <w:tcW w:w="1503" w:type="dxa"/>
            <w:vAlign w:val="center"/>
          </w:tcPr>
          <w:p>
            <w:pPr>
              <w:jc w:val="right"/>
            </w:pPr>
            <w:r>
              <w:rPr>
                <w:rFonts w:ascii="宋体" w:hAnsi="宋体" w:cs="宋体" w:hint="eastAsia"/>
              </w:rPr>
              <w:t>131,153</w:t>
            </w:r>
          </w:p>
        </w:tc>
        <w:tc>
          <w:tcPr>
            <w:tcW w:w="1503" w:type="dxa"/>
            <w:vAlign w:val="center"/>
          </w:tcPr>
          <w:p>
            <w:pPr>
              <w:jc w:val="right"/>
            </w:pPr>
            <w:r>
              <w:rPr>
                <w:rFonts w:ascii="宋体" w:hAnsi="宋体" w:cs="宋体" w:hint="eastAsia"/>
              </w:rPr>
              <w:t>74,969</w:t>
            </w:r>
          </w:p>
        </w:tc>
        <w:tc>
          <w:tcPr>
            <w:tcW w:w="1509" w:type="dxa"/>
            <w:vAlign w:val="center"/>
          </w:tcPr>
          <w:p>
            <w:pPr>
              <w:jc w:val="right"/>
            </w:pPr>
            <w:r>
              <w:rPr>
                <w:rFonts w:ascii="宋体" w:hAnsi="宋体" w:cs="宋体" w:hint="eastAsia"/>
              </w:rPr>
              <w:t>2,550,373</w:t>
            </w:r>
          </w:p>
        </w:tc>
      </w:tr>
      <w:tr>
        <w:trPr>
          <w:trHeight w:val="148"/>
        </w:trPr>
        <w:tc>
          <w:tcPr>
            <w:tcW w:w="2148" w:type="dxa"/>
          </w:tcPr>
          <w:p>
            <w:pPr>
              <w:ind w:firstLineChars="200" w:firstLine="420"/>
            </w:pPr>
            <w:r>
              <w:rPr>
                <w:rFonts w:ascii="宋体" w:hAnsi="宋体" w:cs="宋体" w:hint="eastAsia"/>
              </w:rPr>
              <w:t>（2）企业合并增加</w:t>
            </w:r>
          </w:p>
        </w:tc>
        <w:tc>
          <w:tcPr>
            <w:tcW w:w="1502" w:type="dxa"/>
            <w:vAlign w:val="center"/>
          </w:tcPr>
          <w:p>
            <w:pPr>
              <w:jc w:val="right"/>
            </w:pPr>
          </w:p>
        </w:tc>
        <w:tc>
          <w:tcPr>
            <w:tcW w:w="1502" w:type="dxa"/>
            <w:vAlign w:val="center"/>
          </w:tcPr>
          <w:p>
            <w:pPr>
              <w:jc w:val="right"/>
            </w:pPr>
          </w:p>
        </w:tc>
        <w:tc>
          <w:tcPr>
            <w:tcW w:w="1502" w:type="dxa"/>
            <w:vAlign w:val="center"/>
          </w:tcPr>
          <w:p>
            <w:pPr>
              <w:jc w:val="right"/>
            </w:pPr>
            <w:r>
              <w:rPr>
                <w:rFonts w:ascii="宋体" w:hAnsi="宋体" w:cs="宋体" w:hint="eastAsia"/>
              </w:rPr>
              <w:t>16,392</w:t>
            </w:r>
          </w:p>
        </w:tc>
        <w:tc>
          <w:tcPr>
            <w:tcW w:w="1503" w:type="dxa"/>
            <w:vAlign w:val="center"/>
          </w:tcPr>
          <w:p>
            <w:pPr>
              <w:jc w:val="right"/>
            </w:pPr>
          </w:p>
        </w:tc>
        <w:tc>
          <w:tcPr>
            <w:tcW w:w="1503" w:type="dxa"/>
            <w:vAlign w:val="center"/>
          </w:tcPr>
          <w:p>
            <w:pPr>
              <w:jc w:val="right"/>
            </w:pPr>
          </w:p>
        </w:tc>
        <w:tc>
          <w:tcPr>
            <w:tcW w:w="1503" w:type="dxa"/>
            <w:vAlign w:val="center"/>
          </w:tcPr>
          <w:p>
            <w:pPr>
              <w:jc w:val="right"/>
            </w:pPr>
          </w:p>
        </w:tc>
        <w:tc>
          <w:tcPr>
            <w:tcW w:w="1503" w:type="dxa"/>
            <w:vAlign w:val="center"/>
          </w:tcPr>
          <w:p>
            <w:pPr>
              <w:jc w:val="right"/>
            </w:pPr>
            <w:r>
              <w:rPr>
                <w:rFonts w:ascii="宋体" w:hAnsi="宋体" w:cs="宋体" w:hint="eastAsia"/>
              </w:rPr>
              <w:t>78</w:t>
            </w:r>
          </w:p>
        </w:tc>
        <w:tc>
          <w:tcPr>
            <w:tcW w:w="1509" w:type="dxa"/>
            <w:vAlign w:val="center"/>
          </w:tcPr>
          <w:p>
            <w:pPr>
              <w:jc w:val="right"/>
            </w:pPr>
            <w:r>
              <w:rPr>
                <w:rFonts w:ascii="宋体" w:hAnsi="宋体" w:cs="宋体" w:hint="eastAsia"/>
              </w:rPr>
              <w:t>16,470</w:t>
            </w:r>
          </w:p>
        </w:tc>
      </w:tr>
      <w:tr>
        <w:trPr>
          <w:trHeight w:val="344"/>
        </w:trPr>
        <w:tc>
          <w:tcPr>
            <w:tcW w:w="2148" w:type="dxa"/>
            <w:vAlign w:val="center"/>
          </w:tcPr>
          <w:p>
            <w:pPr>
              <w:pStyle w:val="Style93"/>
            </w:pPr>
            <w:r>
              <w:rPr>
                <w:rFonts w:hint="eastAsia"/>
              </w:rPr>
              <w:t>3.</w:t>
            </w:r>
            <w:r>
              <w:t>本期减少</w:t>
            </w:r>
            <w:r>
              <w:rPr>
                <w:rFonts w:hint="eastAsia"/>
              </w:rPr>
              <w:t>金额</w:t>
            </w:r>
          </w:p>
        </w:tc>
        <w:tc>
          <w:tcPr>
            <w:tcW w:w="1502" w:type="dxa"/>
            <w:vAlign w:val="center"/>
          </w:tcPr>
          <w:p>
            <w:pPr>
              <w:jc w:val="right"/>
            </w:pPr>
            <w:r>
              <w:rPr>
                <w:rFonts w:ascii="宋体" w:hAnsi="宋体" w:cs="宋体" w:hint="eastAsia"/>
              </w:rPr>
              <w:t>19,411</w:t>
            </w:r>
          </w:p>
        </w:tc>
        <w:tc>
          <w:tcPr>
            <w:tcW w:w="1502" w:type="dxa"/>
            <w:vAlign w:val="center"/>
          </w:tcPr>
          <w:p>
            <w:pPr>
              <w:jc w:val="right"/>
            </w:pPr>
          </w:p>
        </w:tc>
        <w:tc>
          <w:tcPr>
            <w:tcW w:w="1502" w:type="dxa"/>
            <w:vAlign w:val="center"/>
          </w:tcPr>
          <w:p>
            <w:pPr>
              <w:jc w:val="right"/>
            </w:pPr>
            <w:r>
              <w:rPr>
                <w:rFonts w:ascii="宋体" w:hAnsi="宋体" w:cs="宋体" w:hint="eastAsia"/>
              </w:rPr>
              <w:t>6,258</w:t>
            </w:r>
          </w:p>
        </w:tc>
        <w:tc>
          <w:tcPr>
            <w:tcW w:w="1503" w:type="dxa"/>
            <w:vAlign w:val="center"/>
          </w:tcPr>
          <w:p>
            <w:pPr>
              <w:jc w:val="right"/>
            </w:pPr>
            <w:r>
              <w:rPr>
                <w:rFonts w:ascii="宋体" w:hAnsi="宋体" w:cs="宋体" w:hint="eastAsia"/>
              </w:rPr>
              <w:t>14,157</w:t>
            </w:r>
          </w:p>
        </w:tc>
        <w:tc>
          <w:tcPr>
            <w:tcW w:w="1503" w:type="dxa"/>
            <w:vAlign w:val="center"/>
          </w:tcPr>
          <w:p>
            <w:pPr>
              <w:jc w:val="right"/>
            </w:pPr>
          </w:p>
        </w:tc>
        <w:tc>
          <w:tcPr>
            <w:tcW w:w="1503" w:type="dxa"/>
            <w:vAlign w:val="center"/>
          </w:tcPr>
          <w:p>
            <w:pPr>
              <w:jc w:val="right"/>
            </w:pPr>
            <w:r>
              <w:rPr>
                <w:rFonts w:ascii="宋体" w:hAnsi="宋体" w:cs="宋体" w:hint="eastAsia"/>
              </w:rPr>
              <w:t>32,218</w:t>
            </w:r>
          </w:p>
        </w:tc>
        <w:tc>
          <w:tcPr>
            <w:tcW w:w="1503" w:type="dxa"/>
            <w:vAlign w:val="center"/>
          </w:tcPr>
          <w:p>
            <w:pPr>
              <w:jc w:val="right"/>
            </w:pPr>
            <w:r>
              <w:rPr>
                <w:rFonts w:ascii="宋体" w:hAnsi="宋体" w:cs="宋体" w:hint="eastAsia"/>
              </w:rPr>
              <w:t>1,917</w:t>
            </w:r>
          </w:p>
        </w:tc>
        <w:tc>
          <w:tcPr>
            <w:tcW w:w="1509" w:type="dxa"/>
            <w:vAlign w:val="center"/>
          </w:tcPr>
          <w:p>
            <w:pPr>
              <w:jc w:val="right"/>
            </w:pPr>
            <w:r>
              <w:rPr>
                <w:rFonts w:ascii="宋体" w:hAnsi="宋体" w:cs="宋体" w:hint="eastAsia"/>
              </w:rPr>
              <w:t>73,961</w:t>
            </w:r>
          </w:p>
        </w:tc>
      </w:tr>
      <w:tr>
        <w:trPr>
          <w:trHeight w:val="344"/>
        </w:trPr>
        <w:tc>
          <w:tcPr>
            <w:tcW w:w="2148" w:type="dxa"/>
            <w:vAlign w:val="center"/>
          </w:tcPr>
          <w:p>
            <w:pPr>
              <w:pStyle w:val="Style93"/>
            </w:pPr>
            <w:r>
              <w:rPr>
                <w:rFonts w:hint="eastAsia"/>
              </w:rPr>
              <w:t>（</w:t>
            </w:r>
            <w:r>
              <w:rPr>
                <w:rFonts w:hint="eastAsia"/>
              </w:rPr>
              <w:t>1</w:t>
            </w:r>
            <w:r>
              <w:rPr>
                <w:rFonts w:hint="eastAsia"/>
              </w:rPr>
              <w:t>）处置</w:t>
            </w:r>
          </w:p>
        </w:tc>
        <w:tc>
          <w:tcPr>
            <w:tcW w:w="1502" w:type="dxa"/>
            <w:vAlign w:val="center"/>
          </w:tcPr>
          <w:p>
            <w:pPr>
              <w:jc w:val="right"/>
            </w:pPr>
            <w:r>
              <w:rPr>
                <w:rFonts w:ascii="宋体" w:hAnsi="宋体" w:cs="宋体" w:hint="eastAsia"/>
              </w:rPr>
              <w:t>19,411</w:t>
            </w:r>
          </w:p>
        </w:tc>
        <w:tc>
          <w:tcPr>
            <w:tcW w:w="1502" w:type="dxa"/>
            <w:vAlign w:val="center"/>
          </w:tcPr>
          <w:p>
            <w:pPr>
              <w:jc w:val="right"/>
            </w:pPr>
          </w:p>
        </w:tc>
        <w:tc>
          <w:tcPr>
            <w:tcW w:w="1502" w:type="dxa"/>
            <w:vAlign w:val="center"/>
          </w:tcPr>
          <w:p>
            <w:pPr>
              <w:jc w:val="right"/>
            </w:pPr>
            <w:r>
              <w:rPr>
                <w:rFonts w:ascii="宋体" w:hAnsi="宋体" w:cs="宋体" w:hint="eastAsia"/>
              </w:rPr>
              <w:t>6,258</w:t>
            </w:r>
          </w:p>
        </w:tc>
        <w:tc>
          <w:tcPr>
            <w:tcW w:w="1503" w:type="dxa"/>
            <w:vAlign w:val="center"/>
          </w:tcPr>
          <w:p>
            <w:pPr>
              <w:jc w:val="right"/>
            </w:pPr>
            <w:r>
              <w:rPr>
                <w:rFonts w:ascii="宋体" w:hAnsi="宋体" w:cs="宋体" w:hint="eastAsia"/>
              </w:rPr>
              <w:t>14,157</w:t>
            </w:r>
          </w:p>
        </w:tc>
        <w:tc>
          <w:tcPr>
            <w:tcW w:w="1503" w:type="dxa"/>
            <w:vAlign w:val="center"/>
          </w:tcPr>
          <w:p>
            <w:pPr>
              <w:jc w:val="right"/>
            </w:pPr>
          </w:p>
        </w:tc>
        <w:tc>
          <w:tcPr>
            <w:tcW w:w="1503" w:type="dxa"/>
            <w:vAlign w:val="center"/>
          </w:tcPr>
          <w:p>
            <w:pPr>
              <w:jc w:val="right"/>
            </w:pPr>
            <w:r>
              <w:rPr>
                <w:rFonts w:ascii="宋体" w:hAnsi="宋体" w:cs="宋体" w:hint="eastAsia"/>
              </w:rPr>
              <w:t>32,218</w:t>
            </w:r>
          </w:p>
        </w:tc>
        <w:tc>
          <w:tcPr>
            <w:tcW w:w="1503" w:type="dxa"/>
            <w:vAlign w:val="center"/>
          </w:tcPr>
          <w:p>
            <w:pPr>
              <w:jc w:val="right"/>
            </w:pPr>
            <w:r>
              <w:rPr>
                <w:rFonts w:ascii="宋体" w:hAnsi="宋体" w:cs="宋体" w:hint="eastAsia"/>
              </w:rPr>
              <w:t>1,917</w:t>
            </w:r>
          </w:p>
        </w:tc>
        <w:tc>
          <w:tcPr>
            <w:tcW w:w="1509" w:type="dxa"/>
            <w:vAlign w:val="center"/>
          </w:tcPr>
          <w:p>
            <w:pPr>
              <w:jc w:val="right"/>
            </w:pPr>
            <w:r>
              <w:rPr>
                <w:rFonts w:ascii="宋体" w:hAnsi="宋体" w:cs="宋体" w:hint="eastAsia"/>
              </w:rPr>
              <w:t>73,961</w:t>
            </w:r>
          </w:p>
        </w:tc>
      </w:tr>
      <w:tr>
        <w:trPr>
          <w:trHeight w:val="92"/>
        </w:trPr>
        <w:tc>
          <w:tcPr>
            <w:tcW w:w="2148" w:type="dxa"/>
          </w:tcPr>
          <w:p>
            <w:pPr>
              <w:pStyle w:val="Style93"/>
            </w:pPr>
            <w:r>
              <w:rPr>
                <w:rFonts w:ascii="宋体" w:hAnsi="宋体" w:cs="宋体" w:hint="eastAsia"/>
              </w:rPr>
              <w:t>4.外币报表折算差额</w:t>
            </w:r>
          </w:p>
        </w:tc>
        <w:tc>
          <w:tcPr>
            <w:tcW w:w="1502" w:type="dxa"/>
            <w:vAlign w:val="center"/>
          </w:tcPr>
          <w:p>
            <w:pPr>
              <w:jc w:val="right"/>
            </w:pPr>
            <w:r>
              <w:rPr>
                <w:rFonts w:ascii="宋体" w:hAnsi="宋体" w:cs="宋体" w:hint="eastAsia"/>
              </w:rPr>
              <w:t>559,269</w:t>
            </w:r>
          </w:p>
        </w:tc>
        <w:tc>
          <w:tcPr>
            <w:tcW w:w="1502" w:type="dxa"/>
            <w:vAlign w:val="center"/>
          </w:tcPr>
          <w:p>
            <w:pPr>
              <w:jc w:val="right"/>
            </w:pPr>
          </w:p>
        </w:tc>
        <w:tc>
          <w:tcPr>
            <w:tcW w:w="1502" w:type="dxa"/>
            <w:vAlign w:val="center"/>
          </w:tcPr>
          <w:p>
            <w:pPr>
              <w:jc w:val="right"/>
            </w:pPr>
            <w:r>
              <w:rPr>
                <w:rFonts w:ascii="宋体" w:hAnsi="宋体" w:cs="宋体" w:hint="eastAsia"/>
              </w:rPr>
              <w:t>465</w:t>
            </w:r>
          </w:p>
        </w:tc>
        <w:tc>
          <w:tcPr>
            <w:tcW w:w="1503" w:type="dxa"/>
            <w:vAlign w:val="center"/>
          </w:tcPr>
          <w:p>
            <w:pPr>
              <w:jc w:val="right"/>
            </w:pPr>
          </w:p>
        </w:tc>
        <w:tc>
          <w:tcPr>
            <w:tcW w:w="1503" w:type="dxa"/>
            <w:vAlign w:val="center"/>
          </w:tcPr>
          <w:p>
            <w:pPr>
              <w:jc w:val="right"/>
            </w:pPr>
          </w:p>
        </w:tc>
        <w:tc>
          <w:tcPr>
            <w:tcW w:w="1503" w:type="dxa"/>
            <w:vAlign w:val="center"/>
          </w:tcPr>
          <w:p>
            <w:pPr>
              <w:jc w:val="right"/>
            </w:pPr>
          </w:p>
        </w:tc>
        <w:tc>
          <w:tcPr>
            <w:tcW w:w="1503" w:type="dxa"/>
            <w:vAlign w:val="center"/>
          </w:tcPr>
          <w:p>
            <w:pPr>
              <w:jc w:val="right"/>
            </w:pPr>
            <w:r>
              <w:rPr>
                <w:rFonts w:ascii="宋体" w:hAnsi="宋体" w:cs="宋体" w:hint="eastAsia"/>
              </w:rPr>
              <w:t>9,985</w:t>
            </w:r>
          </w:p>
        </w:tc>
        <w:tc>
          <w:tcPr>
            <w:tcW w:w="1509" w:type="dxa"/>
            <w:vAlign w:val="center"/>
          </w:tcPr>
          <w:p>
            <w:pPr>
              <w:jc w:val="right"/>
            </w:pPr>
            <w:r>
              <w:rPr>
                <w:rFonts w:ascii="宋体" w:hAnsi="宋体" w:cs="宋体" w:hint="eastAsia"/>
              </w:rPr>
              <w:t>569,719</w:t>
            </w:r>
          </w:p>
        </w:tc>
      </w:tr>
      <w:tr>
        <w:trPr>
          <w:trHeight w:val="344"/>
        </w:trPr>
        <w:tc>
          <w:tcPr>
            <w:tcW w:w="2148" w:type="dxa"/>
            <w:vAlign w:val="center"/>
          </w:tcPr>
          <w:p>
            <w:pPr>
              <w:pStyle w:val="Style93"/>
            </w:pPr>
            <w:r>
              <w:rPr>
                <w:rFonts w:hint="eastAsia"/>
              </w:rPr>
              <w:t>5.</w:t>
            </w:r>
            <w:r>
              <w:t>期末余额</w:t>
            </w:r>
          </w:p>
        </w:tc>
        <w:tc>
          <w:tcPr>
            <w:tcW w:w="1502" w:type="dxa"/>
            <w:vAlign w:val="center"/>
          </w:tcPr>
          <w:p>
            <w:pPr>
              <w:jc w:val="right"/>
            </w:pPr>
            <w:r>
              <w:rPr>
                <w:rFonts w:ascii="宋体" w:hAnsi="宋体" w:cs="宋体" w:hint="eastAsia"/>
              </w:rPr>
              <w:t>27,676,814</w:t>
            </w:r>
          </w:p>
        </w:tc>
        <w:tc>
          <w:tcPr>
            <w:tcW w:w="1502" w:type="dxa"/>
            <w:vAlign w:val="center"/>
          </w:tcPr>
          <w:p>
            <w:pPr>
              <w:jc w:val="right"/>
            </w:pPr>
          </w:p>
        </w:tc>
        <w:tc>
          <w:tcPr>
            <w:tcW w:w="1502" w:type="dxa"/>
            <w:vAlign w:val="center"/>
          </w:tcPr>
          <w:p>
            <w:pPr>
              <w:jc w:val="right"/>
            </w:pPr>
            <w:r>
              <w:rPr>
                <w:rFonts w:ascii="宋体" w:hAnsi="宋体" w:cs="宋体" w:hint="eastAsia"/>
              </w:rPr>
              <w:t>1,516,207</w:t>
            </w:r>
          </w:p>
        </w:tc>
        <w:tc>
          <w:tcPr>
            <w:tcW w:w="1503" w:type="dxa"/>
            <w:vAlign w:val="center"/>
          </w:tcPr>
          <w:p>
            <w:pPr>
              <w:jc w:val="right"/>
            </w:pPr>
            <w:r>
              <w:rPr>
                <w:rFonts w:ascii="宋体" w:hAnsi="宋体" w:cs="宋体" w:hint="eastAsia"/>
              </w:rPr>
              <w:t>993,045</w:t>
            </w:r>
          </w:p>
        </w:tc>
        <w:tc>
          <w:tcPr>
            <w:tcW w:w="1503" w:type="dxa"/>
            <w:vAlign w:val="center"/>
          </w:tcPr>
          <w:p>
            <w:pPr>
              <w:jc w:val="right"/>
            </w:pPr>
            <w:r>
              <w:rPr>
                <w:rFonts w:ascii="宋体" w:hAnsi="宋体" w:cs="宋体" w:hint="eastAsia"/>
              </w:rPr>
              <w:t>83,474</w:t>
            </w:r>
          </w:p>
        </w:tc>
        <w:tc>
          <w:tcPr>
            <w:tcW w:w="1503" w:type="dxa"/>
            <w:vAlign w:val="center"/>
          </w:tcPr>
          <w:p>
            <w:pPr>
              <w:jc w:val="right"/>
            </w:pPr>
            <w:r>
              <w:rPr>
                <w:rFonts w:ascii="宋体" w:hAnsi="宋体" w:cs="宋体" w:hint="eastAsia"/>
              </w:rPr>
              <w:t>589,356</w:t>
            </w:r>
          </w:p>
        </w:tc>
        <w:tc>
          <w:tcPr>
            <w:tcW w:w="1503" w:type="dxa"/>
            <w:vAlign w:val="center"/>
          </w:tcPr>
          <w:p>
            <w:pPr>
              <w:jc w:val="right"/>
            </w:pPr>
            <w:r>
              <w:rPr>
                <w:rFonts w:ascii="宋体" w:hAnsi="宋体" w:cs="宋体" w:hint="eastAsia"/>
              </w:rPr>
              <w:t>448,298</w:t>
            </w:r>
          </w:p>
        </w:tc>
        <w:tc>
          <w:tcPr>
            <w:tcW w:w="1509" w:type="dxa"/>
            <w:vAlign w:val="center"/>
          </w:tcPr>
          <w:p>
            <w:pPr>
              <w:jc w:val="right"/>
            </w:pPr>
            <w:r>
              <w:rPr>
                <w:rFonts w:ascii="宋体" w:hAnsi="宋体" w:cs="宋体" w:hint="eastAsia"/>
              </w:rPr>
              <w:t>31,307,194</w:t>
            </w:r>
          </w:p>
        </w:tc>
      </w:tr>
      <w:tr>
        <w:trPr>
          <w:trHeight w:val="344"/>
        </w:trPr>
        <w:sdt>
          <w:sdtPr>
            <w:tag w:val="_PLD_f7d5f180eba449a29a01985d504a8cad"/>
            <w:id w:val="-106432395"/>
          </w:sdtPr>
          <w:sdtContent>
            <w:tc>
              <w:tcPr>
                <w:tcW w:w="14175" w:type="dxa"/>
                <w:gridSpan w:val="9"/>
                <w:vAlign w:val="center"/>
              </w:tcPr>
              <w:p>
                <w:pPr>
                  <w:pStyle w:val="Style93"/>
                </w:pPr>
                <w:r>
                  <w:t>三、减值准备</w:t>
                </w:r>
              </w:p>
            </w:tc>
          </w:sdtContent>
        </w:sdt>
      </w:tr>
      <w:tr>
        <w:trPr>
          <w:trHeight w:val="344"/>
        </w:trPr>
        <w:tc>
          <w:tcPr>
            <w:tcW w:w="2148" w:type="dxa"/>
            <w:vAlign w:val="center"/>
          </w:tcPr>
          <w:p>
            <w:pPr>
              <w:pStyle w:val="Style93"/>
            </w:pPr>
            <w:r>
              <w:rPr>
                <w:rFonts w:hint="eastAsia"/>
              </w:rPr>
              <w:t>1.</w:t>
            </w:r>
            <w:r>
              <w:rPr>
                <w:rFonts w:hint="eastAsia"/>
              </w:rPr>
              <w:t>期</w:t>
            </w:r>
            <w:r>
              <w:t>初余额</w:t>
            </w:r>
          </w:p>
        </w:tc>
        <w:tc>
          <w:tcPr>
            <w:tcW w:w="1502" w:type="dxa"/>
            <w:vAlign w:val="center"/>
          </w:tcPr>
          <w:p>
            <w:pPr>
              <w:jc w:val="right"/>
            </w:pPr>
            <w:r>
              <w:rPr>
                <w:rFonts w:ascii="宋体" w:hAnsi="宋体" w:cs="宋体" w:hint="eastAsia"/>
              </w:rPr>
              <w:t>3,881,169</w:t>
            </w:r>
          </w:p>
        </w:tc>
        <w:tc>
          <w:tcPr>
            <w:tcW w:w="1502" w:type="dxa"/>
            <w:vAlign w:val="center"/>
          </w:tcPr>
          <w:p>
            <w:pPr>
              <w:jc w:val="right"/>
            </w:pPr>
          </w:p>
        </w:tc>
        <w:tc>
          <w:tcPr>
            <w:tcW w:w="1502" w:type="dxa"/>
            <w:vAlign w:val="center"/>
          </w:tcPr>
          <w:p>
            <w:pPr>
              <w:jc w:val="right"/>
            </w:pPr>
            <w:r>
              <w:rPr>
                <w:rFonts w:ascii="宋体" w:hAnsi="宋体" w:cs="宋体" w:hint="eastAsia"/>
              </w:rPr>
              <w:t>3,545</w:t>
            </w:r>
          </w:p>
        </w:tc>
        <w:tc>
          <w:tcPr>
            <w:tcW w:w="1503" w:type="dxa"/>
            <w:vAlign w:val="center"/>
          </w:tcPr>
          <w:p>
            <w:pPr>
              <w:jc w:val="right"/>
            </w:pPr>
          </w:p>
        </w:tc>
        <w:tc>
          <w:tcPr>
            <w:tcW w:w="1503" w:type="dxa"/>
            <w:vAlign w:val="center"/>
          </w:tcPr>
          <w:p>
            <w:pPr>
              <w:jc w:val="right"/>
            </w:pPr>
            <w:r>
              <w:rPr>
                <w:rFonts w:ascii="宋体" w:hAnsi="宋体" w:cs="宋体" w:hint="eastAsia"/>
              </w:rPr>
              <w:t>25,239</w:t>
            </w:r>
          </w:p>
        </w:tc>
        <w:tc>
          <w:tcPr>
            <w:tcW w:w="1503" w:type="dxa"/>
            <w:vAlign w:val="center"/>
          </w:tcPr>
          <w:p>
            <w:pPr>
              <w:jc w:val="right"/>
            </w:pPr>
            <w:r>
              <w:rPr>
                <w:rFonts w:ascii="宋体" w:hAnsi="宋体" w:cs="宋体" w:hint="eastAsia"/>
              </w:rPr>
              <w:t>5,236</w:t>
            </w:r>
          </w:p>
        </w:tc>
        <w:tc>
          <w:tcPr>
            <w:tcW w:w="1503" w:type="dxa"/>
            <w:vAlign w:val="center"/>
          </w:tcPr>
          <w:p>
            <w:pPr>
              <w:jc w:val="right"/>
            </w:pPr>
            <w:r>
              <w:rPr>
                <w:rFonts w:ascii="宋体" w:hAnsi="宋体" w:cs="宋体" w:hint="eastAsia"/>
              </w:rPr>
              <w:t>-60</w:t>
            </w:r>
          </w:p>
        </w:tc>
        <w:tc>
          <w:tcPr>
            <w:tcW w:w="1509" w:type="dxa"/>
            <w:vAlign w:val="center"/>
          </w:tcPr>
          <w:p>
            <w:pPr>
              <w:jc w:val="right"/>
            </w:pPr>
            <w:r>
              <w:rPr>
                <w:rFonts w:ascii="宋体" w:hAnsi="宋体" w:cs="宋体" w:hint="eastAsia"/>
              </w:rPr>
              <w:t>3,915,129</w:t>
            </w:r>
          </w:p>
        </w:tc>
      </w:tr>
      <w:tr>
        <w:trPr>
          <w:trHeight w:val="344"/>
        </w:trPr>
        <w:tc>
          <w:tcPr>
            <w:tcW w:w="2148" w:type="dxa"/>
            <w:vAlign w:val="center"/>
          </w:tcPr>
          <w:p>
            <w:pPr>
              <w:pStyle w:val="Style93"/>
            </w:pPr>
            <w:r>
              <w:t>2.</w:t>
            </w:r>
            <w:r>
              <w:t>本期增加</w:t>
            </w:r>
            <w:r>
              <w:rPr>
                <w:rFonts w:hint="eastAsia"/>
              </w:rPr>
              <w:t>金额</w:t>
            </w:r>
          </w:p>
        </w:tc>
        <w:tc>
          <w:tcPr>
            <w:tcW w:w="1502" w:type="dxa"/>
            <w:vAlign w:val="center"/>
          </w:tcPr>
          <w:p>
            <w:pPr>
              <w:jc w:val="right"/>
            </w:pPr>
          </w:p>
        </w:tc>
        <w:tc>
          <w:tcPr>
            <w:tcW w:w="1502" w:type="dxa"/>
            <w:vAlign w:val="center"/>
          </w:tcPr>
          <w:p>
            <w:pPr>
              <w:jc w:val="right"/>
            </w:pPr>
          </w:p>
        </w:tc>
        <w:tc>
          <w:tcPr>
            <w:tcW w:w="1502" w:type="dxa"/>
            <w:vAlign w:val="center"/>
          </w:tcPr>
          <w:p>
            <w:pPr>
              <w:jc w:val="right"/>
            </w:pPr>
          </w:p>
        </w:tc>
        <w:tc>
          <w:tcPr>
            <w:tcW w:w="1503" w:type="dxa"/>
            <w:vAlign w:val="center"/>
          </w:tcPr>
          <w:p>
            <w:pPr>
              <w:jc w:val="right"/>
            </w:pPr>
          </w:p>
        </w:tc>
        <w:tc>
          <w:tcPr>
            <w:tcW w:w="1503" w:type="dxa"/>
            <w:vAlign w:val="center"/>
          </w:tcPr>
          <w:p>
            <w:pPr>
              <w:jc w:val="right"/>
            </w:pPr>
          </w:p>
        </w:tc>
        <w:tc>
          <w:tcPr>
            <w:tcW w:w="1503" w:type="dxa"/>
            <w:vAlign w:val="center"/>
          </w:tcPr>
          <w:p>
            <w:pPr>
              <w:jc w:val="right"/>
            </w:pPr>
          </w:p>
        </w:tc>
        <w:tc>
          <w:tcPr>
            <w:tcW w:w="1503" w:type="dxa"/>
            <w:vAlign w:val="center"/>
          </w:tcPr>
          <w:p>
            <w:pPr>
              <w:jc w:val="right"/>
            </w:pPr>
          </w:p>
        </w:tc>
        <w:tc>
          <w:tcPr>
            <w:tcW w:w="1509" w:type="dxa"/>
            <w:vAlign w:val="center"/>
          </w:tcPr>
          <w:p>
            <w:pPr>
              <w:jc w:val="right"/>
            </w:pPr>
          </w:p>
        </w:tc>
      </w:tr>
      <w:tr>
        <w:trPr>
          <w:trHeight w:val="344"/>
        </w:trPr>
        <w:tc>
          <w:tcPr>
            <w:tcW w:w="2148" w:type="dxa"/>
            <w:vAlign w:val="center"/>
          </w:tcPr>
          <w:p>
            <w:pPr>
              <w:pStyle w:val="Style93"/>
            </w:pPr>
            <w:r>
              <w:rPr>
                <w:rFonts w:hint="eastAsia"/>
              </w:rPr>
              <w:t>（</w:t>
            </w:r>
            <w:r>
              <w:rPr>
                <w:rFonts w:hint="eastAsia"/>
              </w:rPr>
              <w:t>1</w:t>
            </w:r>
            <w:r>
              <w:rPr>
                <w:rFonts w:hint="eastAsia"/>
              </w:rPr>
              <w:t>）</w:t>
            </w:r>
            <w:r>
              <w:t>计提</w:t>
            </w:r>
          </w:p>
        </w:tc>
        <w:tc>
          <w:tcPr>
            <w:tcW w:w="1502" w:type="dxa"/>
            <w:vAlign w:val="center"/>
          </w:tcPr>
          <w:p>
            <w:pPr>
              <w:jc w:val="right"/>
            </w:pPr>
          </w:p>
        </w:tc>
        <w:tc>
          <w:tcPr>
            <w:tcW w:w="1502" w:type="dxa"/>
            <w:vAlign w:val="center"/>
          </w:tcPr>
          <w:p>
            <w:pPr>
              <w:jc w:val="right"/>
            </w:pPr>
          </w:p>
        </w:tc>
        <w:tc>
          <w:tcPr>
            <w:tcW w:w="1502" w:type="dxa"/>
            <w:vAlign w:val="center"/>
          </w:tcPr>
          <w:p>
            <w:pPr>
              <w:jc w:val="right"/>
            </w:pPr>
          </w:p>
        </w:tc>
        <w:tc>
          <w:tcPr>
            <w:tcW w:w="1503" w:type="dxa"/>
            <w:vAlign w:val="center"/>
          </w:tcPr>
          <w:p>
            <w:pPr>
              <w:jc w:val="right"/>
            </w:pPr>
          </w:p>
        </w:tc>
        <w:tc>
          <w:tcPr>
            <w:tcW w:w="1503" w:type="dxa"/>
            <w:vAlign w:val="center"/>
          </w:tcPr>
          <w:p>
            <w:pPr>
              <w:jc w:val="right"/>
            </w:pPr>
          </w:p>
        </w:tc>
        <w:tc>
          <w:tcPr>
            <w:tcW w:w="1503" w:type="dxa"/>
            <w:vAlign w:val="center"/>
          </w:tcPr>
          <w:p>
            <w:pPr>
              <w:jc w:val="right"/>
            </w:pPr>
          </w:p>
        </w:tc>
        <w:tc>
          <w:tcPr>
            <w:tcW w:w="1503" w:type="dxa"/>
            <w:vAlign w:val="center"/>
          </w:tcPr>
          <w:p>
            <w:pPr>
              <w:jc w:val="right"/>
            </w:pPr>
          </w:p>
        </w:tc>
        <w:tc>
          <w:tcPr>
            <w:tcW w:w="1509" w:type="dxa"/>
            <w:vAlign w:val="center"/>
          </w:tcPr>
          <w:p>
            <w:pPr>
              <w:jc w:val="right"/>
            </w:pPr>
          </w:p>
        </w:tc>
      </w:tr>
      <w:tr>
        <w:trPr>
          <w:trHeight w:val="344"/>
        </w:trPr>
        <w:tc>
          <w:tcPr>
            <w:tcW w:w="2148" w:type="dxa"/>
            <w:vAlign w:val="center"/>
          </w:tcPr>
          <w:p>
            <w:pPr>
              <w:pStyle w:val="Style93"/>
            </w:pPr>
            <w:r>
              <w:rPr>
                <w:rFonts w:hint="eastAsia"/>
              </w:rPr>
              <w:t>3.</w:t>
            </w:r>
            <w:r>
              <w:t>本期减少</w:t>
            </w:r>
            <w:r>
              <w:rPr>
                <w:rFonts w:hint="eastAsia"/>
              </w:rPr>
              <w:t>金额</w:t>
            </w:r>
          </w:p>
        </w:tc>
        <w:tc>
          <w:tcPr>
            <w:tcW w:w="1502" w:type="dxa"/>
            <w:vAlign w:val="center"/>
          </w:tcPr>
          <w:p>
            <w:pPr>
              <w:jc w:val="right"/>
            </w:pPr>
            <w:r>
              <w:rPr>
                <w:rFonts w:ascii="宋体" w:hAnsi="宋体" w:cs="宋体" w:hint="eastAsia"/>
              </w:rPr>
              <w:t>520,796</w:t>
            </w:r>
          </w:p>
        </w:tc>
        <w:tc>
          <w:tcPr>
            <w:tcW w:w="1502" w:type="dxa"/>
            <w:vAlign w:val="center"/>
          </w:tcPr>
          <w:p>
            <w:pPr>
              <w:jc w:val="right"/>
            </w:pPr>
          </w:p>
        </w:tc>
        <w:tc>
          <w:tcPr>
            <w:tcW w:w="1502" w:type="dxa"/>
            <w:vAlign w:val="center"/>
          </w:tcPr>
          <w:p>
            <w:pPr>
              <w:jc w:val="right"/>
            </w:pPr>
          </w:p>
        </w:tc>
        <w:tc>
          <w:tcPr>
            <w:tcW w:w="1503" w:type="dxa"/>
            <w:vAlign w:val="center"/>
          </w:tcPr>
          <w:p>
            <w:pPr>
              <w:jc w:val="right"/>
            </w:pPr>
          </w:p>
        </w:tc>
        <w:tc>
          <w:tcPr>
            <w:tcW w:w="1503" w:type="dxa"/>
            <w:vAlign w:val="center"/>
          </w:tcPr>
          <w:p>
            <w:pPr>
              <w:jc w:val="right"/>
            </w:pPr>
            <w:r>
              <w:rPr>
                <w:rFonts w:ascii="宋体" w:hAnsi="宋体" w:cs="宋体" w:hint="eastAsia"/>
              </w:rPr>
              <w:t>25,749</w:t>
            </w:r>
          </w:p>
        </w:tc>
        <w:tc>
          <w:tcPr>
            <w:tcW w:w="1503" w:type="dxa"/>
            <w:vAlign w:val="center"/>
          </w:tcPr>
          <w:p>
            <w:pPr>
              <w:jc w:val="right"/>
            </w:pPr>
          </w:p>
        </w:tc>
        <w:tc>
          <w:tcPr>
            <w:tcW w:w="1503" w:type="dxa"/>
            <w:vAlign w:val="center"/>
          </w:tcPr>
          <w:p>
            <w:pPr>
              <w:jc w:val="right"/>
            </w:pPr>
            <w:r>
              <w:rPr>
                <w:rFonts w:ascii="宋体" w:hAnsi="宋体" w:cs="宋体" w:hint="eastAsia"/>
              </w:rPr>
              <w:t>-74</w:t>
            </w:r>
          </w:p>
        </w:tc>
        <w:tc>
          <w:tcPr>
            <w:tcW w:w="1509" w:type="dxa"/>
            <w:vAlign w:val="center"/>
          </w:tcPr>
          <w:p>
            <w:pPr>
              <w:jc w:val="right"/>
            </w:pPr>
            <w:r>
              <w:rPr>
                <w:rFonts w:ascii="宋体" w:hAnsi="宋体" w:cs="宋体" w:hint="eastAsia"/>
              </w:rPr>
              <w:t>546,471</w:t>
            </w:r>
          </w:p>
        </w:tc>
      </w:tr>
      <w:tr>
        <w:trPr>
          <w:trHeight w:val="344"/>
        </w:trPr>
        <w:tc>
          <w:tcPr>
            <w:tcW w:w="2148" w:type="dxa"/>
            <w:vAlign w:val="center"/>
          </w:tcPr>
          <w:p>
            <w:pPr>
              <w:pStyle w:val="Style93"/>
            </w:pPr>
            <w:r>
              <w:rPr>
                <w:rFonts w:hint="eastAsia"/>
              </w:rPr>
              <w:t>（</w:t>
            </w:r>
            <w:r>
              <w:rPr>
                <w:rFonts w:hint="eastAsia"/>
              </w:rPr>
              <w:t>1</w:t>
            </w:r>
            <w:r>
              <w:rPr>
                <w:rFonts w:hint="eastAsia"/>
              </w:rPr>
              <w:t>）其他减少</w:t>
            </w:r>
          </w:p>
        </w:tc>
        <w:tc>
          <w:tcPr>
            <w:tcW w:w="1502" w:type="dxa"/>
            <w:vAlign w:val="center"/>
          </w:tcPr>
          <w:p>
            <w:pPr>
              <w:jc w:val="right"/>
            </w:pPr>
            <w:r>
              <w:rPr>
                <w:rFonts w:ascii="宋体" w:hAnsi="宋体" w:cs="宋体" w:hint="eastAsia"/>
              </w:rPr>
              <w:t>520,796</w:t>
            </w:r>
          </w:p>
        </w:tc>
        <w:tc>
          <w:tcPr>
            <w:tcW w:w="1502" w:type="dxa"/>
            <w:vAlign w:val="center"/>
          </w:tcPr>
          <w:p>
            <w:pPr>
              <w:jc w:val="right"/>
            </w:pPr>
          </w:p>
        </w:tc>
        <w:tc>
          <w:tcPr>
            <w:tcW w:w="1502" w:type="dxa"/>
            <w:vAlign w:val="center"/>
          </w:tcPr>
          <w:p>
            <w:pPr>
              <w:jc w:val="right"/>
            </w:pPr>
          </w:p>
        </w:tc>
        <w:tc>
          <w:tcPr>
            <w:tcW w:w="1503" w:type="dxa"/>
            <w:vAlign w:val="center"/>
          </w:tcPr>
          <w:p>
            <w:pPr>
              <w:jc w:val="right"/>
            </w:pPr>
          </w:p>
        </w:tc>
        <w:tc>
          <w:tcPr>
            <w:tcW w:w="1503" w:type="dxa"/>
            <w:vAlign w:val="center"/>
          </w:tcPr>
          <w:p>
            <w:pPr>
              <w:jc w:val="right"/>
            </w:pPr>
            <w:r>
              <w:rPr>
                <w:rFonts w:ascii="宋体" w:hAnsi="宋体" w:cs="宋体" w:hint="eastAsia"/>
              </w:rPr>
              <w:t>25,749</w:t>
            </w:r>
          </w:p>
        </w:tc>
        <w:tc>
          <w:tcPr>
            <w:tcW w:w="1503" w:type="dxa"/>
            <w:vAlign w:val="center"/>
          </w:tcPr>
          <w:p>
            <w:pPr>
              <w:jc w:val="right"/>
            </w:pPr>
          </w:p>
        </w:tc>
        <w:tc>
          <w:tcPr>
            <w:tcW w:w="1503" w:type="dxa"/>
            <w:vAlign w:val="center"/>
          </w:tcPr>
          <w:p>
            <w:pPr>
              <w:jc w:val="right"/>
            </w:pPr>
            <w:r>
              <w:rPr>
                <w:rFonts w:ascii="宋体" w:hAnsi="宋体" w:cs="宋体" w:hint="eastAsia"/>
              </w:rPr>
              <w:t>-74</w:t>
            </w:r>
          </w:p>
        </w:tc>
        <w:tc>
          <w:tcPr>
            <w:tcW w:w="1509" w:type="dxa"/>
            <w:vAlign w:val="center"/>
          </w:tcPr>
          <w:p>
            <w:pPr>
              <w:jc w:val="right"/>
            </w:pPr>
            <w:r>
              <w:rPr>
                <w:rFonts w:ascii="宋体" w:hAnsi="宋体" w:cs="宋体" w:hint="eastAsia"/>
              </w:rPr>
              <w:t>546,471</w:t>
            </w:r>
          </w:p>
        </w:tc>
      </w:tr>
      <w:tr>
        <w:trPr>
          <w:trHeight w:val="84"/>
        </w:trPr>
        <w:tc>
          <w:tcPr>
            <w:tcW w:w="2148" w:type="dxa"/>
          </w:tcPr>
          <w:p>
            <w:pPr>
              <w:pStyle w:val="Style93"/>
            </w:pPr>
            <w:r>
              <w:rPr>
                <w:rFonts w:ascii="宋体" w:hAnsi="宋体" w:cs="宋体" w:hint="eastAsia"/>
              </w:rPr>
              <w:t>4.外币报表折算差额</w:t>
            </w:r>
          </w:p>
        </w:tc>
        <w:tc>
          <w:tcPr>
            <w:tcW w:w="1502" w:type="dxa"/>
            <w:vAlign w:val="center"/>
          </w:tcPr>
          <w:p>
            <w:pPr>
              <w:jc w:val="right"/>
            </w:pPr>
            <w:r>
              <w:rPr>
                <w:rFonts w:ascii="宋体" w:hAnsi="宋体" w:cs="宋体" w:hint="eastAsia"/>
              </w:rPr>
              <w:t>41,729</w:t>
            </w:r>
          </w:p>
        </w:tc>
        <w:tc>
          <w:tcPr>
            <w:tcW w:w="1502" w:type="dxa"/>
            <w:vAlign w:val="center"/>
          </w:tcPr>
          <w:p>
            <w:pPr>
              <w:jc w:val="right"/>
            </w:pPr>
          </w:p>
        </w:tc>
        <w:tc>
          <w:tcPr>
            <w:tcW w:w="1502" w:type="dxa"/>
            <w:vAlign w:val="center"/>
          </w:tcPr>
          <w:p>
            <w:pPr>
              <w:jc w:val="right"/>
            </w:pPr>
          </w:p>
        </w:tc>
        <w:tc>
          <w:tcPr>
            <w:tcW w:w="1503" w:type="dxa"/>
            <w:vAlign w:val="center"/>
          </w:tcPr>
          <w:p>
            <w:pPr>
              <w:jc w:val="right"/>
            </w:pPr>
          </w:p>
        </w:tc>
        <w:tc>
          <w:tcPr>
            <w:tcW w:w="1503" w:type="dxa"/>
            <w:vAlign w:val="center"/>
          </w:tcPr>
          <w:p>
            <w:pPr>
              <w:jc w:val="right"/>
            </w:pPr>
            <w:r>
              <w:rPr>
                <w:rFonts w:ascii="宋体" w:hAnsi="宋体" w:cs="宋体" w:hint="eastAsia"/>
              </w:rPr>
              <w:t>510</w:t>
            </w:r>
          </w:p>
        </w:tc>
        <w:tc>
          <w:tcPr>
            <w:tcW w:w="1503" w:type="dxa"/>
            <w:vAlign w:val="center"/>
          </w:tcPr>
          <w:p>
            <w:pPr>
              <w:jc w:val="right"/>
            </w:pPr>
          </w:p>
        </w:tc>
        <w:tc>
          <w:tcPr>
            <w:tcW w:w="1503" w:type="dxa"/>
            <w:vAlign w:val="center"/>
          </w:tcPr>
          <w:p>
            <w:pPr>
              <w:jc w:val="right"/>
            </w:pPr>
            <w:r>
              <w:rPr>
                <w:rFonts w:ascii="宋体" w:hAnsi="宋体" w:cs="宋体" w:hint="eastAsia"/>
              </w:rPr>
              <w:t>-1</w:t>
            </w:r>
          </w:p>
        </w:tc>
        <w:tc>
          <w:tcPr>
            <w:tcW w:w="1509" w:type="dxa"/>
            <w:vAlign w:val="center"/>
          </w:tcPr>
          <w:p>
            <w:pPr>
              <w:jc w:val="right"/>
            </w:pPr>
            <w:r>
              <w:rPr>
                <w:rFonts w:ascii="宋体" w:hAnsi="宋体" w:cs="宋体" w:hint="eastAsia"/>
              </w:rPr>
              <w:t>42,238</w:t>
            </w:r>
          </w:p>
        </w:tc>
      </w:tr>
      <w:tr>
        <w:trPr>
          <w:trHeight w:val="344"/>
        </w:trPr>
        <w:tc>
          <w:tcPr>
            <w:tcW w:w="2148" w:type="dxa"/>
            <w:vAlign w:val="center"/>
          </w:tcPr>
          <w:p>
            <w:pPr>
              <w:pStyle w:val="Style93"/>
            </w:pPr>
            <w:r>
              <w:rPr>
                <w:rFonts w:hint="eastAsia"/>
              </w:rPr>
              <w:t>5.</w:t>
            </w:r>
            <w:r>
              <w:t>期末余额</w:t>
            </w:r>
          </w:p>
        </w:tc>
        <w:tc>
          <w:tcPr>
            <w:tcW w:w="1502" w:type="dxa"/>
            <w:vAlign w:val="center"/>
          </w:tcPr>
          <w:p>
            <w:pPr>
              <w:jc w:val="right"/>
            </w:pPr>
            <w:r>
              <w:rPr>
                <w:rFonts w:ascii="宋体" w:hAnsi="宋体" w:cs="宋体" w:hint="eastAsia"/>
              </w:rPr>
              <w:t>3,402,102</w:t>
            </w:r>
          </w:p>
        </w:tc>
        <w:tc>
          <w:tcPr>
            <w:tcW w:w="1502" w:type="dxa"/>
            <w:vAlign w:val="center"/>
          </w:tcPr>
          <w:p>
            <w:pPr>
              <w:jc w:val="right"/>
            </w:pPr>
          </w:p>
        </w:tc>
        <w:tc>
          <w:tcPr>
            <w:tcW w:w="1502" w:type="dxa"/>
            <w:vAlign w:val="center"/>
          </w:tcPr>
          <w:p>
            <w:pPr>
              <w:jc w:val="right"/>
            </w:pPr>
            <w:r>
              <w:rPr>
                <w:rFonts w:ascii="宋体" w:hAnsi="宋体" w:cs="宋体" w:hint="eastAsia"/>
              </w:rPr>
              <w:t>3,545</w:t>
            </w:r>
          </w:p>
        </w:tc>
        <w:tc>
          <w:tcPr>
            <w:tcW w:w="1503" w:type="dxa"/>
            <w:vAlign w:val="center"/>
          </w:tcPr>
          <w:p>
            <w:pPr>
              <w:jc w:val="right"/>
            </w:pPr>
          </w:p>
        </w:tc>
        <w:tc>
          <w:tcPr>
            <w:tcW w:w="1503" w:type="dxa"/>
            <w:vAlign w:val="center"/>
          </w:tcPr>
          <w:p>
            <w:pPr>
              <w:jc w:val="right"/>
            </w:pPr>
          </w:p>
        </w:tc>
        <w:tc>
          <w:tcPr>
            <w:tcW w:w="1503" w:type="dxa"/>
            <w:vAlign w:val="center"/>
          </w:tcPr>
          <w:p>
            <w:pPr>
              <w:jc w:val="right"/>
            </w:pPr>
            <w:r>
              <w:rPr>
                <w:rFonts w:ascii="宋体" w:hAnsi="宋体" w:cs="宋体" w:hint="eastAsia"/>
              </w:rPr>
              <w:t>5,236</w:t>
            </w:r>
          </w:p>
        </w:tc>
        <w:tc>
          <w:tcPr>
            <w:tcW w:w="1503" w:type="dxa"/>
            <w:vAlign w:val="center"/>
          </w:tcPr>
          <w:p>
            <w:pPr>
              <w:jc w:val="right"/>
            </w:pPr>
            <w:r>
              <w:rPr>
                <w:rFonts w:ascii="宋体" w:hAnsi="宋体" w:cs="宋体" w:hint="eastAsia"/>
              </w:rPr>
              <w:t>13</w:t>
            </w:r>
          </w:p>
        </w:tc>
        <w:tc>
          <w:tcPr>
            <w:tcW w:w="1509" w:type="dxa"/>
            <w:vAlign w:val="center"/>
          </w:tcPr>
          <w:p>
            <w:pPr>
              <w:jc w:val="right"/>
            </w:pPr>
            <w:r>
              <w:rPr>
                <w:rFonts w:ascii="宋体" w:hAnsi="宋体" w:cs="宋体" w:hint="eastAsia"/>
              </w:rPr>
              <w:t>3,410,896</w:t>
            </w:r>
          </w:p>
        </w:tc>
      </w:tr>
      <w:tr>
        <w:trPr>
          <w:trHeight w:val="344"/>
        </w:trPr>
        <w:sdt>
          <w:sdtPr>
            <w:tag w:val="_PLD_4b0672b3afec475f9c6133950914fc81"/>
            <w:id w:val="21990918"/>
          </w:sdtPr>
          <w:sdtContent>
            <w:tc>
              <w:tcPr>
                <w:tcW w:w="14175" w:type="dxa"/>
                <w:gridSpan w:val="9"/>
                <w:vAlign w:val="center"/>
              </w:tcPr>
              <w:p>
                <w:pPr>
                  <w:pStyle w:val="Style93"/>
                </w:pPr>
                <w:r>
                  <w:t>四、账面价值</w:t>
                </w:r>
              </w:p>
            </w:tc>
          </w:sdtContent>
        </w:sdt>
      </w:tr>
      <w:tr>
        <w:trPr>
          <w:trHeight w:val="344"/>
        </w:trPr>
        <w:tc>
          <w:tcPr>
            <w:tcW w:w="2148" w:type="dxa"/>
            <w:vAlign w:val="center"/>
          </w:tcPr>
          <w:p>
            <w:pPr>
              <w:pStyle w:val="Style93"/>
            </w:pPr>
            <w:r>
              <w:t>1.</w:t>
            </w:r>
            <w:r>
              <w:t>期末账面价值</w:t>
            </w:r>
          </w:p>
        </w:tc>
        <w:tc>
          <w:tcPr>
            <w:tcW w:w="1502" w:type="dxa"/>
            <w:vAlign w:val="center"/>
          </w:tcPr>
          <w:p>
            <w:pPr>
              <w:jc w:val="right"/>
              <w:rPr>
                <w:rFonts w:ascii="宋体" w:hAnsi="宋体"/>
              </w:rPr>
            </w:pPr>
            <w:r>
              <w:rPr>
                <w:rFonts w:ascii="宋体" w:hAnsi="宋体"/>
              </w:rPr>
              <w:t>84,439,913</w:t>
            </w:r>
          </w:p>
        </w:tc>
        <w:tc>
          <w:tcPr>
            <w:tcW w:w="1502" w:type="dxa"/>
            <w:vAlign w:val="center"/>
          </w:tcPr>
          <w:p>
            <w:pPr>
              <w:jc w:val="right"/>
              <w:rPr>
                <w:rFonts w:ascii="宋体" w:hAnsi="宋体"/>
              </w:rPr>
            </w:pPr>
            <w:r>
              <w:rPr>
                <w:rFonts w:ascii="宋体" w:hAnsi="宋体"/>
              </w:rPr>
              <w:t>7,486,972</w:t>
            </w:r>
          </w:p>
        </w:tc>
        <w:tc>
          <w:tcPr>
            <w:tcW w:w="1502" w:type="dxa"/>
            <w:vAlign w:val="center"/>
          </w:tcPr>
          <w:p>
            <w:pPr>
              <w:jc w:val="right"/>
            </w:pPr>
            <w:r>
              <w:rPr>
                <w:rFonts w:ascii="宋体" w:hAnsi="宋体" w:cs="宋体" w:hint="eastAsia"/>
              </w:rPr>
              <w:t>6,556,518</w:t>
            </w:r>
          </w:p>
        </w:tc>
        <w:tc>
          <w:tcPr>
            <w:tcW w:w="1503" w:type="dxa"/>
            <w:vAlign w:val="center"/>
          </w:tcPr>
          <w:p>
            <w:pPr>
              <w:jc w:val="right"/>
            </w:pPr>
            <w:r>
              <w:rPr>
                <w:rFonts w:ascii="宋体" w:hAnsi="宋体" w:cs="宋体" w:hint="eastAsia"/>
              </w:rPr>
              <w:t>244,029</w:t>
            </w:r>
          </w:p>
        </w:tc>
        <w:tc>
          <w:tcPr>
            <w:tcW w:w="1503" w:type="dxa"/>
            <w:vAlign w:val="center"/>
          </w:tcPr>
          <w:p>
            <w:pPr>
              <w:jc w:val="right"/>
            </w:pPr>
            <w:r>
              <w:rPr>
                <w:rFonts w:ascii="宋体" w:hAnsi="宋体" w:cs="宋体" w:hint="eastAsia"/>
              </w:rPr>
              <w:t>476,927</w:t>
            </w:r>
          </w:p>
        </w:tc>
        <w:tc>
          <w:tcPr>
            <w:tcW w:w="1503" w:type="dxa"/>
            <w:vAlign w:val="center"/>
          </w:tcPr>
          <w:p>
            <w:pPr>
              <w:jc w:val="right"/>
            </w:pPr>
            <w:r>
              <w:rPr>
                <w:rFonts w:ascii="宋体" w:hAnsi="宋体" w:cs="宋体" w:hint="eastAsia"/>
              </w:rPr>
              <w:t>3,642,765</w:t>
            </w:r>
          </w:p>
        </w:tc>
        <w:tc>
          <w:tcPr>
            <w:tcW w:w="1503" w:type="dxa"/>
            <w:vAlign w:val="center"/>
          </w:tcPr>
          <w:p>
            <w:pPr>
              <w:jc w:val="right"/>
            </w:pPr>
            <w:r>
              <w:rPr>
                <w:rFonts w:ascii="宋体" w:hAnsi="宋体" w:cs="宋体" w:hint="eastAsia"/>
              </w:rPr>
              <w:t>396,985</w:t>
            </w:r>
          </w:p>
        </w:tc>
        <w:tc>
          <w:tcPr>
            <w:tcW w:w="1509" w:type="dxa"/>
            <w:vAlign w:val="center"/>
          </w:tcPr>
          <w:p>
            <w:pPr>
              <w:jc w:val="right"/>
            </w:pPr>
            <w:r>
              <w:rPr>
                <w:rFonts w:ascii="宋体" w:hAnsi="宋体" w:cs="宋体" w:hint="eastAsia"/>
              </w:rPr>
              <w:t>103,244,109</w:t>
            </w:r>
          </w:p>
        </w:tc>
      </w:tr>
      <w:tr>
        <w:trPr>
          <w:trHeight w:val="344"/>
        </w:trPr>
        <w:tc>
          <w:tcPr>
            <w:tcW w:w="2148" w:type="dxa"/>
            <w:vAlign w:val="center"/>
          </w:tcPr>
          <w:p>
            <w:pPr>
              <w:pStyle w:val="Style93"/>
            </w:pPr>
            <w:r>
              <w:lastRenderedPageBreak/>
              <w:t>2.</w:t>
            </w:r>
            <w:r>
              <w:rPr>
                <w:rFonts w:hint="eastAsia"/>
              </w:rPr>
              <w:t>期初</w:t>
            </w:r>
            <w:r>
              <w:t>账面价值</w:t>
            </w:r>
          </w:p>
        </w:tc>
        <w:tc>
          <w:tcPr>
            <w:tcW w:w="1502" w:type="dxa"/>
            <w:vAlign w:val="center"/>
          </w:tcPr>
          <w:p>
            <w:pPr>
              <w:jc w:val="right"/>
            </w:pPr>
            <w:r>
              <w:rPr>
                <w:rFonts w:ascii="宋体" w:hAnsi="宋体" w:cs="宋体" w:hint="eastAsia"/>
              </w:rPr>
              <w:t>68,778,866</w:t>
            </w:r>
          </w:p>
        </w:tc>
        <w:tc>
          <w:tcPr>
            <w:tcW w:w="1502" w:type="dxa"/>
            <w:vAlign w:val="center"/>
          </w:tcPr>
          <w:p>
            <w:pPr>
              <w:jc w:val="right"/>
            </w:pPr>
            <w:r>
              <w:rPr>
                <w:rFonts w:ascii="宋体" w:hAnsi="宋体" w:cs="宋体" w:hint="eastAsia"/>
              </w:rPr>
              <w:t>6,588,392</w:t>
            </w:r>
          </w:p>
        </w:tc>
        <w:tc>
          <w:tcPr>
            <w:tcW w:w="1502" w:type="dxa"/>
            <w:vAlign w:val="center"/>
          </w:tcPr>
          <w:p>
            <w:pPr>
              <w:jc w:val="right"/>
            </w:pPr>
            <w:r>
              <w:rPr>
                <w:rFonts w:ascii="宋体" w:hAnsi="宋体" w:cs="宋体" w:hint="eastAsia"/>
              </w:rPr>
              <w:t>5,916,517</w:t>
            </w:r>
          </w:p>
        </w:tc>
        <w:tc>
          <w:tcPr>
            <w:tcW w:w="1503" w:type="dxa"/>
            <w:vAlign w:val="center"/>
          </w:tcPr>
          <w:p>
            <w:pPr>
              <w:jc w:val="right"/>
            </w:pPr>
            <w:r>
              <w:rPr>
                <w:rFonts w:ascii="宋体" w:hAnsi="宋体" w:cs="宋体" w:hint="eastAsia"/>
              </w:rPr>
              <w:t>349,739</w:t>
            </w:r>
          </w:p>
        </w:tc>
        <w:tc>
          <w:tcPr>
            <w:tcW w:w="1503" w:type="dxa"/>
            <w:vAlign w:val="center"/>
          </w:tcPr>
          <w:p>
            <w:pPr>
              <w:jc w:val="right"/>
            </w:pPr>
            <w:r>
              <w:rPr>
                <w:rFonts w:ascii="宋体" w:hAnsi="宋体" w:cs="宋体" w:hint="eastAsia"/>
              </w:rPr>
              <w:t>480,494</w:t>
            </w:r>
          </w:p>
        </w:tc>
        <w:tc>
          <w:tcPr>
            <w:tcW w:w="1503" w:type="dxa"/>
            <w:vAlign w:val="center"/>
          </w:tcPr>
          <w:p>
            <w:pPr>
              <w:jc w:val="right"/>
            </w:pPr>
            <w:r>
              <w:rPr>
                <w:rFonts w:ascii="宋体" w:hAnsi="宋体" w:cs="宋体" w:hint="eastAsia"/>
              </w:rPr>
              <w:t>3,931,852</w:t>
            </w:r>
          </w:p>
        </w:tc>
        <w:tc>
          <w:tcPr>
            <w:tcW w:w="1503" w:type="dxa"/>
            <w:vAlign w:val="center"/>
          </w:tcPr>
          <w:p>
            <w:pPr>
              <w:jc w:val="right"/>
            </w:pPr>
            <w:r>
              <w:rPr>
                <w:rFonts w:ascii="宋体" w:hAnsi="宋体" w:cs="宋体" w:hint="eastAsia"/>
              </w:rPr>
              <w:t>381,821</w:t>
            </w:r>
          </w:p>
        </w:tc>
        <w:tc>
          <w:tcPr>
            <w:tcW w:w="1509" w:type="dxa"/>
            <w:vAlign w:val="center"/>
          </w:tcPr>
          <w:p>
            <w:pPr>
              <w:jc w:val="right"/>
            </w:pPr>
            <w:r>
              <w:rPr>
                <w:rFonts w:ascii="宋体" w:hAnsi="宋体" w:cs="宋体" w:hint="eastAsia"/>
              </w:rPr>
              <w:t>86,427,681</w:t>
            </w:r>
          </w:p>
        </w:tc>
      </w:tr>
    </w:tbl>
    <w:p>
      <w:pPr>
        <w:snapToGrid w:val="0"/>
        <w:spacing w:line="240" w:lineRule="atLeast"/>
      </w:pPr>
    </w:p>
    <w:p>
      <w:pPr>
        <w:pStyle w:val="Style179"/>
        <w:numPr>
          <w:ilvl w:val="3"/>
          <w:numId w:val="95"/>
        </w:numPr>
        <w:ind w:left="426" w:hanging="426"/>
      </w:pPr>
      <w:bookmarkStart w:id="471" w:name="_Hlk169705970"/>
      <w:bookmarkStart w:id="472" w:name="_Hlk182485368"/>
      <w:r>
        <w:rPr>
          <w:rFonts w:hint="eastAsia"/>
        </w:rPr>
        <w:t>确认为无形资产的数据资源</w:t>
      </w:r>
    </w:p>
    <w:sdt>
      <w:sdtPr>
        <w:rPr>
          <w:color w:val="000000" w:themeColor="text1"/>
        </w:rPr>
        <w:alias w:val="是否适用：确认为无形资产的数据资源[双击切换]"/>
        <w:tag w:val="_GBC_178251a2b9bc4427aa8303576cf5eeed"/>
        <w:id w:val="-650213328"/>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pPr>
    </w:p>
    <w:p>
      <w:pPr>
        <w:snapToGrid w:val="0"/>
        <w:spacing w:line="240" w:lineRule="atLeast"/>
        <w:rPr>
          <w:color w:val="000000" w:themeColor="text1"/>
        </w:rPr>
        <w:sectPr>
          <w:pgSz w:w="16838" w:h="11906" w:orient="landscape"/>
          <w:pgMar w:top="1797" w:right="1525" w:bottom="1276" w:left="1440" w:header="856" w:footer="992" w:gutter="0"/>
          <w:cols w:space="425"/>
          <w:docGrid w:linePitch="312"/>
        </w:sectPr>
      </w:pPr>
    </w:p>
    <w:p>
      <w:pPr>
        <w:snapToGrid w:val="0"/>
        <w:spacing w:line="240" w:lineRule="atLeast"/>
        <w:rPr>
          <w:color w:val="000000" w:themeColor="text1"/>
        </w:rPr>
      </w:pPr>
    </w:p>
    <w:bookmarkEnd w:id="471"/>
    <w:bookmarkEnd w:id="472"/>
    <w:p>
      <w:pPr>
        <w:pStyle w:val="Style179"/>
        <w:numPr>
          <w:ilvl w:val="3"/>
          <w:numId w:val="95"/>
        </w:numPr>
        <w:ind w:left="426" w:hanging="426"/>
      </w:pPr>
      <w:r>
        <w:rPr>
          <w:rFonts w:hint="eastAsia"/>
        </w:rPr>
        <w:t>未办妥产权证书的土地使用权情况</w:t>
      </w:r>
    </w:p>
    <w:p>
      <w:pPr>
        <w:pStyle w:val="Style217"/>
      </w:pPr>
      <w:sdt>
        <w:sdtPr>
          <w:alias w:val="是否适用：未办妥产权证书的土地使用权情况[双击切换]"/>
          <w:tag w:val="_GBC_62bb02d09b844cb69dfe16466ac211c9"/>
          <w:id w:val="-32352043"/>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土地使用权情况"/>
          <w:tag w:val="_GBC_0f049ced02af4be6bb3132c9fb8b9914"/>
          <w:id w:val="12456103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未办妥产权证书的土地使用权情况"/>
          <w:tag w:val="_GBC_2d9d301f865248d6b6f1b7ab06b239cf"/>
          <w:id w:val="14482749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trPr>
          <w:trHeight w:val="447"/>
        </w:trPr>
        <w:sdt>
          <w:sdtPr>
            <w:tag w:val="_PLD_394f6bb5ef6741f099060f7a817e1f9c"/>
            <w:id w:val="-1127309559"/>
          </w:sdtPr>
          <w:sdtContent>
            <w:tc>
              <w:tcPr>
                <w:tcW w:w="3015" w:type="dxa"/>
                <w:vAlign w:val="center"/>
              </w:tcPr>
              <w:p>
                <w:pPr>
                  <w:jc w:val="center"/>
                </w:pPr>
                <w:r>
                  <w:rPr>
                    <w:rFonts w:hint="eastAsia"/>
                  </w:rPr>
                  <w:t>项目</w:t>
                </w:r>
              </w:p>
            </w:tc>
          </w:sdtContent>
        </w:sdt>
        <w:sdt>
          <w:sdtPr>
            <w:tag w:val="_PLD_e52ee31192ed4f9facd48939a297a1af"/>
            <w:id w:val="1985746301"/>
          </w:sdtPr>
          <w:sdtContent>
            <w:tc>
              <w:tcPr>
                <w:tcW w:w="3016" w:type="dxa"/>
                <w:vAlign w:val="center"/>
              </w:tcPr>
              <w:p>
                <w:pPr>
                  <w:jc w:val="center"/>
                </w:pPr>
                <w:r>
                  <w:rPr>
                    <w:rFonts w:hint="eastAsia"/>
                  </w:rPr>
                  <w:t>账面价值</w:t>
                </w:r>
              </w:p>
            </w:tc>
          </w:sdtContent>
        </w:sdt>
        <w:sdt>
          <w:sdtPr>
            <w:tag w:val="_PLD_658d52b6529741e0acdd01e40f47293b"/>
            <w:id w:val="-1603332672"/>
          </w:sdtPr>
          <w:sdtContent>
            <w:tc>
              <w:tcPr>
                <w:tcW w:w="3016" w:type="dxa"/>
                <w:vAlign w:val="center"/>
              </w:tcPr>
              <w:p>
                <w:pPr>
                  <w:jc w:val="center"/>
                </w:pPr>
                <w:r>
                  <w:rPr>
                    <w:rFonts w:hint="eastAsia"/>
                  </w:rPr>
                  <w:t>未办妥产权证书的原因</w:t>
                </w:r>
              </w:p>
            </w:tc>
          </w:sdtContent>
        </w:sdt>
      </w:tr>
      <w:tr>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pPr>
            <w:bookmarkStart w:id="473" w:name="_Hlk153461844"/>
            <w:r>
              <w:rPr>
                <w:rFonts w:ascii="宋体" w:hAnsi="宋体" w:cs="宋体" w:hint="eastAsia"/>
              </w:rPr>
              <w:t>土地使用权</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rPr>
                <w:rFonts w:ascii="宋体" w:hAnsi="宋体" w:cs="宋体"/>
              </w:rPr>
              <w:t>577,742</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ascii="宋体" w:hAnsi="宋体" w:cs="宋体" w:hint="eastAsia"/>
              </w:rPr>
              <w:t>正在办理</w:t>
            </w:r>
          </w:p>
        </w:tc>
      </w:tr>
      <w:tr>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ascii="宋体" w:hAnsi="宋体" w:cs="宋体" w:hint="eastAsia"/>
                <w:color w:val="000000"/>
              </w:rPr>
              <w:t>水资源使用权</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rPr>
                <w:rFonts w:ascii="宋体" w:hAnsi="宋体" w:cs="宋体"/>
              </w:rPr>
              <w:t>128,413</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ascii="宋体" w:hAnsi="宋体" w:cs="宋体" w:hint="eastAsia"/>
              </w:rPr>
              <w:t>正在办理</w:t>
            </w:r>
          </w:p>
        </w:tc>
      </w:tr>
      <w:tr>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合计</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u w:val="single"/>
              </w:rPr>
            </w:pPr>
            <w:r>
              <w:rPr>
                <w:rFonts w:ascii="宋体" w:hAnsi="宋体" w:cs="宋体"/>
              </w:rPr>
              <w:t>706,155</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pPr>
          </w:p>
        </w:tc>
      </w:tr>
    </w:tbl>
    <w:p>
      <w:pPr>
        <w:pStyle w:val="Style179"/>
        <w:numPr>
          <w:ilvl w:val="3"/>
          <w:numId w:val="95"/>
        </w:numPr>
        <w:ind w:left="426" w:hanging="426"/>
      </w:pPr>
      <w:r>
        <w:rPr>
          <w:rFonts w:hint="eastAsia"/>
        </w:rPr>
        <w:t>无形资产的减值测试情况</w:t>
      </w:r>
    </w:p>
    <w:sdt>
      <w:sdtPr>
        <w:alias w:val="是否适用：减值测试情况[双击切换]"/>
        <w:tag w:val="_GBC_c5612c50ddb44cf8892aefcbaf89a0f7"/>
        <w:id w:val="-152886771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bookmarkEnd w:id="473"/>
    <w:p>
      <w:pPr>
        <w:pStyle w:val="Style217"/>
      </w:pPr>
      <w:r>
        <w:rPr>
          <w:rFonts w:hint="eastAsia"/>
        </w:rPr>
        <w:t>其他说明：</w:t>
      </w:r>
    </w:p>
    <w:sdt>
      <w:sdtPr>
        <w:alias w:val="是否适用：无形资产的说明[双击切换]"/>
        <w:tag w:val="_GBC_ff92654365f04f7ba71b01dd8af2f696"/>
        <w:id w:val="-1296527163"/>
        <w:placeholder>
          <w:docPart w:val="GBC22222222222222222222222222222"/>
        </w:placeholder>
      </w:sdtPr>
      <w:sdtContent>
        <w:p>
          <w:pPr>
            <w:pStyle w:val="Style217"/>
          </w:pPr>
          <w:r>
            <w:rPr>
              <w:rFonts w:hint="eastAsia"/>
            </w:rPr>
            <w:t>-</w:t>
          </w:r>
        </w:p>
      </w:sdtContent>
    </w:sdt>
    <w:p>
      <w:pPr>
        <w:snapToGrid w:val="0"/>
        <w:spacing w:line="240" w:lineRule="atLeast"/>
      </w:pPr>
    </w:p>
    <w:p>
      <w:pPr>
        <w:pStyle w:val="Style180"/>
        <w:ind w:left="105"/>
      </w:pPr>
      <w:r>
        <w:rPr>
          <w:rFonts w:hint="eastAsia"/>
        </w:rPr>
        <w:t>可收回金额按公允价值减去处置费用后的净额确定</w:t>
      </w:r>
    </w:p>
    <w:sdt>
      <w:sdtPr>
        <w:alias w:val="是否适用：可收回金额按公允价值减去处置费用后的净额确定[双击切换]"/>
        <w:tag w:val="_GBC_dc34377ff7324bc48c922f008221ef9f"/>
        <w:id w:val="84790352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ind w:left="105"/>
      </w:pPr>
      <w:r>
        <w:rPr>
          <w:rFonts w:hint="eastAsia"/>
        </w:rPr>
        <w:t>可收回金额按预计未来现金流量的现值确定</w:t>
      </w:r>
    </w:p>
    <w:sdt>
      <w:sdtPr>
        <w:rPr>
          <w:rFonts w:hint="eastAsia"/>
        </w:rPr>
        <w:alias w:val="是否适用：可收回金额按预计未来现金流量的现值确定[双击切换]"/>
        <w:tag w:val="_GBC_35be11360bde403cad599a2e0b238c67"/>
        <w:id w:val="-2009049716"/>
        <w:placeholder>
          <w:docPart w:val="GBC22222222222222222222222222222"/>
        </w:placeholder>
      </w:sdtPr>
      <w:sdtContent>
        <w:p>
          <w:pPr>
            <w:pStyle w:val="Style175"/>
          </w:pPr>
          <w:r>
            <w:rPr>
              <w:rFonts w:ascii="宋体" w:hAnsi="宋体"/>
              <w:sz w:val="21"/>
            </w:rPr>
            <w:fldChar w:fldCharType="begin"/>
          </w:r>
          <w:r>
            <w:rPr>
              <w:rFonts w:ascii="宋体" w:hAnsi="宋体" w:hint="eastAsia"/>
              <w:sz w:val="21"/>
            </w:rPr>
            <w:instrText xml:space="preserve"> MACROBUTTON  SnrToggleCheckbox □适用 </w:instrText>
          </w:r>
          <w:r>
            <w:rPr>
              <w:rFonts w:ascii="宋体" w:hAnsi="宋体"/>
              <w:sz w:val="21"/>
            </w:rPr>
            <w:fldChar w:fldCharType="end"/>
          </w:r>
          <w:r>
            <w:rPr>
              <w:rFonts w:ascii="宋体" w:hAnsi="宋体"/>
              <w:sz w:val="21"/>
            </w:rPr>
            <w:fldChar w:fldCharType="begin"/>
          </w:r>
          <w:r>
            <w:rPr>
              <w:rFonts w:ascii="宋体" w:hAnsi="宋体" w:hint="eastAsia"/>
              <w:sz w:val="21"/>
            </w:rPr>
            <w:instrText xml:space="preserve"> MACROBUTTON  SnrToggleCheckbox √不适用 </w:instrText>
          </w:r>
          <w:r>
            <w:rPr>
              <w:rFonts w:ascii="宋体" w:hAnsi="宋体"/>
              <w:sz w:val="21"/>
            </w:rPr>
            <w:fldChar w:fldCharType="end"/>
          </w:r>
        </w:p>
      </w:sdtContent>
    </w:sdt>
    <w:p>
      <w:pPr>
        <w:pStyle w:val="Style217"/>
      </w:pPr>
    </w:p>
    <w:p>
      <w:pPr>
        <w:pStyle w:val="Style180"/>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022f03ae90d41c7b2484cf3fe5f1325"/>
        <w:id w:val="97518824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80"/>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0a4fdd8792414acdac65e5a54678f636"/>
        <w:id w:val="98652394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217"/>
      </w:pPr>
      <w:r>
        <w:rPr>
          <w:rFonts w:hint="eastAsia"/>
        </w:rPr>
        <w:t>其他说明：</w:t>
      </w:r>
    </w:p>
    <w:sdt>
      <w:sdtPr>
        <w:alias w:val="无形资产的说明"/>
        <w:tag w:val="_GBC_b3876d0ddd5a433ca1cd0418b98d28f8"/>
        <w:id w:val="234206438"/>
        <w:placeholder>
          <w:docPart w:val="GBC22222222222222222222222222222"/>
        </w:placeholder>
      </w:sdtPr>
      <w:sdtContent>
        <w:p>
          <w:pPr>
            <w:pStyle w:val="Style217"/>
          </w:pPr>
          <w:r>
            <w:rPr>
              <w:rFonts w:hint="eastAsia"/>
            </w:rPr>
            <w:t>-</w:t>
          </w:r>
        </w:p>
      </w:sdtContent>
    </w:sdt>
    <w:p>
      <w:pPr>
        <w:snapToGrid w:val="0"/>
        <w:spacing w:line="240" w:lineRule="atLeast"/>
      </w:pPr>
    </w:p>
    <w:p>
      <w:pPr>
        <w:pStyle w:val="Style178"/>
        <w:numPr>
          <w:ilvl w:val="0"/>
          <w:numId w:val="75"/>
        </w:numPr>
        <w:rPr>
          <w:szCs w:val="21"/>
        </w:rPr>
      </w:pPr>
      <w:r>
        <w:rPr>
          <w:szCs w:val="21"/>
        </w:rPr>
        <w:t>商誉</w:t>
      </w:r>
    </w:p>
    <w:p>
      <w:pPr>
        <w:pStyle w:val="Style179"/>
        <w:numPr>
          <w:ilvl w:val="3"/>
          <w:numId w:val="96"/>
        </w:numPr>
        <w:ind w:left="426" w:hanging="426"/>
      </w:pPr>
      <w:r>
        <w:rPr>
          <w:rFonts w:hint="eastAsia"/>
        </w:rPr>
        <w:t>商誉账面原值</w:t>
      </w:r>
    </w:p>
    <w:sdt>
      <w:sdtPr>
        <w:alias w:val="是否适用：商誉账面原值[双击切换]"/>
        <w:tag w:val="_GBC_ef393f0687ab4747a43cd96895a18dcb"/>
        <w:id w:val="81761529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商誉"/>
          <w:tag w:val="_GBC_1969cb3272364bc49f9ccb754d95df61"/>
          <w:id w:val="8898386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商誉"/>
          <w:tag w:val="_GBC_55d7143fbcf14746b997ea323f9b063b"/>
          <w:id w:val="10565029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18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317"/>
        <w:gridCol w:w="992"/>
        <w:gridCol w:w="827"/>
        <w:gridCol w:w="1016"/>
        <w:gridCol w:w="992"/>
        <w:gridCol w:w="992"/>
        <w:gridCol w:w="1255"/>
      </w:tblGrid>
      <w:tr>
        <w:trPr>
          <w:trHeight w:val="284"/>
          <w:jc w:val="center"/>
        </w:trPr>
        <w:sdt>
          <w:sdtPr>
            <w:tag w:val="_PLD_321a0416f313455db9437f8692d7d27e"/>
            <w:id w:val="-214350964"/>
          </w:sdtPr>
          <w:sdtContent>
            <w:tc>
              <w:tcPr>
                <w:tcW w:w="1797" w:type="dxa"/>
                <w:vMerge w:val="restart"/>
                <w:vAlign w:val="center"/>
              </w:tcPr>
              <w:p>
                <w:pPr>
                  <w:autoSpaceDE w:val="0"/>
                  <w:autoSpaceDN w:val="0"/>
                  <w:adjustRightInd w:val="0"/>
                  <w:snapToGrid w:val="0"/>
                  <w:jc w:val="center"/>
                </w:pPr>
                <w:r>
                  <w:rPr>
                    <w:rFonts w:hint="eastAsia"/>
                  </w:rPr>
                  <w:t>被投资单位名称或形成商誉的事项</w:t>
                </w:r>
              </w:p>
            </w:tc>
          </w:sdtContent>
        </w:sdt>
        <w:sdt>
          <w:sdtPr>
            <w:tag w:val="_PLD_f188a95931d64e73a28589bedff91f08"/>
            <w:id w:val="-1689903666"/>
          </w:sdtPr>
          <w:sdtContent>
            <w:tc>
              <w:tcPr>
                <w:tcW w:w="1317" w:type="dxa"/>
                <w:vMerge w:val="restart"/>
                <w:vAlign w:val="center"/>
              </w:tcPr>
              <w:p>
                <w:pPr>
                  <w:autoSpaceDE w:val="0"/>
                  <w:autoSpaceDN w:val="0"/>
                  <w:adjustRightInd w:val="0"/>
                  <w:snapToGrid w:val="0"/>
                  <w:jc w:val="center"/>
                </w:pPr>
                <w:r>
                  <w:rPr>
                    <w:rFonts w:hint="eastAsia"/>
                  </w:rPr>
                  <w:t>期初余额</w:t>
                </w:r>
              </w:p>
            </w:tc>
          </w:sdtContent>
        </w:sdt>
        <w:sdt>
          <w:sdtPr>
            <w:tag w:val="_PLD_fe0863051d574b7da3ab0c8be387303e"/>
            <w:id w:val="848292274"/>
          </w:sdtPr>
          <w:sdtContent>
            <w:tc>
              <w:tcPr>
                <w:tcW w:w="1819" w:type="dxa"/>
                <w:gridSpan w:val="2"/>
                <w:vAlign w:val="center"/>
              </w:tcPr>
              <w:p>
                <w:pPr>
                  <w:autoSpaceDE w:val="0"/>
                  <w:autoSpaceDN w:val="0"/>
                  <w:adjustRightInd w:val="0"/>
                  <w:snapToGrid w:val="0"/>
                  <w:jc w:val="center"/>
                </w:pPr>
                <w:r>
                  <w:rPr>
                    <w:rFonts w:hint="eastAsia"/>
                  </w:rPr>
                  <w:t>本期增加</w:t>
                </w:r>
              </w:p>
            </w:tc>
          </w:sdtContent>
        </w:sdt>
        <w:sdt>
          <w:sdtPr>
            <w:tag w:val="_PLD_ce868c17962f49c4aa34996033f79dd2"/>
            <w:id w:val="-1009672573"/>
          </w:sdtPr>
          <w:sdtContent>
            <w:tc>
              <w:tcPr>
                <w:tcW w:w="2008" w:type="dxa"/>
                <w:gridSpan w:val="2"/>
                <w:vAlign w:val="center"/>
              </w:tcPr>
              <w:p>
                <w:pPr>
                  <w:autoSpaceDE w:val="0"/>
                  <w:autoSpaceDN w:val="0"/>
                  <w:adjustRightInd w:val="0"/>
                  <w:snapToGrid w:val="0"/>
                  <w:jc w:val="center"/>
                </w:pPr>
                <w:r>
                  <w:rPr>
                    <w:rFonts w:hint="eastAsia"/>
                  </w:rPr>
                  <w:t>本期减少</w:t>
                </w:r>
              </w:p>
            </w:tc>
          </w:sdtContent>
        </w:sdt>
        <w:tc>
          <w:tcPr>
            <w:tcW w:w="992" w:type="dxa"/>
            <w:vMerge w:val="restart"/>
            <w:vAlign w:val="center"/>
          </w:tcPr>
          <w:p>
            <w:pPr>
              <w:autoSpaceDE w:val="0"/>
              <w:autoSpaceDN w:val="0"/>
              <w:adjustRightInd w:val="0"/>
              <w:snapToGrid w:val="0"/>
              <w:jc w:val="center"/>
              <w:rPr>
                <w:bCs/>
              </w:rPr>
            </w:pPr>
            <w:r>
              <w:rPr>
                <w:rFonts w:ascii="宋体" w:hAnsi="宋体" w:cs="宋体" w:hint="eastAsia"/>
                <w:bCs/>
                <w:sz w:val="18"/>
                <w:szCs w:val="18"/>
              </w:rPr>
              <w:t>外币报表折算差额</w:t>
            </w:r>
          </w:p>
        </w:tc>
        <w:sdt>
          <w:sdtPr>
            <w:tag w:val="_PLD_9b7450bb10fb432a80b42e729cd30f12"/>
            <w:id w:val="1610777021"/>
          </w:sdtPr>
          <w:sdtContent>
            <w:tc>
              <w:tcPr>
                <w:tcW w:w="1255" w:type="dxa"/>
                <w:vMerge w:val="restart"/>
                <w:vAlign w:val="center"/>
              </w:tcPr>
              <w:p>
                <w:pPr>
                  <w:autoSpaceDE w:val="0"/>
                  <w:autoSpaceDN w:val="0"/>
                  <w:adjustRightInd w:val="0"/>
                  <w:snapToGrid w:val="0"/>
                  <w:jc w:val="center"/>
                </w:pPr>
                <w:r>
                  <w:rPr>
                    <w:rFonts w:hint="eastAsia"/>
                  </w:rPr>
                  <w:t>期末余额</w:t>
                </w:r>
              </w:p>
            </w:tc>
          </w:sdtContent>
        </w:sdt>
      </w:tr>
      <w:tr>
        <w:trPr>
          <w:trHeight w:val="535"/>
          <w:jc w:val="center"/>
        </w:trPr>
        <w:tc>
          <w:tcPr>
            <w:tcW w:w="1797" w:type="dxa"/>
            <w:vMerge/>
            <w:vAlign w:val="center"/>
          </w:tcPr>
          <w:p>
            <w:pPr>
              <w:autoSpaceDE w:val="0"/>
              <w:autoSpaceDN w:val="0"/>
              <w:adjustRightInd w:val="0"/>
              <w:snapToGrid w:val="0"/>
              <w:jc w:val="center"/>
            </w:pPr>
          </w:p>
        </w:tc>
        <w:tc>
          <w:tcPr>
            <w:tcW w:w="1317" w:type="dxa"/>
            <w:vMerge/>
            <w:vAlign w:val="center"/>
          </w:tcPr>
          <w:p>
            <w:pPr>
              <w:autoSpaceDE w:val="0"/>
              <w:autoSpaceDN w:val="0"/>
              <w:adjustRightInd w:val="0"/>
              <w:snapToGrid w:val="0"/>
              <w:jc w:val="center"/>
            </w:pPr>
          </w:p>
        </w:tc>
        <w:sdt>
          <w:sdtPr>
            <w:tag w:val="_PLD_84318b21f9b643c3b358d0716c43d0ec"/>
            <w:id w:val="-1805003283"/>
          </w:sdtPr>
          <w:sdtContent>
            <w:tc>
              <w:tcPr>
                <w:tcW w:w="992" w:type="dxa"/>
                <w:vAlign w:val="center"/>
              </w:tcPr>
              <w:p>
                <w:pPr>
                  <w:autoSpaceDE w:val="0"/>
                  <w:autoSpaceDN w:val="0"/>
                  <w:adjustRightInd w:val="0"/>
                  <w:snapToGrid w:val="0"/>
                  <w:jc w:val="center"/>
                </w:pPr>
                <w:r>
                  <w:rPr>
                    <w:rFonts w:hint="eastAsia"/>
                  </w:rPr>
                  <w:t>企业合并形成的</w:t>
                </w:r>
              </w:p>
            </w:tc>
          </w:sdtContent>
        </w:sdt>
        <w:sdt>
          <w:sdtPr>
            <w:alias w:val="商誉账面原值本期增加额项目名称"/>
            <w:tag w:val="_GBC_fe66c6d60c044d9ea6469875d95f3d99"/>
            <w:id w:val="1559587374"/>
          </w:sdtPr>
          <w:sdtEndPr>
            <w:rPr>
              <w:rFonts w:hint="eastAsia"/>
            </w:rPr>
          </w:sdtEndPr>
          <w:sdtContent>
            <w:tc>
              <w:tcPr>
                <w:tcW w:w="827" w:type="dxa"/>
                <w:vAlign w:val="center"/>
              </w:tcPr>
              <w:p>
                <w:pPr>
                  <w:autoSpaceDE w:val="0"/>
                  <w:autoSpaceDN w:val="0"/>
                  <w:adjustRightInd w:val="0"/>
                  <w:snapToGrid w:val="0"/>
                  <w:jc w:val="center"/>
                </w:pPr>
                <w:r>
                  <w:rPr>
                    <w:rFonts w:hint="eastAsia"/>
                  </w:rPr>
                  <w:t>其他</w:t>
                </w:r>
              </w:p>
            </w:tc>
          </w:sdtContent>
        </w:sdt>
        <w:sdt>
          <w:sdtPr>
            <w:tag w:val="_PLD_6983282e8b8843a39f6925589e64f7d6"/>
            <w:id w:val="-825274209"/>
          </w:sdtPr>
          <w:sdtContent>
            <w:tc>
              <w:tcPr>
                <w:tcW w:w="1016" w:type="dxa"/>
                <w:vAlign w:val="center"/>
              </w:tcPr>
              <w:p>
                <w:pPr>
                  <w:autoSpaceDE w:val="0"/>
                  <w:autoSpaceDN w:val="0"/>
                  <w:adjustRightInd w:val="0"/>
                  <w:snapToGrid w:val="0"/>
                  <w:jc w:val="center"/>
                </w:pPr>
                <w:r>
                  <w:rPr>
                    <w:rFonts w:hint="eastAsia"/>
                  </w:rPr>
                  <w:t>处置</w:t>
                </w:r>
              </w:p>
            </w:tc>
          </w:sdtContent>
        </w:sdt>
        <w:sdt>
          <w:sdtPr>
            <w:alias w:val="商誉账面原值本期减少额项目名称"/>
            <w:tag w:val="_GBC_8b97f290d55f4abf952a5db1e21a7423"/>
            <w:id w:val="828328578"/>
          </w:sdtPr>
          <w:sdtEndPr>
            <w:rPr>
              <w:rFonts w:hint="eastAsia"/>
            </w:rPr>
          </w:sdtEndPr>
          <w:sdtContent>
            <w:tc>
              <w:tcPr>
                <w:tcW w:w="992" w:type="dxa"/>
                <w:vAlign w:val="center"/>
              </w:tcPr>
              <w:p>
                <w:pPr>
                  <w:autoSpaceDE w:val="0"/>
                  <w:autoSpaceDN w:val="0"/>
                  <w:adjustRightInd w:val="0"/>
                  <w:snapToGrid w:val="0"/>
                  <w:jc w:val="center"/>
                </w:pPr>
                <w:r>
                  <w:rPr>
                    <w:rFonts w:hint="eastAsia"/>
                  </w:rPr>
                  <w:t>其他</w:t>
                </w:r>
              </w:p>
            </w:tc>
          </w:sdtContent>
        </w:sdt>
        <w:tc>
          <w:tcPr>
            <w:tcW w:w="992" w:type="dxa"/>
            <w:vMerge/>
            <w:vAlign w:val="center"/>
          </w:tcPr>
          <w:p>
            <w:pPr>
              <w:autoSpaceDE w:val="0"/>
              <w:autoSpaceDN w:val="0"/>
              <w:adjustRightInd w:val="0"/>
              <w:snapToGrid w:val="0"/>
              <w:jc w:val="center"/>
            </w:pPr>
          </w:p>
        </w:tc>
        <w:tc>
          <w:tcPr>
            <w:tcW w:w="1255" w:type="dxa"/>
            <w:vMerge/>
            <w:vAlign w:val="center"/>
          </w:tcPr>
          <w:p>
            <w:pPr>
              <w:autoSpaceDE w:val="0"/>
              <w:autoSpaceDN w:val="0"/>
              <w:adjustRightInd w:val="0"/>
              <w:snapToGrid w:val="0"/>
              <w:jc w:val="center"/>
            </w:pPr>
          </w:p>
        </w:tc>
      </w:tr>
      <w:tr>
        <w:trPr>
          <w:trHeight w:val="246"/>
          <w:jc w:val="center"/>
        </w:trPr>
        <w:tc>
          <w:tcPr>
            <w:tcW w:w="1797" w:type="dxa"/>
            <w:vAlign w:val="center"/>
          </w:tcPr>
          <w:p>
            <w:pPr>
              <w:autoSpaceDE w:val="0"/>
              <w:autoSpaceDN w:val="0"/>
              <w:adjustRightInd w:val="0"/>
              <w:snapToGrid w:val="0"/>
              <w:jc w:val="both"/>
              <w:rPr>
                <w:rFonts w:asciiTheme="minorEastAsia" w:eastAsiaTheme="minorEastAsia" w:hAnsiTheme="minorEastAsia"/>
              </w:rPr>
            </w:pPr>
            <w:r>
              <w:rPr>
                <w:rFonts w:asciiTheme="minorEastAsia" w:eastAsiaTheme="minorEastAsia" w:hAnsiTheme="minorEastAsia" w:cs="宋体" w:hint="eastAsia"/>
              </w:rPr>
              <w:t>收购鑫泰</w:t>
            </w:r>
          </w:p>
        </w:tc>
        <w:tc>
          <w:tcPr>
            <w:tcW w:w="1317"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653,836</w:t>
            </w: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827" w:type="dxa"/>
            <w:vAlign w:val="center"/>
          </w:tcPr>
          <w:p>
            <w:pPr>
              <w:autoSpaceDE w:val="0"/>
              <w:autoSpaceDN w:val="0"/>
              <w:adjustRightInd w:val="0"/>
              <w:snapToGrid w:val="0"/>
              <w:jc w:val="right"/>
              <w:rPr>
                <w:rFonts w:asciiTheme="minorEastAsia" w:eastAsiaTheme="minorEastAsia" w:hAnsiTheme="minorEastAsia"/>
              </w:rPr>
            </w:pPr>
          </w:p>
        </w:tc>
        <w:tc>
          <w:tcPr>
            <w:tcW w:w="1016"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1255"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653,836</w:t>
            </w:r>
          </w:p>
        </w:tc>
      </w:tr>
      <w:tr>
        <w:trPr>
          <w:trHeight w:val="246"/>
          <w:jc w:val="center"/>
        </w:trPr>
        <w:tc>
          <w:tcPr>
            <w:tcW w:w="1797" w:type="dxa"/>
            <w:vAlign w:val="center"/>
          </w:tcPr>
          <w:p>
            <w:pPr>
              <w:autoSpaceDE w:val="0"/>
              <w:autoSpaceDN w:val="0"/>
              <w:adjustRightInd w:val="0"/>
              <w:snapToGrid w:val="0"/>
              <w:jc w:val="both"/>
              <w:rPr>
                <w:rFonts w:asciiTheme="minorEastAsia" w:eastAsiaTheme="minorEastAsia" w:hAnsiTheme="minorEastAsia"/>
              </w:rPr>
            </w:pPr>
            <w:r>
              <w:rPr>
                <w:rFonts w:asciiTheme="minorEastAsia" w:eastAsiaTheme="minorEastAsia" w:hAnsiTheme="minorEastAsia" w:cs="宋体" w:hint="eastAsia"/>
              </w:rPr>
              <w:t>收购兖煤资源</w:t>
            </w:r>
          </w:p>
        </w:tc>
        <w:tc>
          <w:tcPr>
            <w:tcW w:w="1317"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275,075</w:t>
            </w: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827" w:type="dxa"/>
            <w:vAlign w:val="center"/>
          </w:tcPr>
          <w:p>
            <w:pPr>
              <w:autoSpaceDE w:val="0"/>
              <w:autoSpaceDN w:val="0"/>
              <w:adjustRightInd w:val="0"/>
              <w:snapToGrid w:val="0"/>
              <w:jc w:val="right"/>
              <w:rPr>
                <w:rFonts w:asciiTheme="minorEastAsia" w:eastAsiaTheme="minorEastAsia" w:hAnsiTheme="minorEastAsia"/>
              </w:rPr>
            </w:pPr>
          </w:p>
        </w:tc>
        <w:tc>
          <w:tcPr>
            <w:tcW w:w="1016"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rPr>
              <w:t>11,120</w:t>
            </w:r>
          </w:p>
        </w:tc>
        <w:tc>
          <w:tcPr>
            <w:tcW w:w="1255"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rPr>
              <w:t>286,195</w:t>
            </w:r>
          </w:p>
        </w:tc>
      </w:tr>
      <w:tr>
        <w:trPr>
          <w:trHeight w:val="246"/>
          <w:jc w:val="center"/>
        </w:trPr>
        <w:tc>
          <w:tcPr>
            <w:tcW w:w="1797" w:type="dxa"/>
            <w:vAlign w:val="center"/>
          </w:tcPr>
          <w:p>
            <w:pPr>
              <w:autoSpaceDE w:val="0"/>
              <w:autoSpaceDN w:val="0"/>
              <w:adjustRightInd w:val="0"/>
              <w:snapToGrid w:val="0"/>
              <w:jc w:val="both"/>
              <w:rPr>
                <w:rFonts w:asciiTheme="minorEastAsia" w:eastAsiaTheme="minorEastAsia" w:hAnsiTheme="minorEastAsia"/>
              </w:rPr>
            </w:pPr>
            <w:r>
              <w:rPr>
                <w:rFonts w:asciiTheme="minorEastAsia" w:eastAsiaTheme="minorEastAsia" w:hAnsiTheme="minorEastAsia" w:cs="宋体" w:hint="eastAsia"/>
              </w:rPr>
              <w:t>收购新泰克Ⅱ</w:t>
            </w:r>
          </w:p>
        </w:tc>
        <w:tc>
          <w:tcPr>
            <w:tcW w:w="1317"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19,714</w:t>
            </w: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827" w:type="dxa"/>
            <w:vAlign w:val="center"/>
          </w:tcPr>
          <w:p>
            <w:pPr>
              <w:autoSpaceDE w:val="0"/>
              <w:autoSpaceDN w:val="0"/>
              <w:adjustRightInd w:val="0"/>
              <w:snapToGrid w:val="0"/>
              <w:jc w:val="right"/>
              <w:rPr>
                <w:rFonts w:asciiTheme="minorEastAsia" w:eastAsiaTheme="minorEastAsia" w:hAnsiTheme="minorEastAsia"/>
              </w:rPr>
            </w:pPr>
          </w:p>
        </w:tc>
        <w:tc>
          <w:tcPr>
            <w:tcW w:w="1016"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rPr>
              <w:t>797</w:t>
            </w:r>
          </w:p>
        </w:tc>
        <w:tc>
          <w:tcPr>
            <w:tcW w:w="1255"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rPr>
              <w:t>20,511</w:t>
            </w:r>
          </w:p>
        </w:tc>
      </w:tr>
      <w:tr>
        <w:trPr>
          <w:trHeight w:val="246"/>
          <w:jc w:val="center"/>
        </w:trPr>
        <w:tc>
          <w:tcPr>
            <w:tcW w:w="1797" w:type="dxa"/>
            <w:vAlign w:val="center"/>
          </w:tcPr>
          <w:p>
            <w:pPr>
              <w:autoSpaceDE w:val="0"/>
              <w:autoSpaceDN w:val="0"/>
              <w:adjustRightInd w:val="0"/>
              <w:snapToGrid w:val="0"/>
              <w:jc w:val="both"/>
              <w:rPr>
                <w:rFonts w:asciiTheme="minorEastAsia" w:eastAsiaTheme="minorEastAsia" w:hAnsiTheme="minorEastAsia"/>
              </w:rPr>
            </w:pPr>
            <w:r>
              <w:rPr>
                <w:rFonts w:asciiTheme="minorEastAsia" w:eastAsiaTheme="minorEastAsia" w:hAnsiTheme="minorEastAsia" w:cs="宋体" w:hint="eastAsia"/>
              </w:rPr>
              <w:t>收购普力马</w:t>
            </w:r>
          </w:p>
        </w:tc>
        <w:tc>
          <w:tcPr>
            <w:tcW w:w="1317"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12,260</w:t>
            </w: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827" w:type="dxa"/>
            <w:vAlign w:val="center"/>
          </w:tcPr>
          <w:p>
            <w:pPr>
              <w:autoSpaceDE w:val="0"/>
              <w:autoSpaceDN w:val="0"/>
              <w:adjustRightInd w:val="0"/>
              <w:snapToGrid w:val="0"/>
              <w:jc w:val="right"/>
              <w:rPr>
                <w:rFonts w:asciiTheme="minorEastAsia" w:eastAsiaTheme="minorEastAsia" w:hAnsiTheme="minorEastAsia"/>
              </w:rPr>
            </w:pPr>
          </w:p>
        </w:tc>
        <w:tc>
          <w:tcPr>
            <w:tcW w:w="1016"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rPr>
              <w:t>496</w:t>
            </w:r>
          </w:p>
        </w:tc>
        <w:tc>
          <w:tcPr>
            <w:tcW w:w="1255"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rPr>
              <w:t>12,756</w:t>
            </w:r>
          </w:p>
        </w:tc>
      </w:tr>
      <w:tr>
        <w:trPr>
          <w:trHeight w:val="246"/>
          <w:jc w:val="center"/>
        </w:trPr>
        <w:tc>
          <w:tcPr>
            <w:tcW w:w="1797" w:type="dxa"/>
            <w:vAlign w:val="center"/>
          </w:tcPr>
          <w:p>
            <w:pPr>
              <w:autoSpaceDE w:val="0"/>
              <w:autoSpaceDN w:val="0"/>
              <w:adjustRightInd w:val="0"/>
              <w:snapToGrid w:val="0"/>
              <w:jc w:val="both"/>
              <w:rPr>
                <w:rFonts w:asciiTheme="minorEastAsia" w:eastAsiaTheme="minorEastAsia" w:hAnsiTheme="minorEastAsia"/>
              </w:rPr>
            </w:pPr>
            <w:r>
              <w:rPr>
                <w:rFonts w:asciiTheme="minorEastAsia" w:eastAsiaTheme="minorEastAsia" w:hAnsiTheme="minorEastAsia" w:cs="宋体" w:hint="eastAsia"/>
              </w:rPr>
              <w:t>收购兖煤航运</w:t>
            </w:r>
          </w:p>
        </w:tc>
        <w:tc>
          <w:tcPr>
            <w:tcW w:w="1317"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10,045</w:t>
            </w: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827" w:type="dxa"/>
            <w:vAlign w:val="center"/>
          </w:tcPr>
          <w:p>
            <w:pPr>
              <w:autoSpaceDE w:val="0"/>
              <w:autoSpaceDN w:val="0"/>
              <w:adjustRightInd w:val="0"/>
              <w:snapToGrid w:val="0"/>
              <w:jc w:val="right"/>
              <w:rPr>
                <w:rFonts w:asciiTheme="minorEastAsia" w:eastAsiaTheme="minorEastAsia" w:hAnsiTheme="minorEastAsia"/>
              </w:rPr>
            </w:pPr>
          </w:p>
        </w:tc>
        <w:tc>
          <w:tcPr>
            <w:tcW w:w="1016"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1255"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10,045</w:t>
            </w:r>
          </w:p>
        </w:tc>
      </w:tr>
      <w:tr>
        <w:trPr>
          <w:trHeight w:val="246"/>
          <w:jc w:val="center"/>
        </w:trPr>
        <w:tc>
          <w:tcPr>
            <w:tcW w:w="1797" w:type="dxa"/>
            <w:vAlign w:val="center"/>
          </w:tcPr>
          <w:p>
            <w:pPr>
              <w:autoSpaceDE w:val="0"/>
              <w:autoSpaceDN w:val="0"/>
              <w:adjustRightInd w:val="0"/>
              <w:snapToGrid w:val="0"/>
              <w:jc w:val="both"/>
              <w:rPr>
                <w:rFonts w:asciiTheme="minorEastAsia" w:eastAsiaTheme="minorEastAsia" w:hAnsiTheme="minorEastAsia"/>
              </w:rPr>
            </w:pPr>
            <w:r>
              <w:rPr>
                <w:rFonts w:asciiTheme="minorEastAsia" w:eastAsiaTheme="minorEastAsia" w:hAnsiTheme="minorEastAsia" w:cs="宋体" w:hint="eastAsia"/>
              </w:rPr>
              <w:t>收购卡松科技</w:t>
            </w:r>
          </w:p>
        </w:tc>
        <w:tc>
          <w:tcPr>
            <w:tcW w:w="1317"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31,543</w:t>
            </w: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827" w:type="dxa"/>
            <w:vAlign w:val="center"/>
          </w:tcPr>
          <w:p>
            <w:pPr>
              <w:autoSpaceDE w:val="0"/>
              <w:autoSpaceDN w:val="0"/>
              <w:adjustRightInd w:val="0"/>
              <w:snapToGrid w:val="0"/>
              <w:jc w:val="right"/>
              <w:rPr>
                <w:rFonts w:asciiTheme="minorEastAsia" w:eastAsiaTheme="minorEastAsia" w:hAnsiTheme="minorEastAsia"/>
              </w:rPr>
            </w:pPr>
          </w:p>
        </w:tc>
        <w:tc>
          <w:tcPr>
            <w:tcW w:w="1016"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1255"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31,543</w:t>
            </w:r>
          </w:p>
        </w:tc>
      </w:tr>
      <w:tr>
        <w:trPr>
          <w:trHeight w:val="246"/>
          <w:jc w:val="center"/>
        </w:trPr>
        <w:tc>
          <w:tcPr>
            <w:tcW w:w="1797" w:type="dxa"/>
            <w:vAlign w:val="center"/>
          </w:tcPr>
          <w:p>
            <w:pPr>
              <w:autoSpaceDE w:val="0"/>
              <w:autoSpaceDN w:val="0"/>
              <w:adjustRightInd w:val="0"/>
              <w:snapToGrid w:val="0"/>
              <w:jc w:val="both"/>
              <w:rPr>
                <w:rFonts w:asciiTheme="minorEastAsia" w:eastAsiaTheme="minorEastAsia" w:hAnsiTheme="minorEastAsia"/>
              </w:rPr>
            </w:pPr>
            <w:r>
              <w:rPr>
                <w:rFonts w:asciiTheme="minorEastAsia" w:eastAsiaTheme="minorEastAsia" w:hAnsiTheme="minorEastAsia" w:cs="宋体" w:hint="eastAsia"/>
              </w:rPr>
              <w:t>收购五举煤业</w:t>
            </w:r>
          </w:p>
        </w:tc>
        <w:tc>
          <w:tcPr>
            <w:tcW w:w="1317"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16,832</w:t>
            </w: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827" w:type="dxa"/>
            <w:vAlign w:val="center"/>
          </w:tcPr>
          <w:p>
            <w:pPr>
              <w:autoSpaceDE w:val="0"/>
              <w:autoSpaceDN w:val="0"/>
              <w:adjustRightInd w:val="0"/>
              <w:snapToGrid w:val="0"/>
              <w:jc w:val="right"/>
              <w:rPr>
                <w:rFonts w:asciiTheme="minorEastAsia" w:eastAsiaTheme="minorEastAsia" w:hAnsiTheme="minorEastAsia"/>
              </w:rPr>
            </w:pPr>
          </w:p>
        </w:tc>
        <w:tc>
          <w:tcPr>
            <w:tcW w:w="1016"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1255"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16,832</w:t>
            </w:r>
          </w:p>
        </w:tc>
      </w:tr>
      <w:tr>
        <w:trPr>
          <w:trHeight w:val="246"/>
          <w:jc w:val="center"/>
        </w:trPr>
        <w:tc>
          <w:tcPr>
            <w:tcW w:w="1797" w:type="dxa"/>
            <w:vAlign w:val="center"/>
          </w:tcPr>
          <w:p>
            <w:pPr>
              <w:autoSpaceDE w:val="0"/>
              <w:autoSpaceDN w:val="0"/>
              <w:adjustRightInd w:val="0"/>
              <w:snapToGrid w:val="0"/>
              <w:jc w:val="both"/>
              <w:rPr>
                <w:rFonts w:asciiTheme="minorEastAsia" w:eastAsiaTheme="minorEastAsia" w:hAnsiTheme="minorEastAsia"/>
              </w:rPr>
            </w:pPr>
            <w:r>
              <w:rPr>
                <w:rFonts w:asciiTheme="minorEastAsia" w:eastAsiaTheme="minorEastAsia" w:hAnsiTheme="minorEastAsia" w:cs="宋体" w:hint="eastAsia"/>
              </w:rPr>
              <w:t>收购天骏能源</w:t>
            </w:r>
          </w:p>
        </w:tc>
        <w:tc>
          <w:tcPr>
            <w:tcW w:w="1317"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515,868</w:t>
            </w: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827" w:type="dxa"/>
            <w:vAlign w:val="center"/>
          </w:tcPr>
          <w:p>
            <w:pPr>
              <w:autoSpaceDE w:val="0"/>
              <w:autoSpaceDN w:val="0"/>
              <w:adjustRightInd w:val="0"/>
              <w:snapToGrid w:val="0"/>
              <w:jc w:val="right"/>
              <w:rPr>
                <w:rFonts w:asciiTheme="minorEastAsia" w:eastAsiaTheme="minorEastAsia" w:hAnsiTheme="minorEastAsia"/>
              </w:rPr>
            </w:pPr>
          </w:p>
        </w:tc>
        <w:tc>
          <w:tcPr>
            <w:tcW w:w="1016"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992" w:type="dxa"/>
            <w:vAlign w:val="center"/>
          </w:tcPr>
          <w:p>
            <w:pPr>
              <w:autoSpaceDE w:val="0"/>
              <w:autoSpaceDN w:val="0"/>
              <w:adjustRightInd w:val="0"/>
              <w:snapToGrid w:val="0"/>
              <w:jc w:val="right"/>
              <w:rPr>
                <w:rFonts w:asciiTheme="minorEastAsia" w:eastAsiaTheme="minorEastAsia" w:hAnsiTheme="minorEastAsia"/>
              </w:rPr>
            </w:pPr>
          </w:p>
        </w:tc>
        <w:tc>
          <w:tcPr>
            <w:tcW w:w="1255" w:type="dxa"/>
            <w:vAlign w:val="center"/>
          </w:tcPr>
          <w:p>
            <w:pPr>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cs="宋体" w:hint="eastAsia"/>
              </w:rPr>
              <w:t>515,868</w:t>
            </w:r>
          </w:p>
        </w:tc>
      </w:tr>
      <w:tr>
        <w:trPr>
          <w:trHeight w:val="296"/>
          <w:jc w:val="center"/>
        </w:trPr>
        <w:tc>
          <w:tcPr>
            <w:tcW w:w="1797" w:type="dxa"/>
            <w:vAlign w:val="center"/>
          </w:tcPr>
          <w:p>
            <w:pPr>
              <w:autoSpaceDE w:val="0"/>
              <w:autoSpaceDN w:val="0"/>
              <w:adjustRightInd w:val="0"/>
              <w:snapToGrid w:val="0"/>
              <w:rPr>
                <w:rFonts w:asciiTheme="minorEastAsia" w:eastAsiaTheme="minorEastAsia" w:hAnsiTheme="minorEastAsia"/>
              </w:rPr>
            </w:pPr>
            <w:r>
              <w:rPr>
                <w:rFonts w:asciiTheme="minorEastAsia" w:eastAsiaTheme="minorEastAsia" w:hAnsiTheme="minorEastAsia" w:cs="宋体" w:hint="eastAsia"/>
              </w:rPr>
              <w:lastRenderedPageBreak/>
              <w:t>收购CFH</w:t>
            </w:r>
          </w:p>
        </w:tc>
        <w:tc>
          <w:tcPr>
            <w:tcW w:w="1317" w:type="dxa"/>
            <w:vAlign w:val="center"/>
          </w:tcPr>
          <w:p>
            <w:pPr>
              <w:autoSpaceDE w:val="0"/>
              <w:autoSpaceDN w:val="0"/>
              <w:adjustRightInd w:val="0"/>
              <w:snapToGrid w:val="0"/>
              <w:jc w:val="right"/>
              <w:rPr>
                <w:rFonts w:asciiTheme="minorEastAsia" w:eastAsiaTheme="minorEastAsia" w:hAnsiTheme="minorEastAsia" w:cs="宋体"/>
              </w:rPr>
            </w:pPr>
          </w:p>
        </w:tc>
        <w:tc>
          <w:tcPr>
            <w:tcW w:w="992" w:type="dxa"/>
            <w:vAlign w:val="center"/>
          </w:tcPr>
          <w:p>
            <w:pPr>
              <w:autoSpaceDE w:val="0"/>
              <w:autoSpaceDN w:val="0"/>
              <w:adjustRightInd w:val="0"/>
              <w:snapToGrid w:val="0"/>
              <w:jc w:val="right"/>
              <w:rPr>
                <w:rFonts w:asciiTheme="minorEastAsia" w:eastAsiaTheme="minorEastAsia" w:hAnsiTheme="minorEastAsia" w:cs="宋体"/>
              </w:rPr>
            </w:pPr>
            <w:r>
              <w:rPr>
                <w:rFonts w:asciiTheme="minorEastAsia" w:eastAsiaTheme="minorEastAsia" w:hAnsiTheme="minorEastAsia" w:cs="宋体"/>
              </w:rPr>
              <w:t>52,997</w:t>
            </w:r>
          </w:p>
        </w:tc>
        <w:tc>
          <w:tcPr>
            <w:tcW w:w="827" w:type="dxa"/>
            <w:vAlign w:val="center"/>
          </w:tcPr>
          <w:p>
            <w:pPr>
              <w:autoSpaceDE w:val="0"/>
              <w:autoSpaceDN w:val="0"/>
              <w:adjustRightInd w:val="0"/>
              <w:snapToGrid w:val="0"/>
              <w:jc w:val="right"/>
              <w:rPr>
                <w:rFonts w:asciiTheme="minorEastAsia" w:eastAsiaTheme="minorEastAsia" w:hAnsiTheme="minorEastAsia" w:cs="宋体"/>
              </w:rPr>
            </w:pPr>
          </w:p>
        </w:tc>
        <w:tc>
          <w:tcPr>
            <w:tcW w:w="1016" w:type="dxa"/>
            <w:vAlign w:val="center"/>
          </w:tcPr>
          <w:p>
            <w:pPr>
              <w:autoSpaceDE w:val="0"/>
              <w:autoSpaceDN w:val="0"/>
              <w:adjustRightInd w:val="0"/>
              <w:snapToGrid w:val="0"/>
              <w:jc w:val="right"/>
              <w:rPr>
                <w:rFonts w:asciiTheme="minorEastAsia" w:eastAsiaTheme="minorEastAsia" w:hAnsiTheme="minorEastAsia" w:cs="宋体"/>
              </w:rPr>
            </w:pPr>
          </w:p>
        </w:tc>
        <w:tc>
          <w:tcPr>
            <w:tcW w:w="992" w:type="dxa"/>
            <w:vAlign w:val="center"/>
          </w:tcPr>
          <w:p>
            <w:pPr>
              <w:autoSpaceDE w:val="0"/>
              <w:autoSpaceDN w:val="0"/>
              <w:adjustRightInd w:val="0"/>
              <w:snapToGrid w:val="0"/>
              <w:jc w:val="right"/>
              <w:rPr>
                <w:rFonts w:asciiTheme="minorEastAsia" w:eastAsiaTheme="minorEastAsia" w:hAnsiTheme="minorEastAsia" w:cs="宋体"/>
              </w:rPr>
            </w:pPr>
          </w:p>
        </w:tc>
        <w:tc>
          <w:tcPr>
            <w:tcW w:w="992" w:type="dxa"/>
            <w:vAlign w:val="center"/>
          </w:tcPr>
          <w:p>
            <w:pPr>
              <w:autoSpaceDE w:val="0"/>
              <w:autoSpaceDN w:val="0"/>
              <w:adjustRightInd w:val="0"/>
              <w:snapToGrid w:val="0"/>
              <w:jc w:val="right"/>
              <w:rPr>
                <w:rFonts w:asciiTheme="minorEastAsia" w:eastAsiaTheme="minorEastAsia" w:hAnsiTheme="minorEastAsia" w:cs="宋体"/>
              </w:rPr>
            </w:pPr>
            <w:r>
              <w:rPr>
                <w:rFonts w:asciiTheme="minorEastAsia" w:eastAsiaTheme="minorEastAsia" w:hAnsiTheme="minorEastAsia" w:cs="宋体"/>
              </w:rPr>
              <w:t>245</w:t>
            </w:r>
          </w:p>
        </w:tc>
        <w:tc>
          <w:tcPr>
            <w:tcW w:w="1255" w:type="dxa"/>
            <w:vAlign w:val="center"/>
          </w:tcPr>
          <w:p>
            <w:pPr>
              <w:autoSpaceDE w:val="0"/>
              <w:autoSpaceDN w:val="0"/>
              <w:adjustRightInd w:val="0"/>
              <w:snapToGrid w:val="0"/>
              <w:jc w:val="right"/>
              <w:rPr>
                <w:rFonts w:asciiTheme="minorEastAsia" w:eastAsiaTheme="minorEastAsia" w:hAnsiTheme="minorEastAsia" w:cs="宋体"/>
              </w:rPr>
            </w:pPr>
            <w:r>
              <w:rPr>
                <w:rFonts w:asciiTheme="minorEastAsia" w:eastAsiaTheme="minorEastAsia" w:hAnsiTheme="minorEastAsia" w:cs="宋体"/>
              </w:rPr>
              <w:t>53,242</w:t>
            </w:r>
          </w:p>
        </w:tc>
      </w:tr>
      <w:tr>
        <w:trPr>
          <w:trHeight w:val="296"/>
          <w:jc w:val="center"/>
        </w:trPr>
        <w:tc>
          <w:tcPr>
            <w:tcW w:w="1797" w:type="dxa"/>
            <w:vAlign w:val="center"/>
          </w:tcPr>
          <w:p>
            <w:pPr>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cs="宋体" w:hint="eastAsia"/>
              </w:rPr>
              <w:t>合计</w:t>
            </w:r>
          </w:p>
        </w:tc>
        <w:tc>
          <w:tcPr>
            <w:tcW w:w="1317" w:type="dxa"/>
            <w:vAlign w:val="center"/>
          </w:tcPr>
          <w:p>
            <w:pPr>
              <w:autoSpaceDE w:val="0"/>
              <w:autoSpaceDN w:val="0"/>
              <w:adjustRightInd w:val="0"/>
              <w:snapToGrid w:val="0"/>
              <w:jc w:val="right"/>
              <w:rPr>
                <w:rFonts w:asciiTheme="minorEastAsia" w:eastAsiaTheme="minorEastAsia" w:hAnsiTheme="minorEastAsia" w:cs="宋体"/>
              </w:rPr>
            </w:pPr>
            <w:r>
              <w:rPr>
                <w:rFonts w:asciiTheme="minorEastAsia" w:eastAsiaTheme="minorEastAsia" w:hAnsiTheme="minorEastAsia" w:cs="宋体" w:hint="eastAsia"/>
              </w:rPr>
              <w:t>1,535,173</w:t>
            </w:r>
          </w:p>
        </w:tc>
        <w:tc>
          <w:tcPr>
            <w:tcW w:w="992" w:type="dxa"/>
            <w:vAlign w:val="center"/>
          </w:tcPr>
          <w:p>
            <w:pPr>
              <w:autoSpaceDE w:val="0"/>
              <w:autoSpaceDN w:val="0"/>
              <w:adjustRightInd w:val="0"/>
              <w:snapToGrid w:val="0"/>
              <w:jc w:val="right"/>
              <w:rPr>
                <w:rFonts w:asciiTheme="minorEastAsia" w:eastAsiaTheme="minorEastAsia" w:hAnsiTheme="minorEastAsia" w:cs="宋体"/>
              </w:rPr>
            </w:pPr>
            <w:r>
              <w:rPr>
                <w:rFonts w:asciiTheme="minorEastAsia" w:eastAsiaTheme="minorEastAsia" w:hAnsiTheme="minorEastAsia" w:cs="宋体" w:hint="eastAsia"/>
              </w:rPr>
              <w:t>52,997</w:t>
            </w:r>
          </w:p>
        </w:tc>
        <w:tc>
          <w:tcPr>
            <w:tcW w:w="827" w:type="dxa"/>
            <w:vAlign w:val="center"/>
          </w:tcPr>
          <w:p>
            <w:pPr>
              <w:autoSpaceDE w:val="0"/>
              <w:autoSpaceDN w:val="0"/>
              <w:adjustRightInd w:val="0"/>
              <w:snapToGrid w:val="0"/>
              <w:jc w:val="right"/>
              <w:rPr>
                <w:rFonts w:asciiTheme="minorEastAsia" w:eastAsiaTheme="minorEastAsia" w:hAnsiTheme="minorEastAsia" w:cs="宋体"/>
              </w:rPr>
            </w:pPr>
          </w:p>
        </w:tc>
        <w:tc>
          <w:tcPr>
            <w:tcW w:w="1016" w:type="dxa"/>
            <w:vAlign w:val="center"/>
          </w:tcPr>
          <w:p>
            <w:pPr>
              <w:autoSpaceDE w:val="0"/>
              <w:autoSpaceDN w:val="0"/>
              <w:adjustRightInd w:val="0"/>
              <w:snapToGrid w:val="0"/>
              <w:jc w:val="right"/>
              <w:rPr>
                <w:rFonts w:asciiTheme="minorEastAsia" w:eastAsiaTheme="minorEastAsia" w:hAnsiTheme="minorEastAsia" w:cs="宋体"/>
              </w:rPr>
            </w:pPr>
          </w:p>
        </w:tc>
        <w:tc>
          <w:tcPr>
            <w:tcW w:w="992" w:type="dxa"/>
            <w:vAlign w:val="center"/>
          </w:tcPr>
          <w:p>
            <w:pPr>
              <w:autoSpaceDE w:val="0"/>
              <w:autoSpaceDN w:val="0"/>
              <w:adjustRightInd w:val="0"/>
              <w:snapToGrid w:val="0"/>
              <w:jc w:val="right"/>
              <w:rPr>
                <w:rFonts w:asciiTheme="minorEastAsia" w:eastAsiaTheme="minorEastAsia" w:hAnsiTheme="minorEastAsia" w:cs="宋体"/>
              </w:rPr>
            </w:pPr>
          </w:p>
        </w:tc>
        <w:tc>
          <w:tcPr>
            <w:tcW w:w="992" w:type="dxa"/>
            <w:vAlign w:val="center"/>
          </w:tcPr>
          <w:p>
            <w:pPr>
              <w:autoSpaceDE w:val="0"/>
              <w:autoSpaceDN w:val="0"/>
              <w:adjustRightInd w:val="0"/>
              <w:snapToGrid w:val="0"/>
              <w:jc w:val="right"/>
              <w:rPr>
                <w:rFonts w:asciiTheme="minorEastAsia" w:eastAsiaTheme="minorEastAsia" w:hAnsiTheme="minorEastAsia" w:cs="宋体"/>
              </w:rPr>
            </w:pPr>
            <w:r>
              <w:rPr>
                <w:rFonts w:asciiTheme="minorEastAsia" w:eastAsiaTheme="minorEastAsia" w:hAnsiTheme="minorEastAsia" w:cs="宋体"/>
              </w:rPr>
              <w:t>12,658</w:t>
            </w:r>
          </w:p>
        </w:tc>
        <w:tc>
          <w:tcPr>
            <w:tcW w:w="1255" w:type="dxa"/>
            <w:vAlign w:val="center"/>
          </w:tcPr>
          <w:p>
            <w:pPr>
              <w:autoSpaceDE w:val="0"/>
              <w:autoSpaceDN w:val="0"/>
              <w:adjustRightInd w:val="0"/>
              <w:snapToGrid w:val="0"/>
              <w:jc w:val="right"/>
              <w:rPr>
                <w:rFonts w:asciiTheme="minorEastAsia" w:eastAsiaTheme="minorEastAsia" w:hAnsiTheme="minorEastAsia" w:cs="宋体"/>
              </w:rPr>
            </w:pPr>
            <w:r>
              <w:rPr>
                <w:rFonts w:asciiTheme="minorEastAsia" w:eastAsiaTheme="minorEastAsia" w:hAnsiTheme="minorEastAsia" w:cs="宋体" w:hint="eastAsia"/>
              </w:rPr>
              <w:t>1,600,828</w:t>
            </w:r>
          </w:p>
        </w:tc>
      </w:tr>
    </w:tbl>
    <w:p>
      <w:pPr>
        <w:pStyle w:val="Style217"/>
      </w:pPr>
    </w:p>
    <w:p>
      <w:pPr>
        <w:pStyle w:val="Style179"/>
        <w:numPr>
          <w:ilvl w:val="3"/>
          <w:numId w:val="96"/>
        </w:numPr>
        <w:ind w:left="426" w:hanging="426"/>
      </w:pPr>
      <w:r>
        <w:rPr>
          <w:rFonts w:hint="eastAsia"/>
        </w:rPr>
        <w:t>商誉减值准备</w:t>
      </w:r>
    </w:p>
    <w:sdt>
      <w:sdtPr>
        <w:alias w:val="是否适用：商誉减值准备[双击切换]"/>
        <w:tag w:val="_GBC_6da4c3df55cf453f9753bb7045db7e9c"/>
        <w:id w:val="-153634589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商誉减值准备"/>
          <w:tag w:val="_GBC_f57fd757a9b44c6ebaa3d245d43745bc"/>
          <w:id w:val="1006923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商誉减值准备"/>
          <w:tag w:val="_GBC_c1f3995384ba4c438db9d1f743b78f7d"/>
          <w:id w:val="9208380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1019"/>
        <w:gridCol w:w="1047"/>
        <w:gridCol w:w="1021"/>
        <w:gridCol w:w="1031"/>
        <w:gridCol w:w="1081"/>
        <w:gridCol w:w="1103"/>
        <w:gridCol w:w="971"/>
      </w:tblGrid>
      <w:tr>
        <w:trPr>
          <w:trHeight w:val="255"/>
          <w:jc w:val="center"/>
        </w:trPr>
        <w:sdt>
          <w:sdtPr>
            <w:tag w:val="_PLD_18986b1742bd44dfbf2a33ba8f31cdbc"/>
            <w:id w:val="-477922752"/>
          </w:sdtPr>
          <w:sdtContent>
            <w:tc>
              <w:tcPr>
                <w:tcW w:w="1773" w:type="dxa"/>
                <w:vMerge w:val="restart"/>
                <w:vAlign w:val="center"/>
              </w:tcPr>
              <w:p>
                <w:pPr>
                  <w:autoSpaceDE w:val="0"/>
                  <w:autoSpaceDN w:val="0"/>
                  <w:adjustRightInd w:val="0"/>
                  <w:snapToGrid w:val="0"/>
                  <w:jc w:val="center"/>
                </w:pPr>
                <w:r>
                  <w:rPr>
                    <w:rFonts w:hint="eastAsia"/>
                  </w:rPr>
                  <w:t>被投资单位名称或形成商誉的事项</w:t>
                </w:r>
              </w:p>
            </w:tc>
          </w:sdtContent>
        </w:sdt>
        <w:sdt>
          <w:sdtPr>
            <w:tag w:val="_PLD_f4fc332b28b44b9498c110ad4ae0a59b"/>
            <w:id w:val="1276288310"/>
          </w:sdtPr>
          <w:sdtContent>
            <w:tc>
              <w:tcPr>
                <w:tcW w:w="1019" w:type="dxa"/>
                <w:vMerge w:val="restart"/>
                <w:vAlign w:val="center"/>
              </w:tcPr>
              <w:p>
                <w:pPr>
                  <w:autoSpaceDE w:val="0"/>
                  <w:autoSpaceDN w:val="0"/>
                  <w:adjustRightInd w:val="0"/>
                  <w:snapToGrid w:val="0"/>
                  <w:jc w:val="center"/>
                </w:pPr>
                <w:r>
                  <w:rPr>
                    <w:rFonts w:hint="eastAsia"/>
                  </w:rPr>
                  <w:t>期初余额</w:t>
                </w:r>
              </w:p>
            </w:tc>
          </w:sdtContent>
        </w:sdt>
        <w:sdt>
          <w:sdtPr>
            <w:tag w:val="_PLD_9c5ef388bfe9420c986843182b04de06"/>
            <w:id w:val="2050724860"/>
          </w:sdtPr>
          <w:sdtContent>
            <w:tc>
              <w:tcPr>
                <w:tcW w:w="2068" w:type="dxa"/>
                <w:gridSpan w:val="2"/>
                <w:vAlign w:val="center"/>
              </w:tcPr>
              <w:p>
                <w:pPr>
                  <w:autoSpaceDE w:val="0"/>
                  <w:autoSpaceDN w:val="0"/>
                  <w:adjustRightInd w:val="0"/>
                  <w:snapToGrid w:val="0"/>
                  <w:jc w:val="center"/>
                </w:pPr>
                <w:r>
                  <w:rPr>
                    <w:rFonts w:hint="eastAsia"/>
                  </w:rPr>
                  <w:t>本期增加</w:t>
                </w:r>
              </w:p>
            </w:tc>
          </w:sdtContent>
        </w:sdt>
        <w:sdt>
          <w:sdtPr>
            <w:tag w:val="_PLD_2d0c2da11bf944d99d5a113a6d874ecf"/>
            <w:id w:val="-1809473242"/>
          </w:sdtPr>
          <w:sdtContent>
            <w:tc>
              <w:tcPr>
                <w:tcW w:w="2112" w:type="dxa"/>
                <w:gridSpan w:val="2"/>
                <w:vAlign w:val="center"/>
              </w:tcPr>
              <w:p>
                <w:pPr>
                  <w:autoSpaceDE w:val="0"/>
                  <w:autoSpaceDN w:val="0"/>
                  <w:adjustRightInd w:val="0"/>
                  <w:snapToGrid w:val="0"/>
                  <w:jc w:val="center"/>
                </w:pPr>
                <w:r>
                  <w:rPr>
                    <w:rFonts w:hint="eastAsia"/>
                  </w:rPr>
                  <w:t>本期减少</w:t>
                </w:r>
              </w:p>
            </w:tc>
          </w:sdtContent>
        </w:sdt>
        <w:tc>
          <w:tcPr>
            <w:tcW w:w="1103" w:type="dxa"/>
            <w:vMerge w:val="restart"/>
            <w:vAlign w:val="center"/>
          </w:tcPr>
          <w:p>
            <w:pPr>
              <w:autoSpaceDE w:val="0"/>
              <w:autoSpaceDN w:val="0"/>
              <w:adjustRightInd w:val="0"/>
              <w:snapToGrid w:val="0"/>
              <w:jc w:val="center"/>
            </w:pPr>
            <w:r>
              <w:rPr>
                <w:rFonts w:hint="eastAsia"/>
              </w:rPr>
              <w:t>外币报表折算差额</w:t>
            </w:r>
          </w:p>
        </w:tc>
        <w:sdt>
          <w:sdtPr>
            <w:tag w:val="_PLD_507192cf6da34101afd3a25ed1e4bd77"/>
            <w:id w:val="-1837842022"/>
          </w:sdtPr>
          <w:sdtContent>
            <w:tc>
              <w:tcPr>
                <w:tcW w:w="971" w:type="dxa"/>
                <w:vMerge w:val="restart"/>
                <w:vAlign w:val="center"/>
              </w:tcPr>
              <w:p>
                <w:pPr>
                  <w:autoSpaceDE w:val="0"/>
                  <w:autoSpaceDN w:val="0"/>
                  <w:adjustRightInd w:val="0"/>
                  <w:snapToGrid w:val="0"/>
                  <w:jc w:val="center"/>
                </w:pPr>
                <w:r>
                  <w:rPr>
                    <w:rFonts w:hint="eastAsia"/>
                  </w:rPr>
                  <w:t>期末余额</w:t>
                </w:r>
              </w:p>
            </w:tc>
          </w:sdtContent>
        </w:sdt>
      </w:tr>
      <w:tr>
        <w:trPr>
          <w:trHeight w:val="296"/>
          <w:jc w:val="center"/>
        </w:trPr>
        <w:tc>
          <w:tcPr>
            <w:tcW w:w="1773" w:type="dxa"/>
            <w:vMerge/>
            <w:vAlign w:val="center"/>
          </w:tcPr>
          <w:p>
            <w:pPr>
              <w:autoSpaceDE w:val="0"/>
              <w:autoSpaceDN w:val="0"/>
              <w:adjustRightInd w:val="0"/>
              <w:snapToGrid w:val="0"/>
            </w:pPr>
          </w:p>
        </w:tc>
        <w:tc>
          <w:tcPr>
            <w:tcW w:w="1019" w:type="dxa"/>
            <w:vMerge/>
            <w:vAlign w:val="center"/>
          </w:tcPr>
          <w:p>
            <w:pPr>
              <w:autoSpaceDE w:val="0"/>
              <w:autoSpaceDN w:val="0"/>
              <w:adjustRightInd w:val="0"/>
              <w:snapToGrid w:val="0"/>
              <w:jc w:val="right"/>
            </w:pPr>
          </w:p>
        </w:tc>
        <w:sdt>
          <w:sdtPr>
            <w:tag w:val="_PLD_134cadb6536146b0bc898de0da7123f7"/>
            <w:id w:val="-1787808068"/>
          </w:sdtPr>
          <w:sdtContent>
            <w:tc>
              <w:tcPr>
                <w:tcW w:w="1047" w:type="dxa"/>
                <w:vAlign w:val="center"/>
              </w:tcPr>
              <w:p>
                <w:pPr>
                  <w:autoSpaceDE w:val="0"/>
                  <w:autoSpaceDN w:val="0"/>
                  <w:adjustRightInd w:val="0"/>
                  <w:snapToGrid w:val="0"/>
                  <w:jc w:val="center"/>
                </w:pPr>
                <w:r>
                  <w:rPr>
                    <w:rFonts w:hint="eastAsia"/>
                  </w:rPr>
                  <w:t>计提</w:t>
                </w:r>
              </w:p>
            </w:tc>
          </w:sdtContent>
        </w:sdt>
        <w:sdt>
          <w:sdtPr>
            <w:alias w:val="商誉减值准备本期增加额项目名称"/>
            <w:tag w:val="_GBC_2c15441a628d4a48b74e3cdf1b3d9e5c"/>
            <w:id w:val="182408858"/>
          </w:sdtPr>
          <w:sdtEndPr>
            <w:rPr>
              <w:rFonts w:hint="eastAsia"/>
            </w:rPr>
          </w:sdtEndPr>
          <w:sdtContent>
            <w:tc>
              <w:tcPr>
                <w:tcW w:w="1021" w:type="dxa"/>
                <w:vAlign w:val="center"/>
              </w:tcPr>
              <w:p>
                <w:pPr>
                  <w:autoSpaceDE w:val="0"/>
                  <w:autoSpaceDN w:val="0"/>
                  <w:adjustRightInd w:val="0"/>
                  <w:snapToGrid w:val="0"/>
                  <w:jc w:val="center"/>
                </w:pPr>
                <w:r>
                  <w:rPr>
                    <w:rFonts w:hint="eastAsia"/>
                  </w:rPr>
                  <w:t>其他</w:t>
                </w:r>
              </w:p>
            </w:tc>
          </w:sdtContent>
        </w:sdt>
        <w:sdt>
          <w:sdtPr>
            <w:tag w:val="_PLD_675bb5fa156e4d8089849da08384815e"/>
            <w:id w:val="-1719353076"/>
          </w:sdtPr>
          <w:sdtContent>
            <w:tc>
              <w:tcPr>
                <w:tcW w:w="1031" w:type="dxa"/>
                <w:vAlign w:val="center"/>
              </w:tcPr>
              <w:p>
                <w:pPr>
                  <w:autoSpaceDE w:val="0"/>
                  <w:autoSpaceDN w:val="0"/>
                  <w:adjustRightInd w:val="0"/>
                  <w:snapToGrid w:val="0"/>
                  <w:jc w:val="center"/>
                </w:pPr>
                <w:r>
                  <w:rPr>
                    <w:rFonts w:hint="eastAsia"/>
                  </w:rPr>
                  <w:t>处置</w:t>
                </w:r>
              </w:p>
            </w:tc>
          </w:sdtContent>
        </w:sdt>
        <w:sdt>
          <w:sdtPr>
            <w:alias w:val="商誉减值准备本期减少额项目名称"/>
            <w:tag w:val="_GBC_11c989867bfa4423aff2c855748ad460"/>
            <w:id w:val="1496612017"/>
          </w:sdtPr>
          <w:sdtEndPr>
            <w:rPr>
              <w:rFonts w:hint="eastAsia"/>
            </w:rPr>
          </w:sdtEndPr>
          <w:sdtContent>
            <w:tc>
              <w:tcPr>
                <w:tcW w:w="1081" w:type="dxa"/>
                <w:vAlign w:val="center"/>
              </w:tcPr>
              <w:p>
                <w:pPr>
                  <w:autoSpaceDE w:val="0"/>
                  <w:autoSpaceDN w:val="0"/>
                  <w:adjustRightInd w:val="0"/>
                  <w:snapToGrid w:val="0"/>
                  <w:jc w:val="center"/>
                </w:pPr>
                <w:r>
                  <w:rPr>
                    <w:rFonts w:hint="eastAsia"/>
                  </w:rPr>
                  <w:t>其他</w:t>
                </w:r>
              </w:p>
            </w:tc>
          </w:sdtContent>
        </w:sdt>
        <w:tc>
          <w:tcPr>
            <w:tcW w:w="1103" w:type="dxa"/>
            <w:vMerge/>
            <w:vAlign w:val="center"/>
          </w:tcPr>
          <w:p>
            <w:pPr>
              <w:autoSpaceDE w:val="0"/>
              <w:autoSpaceDN w:val="0"/>
              <w:adjustRightInd w:val="0"/>
              <w:snapToGrid w:val="0"/>
              <w:jc w:val="center"/>
            </w:pPr>
          </w:p>
        </w:tc>
        <w:tc>
          <w:tcPr>
            <w:tcW w:w="971" w:type="dxa"/>
            <w:vMerge/>
            <w:vAlign w:val="center"/>
          </w:tcPr>
          <w:p>
            <w:pPr>
              <w:autoSpaceDE w:val="0"/>
              <w:autoSpaceDN w:val="0"/>
              <w:adjustRightInd w:val="0"/>
              <w:snapToGrid w:val="0"/>
              <w:jc w:val="center"/>
            </w:pPr>
          </w:p>
        </w:tc>
      </w:tr>
      <w:tr>
        <w:trPr>
          <w:trHeight w:val="70"/>
          <w:jc w:val="center"/>
        </w:trPr>
        <w:tc>
          <w:tcPr>
            <w:tcW w:w="1773" w:type="dxa"/>
            <w:vAlign w:val="center"/>
          </w:tcPr>
          <w:p>
            <w:pPr>
              <w:autoSpaceDE w:val="0"/>
              <w:autoSpaceDN w:val="0"/>
              <w:adjustRightInd w:val="0"/>
              <w:snapToGrid w:val="0"/>
            </w:pPr>
            <w:r>
              <w:rPr>
                <w:rFonts w:ascii="宋体" w:hAnsi="宋体" w:cs="宋体" w:hint="eastAsia"/>
              </w:rPr>
              <w:t>收购鑫泰</w:t>
            </w:r>
          </w:p>
        </w:tc>
        <w:tc>
          <w:tcPr>
            <w:tcW w:w="1019" w:type="dxa"/>
            <w:vAlign w:val="center"/>
          </w:tcPr>
          <w:p>
            <w:pPr>
              <w:autoSpaceDE w:val="0"/>
              <w:autoSpaceDN w:val="0"/>
              <w:adjustRightInd w:val="0"/>
              <w:snapToGrid w:val="0"/>
              <w:jc w:val="right"/>
            </w:pPr>
            <w:r>
              <w:rPr>
                <w:rFonts w:ascii="宋体" w:hAnsi="宋体" w:cs="宋体"/>
              </w:rPr>
              <w:t>653,836</w:t>
            </w:r>
          </w:p>
        </w:tc>
        <w:tc>
          <w:tcPr>
            <w:tcW w:w="1047" w:type="dxa"/>
            <w:vAlign w:val="center"/>
          </w:tcPr>
          <w:p>
            <w:pPr>
              <w:autoSpaceDE w:val="0"/>
              <w:autoSpaceDN w:val="0"/>
              <w:adjustRightInd w:val="0"/>
              <w:snapToGrid w:val="0"/>
              <w:jc w:val="right"/>
            </w:pPr>
          </w:p>
        </w:tc>
        <w:tc>
          <w:tcPr>
            <w:tcW w:w="1021" w:type="dxa"/>
            <w:vAlign w:val="center"/>
          </w:tcPr>
          <w:p>
            <w:pPr>
              <w:autoSpaceDE w:val="0"/>
              <w:autoSpaceDN w:val="0"/>
              <w:adjustRightInd w:val="0"/>
              <w:snapToGrid w:val="0"/>
              <w:jc w:val="right"/>
            </w:pPr>
          </w:p>
        </w:tc>
        <w:tc>
          <w:tcPr>
            <w:tcW w:w="1031" w:type="dxa"/>
            <w:vAlign w:val="center"/>
          </w:tcPr>
          <w:p>
            <w:pPr>
              <w:autoSpaceDE w:val="0"/>
              <w:autoSpaceDN w:val="0"/>
              <w:adjustRightInd w:val="0"/>
              <w:snapToGrid w:val="0"/>
              <w:jc w:val="right"/>
            </w:pPr>
          </w:p>
        </w:tc>
        <w:tc>
          <w:tcPr>
            <w:tcW w:w="1081" w:type="dxa"/>
            <w:vAlign w:val="center"/>
          </w:tcPr>
          <w:p>
            <w:pPr>
              <w:autoSpaceDE w:val="0"/>
              <w:autoSpaceDN w:val="0"/>
              <w:adjustRightInd w:val="0"/>
              <w:snapToGrid w:val="0"/>
              <w:jc w:val="right"/>
            </w:pPr>
          </w:p>
        </w:tc>
        <w:tc>
          <w:tcPr>
            <w:tcW w:w="1103" w:type="dxa"/>
            <w:vAlign w:val="center"/>
          </w:tcPr>
          <w:p>
            <w:pPr>
              <w:autoSpaceDE w:val="0"/>
              <w:autoSpaceDN w:val="0"/>
              <w:adjustRightInd w:val="0"/>
              <w:snapToGrid w:val="0"/>
              <w:jc w:val="right"/>
              <w:rPr>
                <w:rFonts w:ascii="宋体" w:hAnsi="宋体"/>
              </w:rPr>
            </w:pPr>
          </w:p>
        </w:tc>
        <w:tc>
          <w:tcPr>
            <w:tcW w:w="971" w:type="dxa"/>
            <w:vAlign w:val="center"/>
          </w:tcPr>
          <w:p>
            <w:pPr>
              <w:autoSpaceDE w:val="0"/>
              <w:autoSpaceDN w:val="0"/>
              <w:adjustRightInd w:val="0"/>
              <w:snapToGrid w:val="0"/>
              <w:jc w:val="right"/>
              <w:rPr>
                <w:rFonts w:ascii="宋体" w:hAnsi="宋体"/>
              </w:rPr>
            </w:pPr>
            <w:r>
              <w:rPr>
                <w:rFonts w:ascii="宋体" w:hAnsi="宋体"/>
              </w:rPr>
              <w:t>653,836</w:t>
            </w:r>
          </w:p>
        </w:tc>
      </w:tr>
      <w:tr>
        <w:trPr>
          <w:trHeight w:val="70"/>
          <w:jc w:val="center"/>
        </w:trPr>
        <w:tc>
          <w:tcPr>
            <w:tcW w:w="1773" w:type="dxa"/>
            <w:vAlign w:val="center"/>
          </w:tcPr>
          <w:p>
            <w:pPr>
              <w:autoSpaceDE w:val="0"/>
              <w:autoSpaceDN w:val="0"/>
              <w:adjustRightInd w:val="0"/>
              <w:snapToGrid w:val="0"/>
            </w:pPr>
            <w:r>
              <w:rPr>
                <w:rFonts w:ascii="宋体" w:hAnsi="宋体" w:cs="宋体" w:hint="eastAsia"/>
              </w:rPr>
              <w:t>收购兖煤资源</w:t>
            </w:r>
          </w:p>
        </w:tc>
        <w:tc>
          <w:tcPr>
            <w:tcW w:w="1019" w:type="dxa"/>
            <w:vAlign w:val="center"/>
          </w:tcPr>
          <w:p>
            <w:pPr>
              <w:autoSpaceDE w:val="0"/>
              <w:autoSpaceDN w:val="0"/>
              <w:adjustRightInd w:val="0"/>
              <w:snapToGrid w:val="0"/>
              <w:jc w:val="right"/>
            </w:pPr>
            <w:r>
              <w:rPr>
                <w:rFonts w:ascii="宋体" w:hAnsi="宋体" w:cs="宋体" w:hint="eastAsia"/>
              </w:rPr>
              <w:t>7,665</w:t>
            </w:r>
          </w:p>
        </w:tc>
        <w:tc>
          <w:tcPr>
            <w:tcW w:w="1047" w:type="dxa"/>
            <w:vAlign w:val="center"/>
          </w:tcPr>
          <w:p>
            <w:pPr>
              <w:autoSpaceDE w:val="0"/>
              <w:autoSpaceDN w:val="0"/>
              <w:adjustRightInd w:val="0"/>
              <w:snapToGrid w:val="0"/>
              <w:jc w:val="right"/>
            </w:pPr>
          </w:p>
        </w:tc>
        <w:tc>
          <w:tcPr>
            <w:tcW w:w="1021" w:type="dxa"/>
            <w:vAlign w:val="center"/>
          </w:tcPr>
          <w:p>
            <w:pPr>
              <w:autoSpaceDE w:val="0"/>
              <w:autoSpaceDN w:val="0"/>
              <w:adjustRightInd w:val="0"/>
              <w:snapToGrid w:val="0"/>
              <w:jc w:val="right"/>
            </w:pPr>
          </w:p>
        </w:tc>
        <w:tc>
          <w:tcPr>
            <w:tcW w:w="1031" w:type="dxa"/>
            <w:vAlign w:val="center"/>
          </w:tcPr>
          <w:p>
            <w:pPr>
              <w:autoSpaceDE w:val="0"/>
              <w:autoSpaceDN w:val="0"/>
              <w:adjustRightInd w:val="0"/>
              <w:snapToGrid w:val="0"/>
              <w:jc w:val="right"/>
            </w:pPr>
          </w:p>
        </w:tc>
        <w:tc>
          <w:tcPr>
            <w:tcW w:w="1081" w:type="dxa"/>
            <w:vAlign w:val="center"/>
          </w:tcPr>
          <w:p>
            <w:pPr>
              <w:autoSpaceDE w:val="0"/>
              <w:autoSpaceDN w:val="0"/>
              <w:adjustRightInd w:val="0"/>
              <w:snapToGrid w:val="0"/>
              <w:jc w:val="right"/>
            </w:pPr>
          </w:p>
        </w:tc>
        <w:tc>
          <w:tcPr>
            <w:tcW w:w="1103" w:type="dxa"/>
            <w:vAlign w:val="center"/>
          </w:tcPr>
          <w:p>
            <w:pPr>
              <w:autoSpaceDE w:val="0"/>
              <w:autoSpaceDN w:val="0"/>
              <w:adjustRightInd w:val="0"/>
              <w:snapToGrid w:val="0"/>
              <w:jc w:val="right"/>
              <w:rPr>
                <w:rFonts w:ascii="宋体" w:hAnsi="宋体"/>
              </w:rPr>
            </w:pPr>
            <w:r>
              <w:rPr>
                <w:rFonts w:ascii="宋体" w:hAnsi="宋体"/>
              </w:rPr>
              <w:t>310</w:t>
            </w:r>
          </w:p>
        </w:tc>
        <w:tc>
          <w:tcPr>
            <w:tcW w:w="971" w:type="dxa"/>
          </w:tcPr>
          <w:p>
            <w:pPr>
              <w:autoSpaceDE w:val="0"/>
              <w:autoSpaceDN w:val="0"/>
              <w:adjustRightInd w:val="0"/>
              <w:snapToGrid w:val="0"/>
              <w:jc w:val="right"/>
              <w:rPr>
                <w:rFonts w:ascii="宋体" w:hAnsi="宋体"/>
              </w:rPr>
            </w:pPr>
            <w:r>
              <w:rPr>
                <w:rFonts w:ascii="宋体" w:hAnsi="宋体"/>
              </w:rPr>
              <w:t>7,975</w:t>
            </w:r>
          </w:p>
        </w:tc>
      </w:tr>
      <w:tr>
        <w:trPr>
          <w:trHeight w:val="70"/>
          <w:jc w:val="center"/>
        </w:trPr>
        <w:tc>
          <w:tcPr>
            <w:tcW w:w="1773" w:type="dxa"/>
            <w:vAlign w:val="center"/>
          </w:tcPr>
          <w:p>
            <w:pPr>
              <w:autoSpaceDE w:val="0"/>
              <w:autoSpaceDN w:val="0"/>
              <w:adjustRightInd w:val="0"/>
              <w:snapToGrid w:val="0"/>
            </w:pPr>
            <w:r>
              <w:rPr>
                <w:rFonts w:ascii="宋体" w:hAnsi="宋体" w:cs="宋体" w:hint="eastAsia"/>
              </w:rPr>
              <w:t>收购普力马</w:t>
            </w:r>
          </w:p>
        </w:tc>
        <w:tc>
          <w:tcPr>
            <w:tcW w:w="1019" w:type="dxa"/>
            <w:vAlign w:val="center"/>
          </w:tcPr>
          <w:p>
            <w:pPr>
              <w:autoSpaceDE w:val="0"/>
              <w:autoSpaceDN w:val="0"/>
              <w:adjustRightInd w:val="0"/>
              <w:snapToGrid w:val="0"/>
              <w:jc w:val="right"/>
            </w:pPr>
            <w:r>
              <w:rPr>
                <w:rFonts w:ascii="宋体" w:hAnsi="宋体" w:cs="宋体" w:hint="eastAsia"/>
              </w:rPr>
              <w:t>12,262</w:t>
            </w:r>
          </w:p>
        </w:tc>
        <w:tc>
          <w:tcPr>
            <w:tcW w:w="1047" w:type="dxa"/>
            <w:vAlign w:val="center"/>
          </w:tcPr>
          <w:p>
            <w:pPr>
              <w:autoSpaceDE w:val="0"/>
              <w:autoSpaceDN w:val="0"/>
              <w:adjustRightInd w:val="0"/>
              <w:snapToGrid w:val="0"/>
              <w:jc w:val="right"/>
            </w:pPr>
          </w:p>
        </w:tc>
        <w:tc>
          <w:tcPr>
            <w:tcW w:w="1021" w:type="dxa"/>
            <w:vAlign w:val="center"/>
          </w:tcPr>
          <w:p>
            <w:pPr>
              <w:autoSpaceDE w:val="0"/>
              <w:autoSpaceDN w:val="0"/>
              <w:adjustRightInd w:val="0"/>
              <w:snapToGrid w:val="0"/>
              <w:jc w:val="right"/>
            </w:pPr>
          </w:p>
        </w:tc>
        <w:tc>
          <w:tcPr>
            <w:tcW w:w="1031" w:type="dxa"/>
            <w:vAlign w:val="center"/>
          </w:tcPr>
          <w:p>
            <w:pPr>
              <w:autoSpaceDE w:val="0"/>
              <w:autoSpaceDN w:val="0"/>
              <w:adjustRightInd w:val="0"/>
              <w:snapToGrid w:val="0"/>
              <w:jc w:val="right"/>
            </w:pPr>
          </w:p>
        </w:tc>
        <w:tc>
          <w:tcPr>
            <w:tcW w:w="1081" w:type="dxa"/>
            <w:vAlign w:val="center"/>
          </w:tcPr>
          <w:p>
            <w:pPr>
              <w:autoSpaceDE w:val="0"/>
              <w:autoSpaceDN w:val="0"/>
              <w:adjustRightInd w:val="0"/>
              <w:snapToGrid w:val="0"/>
              <w:jc w:val="right"/>
            </w:pPr>
          </w:p>
        </w:tc>
        <w:tc>
          <w:tcPr>
            <w:tcW w:w="1103" w:type="dxa"/>
            <w:vAlign w:val="center"/>
          </w:tcPr>
          <w:p>
            <w:pPr>
              <w:autoSpaceDE w:val="0"/>
              <w:autoSpaceDN w:val="0"/>
              <w:adjustRightInd w:val="0"/>
              <w:snapToGrid w:val="0"/>
              <w:jc w:val="right"/>
              <w:rPr>
                <w:rFonts w:ascii="宋体" w:hAnsi="宋体"/>
              </w:rPr>
            </w:pPr>
            <w:r>
              <w:rPr>
                <w:rFonts w:ascii="宋体" w:hAnsi="宋体"/>
              </w:rPr>
              <w:t>496</w:t>
            </w:r>
          </w:p>
        </w:tc>
        <w:tc>
          <w:tcPr>
            <w:tcW w:w="971" w:type="dxa"/>
          </w:tcPr>
          <w:p>
            <w:pPr>
              <w:autoSpaceDE w:val="0"/>
              <w:autoSpaceDN w:val="0"/>
              <w:adjustRightInd w:val="0"/>
              <w:snapToGrid w:val="0"/>
              <w:jc w:val="right"/>
              <w:rPr>
                <w:rFonts w:ascii="宋体" w:hAnsi="宋体"/>
              </w:rPr>
            </w:pPr>
            <w:r>
              <w:rPr>
                <w:rFonts w:ascii="宋体" w:hAnsi="宋体"/>
              </w:rPr>
              <w:t>12,758</w:t>
            </w:r>
          </w:p>
        </w:tc>
      </w:tr>
      <w:tr>
        <w:trPr>
          <w:trHeight w:val="70"/>
          <w:jc w:val="center"/>
        </w:trPr>
        <w:tc>
          <w:tcPr>
            <w:tcW w:w="1773" w:type="dxa"/>
            <w:vAlign w:val="center"/>
          </w:tcPr>
          <w:p>
            <w:pPr>
              <w:autoSpaceDE w:val="0"/>
              <w:autoSpaceDN w:val="0"/>
              <w:adjustRightInd w:val="0"/>
              <w:snapToGrid w:val="0"/>
            </w:pPr>
            <w:r>
              <w:rPr>
                <w:rFonts w:ascii="宋体" w:hAnsi="宋体" w:cs="宋体" w:hint="eastAsia"/>
              </w:rPr>
              <w:t>收购卡松科技</w:t>
            </w:r>
          </w:p>
        </w:tc>
        <w:tc>
          <w:tcPr>
            <w:tcW w:w="1019" w:type="dxa"/>
            <w:vAlign w:val="center"/>
          </w:tcPr>
          <w:p>
            <w:pPr>
              <w:autoSpaceDE w:val="0"/>
              <w:autoSpaceDN w:val="0"/>
              <w:adjustRightInd w:val="0"/>
              <w:snapToGrid w:val="0"/>
              <w:jc w:val="right"/>
            </w:pPr>
            <w:r>
              <w:rPr>
                <w:rFonts w:ascii="宋体" w:hAnsi="宋体" w:cs="宋体" w:hint="eastAsia"/>
              </w:rPr>
              <w:t>31,543</w:t>
            </w:r>
          </w:p>
        </w:tc>
        <w:tc>
          <w:tcPr>
            <w:tcW w:w="1047" w:type="dxa"/>
            <w:vAlign w:val="center"/>
          </w:tcPr>
          <w:p>
            <w:pPr>
              <w:autoSpaceDE w:val="0"/>
              <w:autoSpaceDN w:val="0"/>
              <w:adjustRightInd w:val="0"/>
              <w:snapToGrid w:val="0"/>
              <w:jc w:val="right"/>
            </w:pPr>
          </w:p>
        </w:tc>
        <w:tc>
          <w:tcPr>
            <w:tcW w:w="1021" w:type="dxa"/>
            <w:vAlign w:val="center"/>
          </w:tcPr>
          <w:p>
            <w:pPr>
              <w:autoSpaceDE w:val="0"/>
              <w:autoSpaceDN w:val="0"/>
              <w:adjustRightInd w:val="0"/>
              <w:snapToGrid w:val="0"/>
              <w:jc w:val="right"/>
            </w:pPr>
          </w:p>
        </w:tc>
        <w:tc>
          <w:tcPr>
            <w:tcW w:w="1031" w:type="dxa"/>
            <w:vAlign w:val="center"/>
          </w:tcPr>
          <w:p>
            <w:pPr>
              <w:autoSpaceDE w:val="0"/>
              <w:autoSpaceDN w:val="0"/>
              <w:adjustRightInd w:val="0"/>
              <w:snapToGrid w:val="0"/>
              <w:jc w:val="right"/>
            </w:pPr>
          </w:p>
        </w:tc>
        <w:tc>
          <w:tcPr>
            <w:tcW w:w="1081" w:type="dxa"/>
            <w:vAlign w:val="center"/>
          </w:tcPr>
          <w:p>
            <w:pPr>
              <w:autoSpaceDE w:val="0"/>
              <w:autoSpaceDN w:val="0"/>
              <w:adjustRightInd w:val="0"/>
              <w:snapToGrid w:val="0"/>
              <w:jc w:val="right"/>
            </w:pPr>
          </w:p>
        </w:tc>
        <w:tc>
          <w:tcPr>
            <w:tcW w:w="1103" w:type="dxa"/>
            <w:vAlign w:val="center"/>
          </w:tcPr>
          <w:p>
            <w:pPr>
              <w:autoSpaceDE w:val="0"/>
              <w:autoSpaceDN w:val="0"/>
              <w:adjustRightInd w:val="0"/>
              <w:snapToGrid w:val="0"/>
              <w:jc w:val="right"/>
              <w:rPr>
                <w:rFonts w:ascii="宋体" w:hAnsi="宋体"/>
              </w:rPr>
            </w:pPr>
          </w:p>
        </w:tc>
        <w:tc>
          <w:tcPr>
            <w:tcW w:w="971" w:type="dxa"/>
          </w:tcPr>
          <w:p>
            <w:pPr>
              <w:autoSpaceDE w:val="0"/>
              <w:autoSpaceDN w:val="0"/>
              <w:adjustRightInd w:val="0"/>
              <w:snapToGrid w:val="0"/>
              <w:jc w:val="right"/>
              <w:rPr>
                <w:rFonts w:ascii="宋体" w:hAnsi="宋体"/>
              </w:rPr>
            </w:pPr>
            <w:r>
              <w:rPr>
                <w:rFonts w:ascii="宋体" w:hAnsi="宋体"/>
              </w:rPr>
              <w:t>31,543</w:t>
            </w:r>
          </w:p>
        </w:tc>
      </w:tr>
      <w:tr>
        <w:trPr>
          <w:trHeight w:val="282"/>
          <w:jc w:val="center"/>
        </w:trPr>
        <w:tc>
          <w:tcPr>
            <w:tcW w:w="1773" w:type="dxa"/>
            <w:vAlign w:val="center"/>
          </w:tcPr>
          <w:p>
            <w:pPr>
              <w:autoSpaceDE w:val="0"/>
              <w:autoSpaceDN w:val="0"/>
              <w:adjustRightInd w:val="0"/>
              <w:snapToGrid w:val="0"/>
              <w:jc w:val="center"/>
              <w:rPr>
                <w:u w:val="double"/>
              </w:rPr>
            </w:pPr>
            <w:r>
              <w:rPr>
                <w:rFonts w:hint="eastAsia"/>
              </w:rPr>
              <w:t>合计</w:t>
            </w:r>
          </w:p>
        </w:tc>
        <w:tc>
          <w:tcPr>
            <w:tcW w:w="1019" w:type="dxa"/>
            <w:vAlign w:val="center"/>
          </w:tcPr>
          <w:p>
            <w:pPr>
              <w:autoSpaceDE w:val="0"/>
              <w:autoSpaceDN w:val="0"/>
              <w:adjustRightInd w:val="0"/>
              <w:snapToGrid w:val="0"/>
              <w:jc w:val="right"/>
            </w:pPr>
            <w:r>
              <w:rPr>
                <w:rFonts w:ascii="宋体" w:hAnsi="宋体" w:cs="宋体" w:hint="eastAsia"/>
              </w:rPr>
              <w:t>705,306</w:t>
            </w:r>
          </w:p>
        </w:tc>
        <w:tc>
          <w:tcPr>
            <w:tcW w:w="1047" w:type="dxa"/>
            <w:vAlign w:val="center"/>
          </w:tcPr>
          <w:p>
            <w:pPr>
              <w:autoSpaceDE w:val="0"/>
              <w:autoSpaceDN w:val="0"/>
              <w:adjustRightInd w:val="0"/>
              <w:snapToGrid w:val="0"/>
              <w:jc w:val="right"/>
            </w:pPr>
          </w:p>
        </w:tc>
        <w:tc>
          <w:tcPr>
            <w:tcW w:w="1021" w:type="dxa"/>
            <w:vAlign w:val="center"/>
          </w:tcPr>
          <w:p>
            <w:pPr>
              <w:autoSpaceDE w:val="0"/>
              <w:autoSpaceDN w:val="0"/>
              <w:adjustRightInd w:val="0"/>
              <w:snapToGrid w:val="0"/>
              <w:jc w:val="right"/>
            </w:pPr>
          </w:p>
        </w:tc>
        <w:tc>
          <w:tcPr>
            <w:tcW w:w="1031" w:type="dxa"/>
            <w:vAlign w:val="center"/>
          </w:tcPr>
          <w:p>
            <w:pPr>
              <w:autoSpaceDE w:val="0"/>
              <w:autoSpaceDN w:val="0"/>
              <w:adjustRightInd w:val="0"/>
              <w:snapToGrid w:val="0"/>
              <w:jc w:val="right"/>
            </w:pPr>
          </w:p>
        </w:tc>
        <w:tc>
          <w:tcPr>
            <w:tcW w:w="1081" w:type="dxa"/>
            <w:vAlign w:val="center"/>
          </w:tcPr>
          <w:p>
            <w:pPr>
              <w:autoSpaceDE w:val="0"/>
              <w:autoSpaceDN w:val="0"/>
              <w:adjustRightInd w:val="0"/>
              <w:snapToGrid w:val="0"/>
              <w:jc w:val="right"/>
            </w:pPr>
          </w:p>
        </w:tc>
        <w:tc>
          <w:tcPr>
            <w:tcW w:w="1103" w:type="dxa"/>
            <w:vAlign w:val="center"/>
          </w:tcPr>
          <w:p>
            <w:pPr>
              <w:autoSpaceDE w:val="0"/>
              <w:autoSpaceDN w:val="0"/>
              <w:adjustRightInd w:val="0"/>
              <w:snapToGrid w:val="0"/>
              <w:jc w:val="right"/>
              <w:rPr>
                <w:rFonts w:ascii="宋体" w:hAnsi="宋体"/>
              </w:rPr>
            </w:pPr>
            <w:r>
              <w:rPr>
                <w:rFonts w:ascii="宋体" w:hAnsi="宋体"/>
              </w:rPr>
              <w:t>806</w:t>
            </w:r>
          </w:p>
        </w:tc>
        <w:tc>
          <w:tcPr>
            <w:tcW w:w="971" w:type="dxa"/>
          </w:tcPr>
          <w:p>
            <w:pPr>
              <w:autoSpaceDE w:val="0"/>
              <w:autoSpaceDN w:val="0"/>
              <w:adjustRightInd w:val="0"/>
              <w:snapToGrid w:val="0"/>
              <w:jc w:val="right"/>
              <w:rPr>
                <w:rFonts w:ascii="宋体" w:hAnsi="宋体"/>
              </w:rPr>
            </w:pPr>
            <w:r>
              <w:rPr>
                <w:rFonts w:ascii="宋体" w:hAnsi="宋体"/>
              </w:rPr>
              <w:t>706,112</w:t>
            </w:r>
          </w:p>
        </w:tc>
      </w:tr>
    </w:tbl>
    <w:p>
      <w:pPr>
        <w:pStyle w:val="Style217"/>
      </w:pPr>
    </w:p>
    <w:p>
      <w:pPr>
        <w:pStyle w:val="Style179"/>
        <w:numPr>
          <w:ilvl w:val="3"/>
          <w:numId w:val="96"/>
        </w:numPr>
        <w:ind w:left="426" w:hanging="426"/>
      </w:pPr>
      <w:r>
        <w:rPr>
          <w:rFonts w:hint="eastAsia"/>
        </w:rPr>
        <w:t>商誉所在资产组或资产组组合的相关信息</w:t>
      </w:r>
    </w:p>
    <w:sdt>
      <w:sdtPr>
        <w:rPr>
          <w:rFonts w:hint="eastAsia"/>
        </w:rPr>
        <w:alias w:val="是否适用：商誉所在资产组或资产组组合的相关信息[双击切换]"/>
        <w:tag w:val="_GBC_119e2aba5afb45e0b1f50033345c80ee"/>
        <w:id w:val="-8215069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bookmarkStart w:id="474" w:name="_Hlk153462880"/>
      <w:r>
        <w:rPr>
          <w:rFonts w:hint="eastAsia"/>
        </w:rPr>
        <w:t>资产组或资产组组合发生变化</w:t>
      </w:r>
    </w:p>
    <w:sdt>
      <w:sdtPr>
        <w:alias w:val="是否适用：资产组或资产组组合发生变化[双击切换]"/>
        <w:tag w:val="_GBC_31d9e35c99cb43c2ad1aced4a6a40606"/>
        <w:id w:val="-19523921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bookmarkStart w:id="475" w:name="_Hlk152948734"/>
      <w:bookmarkEnd w:id="474"/>
      <w:r>
        <w:rPr>
          <w:rFonts w:hint="eastAsia"/>
        </w:rPr>
        <w:t>其他说明：</w:t>
      </w:r>
    </w:p>
    <w:sdt>
      <w:sdtPr>
        <w:alias w:val="是否适用：商誉所在资产组或资产组组合的相关信息其他说明[双击切换]"/>
        <w:tag w:val="_GBC_9f9bd4d9cf084d4594694aa545981d14"/>
        <w:id w:val="74947699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475"/>
    <w:p>
      <w:pPr>
        <w:pStyle w:val="Style217"/>
      </w:pPr>
    </w:p>
    <w:p>
      <w:pPr>
        <w:pStyle w:val="Style179"/>
        <w:numPr>
          <w:ilvl w:val="3"/>
          <w:numId w:val="96"/>
        </w:numPr>
        <w:ind w:left="426" w:hanging="426"/>
        <w:rPr>
          <w:sz w:val="21"/>
          <w:szCs w:val="21"/>
        </w:rPr>
      </w:pPr>
      <w:r>
        <w:rPr>
          <w:rFonts w:hint="eastAsia"/>
          <w:sz w:val="21"/>
          <w:szCs w:val="21"/>
        </w:rPr>
        <w:t>可收回金额的具体确定方法</w:t>
      </w:r>
    </w:p>
    <w:p>
      <w:pPr>
        <w:pStyle w:val="Style217"/>
      </w:pPr>
      <w:bookmarkStart w:id="476"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110665971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160256959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206575264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217"/>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71106601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79"/>
        <w:numPr>
          <w:ilvl w:val="3"/>
          <w:numId w:val="96"/>
        </w:numPr>
        <w:ind w:left="426" w:hanging="426"/>
        <w:rPr>
          <w:sz w:val="21"/>
          <w:szCs w:val="21"/>
        </w:rPr>
      </w:pPr>
      <w:bookmarkStart w:id="477" w:name="_Hlk153463443"/>
      <w:bookmarkEnd w:id="476"/>
      <w:r>
        <w:rPr>
          <w:rFonts w:hint="eastAsia"/>
          <w:sz w:val="21"/>
          <w:szCs w:val="21"/>
        </w:rPr>
        <w:t>业绩承诺及对应商誉减值情况</w:t>
      </w:r>
    </w:p>
    <w:p>
      <w:pPr>
        <w:pStyle w:val="Style217"/>
      </w:pPr>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47534391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477"/>
    <w:p>
      <w:pPr>
        <w:pStyle w:val="Style217"/>
      </w:pPr>
      <w:r>
        <w:rPr>
          <w:rFonts w:hint="eastAsia"/>
        </w:rPr>
        <w:t>其他说明：</w:t>
      </w:r>
    </w:p>
    <w:sdt>
      <w:sdtPr>
        <w:alias w:val="是否适用：商誉其他需要说明的事项[双击切换]"/>
        <w:tag w:val="_GBC_99f8ebd0cb464294bea4051ad19cf581"/>
        <w:id w:val="-38055188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rPr>
          <w:rFonts w:cstheme="minorBidi"/>
          <w:kern w:val="2"/>
        </w:rPr>
      </w:pPr>
    </w:p>
    <w:p>
      <w:pPr>
        <w:pStyle w:val="Style178"/>
        <w:numPr>
          <w:ilvl w:val="0"/>
          <w:numId w:val="75"/>
        </w:numPr>
        <w:rPr>
          <w:szCs w:val="21"/>
        </w:rPr>
      </w:pPr>
      <w:r>
        <w:rPr>
          <w:szCs w:val="21"/>
        </w:rPr>
        <w:t>长期待摊费用</w:t>
      </w:r>
    </w:p>
    <w:sdt>
      <w:sdtPr>
        <w:alias w:val="是否适用：长期待摊费用[双击切换]"/>
        <w:tag w:val="_GBC_cbcb541b65cd4be6b93f357c0fdd9f09"/>
        <w:id w:val="-48655746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p>
    <w:p>
      <w:pPr>
        <w:pStyle w:val="Style178"/>
        <w:numPr>
          <w:ilvl w:val="0"/>
          <w:numId w:val="75"/>
        </w:numPr>
        <w:rPr>
          <w:szCs w:val="21"/>
        </w:rPr>
      </w:pPr>
      <w:r>
        <w:rPr>
          <w:szCs w:val="21"/>
        </w:rPr>
        <w:t>递延所得税资产</w:t>
      </w:r>
      <w:r>
        <w:rPr>
          <w:szCs w:val="21"/>
        </w:rPr>
        <w:t>/</w:t>
      </w:r>
      <w:r>
        <w:rPr>
          <w:szCs w:val="21"/>
        </w:rPr>
        <w:t>递延所得税负债</w:t>
      </w:r>
    </w:p>
    <w:p>
      <w:pPr>
        <w:pStyle w:val="Style179"/>
        <w:numPr>
          <w:ilvl w:val="0"/>
          <w:numId w:val="97"/>
        </w:numPr>
        <w:ind w:left="426" w:hanging="426"/>
      </w:pPr>
      <w:bookmarkStart w:id="478" w:name="_Toc215903151"/>
      <w:bookmarkStart w:id="479" w:name="_Hlk24103450"/>
      <w:r>
        <w:rPr>
          <w:rFonts w:hint="eastAsia"/>
        </w:rPr>
        <w:t>未经抵销的递延所得税资产</w:t>
      </w:r>
    </w:p>
    <w:sdt>
      <w:sdtPr>
        <w:alias w:val="是否适用：未经抵销的递延所得税资产[双击切换]"/>
        <w:tag w:val="_GBC_ba4415ee4af24efe852073192d94c115"/>
        <w:id w:val="-5462604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已确认的递延所得税资产和递延所得税负债"/>
          <w:tag w:val="_GBC_39a9c92575cb4f1c9a029fb2f64168e5"/>
          <w:id w:val="18484441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bookmarkEnd w:id="478"/>
      <w:sdt>
        <w:sdtPr>
          <w:rPr>
            <w:rFonts w:hint="eastAsia"/>
          </w:rPr>
          <w:alias w:val="币种：财务附注：已确认的递延所得税资产和递延所得税负债"/>
          <w:tag w:val="_GBC_33d1ac52f1ce463294fce1044445d46f"/>
          <w:id w:val="-770707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60"/>
        <w:gridCol w:w="1559"/>
        <w:gridCol w:w="1701"/>
      </w:tblGrid>
      <w:tr>
        <w:trPr>
          <w:trHeight w:val="285"/>
        </w:trPr>
        <w:sdt>
          <w:sdtPr>
            <w:tag w:val="_PLD_e006c9e7b70844cd8ef6f2cbb5161589"/>
            <w:id w:val="-1634167680"/>
          </w:sdtPr>
          <w:sdtContent>
            <w:tc>
              <w:tcPr>
                <w:tcW w:w="3261" w:type="dxa"/>
                <w:vMerge w:val="restart"/>
                <w:vAlign w:val="center"/>
              </w:tcPr>
              <w:p>
                <w:pPr>
                  <w:jc w:val="center"/>
                </w:pPr>
                <w:r>
                  <w:rPr>
                    <w:rFonts w:hint="eastAsia"/>
                  </w:rPr>
                  <w:t>项目</w:t>
                </w:r>
              </w:p>
            </w:tc>
          </w:sdtContent>
        </w:sdt>
        <w:sdt>
          <w:sdtPr>
            <w:tag w:val="_PLD_9380d941020241f39819205f4df8c355"/>
            <w:id w:val="1487210006"/>
          </w:sdtPr>
          <w:sdtContent>
            <w:tc>
              <w:tcPr>
                <w:tcW w:w="3119" w:type="dxa"/>
                <w:gridSpan w:val="2"/>
                <w:vAlign w:val="center"/>
              </w:tcPr>
              <w:p>
                <w:pPr>
                  <w:jc w:val="center"/>
                </w:pPr>
                <w:r>
                  <w:rPr>
                    <w:rFonts w:hint="eastAsia"/>
                  </w:rPr>
                  <w:t>期末余额</w:t>
                </w:r>
              </w:p>
            </w:tc>
          </w:sdtContent>
        </w:sdt>
        <w:sdt>
          <w:sdtPr>
            <w:tag w:val="_PLD_40d587838e534f37a8f9a9e7e2020671"/>
            <w:id w:val="-1271314506"/>
          </w:sdtPr>
          <w:sdtContent>
            <w:tc>
              <w:tcPr>
                <w:tcW w:w="3260" w:type="dxa"/>
                <w:gridSpan w:val="2"/>
                <w:vAlign w:val="center"/>
              </w:tcPr>
              <w:p>
                <w:pPr>
                  <w:jc w:val="center"/>
                </w:pPr>
                <w:r>
                  <w:rPr>
                    <w:rFonts w:hint="eastAsia"/>
                  </w:rPr>
                  <w:t>期初余额</w:t>
                </w:r>
              </w:p>
            </w:tc>
          </w:sdtContent>
        </w:sdt>
      </w:tr>
      <w:tr>
        <w:trPr>
          <w:trHeight w:val="285"/>
        </w:trPr>
        <w:tc>
          <w:tcPr>
            <w:tcW w:w="3261" w:type="dxa"/>
            <w:vMerge/>
            <w:vAlign w:val="center"/>
          </w:tcPr>
          <w:p>
            <w:pPr>
              <w:jc w:val="center"/>
              <w:rPr>
                <w:b/>
              </w:rPr>
            </w:pPr>
          </w:p>
        </w:tc>
        <w:sdt>
          <w:sdtPr>
            <w:tag w:val="_PLD_c239006a5e6040d58bedd94ab36e9784"/>
            <w:id w:val="1856685810"/>
          </w:sdtPr>
          <w:sdtContent>
            <w:tc>
              <w:tcPr>
                <w:tcW w:w="1559" w:type="dxa"/>
                <w:vAlign w:val="center"/>
              </w:tcPr>
              <w:p>
                <w:pPr>
                  <w:jc w:val="center"/>
                </w:pPr>
                <w:r>
                  <w:rPr>
                    <w:rFonts w:hint="eastAsia"/>
                  </w:rPr>
                  <w:t>可抵扣暂时性差异</w:t>
                </w:r>
              </w:p>
            </w:tc>
          </w:sdtContent>
        </w:sdt>
        <w:sdt>
          <w:sdtPr>
            <w:tag w:val="_PLD_1559717fc58743e19a1e868ac528fbc0"/>
            <w:id w:val="-1818495128"/>
          </w:sdtPr>
          <w:sdtContent>
            <w:tc>
              <w:tcPr>
                <w:tcW w:w="1560" w:type="dxa"/>
                <w:vAlign w:val="center"/>
              </w:tcPr>
              <w:p>
                <w:pPr>
                  <w:jc w:val="center"/>
                </w:pPr>
                <w:r>
                  <w:rPr>
                    <w:rFonts w:hint="eastAsia"/>
                  </w:rPr>
                  <w:t>递延所得税</w:t>
                </w:r>
              </w:p>
              <w:p>
                <w:pPr>
                  <w:jc w:val="center"/>
                </w:pPr>
                <w:r>
                  <w:rPr>
                    <w:rFonts w:hint="eastAsia"/>
                  </w:rPr>
                  <w:t>资产</w:t>
                </w:r>
              </w:p>
            </w:tc>
          </w:sdtContent>
        </w:sdt>
        <w:sdt>
          <w:sdtPr>
            <w:tag w:val="_PLD_de171afb73ff474dbccc47c2cec6d4f1"/>
            <w:id w:val="-1128235394"/>
          </w:sdtPr>
          <w:sdtContent>
            <w:tc>
              <w:tcPr>
                <w:tcW w:w="1559" w:type="dxa"/>
                <w:vAlign w:val="center"/>
              </w:tcPr>
              <w:p>
                <w:pPr>
                  <w:jc w:val="center"/>
                </w:pPr>
                <w:r>
                  <w:rPr>
                    <w:rFonts w:hint="eastAsia"/>
                  </w:rPr>
                  <w:t>可抵扣暂时性差异</w:t>
                </w:r>
              </w:p>
            </w:tc>
          </w:sdtContent>
        </w:sdt>
        <w:sdt>
          <w:sdtPr>
            <w:tag w:val="_PLD_bafc90864e7347e5bb50ec31a5dffe05"/>
            <w:id w:val="-62493930"/>
          </w:sdtPr>
          <w:sdtContent>
            <w:tc>
              <w:tcPr>
                <w:tcW w:w="1701" w:type="dxa"/>
                <w:vAlign w:val="center"/>
              </w:tcPr>
              <w:p>
                <w:pPr>
                  <w:jc w:val="center"/>
                </w:pPr>
                <w:r>
                  <w:rPr>
                    <w:rFonts w:hint="eastAsia"/>
                  </w:rPr>
                  <w:t>递延所得税</w:t>
                </w:r>
              </w:p>
              <w:p>
                <w:pPr>
                  <w:jc w:val="center"/>
                </w:pPr>
                <w:r>
                  <w:rPr>
                    <w:rFonts w:hint="eastAsia"/>
                  </w:rPr>
                  <w:t>资产</w:t>
                </w:r>
              </w:p>
            </w:tc>
          </w:sdtContent>
        </w:sdt>
      </w:tr>
      <w:tr>
        <w:trPr>
          <w:trHeight w:val="285"/>
        </w:trPr>
        <w:tc>
          <w:tcPr>
            <w:tcW w:w="3261" w:type="dxa"/>
            <w:vAlign w:val="center"/>
          </w:tcPr>
          <w:p>
            <w:pPr>
              <w:jc w:val="both"/>
            </w:pPr>
            <w:r>
              <w:rPr>
                <w:rFonts w:hint="eastAsia"/>
              </w:rPr>
              <w:t>母公司及境内子公司：</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r>
      <w:tr>
        <w:trPr>
          <w:trHeight w:val="285"/>
        </w:trPr>
        <w:tc>
          <w:tcPr>
            <w:tcW w:w="3261" w:type="dxa"/>
            <w:vAlign w:val="center"/>
          </w:tcPr>
          <w:p>
            <w:pPr>
              <w:jc w:val="both"/>
            </w:pPr>
            <w:r>
              <w:rPr>
                <w:rFonts w:hint="eastAsia"/>
              </w:rPr>
              <w:t>弃置义务</w:t>
            </w:r>
          </w:p>
        </w:tc>
        <w:tc>
          <w:tcPr>
            <w:tcW w:w="1559" w:type="dxa"/>
            <w:vAlign w:val="center"/>
          </w:tcPr>
          <w:p>
            <w:pPr>
              <w:jc w:val="right"/>
              <w:rPr>
                <w:rFonts w:ascii="宋体" w:hAnsi="宋体"/>
              </w:rPr>
            </w:pPr>
            <w:r>
              <w:rPr>
                <w:rFonts w:ascii="宋体" w:hAnsi="宋体" w:hint="eastAsia"/>
              </w:rPr>
              <w:t>6,156,220</w:t>
            </w:r>
          </w:p>
        </w:tc>
        <w:tc>
          <w:tcPr>
            <w:tcW w:w="1560" w:type="dxa"/>
            <w:vAlign w:val="center"/>
          </w:tcPr>
          <w:p>
            <w:pPr>
              <w:jc w:val="right"/>
              <w:rPr>
                <w:rFonts w:ascii="宋体" w:hAnsi="宋体"/>
              </w:rPr>
            </w:pPr>
            <w:r>
              <w:rPr>
                <w:rFonts w:ascii="宋体" w:hAnsi="宋体" w:hint="eastAsia"/>
              </w:rPr>
              <w:t>1,488,747</w:t>
            </w:r>
          </w:p>
        </w:tc>
        <w:tc>
          <w:tcPr>
            <w:tcW w:w="1559" w:type="dxa"/>
            <w:vAlign w:val="center"/>
          </w:tcPr>
          <w:p>
            <w:pPr>
              <w:jc w:val="right"/>
              <w:rPr>
                <w:rFonts w:ascii="宋体" w:hAnsi="宋体"/>
              </w:rPr>
            </w:pPr>
            <w:r>
              <w:rPr>
                <w:rFonts w:ascii="宋体" w:hAnsi="宋体" w:hint="eastAsia"/>
              </w:rPr>
              <w:t>5,869,508</w:t>
            </w:r>
          </w:p>
        </w:tc>
        <w:tc>
          <w:tcPr>
            <w:tcW w:w="1701" w:type="dxa"/>
            <w:vAlign w:val="center"/>
          </w:tcPr>
          <w:p>
            <w:pPr>
              <w:jc w:val="right"/>
              <w:rPr>
                <w:rFonts w:ascii="宋体" w:hAnsi="宋体"/>
              </w:rPr>
            </w:pPr>
            <w:r>
              <w:rPr>
                <w:rFonts w:ascii="宋体" w:hAnsi="宋体" w:hint="eastAsia"/>
              </w:rPr>
              <w:t>1,390,363</w:t>
            </w:r>
          </w:p>
        </w:tc>
      </w:tr>
      <w:tr>
        <w:trPr>
          <w:trHeight w:val="285"/>
        </w:trPr>
        <w:tc>
          <w:tcPr>
            <w:tcW w:w="3261" w:type="dxa"/>
            <w:tcBorders>
              <w:bottom w:val="single" w:sz="4" w:space="0" w:color="auto"/>
            </w:tcBorders>
            <w:vAlign w:val="center"/>
          </w:tcPr>
          <w:p>
            <w:pPr>
              <w:jc w:val="both"/>
            </w:pPr>
            <w:r>
              <w:rPr>
                <w:rFonts w:hint="eastAsia"/>
              </w:rPr>
              <w:t>未弥补亏损</w:t>
            </w:r>
          </w:p>
        </w:tc>
        <w:tc>
          <w:tcPr>
            <w:tcW w:w="1559" w:type="dxa"/>
            <w:vAlign w:val="center"/>
          </w:tcPr>
          <w:p>
            <w:pPr>
              <w:jc w:val="right"/>
              <w:rPr>
                <w:rFonts w:ascii="宋体" w:hAnsi="宋体"/>
              </w:rPr>
            </w:pPr>
            <w:r>
              <w:rPr>
                <w:rFonts w:ascii="宋体" w:hAnsi="宋体" w:hint="eastAsia"/>
              </w:rPr>
              <w:t>7,096,071</w:t>
            </w:r>
          </w:p>
        </w:tc>
        <w:tc>
          <w:tcPr>
            <w:tcW w:w="1560" w:type="dxa"/>
            <w:vAlign w:val="center"/>
          </w:tcPr>
          <w:p>
            <w:pPr>
              <w:jc w:val="right"/>
              <w:rPr>
                <w:rFonts w:ascii="宋体" w:hAnsi="宋体"/>
              </w:rPr>
            </w:pPr>
            <w:r>
              <w:rPr>
                <w:rFonts w:ascii="宋体" w:hAnsi="宋体" w:hint="eastAsia"/>
              </w:rPr>
              <w:t>1,479,173</w:t>
            </w:r>
          </w:p>
        </w:tc>
        <w:tc>
          <w:tcPr>
            <w:tcW w:w="1559" w:type="dxa"/>
            <w:vAlign w:val="center"/>
          </w:tcPr>
          <w:p>
            <w:pPr>
              <w:jc w:val="right"/>
              <w:rPr>
                <w:rFonts w:ascii="宋体" w:hAnsi="宋体"/>
              </w:rPr>
            </w:pPr>
            <w:r>
              <w:rPr>
                <w:rFonts w:ascii="宋体" w:hAnsi="宋体" w:hint="eastAsia"/>
              </w:rPr>
              <w:t>6,440,185</w:t>
            </w:r>
          </w:p>
        </w:tc>
        <w:tc>
          <w:tcPr>
            <w:tcW w:w="1701" w:type="dxa"/>
            <w:vAlign w:val="center"/>
          </w:tcPr>
          <w:p>
            <w:pPr>
              <w:jc w:val="right"/>
              <w:rPr>
                <w:rFonts w:ascii="宋体" w:hAnsi="宋体"/>
              </w:rPr>
            </w:pPr>
            <w:r>
              <w:rPr>
                <w:rFonts w:ascii="宋体" w:hAnsi="宋体" w:hint="eastAsia"/>
              </w:rPr>
              <w:t>1,386,475</w:t>
            </w:r>
          </w:p>
        </w:tc>
      </w:tr>
      <w:tr>
        <w:trPr>
          <w:trHeight w:val="285"/>
        </w:trPr>
        <w:tc>
          <w:tcPr>
            <w:tcW w:w="3261" w:type="dxa"/>
            <w:vAlign w:val="center"/>
          </w:tcPr>
          <w:p>
            <w:pPr>
              <w:jc w:val="both"/>
            </w:pPr>
            <w:r>
              <w:rPr>
                <w:rFonts w:hint="eastAsia"/>
              </w:rPr>
              <w:t>土地塌陷、复原、重整及环保费</w:t>
            </w:r>
          </w:p>
        </w:tc>
        <w:tc>
          <w:tcPr>
            <w:tcW w:w="1559" w:type="dxa"/>
            <w:vAlign w:val="center"/>
          </w:tcPr>
          <w:p>
            <w:pPr>
              <w:jc w:val="right"/>
              <w:rPr>
                <w:rFonts w:ascii="宋体" w:hAnsi="宋体"/>
              </w:rPr>
            </w:pPr>
            <w:r>
              <w:rPr>
                <w:rFonts w:ascii="宋体" w:hAnsi="宋体" w:hint="eastAsia"/>
              </w:rPr>
              <w:t>3,588,828</w:t>
            </w:r>
          </w:p>
        </w:tc>
        <w:tc>
          <w:tcPr>
            <w:tcW w:w="1560" w:type="dxa"/>
            <w:vAlign w:val="center"/>
          </w:tcPr>
          <w:p>
            <w:pPr>
              <w:jc w:val="right"/>
              <w:rPr>
                <w:rFonts w:ascii="宋体" w:hAnsi="宋体"/>
              </w:rPr>
            </w:pPr>
            <w:r>
              <w:rPr>
                <w:rFonts w:ascii="宋体" w:hAnsi="宋体" w:hint="eastAsia"/>
              </w:rPr>
              <w:t>754,467</w:t>
            </w:r>
          </w:p>
        </w:tc>
        <w:tc>
          <w:tcPr>
            <w:tcW w:w="1559" w:type="dxa"/>
            <w:vAlign w:val="center"/>
          </w:tcPr>
          <w:p>
            <w:pPr>
              <w:jc w:val="right"/>
              <w:rPr>
                <w:rFonts w:ascii="宋体" w:hAnsi="宋体"/>
              </w:rPr>
            </w:pPr>
            <w:r>
              <w:rPr>
                <w:rFonts w:ascii="宋体" w:hAnsi="宋体" w:hint="eastAsia"/>
              </w:rPr>
              <w:t>3,554,461</w:t>
            </w:r>
          </w:p>
        </w:tc>
        <w:tc>
          <w:tcPr>
            <w:tcW w:w="1701" w:type="dxa"/>
            <w:vAlign w:val="center"/>
          </w:tcPr>
          <w:p>
            <w:pPr>
              <w:jc w:val="right"/>
              <w:rPr>
                <w:rFonts w:ascii="宋体" w:hAnsi="宋体"/>
              </w:rPr>
            </w:pPr>
            <w:r>
              <w:rPr>
                <w:rFonts w:ascii="宋体" w:hAnsi="宋体" w:hint="eastAsia"/>
              </w:rPr>
              <w:t>749,018</w:t>
            </w:r>
          </w:p>
        </w:tc>
      </w:tr>
      <w:tr>
        <w:trPr>
          <w:trHeight w:val="285"/>
        </w:trPr>
        <w:tc>
          <w:tcPr>
            <w:tcW w:w="3261" w:type="dxa"/>
            <w:vAlign w:val="center"/>
          </w:tcPr>
          <w:p>
            <w:pPr>
              <w:jc w:val="both"/>
            </w:pPr>
            <w:r>
              <w:rPr>
                <w:rFonts w:hint="eastAsia"/>
              </w:rPr>
              <w:t>资产减值准备</w:t>
            </w:r>
          </w:p>
        </w:tc>
        <w:tc>
          <w:tcPr>
            <w:tcW w:w="1559" w:type="dxa"/>
            <w:vAlign w:val="center"/>
          </w:tcPr>
          <w:p>
            <w:pPr>
              <w:jc w:val="right"/>
              <w:rPr>
                <w:rFonts w:ascii="宋体" w:hAnsi="宋体"/>
              </w:rPr>
            </w:pPr>
            <w:r>
              <w:rPr>
                <w:rFonts w:ascii="宋体" w:hAnsi="宋体"/>
              </w:rPr>
              <w:t>3,576,863</w:t>
            </w:r>
          </w:p>
        </w:tc>
        <w:tc>
          <w:tcPr>
            <w:tcW w:w="1560" w:type="dxa"/>
            <w:vAlign w:val="center"/>
          </w:tcPr>
          <w:p>
            <w:pPr>
              <w:jc w:val="right"/>
              <w:rPr>
                <w:rFonts w:ascii="宋体" w:hAnsi="宋体"/>
              </w:rPr>
            </w:pPr>
            <w:r>
              <w:rPr>
                <w:rFonts w:ascii="宋体" w:hAnsi="宋体"/>
              </w:rPr>
              <w:t>699,578</w:t>
            </w:r>
          </w:p>
        </w:tc>
        <w:tc>
          <w:tcPr>
            <w:tcW w:w="1559" w:type="dxa"/>
            <w:vAlign w:val="center"/>
          </w:tcPr>
          <w:p>
            <w:pPr>
              <w:jc w:val="right"/>
              <w:rPr>
                <w:rFonts w:ascii="宋体" w:hAnsi="宋体"/>
              </w:rPr>
            </w:pPr>
            <w:r>
              <w:rPr>
                <w:rFonts w:ascii="宋体" w:hAnsi="宋体"/>
              </w:rPr>
              <w:t>2,997,783</w:t>
            </w:r>
          </w:p>
        </w:tc>
        <w:tc>
          <w:tcPr>
            <w:tcW w:w="1701" w:type="dxa"/>
            <w:vAlign w:val="center"/>
          </w:tcPr>
          <w:p>
            <w:pPr>
              <w:jc w:val="right"/>
              <w:rPr>
                <w:rFonts w:ascii="宋体" w:hAnsi="宋体"/>
              </w:rPr>
            </w:pPr>
            <w:r>
              <w:rPr>
                <w:rFonts w:ascii="宋体" w:hAnsi="宋体"/>
              </w:rPr>
              <w:t>604,652</w:t>
            </w:r>
          </w:p>
        </w:tc>
      </w:tr>
      <w:tr>
        <w:trPr>
          <w:trHeight w:val="285"/>
        </w:trPr>
        <w:tc>
          <w:tcPr>
            <w:tcW w:w="3261" w:type="dxa"/>
            <w:vAlign w:val="center"/>
          </w:tcPr>
          <w:p>
            <w:pPr>
              <w:jc w:val="both"/>
            </w:pPr>
            <w:r>
              <w:rPr>
                <w:rFonts w:hint="eastAsia"/>
              </w:rPr>
              <w:t>采矿权出让收益</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1,845,177</w:t>
            </w:r>
          </w:p>
        </w:tc>
        <w:tc>
          <w:tcPr>
            <w:tcW w:w="1701" w:type="dxa"/>
            <w:vAlign w:val="center"/>
          </w:tcPr>
          <w:p>
            <w:pPr>
              <w:jc w:val="right"/>
              <w:rPr>
                <w:rFonts w:ascii="宋体" w:hAnsi="宋体"/>
              </w:rPr>
            </w:pPr>
            <w:r>
              <w:rPr>
                <w:rFonts w:ascii="宋体" w:hAnsi="宋体" w:hint="eastAsia"/>
              </w:rPr>
              <w:t>447,348</w:t>
            </w:r>
          </w:p>
        </w:tc>
      </w:tr>
      <w:tr>
        <w:trPr>
          <w:trHeight w:val="285"/>
        </w:trPr>
        <w:tc>
          <w:tcPr>
            <w:tcW w:w="3261" w:type="dxa"/>
            <w:vAlign w:val="center"/>
          </w:tcPr>
          <w:p>
            <w:pPr>
              <w:jc w:val="both"/>
            </w:pPr>
            <w:r>
              <w:rPr>
                <w:rFonts w:hint="eastAsia"/>
              </w:rPr>
              <w:t>固定资产折旧差异</w:t>
            </w:r>
          </w:p>
        </w:tc>
        <w:tc>
          <w:tcPr>
            <w:tcW w:w="1559" w:type="dxa"/>
            <w:vAlign w:val="center"/>
          </w:tcPr>
          <w:p>
            <w:pPr>
              <w:jc w:val="right"/>
              <w:rPr>
                <w:rFonts w:ascii="宋体" w:hAnsi="宋体"/>
              </w:rPr>
            </w:pPr>
            <w:r>
              <w:rPr>
                <w:rFonts w:ascii="宋体" w:hAnsi="宋体" w:hint="eastAsia"/>
              </w:rPr>
              <w:t>1,867,140</w:t>
            </w:r>
          </w:p>
        </w:tc>
        <w:tc>
          <w:tcPr>
            <w:tcW w:w="1560" w:type="dxa"/>
            <w:vAlign w:val="center"/>
          </w:tcPr>
          <w:p>
            <w:pPr>
              <w:jc w:val="right"/>
              <w:rPr>
                <w:rFonts w:ascii="宋体" w:hAnsi="宋体"/>
              </w:rPr>
            </w:pPr>
            <w:r>
              <w:rPr>
                <w:rFonts w:ascii="宋体" w:hAnsi="宋体" w:hint="eastAsia"/>
              </w:rPr>
              <w:t>382,747</w:t>
            </w:r>
          </w:p>
        </w:tc>
        <w:tc>
          <w:tcPr>
            <w:tcW w:w="1559" w:type="dxa"/>
            <w:vAlign w:val="center"/>
          </w:tcPr>
          <w:p>
            <w:pPr>
              <w:jc w:val="right"/>
              <w:rPr>
                <w:rFonts w:ascii="宋体" w:hAnsi="宋体"/>
              </w:rPr>
            </w:pPr>
            <w:r>
              <w:rPr>
                <w:rFonts w:ascii="宋体" w:hAnsi="宋体" w:hint="eastAsia"/>
              </w:rPr>
              <w:t>2,116,655</w:t>
            </w:r>
          </w:p>
        </w:tc>
        <w:tc>
          <w:tcPr>
            <w:tcW w:w="1701" w:type="dxa"/>
            <w:vAlign w:val="center"/>
          </w:tcPr>
          <w:p>
            <w:pPr>
              <w:jc w:val="right"/>
              <w:rPr>
                <w:rFonts w:ascii="宋体" w:hAnsi="宋体"/>
              </w:rPr>
            </w:pPr>
            <w:r>
              <w:rPr>
                <w:rFonts w:ascii="宋体" w:hAnsi="宋体" w:hint="eastAsia"/>
              </w:rPr>
              <w:t>450,811</w:t>
            </w:r>
          </w:p>
        </w:tc>
      </w:tr>
      <w:tr>
        <w:trPr>
          <w:trHeight w:val="285"/>
        </w:trPr>
        <w:tc>
          <w:tcPr>
            <w:tcW w:w="3261" w:type="dxa"/>
            <w:vAlign w:val="center"/>
          </w:tcPr>
          <w:p>
            <w:pPr>
              <w:jc w:val="both"/>
            </w:pPr>
            <w:r>
              <w:rPr>
                <w:rFonts w:hint="eastAsia"/>
              </w:rPr>
              <w:t>维简费、发展基金</w:t>
            </w:r>
          </w:p>
        </w:tc>
        <w:tc>
          <w:tcPr>
            <w:tcW w:w="1559" w:type="dxa"/>
            <w:vAlign w:val="center"/>
          </w:tcPr>
          <w:p>
            <w:pPr>
              <w:jc w:val="right"/>
              <w:rPr>
                <w:rFonts w:ascii="宋体" w:hAnsi="宋体"/>
              </w:rPr>
            </w:pPr>
            <w:r>
              <w:rPr>
                <w:rFonts w:ascii="宋体" w:hAnsi="宋体" w:hint="eastAsia"/>
              </w:rPr>
              <w:t>708,075</w:t>
            </w:r>
          </w:p>
        </w:tc>
        <w:tc>
          <w:tcPr>
            <w:tcW w:w="1560" w:type="dxa"/>
            <w:vAlign w:val="center"/>
          </w:tcPr>
          <w:p>
            <w:pPr>
              <w:jc w:val="right"/>
              <w:rPr>
                <w:rFonts w:ascii="宋体" w:hAnsi="宋体"/>
              </w:rPr>
            </w:pPr>
            <w:r>
              <w:rPr>
                <w:rFonts w:ascii="宋体" w:hAnsi="宋体" w:hint="eastAsia"/>
              </w:rPr>
              <w:t>173,541</w:t>
            </w:r>
          </w:p>
        </w:tc>
        <w:tc>
          <w:tcPr>
            <w:tcW w:w="1559" w:type="dxa"/>
            <w:vAlign w:val="center"/>
          </w:tcPr>
          <w:p>
            <w:pPr>
              <w:jc w:val="right"/>
              <w:rPr>
                <w:rFonts w:ascii="宋体" w:hAnsi="宋体"/>
              </w:rPr>
            </w:pPr>
            <w:r>
              <w:rPr>
                <w:rFonts w:ascii="宋体" w:hAnsi="宋体" w:hint="eastAsia"/>
              </w:rPr>
              <w:t>868,500</w:t>
            </w:r>
          </w:p>
        </w:tc>
        <w:tc>
          <w:tcPr>
            <w:tcW w:w="1701" w:type="dxa"/>
            <w:vAlign w:val="center"/>
          </w:tcPr>
          <w:p>
            <w:pPr>
              <w:jc w:val="right"/>
              <w:rPr>
                <w:rFonts w:ascii="宋体" w:hAnsi="宋体"/>
              </w:rPr>
            </w:pPr>
            <w:r>
              <w:rPr>
                <w:rFonts w:ascii="宋体" w:hAnsi="宋体" w:hint="eastAsia"/>
              </w:rPr>
              <w:t>206,844</w:t>
            </w:r>
          </w:p>
        </w:tc>
      </w:tr>
      <w:tr>
        <w:trPr>
          <w:trHeight w:val="285"/>
        </w:trPr>
        <w:tc>
          <w:tcPr>
            <w:tcW w:w="3261" w:type="dxa"/>
            <w:vAlign w:val="center"/>
          </w:tcPr>
          <w:p>
            <w:pPr>
              <w:jc w:val="both"/>
            </w:pPr>
            <w:r>
              <w:rPr>
                <w:rFonts w:hint="eastAsia"/>
              </w:rPr>
              <w:t>固定资产清理</w:t>
            </w:r>
          </w:p>
        </w:tc>
        <w:tc>
          <w:tcPr>
            <w:tcW w:w="1559" w:type="dxa"/>
            <w:vAlign w:val="center"/>
          </w:tcPr>
          <w:p>
            <w:pPr>
              <w:jc w:val="right"/>
              <w:rPr>
                <w:rFonts w:ascii="宋体" w:hAnsi="宋体"/>
              </w:rPr>
            </w:pPr>
            <w:r>
              <w:rPr>
                <w:rFonts w:ascii="宋体" w:hAnsi="宋体" w:hint="eastAsia"/>
              </w:rPr>
              <w:t>800,422</w:t>
            </w:r>
          </w:p>
        </w:tc>
        <w:tc>
          <w:tcPr>
            <w:tcW w:w="1560" w:type="dxa"/>
            <w:vAlign w:val="center"/>
          </w:tcPr>
          <w:p>
            <w:pPr>
              <w:jc w:val="right"/>
              <w:rPr>
                <w:rFonts w:ascii="宋体" w:hAnsi="宋体"/>
              </w:rPr>
            </w:pPr>
            <w:r>
              <w:rPr>
                <w:rFonts w:ascii="宋体" w:hAnsi="宋体" w:hint="eastAsia"/>
              </w:rPr>
              <w:t>200,105</w:t>
            </w:r>
          </w:p>
        </w:tc>
        <w:tc>
          <w:tcPr>
            <w:tcW w:w="1559" w:type="dxa"/>
            <w:vAlign w:val="center"/>
          </w:tcPr>
          <w:p>
            <w:pPr>
              <w:jc w:val="right"/>
              <w:rPr>
                <w:rFonts w:ascii="宋体" w:hAnsi="宋体"/>
              </w:rPr>
            </w:pPr>
            <w:r>
              <w:rPr>
                <w:rFonts w:ascii="宋体" w:hAnsi="宋体" w:hint="eastAsia"/>
              </w:rPr>
              <w:t>549,846</w:t>
            </w:r>
          </w:p>
        </w:tc>
        <w:tc>
          <w:tcPr>
            <w:tcW w:w="1701" w:type="dxa"/>
            <w:vAlign w:val="center"/>
          </w:tcPr>
          <w:p>
            <w:pPr>
              <w:jc w:val="right"/>
              <w:rPr>
                <w:rFonts w:ascii="宋体" w:hAnsi="宋体"/>
              </w:rPr>
            </w:pPr>
            <w:r>
              <w:rPr>
                <w:rFonts w:ascii="宋体" w:hAnsi="宋体" w:hint="eastAsia"/>
              </w:rPr>
              <w:t>137,462</w:t>
            </w:r>
          </w:p>
        </w:tc>
      </w:tr>
      <w:tr>
        <w:trPr>
          <w:trHeight w:val="285"/>
        </w:trPr>
        <w:tc>
          <w:tcPr>
            <w:tcW w:w="3261" w:type="dxa"/>
            <w:vAlign w:val="center"/>
          </w:tcPr>
          <w:p>
            <w:pPr>
              <w:jc w:val="both"/>
            </w:pPr>
            <w:r>
              <w:rPr>
                <w:rFonts w:hint="eastAsia"/>
              </w:rPr>
              <w:t>已计提未支付的工资、保险</w:t>
            </w:r>
          </w:p>
        </w:tc>
        <w:tc>
          <w:tcPr>
            <w:tcW w:w="1559" w:type="dxa"/>
            <w:vAlign w:val="center"/>
          </w:tcPr>
          <w:p>
            <w:pPr>
              <w:jc w:val="right"/>
              <w:rPr>
                <w:rFonts w:ascii="宋体" w:hAnsi="宋体"/>
              </w:rPr>
            </w:pPr>
            <w:r>
              <w:rPr>
                <w:rFonts w:ascii="宋体" w:hAnsi="宋体" w:hint="eastAsia"/>
              </w:rPr>
              <w:t>354,189</w:t>
            </w:r>
          </w:p>
        </w:tc>
        <w:tc>
          <w:tcPr>
            <w:tcW w:w="1560" w:type="dxa"/>
            <w:vAlign w:val="center"/>
          </w:tcPr>
          <w:p>
            <w:pPr>
              <w:jc w:val="right"/>
              <w:rPr>
                <w:rFonts w:ascii="宋体" w:hAnsi="宋体"/>
              </w:rPr>
            </w:pPr>
            <w:r>
              <w:rPr>
                <w:rFonts w:ascii="宋体" w:hAnsi="宋体" w:hint="eastAsia"/>
              </w:rPr>
              <w:t>79,585</w:t>
            </w:r>
          </w:p>
        </w:tc>
        <w:tc>
          <w:tcPr>
            <w:tcW w:w="1559" w:type="dxa"/>
            <w:vAlign w:val="center"/>
          </w:tcPr>
          <w:p>
            <w:pPr>
              <w:jc w:val="right"/>
              <w:rPr>
                <w:rFonts w:ascii="宋体" w:hAnsi="宋体"/>
              </w:rPr>
            </w:pPr>
            <w:r>
              <w:rPr>
                <w:rFonts w:ascii="宋体" w:hAnsi="宋体" w:hint="eastAsia"/>
              </w:rPr>
              <w:t>208,433</w:t>
            </w:r>
          </w:p>
        </w:tc>
        <w:tc>
          <w:tcPr>
            <w:tcW w:w="1701" w:type="dxa"/>
            <w:vAlign w:val="center"/>
          </w:tcPr>
          <w:p>
            <w:pPr>
              <w:jc w:val="right"/>
              <w:rPr>
                <w:rFonts w:ascii="宋体" w:hAnsi="宋体"/>
              </w:rPr>
            </w:pPr>
            <w:r>
              <w:rPr>
                <w:rFonts w:ascii="宋体" w:hAnsi="宋体" w:hint="eastAsia"/>
              </w:rPr>
              <w:t>48,012</w:t>
            </w:r>
          </w:p>
        </w:tc>
      </w:tr>
      <w:tr>
        <w:trPr>
          <w:trHeight w:val="285"/>
        </w:trPr>
        <w:tc>
          <w:tcPr>
            <w:tcW w:w="3261" w:type="dxa"/>
            <w:vAlign w:val="center"/>
          </w:tcPr>
          <w:p>
            <w:pPr>
              <w:jc w:val="both"/>
            </w:pPr>
            <w:r>
              <w:rPr>
                <w:rFonts w:hint="eastAsia"/>
              </w:rPr>
              <w:t>无形资产摊销差异</w:t>
            </w:r>
          </w:p>
        </w:tc>
        <w:tc>
          <w:tcPr>
            <w:tcW w:w="1559" w:type="dxa"/>
            <w:vAlign w:val="center"/>
          </w:tcPr>
          <w:p>
            <w:pPr>
              <w:jc w:val="right"/>
              <w:rPr>
                <w:rFonts w:ascii="宋体" w:hAnsi="宋体"/>
              </w:rPr>
            </w:pPr>
            <w:r>
              <w:rPr>
                <w:rFonts w:ascii="宋体" w:hAnsi="宋体" w:hint="eastAsia"/>
              </w:rPr>
              <w:t>73,008</w:t>
            </w:r>
          </w:p>
        </w:tc>
        <w:tc>
          <w:tcPr>
            <w:tcW w:w="1560" w:type="dxa"/>
            <w:vAlign w:val="center"/>
          </w:tcPr>
          <w:p>
            <w:pPr>
              <w:jc w:val="right"/>
              <w:rPr>
                <w:rFonts w:ascii="宋体" w:hAnsi="宋体"/>
              </w:rPr>
            </w:pPr>
            <w:r>
              <w:rPr>
                <w:rFonts w:ascii="宋体" w:hAnsi="宋体" w:hint="eastAsia"/>
              </w:rPr>
              <w:t>18,252</w:t>
            </w:r>
          </w:p>
        </w:tc>
        <w:tc>
          <w:tcPr>
            <w:tcW w:w="1559" w:type="dxa"/>
            <w:vAlign w:val="center"/>
          </w:tcPr>
          <w:p>
            <w:pPr>
              <w:jc w:val="right"/>
              <w:rPr>
                <w:rFonts w:ascii="宋体" w:hAnsi="宋体"/>
              </w:rPr>
            </w:pPr>
            <w:r>
              <w:rPr>
                <w:rFonts w:ascii="宋体" w:hAnsi="宋体" w:hint="eastAsia"/>
              </w:rPr>
              <w:t>178,367</w:t>
            </w:r>
          </w:p>
        </w:tc>
        <w:tc>
          <w:tcPr>
            <w:tcW w:w="1701" w:type="dxa"/>
            <w:vAlign w:val="center"/>
          </w:tcPr>
          <w:p>
            <w:pPr>
              <w:jc w:val="right"/>
              <w:rPr>
                <w:rFonts w:ascii="宋体" w:hAnsi="宋体"/>
              </w:rPr>
            </w:pPr>
            <w:r>
              <w:rPr>
                <w:rFonts w:ascii="宋体" w:hAnsi="宋体" w:hint="eastAsia"/>
              </w:rPr>
              <w:t>41,569</w:t>
            </w:r>
          </w:p>
        </w:tc>
      </w:tr>
      <w:tr>
        <w:trPr>
          <w:trHeight w:val="285"/>
        </w:trPr>
        <w:tc>
          <w:tcPr>
            <w:tcW w:w="3261" w:type="dxa"/>
            <w:vAlign w:val="center"/>
          </w:tcPr>
          <w:p>
            <w:pPr>
              <w:jc w:val="both"/>
            </w:pPr>
            <w:r>
              <w:rPr>
                <w:rFonts w:hint="eastAsia"/>
              </w:rPr>
              <w:t>递延收益</w:t>
            </w:r>
          </w:p>
        </w:tc>
        <w:tc>
          <w:tcPr>
            <w:tcW w:w="1559" w:type="dxa"/>
            <w:vAlign w:val="center"/>
          </w:tcPr>
          <w:p>
            <w:pPr>
              <w:jc w:val="right"/>
              <w:rPr>
                <w:rFonts w:ascii="宋体" w:hAnsi="宋体"/>
              </w:rPr>
            </w:pPr>
            <w:r>
              <w:rPr>
                <w:rFonts w:ascii="宋体" w:hAnsi="宋体" w:hint="eastAsia"/>
              </w:rPr>
              <w:t>372,366</w:t>
            </w:r>
          </w:p>
        </w:tc>
        <w:tc>
          <w:tcPr>
            <w:tcW w:w="1560" w:type="dxa"/>
            <w:vAlign w:val="center"/>
          </w:tcPr>
          <w:p>
            <w:pPr>
              <w:jc w:val="right"/>
              <w:rPr>
                <w:rFonts w:ascii="宋体" w:hAnsi="宋体"/>
              </w:rPr>
            </w:pPr>
            <w:r>
              <w:rPr>
                <w:rFonts w:ascii="宋体" w:hAnsi="宋体" w:hint="eastAsia"/>
              </w:rPr>
              <w:t>75,771</w:t>
            </w:r>
          </w:p>
        </w:tc>
        <w:tc>
          <w:tcPr>
            <w:tcW w:w="1559" w:type="dxa"/>
            <w:vAlign w:val="center"/>
          </w:tcPr>
          <w:p>
            <w:pPr>
              <w:jc w:val="right"/>
              <w:rPr>
                <w:rFonts w:ascii="宋体" w:hAnsi="宋体"/>
              </w:rPr>
            </w:pPr>
            <w:r>
              <w:rPr>
                <w:rFonts w:ascii="宋体" w:hAnsi="宋体" w:hint="eastAsia"/>
              </w:rPr>
              <w:t>297,315</w:t>
            </w:r>
          </w:p>
        </w:tc>
        <w:tc>
          <w:tcPr>
            <w:tcW w:w="1701" w:type="dxa"/>
            <w:vAlign w:val="center"/>
          </w:tcPr>
          <w:p>
            <w:pPr>
              <w:jc w:val="right"/>
              <w:rPr>
                <w:rFonts w:ascii="宋体" w:hAnsi="宋体"/>
              </w:rPr>
            </w:pPr>
            <w:r>
              <w:rPr>
                <w:rFonts w:ascii="宋体" w:hAnsi="宋体" w:hint="eastAsia"/>
              </w:rPr>
              <w:t>63,789</w:t>
            </w:r>
          </w:p>
        </w:tc>
      </w:tr>
      <w:tr>
        <w:trPr>
          <w:trHeight w:val="285"/>
        </w:trPr>
        <w:tc>
          <w:tcPr>
            <w:tcW w:w="3261" w:type="dxa"/>
            <w:vAlign w:val="center"/>
          </w:tcPr>
          <w:p>
            <w:pPr>
              <w:jc w:val="both"/>
            </w:pPr>
            <w:r>
              <w:rPr>
                <w:rFonts w:hint="eastAsia"/>
              </w:rPr>
              <w:t>租赁负债</w:t>
            </w:r>
          </w:p>
        </w:tc>
        <w:tc>
          <w:tcPr>
            <w:tcW w:w="1559" w:type="dxa"/>
            <w:vAlign w:val="center"/>
          </w:tcPr>
          <w:p>
            <w:pPr>
              <w:jc w:val="right"/>
              <w:rPr>
                <w:rFonts w:ascii="宋体" w:hAnsi="宋体"/>
              </w:rPr>
            </w:pPr>
            <w:r>
              <w:rPr>
                <w:rFonts w:ascii="宋体" w:hAnsi="宋体" w:hint="eastAsia"/>
              </w:rPr>
              <w:t>47,023</w:t>
            </w:r>
          </w:p>
        </w:tc>
        <w:tc>
          <w:tcPr>
            <w:tcW w:w="1560" w:type="dxa"/>
            <w:vAlign w:val="center"/>
          </w:tcPr>
          <w:p>
            <w:pPr>
              <w:jc w:val="right"/>
              <w:rPr>
                <w:rFonts w:ascii="宋体" w:hAnsi="宋体"/>
              </w:rPr>
            </w:pPr>
            <w:r>
              <w:rPr>
                <w:rFonts w:ascii="宋体" w:hAnsi="宋体" w:hint="eastAsia"/>
              </w:rPr>
              <w:t>11,011</w:t>
            </w:r>
          </w:p>
        </w:tc>
        <w:tc>
          <w:tcPr>
            <w:tcW w:w="1559" w:type="dxa"/>
            <w:vAlign w:val="center"/>
          </w:tcPr>
          <w:p>
            <w:pPr>
              <w:jc w:val="right"/>
              <w:rPr>
                <w:rFonts w:ascii="宋体" w:hAnsi="宋体"/>
              </w:rPr>
            </w:pPr>
            <w:r>
              <w:rPr>
                <w:rFonts w:ascii="宋体" w:hAnsi="宋体" w:hint="eastAsia"/>
              </w:rPr>
              <w:t>31,919</w:t>
            </w:r>
          </w:p>
        </w:tc>
        <w:tc>
          <w:tcPr>
            <w:tcW w:w="1701" w:type="dxa"/>
            <w:vAlign w:val="center"/>
          </w:tcPr>
          <w:p>
            <w:pPr>
              <w:jc w:val="right"/>
              <w:rPr>
                <w:rFonts w:ascii="宋体" w:hAnsi="宋体"/>
              </w:rPr>
            </w:pPr>
            <w:r>
              <w:rPr>
                <w:rFonts w:ascii="宋体" w:hAnsi="宋体" w:hint="eastAsia"/>
              </w:rPr>
              <w:t>6,995</w:t>
            </w:r>
          </w:p>
        </w:tc>
      </w:tr>
      <w:tr>
        <w:trPr>
          <w:trHeight w:val="285"/>
        </w:trPr>
        <w:tc>
          <w:tcPr>
            <w:tcW w:w="3261" w:type="dxa"/>
            <w:vAlign w:val="center"/>
          </w:tcPr>
          <w:p>
            <w:pPr>
              <w:jc w:val="both"/>
            </w:pPr>
            <w:r>
              <w:rPr>
                <w:rFonts w:hint="eastAsia"/>
              </w:rPr>
              <w:t>其他权益工具投资公允价值调整</w:t>
            </w:r>
          </w:p>
        </w:tc>
        <w:tc>
          <w:tcPr>
            <w:tcW w:w="1559" w:type="dxa"/>
            <w:vAlign w:val="center"/>
          </w:tcPr>
          <w:p>
            <w:pPr>
              <w:jc w:val="right"/>
              <w:rPr>
                <w:rFonts w:ascii="宋体" w:hAnsi="宋体"/>
              </w:rPr>
            </w:pPr>
            <w:r>
              <w:rPr>
                <w:rFonts w:ascii="宋体" w:hAnsi="宋体" w:hint="eastAsia"/>
              </w:rPr>
              <w:t>1,222</w:t>
            </w:r>
          </w:p>
        </w:tc>
        <w:tc>
          <w:tcPr>
            <w:tcW w:w="1560" w:type="dxa"/>
            <w:vAlign w:val="center"/>
          </w:tcPr>
          <w:p>
            <w:pPr>
              <w:jc w:val="right"/>
              <w:rPr>
                <w:rFonts w:ascii="宋体" w:hAnsi="宋体"/>
              </w:rPr>
            </w:pPr>
            <w:r>
              <w:rPr>
                <w:rFonts w:ascii="宋体" w:hAnsi="宋体" w:hint="eastAsia"/>
              </w:rPr>
              <w:t>305</w:t>
            </w:r>
          </w:p>
        </w:tc>
        <w:tc>
          <w:tcPr>
            <w:tcW w:w="1559" w:type="dxa"/>
            <w:vAlign w:val="center"/>
          </w:tcPr>
          <w:p>
            <w:pPr>
              <w:jc w:val="right"/>
              <w:rPr>
                <w:rFonts w:ascii="宋体" w:hAnsi="宋体"/>
              </w:rPr>
            </w:pPr>
            <w:r>
              <w:rPr>
                <w:rFonts w:ascii="宋体" w:hAnsi="宋体" w:hint="eastAsia"/>
              </w:rPr>
              <w:t>9,042</w:t>
            </w:r>
          </w:p>
        </w:tc>
        <w:tc>
          <w:tcPr>
            <w:tcW w:w="1701" w:type="dxa"/>
            <w:vAlign w:val="center"/>
          </w:tcPr>
          <w:p>
            <w:pPr>
              <w:jc w:val="right"/>
              <w:rPr>
                <w:rFonts w:ascii="宋体" w:hAnsi="宋体"/>
              </w:rPr>
            </w:pPr>
            <w:r>
              <w:rPr>
                <w:rFonts w:ascii="宋体" w:hAnsi="宋体" w:hint="eastAsia"/>
              </w:rPr>
              <w:t>1,376</w:t>
            </w:r>
          </w:p>
        </w:tc>
      </w:tr>
      <w:tr>
        <w:trPr>
          <w:trHeight w:val="285"/>
        </w:trPr>
        <w:tc>
          <w:tcPr>
            <w:tcW w:w="3261" w:type="dxa"/>
            <w:vAlign w:val="center"/>
          </w:tcPr>
          <w:p>
            <w:pPr>
              <w:jc w:val="both"/>
            </w:pPr>
            <w:r>
              <w:rPr>
                <w:rFonts w:hint="eastAsia"/>
              </w:rPr>
              <w:t>其他</w:t>
            </w:r>
          </w:p>
        </w:tc>
        <w:tc>
          <w:tcPr>
            <w:tcW w:w="1559" w:type="dxa"/>
            <w:vAlign w:val="center"/>
          </w:tcPr>
          <w:p>
            <w:pPr>
              <w:jc w:val="right"/>
              <w:rPr>
                <w:rFonts w:ascii="宋体" w:hAnsi="宋体"/>
              </w:rPr>
            </w:pPr>
            <w:r>
              <w:rPr>
                <w:rFonts w:ascii="宋体" w:hAnsi="宋体" w:hint="eastAsia"/>
              </w:rPr>
              <w:t>1,014,774</w:t>
            </w:r>
          </w:p>
        </w:tc>
        <w:tc>
          <w:tcPr>
            <w:tcW w:w="1560" w:type="dxa"/>
            <w:vAlign w:val="center"/>
          </w:tcPr>
          <w:p>
            <w:pPr>
              <w:jc w:val="right"/>
              <w:rPr>
                <w:rFonts w:ascii="宋体" w:hAnsi="宋体"/>
              </w:rPr>
            </w:pPr>
            <w:r>
              <w:rPr>
                <w:rFonts w:ascii="宋体" w:hAnsi="宋体" w:hint="eastAsia"/>
              </w:rPr>
              <w:t>232,545</w:t>
            </w:r>
          </w:p>
        </w:tc>
        <w:tc>
          <w:tcPr>
            <w:tcW w:w="1559" w:type="dxa"/>
            <w:vAlign w:val="center"/>
          </w:tcPr>
          <w:p>
            <w:pPr>
              <w:jc w:val="right"/>
              <w:rPr>
                <w:rFonts w:ascii="宋体" w:hAnsi="宋体"/>
              </w:rPr>
            </w:pPr>
            <w:r>
              <w:rPr>
                <w:rFonts w:ascii="宋体" w:hAnsi="宋体" w:hint="eastAsia"/>
              </w:rPr>
              <w:t>899,893</w:t>
            </w:r>
          </w:p>
        </w:tc>
        <w:tc>
          <w:tcPr>
            <w:tcW w:w="1701" w:type="dxa"/>
            <w:vAlign w:val="center"/>
          </w:tcPr>
          <w:p>
            <w:pPr>
              <w:jc w:val="right"/>
              <w:rPr>
                <w:rFonts w:ascii="宋体" w:hAnsi="宋体"/>
              </w:rPr>
            </w:pPr>
            <w:r>
              <w:rPr>
                <w:rFonts w:ascii="宋体" w:hAnsi="宋体" w:hint="eastAsia"/>
              </w:rPr>
              <w:t>216,066</w:t>
            </w:r>
          </w:p>
        </w:tc>
      </w:tr>
      <w:tr>
        <w:trPr>
          <w:trHeight w:val="285"/>
        </w:trPr>
        <w:tc>
          <w:tcPr>
            <w:tcW w:w="3261" w:type="dxa"/>
            <w:vAlign w:val="center"/>
          </w:tcPr>
          <w:p>
            <w:pPr>
              <w:jc w:val="center"/>
            </w:pPr>
            <w:r>
              <w:rPr>
                <w:rFonts w:hint="eastAsia"/>
              </w:rPr>
              <w:t>小计</w:t>
            </w:r>
          </w:p>
        </w:tc>
        <w:tc>
          <w:tcPr>
            <w:tcW w:w="1559" w:type="dxa"/>
            <w:vAlign w:val="center"/>
          </w:tcPr>
          <w:p>
            <w:pPr>
              <w:jc w:val="right"/>
              <w:rPr>
                <w:rFonts w:ascii="宋体" w:hAnsi="宋体"/>
              </w:rPr>
            </w:pPr>
            <w:r>
              <w:rPr>
                <w:rFonts w:ascii="宋体" w:hAnsi="宋体" w:hint="eastAsia"/>
              </w:rPr>
              <w:t>25,656,201</w:t>
            </w:r>
          </w:p>
        </w:tc>
        <w:tc>
          <w:tcPr>
            <w:tcW w:w="1560" w:type="dxa"/>
            <w:vAlign w:val="center"/>
          </w:tcPr>
          <w:p>
            <w:pPr>
              <w:jc w:val="right"/>
              <w:rPr>
                <w:rFonts w:ascii="宋体" w:hAnsi="宋体"/>
              </w:rPr>
            </w:pPr>
            <w:r>
              <w:rPr>
                <w:rFonts w:ascii="宋体" w:hAnsi="宋体" w:hint="eastAsia"/>
              </w:rPr>
              <w:t>5,595,827</w:t>
            </w:r>
          </w:p>
        </w:tc>
        <w:tc>
          <w:tcPr>
            <w:tcW w:w="1559" w:type="dxa"/>
            <w:vAlign w:val="center"/>
          </w:tcPr>
          <w:p>
            <w:pPr>
              <w:jc w:val="right"/>
              <w:rPr>
                <w:rFonts w:ascii="宋体" w:hAnsi="宋体"/>
              </w:rPr>
            </w:pPr>
            <w:r>
              <w:rPr>
                <w:rFonts w:ascii="宋体" w:hAnsi="宋体" w:hint="eastAsia"/>
              </w:rPr>
              <w:t>25,867,084</w:t>
            </w:r>
          </w:p>
        </w:tc>
        <w:tc>
          <w:tcPr>
            <w:tcW w:w="1701" w:type="dxa"/>
            <w:vAlign w:val="center"/>
          </w:tcPr>
          <w:p>
            <w:pPr>
              <w:jc w:val="right"/>
              <w:rPr>
                <w:rFonts w:ascii="宋体" w:hAnsi="宋体"/>
              </w:rPr>
            </w:pPr>
            <w:r>
              <w:rPr>
                <w:rFonts w:ascii="宋体" w:hAnsi="宋体" w:hint="eastAsia"/>
              </w:rPr>
              <w:t>5,750,780</w:t>
            </w:r>
          </w:p>
        </w:tc>
      </w:tr>
      <w:tr>
        <w:trPr>
          <w:trHeight w:val="285"/>
        </w:trPr>
        <w:tc>
          <w:tcPr>
            <w:tcW w:w="3261" w:type="dxa"/>
            <w:vAlign w:val="center"/>
          </w:tcPr>
          <w:p>
            <w:pPr>
              <w:jc w:val="both"/>
            </w:pPr>
            <w:r>
              <w:rPr>
                <w:rFonts w:hint="eastAsia"/>
              </w:rPr>
              <w:t>境外子公司：</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r>
      <w:tr>
        <w:trPr>
          <w:trHeight w:val="285"/>
        </w:trPr>
        <w:tc>
          <w:tcPr>
            <w:tcW w:w="3261" w:type="dxa"/>
            <w:vAlign w:val="center"/>
          </w:tcPr>
          <w:p>
            <w:pPr>
              <w:jc w:val="both"/>
            </w:pPr>
            <w:r>
              <w:rPr>
                <w:rFonts w:hint="eastAsia"/>
              </w:rPr>
              <w:t>复垦费用</w:t>
            </w:r>
          </w:p>
        </w:tc>
        <w:tc>
          <w:tcPr>
            <w:tcW w:w="1559" w:type="dxa"/>
            <w:vAlign w:val="center"/>
          </w:tcPr>
          <w:p>
            <w:pPr>
              <w:jc w:val="right"/>
              <w:rPr>
                <w:rFonts w:ascii="宋体" w:hAnsi="宋体"/>
              </w:rPr>
            </w:pPr>
            <w:r>
              <w:rPr>
                <w:rFonts w:ascii="宋体" w:hAnsi="宋体" w:hint="eastAsia"/>
              </w:rPr>
              <w:t>6,911,075</w:t>
            </w:r>
          </w:p>
        </w:tc>
        <w:tc>
          <w:tcPr>
            <w:tcW w:w="1560" w:type="dxa"/>
            <w:vAlign w:val="center"/>
          </w:tcPr>
          <w:p>
            <w:pPr>
              <w:jc w:val="right"/>
              <w:rPr>
                <w:rFonts w:ascii="宋体" w:hAnsi="宋体"/>
              </w:rPr>
            </w:pPr>
            <w:r>
              <w:rPr>
                <w:rFonts w:ascii="宋体" w:hAnsi="宋体" w:hint="eastAsia"/>
              </w:rPr>
              <w:t>2,073,323</w:t>
            </w:r>
          </w:p>
        </w:tc>
        <w:tc>
          <w:tcPr>
            <w:tcW w:w="1559" w:type="dxa"/>
            <w:vAlign w:val="center"/>
          </w:tcPr>
          <w:p>
            <w:pPr>
              <w:jc w:val="right"/>
              <w:rPr>
                <w:rFonts w:ascii="宋体" w:hAnsi="宋体"/>
              </w:rPr>
            </w:pPr>
            <w:r>
              <w:rPr>
                <w:rFonts w:ascii="宋体" w:hAnsi="宋体" w:hint="eastAsia"/>
              </w:rPr>
              <w:t>6,611,901</w:t>
            </w:r>
          </w:p>
        </w:tc>
        <w:tc>
          <w:tcPr>
            <w:tcW w:w="1701" w:type="dxa"/>
            <w:vAlign w:val="center"/>
          </w:tcPr>
          <w:p>
            <w:pPr>
              <w:jc w:val="right"/>
              <w:rPr>
                <w:rFonts w:ascii="宋体" w:hAnsi="宋体"/>
              </w:rPr>
            </w:pPr>
            <w:r>
              <w:rPr>
                <w:rFonts w:ascii="宋体" w:hAnsi="宋体" w:hint="eastAsia"/>
              </w:rPr>
              <w:t>1,983,570</w:t>
            </w:r>
          </w:p>
        </w:tc>
      </w:tr>
      <w:tr>
        <w:trPr>
          <w:trHeight w:val="285"/>
        </w:trPr>
        <w:tc>
          <w:tcPr>
            <w:tcW w:w="3261" w:type="dxa"/>
            <w:vAlign w:val="center"/>
          </w:tcPr>
          <w:p>
            <w:pPr>
              <w:jc w:val="both"/>
            </w:pPr>
            <w:r>
              <w:rPr>
                <w:rFonts w:hint="eastAsia"/>
              </w:rPr>
              <w:t>套期工具</w:t>
            </w:r>
          </w:p>
        </w:tc>
        <w:tc>
          <w:tcPr>
            <w:tcW w:w="1559" w:type="dxa"/>
            <w:vAlign w:val="center"/>
          </w:tcPr>
          <w:p>
            <w:pPr>
              <w:jc w:val="right"/>
              <w:rPr>
                <w:rFonts w:ascii="宋体" w:hAnsi="宋体"/>
              </w:rPr>
            </w:pPr>
            <w:r>
              <w:rPr>
                <w:rFonts w:ascii="宋体" w:hAnsi="宋体" w:hint="eastAsia"/>
              </w:rPr>
              <w:t>26,208</w:t>
            </w:r>
          </w:p>
        </w:tc>
        <w:tc>
          <w:tcPr>
            <w:tcW w:w="1560" w:type="dxa"/>
            <w:vAlign w:val="center"/>
          </w:tcPr>
          <w:p>
            <w:pPr>
              <w:jc w:val="right"/>
              <w:rPr>
                <w:rFonts w:ascii="宋体" w:hAnsi="宋体"/>
              </w:rPr>
            </w:pPr>
            <w:r>
              <w:rPr>
                <w:rFonts w:ascii="宋体" w:hAnsi="宋体" w:hint="eastAsia"/>
              </w:rPr>
              <w:t>7,862</w:t>
            </w:r>
          </w:p>
        </w:tc>
        <w:tc>
          <w:tcPr>
            <w:tcW w:w="1559" w:type="dxa"/>
            <w:vAlign w:val="center"/>
          </w:tcPr>
          <w:p>
            <w:pPr>
              <w:jc w:val="right"/>
              <w:rPr>
                <w:rFonts w:ascii="宋体" w:hAnsi="宋体"/>
              </w:rPr>
            </w:pPr>
            <w:r>
              <w:rPr>
                <w:rFonts w:ascii="宋体" w:hAnsi="宋体" w:hint="eastAsia"/>
              </w:rPr>
              <w:t>223,321</w:t>
            </w:r>
          </w:p>
        </w:tc>
        <w:tc>
          <w:tcPr>
            <w:tcW w:w="1701" w:type="dxa"/>
            <w:vAlign w:val="center"/>
          </w:tcPr>
          <w:p>
            <w:pPr>
              <w:jc w:val="right"/>
              <w:rPr>
                <w:rFonts w:ascii="宋体" w:hAnsi="宋体"/>
              </w:rPr>
            </w:pPr>
            <w:r>
              <w:rPr>
                <w:rFonts w:ascii="宋体" w:hAnsi="宋体" w:hint="eastAsia"/>
              </w:rPr>
              <w:t>66,996</w:t>
            </w:r>
          </w:p>
        </w:tc>
      </w:tr>
      <w:tr>
        <w:trPr>
          <w:trHeight w:val="285"/>
        </w:trPr>
        <w:tc>
          <w:tcPr>
            <w:tcW w:w="3261" w:type="dxa"/>
            <w:vAlign w:val="center"/>
          </w:tcPr>
          <w:p>
            <w:pPr>
              <w:jc w:val="both"/>
            </w:pPr>
            <w:r>
              <w:rPr>
                <w:rFonts w:hint="eastAsia"/>
              </w:rPr>
              <w:t>预提费用</w:t>
            </w:r>
          </w:p>
        </w:tc>
        <w:tc>
          <w:tcPr>
            <w:tcW w:w="1559" w:type="dxa"/>
            <w:vAlign w:val="center"/>
          </w:tcPr>
          <w:p>
            <w:pPr>
              <w:jc w:val="right"/>
              <w:rPr>
                <w:rFonts w:ascii="宋体" w:hAnsi="宋体"/>
              </w:rPr>
            </w:pPr>
            <w:r>
              <w:rPr>
                <w:rFonts w:ascii="宋体" w:hAnsi="宋体" w:hint="eastAsia"/>
              </w:rPr>
              <w:t>1,116,195</w:t>
            </w:r>
          </w:p>
        </w:tc>
        <w:tc>
          <w:tcPr>
            <w:tcW w:w="1560" w:type="dxa"/>
            <w:vAlign w:val="center"/>
          </w:tcPr>
          <w:p>
            <w:pPr>
              <w:jc w:val="right"/>
              <w:rPr>
                <w:rFonts w:ascii="宋体" w:hAnsi="宋体"/>
              </w:rPr>
            </w:pPr>
            <w:r>
              <w:rPr>
                <w:rFonts w:ascii="宋体" w:hAnsi="宋体" w:hint="eastAsia"/>
              </w:rPr>
              <w:t>334,858</w:t>
            </w:r>
          </w:p>
        </w:tc>
        <w:tc>
          <w:tcPr>
            <w:tcW w:w="1559" w:type="dxa"/>
            <w:vAlign w:val="center"/>
          </w:tcPr>
          <w:p>
            <w:pPr>
              <w:jc w:val="right"/>
              <w:rPr>
                <w:rFonts w:ascii="宋体" w:hAnsi="宋体"/>
              </w:rPr>
            </w:pPr>
            <w:r>
              <w:rPr>
                <w:rFonts w:ascii="宋体" w:hAnsi="宋体" w:hint="eastAsia"/>
              </w:rPr>
              <w:t>637,129</w:t>
            </w:r>
          </w:p>
        </w:tc>
        <w:tc>
          <w:tcPr>
            <w:tcW w:w="1701" w:type="dxa"/>
            <w:vAlign w:val="center"/>
          </w:tcPr>
          <w:p>
            <w:pPr>
              <w:jc w:val="right"/>
              <w:rPr>
                <w:rFonts w:ascii="宋体" w:hAnsi="宋体"/>
              </w:rPr>
            </w:pPr>
            <w:r>
              <w:rPr>
                <w:rFonts w:ascii="宋体" w:hAnsi="宋体" w:hint="eastAsia"/>
              </w:rPr>
              <w:t>191,139</w:t>
            </w:r>
          </w:p>
        </w:tc>
      </w:tr>
      <w:tr>
        <w:trPr>
          <w:trHeight w:val="285"/>
        </w:trPr>
        <w:tc>
          <w:tcPr>
            <w:tcW w:w="3261" w:type="dxa"/>
            <w:vAlign w:val="center"/>
          </w:tcPr>
          <w:p>
            <w:pPr>
              <w:jc w:val="both"/>
            </w:pPr>
            <w:r>
              <w:rPr>
                <w:rFonts w:hint="eastAsia"/>
              </w:rPr>
              <w:t>租赁负债</w:t>
            </w:r>
          </w:p>
        </w:tc>
        <w:tc>
          <w:tcPr>
            <w:tcW w:w="1559" w:type="dxa"/>
            <w:vAlign w:val="center"/>
          </w:tcPr>
          <w:p>
            <w:pPr>
              <w:jc w:val="right"/>
              <w:rPr>
                <w:rFonts w:ascii="宋体" w:hAnsi="宋体"/>
              </w:rPr>
            </w:pPr>
            <w:r>
              <w:rPr>
                <w:rFonts w:ascii="宋体" w:hAnsi="宋体" w:hint="eastAsia"/>
              </w:rPr>
              <w:t>239,703</w:t>
            </w:r>
          </w:p>
        </w:tc>
        <w:tc>
          <w:tcPr>
            <w:tcW w:w="1560" w:type="dxa"/>
            <w:vAlign w:val="center"/>
          </w:tcPr>
          <w:p>
            <w:pPr>
              <w:jc w:val="right"/>
              <w:rPr>
                <w:rFonts w:ascii="宋体" w:hAnsi="宋体"/>
              </w:rPr>
            </w:pPr>
            <w:r>
              <w:rPr>
                <w:rFonts w:ascii="宋体" w:hAnsi="宋体" w:hint="eastAsia"/>
              </w:rPr>
              <w:t>71,911</w:t>
            </w:r>
          </w:p>
        </w:tc>
        <w:tc>
          <w:tcPr>
            <w:tcW w:w="1559" w:type="dxa"/>
            <w:vAlign w:val="center"/>
          </w:tcPr>
          <w:p>
            <w:pPr>
              <w:jc w:val="right"/>
              <w:rPr>
                <w:rFonts w:ascii="宋体" w:hAnsi="宋体"/>
              </w:rPr>
            </w:pPr>
            <w:r>
              <w:rPr>
                <w:rFonts w:ascii="宋体" w:hAnsi="宋体" w:hint="eastAsia"/>
              </w:rPr>
              <w:t>234,596</w:t>
            </w:r>
          </w:p>
        </w:tc>
        <w:tc>
          <w:tcPr>
            <w:tcW w:w="1701" w:type="dxa"/>
            <w:vAlign w:val="center"/>
          </w:tcPr>
          <w:p>
            <w:pPr>
              <w:jc w:val="right"/>
              <w:rPr>
                <w:rFonts w:ascii="宋体" w:hAnsi="宋体"/>
              </w:rPr>
            </w:pPr>
            <w:r>
              <w:rPr>
                <w:rFonts w:ascii="宋体" w:hAnsi="宋体" w:hint="eastAsia"/>
              </w:rPr>
              <w:t>70,379</w:t>
            </w:r>
          </w:p>
        </w:tc>
      </w:tr>
      <w:tr>
        <w:trPr>
          <w:trHeight w:val="285"/>
        </w:trPr>
        <w:tc>
          <w:tcPr>
            <w:tcW w:w="3261" w:type="dxa"/>
            <w:vAlign w:val="center"/>
          </w:tcPr>
          <w:p>
            <w:pPr>
              <w:jc w:val="both"/>
            </w:pPr>
            <w:r>
              <w:rPr>
                <w:rFonts w:hint="eastAsia"/>
              </w:rPr>
              <w:t>资产摊销</w:t>
            </w:r>
          </w:p>
        </w:tc>
        <w:tc>
          <w:tcPr>
            <w:tcW w:w="1559" w:type="dxa"/>
            <w:vAlign w:val="center"/>
          </w:tcPr>
          <w:p>
            <w:pPr>
              <w:jc w:val="right"/>
              <w:rPr>
                <w:rFonts w:ascii="宋体" w:hAnsi="宋体"/>
              </w:rPr>
            </w:pPr>
            <w:r>
              <w:rPr>
                <w:rFonts w:ascii="宋体" w:hAnsi="宋体" w:hint="eastAsia"/>
              </w:rPr>
              <w:t>221,837</w:t>
            </w:r>
          </w:p>
        </w:tc>
        <w:tc>
          <w:tcPr>
            <w:tcW w:w="1560" w:type="dxa"/>
            <w:vAlign w:val="center"/>
          </w:tcPr>
          <w:p>
            <w:pPr>
              <w:jc w:val="right"/>
              <w:rPr>
                <w:rFonts w:ascii="宋体" w:hAnsi="宋体"/>
              </w:rPr>
            </w:pPr>
            <w:r>
              <w:rPr>
                <w:rFonts w:ascii="宋体" w:hAnsi="宋体" w:hint="eastAsia"/>
              </w:rPr>
              <w:t>66,551</w:t>
            </w:r>
          </w:p>
        </w:tc>
        <w:tc>
          <w:tcPr>
            <w:tcW w:w="1559" w:type="dxa"/>
            <w:vAlign w:val="center"/>
          </w:tcPr>
          <w:p>
            <w:pPr>
              <w:jc w:val="right"/>
              <w:rPr>
                <w:rFonts w:ascii="宋体" w:hAnsi="宋体"/>
              </w:rPr>
            </w:pPr>
            <w:r>
              <w:rPr>
                <w:rFonts w:ascii="宋体" w:hAnsi="宋体" w:hint="eastAsia"/>
              </w:rPr>
              <w:t>213,817</w:t>
            </w:r>
          </w:p>
        </w:tc>
        <w:tc>
          <w:tcPr>
            <w:tcW w:w="1701" w:type="dxa"/>
            <w:vAlign w:val="center"/>
          </w:tcPr>
          <w:p>
            <w:pPr>
              <w:jc w:val="right"/>
              <w:rPr>
                <w:rFonts w:ascii="宋体" w:hAnsi="宋体"/>
              </w:rPr>
            </w:pPr>
            <w:r>
              <w:rPr>
                <w:rFonts w:ascii="宋体" w:hAnsi="宋体" w:hint="eastAsia"/>
              </w:rPr>
              <w:t>64,145</w:t>
            </w:r>
          </w:p>
        </w:tc>
      </w:tr>
      <w:tr>
        <w:trPr>
          <w:trHeight w:val="285"/>
        </w:trPr>
        <w:tc>
          <w:tcPr>
            <w:tcW w:w="3261" w:type="dxa"/>
            <w:vAlign w:val="center"/>
          </w:tcPr>
          <w:p>
            <w:pPr>
              <w:jc w:val="both"/>
            </w:pPr>
            <w:r>
              <w:rPr>
                <w:rFonts w:hint="eastAsia"/>
              </w:rPr>
              <w:t>未实现外汇损益</w:t>
            </w:r>
          </w:p>
        </w:tc>
        <w:tc>
          <w:tcPr>
            <w:tcW w:w="1559" w:type="dxa"/>
            <w:vAlign w:val="center"/>
          </w:tcPr>
          <w:p>
            <w:pPr>
              <w:jc w:val="right"/>
              <w:rPr>
                <w:rFonts w:ascii="宋体" w:hAnsi="宋体"/>
              </w:rPr>
            </w:pPr>
            <w:r>
              <w:rPr>
                <w:rFonts w:ascii="宋体" w:hAnsi="宋体" w:hint="eastAsia"/>
              </w:rPr>
              <w:t>-146,646</w:t>
            </w:r>
          </w:p>
        </w:tc>
        <w:tc>
          <w:tcPr>
            <w:tcW w:w="1560" w:type="dxa"/>
            <w:vAlign w:val="center"/>
          </w:tcPr>
          <w:p>
            <w:pPr>
              <w:jc w:val="right"/>
              <w:rPr>
                <w:rFonts w:ascii="宋体" w:hAnsi="宋体"/>
              </w:rPr>
            </w:pPr>
            <w:r>
              <w:rPr>
                <w:rFonts w:ascii="宋体" w:hAnsi="宋体" w:hint="eastAsia"/>
              </w:rPr>
              <w:t>-43,994</w:t>
            </w:r>
          </w:p>
        </w:tc>
        <w:tc>
          <w:tcPr>
            <w:tcW w:w="1559" w:type="dxa"/>
            <w:vAlign w:val="center"/>
          </w:tcPr>
          <w:p>
            <w:pPr>
              <w:jc w:val="right"/>
              <w:rPr>
                <w:rFonts w:ascii="宋体" w:hAnsi="宋体"/>
              </w:rPr>
            </w:pPr>
            <w:r>
              <w:rPr>
                <w:rFonts w:ascii="宋体" w:hAnsi="宋体" w:hint="eastAsia"/>
              </w:rPr>
              <w:t>-156,436</w:t>
            </w:r>
          </w:p>
        </w:tc>
        <w:tc>
          <w:tcPr>
            <w:tcW w:w="1701" w:type="dxa"/>
            <w:vAlign w:val="center"/>
          </w:tcPr>
          <w:p>
            <w:pPr>
              <w:jc w:val="right"/>
              <w:rPr>
                <w:rFonts w:ascii="宋体" w:hAnsi="宋体"/>
              </w:rPr>
            </w:pPr>
            <w:r>
              <w:rPr>
                <w:rFonts w:ascii="宋体" w:hAnsi="宋体" w:hint="eastAsia"/>
              </w:rPr>
              <w:t>-46,931</w:t>
            </w:r>
          </w:p>
        </w:tc>
      </w:tr>
      <w:tr>
        <w:trPr>
          <w:trHeight w:val="285"/>
        </w:trPr>
        <w:tc>
          <w:tcPr>
            <w:tcW w:w="3261" w:type="dxa"/>
            <w:vAlign w:val="center"/>
          </w:tcPr>
          <w:p>
            <w:pPr>
              <w:jc w:val="both"/>
            </w:pPr>
            <w:r>
              <w:rPr>
                <w:rFonts w:hint="eastAsia"/>
              </w:rPr>
              <w:t>其他</w:t>
            </w:r>
          </w:p>
        </w:tc>
        <w:tc>
          <w:tcPr>
            <w:tcW w:w="1559" w:type="dxa"/>
            <w:vAlign w:val="center"/>
          </w:tcPr>
          <w:p>
            <w:pPr>
              <w:jc w:val="right"/>
              <w:rPr>
                <w:rFonts w:ascii="宋体" w:hAnsi="宋体"/>
              </w:rPr>
            </w:pPr>
            <w:r>
              <w:rPr>
                <w:rFonts w:ascii="宋体" w:hAnsi="宋体" w:hint="eastAsia"/>
              </w:rPr>
              <w:t>2,418,561</w:t>
            </w:r>
          </w:p>
        </w:tc>
        <w:tc>
          <w:tcPr>
            <w:tcW w:w="1560" w:type="dxa"/>
            <w:vAlign w:val="center"/>
          </w:tcPr>
          <w:p>
            <w:pPr>
              <w:jc w:val="right"/>
              <w:rPr>
                <w:rFonts w:ascii="宋体" w:hAnsi="宋体"/>
              </w:rPr>
            </w:pPr>
            <w:r>
              <w:rPr>
                <w:rFonts w:ascii="宋体" w:hAnsi="宋体" w:hint="eastAsia"/>
              </w:rPr>
              <w:t>393,444</w:t>
            </w:r>
          </w:p>
        </w:tc>
        <w:tc>
          <w:tcPr>
            <w:tcW w:w="1559" w:type="dxa"/>
            <w:vAlign w:val="center"/>
          </w:tcPr>
          <w:p>
            <w:pPr>
              <w:jc w:val="right"/>
              <w:rPr>
                <w:rFonts w:ascii="宋体" w:hAnsi="宋体"/>
              </w:rPr>
            </w:pPr>
            <w:r>
              <w:rPr>
                <w:rFonts w:ascii="宋体" w:hAnsi="宋体" w:hint="eastAsia"/>
              </w:rPr>
              <w:t>843,842</w:t>
            </w:r>
          </w:p>
        </w:tc>
        <w:tc>
          <w:tcPr>
            <w:tcW w:w="1701" w:type="dxa"/>
            <w:vAlign w:val="center"/>
          </w:tcPr>
          <w:p>
            <w:pPr>
              <w:jc w:val="right"/>
              <w:rPr>
                <w:rFonts w:ascii="宋体" w:hAnsi="宋体"/>
              </w:rPr>
            </w:pPr>
            <w:r>
              <w:rPr>
                <w:rFonts w:ascii="宋体" w:hAnsi="宋体" w:hint="eastAsia"/>
              </w:rPr>
              <w:t>246,770</w:t>
            </w:r>
          </w:p>
        </w:tc>
      </w:tr>
      <w:tr>
        <w:trPr>
          <w:trHeight w:val="285"/>
        </w:trPr>
        <w:tc>
          <w:tcPr>
            <w:tcW w:w="3261" w:type="dxa"/>
            <w:vAlign w:val="center"/>
          </w:tcPr>
          <w:p>
            <w:pPr>
              <w:jc w:val="center"/>
            </w:pPr>
            <w:r>
              <w:rPr>
                <w:rFonts w:hint="eastAsia"/>
              </w:rPr>
              <w:t>小计</w:t>
            </w:r>
          </w:p>
        </w:tc>
        <w:tc>
          <w:tcPr>
            <w:tcW w:w="1559" w:type="dxa"/>
            <w:vAlign w:val="center"/>
          </w:tcPr>
          <w:p>
            <w:pPr>
              <w:jc w:val="right"/>
              <w:rPr>
                <w:rFonts w:ascii="宋体" w:hAnsi="宋体"/>
              </w:rPr>
            </w:pPr>
            <w:r>
              <w:rPr>
                <w:rFonts w:ascii="宋体" w:hAnsi="宋体" w:hint="eastAsia"/>
              </w:rPr>
              <w:t>10,786,933</w:t>
            </w:r>
          </w:p>
        </w:tc>
        <w:tc>
          <w:tcPr>
            <w:tcW w:w="1560" w:type="dxa"/>
            <w:vAlign w:val="center"/>
          </w:tcPr>
          <w:p>
            <w:pPr>
              <w:jc w:val="right"/>
              <w:rPr>
                <w:rFonts w:ascii="宋体" w:hAnsi="宋体"/>
              </w:rPr>
            </w:pPr>
            <w:r>
              <w:rPr>
                <w:rFonts w:ascii="宋体" w:hAnsi="宋体" w:hint="eastAsia"/>
              </w:rPr>
              <w:t>2,903,955</w:t>
            </w:r>
          </w:p>
        </w:tc>
        <w:tc>
          <w:tcPr>
            <w:tcW w:w="1559" w:type="dxa"/>
            <w:vAlign w:val="center"/>
          </w:tcPr>
          <w:p>
            <w:pPr>
              <w:jc w:val="right"/>
              <w:rPr>
                <w:rFonts w:ascii="宋体" w:hAnsi="宋体"/>
              </w:rPr>
            </w:pPr>
            <w:r>
              <w:rPr>
                <w:rFonts w:ascii="宋体" w:hAnsi="宋体" w:hint="eastAsia"/>
              </w:rPr>
              <w:t>8,608,170</w:t>
            </w:r>
          </w:p>
        </w:tc>
        <w:tc>
          <w:tcPr>
            <w:tcW w:w="1701" w:type="dxa"/>
            <w:vAlign w:val="center"/>
          </w:tcPr>
          <w:p>
            <w:pPr>
              <w:jc w:val="right"/>
              <w:rPr>
                <w:rFonts w:ascii="宋体" w:hAnsi="宋体"/>
              </w:rPr>
            </w:pPr>
            <w:r>
              <w:rPr>
                <w:rFonts w:ascii="宋体" w:hAnsi="宋体" w:hint="eastAsia"/>
              </w:rPr>
              <w:t>2,576,068</w:t>
            </w:r>
          </w:p>
        </w:tc>
      </w:tr>
      <w:tr>
        <w:trPr>
          <w:trHeight w:val="285"/>
        </w:trPr>
        <w:tc>
          <w:tcPr>
            <w:tcW w:w="3261" w:type="dxa"/>
            <w:vAlign w:val="center"/>
          </w:tcPr>
          <w:p>
            <w:pPr>
              <w:jc w:val="center"/>
            </w:pPr>
            <w:r>
              <w:rPr>
                <w:rFonts w:hint="eastAsia"/>
              </w:rPr>
              <w:t>合计</w:t>
            </w:r>
          </w:p>
        </w:tc>
        <w:tc>
          <w:tcPr>
            <w:tcW w:w="1559" w:type="dxa"/>
          </w:tcPr>
          <w:p>
            <w:pPr>
              <w:jc w:val="right"/>
              <w:rPr>
                <w:rFonts w:ascii="宋体" w:hAnsi="宋体"/>
              </w:rPr>
            </w:pPr>
            <w:r>
              <w:rPr>
                <w:rFonts w:ascii="宋体" w:hAnsi="宋体"/>
              </w:rPr>
              <w:t>36,443,134</w:t>
            </w:r>
          </w:p>
        </w:tc>
        <w:tc>
          <w:tcPr>
            <w:tcW w:w="1560" w:type="dxa"/>
          </w:tcPr>
          <w:p>
            <w:pPr>
              <w:jc w:val="right"/>
              <w:rPr>
                <w:rFonts w:ascii="宋体" w:hAnsi="宋体"/>
              </w:rPr>
            </w:pPr>
            <w:r>
              <w:rPr>
                <w:rFonts w:ascii="宋体" w:hAnsi="宋体"/>
              </w:rPr>
              <w:t>8,499,782</w:t>
            </w:r>
          </w:p>
        </w:tc>
        <w:tc>
          <w:tcPr>
            <w:tcW w:w="1559" w:type="dxa"/>
          </w:tcPr>
          <w:p>
            <w:pPr>
              <w:jc w:val="right"/>
              <w:rPr>
                <w:rFonts w:ascii="宋体" w:hAnsi="宋体"/>
              </w:rPr>
            </w:pPr>
            <w:r>
              <w:rPr>
                <w:rFonts w:ascii="宋体" w:hAnsi="宋体"/>
              </w:rPr>
              <w:t>34,475,254</w:t>
            </w:r>
          </w:p>
        </w:tc>
        <w:tc>
          <w:tcPr>
            <w:tcW w:w="1701" w:type="dxa"/>
          </w:tcPr>
          <w:p>
            <w:pPr>
              <w:jc w:val="right"/>
              <w:rPr>
                <w:rFonts w:ascii="宋体" w:hAnsi="宋体"/>
              </w:rPr>
            </w:pPr>
            <w:r>
              <w:rPr>
                <w:rFonts w:ascii="宋体" w:hAnsi="宋体"/>
              </w:rPr>
              <w:t>8,326,848</w:t>
            </w:r>
          </w:p>
        </w:tc>
      </w:tr>
    </w:tbl>
    <w:p>
      <w:pPr>
        <w:pStyle w:val="Style217"/>
      </w:pPr>
    </w:p>
    <w:p>
      <w:pPr>
        <w:pStyle w:val="Style179"/>
      </w:pPr>
      <w:r>
        <w:rPr>
          <w:rFonts w:hint="eastAsia"/>
        </w:rPr>
        <w:t>（2）未经抵销的递延所得税负债</w:t>
      </w:r>
    </w:p>
    <w:p>
      <w:pPr>
        <w:pStyle w:val="Style217"/>
      </w:pPr>
      <w:sdt>
        <w:sdtPr>
          <w:alias w:val="是否适用：未经抵销的递延所得税负债[双击切换]"/>
          <w:tag w:val="_GBC_e7d8f83d611d4464afa60fcd4c2b0690"/>
          <w:id w:val="-1816172886"/>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经抵销的递延所得税负债"/>
          <w:tag w:val="_GBC_20c1fd2b551d429d888a1c48c5ee9c5a"/>
          <w:id w:val="-2428810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未经抵销的递延所得税负债"/>
          <w:tag w:val="_GBC_e6ace91667794eff9d02520878b629f9"/>
          <w:id w:val="-13832468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60"/>
        <w:gridCol w:w="1559"/>
        <w:gridCol w:w="1701"/>
      </w:tblGrid>
      <w:tr>
        <w:trPr>
          <w:trHeight w:val="285"/>
        </w:trPr>
        <w:sdt>
          <w:sdtPr>
            <w:tag w:val="_PLD_e9bdb30dce784b4a9efd1b5efd6964fb"/>
            <w:id w:val="-465197731"/>
          </w:sdtPr>
          <w:sdtContent>
            <w:tc>
              <w:tcPr>
                <w:tcW w:w="3261" w:type="dxa"/>
                <w:vMerge w:val="restart"/>
                <w:vAlign w:val="center"/>
              </w:tcPr>
              <w:p>
                <w:pPr>
                  <w:jc w:val="center"/>
                </w:pPr>
                <w:r>
                  <w:rPr>
                    <w:rFonts w:hint="eastAsia"/>
                  </w:rPr>
                  <w:t>项目</w:t>
                </w:r>
              </w:p>
            </w:tc>
          </w:sdtContent>
        </w:sdt>
        <w:sdt>
          <w:sdtPr>
            <w:tag w:val="_PLD_600f3752c404468197724275bf44cd43"/>
            <w:id w:val="1433003501"/>
          </w:sdtPr>
          <w:sdtContent>
            <w:tc>
              <w:tcPr>
                <w:tcW w:w="3119" w:type="dxa"/>
                <w:gridSpan w:val="2"/>
                <w:vAlign w:val="center"/>
              </w:tcPr>
              <w:p>
                <w:pPr>
                  <w:jc w:val="center"/>
                </w:pPr>
                <w:r>
                  <w:rPr>
                    <w:rFonts w:hint="eastAsia"/>
                  </w:rPr>
                  <w:t>期末余额</w:t>
                </w:r>
              </w:p>
            </w:tc>
          </w:sdtContent>
        </w:sdt>
        <w:sdt>
          <w:sdtPr>
            <w:tag w:val="_PLD_7e4b2554e2544865b74424edbdb55d4b"/>
            <w:id w:val="683474299"/>
          </w:sdtPr>
          <w:sdtContent>
            <w:tc>
              <w:tcPr>
                <w:tcW w:w="3260" w:type="dxa"/>
                <w:gridSpan w:val="2"/>
                <w:vAlign w:val="center"/>
              </w:tcPr>
              <w:p>
                <w:pPr>
                  <w:jc w:val="center"/>
                </w:pPr>
                <w:r>
                  <w:rPr>
                    <w:rFonts w:hint="eastAsia"/>
                  </w:rPr>
                  <w:t>期初余额</w:t>
                </w:r>
              </w:p>
            </w:tc>
          </w:sdtContent>
        </w:sdt>
      </w:tr>
      <w:tr>
        <w:trPr>
          <w:trHeight w:val="285"/>
        </w:trPr>
        <w:tc>
          <w:tcPr>
            <w:tcW w:w="3261" w:type="dxa"/>
            <w:vMerge/>
            <w:vAlign w:val="center"/>
          </w:tcPr>
          <w:p>
            <w:pPr>
              <w:jc w:val="center"/>
              <w:rPr>
                <w:b/>
              </w:rPr>
            </w:pPr>
          </w:p>
        </w:tc>
        <w:sdt>
          <w:sdtPr>
            <w:tag w:val="_PLD_2db432e06e184a41a8eb727ebb64ec40"/>
            <w:id w:val="-781338182"/>
          </w:sdtPr>
          <w:sdtContent>
            <w:tc>
              <w:tcPr>
                <w:tcW w:w="1559" w:type="dxa"/>
                <w:vAlign w:val="center"/>
              </w:tcPr>
              <w:p>
                <w:pPr>
                  <w:jc w:val="center"/>
                </w:pPr>
                <w:r>
                  <w:rPr>
                    <w:rFonts w:ascii="Arial" w:hAnsi="Arial" w:hint="eastAsia"/>
                  </w:rPr>
                  <w:t>应纳税暂时性差异</w:t>
                </w:r>
              </w:p>
            </w:tc>
          </w:sdtContent>
        </w:sdt>
        <w:sdt>
          <w:sdtPr>
            <w:tag w:val="_PLD_b3dd3e66f628452aab8284dc189a458b"/>
            <w:id w:val="2035602464"/>
          </w:sdtPr>
          <w:sdtContent>
            <w:tc>
              <w:tcPr>
                <w:tcW w:w="1560" w:type="dxa"/>
                <w:vAlign w:val="center"/>
              </w:tcPr>
              <w:p>
                <w:pPr>
                  <w:jc w:val="center"/>
                </w:pPr>
                <w:r>
                  <w:rPr>
                    <w:rFonts w:hint="eastAsia"/>
                  </w:rPr>
                  <w:t>递延所得税</w:t>
                </w:r>
              </w:p>
              <w:p>
                <w:pPr>
                  <w:jc w:val="center"/>
                </w:pPr>
                <w:r>
                  <w:rPr>
                    <w:rFonts w:hint="eastAsia"/>
                  </w:rPr>
                  <w:t>负债</w:t>
                </w:r>
              </w:p>
            </w:tc>
          </w:sdtContent>
        </w:sdt>
        <w:sdt>
          <w:sdtPr>
            <w:tag w:val="_PLD_3e69493cf6a2462eab1eaf8ece87a89d"/>
            <w:id w:val="968087032"/>
          </w:sdtPr>
          <w:sdtContent>
            <w:tc>
              <w:tcPr>
                <w:tcW w:w="1559" w:type="dxa"/>
                <w:vAlign w:val="center"/>
              </w:tcPr>
              <w:p>
                <w:pPr>
                  <w:jc w:val="center"/>
                </w:pPr>
                <w:r>
                  <w:rPr>
                    <w:rFonts w:ascii="Arial" w:hAnsi="Arial" w:hint="eastAsia"/>
                  </w:rPr>
                  <w:t>应纳税暂时性差异</w:t>
                </w:r>
              </w:p>
            </w:tc>
          </w:sdtContent>
        </w:sdt>
        <w:sdt>
          <w:sdtPr>
            <w:tag w:val="_PLD_ad4c3389a4a04a96990ace5203f3adbb"/>
            <w:id w:val="-65645527"/>
          </w:sdtPr>
          <w:sdtContent>
            <w:tc>
              <w:tcPr>
                <w:tcW w:w="1701" w:type="dxa"/>
                <w:vAlign w:val="center"/>
              </w:tcPr>
              <w:p>
                <w:pPr>
                  <w:jc w:val="center"/>
                </w:pPr>
                <w:r>
                  <w:rPr>
                    <w:rFonts w:hint="eastAsia"/>
                  </w:rPr>
                  <w:t>递延所得税</w:t>
                </w:r>
              </w:p>
              <w:p>
                <w:pPr>
                  <w:jc w:val="center"/>
                </w:pPr>
                <w:r>
                  <w:rPr>
                    <w:rFonts w:hint="eastAsia"/>
                  </w:rPr>
                  <w:t>负债</w:t>
                </w:r>
              </w:p>
            </w:tc>
          </w:sdtContent>
        </w:sdt>
      </w:tr>
      <w:tr>
        <w:trPr>
          <w:trHeight w:val="285"/>
        </w:trPr>
        <w:tc>
          <w:tcPr>
            <w:tcW w:w="3261" w:type="dxa"/>
            <w:vAlign w:val="center"/>
          </w:tcPr>
          <w:p>
            <w:pPr>
              <w:jc w:val="both"/>
              <w:rPr>
                <w:rFonts w:ascii="宋体" w:hAnsi="宋体"/>
              </w:rPr>
            </w:pPr>
            <w:r>
              <w:rPr>
                <w:rFonts w:ascii="宋体" w:hAnsi="宋体" w:hint="eastAsia"/>
              </w:rPr>
              <w:t>母公司及境内子公司：</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r>
      <w:tr>
        <w:trPr>
          <w:trHeight w:val="285"/>
        </w:trPr>
        <w:tc>
          <w:tcPr>
            <w:tcW w:w="3261" w:type="dxa"/>
            <w:vAlign w:val="center"/>
          </w:tcPr>
          <w:p>
            <w:pPr>
              <w:jc w:val="both"/>
              <w:rPr>
                <w:rFonts w:ascii="宋体" w:hAnsi="宋体"/>
              </w:rPr>
            </w:pPr>
            <w:r>
              <w:rPr>
                <w:rFonts w:ascii="宋体" w:hAnsi="宋体" w:hint="eastAsia"/>
              </w:rPr>
              <w:t>采（探）矿权公允价值</w:t>
            </w:r>
          </w:p>
        </w:tc>
        <w:tc>
          <w:tcPr>
            <w:tcW w:w="1559" w:type="dxa"/>
            <w:vAlign w:val="center"/>
          </w:tcPr>
          <w:p>
            <w:pPr>
              <w:jc w:val="right"/>
              <w:rPr>
                <w:rFonts w:ascii="宋体" w:hAnsi="宋体"/>
              </w:rPr>
            </w:pPr>
            <w:r>
              <w:rPr>
                <w:rFonts w:ascii="宋体" w:hAnsi="宋体"/>
              </w:rPr>
              <w:t>23,631,851</w:t>
            </w:r>
          </w:p>
        </w:tc>
        <w:tc>
          <w:tcPr>
            <w:tcW w:w="1560" w:type="dxa"/>
            <w:vAlign w:val="center"/>
          </w:tcPr>
          <w:p>
            <w:pPr>
              <w:jc w:val="right"/>
              <w:rPr>
                <w:rFonts w:ascii="宋体" w:hAnsi="宋体"/>
              </w:rPr>
            </w:pPr>
            <w:r>
              <w:rPr>
                <w:rFonts w:ascii="宋体" w:hAnsi="宋体"/>
              </w:rPr>
              <w:t>5,813,565</w:t>
            </w:r>
          </w:p>
        </w:tc>
        <w:tc>
          <w:tcPr>
            <w:tcW w:w="1559" w:type="dxa"/>
            <w:vAlign w:val="center"/>
          </w:tcPr>
          <w:p>
            <w:pPr>
              <w:jc w:val="right"/>
              <w:rPr>
                <w:rFonts w:ascii="宋体" w:hAnsi="宋体"/>
              </w:rPr>
            </w:pPr>
            <w:r>
              <w:rPr>
                <w:rFonts w:ascii="宋体" w:hAnsi="宋体" w:hint="eastAsia"/>
              </w:rPr>
              <w:t>23,856,869</w:t>
            </w:r>
          </w:p>
        </w:tc>
        <w:tc>
          <w:tcPr>
            <w:tcW w:w="1701" w:type="dxa"/>
            <w:vAlign w:val="center"/>
          </w:tcPr>
          <w:p>
            <w:pPr>
              <w:jc w:val="right"/>
              <w:rPr>
                <w:rFonts w:ascii="宋体" w:hAnsi="宋体"/>
              </w:rPr>
            </w:pPr>
            <w:r>
              <w:rPr>
                <w:rFonts w:ascii="宋体" w:hAnsi="宋体" w:hint="eastAsia"/>
              </w:rPr>
              <w:t>5,838,214</w:t>
            </w:r>
          </w:p>
        </w:tc>
      </w:tr>
      <w:tr>
        <w:trPr>
          <w:trHeight w:val="285"/>
        </w:trPr>
        <w:tc>
          <w:tcPr>
            <w:tcW w:w="3261" w:type="dxa"/>
            <w:vAlign w:val="center"/>
          </w:tcPr>
          <w:p>
            <w:pPr>
              <w:jc w:val="both"/>
              <w:rPr>
                <w:rFonts w:ascii="宋体" w:hAnsi="宋体"/>
              </w:rPr>
            </w:pPr>
            <w:r>
              <w:rPr>
                <w:rFonts w:ascii="宋体" w:hAnsi="宋体" w:hint="eastAsia"/>
              </w:rPr>
              <w:t>弃置义务</w:t>
            </w:r>
          </w:p>
        </w:tc>
        <w:tc>
          <w:tcPr>
            <w:tcW w:w="1559" w:type="dxa"/>
            <w:vAlign w:val="center"/>
          </w:tcPr>
          <w:p>
            <w:pPr>
              <w:jc w:val="right"/>
              <w:rPr>
                <w:rFonts w:ascii="宋体" w:hAnsi="宋体"/>
              </w:rPr>
            </w:pPr>
            <w:r>
              <w:rPr>
                <w:rFonts w:ascii="宋体" w:hAnsi="宋体" w:hint="eastAsia"/>
              </w:rPr>
              <w:t>5,089,993</w:t>
            </w:r>
          </w:p>
        </w:tc>
        <w:tc>
          <w:tcPr>
            <w:tcW w:w="1560" w:type="dxa"/>
            <w:vAlign w:val="center"/>
          </w:tcPr>
          <w:p>
            <w:pPr>
              <w:jc w:val="right"/>
              <w:rPr>
                <w:rFonts w:ascii="宋体" w:hAnsi="宋体"/>
              </w:rPr>
            </w:pPr>
            <w:r>
              <w:rPr>
                <w:rFonts w:ascii="宋体" w:hAnsi="宋体" w:hint="eastAsia"/>
              </w:rPr>
              <w:t>1,228,431</w:t>
            </w:r>
          </w:p>
        </w:tc>
        <w:tc>
          <w:tcPr>
            <w:tcW w:w="1559" w:type="dxa"/>
            <w:vAlign w:val="center"/>
          </w:tcPr>
          <w:p>
            <w:pPr>
              <w:jc w:val="right"/>
              <w:rPr>
                <w:rFonts w:ascii="宋体" w:hAnsi="宋体"/>
              </w:rPr>
            </w:pPr>
            <w:r>
              <w:rPr>
                <w:rFonts w:ascii="宋体" w:hAnsi="宋体" w:hint="eastAsia"/>
              </w:rPr>
              <w:t>4,670,699</w:t>
            </w:r>
          </w:p>
        </w:tc>
        <w:tc>
          <w:tcPr>
            <w:tcW w:w="1701" w:type="dxa"/>
            <w:vAlign w:val="center"/>
          </w:tcPr>
          <w:p>
            <w:pPr>
              <w:jc w:val="right"/>
              <w:rPr>
                <w:rFonts w:ascii="宋体" w:hAnsi="宋体"/>
              </w:rPr>
            </w:pPr>
            <w:r>
              <w:rPr>
                <w:rFonts w:ascii="宋体" w:hAnsi="宋体" w:hint="eastAsia"/>
              </w:rPr>
              <w:t>1,111,782</w:t>
            </w:r>
          </w:p>
        </w:tc>
      </w:tr>
      <w:tr>
        <w:trPr>
          <w:trHeight w:val="285"/>
        </w:trPr>
        <w:tc>
          <w:tcPr>
            <w:tcW w:w="3261" w:type="dxa"/>
            <w:vAlign w:val="center"/>
          </w:tcPr>
          <w:p>
            <w:pPr>
              <w:jc w:val="both"/>
              <w:rPr>
                <w:rFonts w:ascii="宋体" w:hAnsi="宋体"/>
              </w:rPr>
            </w:pPr>
            <w:r>
              <w:rPr>
                <w:rFonts w:ascii="宋体" w:hAnsi="宋体" w:hint="eastAsia"/>
              </w:rPr>
              <w:t>固定资产加速折旧</w:t>
            </w:r>
          </w:p>
        </w:tc>
        <w:tc>
          <w:tcPr>
            <w:tcW w:w="1559" w:type="dxa"/>
            <w:vAlign w:val="center"/>
          </w:tcPr>
          <w:p>
            <w:pPr>
              <w:jc w:val="right"/>
              <w:rPr>
                <w:rFonts w:ascii="宋体" w:hAnsi="宋体"/>
              </w:rPr>
            </w:pPr>
            <w:r>
              <w:rPr>
                <w:rFonts w:ascii="宋体" w:hAnsi="宋体" w:hint="eastAsia"/>
              </w:rPr>
              <w:t>3,238,001</w:t>
            </w:r>
          </w:p>
        </w:tc>
        <w:tc>
          <w:tcPr>
            <w:tcW w:w="1560" w:type="dxa"/>
            <w:vAlign w:val="center"/>
          </w:tcPr>
          <w:p>
            <w:pPr>
              <w:jc w:val="right"/>
              <w:rPr>
                <w:rFonts w:ascii="宋体" w:hAnsi="宋体"/>
              </w:rPr>
            </w:pPr>
            <w:r>
              <w:rPr>
                <w:rFonts w:ascii="宋体" w:hAnsi="宋体" w:hint="eastAsia"/>
              </w:rPr>
              <w:t>592,624</w:t>
            </w:r>
          </w:p>
        </w:tc>
        <w:tc>
          <w:tcPr>
            <w:tcW w:w="1559" w:type="dxa"/>
            <w:vAlign w:val="center"/>
          </w:tcPr>
          <w:p>
            <w:pPr>
              <w:jc w:val="right"/>
              <w:rPr>
                <w:rFonts w:ascii="宋体" w:hAnsi="宋体"/>
              </w:rPr>
            </w:pPr>
            <w:r>
              <w:rPr>
                <w:rFonts w:ascii="宋体" w:hAnsi="宋体" w:hint="eastAsia"/>
              </w:rPr>
              <w:t>3,120,664</w:t>
            </w:r>
          </w:p>
        </w:tc>
        <w:tc>
          <w:tcPr>
            <w:tcW w:w="1701" w:type="dxa"/>
            <w:vAlign w:val="center"/>
          </w:tcPr>
          <w:p>
            <w:pPr>
              <w:jc w:val="right"/>
              <w:rPr>
                <w:rFonts w:ascii="宋体" w:hAnsi="宋体"/>
              </w:rPr>
            </w:pPr>
            <w:r>
              <w:rPr>
                <w:rFonts w:ascii="宋体" w:hAnsi="宋体" w:hint="eastAsia"/>
              </w:rPr>
              <w:t>677,676</w:t>
            </w:r>
          </w:p>
        </w:tc>
      </w:tr>
      <w:tr>
        <w:trPr>
          <w:trHeight w:val="285"/>
        </w:trPr>
        <w:tc>
          <w:tcPr>
            <w:tcW w:w="3261" w:type="dxa"/>
            <w:vAlign w:val="center"/>
          </w:tcPr>
          <w:p>
            <w:pPr>
              <w:jc w:val="both"/>
              <w:rPr>
                <w:rFonts w:ascii="宋体" w:hAnsi="宋体"/>
              </w:rPr>
            </w:pPr>
            <w:r>
              <w:rPr>
                <w:rFonts w:ascii="宋体" w:hAnsi="宋体" w:hint="eastAsia"/>
              </w:rPr>
              <w:lastRenderedPageBreak/>
              <w:t>非同一控制下企业合并资产评估增值</w:t>
            </w:r>
          </w:p>
        </w:tc>
        <w:tc>
          <w:tcPr>
            <w:tcW w:w="1559" w:type="dxa"/>
            <w:vAlign w:val="center"/>
          </w:tcPr>
          <w:p>
            <w:pPr>
              <w:jc w:val="right"/>
              <w:rPr>
                <w:rFonts w:ascii="宋体" w:hAnsi="宋体"/>
              </w:rPr>
            </w:pPr>
            <w:r>
              <w:rPr>
                <w:rFonts w:ascii="宋体" w:hAnsi="宋体" w:hint="eastAsia"/>
              </w:rPr>
              <w:t>6,619,707</w:t>
            </w:r>
          </w:p>
        </w:tc>
        <w:tc>
          <w:tcPr>
            <w:tcW w:w="1560" w:type="dxa"/>
            <w:vAlign w:val="center"/>
          </w:tcPr>
          <w:p>
            <w:pPr>
              <w:jc w:val="right"/>
              <w:rPr>
                <w:rFonts w:ascii="宋体" w:hAnsi="宋体"/>
              </w:rPr>
            </w:pPr>
            <w:r>
              <w:rPr>
                <w:rFonts w:ascii="宋体" w:hAnsi="宋体"/>
              </w:rPr>
              <w:t>1,348,687</w:t>
            </w:r>
          </w:p>
        </w:tc>
        <w:tc>
          <w:tcPr>
            <w:tcW w:w="1559" w:type="dxa"/>
            <w:vAlign w:val="center"/>
          </w:tcPr>
          <w:p>
            <w:pPr>
              <w:jc w:val="right"/>
              <w:rPr>
                <w:rFonts w:ascii="宋体" w:hAnsi="宋体"/>
              </w:rPr>
            </w:pPr>
            <w:r>
              <w:rPr>
                <w:rFonts w:ascii="宋体" w:hAnsi="宋体" w:hint="eastAsia"/>
              </w:rPr>
              <w:t>6,798,294</w:t>
            </w:r>
          </w:p>
        </w:tc>
        <w:tc>
          <w:tcPr>
            <w:tcW w:w="1701" w:type="dxa"/>
            <w:vAlign w:val="center"/>
          </w:tcPr>
          <w:p>
            <w:pPr>
              <w:jc w:val="right"/>
              <w:rPr>
                <w:rFonts w:ascii="宋体" w:hAnsi="宋体"/>
              </w:rPr>
            </w:pPr>
            <w:r>
              <w:rPr>
                <w:rFonts w:ascii="宋体" w:hAnsi="宋体" w:hint="eastAsia"/>
              </w:rPr>
              <w:t>1,399,019</w:t>
            </w:r>
          </w:p>
        </w:tc>
      </w:tr>
      <w:tr>
        <w:trPr>
          <w:trHeight w:val="285"/>
        </w:trPr>
        <w:tc>
          <w:tcPr>
            <w:tcW w:w="3261" w:type="dxa"/>
            <w:vAlign w:val="center"/>
          </w:tcPr>
          <w:p>
            <w:pPr>
              <w:jc w:val="both"/>
              <w:rPr>
                <w:rFonts w:ascii="宋体" w:hAnsi="宋体"/>
              </w:rPr>
            </w:pPr>
            <w:r>
              <w:rPr>
                <w:rFonts w:ascii="宋体" w:hAnsi="宋体" w:hint="eastAsia"/>
              </w:rPr>
              <w:t>固定资产转投资性房地产</w:t>
            </w:r>
          </w:p>
        </w:tc>
        <w:tc>
          <w:tcPr>
            <w:tcW w:w="1559" w:type="dxa"/>
            <w:vAlign w:val="center"/>
          </w:tcPr>
          <w:p>
            <w:pPr>
              <w:jc w:val="right"/>
              <w:rPr>
                <w:rFonts w:ascii="宋体" w:hAnsi="宋体"/>
              </w:rPr>
            </w:pPr>
            <w:r>
              <w:rPr>
                <w:rFonts w:ascii="宋体" w:hAnsi="宋体" w:hint="eastAsia"/>
              </w:rPr>
              <w:t>343,151</w:t>
            </w:r>
          </w:p>
        </w:tc>
        <w:tc>
          <w:tcPr>
            <w:tcW w:w="1560" w:type="dxa"/>
            <w:vAlign w:val="center"/>
          </w:tcPr>
          <w:p>
            <w:pPr>
              <w:jc w:val="right"/>
              <w:rPr>
                <w:rFonts w:ascii="宋体" w:hAnsi="宋体"/>
              </w:rPr>
            </w:pPr>
            <w:r>
              <w:rPr>
                <w:rFonts w:ascii="宋体" w:hAnsi="宋体" w:hint="eastAsia"/>
              </w:rPr>
              <w:t>85,561</w:t>
            </w:r>
          </w:p>
        </w:tc>
        <w:tc>
          <w:tcPr>
            <w:tcW w:w="1559" w:type="dxa"/>
            <w:vAlign w:val="center"/>
          </w:tcPr>
          <w:p>
            <w:pPr>
              <w:jc w:val="right"/>
              <w:rPr>
                <w:rFonts w:ascii="宋体" w:hAnsi="宋体"/>
              </w:rPr>
            </w:pPr>
            <w:r>
              <w:rPr>
                <w:rFonts w:ascii="宋体" w:hAnsi="宋体" w:hint="eastAsia"/>
              </w:rPr>
              <w:t>343,924</w:t>
            </w:r>
          </w:p>
        </w:tc>
        <w:tc>
          <w:tcPr>
            <w:tcW w:w="1701" w:type="dxa"/>
            <w:vAlign w:val="center"/>
          </w:tcPr>
          <w:p>
            <w:pPr>
              <w:jc w:val="right"/>
              <w:rPr>
                <w:rFonts w:ascii="宋体" w:hAnsi="宋体"/>
              </w:rPr>
            </w:pPr>
            <w:r>
              <w:rPr>
                <w:rFonts w:ascii="宋体" w:hAnsi="宋体" w:hint="eastAsia"/>
              </w:rPr>
              <w:t>85,981</w:t>
            </w:r>
          </w:p>
        </w:tc>
      </w:tr>
      <w:tr>
        <w:trPr>
          <w:trHeight w:val="285"/>
        </w:trPr>
        <w:tc>
          <w:tcPr>
            <w:tcW w:w="3261" w:type="dxa"/>
            <w:vAlign w:val="center"/>
          </w:tcPr>
          <w:p>
            <w:pPr>
              <w:jc w:val="both"/>
              <w:rPr>
                <w:rFonts w:ascii="宋体" w:hAnsi="宋体"/>
              </w:rPr>
            </w:pPr>
            <w:r>
              <w:rPr>
                <w:rFonts w:ascii="宋体" w:hAnsi="宋体" w:hint="eastAsia"/>
              </w:rPr>
              <w:t>投资性房地产公允价值变动</w:t>
            </w:r>
          </w:p>
        </w:tc>
        <w:tc>
          <w:tcPr>
            <w:tcW w:w="1559" w:type="dxa"/>
            <w:vAlign w:val="center"/>
          </w:tcPr>
          <w:p>
            <w:pPr>
              <w:jc w:val="right"/>
              <w:rPr>
                <w:rFonts w:ascii="宋体" w:hAnsi="宋体"/>
              </w:rPr>
            </w:pPr>
            <w:r>
              <w:rPr>
                <w:rFonts w:ascii="宋体" w:hAnsi="宋体" w:hint="eastAsia"/>
              </w:rPr>
              <w:t>168,252</w:t>
            </w:r>
          </w:p>
        </w:tc>
        <w:tc>
          <w:tcPr>
            <w:tcW w:w="1560" w:type="dxa"/>
            <w:vAlign w:val="center"/>
          </w:tcPr>
          <w:p>
            <w:pPr>
              <w:jc w:val="right"/>
              <w:rPr>
                <w:rFonts w:ascii="宋体" w:hAnsi="宋体"/>
              </w:rPr>
            </w:pPr>
            <w:r>
              <w:rPr>
                <w:rFonts w:ascii="宋体" w:hAnsi="宋体" w:hint="eastAsia"/>
              </w:rPr>
              <w:t>42,063</w:t>
            </w:r>
          </w:p>
        </w:tc>
        <w:tc>
          <w:tcPr>
            <w:tcW w:w="1559" w:type="dxa"/>
            <w:vAlign w:val="center"/>
          </w:tcPr>
          <w:p>
            <w:pPr>
              <w:jc w:val="right"/>
              <w:rPr>
                <w:rFonts w:ascii="宋体" w:hAnsi="宋体"/>
              </w:rPr>
            </w:pPr>
            <w:r>
              <w:rPr>
                <w:rFonts w:ascii="宋体" w:hAnsi="宋体" w:hint="eastAsia"/>
              </w:rPr>
              <w:t>185,709</w:t>
            </w:r>
          </w:p>
        </w:tc>
        <w:tc>
          <w:tcPr>
            <w:tcW w:w="1701" w:type="dxa"/>
            <w:vAlign w:val="center"/>
          </w:tcPr>
          <w:p>
            <w:pPr>
              <w:jc w:val="right"/>
              <w:rPr>
                <w:rFonts w:ascii="宋体" w:hAnsi="宋体"/>
              </w:rPr>
            </w:pPr>
            <w:r>
              <w:rPr>
                <w:rFonts w:ascii="宋体" w:hAnsi="宋体" w:hint="eastAsia"/>
              </w:rPr>
              <w:t>42,294</w:t>
            </w:r>
          </w:p>
        </w:tc>
      </w:tr>
      <w:tr>
        <w:trPr>
          <w:trHeight w:val="285"/>
        </w:trPr>
        <w:tc>
          <w:tcPr>
            <w:tcW w:w="3261" w:type="dxa"/>
            <w:vAlign w:val="center"/>
          </w:tcPr>
          <w:p>
            <w:pPr>
              <w:jc w:val="both"/>
              <w:rPr>
                <w:rFonts w:ascii="宋体" w:hAnsi="宋体"/>
              </w:rPr>
            </w:pPr>
            <w:r>
              <w:rPr>
                <w:rFonts w:ascii="宋体" w:hAnsi="宋体" w:hint="eastAsia"/>
              </w:rPr>
              <w:t>其他非流动金融资产公允价值调整</w:t>
            </w:r>
          </w:p>
        </w:tc>
        <w:tc>
          <w:tcPr>
            <w:tcW w:w="1559" w:type="dxa"/>
            <w:vAlign w:val="center"/>
          </w:tcPr>
          <w:p>
            <w:pPr>
              <w:jc w:val="right"/>
              <w:rPr>
                <w:rFonts w:ascii="宋体" w:hAnsi="宋体"/>
              </w:rPr>
            </w:pPr>
            <w:r>
              <w:rPr>
                <w:rFonts w:ascii="宋体" w:hAnsi="宋体" w:hint="eastAsia"/>
              </w:rPr>
              <w:t>29,299</w:t>
            </w:r>
          </w:p>
        </w:tc>
        <w:tc>
          <w:tcPr>
            <w:tcW w:w="1560" w:type="dxa"/>
            <w:vAlign w:val="center"/>
          </w:tcPr>
          <w:p>
            <w:pPr>
              <w:jc w:val="right"/>
              <w:rPr>
                <w:rFonts w:ascii="宋体" w:hAnsi="宋体"/>
              </w:rPr>
            </w:pPr>
            <w:r>
              <w:rPr>
                <w:rFonts w:ascii="宋体" w:hAnsi="宋体" w:hint="eastAsia"/>
              </w:rPr>
              <w:t>7,325</w:t>
            </w:r>
          </w:p>
        </w:tc>
        <w:tc>
          <w:tcPr>
            <w:tcW w:w="1559" w:type="dxa"/>
            <w:vAlign w:val="center"/>
          </w:tcPr>
          <w:p>
            <w:pPr>
              <w:jc w:val="right"/>
              <w:rPr>
                <w:rFonts w:ascii="宋体" w:hAnsi="宋体"/>
              </w:rPr>
            </w:pPr>
            <w:r>
              <w:rPr>
                <w:rFonts w:ascii="宋体" w:hAnsi="宋体" w:hint="eastAsia"/>
              </w:rPr>
              <w:t>24,538</w:t>
            </w:r>
          </w:p>
        </w:tc>
        <w:tc>
          <w:tcPr>
            <w:tcW w:w="1701" w:type="dxa"/>
            <w:vAlign w:val="center"/>
          </w:tcPr>
          <w:p>
            <w:pPr>
              <w:jc w:val="right"/>
              <w:rPr>
                <w:rFonts w:ascii="宋体" w:hAnsi="宋体"/>
              </w:rPr>
            </w:pPr>
            <w:r>
              <w:rPr>
                <w:rFonts w:ascii="宋体" w:hAnsi="宋体" w:hint="eastAsia"/>
              </w:rPr>
              <w:t>6,135</w:t>
            </w:r>
          </w:p>
        </w:tc>
      </w:tr>
      <w:tr>
        <w:trPr>
          <w:trHeight w:val="285"/>
        </w:trPr>
        <w:tc>
          <w:tcPr>
            <w:tcW w:w="3261" w:type="dxa"/>
            <w:vAlign w:val="center"/>
          </w:tcPr>
          <w:p>
            <w:pPr>
              <w:jc w:val="both"/>
              <w:rPr>
                <w:rFonts w:ascii="宋体" w:hAnsi="宋体"/>
              </w:rPr>
            </w:pPr>
            <w:r>
              <w:rPr>
                <w:rFonts w:ascii="宋体" w:hAnsi="宋体" w:hint="eastAsia"/>
              </w:rPr>
              <w:t>使用权资产</w:t>
            </w:r>
          </w:p>
        </w:tc>
        <w:tc>
          <w:tcPr>
            <w:tcW w:w="1559" w:type="dxa"/>
            <w:vAlign w:val="center"/>
          </w:tcPr>
          <w:p>
            <w:pPr>
              <w:jc w:val="right"/>
              <w:rPr>
                <w:rFonts w:ascii="宋体" w:hAnsi="宋体"/>
              </w:rPr>
            </w:pPr>
            <w:r>
              <w:rPr>
                <w:rFonts w:ascii="宋体" w:hAnsi="宋体" w:hint="eastAsia"/>
              </w:rPr>
              <w:t>65,652</w:t>
            </w:r>
          </w:p>
        </w:tc>
        <w:tc>
          <w:tcPr>
            <w:tcW w:w="1560" w:type="dxa"/>
            <w:vAlign w:val="center"/>
          </w:tcPr>
          <w:p>
            <w:pPr>
              <w:jc w:val="right"/>
              <w:rPr>
                <w:rFonts w:ascii="宋体" w:hAnsi="宋体"/>
              </w:rPr>
            </w:pPr>
            <w:r>
              <w:rPr>
                <w:rFonts w:ascii="宋体" w:hAnsi="宋体" w:hint="eastAsia"/>
              </w:rPr>
              <w:t>10,156</w:t>
            </w:r>
          </w:p>
        </w:tc>
        <w:tc>
          <w:tcPr>
            <w:tcW w:w="1559" w:type="dxa"/>
            <w:vAlign w:val="center"/>
          </w:tcPr>
          <w:p>
            <w:pPr>
              <w:jc w:val="right"/>
              <w:rPr>
                <w:rFonts w:ascii="宋体" w:hAnsi="宋体"/>
              </w:rPr>
            </w:pPr>
            <w:r>
              <w:rPr>
                <w:rFonts w:ascii="宋体" w:hAnsi="宋体" w:hint="eastAsia"/>
              </w:rPr>
              <w:t>154,652</w:t>
            </w:r>
          </w:p>
        </w:tc>
        <w:tc>
          <w:tcPr>
            <w:tcW w:w="1701" w:type="dxa"/>
            <w:vAlign w:val="center"/>
          </w:tcPr>
          <w:p>
            <w:pPr>
              <w:jc w:val="right"/>
              <w:rPr>
                <w:rFonts w:ascii="宋体" w:hAnsi="宋体"/>
              </w:rPr>
            </w:pPr>
            <w:r>
              <w:rPr>
                <w:rFonts w:ascii="宋体" w:hAnsi="宋体" w:hint="eastAsia"/>
              </w:rPr>
              <w:t>37,397</w:t>
            </w:r>
          </w:p>
        </w:tc>
      </w:tr>
      <w:tr>
        <w:trPr>
          <w:trHeight w:val="285"/>
        </w:trPr>
        <w:tc>
          <w:tcPr>
            <w:tcW w:w="3261" w:type="dxa"/>
            <w:vAlign w:val="center"/>
          </w:tcPr>
          <w:p>
            <w:pPr>
              <w:jc w:val="both"/>
              <w:rPr>
                <w:rFonts w:ascii="宋体" w:hAnsi="宋体"/>
              </w:rPr>
            </w:pPr>
            <w:r>
              <w:rPr>
                <w:rFonts w:ascii="宋体" w:hAnsi="宋体" w:hint="eastAsia"/>
              </w:rPr>
              <w:t>其他权益工具投资公允价值变动</w:t>
            </w:r>
          </w:p>
        </w:tc>
        <w:tc>
          <w:tcPr>
            <w:tcW w:w="1559" w:type="dxa"/>
            <w:vAlign w:val="center"/>
          </w:tcPr>
          <w:p>
            <w:pPr>
              <w:jc w:val="right"/>
              <w:rPr>
                <w:rFonts w:ascii="宋体" w:hAnsi="宋体"/>
              </w:rPr>
            </w:pPr>
            <w:r>
              <w:rPr>
                <w:rFonts w:ascii="宋体" w:hAnsi="宋体" w:hint="eastAsia"/>
              </w:rPr>
              <w:t>78,238</w:t>
            </w:r>
          </w:p>
        </w:tc>
        <w:tc>
          <w:tcPr>
            <w:tcW w:w="1560" w:type="dxa"/>
            <w:vAlign w:val="center"/>
          </w:tcPr>
          <w:p>
            <w:pPr>
              <w:jc w:val="right"/>
              <w:rPr>
                <w:rFonts w:ascii="宋体" w:hAnsi="宋体"/>
              </w:rPr>
            </w:pPr>
            <w:r>
              <w:rPr>
                <w:rFonts w:ascii="宋体" w:hAnsi="宋体" w:hint="eastAsia"/>
              </w:rPr>
              <w:t>14,963</w:t>
            </w:r>
          </w:p>
        </w:tc>
        <w:tc>
          <w:tcPr>
            <w:tcW w:w="1559" w:type="dxa"/>
            <w:vAlign w:val="center"/>
          </w:tcPr>
          <w:p>
            <w:pPr>
              <w:jc w:val="right"/>
              <w:rPr>
                <w:rFonts w:ascii="宋体" w:hAnsi="宋体"/>
              </w:rPr>
            </w:pPr>
            <w:r>
              <w:rPr>
                <w:rFonts w:ascii="宋体" w:hAnsi="宋体" w:hint="eastAsia"/>
              </w:rPr>
              <w:t>84,350</w:t>
            </w:r>
          </w:p>
        </w:tc>
        <w:tc>
          <w:tcPr>
            <w:tcW w:w="1701" w:type="dxa"/>
            <w:vAlign w:val="center"/>
          </w:tcPr>
          <w:p>
            <w:pPr>
              <w:jc w:val="right"/>
              <w:rPr>
                <w:rFonts w:ascii="宋体" w:hAnsi="宋体"/>
              </w:rPr>
            </w:pPr>
            <w:r>
              <w:rPr>
                <w:rFonts w:ascii="宋体" w:hAnsi="宋体" w:hint="eastAsia"/>
              </w:rPr>
              <w:t>15,864</w:t>
            </w:r>
          </w:p>
        </w:tc>
      </w:tr>
      <w:tr>
        <w:trPr>
          <w:trHeight w:val="285"/>
        </w:trPr>
        <w:tc>
          <w:tcPr>
            <w:tcW w:w="3261" w:type="dxa"/>
            <w:vAlign w:val="center"/>
          </w:tcPr>
          <w:p>
            <w:pPr>
              <w:jc w:val="both"/>
              <w:rPr>
                <w:rFonts w:ascii="宋体" w:hAnsi="宋体"/>
              </w:rPr>
            </w:pPr>
            <w:r>
              <w:rPr>
                <w:rFonts w:ascii="宋体" w:hAnsi="宋体" w:hint="eastAsia"/>
              </w:rPr>
              <w:t>其他</w:t>
            </w:r>
          </w:p>
        </w:tc>
        <w:tc>
          <w:tcPr>
            <w:tcW w:w="1559" w:type="dxa"/>
            <w:vAlign w:val="center"/>
          </w:tcPr>
          <w:p>
            <w:pPr>
              <w:jc w:val="right"/>
              <w:rPr>
                <w:rFonts w:ascii="宋体" w:hAnsi="宋体"/>
              </w:rPr>
            </w:pPr>
            <w:r>
              <w:rPr>
                <w:rFonts w:ascii="宋体" w:hAnsi="宋体" w:hint="eastAsia"/>
              </w:rPr>
              <w:t>846,416</w:t>
            </w:r>
          </w:p>
        </w:tc>
        <w:tc>
          <w:tcPr>
            <w:tcW w:w="1560" w:type="dxa"/>
            <w:vAlign w:val="center"/>
          </w:tcPr>
          <w:p>
            <w:pPr>
              <w:jc w:val="right"/>
              <w:rPr>
                <w:rFonts w:ascii="宋体" w:hAnsi="宋体"/>
              </w:rPr>
            </w:pPr>
            <w:r>
              <w:rPr>
                <w:rFonts w:ascii="宋体" w:hAnsi="宋体" w:hint="eastAsia"/>
              </w:rPr>
              <w:t>146,145</w:t>
            </w:r>
          </w:p>
        </w:tc>
        <w:tc>
          <w:tcPr>
            <w:tcW w:w="1559" w:type="dxa"/>
            <w:vAlign w:val="center"/>
          </w:tcPr>
          <w:p>
            <w:pPr>
              <w:jc w:val="right"/>
              <w:rPr>
                <w:rFonts w:ascii="宋体" w:hAnsi="宋体"/>
              </w:rPr>
            </w:pPr>
            <w:r>
              <w:rPr>
                <w:rFonts w:ascii="宋体" w:hAnsi="宋体" w:hint="eastAsia"/>
              </w:rPr>
              <w:t>1,263,241</w:t>
            </w:r>
          </w:p>
        </w:tc>
        <w:tc>
          <w:tcPr>
            <w:tcW w:w="1701" w:type="dxa"/>
            <w:vAlign w:val="center"/>
          </w:tcPr>
          <w:p>
            <w:pPr>
              <w:jc w:val="right"/>
              <w:rPr>
                <w:rFonts w:ascii="宋体" w:hAnsi="宋体"/>
              </w:rPr>
            </w:pPr>
            <w:r>
              <w:rPr>
                <w:rFonts w:ascii="宋体" w:hAnsi="宋体" w:hint="eastAsia"/>
              </w:rPr>
              <w:t>200,524</w:t>
            </w:r>
          </w:p>
        </w:tc>
      </w:tr>
      <w:tr>
        <w:trPr>
          <w:trHeight w:val="285"/>
        </w:trPr>
        <w:tc>
          <w:tcPr>
            <w:tcW w:w="3261" w:type="dxa"/>
            <w:vAlign w:val="center"/>
          </w:tcPr>
          <w:p>
            <w:pPr>
              <w:jc w:val="both"/>
              <w:rPr>
                <w:rFonts w:ascii="宋体" w:hAnsi="宋体"/>
              </w:rPr>
            </w:pPr>
            <w:r>
              <w:rPr>
                <w:rFonts w:ascii="宋体" w:hAnsi="宋体" w:hint="eastAsia"/>
              </w:rPr>
              <w:t>境外子公司：</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r>
      <w:tr>
        <w:trPr>
          <w:trHeight w:val="285"/>
        </w:trPr>
        <w:tc>
          <w:tcPr>
            <w:tcW w:w="3261" w:type="dxa"/>
            <w:vAlign w:val="center"/>
          </w:tcPr>
          <w:p>
            <w:pPr>
              <w:jc w:val="both"/>
              <w:rPr>
                <w:rFonts w:ascii="宋体" w:hAnsi="宋体"/>
              </w:rPr>
            </w:pPr>
            <w:r>
              <w:rPr>
                <w:rFonts w:ascii="宋体" w:hAnsi="宋体" w:hint="eastAsia"/>
              </w:rPr>
              <w:t>资产摊销及确认</w:t>
            </w:r>
          </w:p>
        </w:tc>
        <w:tc>
          <w:tcPr>
            <w:tcW w:w="1559" w:type="dxa"/>
            <w:vAlign w:val="center"/>
          </w:tcPr>
          <w:p>
            <w:pPr>
              <w:jc w:val="right"/>
              <w:rPr>
                <w:rFonts w:ascii="宋体" w:hAnsi="宋体"/>
              </w:rPr>
            </w:pPr>
            <w:r>
              <w:rPr>
                <w:rFonts w:ascii="宋体" w:hAnsi="宋体" w:hint="eastAsia"/>
              </w:rPr>
              <w:t>12,526,299</w:t>
            </w:r>
          </w:p>
        </w:tc>
        <w:tc>
          <w:tcPr>
            <w:tcW w:w="1560" w:type="dxa"/>
            <w:vAlign w:val="center"/>
          </w:tcPr>
          <w:p>
            <w:pPr>
              <w:jc w:val="right"/>
              <w:rPr>
                <w:rFonts w:ascii="宋体" w:hAnsi="宋体"/>
              </w:rPr>
            </w:pPr>
            <w:r>
              <w:rPr>
                <w:rFonts w:ascii="宋体" w:hAnsi="宋体" w:hint="eastAsia"/>
              </w:rPr>
              <w:t>3,754,878</w:t>
            </w:r>
          </w:p>
        </w:tc>
        <w:tc>
          <w:tcPr>
            <w:tcW w:w="1559" w:type="dxa"/>
            <w:vAlign w:val="center"/>
          </w:tcPr>
          <w:p>
            <w:pPr>
              <w:jc w:val="right"/>
              <w:rPr>
                <w:rFonts w:ascii="宋体" w:hAnsi="宋体"/>
              </w:rPr>
            </w:pPr>
            <w:r>
              <w:rPr>
                <w:rFonts w:ascii="宋体" w:hAnsi="宋体" w:hint="eastAsia"/>
              </w:rPr>
              <w:t>11,882,136</w:t>
            </w:r>
          </w:p>
        </w:tc>
        <w:tc>
          <w:tcPr>
            <w:tcW w:w="1701" w:type="dxa"/>
            <w:vAlign w:val="center"/>
          </w:tcPr>
          <w:p>
            <w:pPr>
              <w:jc w:val="right"/>
              <w:rPr>
                <w:rFonts w:ascii="宋体" w:hAnsi="宋体"/>
              </w:rPr>
            </w:pPr>
            <w:r>
              <w:rPr>
                <w:rFonts w:ascii="宋体" w:hAnsi="宋体" w:hint="eastAsia"/>
              </w:rPr>
              <w:t>3,564,641</w:t>
            </w:r>
          </w:p>
        </w:tc>
      </w:tr>
      <w:tr>
        <w:trPr>
          <w:trHeight w:val="285"/>
        </w:trPr>
        <w:tc>
          <w:tcPr>
            <w:tcW w:w="3261" w:type="dxa"/>
            <w:vAlign w:val="center"/>
          </w:tcPr>
          <w:p>
            <w:pPr>
              <w:jc w:val="both"/>
              <w:rPr>
                <w:rFonts w:ascii="宋体" w:hAnsi="宋体"/>
              </w:rPr>
            </w:pPr>
            <w:r>
              <w:rPr>
                <w:rFonts w:ascii="宋体" w:hAnsi="宋体" w:hint="eastAsia"/>
              </w:rPr>
              <w:t>未实现外汇损益</w:t>
            </w:r>
          </w:p>
        </w:tc>
        <w:tc>
          <w:tcPr>
            <w:tcW w:w="1559" w:type="dxa"/>
            <w:vAlign w:val="center"/>
          </w:tcPr>
          <w:p>
            <w:pPr>
              <w:jc w:val="right"/>
              <w:rPr>
                <w:rFonts w:ascii="宋体" w:hAnsi="宋体"/>
              </w:rPr>
            </w:pPr>
            <w:r>
              <w:rPr>
                <w:rFonts w:ascii="宋体" w:hAnsi="宋体" w:hint="eastAsia"/>
              </w:rPr>
              <w:t>1,005,318</w:t>
            </w:r>
          </w:p>
        </w:tc>
        <w:tc>
          <w:tcPr>
            <w:tcW w:w="1560" w:type="dxa"/>
            <w:vAlign w:val="center"/>
          </w:tcPr>
          <w:p>
            <w:pPr>
              <w:jc w:val="right"/>
              <w:rPr>
                <w:rFonts w:ascii="宋体" w:hAnsi="宋体"/>
              </w:rPr>
            </w:pPr>
            <w:r>
              <w:rPr>
                <w:rFonts w:ascii="宋体" w:hAnsi="宋体" w:hint="eastAsia"/>
              </w:rPr>
              <w:t>301,595</w:t>
            </w:r>
          </w:p>
        </w:tc>
        <w:tc>
          <w:tcPr>
            <w:tcW w:w="1559" w:type="dxa"/>
            <w:vAlign w:val="center"/>
          </w:tcPr>
          <w:p>
            <w:pPr>
              <w:jc w:val="right"/>
              <w:rPr>
                <w:rFonts w:ascii="宋体" w:hAnsi="宋体"/>
              </w:rPr>
            </w:pPr>
            <w:r>
              <w:rPr>
                <w:rFonts w:ascii="宋体" w:hAnsi="宋体" w:hint="eastAsia"/>
              </w:rPr>
              <w:t>1,360,343</w:t>
            </w:r>
          </w:p>
        </w:tc>
        <w:tc>
          <w:tcPr>
            <w:tcW w:w="1701" w:type="dxa"/>
            <w:vAlign w:val="center"/>
          </w:tcPr>
          <w:p>
            <w:pPr>
              <w:jc w:val="right"/>
              <w:rPr>
                <w:rFonts w:ascii="宋体" w:hAnsi="宋体"/>
              </w:rPr>
            </w:pPr>
            <w:r>
              <w:rPr>
                <w:rFonts w:ascii="宋体" w:hAnsi="宋体" w:hint="eastAsia"/>
              </w:rPr>
              <w:t>408,103</w:t>
            </w:r>
          </w:p>
        </w:tc>
      </w:tr>
      <w:tr>
        <w:trPr>
          <w:trHeight w:val="285"/>
        </w:trPr>
        <w:tc>
          <w:tcPr>
            <w:tcW w:w="3261" w:type="dxa"/>
            <w:vAlign w:val="center"/>
          </w:tcPr>
          <w:p>
            <w:pPr>
              <w:jc w:val="both"/>
              <w:rPr>
                <w:rFonts w:ascii="宋体" w:hAnsi="宋体"/>
              </w:rPr>
            </w:pPr>
            <w:r>
              <w:rPr>
                <w:rFonts w:ascii="宋体" w:hAnsi="宋体" w:hint="eastAsia"/>
              </w:rPr>
              <w:t>其他</w:t>
            </w:r>
          </w:p>
        </w:tc>
        <w:tc>
          <w:tcPr>
            <w:tcW w:w="1559" w:type="dxa"/>
            <w:vAlign w:val="center"/>
          </w:tcPr>
          <w:p>
            <w:pPr>
              <w:jc w:val="right"/>
              <w:rPr>
                <w:rFonts w:ascii="宋体" w:hAnsi="宋体"/>
              </w:rPr>
            </w:pPr>
            <w:r>
              <w:rPr>
                <w:rFonts w:ascii="宋体" w:hAnsi="宋体" w:hint="eastAsia"/>
              </w:rPr>
              <w:t>906,025</w:t>
            </w:r>
          </w:p>
        </w:tc>
        <w:tc>
          <w:tcPr>
            <w:tcW w:w="1560" w:type="dxa"/>
            <w:vAlign w:val="center"/>
          </w:tcPr>
          <w:p>
            <w:pPr>
              <w:jc w:val="right"/>
              <w:rPr>
                <w:rFonts w:ascii="宋体" w:hAnsi="宋体"/>
              </w:rPr>
            </w:pPr>
            <w:r>
              <w:rPr>
                <w:rFonts w:ascii="宋体" w:hAnsi="宋体" w:hint="eastAsia"/>
              </w:rPr>
              <w:t>272,696</w:t>
            </w:r>
          </w:p>
        </w:tc>
        <w:tc>
          <w:tcPr>
            <w:tcW w:w="1559" w:type="dxa"/>
            <w:vAlign w:val="center"/>
          </w:tcPr>
          <w:p>
            <w:pPr>
              <w:jc w:val="right"/>
              <w:rPr>
                <w:rFonts w:ascii="宋体" w:hAnsi="宋体"/>
              </w:rPr>
            </w:pPr>
            <w:r>
              <w:rPr>
                <w:rFonts w:ascii="宋体" w:hAnsi="宋体" w:hint="eastAsia"/>
              </w:rPr>
              <w:t>846,783</w:t>
            </w:r>
          </w:p>
        </w:tc>
        <w:tc>
          <w:tcPr>
            <w:tcW w:w="1701" w:type="dxa"/>
            <w:vAlign w:val="center"/>
          </w:tcPr>
          <w:p>
            <w:pPr>
              <w:jc w:val="right"/>
              <w:rPr>
                <w:rFonts w:ascii="宋体" w:hAnsi="宋体"/>
              </w:rPr>
            </w:pPr>
            <w:r>
              <w:rPr>
                <w:rFonts w:ascii="宋体" w:hAnsi="宋体" w:hint="eastAsia"/>
              </w:rPr>
              <w:t>254,431</w:t>
            </w:r>
          </w:p>
        </w:tc>
      </w:tr>
      <w:tr>
        <w:trPr>
          <w:trHeight w:val="285"/>
        </w:trPr>
        <w:tc>
          <w:tcPr>
            <w:tcW w:w="3261" w:type="dxa"/>
            <w:vAlign w:val="center"/>
          </w:tcPr>
          <w:p>
            <w:pPr>
              <w:jc w:val="center"/>
            </w:pPr>
            <w:r>
              <w:rPr>
                <w:rFonts w:hint="eastAsia"/>
              </w:rPr>
              <w:t>合计</w:t>
            </w:r>
          </w:p>
        </w:tc>
        <w:tc>
          <w:tcPr>
            <w:tcW w:w="1559" w:type="dxa"/>
          </w:tcPr>
          <w:p>
            <w:pPr>
              <w:jc w:val="right"/>
              <w:rPr>
                <w:rFonts w:ascii="宋体" w:hAnsi="宋体"/>
              </w:rPr>
            </w:pPr>
            <w:r>
              <w:rPr>
                <w:rFonts w:ascii="宋体" w:hAnsi="宋体" w:hint="eastAsia"/>
              </w:rPr>
              <w:t>54,548,202</w:t>
            </w:r>
          </w:p>
        </w:tc>
        <w:tc>
          <w:tcPr>
            <w:tcW w:w="1560" w:type="dxa"/>
          </w:tcPr>
          <w:p>
            <w:pPr>
              <w:jc w:val="right"/>
              <w:rPr>
                <w:rFonts w:ascii="宋体" w:hAnsi="宋体"/>
              </w:rPr>
            </w:pPr>
            <w:r>
              <w:rPr>
                <w:rFonts w:ascii="宋体" w:hAnsi="宋体"/>
              </w:rPr>
              <w:t>13,618,689</w:t>
            </w:r>
          </w:p>
        </w:tc>
        <w:tc>
          <w:tcPr>
            <w:tcW w:w="1559" w:type="dxa"/>
          </w:tcPr>
          <w:p>
            <w:pPr>
              <w:jc w:val="right"/>
              <w:rPr>
                <w:rFonts w:ascii="宋体" w:hAnsi="宋体"/>
              </w:rPr>
            </w:pPr>
            <w:r>
              <w:rPr>
                <w:rFonts w:ascii="宋体" w:hAnsi="宋体"/>
              </w:rPr>
              <w:t>54,592,202</w:t>
            </w:r>
          </w:p>
        </w:tc>
        <w:tc>
          <w:tcPr>
            <w:tcW w:w="1701" w:type="dxa"/>
          </w:tcPr>
          <w:p>
            <w:pPr>
              <w:jc w:val="right"/>
              <w:rPr>
                <w:rFonts w:ascii="宋体" w:hAnsi="宋体"/>
              </w:rPr>
            </w:pPr>
            <w:r>
              <w:rPr>
                <w:rFonts w:ascii="宋体" w:hAnsi="宋体"/>
              </w:rPr>
              <w:t>13,642,061</w:t>
            </w:r>
          </w:p>
        </w:tc>
      </w:tr>
    </w:tbl>
    <w:p>
      <w:pPr>
        <w:pStyle w:val="Style217"/>
      </w:pPr>
    </w:p>
    <w:p>
      <w:pPr>
        <w:pStyle w:val="Style179"/>
      </w:pPr>
      <w:r>
        <w:rPr>
          <w:rFonts w:hint="eastAsia"/>
        </w:rPr>
        <w:t>（3）以抵销后净额列示的递延所得税资产或负债</w:t>
      </w:r>
    </w:p>
    <w:sdt>
      <w:sdtPr>
        <w:alias w:val="是否适用：以抵销后净额列示的递延所得税资产或负债[双击切换]"/>
        <w:tag w:val="_GBC_adbd88aca1694de2a14c265a3fb12290"/>
        <w:id w:val="23082747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wordWrap w:val="0"/>
        <w:jc w:val="right"/>
      </w:pPr>
      <w:r>
        <w:rPr>
          <w:rFonts w:hint="eastAsia"/>
        </w:rPr>
        <w:t>单位：</w:t>
      </w:r>
      <w:sdt>
        <w:sdtPr>
          <w:rPr>
            <w:rFonts w:hint="eastAsia"/>
          </w:rPr>
          <w:alias w:val="单位：财务附注：互抵后的递延所得税资产及负债的组成项目"/>
          <w:tag w:val="_GBC_2b339a7e526d4061aa348bb358a09881"/>
          <w:id w:val="-15936156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互抵后的递延所得税资产及负债的组成项目"/>
          <w:tag w:val="_GBC_e04e01fedf4a42b48978284d31c493e1"/>
          <w:id w:val="-8985926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1675"/>
        <w:gridCol w:w="1662"/>
        <w:gridCol w:w="1688"/>
        <w:gridCol w:w="1660"/>
      </w:tblGrid>
      <w:tr>
        <w:sdt>
          <w:sdtPr>
            <w:tag w:val="_PLD_9e50bf23f9ed49bdabf6012766e0349d"/>
            <w:id w:val="622115757"/>
          </w:sdtPr>
          <w:sdtContent>
            <w:tc>
              <w:tcPr>
                <w:tcW w:w="2363" w:type="dxa"/>
                <w:vMerge w:val="restart"/>
                <w:vAlign w:val="center"/>
              </w:tcPr>
              <w:p>
                <w:pPr>
                  <w:jc w:val="center"/>
                  <w:rPr>
                    <w:color w:val="000000" w:themeColor="text1"/>
                  </w:rPr>
                </w:pPr>
                <w:r>
                  <w:rPr>
                    <w:rFonts w:hint="eastAsia"/>
                    <w:color w:val="000000" w:themeColor="text1"/>
                  </w:rPr>
                  <w:t>项目</w:t>
                </w:r>
              </w:p>
            </w:tc>
          </w:sdtContent>
        </w:sdt>
        <w:sdt>
          <w:sdtPr>
            <w:tag w:val="_PLD_033e4a11ede747529f4c3efd9b18ad19"/>
            <w:id w:val="925852257"/>
          </w:sdtPr>
          <w:sdtContent>
            <w:tc>
              <w:tcPr>
                <w:tcW w:w="3337" w:type="dxa"/>
                <w:gridSpan w:val="2"/>
                <w:tcBorders>
                  <w:bottom w:val="single" w:sz="4" w:space="0" w:color="auto"/>
                </w:tcBorders>
                <w:vAlign w:val="center"/>
              </w:tcPr>
              <w:p>
                <w:pPr>
                  <w:jc w:val="center"/>
                  <w:rPr>
                    <w:color w:val="000000" w:themeColor="text1"/>
                  </w:rPr>
                </w:pPr>
                <w:r>
                  <w:rPr>
                    <w:rFonts w:hint="eastAsia"/>
                    <w:color w:val="000000" w:themeColor="text1"/>
                  </w:rPr>
                  <w:t>期末余额</w:t>
                </w:r>
              </w:p>
            </w:tc>
          </w:sdtContent>
        </w:sdt>
        <w:sdt>
          <w:sdtPr>
            <w:tag w:val="_PLD_a00f6a5b3eb54004b4aa3da029c2612c"/>
            <w:id w:val="-1946916165"/>
          </w:sdtPr>
          <w:sdtContent>
            <w:tc>
              <w:tcPr>
                <w:tcW w:w="3348" w:type="dxa"/>
                <w:gridSpan w:val="2"/>
                <w:tcBorders>
                  <w:bottom w:val="single" w:sz="4" w:space="0" w:color="auto"/>
                </w:tcBorders>
                <w:vAlign w:val="center"/>
              </w:tcPr>
              <w:p>
                <w:pPr>
                  <w:jc w:val="center"/>
                  <w:rPr>
                    <w:color w:val="000000" w:themeColor="text1"/>
                  </w:rPr>
                </w:pPr>
                <w:r>
                  <w:rPr>
                    <w:rFonts w:hint="eastAsia"/>
                    <w:color w:val="000000" w:themeColor="text1"/>
                  </w:rPr>
                  <w:t>期初余额</w:t>
                </w:r>
              </w:p>
            </w:tc>
          </w:sdtContent>
        </w:sdt>
      </w:tr>
      <w:tr>
        <w:tc>
          <w:tcPr>
            <w:tcW w:w="2363" w:type="dxa"/>
            <w:vMerge/>
            <w:tcBorders>
              <w:bottom w:val="single" w:sz="4" w:space="0" w:color="auto"/>
            </w:tcBorders>
            <w:vAlign w:val="center"/>
          </w:tcPr>
          <w:p>
            <w:pPr>
              <w:jc w:val="center"/>
              <w:rPr>
                <w:color w:val="000000" w:themeColor="text1"/>
              </w:rPr>
            </w:pPr>
          </w:p>
        </w:tc>
        <w:sdt>
          <w:sdtPr>
            <w:tag w:val="_PLD_835762c7fddb43d1a6ee9ee15b40521d"/>
            <w:id w:val="-244195152"/>
          </w:sdtPr>
          <w:sdtContent>
            <w:tc>
              <w:tcPr>
                <w:tcW w:w="1675" w:type="dxa"/>
                <w:tcBorders>
                  <w:bottom w:val="single" w:sz="4" w:space="0" w:color="auto"/>
                </w:tcBorders>
                <w:vAlign w:val="center"/>
              </w:tcPr>
              <w:p>
                <w:pPr>
                  <w:jc w:val="center"/>
                  <w:rPr>
                    <w:color w:val="000000" w:themeColor="text1"/>
                  </w:rPr>
                </w:pPr>
                <w:r>
                  <w:rPr>
                    <w:rFonts w:hint="eastAsia"/>
                    <w:color w:val="000000" w:themeColor="text1"/>
                  </w:rPr>
                  <w:t>递延所得税资产和负债互抵金额</w:t>
                </w:r>
              </w:p>
            </w:tc>
          </w:sdtContent>
        </w:sdt>
        <w:sdt>
          <w:sdtPr>
            <w:tag w:val="_PLD_6793eabf083041e98d636c9fc0412fec"/>
            <w:id w:val="498090490"/>
          </w:sdtPr>
          <w:sdtContent>
            <w:tc>
              <w:tcPr>
                <w:tcW w:w="1662" w:type="dxa"/>
                <w:tcBorders>
                  <w:bottom w:val="single" w:sz="4" w:space="0" w:color="auto"/>
                </w:tcBorders>
                <w:vAlign w:val="center"/>
              </w:tcPr>
              <w:p>
                <w:pPr>
                  <w:jc w:val="center"/>
                  <w:rPr>
                    <w:color w:val="000000" w:themeColor="text1"/>
                  </w:rPr>
                </w:pPr>
                <w:r>
                  <w:rPr>
                    <w:rFonts w:hint="eastAsia"/>
                    <w:color w:val="000000" w:themeColor="text1"/>
                  </w:rPr>
                  <w:t>抵销后递延所得税资产或负债余额</w:t>
                </w:r>
              </w:p>
            </w:tc>
          </w:sdtContent>
        </w:sdt>
        <w:sdt>
          <w:sdtPr>
            <w:tag w:val="_PLD_b196310238c944bc97a27f77dab5da31"/>
            <w:id w:val="1756318816"/>
          </w:sdtPr>
          <w:sdtContent>
            <w:tc>
              <w:tcPr>
                <w:tcW w:w="1688" w:type="dxa"/>
                <w:tcBorders>
                  <w:bottom w:val="single" w:sz="4" w:space="0" w:color="auto"/>
                </w:tcBorders>
                <w:vAlign w:val="center"/>
              </w:tcPr>
              <w:p>
                <w:pPr>
                  <w:jc w:val="center"/>
                  <w:rPr>
                    <w:color w:val="000000" w:themeColor="text1"/>
                  </w:rPr>
                </w:pPr>
                <w:r>
                  <w:rPr>
                    <w:rFonts w:hint="eastAsia"/>
                    <w:color w:val="000000" w:themeColor="text1"/>
                  </w:rPr>
                  <w:t>递延所得税资产和负债互抵金额</w:t>
                </w:r>
              </w:p>
            </w:tc>
          </w:sdtContent>
        </w:sdt>
        <w:sdt>
          <w:sdtPr>
            <w:tag w:val="_PLD_c3aebf3cf2194ddf933aa14ffbbfd279"/>
            <w:id w:val="1102001934"/>
          </w:sdtPr>
          <w:sdtContent>
            <w:tc>
              <w:tcPr>
                <w:tcW w:w="1660" w:type="dxa"/>
                <w:tcBorders>
                  <w:bottom w:val="single" w:sz="4" w:space="0" w:color="auto"/>
                </w:tcBorders>
                <w:vAlign w:val="center"/>
              </w:tcPr>
              <w:p>
                <w:pPr>
                  <w:jc w:val="center"/>
                  <w:rPr>
                    <w:color w:val="000000" w:themeColor="text1"/>
                  </w:rPr>
                </w:pPr>
                <w:r>
                  <w:rPr>
                    <w:rFonts w:hint="eastAsia"/>
                    <w:color w:val="000000" w:themeColor="text1"/>
                  </w:rPr>
                  <w:t>抵销后递延所得税资产或负债余额</w:t>
                </w:r>
              </w:p>
            </w:tc>
          </w:sdtContent>
        </w:sdt>
      </w:tr>
      <w:tr>
        <w:tc>
          <w:tcPr>
            <w:tcW w:w="2363" w:type="dxa"/>
            <w:vAlign w:val="center"/>
          </w:tcPr>
          <w:p>
            <w:pPr>
              <w:rPr>
                <w:color w:val="000000" w:themeColor="text1"/>
              </w:rPr>
            </w:pPr>
            <w:bookmarkStart w:id="480" w:name="_Hlk200964296"/>
            <w:r>
              <w:rPr>
                <w:rFonts w:hint="eastAsia"/>
                <w:color w:val="000000" w:themeColor="text1"/>
              </w:rPr>
              <w:t>递延所得税资产</w:t>
            </w:r>
          </w:p>
        </w:tc>
        <w:tc>
          <w:tcPr>
            <w:tcW w:w="1675" w:type="dxa"/>
            <w:vAlign w:val="center"/>
          </w:tcPr>
          <w:p>
            <w:pPr>
              <w:jc w:val="right"/>
              <w:rPr>
                <w:rFonts w:ascii="宋体" w:hAnsi="宋体"/>
              </w:rPr>
            </w:pPr>
            <w:r>
              <w:rPr>
                <w:rFonts w:ascii="宋体" w:hAnsi="宋体"/>
              </w:rPr>
              <w:t>3,037,869</w:t>
            </w:r>
          </w:p>
        </w:tc>
        <w:tc>
          <w:tcPr>
            <w:tcW w:w="1662" w:type="dxa"/>
            <w:vAlign w:val="center"/>
          </w:tcPr>
          <w:p>
            <w:pPr>
              <w:jc w:val="right"/>
              <w:rPr>
                <w:rFonts w:ascii="宋体" w:hAnsi="宋体"/>
              </w:rPr>
            </w:pPr>
            <w:r>
              <w:rPr>
                <w:rFonts w:ascii="宋体" w:hAnsi="宋体"/>
              </w:rPr>
              <w:t>5,461,913</w:t>
            </w:r>
          </w:p>
        </w:tc>
        <w:tc>
          <w:tcPr>
            <w:tcW w:w="1688" w:type="dxa"/>
            <w:vAlign w:val="center"/>
          </w:tcPr>
          <w:p>
            <w:pPr>
              <w:jc w:val="right"/>
              <w:rPr>
                <w:rFonts w:ascii="宋体" w:hAnsi="宋体"/>
              </w:rPr>
            </w:pPr>
            <w:r>
              <w:rPr>
                <w:rFonts w:ascii="宋体" w:hAnsi="宋体"/>
              </w:rPr>
              <w:t>2,754,913</w:t>
            </w:r>
          </w:p>
        </w:tc>
        <w:tc>
          <w:tcPr>
            <w:tcW w:w="1660" w:type="dxa"/>
            <w:vAlign w:val="center"/>
          </w:tcPr>
          <w:p>
            <w:pPr>
              <w:jc w:val="right"/>
              <w:rPr>
                <w:rFonts w:ascii="宋体" w:hAnsi="宋体"/>
              </w:rPr>
            </w:pPr>
            <w:r>
              <w:rPr>
                <w:rFonts w:ascii="宋体" w:hAnsi="宋体"/>
              </w:rPr>
              <w:t>5,571,935</w:t>
            </w:r>
          </w:p>
        </w:tc>
      </w:tr>
      <w:tr>
        <w:tc>
          <w:tcPr>
            <w:tcW w:w="2363" w:type="dxa"/>
            <w:vAlign w:val="center"/>
          </w:tcPr>
          <w:p>
            <w:pPr>
              <w:rPr>
                <w:color w:val="000000" w:themeColor="text1"/>
              </w:rPr>
            </w:pPr>
            <w:r>
              <w:rPr>
                <w:rFonts w:hint="eastAsia"/>
                <w:color w:val="000000" w:themeColor="text1"/>
              </w:rPr>
              <w:t>递延所得税负债</w:t>
            </w:r>
          </w:p>
        </w:tc>
        <w:tc>
          <w:tcPr>
            <w:tcW w:w="1675" w:type="dxa"/>
            <w:vAlign w:val="center"/>
          </w:tcPr>
          <w:p>
            <w:pPr>
              <w:jc w:val="right"/>
              <w:rPr>
                <w:rFonts w:ascii="宋体" w:hAnsi="宋体"/>
              </w:rPr>
            </w:pPr>
            <w:r>
              <w:rPr>
                <w:rFonts w:ascii="宋体" w:hAnsi="宋体"/>
              </w:rPr>
              <w:t>3,037,869</w:t>
            </w:r>
          </w:p>
        </w:tc>
        <w:tc>
          <w:tcPr>
            <w:tcW w:w="1662" w:type="dxa"/>
            <w:vAlign w:val="center"/>
          </w:tcPr>
          <w:p>
            <w:pPr>
              <w:jc w:val="right"/>
              <w:rPr>
                <w:rFonts w:ascii="宋体" w:hAnsi="宋体"/>
              </w:rPr>
            </w:pPr>
            <w:r>
              <w:rPr>
                <w:rFonts w:ascii="宋体" w:hAnsi="宋体"/>
              </w:rPr>
              <w:t>10,580,820</w:t>
            </w:r>
          </w:p>
        </w:tc>
        <w:tc>
          <w:tcPr>
            <w:tcW w:w="1688" w:type="dxa"/>
            <w:vAlign w:val="center"/>
          </w:tcPr>
          <w:p>
            <w:pPr>
              <w:jc w:val="right"/>
              <w:rPr>
                <w:rFonts w:ascii="宋体" w:hAnsi="宋体"/>
              </w:rPr>
            </w:pPr>
            <w:r>
              <w:rPr>
                <w:rFonts w:ascii="宋体" w:hAnsi="宋体"/>
              </w:rPr>
              <w:t>2,754,913</w:t>
            </w:r>
          </w:p>
        </w:tc>
        <w:tc>
          <w:tcPr>
            <w:tcW w:w="1660" w:type="dxa"/>
            <w:vAlign w:val="center"/>
          </w:tcPr>
          <w:p>
            <w:pPr>
              <w:jc w:val="right"/>
              <w:rPr>
                <w:rFonts w:ascii="宋体" w:hAnsi="宋体"/>
              </w:rPr>
            </w:pPr>
            <w:r>
              <w:rPr>
                <w:rFonts w:ascii="宋体" w:hAnsi="宋体"/>
              </w:rPr>
              <w:t>10,887,148</w:t>
            </w:r>
          </w:p>
        </w:tc>
      </w:tr>
      <w:bookmarkEnd w:id="480"/>
    </w:tbl>
    <w:p>
      <w:pPr>
        <w:pStyle w:val="Style217"/>
      </w:pPr>
    </w:p>
    <w:p>
      <w:pPr>
        <w:pStyle w:val="Style2061"/>
        <w:spacing w:after="120"/>
        <w:rPr>
          <w:sz w:val="21"/>
          <w:szCs w:val="21"/>
        </w:rPr>
      </w:pPr>
      <w:r>
        <w:rPr>
          <w:sz w:val="21"/>
          <w:szCs w:val="21"/>
        </w:rPr>
        <w:t>注：本集团之澳洲地区子公司分别属于两个纳税集团，经批准，于202</w:t>
      </w:r>
      <w:r>
        <w:rPr>
          <w:rFonts w:hint="eastAsia"/>
          <w:sz w:val="21"/>
          <w:szCs w:val="21"/>
        </w:rPr>
        <w:t>5</w:t>
      </w:r>
      <w:r>
        <w:rPr>
          <w:sz w:val="21"/>
          <w:szCs w:val="21"/>
        </w:rPr>
        <w:t>年12月31日，抵销递延所得税资产和递延所得税负债3,037,869千元。</w:t>
      </w:r>
    </w:p>
    <w:p>
      <w:pPr>
        <w:pStyle w:val="Style217"/>
      </w:pPr>
    </w:p>
    <w:p>
      <w:pPr>
        <w:pStyle w:val="Style179"/>
      </w:pPr>
      <w:r>
        <w:rPr>
          <w:rFonts w:hint="eastAsia"/>
        </w:rPr>
        <w:t>（4）未确认递延所得税资产明细</w:t>
      </w:r>
    </w:p>
    <w:sdt>
      <w:sdtPr>
        <w:alias w:val="是否适用：未确认递延所得税资产明细[双击切换]"/>
        <w:tag w:val="_GBC_713996bf5e4d4c6988835fbf892c5ef2"/>
        <w:id w:val="150609888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pPr>
      <w:r>
        <w:rPr>
          <w:rFonts w:hint="eastAsia"/>
        </w:rPr>
        <w:t>（5）未确认递延所得税资产的可抵扣亏损将于以下年度到期</w:t>
      </w:r>
    </w:p>
    <w:sdt>
      <w:sdtPr>
        <w:alias w:val="是否适用：未确认递延所得税资产的可抵扣亏损将于以下年度到期[双击切换]"/>
        <w:tag w:val="_GBC_961c987bdb6e4a53ad2e7713648fd02b"/>
        <w:id w:val="-121088108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FF00FF"/>
        </w:rPr>
      </w:pPr>
    </w:p>
    <w:bookmarkEnd w:id="479"/>
    <w:p>
      <w:pPr>
        <w:pStyle w:val="Style217"/>
      </w:pPr>
      <w:r>
        <w:rPr>
          <w:rFonts w:hint="eastAsia"/>
        </w:rPr>
        <w:t>其他说明：</w:t>
      </w:r>
    </w:p>
    <w:sdt>
      <w:sdtPr>
        <w:alias w:val="是否适用：递延所得税资产和递延所得税负债的说明[双击切换]"/>
        <w:tag w:val="_GBC_7f4fae30d73847918bda2bbfa91008fe"/>
        <w:id w:val="64101578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bookmarkStart w:id="481" w:name="_Hlk533670093"/>
      <w:r>
        <w:rPr>
          <w:szCs w:val="21"/>
        </w:rPr>
        <w:t>其他非流动资产</w:t>
      </w:r>
    </w:p>
    <w:sdt>
      <w:sdtPr>
        <w:alias w:val="是否适用：其他非流动资产[双击切换]"/>
        <w:tag w:val="_GBC_a847828a70d64218a7f8a07dc593d18b"/>
        <w:id w:val="138806873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alias w:val="单位：财务附注：其他非流动资产"/>
          <w:tag w:val="_GBC_7c7ae7cee25948deb399f93e000e5ba2"/>
          <w:id w:val="-19186972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其他非流动资产"/>
          <w:tag w:val="_GBC_b449fdd4941b4ff8a1bda3449b257e1d"/>
          <w:id w:val="-17582121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127"/>
        <w:gridCol w:w="1418"/>
        <w:gridCol w:w="1134"/>
        <w:gridCol w:w="1417"/>
        <w:gridCol w:w="1276"/>
        <w:gridCol w:w="1134"/>
        <w:gridCol w:w="1417"/>
      </w:tblGrid>
      <w:tr>
        <w:sdt>
          <w:sdtPr>
            <w:tag w:val="_PLD_2b90e6e62acc45b288941c3eec3d8d88"/>
            <w:id w:val="-1014310181"/>
          </w:sdtPr>
          <w:sdtContent>
            <w:tc>
              <w:tcPr>
                <w:tcW w:w="2127" w:type="dxa"/>
                <w:vMerge w:val="restart"/>
                <w:vAlign w:val="center"/>
              </w:tcPr>
              <w:p>
                <w:pPr>
                  <w:jc w:val="center"/>
                </w:pPr>
                <w:r>
                  <w:rPr>
                    <w:rFonts w:hint="eastAsia"/>
                  </w:rPr>
                  <w:t>项目</w:t>
                </w:r>
              </w:p>
            </w:tc>
          </w:sdtContent>
        </w:sdt>
        <w:sdt>
          <w:sdtPr>
            <w:tag w:val="_PLD_bb07270ad4df4c0f94d4e0af019ab46c"/>
            <w:id w:val="1740431219"/>
          </w:sdtPr>
          <w:sdtContent>
            <w:tc>
              <w:tcPr>
                <w:tcW w:w="3969" w:type="dxa"/>
                <w:gridSpan w:val="3"/>
                <w:vAlign w:val="center"/>
              </w:tcPr>
              <w:p>
                <w:pPr>
                  <w:jc w:val="center"/>
                </w:pPr>
                <w:r>
                  <w:rPr>
                    <w:rFonts w:hint="eastAsia"/>
                  </w:rPr>
                  <w:t>期末余额</w:t>
                </w:r>
              </w:p>
            </w:tc>
          </w:sdtContent>
        </w:sdt>
        <w:sdt>
          <w:sdtPr>
            <w:tag w:val="_PLD_7a3b43a9fc7d404ca5a79aa8f44f7452"/>
            <w:id w:val="-1176108751"/>
          </w:sdtPr>
          <w:sdtContent>
            <w:tc>
              <w:tcPr>
                <w:tcW w:w="3827" w:type="dxa"/>
                <w:gridSpan w:val="3"/>
                <w:vAlign w:val="center"/>
              </w:tcPr>
              <w:p>
                <w:pPr>
                  <w:jc w:val="center"/>
                </w:pPr>
                <w:r>
                  <w:rPr>
                    <w:rFonts w:hint="eastAsia"/>
                  </w:rPr>
                  <w:t>期初余额</w:t>
                </w:r>
              </w:p>
            </w:tc>
          </w:sdtContent>
        </w:sdt>
      </w:tr>
      <w:tr>
        <w:tc>
          <w:tcPr>
            <w:tcW w:w="2127" w:type="dxa"/>
            <w:vMerge/>
            <w:vAlign w:val="center"/>
          </w:tcPr>
          <w:p>
            <w:pPr>
              <w:jc w:val="center"/>
            </w:pPr>
          </w:p>
        </w:tc>
        <w:tc>
          <w:tcPr>
            <w:tcW w:w="1418" w:type="dxa"/>
            <w:vAlign w:val="center"/>
          </w:tcPr>
          <w:sdt>
            <w:sdtPr>
              <w:tag w:val="_PLD_eaca5bccdac9417999d4d9af7ad1eefe"/>
              <w:id w:val="283620293"/>
            </w:sdtPr>
            <w:sdtContent>
              <w:p>
                <w:pPr>
                  <w:jc w:val="center"/>
                </w:pPr>
                <w:r>
                  <w:rPr>
                    <w:rFonts w:hint="eastAsia"/>
                  </w:rPr>
                  <w:t>账面余额</w:t>
                </w:r>
              </w:p>
            </w:sdtContent>
          </w:sdt>
        </w:tc>
        <w:tc>
          <w:tcPr>
            <w:tcW w:w="1134" w:type="dxa"/>
            <w:vAlign w:val="center"/>
          </w:tcPr>
          <w:sdt>
            <w:sdtPr>
              <w:tag w:val="_PLD_b913601a6f0c496ba876b57f7e93b40e"/>
              <w:id w:val="-202256436"/>
            </w:sdtPr>
            <w:sdtContent>
              <w:p>
                <w:pPr>
                  <w:jc w:val="center"/>
                </w:pPr>
                <w:r>
                  <w:t>减值准备</w:t>
                </w:r>
              </w:p>
            </w:sdtContent>
          </w:sdt>
        </w:tc>
        <w:tc>
          <w:tcPr>
            <w:tcW w:w="1417" w:type="dxa"/>
            <w:vAlign w:val="center"/>
          </w:tcPr>
          <w:sdt>
            <w:sdtPr>
              <w:tag w:val="_PLD_22318356783c413ba8286ddb8d1cda63"/>
              <w:id w:val="887844063"/>
            </w:sdtPr>
            <w:sdtContent>
              <w:p>
                <w:pPr>
                  <w:jc w:val="center"/>
                </w:pPr>
                <w:r>
                  <w:t>账面价值</w:t>
                </w:r>
              </w:p>
            </w:sdtContent>
          </w:sdt>
        </w:tc>
        <w:tc>
          <w:tcPr>
            <w:tcW w:w="1276" w:type="dxa"/>
            <w:vAlign w:val="center"/>
          </w:tcPr>
          <w:sdt>
            <w:sdtPr>
              <w:tag w:val="_PLD_0c6f94cdfaf1457fa98b2252d3b39131"/>
              <w:id w:val="-29186262"/>
            </w:sdtPr>
            <w:sdtContent>
              <w:p>
                <w:pPr>
                  <w:jc w:val="center"/>
                </w:pPr>
                <w:r>
                  <w:t>账面余额</w:t>
                </w:r>
              </w:p>
            </w:sdtContent>
          </w:sdt>
        </w:tc>
        <w:tc>
          <w:tcPr>
            <w:tcW w:w="1134" w:type="dxa"/>
            <w:vAlign w:val="center"/>
          </w:tcPr>
          <w:sdt>
            <w:sdtPr>
              <w:tag w:val="_PLD_9d7969af67514b9e93b62156119189b9"/>
              <w:id w:val="1682007637"/>
            </w:sdtPr>
            <w:sdtContent>
              <w:p>
                <w:pPr>
                  <w:jc w:val="center"/>
                </w:pPr>
                <w:r>
                  <w:t>减值准备</w:t>
                </w:r>
              </w:p>
            </w:sdtContent>
          </w:sdt>
        </w:tc>
        <w:tc>
          <w:tcPr>
            <w:tcW w:w="1417" w:type="dxa"/>
            <w:vAlign w:val="center"/>
          </w:tcPr>
          <w:sdt>
            <w:sdtPr>
              <w:tag w:val="_PLD_9c8736640ddf4dc897f3c30fb690ab09"/>
              <w:id w:val="390543756"/>
            </w:sdtPr>
            <w:sdtContent>
              <w:p>
                <w:pPr>
                  <w:jc w:val="center"/>
                </w:pPr>
                <w:r>
                  <w:t>账面价值</w:t>
                </w:r>
              </w:p>
            </w:sdtContent>
          </w:sdt>
        </w:tc>
      </w:tr>
      <w:tr>
        <w:tc>
          <w:tcPr>
            <w:tcW w:w="2127" w:type="dxa"/>
            <w:vAlign w:val="center"/>
          </w:tcPr>
          <w:p>
            <w:pPr>
              <w:jc w:val="both"/>
            </w:pPr>
            <w:r>
              <w:rPr>
                <w:rFonts w:hint="eastAsia"/>
              </w:rPr>
              <w:t>探（采）矿权</w:t>
            </w:r>
          </w:p>
        </w:tc>
        <w:tc>
          <w:tcPr>
            <w:tcW w:w="1418" w:type="dxa"/>
            <w:vAlign w:val="center"/>
          </w:tcPr>
          <w:p>
            <w:pPr>
              <w:jc w:val="right"/>
              <w:rPr>
                <w:rFonts w:ascii="宋体" w:hAnsi="宋体"/>
              </w:rPr>
            </w:pPr>
            <w:r>
              <w:rPr>
                <w:rFonts w:ascii="宋体" w:hAnsi="宋体"/>
              </w:rPr>
              <w:t>7,988,746</w:t>
            </w:r>
          </w:p>
        </w:tc>
        <w:tc>
          <w:tcPr>
            <w:tcW w:w="1134"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7,988,746</w:t>
            </w:r>
          </w:p>
        </w:tc>
        <w:tc>
          <w:tcPr>
            <w:tcW w:w="1276" w:type="dxa"/>
            <w:vAlign w:val="center"/>
          </w:tcPr>
          <w:p>
            <w:pPr>
              <w:jc w:val="right"/>
              <w:rPr>
                <w:rFonts w:ascii="宋体" w:hAnsi="宋体"/>
              </w:rPr>
            </w:pPr>
            <w:r>
              <w:rPr>
                <w:rFonts w:ascii="宋体" w:hAnsi="宋体"/>
              </w:rPr>
              <w:t>17,038,165</w:t>
            </w:r>
          </w:p>
        </w:tc>
        <w:tc>
          <w:tcPr>
            <w:tcW w:w="1134"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17,038,165</w:t>
            </w:r>
          </w:p>
        </w:tc>
      </w:tr>
      <w:tr>
        <w:tc>
          <w:tcPr>
            <w:tcW w:w="2127" w:type="dxa"/>
            <w:vAlign w:val="center"/>
          </w:tcPr>
          <w:p>
            <w:pPr>
              <w:jc w:val="both"/>
            </w:pPr>
            <w:r>
              <w:rPr>
                <w:rFonts w:hint="eastAsia"/>
              </w:rPr>
              <w:t>发放贷款及垫款</w:t>
            </w:r>
          </w:p>
        </w:tc>
        <w:tc>
          <w:tcPr>
            <w:tcW w:w="1418" w:type="dxa"/>
            <w:vAlign w:val="center"/>
          </w:tcPr>
          <w:p>
            <w:pPr>
              <w:jc w:val="right"/>
              <w:rPr>
                <w:rFonts w:ascii="宋体" w:hAnsi="宋体"/>
              </w:rPr>
            </w:pPr>
            <w:r>
              <w:rPr>
                <w:rFonts w:ascii="宋体" w:hAnsi="宋体"/>
              </w:rPr>
              <w:t>3,285,000</w:t>
            </w:r>
          </w:p>
        </w:tc>
        <w:tc>
          <w:tcPr>
            <w:tcW w:w="1134" w:type="dxa"/>
            <w:vAlign w:val="center"/>
          </w:tcPr>
          <w:p>
            <w:pPr>
              <w:jc w:val="right"/>
              <w:rPr>
                <w:rFonts w:ascii="宋体" w:hAnsi="宋体"/>
              </w:rPr>
            </w:pPr>
            <w:r>
              <w:rPr>
                <w:rFonts w:ascii="宋体" w:hAnsi="宋体"/>
              </w:rPr>
              <w:t>47,374</w:t>
            </w:r>
          </w:p>
        </w:tc>
        <w:tc>
          <w:tcPr>
            <w:tcW w:w="1417" w:type="dxa"/>
            <w:vAlign w:val="center"/>
          </w:tcPr>
          <w:p>
            <w:pPr>
              <w:jc w:val="right"/>
              <w:rPr>
                <w:rFonts w:ascii="宋体" w:hAnsi="宋体"/>
              </w:rPr>
            </w:pPr>
            <w:r>
              <w:rPr>
                <w:rFonts w:ascii="宋体" w:hAnsi="宋体"/>
              </w:rPr>
              <w:t>3,237,626</w:t>
            </w:r>
          </w:p>
        </w:tc>
        <w:tc>
          <w:tcPr>
            <w:tcW w:w="1276" w:type="dxa"/>
            <w:vAlign w:val="center"/>
          </w:tcPr>
          <w:p>
            <w:pPr>
              <w:jc w:val="right"/>
              <w:rPr>
                <w:rFonts w:ascii="宋体" w:hAnsi="宋体"/>
              </w:rPr>
            </w:pPr>
            <w:r>
              <w:rPr>
                <w:rFonts w:ascii="宋体" w:hAnsi="宋体"/>
              </w:rPr>
              <w:t>3,511,250</w:t>
            </w:r>
          </w:p>
        </w:tc>
        <w:tc>
          <w:tcPr>
            <w:tcW w:w="1134" w:type="dxa"/>
            <w:vAlign w:val="center"/>
          </w:tcPr>
          <w:p>
            <w:pPr>
              <w:jc w:val="right"/>
              <w:rPr>
                <w:rFonts w:ascii="宋体" w:hAnsi="宋体"/>
              </w:rPr>
            </w:pPr>
            <w:r>
              <w:rPr>
                <w:rFonts w:ascii="宋体" w:hAnsi="宋体"/>
              </w:rPr>
              <w:t>152,975</w:t>
            </w:r>
          </w:p>
        </w:tc>
        <w:tc>
          <w:tcPr>
            <w:tcW w:w="1417" w:type="dxa"/>
            <w:vAlign w:val="center"/>
          </w:tcPr>
          <w:p>
            <w:pPr>
              <w:jc w:val="right"/>
              <w:rPr>
                <w:rFonts w:ascii="宋体" w:hAnsi="宋体"/>
              </w:rPr>
            </w:pPr>
            <w:r>
              <w:rPr>
                <w:rFonts w:ascii="宋体" w:hAnsi="宋体"/>
              </w:rPr>
              <w:t>3,358,275</w:t>
            </w:r>
          </w:p>
        </w:tc>
      </w:tr>
      <w:tr>
        <w:tc>
          <w:tcPr>
            <w:tcW w:w="2127" w:type="dxa"/>
            <w:vAlign w:val="center"/>
          </w:tcPr>
          <w:p>
            <w:pPr>
              <w:jc w:val="both"/>
            </w:pPr>
            <w:r>
              <w:rPr>
                <w:rFonts w:hint="eastAsia"/>
              </w:rPr>
              <w:t>预付设备、工程款</w:t>
            </w:r>
          </w:p>
        </w:tc>
        <w:tc>
          <w:tcPr>
            <w:tcW w:w="1418" w:type="dxa"/>
            <w:vAlign w:val="center"/>
          </w:tcPr>
          <w:p>
            <w:pPr>
              <w:jc w:val="right"/>
              <w:rPr>
                <w:rFonts w:ascii="宋体" w:hAnsi="宋体"/>
              </w:rPr>
            </w:pPr>
            <w:r>
              <w:rPr>
                <w:rFonts w:ascii="宋体" w:hAnsi="宋体"/>
              </w:rPr>
              <w:t>3,267,865</w:t>
            </w:r>
          </w:p>
        </w:tc>
        <w:tc>
          <w:tcPr>
            <w:tcW w:w="1134" w:type="dxa"/>
            <w:vAlign w:val="center"/>
          </w:tcPr>
          <w:p>
            <w:pPr>
              <w:jc w:val="right"/>
              <w:rPr>
                <w:rFonts w:ascii="宋体" w:hAnsi="宋体"/>
              </w:rPr>
            </w:pPr>
            <w:r>
              <w:rPr>
                <w:rFonts w:ascii="宋体" w:hAnsi="宋体"/>
              </w:rPr>
              <w:t>659</w:t>
            </w:r>
          </w:p>
        </w:tc>
        <w:tc>
          <w:tcPr>
            <w:tcW w:w="1417" w:type="dxa"/>
            <w:vAlign w:val="center"/>
          </w:tcPr>
          <w:p>
            <w:pPr>
              <w:jc w:val="right"/>
              <w:rPr>
                <w:rFonts w:ascii="宋体" w:hAnsi="宋体"/>
              </w:rPr>
            </w:pPr>
            <w:r>
              <w:rPr>
                <w:rFonts w:ascii="宋体" w:hAnsi="宋体"/>
              </w:rPr>
              <w:t>3,267,206</w:t>
            </w:r>
          </w:p>
        </w:tc>
        <w:tc>
          <w:tcPr>
            <w:tcW w:w="1276" w:type="dxa"/>
            <w:vAlign w:val="center"/>
          </w:tcPr>
          <w:p>
            <w:pPr>
              <w:jc w:val="right"/>
              <w:rPr>
                <w:rFonts w:ascii="宋体" w:hAnsi="宋体"/>
              </w:rPr>
            </w:pPr>
            <w:r>
              <w:rPr>
                <w:rFonts w:ascii="宋体" w:hAnsi="宋体"/>
              </w:rPr>
              <w:t>2,511,333</w:t>
            </w:r>
          </w:p>
        </w:tc>
        <w:tc>
          <w:tcPr>
            <w:tcW w:w="1134" w:type="dxa"/>
            <w:vAlign w:val="center"/>
          </w:tcPr>
          <w:p>
            <w:pPr>
              <w:jc w:val="right"/>
              <w:rPr>
                <w:rFonts w:ascii="宋体" w:hAnsi="宋体"/>
              </w:rPr>
            </w:pPr>
            <w:r>
              <w:rPr>
                <w:rFonts w:ascii="宋体" w:hAnsi="宋体"/>
              </w:rPr>
              <w:t>659</w:t>
            </w:r>
          </w:p>
        </w:tc>
        <w:tc>
          <w:tcPr>
            <w:tcW w:w="1417" w:type="dxa"/>
            <w:vAlign w:val="center"/>
          </w:tcPr>
          <w:p>
            <w:pPr>
              <w:jc w:val="right"/>
              <w:rPr>
                <w:rFonts w:ascii="宋体" w:hAnsi="宋体"/>
              </w:rPr>
            </w:pPr>
            <w:r>
              <w:rPr>
                <w:rFonts w:ascii="宋体" w:hAnsi="宋体"/>
              </w:rPr>
              <w:t>2,510,674</w:t>
            </w:r>
          </w:p>
        </w:tc>
      </w:tr>
      <w:tr>
        <w:tc>
          <w:tcPr>
            <w:tcW w:w="2127" w:type="dxa"/>
            <w:vAlign w:val="center"/>
          </w:tcPr>
          <w:p>
            <w:pPr>
              <w:jc w:val="both"/>
            </w:pPr>
            <w:r>
              <w:rPr>
                <w:rFonts w:hint="eastAsia"/>
              </w:rPr>
              <w:lastRenderedPageBreak/>
              <w:t>保理款</w:t>
            </w:r>
          </w:p>
        </w:tc>
        <w:tc>
          <w:tcPr>
            <w:tcW w:w="1418" w:type="dxa"/>
            <w:vAlign w:val="center"/>
          </w:tcPr>
          <w:p>
            <w:pPr>
              <w:jc w:val="right"/>
              <w:rPr>
                <w:rFonts w:ascii="宋体" w:hAnsi="宋体"/>
              </w:rPr>
            </w:pPr>
            <w:r>
              <w:rPr>
                <w:rFonts w:ascii="宋体" w:hAnsi="宋体"/>
              </w:rPr>
              <w:t>601,607</w:t>
            </w:r>
          </w:p>
        </w:tc>
        <w:tc>
          <w:tcPr>
            <w:tcW w:w="1134" w:type="dxa"/>
            <w:vAlign w:val="center"/>
          </w:tcPr>
          <w:p>
            <w:pPr>
              <w:jc w:val="right"/>
              <w:rPr>
                <w:rFonts w:ascii="宋体" w:hAnsi="宋体"/>
              </w:rPr>
            </w:pPr>
            <w:r>
              <w:rPr>
                <w:rFonts w:ascii="宋体" w:hAnsi="宋体"/>
              </w:rPr>
              <w:t>14,662</w:t>
            </w:r>
          </w:p>
        </w:tc>
        <w:tc>
          <w:tcPr>
            <w:tcW w:w="1417" w:type="dxa"/>
            <w:vAlign w:val="center"/>
          </w:tcPr>
          <w:p>
            <w:pPr>
              <w:jc w:val="right"/>
              <w:rPr>
                <w:rFonts w:ascii="宋体" w:hAnsi="宋体"/>
              </w:rPr>
            </w:pPr>
            <w:r>
              <w:rPr>
                <w:rFonts w:ascii="宋体" w:hAnsi="宋体"/>
              </w:rPr>
              <w:t>586,945</w:t>
            </w:r>
          </w:p>
        </w:tc>
        <w:tc>
          <w:tcPr>
            <w:tcW w:w="1276" w:type="dxa"/>
            <w:vAlign w:val="center"/>
          </w:tcPr>
          <w:p>
            <w:pPr>
              <w:jc w:val="right"/>
              <w:rPr>
                <w:rFonts w:ascii="宋体" w:hAnsi="宋体"/>
              </w:rPr>
            </w:pPr>
            <w:r>
              <w:rPr>
                <w:rFonts w:ascii="宋体" w:hAnsi="宋体"/>
              </w:rPr>
              <w:t>1,765,940</w:t>
            </w:r>
          </w:p>
        </w:tc>
        <w:tc>
          <w:tcPr>
            <w:tcW w:w="1134" w:type="dxa"/>
            <w:vAlign w:val="center"/>
          </w:tcPr>
          <w:p>
            <w:pPr>
              <w:jc w:val="right"/>
              <w:rPr>
                <w:rFonts w:ascii="宋体" w:hAnsi="宋体"/>
              </w:rPr>
            </w:pPr>
            <w:r>
              <w:rPr>
                <w:rFonts w:ascii="宋体" w:hAnsi="宋体"/>
              </w:rPr>
              <w:t>31,603</w:t>
            </w:r>
          </w:p>
        </w:tc>
        <w:tc>
          <w:tcPr>
            <w:tcW w:w="1417" w:type="dxa"/>
            <w:vAlign w:val="center"/>
          </w:tcPr>
          <w:p>
            <w:pPr>
              <w:jc w:val="right"/>
              <w:rPr>
                <w:rFonts w:ascii="宋体" w:hAnsi="宋体"/>
              </w:rPr>
            </w:pPr>
            <w:r>
              <w:rPr>
                <w:rFonts w:ascii="宋体" w:hAnsi="宋体"/>
              </w:rPr>
              <w:t>1,734,337</w:t>
            </w:r>
          </w:p>
        </w:tc>
      </w:tr>
      <w:tr>
        <w:tc>
          <w:tcPr>
            <w:tcW w:w="2127" w:type="dxa"/>
            <w:vAlign w:val="center"/>
          </w:tcPr>
          <w:p>
            <w:pPr>
              <w:jc w:val="both"/>
            </w:pPr>
            <w:r>
              <w:rPr>
                <w:rFonts w:hint="eastAsia"/>
              </w:rPr>
              <w:t>长期服务假基金会补偿金</w:t>
            </w:r>
          </w:p>
        </w:tc>
        <w:tc>
          <w:tcPr>
            <w:tcW w:w="1418" w:type="dxa"/>
            <w:vAlign w:val="center"/>
          </w:tcPr>
          <w:p>
            <w:pPr>
              <w:jc w:val="right"/>
              <w:rPr>
                <w:rFonts w:ascii="宋体" w:hAnsi="宋体"/>
              </w:rPr>
            </w:pPr>
            <w:r>
              <w:rPr>
                <w:rFonts w:ascii="宋体" w:hAnsi="宋体"/>
              </w:rPr>
              <w:t>468,212</w:t>
            </w:r>
          </w:p>
        </w:tc>
        <w:tc>
          <w:tcPr>
            <w:tcW w:w="1134"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468,212</w:t>
            </w:r>
          </w:p>
        </w:tc>
        <w:tc>
          <w:tcPr>
            <w:tcW w:w="1276" w:type="dxa"/>
            <w:vAlign w:val="center"/>
          </w:tcPr>
          <w:p>
            <w:pPr>
              <w:jc w:val="right"/>
              <w:rPr>
                <w:rFonts w:ascii="宋体" w:hAnsi="宋体"/>
              </w:rPr>
            </w:pPr>
            <w:r>
              <w:rPr>
                <w:rFonts w:ascii="宋体" w:hAnsi="宋体"/>
              </w:rPr>
              <w:t>401,365</w:t>
            </w:r>
          </w:p>
        </w:tc>
        <w:tc>
          <w:tcPr>
            <w:tcW w:w="1134"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401,365</w:t>
            </w:r>
          </w:p>
        </w:tc>
      </w:tr>
      <w:tr>
        <w:tc>
          <w:tcPr>
            <w:tcW w:w="2127" w:type="dxa"/>
            <w:vAlign w:val="center"/>
          </w:tcPr>
          <w:p>
            <w:pPr>
              <w:jc w:val="both"/>
            </w:pPr>
            <w:r>
              <w:rPr>
                <w:rFonts w:hint="eastAsia"/>
              </w:rPr>
              <w:t>产能置换款</w:t>
            </w:r>
          </w:p>
        </w:tc>
        <w:tc>
          <w:tcPr>
            <w:tcW w:w="1418" w:type="dxa"/>
            <w:vAlign w:val="center"/>
          </w:tcPr>
          <w:p>
            <w:pPr>
              <w:jc w:val="right"/>
              <w:rPr>
                <w:rFonts w:ascii="宋体" w:hAnsi="宋体"/>
              </w:rPr>
            </w:pPr>
            <w:r>
              <w:rPr>
                <w:rFonts w:ascii="宋体" w:hAnsi="宋体"/>
              </w:rPr>
              <w:t>23,963</w:t>
            </w:r>
          </w:p>
        </w:tc>
        <w:tc>
          <w:tcPr>
            <w:tcW w:w="1134"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23,963</w:t>
            </w:r>
          </w:p>
        </w:tc>
        <w:tc>
          <w:tcPr>
            <w:tcW w:w="1276" w:type="dxa"/>
            <w:vAlign w:val="center"/>
          </w:tcPr>
          <w:p>
            <w:pPr>
              <w:jc w:val="right"/>
              <w:rPr>
                <w:rFonts w:ascii="宋体" w:hAnsi="宋体"/>
              </w:rPr>
            </w:pPr>
            <w:r>
              <w:rPr>
                <w:rFonts w:ascii="宋体" w:hAnsi="宋体"/>
              </w:rPr>
              <w:t>77,398</w:t>
            </w:r>
          </w:p>
        </w:tc>
        <w:tc>
          <w:tcPr>
            <w:tcW w:w="1134"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77,398</w:t>
            </w:r>
          </w:p>
        </w:tc>
      </w:tr>
      <w:tr>
        <w:tc>
          <w:tcPr>
            <w:tcW w:w="2127" w:type="dxa"/>
            <w:vAlign w:val="center"/>
          </w:tcPr>
          <w:p>
            <w:pPr>
              <w:jc w:val="both"/>
            </w:pPr>
            <w:r>
              <w:rPr>
                <w:rFonts w:hint="eastAsia"/>
              </w:rPr>
              <w:t>其他</w:t>
            </w:r>
          </w:p>
        </w:tc>
        <w:tc>
          <w:tcPr>
            <w:tcW w:w="1418" w:type="dxa"/>
            <w:vAlign w:val="center"/>
          </w:tcPr>
          <w:p>
            <w:pPr>
              <w:jc w:val="right"/>
              <w:rPr>
                <w:rFonts w:ascii="宋体" w:hAnsi="宋体"/>
              </w:rPr>
            </w:pPr>
            <w:r>
              <w:rPr>
                <w:rFonts w:ascii="宋体" w:hAnsi="宋体"/>
              </w:rPr>
              <w:t>1,170,494</w:t>
            </w:r>
          </w:p>
        </w:tc>
        <w:tc>
          <w:tcPr>
            <w:tcW w:w="1134" w:type="dxa"/>
            <w:vAlign w:val="center"/>
          </w:tcPr>
          <w:p>
            <w:pPr>
              <w:jc w:val="right"/>
              <w:rPr>
                <w:rFonts w:ascii="宋体" w:hAnsi="宋体"/>
              </w:rPr>
            </w:pPr>
            <w:r>
              <w:rPr>
                <w:rFonts w:ascii="宋体" w:hAnsi="宋体"/>
              </w:rPr>
              <w:t>33,877</w:t>
            </w:r>
          </w:p>
        </w:tc>
        <w:tc>
          <w:tcPr>
            <w:tcW w:w="1417" w:type="dxa"/>
            <w:vAlign w:val="center"/>
          </w:tcPr>
          <w:p>
            <w:pPr>
              <w:jc w:val="right"/>
              <w:rPr>
                <w:rFonts w:ascii="宋体" w:hAnsi="宋体"/>
              </w:rPr>
            </w:pPr>
            <w:r>
              <w:rPr>
                <w:rFonts w:ascii="宋体" w:hAnsi="宋体"/>
              </w:rPr>
              <w:t>1,136,617</w:t>
            </w:r>
          </w:p>
        </w:tc>
        <w:tc>
          <w:tcPr>
            <w:tcW w:w="1276" w:type="dxa"/>
            <w:vAlign w:val="center"/>
          </w:tcPr>
          <w:p>
            <w:pPr>
              <w:jc w:val="right"/>
              <w:rPr>
                <w:rFonts w:ascii="宋体" w:hAnsi="宋体"/>
              </w:rPr>
            </w:pPr>
            <w:r>
              <w:rPr>
                <w:rFonts w:ascii="宋体" w:hAnsi="宋体"/>
              </w:rPr>
              <w:t>1,799,446</w:t>
            </w:r>
          </w:p>
        </w:tc>
        <w:tc>
          <w:tcPr>
            <w:tcW w:w="1134" w:type="dxa"/>
            <w:vAlign w:val="center"/>
          </w:tcPr>
          <w:p>
            <w:pPr>
              <w:jc w:val="right"/>
              <w:rPr>
                <w:rFonts w:ascii="宋体" w:hAnsi="宋体"/>
              </w:rPr>
            </w:pPr>
            <w:r>
              <w:rPr>
                <w:rFonts w:ascii="宋体" w:hAnsi="宋体"/>
              </w:rPr>
              <w:t>19,339</w:t>
            </w:r>
          </w:p>
        </w:tc>
        <w:tc>
          <w:tcPr>
            <w:tcW w:w="1417" w:type="dxa"/>
            <w:vAlign w:val="center"/>
          </w:tcPr>
          <w:p>
            <w:pPr>
              <w:jc w:val="right"/>
              <w:rPr>
                <w:rFonts w:ascii="宋体" w:hAnsi="宋体"/>
              </w:rPr>
            </w:pPr>
            <w:r>
              <w:rPr>
                <w:rFonts w:ascii="宋体" w:hAnsi="宋体"/>
              </w:rPr>
              <w:t>1,780,107</w:t>
            </w:r>
          </w:p>
        </w:tc>
      </w:tr>
      <w:tr>
        <w:tc>
          <w:tcPr>
            <w:tcW w:w="2127" w:type="dxa"/>
            <w:vAlign w:val="center"/>
          </w:tcPr>
          <w:p>
            <w:pPr>
              <w:jc w:val="center"/>
            </w:pPr>
            <w:r>
              <w:rPr>
                <w:rFonts w:hint="eastAsia"/>
              </w:rPr>
              <w:t>合计</w:t>
            </w:r>
          </w:p>
        </w:tc>
        <w:tc>
          <w:tcPr>
            <w:tcW w:w="1418" w:type="dxa"/>
            <w:vAlign w:val="center"/>
          </w:tcPr>
          <w:p>
            <w:pPr>
              <w:jc w:val="right"/>
              <w:rPr>
                <w:rFonts w:ascii="宋体" w:hAnsi="宋体"/>
              </w:rPr>
            </w:pPr>
            <w:r>
              <w:rPr>
                <w:rFonts w:ascii="宋体" w:hAnsi="宋体"/>
              </w:rPr>
              <w:t>16,805,887</w:t>
            </w:r>
          </w:p>
        </w:tc>
        <w:tc>
          <w:tcPr>
            <w:tcW w:w="1134" w:type="dxa"/>
            <w:vAlign w:val="center"/>
          </w:tcPr>
          <w:p>
            <w:pPr>
              <w:jc w:val="right"/>
              <w:rPr>
                <w:rFonts w:ascii="宋体" w:hAnsi="宋体"/>
              </w:rPr>
            </w:pPr>
            <w:r>
              <w:rPr>
                <w:rFonts w:ascii="宋体" w:hAnsi="宋体"/>
              </w:rPr>
              <w:t>96,572</w:t>
            </w:r>
          </w:p>
        </w:tc>
        <w:tc>
          <w:tcPr>
            <w:tcW w:w="1417" w:type="dxa"/>
            <w:vAlign w:val="center"/>
          </w:tcPr>
          <w:p>
            <w:pPr>
              <w:jc w:val="right"/>
              <w:rPr>
                <w:rFonts w:ascii="宋体" w:hAnsi="宋体"/>
              </w:rPr>
            </w:pPr>
            <w:r>
              <w:rPr>
                <w:rFonts w:ascii="宋体" w:hAnsi="宋体"/>
              </w:rPr>
              <w:t>16,709,315</w:t>
            </w:r>
          </w:p>
        </w:tc>
        <w:tc>
          <w:tcPr>
            <w:tcW w:w="1276" w:type="dxa"/>
            <w:vAlign w:val="center"/>
          </w:tcPr>
          <w:p>
            <w:pPr>
              <w:jc w:val="right"/>
              <w:rPr>
                <w:rFonts w:ascii="宋体" w:hAnsi="宋体"/>
              </w:rPr>
            </w:pPr>
            <w:r>
              <w:rPr>
                <w:rFonts w:ascii="宋体" w:hAnsi="宋体"/>
              </w:rPr>
              <w:t>27,104,897</w:t>
            </w:r>
          </w:p>
        </w:tc>
        <w:tc>
          <w:tcPr>
            <w:tcW w:w="1134" w:type="dxa"/>
            <w:vAlign w:val="center"/>
          </w:tcPr>
          <w:p>
            <w:pPr>
              <w:jc w:val="right"/>
              <w:rPr>
                <w:rFonts w:ascii="宋体" w:hAnsi="宋体"/>
              </w:rPr>
            </w:pPr>
            <w:r>
              <w:rPr>
                <w:rFonts w:ascii="宋体" w:hAnsi="宋体"/>
              </w:rPr>
              <w:t>204,576</w:t>
            </w:r>
          </w:p>
        </w:tc>
        <w:tc>
          <w:tcPr>
            <w:tcW w:w="1417" w:type="dxa"/>
            <w:vAlign w:val="center"/>
          </w:tcPr>
          <w:p>
            <w:pPr>
              <w:jc w:val="right"/>
              <w:rPr>
                <w:rFonts w:ascii="宋体" w:hAnsi="宋体"/>
              </w:rPr>
            </w:pPr>
            <w:r>
              <w:rPr>
                <w:rFonts w:ascii="宋体" w:hAnsi="宋体"/>
              </w:rPr>
              <w:t>26,900,321</w:t>
            </w:r>
          </w:p>
        </w:tc>
      </w:tr>
    </w:tbl>
    <w:p>
      <w:pPr>
        <w:pStyle w:val="Style217"/>
      </w:pPr>
    </w:p>
    <w:p>
      <w:pPr>
        <w:pStyle w:val="Style217"/>
      </w:pPr>
      <w:r>
        <w:rPr>
          <w:rFonts w:hint="eastAsia"/>
        </w:rPr>
        <w:t>其他说明：</w:t>
      </w:r>
    </w:p>
    <w:sdt>
      <w:sdtPr>
        <w:rPr>
          <w:rFonts w:ascii="宋体" w:hAnsi="宋体"/>
          <w:sz w:val="20"/>
          <w:szCs w:val="20"/>
        </w:rPr>
        <w:alias w:val="其他长期资产的说明"/>
        <w:tag w:val="_GBC_d2d37b97b8df4ba1b7bcbf3e8c04d024"/>
        <w:id w:val="-92482935"/>
        <w:placeholder>
          <w:docPart w:val="GBC22222222222222222222222222222"/>
        </w:placeholder>
      </w:sdtPr>
      <w:sdtEndPr>
        <w:rPr>
          <w:sz w:val="21"/>
        </w:rPr>
      </w:sdtEndPr>
      <w:sdtContent>
        <w:p>
          <w:pPr>
            <w:ind w:firstLineChars="200" w:firstLine="400"/>
            <w:rPr>
              <w:rFonts w:ascii="宋体" w:hAnsi="宋体"/>
            </w:rPr>
          </w:pPr>
          <w:r>
            <w:rPr>
              <w:rFonts w:ascii="宋体" w:hAnsi="宋体" w:hint="eastAsia"/>
            </w:rPr>
            <w:t>注：探</w:t>
          </w:r>
          <w:r>
            <w:rPr>
              <w:rFonts w:ascii="宋体" w:hAnsi="宋体"/>
            </w:rPr>
            <w:t>(采)矿权主要系</w:t>
          </w:r>
          <w:r>
            <w:rPr>
              <w:rFonts w:ascii="宋体" w:hAnsi="宋体" w:hint="eastAsia"/>
            </w:rPr>
            <w:t>内蒙古自治区兴和县曹四夭矿区钼矿和内蒙古自治区东胜煤田嘎鲁图煤矿等矿权价款。</w:t>
          </w:r>
        </w:p>
        <w:p>
          <w:pPr>
            <w:pStyle w:val="Style217"/>
          </w:pPr>
        </w:p>
      </w:sdtContent>
    </w:sdt>
    <w:p>
      <w:pPr>
        <w:pStyle w:val="Style178"/>
        <w:numPr>
          <w:ilvl w:val="0"/>
          <w:numId w:val="75"/>
        </w:numPr>
        <w:rPr>
          <w:szCs w:val="21"/>
        </w:rPr>
      </w:pPr>
      <w:bookmarkStart w:id="482" w:name="_Hlk182485605"/>
      <w:bookmarkEnd w:id="481"/>
      <w:r>
        <w:rPr>
          <w:szCs w:val="21"/>
        </w:rPr>
        <w:t>所有权或使用权受限资产</w:t>
      </w:r>
    </w:p>
    <w:sdt>
      <w:sdtPr>
        <w:rPr>
          <w:color w:val="000000" w:themeColor="text1"/>
        </w:rPr>
        <w:alias w:val="是否适用：所有权或使用权受到限制的资产[双击切换]"/>
        <w:tag w:val="_GBC_f1f6d80d559a42ada65c7a06e1485986"/>
        <w:id w:val="1061598581"/>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pStyle w:val="Style189"/>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e246ad9146ff415ca076abb824966967"/>
          <w:id w:val="-14830729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 xml:space="preserve">千元  </w:t>
          </w:r>
        </w:sdtContent>
      </w:sdt>
      <w:r>
        <w:rPr>
          <w:rFonts w:ascii="宋体" w:hAnsi="宋体" w:hint="eastAsia"/>
          <w:color w:val="000000" w:themeColor="text1"/>
          <w:szCs w:val="21"/>
        </w:rPr>
        <w:t>币种：</w:t>
      </w:r>
      <w:sdt>
        <w:sdtPr>
          <w:rPr>
            <w:rFonts w:ascii="宋体" w:hAnsi="宋体" w:hint="eastAsia"/>
            <w:color w:val="000000" w:themeColor="text1"/>
            <w:szCs w:val="21"/>
          </w:rPr>
          <w:alias w:val="币种：财务附注：所有权或使用权受到限制的资产"/>
          <w:tag w:val="_GBC_3384ecfbee774a528f8956ac7bda492a"/>
          <w:id w:val="18591616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Style w:val="g14"/>
        <w:tblW w:w="11057" w:type="dxa"/>
        <w:tblInd w:w="-856" w:type="dxa"/>
        <w:tblLayout w:type="fixed"/>
        <w:tblLook w:val="04A0" w:firstRow="1" w:lastRow="0" w:firstColumn="1" w:lastColumn="0" w:noHBand="0" w:noVBand="1"/>
      </w:tblPr>
      <w:tblGrid>
        <w:gridCol w:w="2411"/>
        <w:gridCol w:w="1417"/>
        <w:gridCol w:w="1418"/>
        <w:gridCol w:w="708"/>
        <w:gridCol w:w="851"/>
        <w:gridCol w:w="1417"/>
        <w:gridCol w:w="1276"/>
        <w:gridCol w:w="709"/>
        <w:gridCol w:w="850"/>
      </w:tblGrid>
      <w:tr>
        <w:sdt>
          <w:sdtPr>
            <w:tag w:val="_PLD_85915b25a498409faaeec94754cc91ce"/>
            <w:id w:val="1391308246"/>
          </w:sdtPr>
          <w:sdtContent>
            <w:tc>
              <w:tcPr>
                <w:tcW w:w="2411" w:type="dxa"/>
                <w:vMerge w:val="restart"/>
                <w:vAlign w:val="center"/>
              </w:tcPr>
              <w:p>
                <w:pPr>
                  <w:jc w:val="center"/>
                  <w:rPr>
                    <w:color w:val="000000" w:themeColor="text1"/>
                  </w:rPr>
                </w:pPr>
                <w:r>
                  <w:rPr>
                    <w:rFonts w:hint="eastAsia"/>
                    <w:color w:val="000000" w:themeColor="text1"/>
                  </w:rPr>
                  <w:t>项目</w:t>
                </w:r>
              </w:p>
            </w:tc>
          </w:sdtContent>
        </w:sdt>
        <w:sdt>
          <w:sdtPr>
            <w:tag w:val="_PLD_bcba7b22c1f8467fb1ed1a4a9e7f7dae"/>
            <w:id w:val="1417596034"/>
          </w:sdtPr>
          <w:sdtContent>
            <w:tc>
              <w:tcPr>
                <w:tcW w:w="4394" w:type="dxa"/>
                <w:gridSpan w:val="4"/>
                <w:vAlign w:val="center"/>
              </w:tcPr>
              <w:p>
                <w:pPr>
                  <w:jc w:val="center"/>
                  <w:rPr>
                    <w:color w:val="000000" w:themeColor="text1"/>
                  </w:rPr>
                </w:pPr>
                <w:r>
                  <w:rPr>
                    <w:rFonts w:hint="eastAsia"/>
                    <w:color w:val="000000" w:themeColor="text1"/>
                  </w:rPr>
                  <w:t>期末</w:t>
                </w:r>
              </w:p>
            </w:tc>
          </w:sdtContent>
        </w:sdt>
        <w:sdt>
          <w:sdtPr>
            <w:tag w:val="_PLD_e062301463624f04b097cb249cdb774e"/>
            <w:id w:val="-253208144"/>
          </w:sdtPr>
          <w:sdtContent>
            <w:tc>
              <w:tcPr>
                <w:tcW w:w="4252" w:type="dxa"/>
                <w:gridSpan w:val="4"/>
                <w:vAlign w:val="center"/>
              </w:tcPr>
              <w:p>
                <w:pPr>
                  <w:jc w:val="center"/>
                  <w:rPr>
                    <w:color w:val="000000" w:themeColor="text1"/>
                  </w:rPr>
                </w:pPr>
                <w:r>
                  <w:rPr>
                    <w:rFonts w:hint="eastAsia"/>
                    <w:color w:val="000000" w:themeColor="text1"/>
                  </w:rPr>
                  <w:t>期初</w:t>
                </w:r>
              </w:p>
            </w:tc>
          </w:sdtContent>
        </w:sdt>
      </w:tr>
      <w:tr>
        <w:trPr>
          <w:trHeight w:val="70"/>
        </w:trPr>
        <w:tc>
          <w:tcPr>
            <w:tcW w:w="2411" w:type="dxa"/>
            <w:vMerge/>
            <w:vAlign w:val="center"/>
          </w:tcPr>
          <w:p>
            <w:pPr>
              <w:rPr>
                <w:color w:val="000000" w:themeColor="text1"/>
              </w:rPr>
            </w:pPr>
          </w:p>
        </w:tc>
        <w:sdt>
          <w:sdtPr>
            <w:tag w:val="_PLD_83e681f7f54f4bd9bfe88e1c973e1b43"/>
            <w:id w:val="441201624"/>
          </w:sdtPr>
          <w:sdtContent>
            <w:tc>
              <w:tcPr>
                <w:tcW w:w="1417" w:type="dxa"/>
                <w:vAlign w:val="center"/>
              </w:tcPr>
              <w:p>
                <w:pPr>
                  <w:jc w:val="center"/>
                  <w:rPr>
                    <w:color w:val="000000" w:themeColor="text1"/>
                  </w:rPr>
                </w:pPr>
                <w:r>
                  <w:rPr>
                    <w:color w:val="000000" w:themeColor="text1"/>
                  </w:rPr>
                  <w:t>账面余额</w:t>
                </w:r>
              </w:p>
            </w:tc>
          </w:sdtContent>
        </w:sdt>
        <w:sdt>
          <w:sdtPr>
            <w:tag w:val="_PLD_2a265c047cf94f85a8553f5e0b2b7388"/>
            <w:id w:val="674155114"/>
          </w:sdtPr>
          <w:sdtContent>
            <w:tc>
              <w:tcPr>
                <w:tcW w:w="1418" w:type="dxa"/>
                <w:vAlign w:val="center"/>
              </w:tcPr>
              <w:p>
                <w:pPr>
                  <w:jc w:val="center"/>
                  <w:rPr>
                    <w:color w:val="000000" w:themeColor="text1"/>
                  </w:rPr>
                </w:pPr>
                <w:r>
                  <w:rPr>
                    <w:color w:val="000000" w:themeColor="text1"/>
                  </w:rPr>
                  <w:t>账面价值</w:t>
                </w:r>
              </w:p>
            </w:tc>
          </w:sdtContent>
        </w:sdt>
        <w:sdt>
          <w:sdtPr>
            <w:tag w:val="_PLD_5b6c4747a96541ecafc3956c6df7be1e"/>
            <w:id w:val="-1316952581"/>
          </w:sdtPr>
          <w:sdtContent>
            <w:tc>
              <w:tcPr>
                <w:tcW w:w="708" w:type="dxa"/>
                <w:vAlign w:val="center"/>
              </w:tcPr>
              <w:p>
                <w:pPr>
                  <w:jc w:val="center"/>
                  <w:rPr>
                    <w:color w:val="000000" w:themeColor="text1"/>
                  </w:rPr>
                </w:pPr>
                <w:r>
                  <w:rPr>
                    <w:color w:val="000000" w:themeColor="text1"/>
                  </w:rPr>
                  <w:t>受限类型</w:t>
                </w:r>
              </w:p>
            </w:tc>
          </w:sdtContent>
        </w:sdt>
        <w:sdt>
          <w:sdtPr>
            <w:tag w:val="_PLD_0fdc8d5500aa413592588c79ae47d121"/>
            <w:id w:val="833186840"/>
          </w:sdtPr>
          <w:sdtContent>
            <w:tc>
              <w:tcPr>
                <w:tcW w:w="851" w:type="dxa"/>
                <w:vAlign w:val="center"/>
              </w:tcPr>
              <w:p>
                <w:pPr>
                  <w:jc w:val="center"/>
                  <w:rPr>
                    <w:color w:val="000000" w:themeColor="text1"/>
                  </w:rPr>
                </w:pPr>
                <w:r>
                  <w:rPr>
                    <w:color w:val="000000" w:themeColor="text1"/>
                  </w:rPr>
                  <w:t>受限情况</w:t>
                </w:r>
              </w:p>
            </w:tc>
          </w:sdtContent>
        </w:sdt>
        <w:sdt>
          <w:sdtPr>
            <w:tag w:val="_PLD_19a6e2039b054e27ae63e997e8202099"/>
            <w:id w:val="563152804"/>
          </w:sdtPr>
          <w:sdtContent>
            <w:tc>
              <w:tcPr>
                <w:tcW w:w="1417" w:type="dxa"/>
                <w:vAlign w:val="center"/>
              </w:tcPr>
              <w:p>
                <w:pPr>
                  <w:jc w:val="center"/>
                  <w:rPr>
                    <w:color w:val="000000" w:themeColor="text1"/>
                  </w:rPr>
                </w:pPr>
                <w:r>
                  <w:rPr>
                    <w:color w:val="000000" w:themeColor="text1"/>
                  </w:rPr>
                  <w:t>账面余额</w:t>
                </w:r>
              </w:p>
            </w:tc>
          </w:sdtContent>
        </w:sdt>
        <w:sdt>
          <w:sdtPr>
            <w:tag w:val="_PLD_c874887424044a5dbc1a1644f585ae7e"/>
            <w:id w:val="1640382092"/>
          </w:sdtPr>
          <w:sdtContent>
            <w:tc>
              <w:tcPr>
                <w:tcW w:w="1276" w:type="dxa"/>
                <w:vAlign w:val="center"/>
              </w:tcPr>
              <w:p>
                <w:pPr>
                  <w:jc w:val="center"/>
                  <w:rPr>
                    <w:color w:val="000000" w:themeColor="text1"/>
                  </w:rPr>
                </w:pPr>
                <w:r>
                  <w:rPr>
                    <w:color w:val="000000" w:themeColor="text1"/>
                  </w:rPr>
                  <w:t>账面价值</w:t>
                </w:r>
              </w:p>
            </w:tc>
          </w:sdtContent>
        </w:sdt>
        <w:sdt>
          <w:sdtPr>
            <w:tag w:val="_PLD_92198303043b4f9e9d277fb8a7835f44"/>
            <w:id w:val="-889803050"/>
          </w:sdtPr>
          <w:sdtContent>
            <w:tc>
              <w:tcPr>
                <w:tcW w:w="709" w:type="dxa"/>
                <w:vAlign w:val="center"/>
              </w:tcPr>
              <w:p>
                <w:pPr>
                  <w:jc w:val="center"/>
                  <w:rPr>
                    <w:color w:val="000000" w:themeColor="text1"/>
                  </w:rPr>
                </w:pPr>
                <w:r>
                  <w:rPr>
                    <w:color w:val="000000" w:themeColor="text1"/>
                  </w:rPr>
                  <w:t>受限类型</w:t>
                </w:r>
              </w:p>
            </w:tc>
          </w:sdtContent>
        </w:sdt>
        <w:sdt>
          <w:sdtPr>
            <w:tag w:val="_PLD_4ea3dd881caf4532ad39a52fb85dd9ad"/>
            <w:id w:val="-1347936984"/>
          </w:sdtPr>
          <w:sdtContent>
            <w:tc>
              <w:tcPr>
                <w:tcW w:w="850" w:type="dxa"/>
                <w:vAlign w:val="center"/>
              </w:tcPr>
              <w:p>
                <w:pPr>
                  <w:jc w:val="center"/>
                  <w:rPr>
                    <w:color w:val="000000" w:themeColor="text1"/>
                  </w:rPr>
                </w:pPr>
                <w:r>
                  <w:rPr>
                    <w:color w:val="000000" w:themeColor="text1"/>
                  </w:rPr>
                  <w:t>受限情况</w:t>
                </w:r>
              </w:p>
            </w:tc>
          </w:sdtContent>
        </w:sdt>
      </w:tr>
      <w:tr>
        <w:tc>
          <w:tcPr>
            <w:tcW w:w="2411" w:type="dxa"/>
            <w:vAlign w:val="center"/>
          </w:tcPr>
          <w:p>
            <w:pPr>
              <w:rPr>
                <w:color w:val="000000" w:themeColor="text1"/>
              </w:rPr>
            </w:pPr>
            <w:r>
              <w:rPr>
                <w:color w:val="000000" w:themeColor="text1"/>
              </w:rPr>
              <w:t>货币资金</w:t>
            </w:r>
          </w:p>
        </w:tc>
        <w:tc>
          <w:tcPr>
            <w:tcW w:w="1417" w:type="dxa"/>
            <w:shd w:val="clear" w:color="auto" w:fill="auto"/>
            <w:vAlign w:val="center"/>
          </w:tcPr>
          <w:p>
            <w:pPr>
              <w:jc w:val="right"/>
              <w:rPr>
                <w:rFonts w:ascii="宋体" w:hAnsi="宋体"/>
              </w:rPr>
            </w:pPr>
            <w:r>
              <w:rPr>
                <w:rFonts w:ascii="宋体" w:hAnsi="宋体"/>
              </w:rPr>
              <w:t>10,751,470</w:t>
            </w:r>
          </w:p>
        </w:tc>
        <w:tc>
          <w:tcPr>
            <w:tcW w:w="1418" w:type="dxa"/>
            <w:shd w:val="clear" w:color="auto" w:fill="auto"/>
            <w:vAlign w:val="center"/>
          </w:tcPr>
          <w:p>
            <w:pPr>
              <w:jc w:val="right"/>
              <w:rPr>
                <w:rFonts w:ascii="宋体" w:hAnsi="宋体"/>
              </w:rPr>
            </w:pPr>
            <w:r>
              <w:rPr>
                <w:rFonts w:ascii="宋体" w:hAnsi="宋体"/>
              </w:rPr>
              <w:t>10,751,470</w:t>
            </w:r>
          </w:p>
        </w:tc>
        <w:tc>
          <w:tcPr>
            <w:tcW w:w="708" w:type="dxa"/>
            <w:shd w:val="clear" w:color="auto" w:fill="auto"/>
            <w:vAlign w:val="center"/>
          </w:tcPr>
          <w:sdt>
            <w:sdtPr>
              <w:rPr>
                <w:color w:val="000000" w:themeColor="text1"/>
              </w:rPr>
              <w:alias w:val="所有权或使用权受到限制的资产中货币资金受限类型"/>
              <w:tag w:val="_GBC_9841e4835e734adc89ec5aaef8e9e22f"/>
              <w:id w:val="-58082768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其他</w:t>
                </w:r>
              </w:p>
            </w:sdtContent>
          </w:sdt>
        </w:tc>
        <w:tc>
          <w:tcPr>
            <w:tcW w:w="851" w:type="dxa"/>
            <w:shd w:val="clear" w:color="auto" w:fill="auto"/>
            <w:vAlign w:val="center"/>
          </w:tcPr>
          <w:p>
            <w:pPr>
              <w:pStyle w:val="Style217"/>
            </w:pPr>
            <w:r>
              <w:rPr>
                <w:rFonts w:hint="eastAsia"/>
              </w:rPr>
              <w:t>七、1货币资金</w:t>
            </w:r>
          </w:p>
        </w:tc>
        <w:tc>
          <w:tcPr>
            <w:tcW w:w="1417" w:type="dxa"/>
            <w:shd w:val="clear" w:color="auto" w:fill="auto"/>
            <w:vAlign w:val="center"/>
          </w:tcPr>
          <w:p>
            <w:pPr>
              <w:jc w:val="right"/>
              <w:rPr>
                <w:rFonts w:ascii="宋体" w:hAnsi="宋体"/>
              </w:rPr>
            </w:pPr>
            <w:r>
              <w:rPr>
                <w:rFonts w:ascii="宋体" w:hAnsi="宋体"/>
              </w:rPr>
              <w:t>9,593,301</w:t>
            </w:r>
          </w:p>
        </w:tc>
        <w:tc>
          <w:tcPr>
            <w:tcW w:w="1276" w:type="dxa"/>
            <w:shd w:val="clear" w:color="auto" w:fill="auto"/>
            <w:vAlign w:val="center"/>
          </w:tcPr>
          <w:p>
            <w:pPr>
              <w:jc w:val="right"/>
              <w:rPr>
                <w:rFonts w:ascii="宋体" w:hAnsi="宋体"/>
              </w:rPr>
            </w:pPr>
            <w:r>
              <w:rPr>
                <w:rFonts w:ascii="宋体" w:hAnsi="宋体"/>
              </w:rPr>
              <w:t>9,593,301</w:t>
            </w:r>
          </w:p>
        </w:tc>
        <w:tc>
          <w:tcPr>
            <w:tcW w:w="709" w:type="dxa"/>
            <w:shd w:val="clear" w:color="auto" w:fill="auto"/>
            <w:vAlign w:val="center"/>
          </w:tcPr>
          <w:sdt>
            <w:sdtPr>
              <w:rPr>
                <w:color w:val="000000" w:themeColor="text1"/>
              </w:rPr>
              <w:alias w:val="所有权或使用权受到限制的资产中货币资金受限类型"/>
              <w:tag w:val="_GBC_6f6cb50e97ca4fa8a27036ee94b76871"/>
              <w:id w:val="-63525790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其他</w:t>
                </w:r>
              </w:p>
            </w:sdtContent>
          </w:sdt>
        </w:tc>
        <w:tc>
          <w:tcPr>
            <w:tcW w:w="850" w:type="dxa"/>
            <w:vAlign w:val="center"/>
          </w:tcPr>
          <w:p>
            <w:pPr>
              <w:pStyle w:val="Style217"/>
            </w:pPr>
            <w:r>
              <w:rPr>
                <w:rFonts w:hint="eastAsia"/>
              </w:rPr>
              <w:t>七、1货币资金</w:t>
            </w:r>
          </w:p>
        </w:tc>
      </w:tr>
      <w:tr>
        <w:tc>
          <w:tcPr>
            <w:tcW w:w="2411" w:type="dxa"/>
            <w:vAlign w:val="center"/>
          </w:tcPr>
          <w:p>
            <w:pPr>
              <w:rPr>
                <w:color w:val="000000" w:themeColor="text1"/>
              </w:rPr>
            </w:pPr>
            <w:r>
              <w:rPr>
                <w:color w:val="000000" w:themeColor="text1"/>
              </w:rPr>
              <w:t>应收票据</w:t>
            </w:r>
          </w:p>
        </w:tc>
        <w:tc>
          <w:tcPr>
            <w:tcW w:w="1417" w:type="dxa"/>
            <w:shd w:val="clear" w:color="auto" w:fill="auto"/>
            <w:vAlign w:val="center"/>
          </w:tcPr>
          <w:p>
            <w:pPr>
              <w:jc w:val="right"/>
              <w:rPr>
                <w:rFonts w:ascii="宋体" w:hAnsi="宋体"/>
              </w:rPr>
            </w:pPr>
            <w:r>
              <w:rPr>
                <w:rFonts w:ascii="宋体" w:hAnsi="宋体"/>
              </w:rPr>
              <w:t>226,534</w:t>
            </w:r>
          </w:p>
        </w:tc>
        <w:tc>
          <w:tcPr>
            <w:tcW w:w="1418" w:type="dxa"/>
            <w:shd w:val="clear" w:color="auto" w:fill="auto"/>
            <w:vAlign w:val="center"/>
          </w:tcPr>
          <w:p>
            <w:pPr>
              <w:jc w:val="right"/>
              <w:rPr>
                <w:rFonts w:ascii="宋体" w:hAnsi="宋体"/>
              </w:rPr>
            </w:pPr>
            <w:r>
              <w:rPr>
                <w:rFonts w:ascii="宋体" w:hAnsi="宋体"/>
              </w:rPr>
              <w:t>226,534</w:t>
            </w:r>
          </w:p>
        </w:tc>
        <w:tc>
          <w:tcPr>
            <w:tcW w:w="708" w:type="dxa"/>
            <w:shd w:val="clear" w:color="auto" w:fill="auto"/>
            <w:vAlign w:val="center"/>
          </w:tcPr>
          <w:sdt>
            <w:sdtPr>
              <w:rPr>
                <w:color w:val="000000" w:themeColor="text1"/>
              </w:rPr>
              <w:alias w:val="所有权或使用权受到限制的资产中应收票据受限类型"/>
              <w:tag w:val="_GBC_bb4028237cac45c7b5d4728e9c1b478c"/>
              <w:id w:val="182508355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质押</w:t>
                </w:r>
              </w:p>
            </w:sdtContent>
          </w:sdt>
        </w:tc>
        <w:tc>
          <w:tcPr>
            <w:tcW w:w="851" w:type="dxa"/>
            <w:shd w:val="clear" w:color="auto" w:fill="auto"/>
            <w:vAlign w:val="center"/>
          </w:tcPr>
          <w:p>
            <w:pPr>
              <w:pStyle w:val="Style217"/>
            </w:pPr>
            <w:r>
              <w:rPr>
                <w:rFonts w:hint="eastAsia"/>
              </w:rPr>
              <w:t>七、4应收票据</w:t>
            </w:r>
          </w:p>
        </w:tc>
        <w:tc>
          <w:tcPr>
            <w:tcW w:w="1417" w:type="dxa"/>
            <w:shd w:val="clear" w:color="auto" w:fill="auto"/>
            <w:vAlign w:val="center"/>
          </w:tcPr>
          <w:p>
            <w:pPr>
              <w:jc w:val="right"/>
              <w:rPr>
                <w:rFonts w:ascii="宋体" w:hAnsi="宋体"/>
              </w:rPr>
            </w:pPr>
            <w:r>
              <w:rPr>
                <w:rFonts w:ascii="宋体" w:hAnsi="宋体"/>
              </w:rPr>
              <w:t>192,009</w:t>
            </w:r>
          </w:p>
        </w:tc>
        <w:tc>
          <w:tcPr>
            <w:tcW w:w="1276" w:type="dxa"/>
            <w:shd w:val="clear" w:color="auto" w:fill="auto"/>
            <w:vAlign w:val="center"/>
          </w:tcPr>
          <w:p>
            <w:pPr>
              <w:jc w:val="right"/>
              <w:rPr>
                <w:rFonts w:ascii="宋体" w:hAnsi="宋体"/>
              </w:rPr>
            </w:pPr>
            <w:r>
              <w:rPr>
                <w:rFonts w:ascii="宋体" w:hAnsi="宋体"/>
              </w:rPr>
              <w:t>192,009</w:t>
            </w:r>
          </w:p>
        </w:tc>
        <w:tc>
          <w:tcPr>
            <w:tcW w:w="709" w:type="dxa"/>
            <w:shd w:val="clear" w:color="auto" w:fill="auto"/>
            <w:vAlign w:val="center"/>
          </w:tcPr>
          <w:sdt>
            <w:sdtPr>
              <w:rPr>
                <w:color w:val="000000" w:themeColor="text1"/>
              </w:rPr>
              <w:alias w:val="所有权或使用权受到限制的资产中应收票据受限类型"/>
              <w:tag w:val="_GBC_06c3368ad3ff458487ed7218c854bcdb"/>
              <w:id w:val="138406410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质押</w:t>
                </w:r>
              </w:p>
            </w:sdtContent>
          </w:sdt>
        </w:tc>
        <w:tc>
          <w:tcPr>
            <w:tcW w:w="850" w:type="dxa"/>
            <w:vAlign w:val="center"/>
          </w:tcPr>
          <w:p>
            <w:pPr>
              <w:pStyle w:val="Style217"/>
            </w:pPr>
            <w:r>
              <w:rPr>
                <w:rFonts w:hint="eastAsia"/>
              </w:rPr>
              <w:t>七、4应收票据</w:t>
            </w:r>
          </w:p>
        </w:tc>
      </w:tr>
      <w:tr>
        <w:tc>
          <w:tcPr>
            <w:tcW w:w="2411" w:type="dxa"/>
            <w:vAlign w:val="center"/>
          </w:tcPr>
          <w:p>
            <w:pPr>
              <w:rPr>
                <w:color w:val="000000" w:themeColor="text1"/>
              </w:rPr>
            </w:pPr>
            <w:r>
              <w:rPr>
                <w:color w:val="000000" w:themeColor="text1"/>
              </w:rPr>
              <w:t>固定资产</w:t>
            </w:r>
          </w:p>
        </w:tc>
        <w:tc>
          <w:tcPr>
            <w:tcW w:w="1417" w:type="dxa"/>
            <w:shd w:val="clear" w:color="auto" w:fill="auto"/>
            <w:vAlign w:val="center"/>
          </w:tcPr>
          <w:p>
            <w:pPr>
              <w:jc w:val="right"/>
              <w:rPr>
                <w:rFonts w:ascii="宋体" w:hAnsi="宋体"/>
              </w:rPr>
            </w:pPr>
            <w:r>
              <w:rPr>
                <w:rFonts w:ascii="宋体" w:hAnsi="宋体"/>
              </w:rPr>
              <w:t>423,870</w:t>
            </w:r>
          </w:p>
        </w:tc>
        <w:tc>
          <w:tcPr>
            <w:tcW w:w="1418" w:type="dxa"/>
            <w:shd w:val="clear" w:color="auto" w:fill="auto"/>
            <w:vAlign w:val="center"/>
          </w:tcPr>
          <w:p>
            <w:pPr>
              <w:jc w:val="right"/>
              <w:rPr>
                <w:rFonts w:ascii="宋体" w:hAnsi="宋体"/>
              </w:rPr>
            </w:pPr>
            <w:r>
              <w:rPr>
                <w:rFonts w:ascii="宋体" w:hAnsi="宋体"/>
              </w:rPr>
              <w:t>423,870</w:t>
            </w:r>
          </w:p>
        </w:tc>
        <w:tc>
          <w:tcPr>
            <w:tcW w:w="708" w:type="dxa"/>
            <w:shd w:val="clear" w:color="auto" w:fill="auto"/>
            <w:vAlign w:val="center"/>
          </w:tcPr>
          <w:sdt>
            <w:sdtPr>
              <w:rPr>
                <w:color w:val="000000" w:themeColor="text1"/>
              </w:rPr>
              <w:alias w:val="所有权或使用权受到限制的资产中固定资产受限类型"/>
              <w:tag w:val="_GBC_3689f4a8fa9d4385a4102389ad637453"/>
              <w:id w:val="118941197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抵押</w:t>
                </w:r>
              </w:p>
            </w:sdtContent>
          </w:sdt>
        </w:tc>
        <w:tc>
          <w:tcPr>
            <w:tcW w:w="851" w:type="dxa"/>
            <w:shd w:val="clear" w:color="auto" w:fill="auto"/>
            <w:vAlign w:val="center"/>
          </w:tcPr>
          <w:p>
            <w:pPr>
              <w:pStyle w:val="Style217"/>
            </w:pPr>
            <w:r>
              <w:rPr>
                <w:rFonts w:hint="eastAsia"/>
              </w:rPr>
              <w:t>七、21固定资产</w:t>
            </w:r>
          </w:p>
        </w:tc>
        <w:tc>
          <w:tcPr>
            <w:tcW w:w="1417" w:type="dxa"/>
            <w:shd w:val="clear" w:color="auto" w:fill="auto"/>
            <w:vAlign w:val="center"/>
          </w:tcPr>
          <w:p>
            <w:pPr>
              <w:jc w:val="right"/>
              <w:rPr>
                <w:rFonts w:ascii="宋体" w:hAnsi="宋体"/>
              </w:rPr>
            </w:pPr>
            <w:r>
              <w:rPr>
                <w:rFonts w:ascii="宋体" w:hAnsi="宋体"/>
              </w:rPr>
              <w:t>3,997,914</w:t>
            </w:r>
          </w:p>
        </w:tc>
        <w:tc>
          <w:tcPr>
            <w:tcW w:w="1276" w:type="dxa"/>
            <w:shd w:val="clear" w:color="auto" w:fill="auto"/>
            <w:vAlign w:val="center"/>
          </w:tcPr>
          <w:p>
            <w:pPr>
              <w:jc w:val="right"/>
              <w:rPr>
                <w:rFonts w:ascii="宋体" w:hAnsi="宋体"/>
              </w:rPr>
            </w:pPr>
            <w:r>
              <w:rPr>
                <w:rFonts w:ascii="宋体" w:hAnsi="宋体"/>
              </w:rPr>
              <w:t>3,997,517</w:t>
            </w:r>
          </w:p>
        </w:tc>
        <w:tc>
          <w:tcPr>
            <w:tcW w:w="709" w:type="dxa"/>
            <w:shd w:val="clear" w:color="auto" w:fill="auto"/>
            <w:vAlign w:val="center"/>
          </w:tcPr>
          <w:sdt>
            <w:sdtPr>
              <w:rPr>
                <w:color w:val="000000" w:themeColor="text1"/>
              </w:rPr>
              <w:alias w:val="所有权或使用权受到限制的资产中固定资产受限类型"/>
              <w:tag w:val="_GBC_687f93b2528b4690b2b92cf23ad6f417"/>
              <w:id w:val="-197613819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其他</w:t>
                </w:r>
              </w:p>
            </w:sdtContent>
          </w:sdt>
        </w:tc>
        <w:tc>
          <w:tcPr>
            <w:tcW w:w="850" w:type="dxa"/>
            <w:vAlign w:val="center"/>
          </w:tcPr>
          <w:p>
            <w:pPr>
              <w:pStyle w:val="Style217"/>
            </w:pPr>
            <w:r>
              <w:rPr>
                <w:rFonts w:hint="eastAsia"/>
              </w:rPr>
              <w:t>七、21固定资产</w:t>
            </w:r>
          </w:p>
        </w:tc>
      </w:tr>
      <w:tr>
        <w:tc>
          <w:tcPr>
            <w:tcW w:w="2411" w:type="dxa"/>
            <w:tcBorders>
              <w:bottom w:val="single" w:sz="4" w:space="0" w:color="auto"/>
            </w:tcBorders>
            <w:vAlign w:val="center"/>
          </w:tcPr>
          <w:p>
            <w:pPr>
              <w:rPr>
                <w:color w:val="000000" w:themeColor="text1"/>
              </w:rPr>
            </w:pPr>
            <w:r>
              <w:rPr>
                <w:color w:val="000000" w:themeColor="text1"/>
              </w:rPr>
              <w:t>无形资产</w:t>
            </w:r>
          </w:p>
        </w:tc>
        <w:tc>
          <w:tcPr>
            <w:tcW w:w="1417" w:type="dxa"/>
            <w:shd w:val="clear" w:color="auto" w:fill="auto"/>
            <w:vAlign w:val="center"/>
          </w:tcPr>
          <w:p>
            <w:pPr>
              <w:jc w:val="right"/>
              <w:rPr>
                <w:rFonts w:ascii="宋体" w:hAnsi="宋体"/>
              </w:rPr>
            </w:pPr>
            <w:r>
              <w:rPr>
                <w:rFonts w:ascii="宋体" w:hAnsi="宋体"/>
              </w:rPr>
              <w:t>1,093,200</w:t>
            </w:r>
          </w:p>
        </w:tc>
        <w:tc>
          <w:tcPr>
            <w:tcW w:w="1418" w:type="dxa"/>
            <w:shd w:val="clear" w:color="auto" w:fill="auto"/>
            <w:vAlign w:val="center"/>
          </w:tcPr>
          <w:p>
            <w:pPr>
              <w:jc w:val="right"/>
              <w:rPr>
                <w:rFonts w:ascii="宋体" w:hAnsi="宋体"/>
              </w:rPr>
            </w:pPr>
            <w:r>
              <w:rPr>
                <w:rFonts w:ascii="宋体" w:hAnsi="宋体"/>
              </w:rPr>
              <w:t>1,093,200</w:t>
            </w:r>
          </w:p>
        </w:tc>
        <w:tc>
          <w:tcPr>
            <w:tcW w:w="708" w:type="dxa"/>
            <w:shd w:val="clear" w:color="auto" w:fill="auto"/>
            <w:vAlign w:val="center"/>
          </w:tcPr>
          <w:sdt>
            <w:sdtPr>
              <w:rPr>
                <w:color w:val="000000" w:themeColor="text1"/>
              </w:rPr>
              <w:alias w:val="所有权或使用权受到限制的资产中无形资产受限类型"/>
              <w:tag w:val="_GBC_ed0c1abe0de84d359e970630f4d34fdd"/>
              <w:id w:val="26272374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抵押</w:t>
                </w:r>
              </w:p>
            </w:sdtContent>
          </w:sdt>
        </w:tc>
        <w:tc>
          <w:tcPr>
            <w:tcW w:w="851" w:type="dxa"/>
            <w:shd w:val="clear" w:color="auto" w:fill="auto"/>
            <w:vAlign w:val="center"/>
          </w:tcPr>
          <w:p>
            <w:pPr>
              <w:pStyle w:val="Style217"/>
            </w:pPr>
            <w:r>
              <w:rPr>
                <w:rFonts w:hint="eastAsia"/>
              </w:rPr>
              <w:t>七、26无形资产</w:t>
            </w:r>
          </w:p>
        </w:tc>
        <w:tc>
          <w:tcPr>
            <w:tcW w:w="1417" w:type="dxa"/>
            <w:shd w:val="clear" w:color="auto" w:fill="auto"/>
            <w:vAlign w:val="center"/>
          </w:tcPr>
          <w:p>
            <w:pPr>
              <w:jc w:val="right"/>
              <w:rPr>
                <w:rFonts w:ascii="宋体" w:hAnsi="宋体"/>
              </w:rPr>
            </w:pPr>
            <w:r>
              <w:rPr>
                <w:rFonts w:ascii="宋体" w:hAnsi="宋体"/>
              </w:rPr>
              <w:t>1,109,278</w:t>
            </w:r>
          </w:p>
        </w:tc>
        <w:tc>
          <w:tcPr>
            <w:tcW w:w="1276" w:type="dxa"/>
            <w:shd w:val="clear" w:color="auto" w:fill="auto"/>
            <w:vAlign w:val="center"/>
          </w:tcPr>
          <w:p>
            <w:pPr>
              <w:jc w:val="right"/>
              <w:rPr>
                <w:rFonts w:ascii="宋体" w:hAnsi="宋体"/>
              </w:rPr>
            </w:pPr>
            <w:r>
              <w:rPr>
                <w:rFonts w:ascii="宋体" w:hAnsi="宋体"/>
              </w:rPr>
              <w:t>1,109,278</w:t>
            </w:r>
          </w:p>
        </w:tc>
        <w:tc>
          <w:tcPr>
            <w:tcW w:w="709" w:type="dxa"/>
            <w:shd w:val="clear" w:color="auto" w:fill="auto"/>
            <w:vAlign w:val="center"/>
          </w:tcPr>
          <w:sdt>
            <w:sdtPr>
              <w:rPr>
                <w:color w:val="000000" w:themeColor="text1"/>
              </w:rPr>
              <w:alias w:val="所有权或使用权受到限制的资产中无形资产受限类型"/>
              <w:tag w:val="_GBC_2180e0fd3c984389b43deab755ac22dd"/>
              <w:id w:val="123828416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抵押</w:t>
                </w:r>
              </w:p>
            </w:sdtContent>
          </w:sdt>
        </w:tc>
        <w:tc>
          <w:tcPr>
            <w:tcW w:w="850" w:type="dxa"/>
            <w:vAlign w:val="center"/>
          </w:tcPr>
          <w:p>
            <w:pPr>
              <w:pStyle w:val="Style217"/>
            </w:pPr>
            <w:r>
              <w:rPr>
                <w:rFonts w:hint="eastAsia"/>
              </w:rPr>
              <w:t>七、26无形资产</w:t>
            </w:r>
          </w:p>
        </w:tc>
      </w:tr>
      <w:tr>
        <w:tc>
          <w:tcPr>
            <w:tcW w:w="2411" w:type="dxa"/>
            <w:tcBorders>
              <w:bottom w:val="single" w:sz="4" w:space="0" w:color="auto"/>
            </w:tcBorders>
            <w:vAlign w:val="center"/>
          </w:tcPr>
          <w:p>
            <w:pPr>
              <w:rPr>
                <w:color w:val="000000" w:themeColor="text1"/>
              </w:rPr>
            </w:pPr>
            <w:r>
              <w:rPr>
                <w:rFonts w:hint="eastAsia"/>
              </w:rPr>
              <w:t>应收款项融资</w:t>
            </w:r>
          </w:p>
        </w:tc>
        <w:tc>
          <w:tcPr>
            <w:tcW w:w="1417" w:type="dxa"/>
            <w:shd w:val="clear" w:color="auto" w:fill="auto"/>
            <w:vAlign w:val="center"/>
          </w:tcPr>
          <w:p>
            <w:pPr>
              <w:jc w:val="right"/>
              <w:rPr>
                <w:rFonts w:ascii="宋体" w:hAnsi="宋体"/>
              </w:rPr>
            </w:pPr>
            <w:r>
              <w:rPr>
                <w:rFonts w:ascii="宋体" w:hAnsi="宋体"/>
              </w:rPr>
              <w:t>901,747</w:t>
            </w:r>
          </w:p>
        </w:tc>
        <w:tc>
          <w:tcPr>
            <w:tcW w:w="1418" w:type="dxa"/>
            <w:shd w:val="clear" w:color="auto" w:fill="auto"/>
            <w:vAlign w:val="center"/>
          </w:tcPr>
          <w:p>
            <w:pPr>
              <w:jc w:val="right"/>
              <w:rPr>
                <w:rFonts w:ascii="宋体" w:hAnsi="宋体"/>
              </w:rPr>
            </w:pPr>
            <w:r>
              <w:rPr>
                <w:rFonts w:ascii="宋体" w:hAnsi="宋体"/>
              </w:rPr>
              <w:t>901,747</w:t>
            </w:r>
          </w:p>
        </w:tc>
        <w:tc>
          <w:tcPr>
            <w:tcW w:w="708" w:type="dxa"/>
            <w:shd w:val="clear" w:color="auto" w:fill="auto"/>
            <w:vAlign w:val="center"/>
          </w:tcPr>
          <w:p>
            <w:pPr>
              <w:jc w:val="center"/>
              <w:rPr>
                <w:color w:val="000000" w:themeColor="text1"/>
              </w:rPr>
            </w:pPr>
            <w:r>
              <w:rPr>
                <w:rFonts w:hint="eastAsia"/>
                <w:color w:val="000000" w:themeColor="text1"/>
              </w:rPr>
              <w:t>质押</w:t>
            </w:r>
          </w:p>
          <w:p>
            <w:pPr>
              <w:jc w:val="center"/>
              <w:rPr>
                <w:color w:val="000000" w:themeColor="text1"/>
              </w:rPr>
            </w:pPr>
          </w:p>
        </w:tc>
        <w:tc>
          <w:tcPr>
            <w:tcW w:w="851" w:type="dxa"/>
            <w:shd w:val="clear" w:color="auto" w:fill="auto"/>
            <w:vAlign w:val="center"/>
          </w:tcPr>
          <w:p>
            <w:pPr>
              <w:pStyle w:val="Style217"/>
            </w:pPr>
            <w:r>
              <w:rPr>
                <w:rFonts w:hint="eastAsia"/>
              </w:rPr>
              <w:t>七、7应收款项融资</w:t>
            </w:r>
          </w:p>
        </w:tc>
        <w:tc>
          <w:tcPr>
            <w:tcW w:w="1417" w:type="dxa"/>
            <w:shd w:val="clear" w:color="auto" w:fill="auto"/>
            <w:vAlign w:val="center"/>
          </w:tcPr>
          <w:p>
            <w:pPr>
              <w:jc w:val="right"/>
              <w:rPr>
                <w:rFonts w:ascii="宋体" w:hAnsi="宋体"/>
              </w:rPr>
            </w:pPr>
            <w:r>
              <w:rPr>
                <w:rFonts w:ascii="宋体" w:hAnsi="宋体"/>
              </w:rPr>
              <w:t>1,450,491</w:t>
            </w:r>
          </w:p>
        </w:tc>
        <w:tc>
          <w:tcPr>
            <w:tcW w:w="1276" w:type="dxa"/>
            <w:shd w:val="clear" w:color="auto" w:fill="auto"/>
            <w:vAlign w:val="center"/>
          </w:tcPr>
          <w:p>
            <w:pPr>
              <w:jc w:val="right"/>
              <w:rPr>
                <w:rFonts w:ascii="宋体" w:hAnsi="宋体"/>
              </w:rPr>
            </w:pPr>
            <w:r>
              <w:rPr>
                <w:rFonts w:ascii="宋体" w:hAnsi="宋体"/>
              </w:rPr>
              <w:t>1,450,491</w:t>
            </w:r>
          </w:p>
        </w:tc>
        <w:tc>
          <w:tcPr>
            <w:tcW w:w="709" w:type="dxa"/>
            <w:shd w:val="clear" w:color="auto" w:fill="auto"/>
            <w:vAlign w:val="center"/>
          </w:tcPr>
          <w:p>
            <w:pPr>
              <w:jc w:val="center"/>
              <w:rPr>
                <w:color w:val="000000" w:themeColor="text1"/>
              </w:rPr>
            </w:pPr>
            <w:r>
              <w:rPr>
                <w:rFonts w:hint="eastAsia"/>
                <w:color w:val="000000" w:themeColor="text1"/>
              </w:rPr>
              <w:t>质押</w:t>
            </w:r>
          </w:p>
        </w:tc>
        <w:tc>
          <w:tcPr>
            <w:tcW w:w="850" w:type="dxa"/>
            <w:vAlign w:val="center"/>
          </w:tcPr>
          <w:p>
            <w:pPr>
              <w:pStyle w:val="Style217"/>
            </w:pPr>
            <w:r>
              <w:rPr>
                <w:rFonts w:hint="eastAsia"/>
              </w:rPr>
              <w:t>七、7应收款项融资</w:t>
            </w:r>
          </w:p>
        </w:tc>
      </w:tr>
      <w:tr>
        <w:tc>
          <w:tcPr>
            <w:tcW w:w="2411" w:type="dxa"/>
            <w:vAlign w:val="center"/>
          </w:tcPr>
          <w:p>
            <w:pPr>
              <w:pStyle w:val="Style217"/>
            </w:pPr>
            <w:r>
              <w:rPr>
                <w:rFonts w:hint="eastAsia"/>
              </w:rPr>
              <w:t>长期应收款</w:t>
            </w:r>
          </w:p>
        </w:tc>
        <w:tc>
          <w:tcPr>
            <w:tcW w:w="1417" w:type="dxa"/>
            <w:shd w:val="clear" w:color="auto" w:fill="auto"/>
            <w:vAlign w:val="center"/>
          </w:tcPr>
          <w:p>
            <w:pPr>
              <w:jc w:val="right"/>
              <w:rPr>
                <w:rFonts w:ascii="宋体" w:hAnsi="宋体"/>
              </w:rPr>
            </w:pPr>
            <w:r>
              <w:rPr>
                <w:rFonts w:ascii="宋体" w:hAnsi="宋体"/>
              </w:rPr>
              <w:t>2,357,839</w:t>
            </w:r>
          </w:p>
        </w:tc>
        <w:tc>
          <w:tcPr>
            <w:tcW w:w="1418" w:type="dxa"/>
            <w:shd w:val="clear" w:color="auto" w:fill="auto"/>
            <w:vAlign w:val="center"/>
          </w:tcPr>
          <w:p>
            <w:pPr>
              <w:jc w:val="right"/>
              <w:rPr>
                <w:rFonts w:ascii="宋体" w:hAnsi="宋体"/>
              </w:rPr>
            </w:pPr>
            <w:r>
              <w:rPr>
                <w:rFonts w:ascii="宋体" w:hAnsi="宋体"/>
              </w:rPr>
              <w:t>2,357,839</w:t>
            </w:r>
          </w:p>
        </w:tc>
        <w:tc>
          <w:tcPr>
            <w:tcW w:w="708" w:type="dxa"/>
            <w:shd w:val="clear" w:color="auto" w:fill="auto"/>
            <w:vAlign w:val="center"/>
          </w:tcPr>
          <w:sdt>
            <w:sdtPr>
              <w:rPr>
                <w:color w:val="000000" w:themeColor="text1"/>
              </w:rPr>
              <w:alias w:val="所有权或使用权受到限制的资产明细-受限类型"/>
              <w:tag w:val="_GBC_4791ae32f9e74fffb1afc0a4f519f253"/>
              <w:id w:val="-157165021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质押</w:t>
                </w:r>
              </w:p>
            </w:sdtContent>
          </w:sdt>
        </w:tc>
        <w:tc>
          <w:tcPr>
            <w:tcW w:w="851" w:type="dxa"/>
            <w:shd w:val="clear" w:color="auto" w:fill="auto"/>
            <w:vAlign w:val="center"/>
          </w:tcPr>
          <w:p>
            <w:pPr>
              <w:pStyle w:val="Style217"/>
            </w:pPr>
            <w:r>
              <w:rPr>
                <w:rFonts w:hint="eastAsia"/>
              </w:rPr>
              <w:t>七、45长期借款</w:t>
            </w:r>
          </w:p>
        </w:tc>
        <w:tc>
          <w:tcPr>
            <w:tcW w:w="1417" w:type="dxa"/>
            <w:shd w:val="clear" w:color="auto" w:fill="auto"/>
            <w:vAlign w:val="center"/>
          </w:tcPr>
          <w:p>
            <w:pPr>
              <w:jc w:val="right"/>
              <w:rPr>
                <w:rFonts w:ascii="宋体" w:hAnsi="宋体"/>
              </w:rPr>
            </w:pPr>
            <w:r>
              <w:rPr>
                <w:rFonts w:ascii="宋体" w:hAnsi="宋体"/>
              </w:rPr>
              <w:t>4,617,572</w:t>
            </w:r>
          </w:p>
        </w:tc>
        <w:tc>
          <w:tcPr>
            <w:tcW w:w="1276" w:type="dxa"/>
            <w:shd w:val="clear" w:color="auto" w:fill="auto"/>
            <w:vAlign w:val="center"/>
          </w:tcPr>
          <w:p>
            <w:pPr>
              <w:jc w:val="right"/>
              <w:rPr>
                <w:rFonts w:ascii="宋体" w:hAnsi="宋体"/>
              </w:rPr>
            </w:pPr>
            <w:r>
              <w:rPr>
                <w:rFonts w:ascii="宋体" w:hAnsi="宋体"/>
              </w:rPr>
              <w:t>4,617,572</w:t>
            </w:r>
          </w:p>
        </w:tc>
        <w:tc>
          <w:tcPr>
            <w:tcW w:w="709" w:type="dxa"/>
            <w:shd w:val="clear" w:color="auto" w:fill="auto"/>
            <w:vAlign w:val="center"/>
          </w:tcPr>
          <w:sdt>
            <w:sdtPr>
              <w:rPr>
                <w:color w:val="000000" w:themeColor="text1"/>
              </w:rPr>
              <w:alias w:val="所有权或使用权受到限制的资产明细-受限类型"/>
              <w:tag w:val="_GBC_b82779f51d5e4dd19234862e2e305177"/>
              <w:id w:val="185275577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质押</w:t>
                </w:r>
              </w:p>
            </w:sdtContent>
          </w:sdt>
        </w:tc>
        <w:tc>
          <w:tcPr>
            <w:tcW w:w="850" w:type="dxa"/>
            <w:vAlign w:val="center"/>
          </w:tcPr>
          <w:p>
            <w:pPr>
              <w:pStyle w:val="Style217"/>
            </w:pPr>
            <w:r>
              <w:rPr>
                <w:rFonts w:hint="eastAsia"/>
              </w:rPr>
              <w:t>七、45长期借款</w:t>
            </w:r>
          </w:p>
        </w:tc>
      </w:tr>
      <w:tr>
        <w:tc>
          <w:tcPr>
            <w:tcW w:w="2411" w:type="dxa"/>
            <w:vAlign w:val="center"/>
          </w:tcPr>
          <w:p>
            <w:pPr>
              <w:pStyle w:val="Style217"/>
            </w:pPr>
            <w:r>
              <w:rPr>
                <w:rFonts w:hint="eastAsia"/>
              </w:rPr>
              <w:t>长期股权投资</w:t>
            </w:r>
          </w:p>
        </w:tc>
        <w:tc>
          <w:tcPr>
            <w:tcW w:w="1417" w:type="dxa"/>
            <w:shd w:val="clear" w:color="auto" w:fill="auto"/>
            <w:vAlign w:val="center"/>
          </w:tcPr>
          <w:p>
            <w:pPr>
              <w:jc w:val="right"/>
              <w:rPr>
                <w:rFonts w:ascii="宋体" w:hAnsi="宋体"/>
              </w:rPr>
            </w:pPr>
            <w:r>
              <w:rPr>
                <w:rFonts w:ascii="宋体" w:hAnsi="宋体"/>
              </w:rPr>
              <w:t>6,922,309</w:t>
            </w:r>
          </w:p>
        </w:tc>
        <w:tc>
          <w:tcPr>
            <w:tcW w:w="1418" w:type="dxa"/>
            <w:shd w:val="clear" w:color="auto" w:fill="auto"/>
            <w:vAlign w:val="center"/>
          </w:tcPr>
          <w:p>
            <w:pPr>
              <w:jc w:val="right"/>
              <w:rPr>
                <w:rFonts w:ascii="宋体" w:hAnsi="宋体"/>
              </w:rPr>
            </w:pPr>
            <w:r>
              <w:rPr>
                <w:rFonts w:ascii="宋体" w:hAnsi="宋体"/>
              </w:rPr>
              <w:t>6,922,309</w:t>
            </w:r>
          </w:p>
        </w:tc>
        <w:tc>
          <w:tcPr>
            <w:tcW w:w="708" w:type="dxa"/>
            <w:shd w:val="clear" w:color="auto" w:fill="auto"/>
            <w:vAlign w:val="center"/>
          </w:tcPr>
          <w:p>
            <w:pPr>
              <w:jc w:val="right"/>
              <w:rPr>
                <w:rFonts w:ascii="宋体" w:hAnsi="宋体"/>
                <w:color w:val="000000" w:themeColor="text1"/>
              </w:rPr>
            </w:pPr>
            <w:r>
              <w:rPr>
                <w:rFonts w:ascii="宋体" w:hAnsi="宋体" w:hint="eastAsia"/>
              </w:rPr>
              <w:t>抵押</w:t>
            </w:r>
          </w:p>
        </w:tc>
        <w:tc>
          <w:tcPr>
            <w:tcW w:w="851" w:type="dxa"/>
            <w:shd w:val="clear" w:color="auto" w:fill="auto"/>
            <w:vAlign w:val="center"/>
          </w:tcPr>
          <w:p>
            <w:pPr>
              <w:pStyle w:val="Style217"/>
            </w:pPr>
            <w:r>
              <w:rPr>
                <w:rFonts w:hint="eastAsia"/>
              </w:rPr>
              <w:t>七、17长期股权投资</w:t>
            </w:r>
          </w:p>
        </w:tc>
        <w:tc>
          <w:tcPr>
            <w:tcW w:w="1417" w:type="dxa"/>
            <w:shd w:val="clear" w:color="auto" w:fill="auto"/>
            <w:vAlign w:val="center"/>
          </w:tcPr>
          <w:p>
            <w:pPr>
              <w:jc w:val="right"/>
              <w:rPr>
                <w:rFonts w:ascii="宋体" w:hAnsi="宋体"/>
              </w:rPr>
            </w:pPr>
            <w:r>
              <w:rPr>
                <w:rFonts w:ascii="宋体" w:hAnsi="宋体"/>
              </w:rPr>
              <w:t>6,442,055</w:t>
            </w:r>
          </w:p>
        </w:tc>
        <w:tc>
          <w:tcPr>
            <w:tcW w:w="1276" w:type="dxa"/>
            <w:shd w:val="clear" w:color="auto" w:fill="auto"/>
            <w:vAlign w:val="center"/>
          </w:tcPr>
          <w:p>
            <w:pPr>
              <w:jc w:val="right"/>
              <w:rPr>
                <w:rFonts w:ascii="宋体" w:hAnsi="宋体"/>
              </w:rPr>
            </w:pPr>
            <w:r>
              <w:rPr>
                <w:rFonts w:ascii="宋体" w:hAnsi="宋体"/>
              </w:rPr>
              <w:t>6,442,055</w:t>
            </w:r>
          </w:p>
        </w:tc>
        <w:tc>
          <w:tcPr>
            <w:tcW w:w="709" w:type="dxa"/>
            <w:shd w:val="clear" w:color="auto" w:fill="auto"/>
            <w:vAlign w:val="center"/>
          </w:tcPr>
          <w:p>
            <w:pPr>
              <w:jc w:val="center"/>
              <w:rPr>
                <w:color w:val="000000" w:themeColor="text1"/>
              </w:rPr>
            </w:pPr>
            <w:r>
              <w:rPr>
                <w:rFonts w:hint="eastAsia"/>
                <w:color w:val="000000" w:themeColor="text1"/>
              </w:rPr>
              <w:t>质押</w:t>
            </w:r>
          </w:p>
        </w:tc>
        <w:tc>
          <w:tcPr>
            <w:tcW w:w="850" w:type="dxa"/>
            <w:vAlign w:val="center"/>
          </w:tcPr>
          <w:p>
            <w:pPr>
              <w:pStyle w:val="Style217"/>
            </w:pPr>
            <w:r>
              <w:rPr>
                <w:rFonts w:hint="eastAsia"/>
              </w:rPr>
              <w:t>七、17长期股权投资</w:t>
            </w:r>
          </w:p>
        </w:tc>
      </w:tr>
      <w:tr>
        <w:tc>
          <w:tcPr>
            <w:tcW w:w="2411" w:type="dxa"/>
            <w:vAlign w:val="center"/>
          </w:tcPr>
          <w:p>
            <w:pPr>
              <w:pStyle w:val="Style217"/>
            </w:pPr>
            <w:r>
              <w:rPr>
                <w:rFonts w:hint="eastAsia"/>
              </w:rPr>
              <w:t>对陕西未来能源的股权质押</w:t>
            </w:r>
          </w:p>
        </w:tc>
        <w:tc>
          <w:tcPr>
            <w:tcW w:w="1417" w:type="dxa"/>
            <w:shd w:val="clear" w:color="auto" w:fill="auto"/>
            <w:vAlign w:val="center"/>
          </w:tcPr>
          <w:p>
            <w:pPr>
              <w:jc w:val="right"/>
              <w:rPr>
                <w:rFonts w:ascii="宋体" w:hAnsi="宋体"/>
              </w:rPr>
            </w:pPr>
            <w:r>
              <w:rPr>
                <w:rFonts w:ascii="宋体" w:hAnsi="宋体"/>
              </w:rPr>
              <w:t>4,714,110</w:t>
            </w:r>
          </w:p>
        </w:tc>
        <w:tc>
          <w:tcPr>
            <w:tcW w:w="1418" w:type="dxa"/>
            <w:shd w:val="clear" w:color="auto" w:fill="auto"/>
            <w:vAlign w:val="center"/>
          </w:tcPr>
          <w:p>
            <w:pPr>
              <w:jc w:val="right"/>
              <w:rPr>
                <w:rFonts w:ascii="宋体" w:hAnsi="宋体"/>
              </w:rPr>
            </w:pPr>
            <w:r>
              <w:rPr>
                <w:rFonts w:ascii="宋体" w:hAnsi="宋体"/>
              </w:rPr>
              <w:t>4,714,110</w:t>
            </w:r>
          </w:p>
        </w:tc>
        <w:tc>
          <w:tcPr>
            <w:tcW w:w="708" w:type="dxa"/>
            <w:shd w:val="clear" w:color="auto" w:fill="auto"/>
            <w:vAlign w:val="center"/>
          </w:tcPr>
          <w:p>
            <w:pPr>
              <w:jc w:val="center"/>
              <w:rPr>
                <w:color w:val="000000" w:themeColor="text1"/>
              </w:rPr>
            </w:pPr>
            <w:r>
              <w:rPr>
                <w:rFonts w:hint="eastAsia"/>
              </w:rPr>
              <w:t>质押</w:t>
            </w:r>
          </w:p>
        </w:tc>
        <w:tc>
          <w:tcPr>
            <w:tcW w:w="851" w:type="dxa"/>
            <w:shd w:val="clear" w:color="auto" w:fill="auto"/>
            <w:vAlign w:val="center"/>
          </w:tcPr>
          <w:p>
            <w:pPr>
              <w:pStyle w:val="Style217"/>
            </w:pPr>
            <w:r>
              <w:rPr>
                <w:rFonts w:hint="eastAsia"/>
              </w:rPr>
              <w:t>七、17长期股权投资</w:t>
            </w:r>
          </w:p>
        </w:tc>
        <w:tc>
          <w:tcPr>
            <w:tcW w:w="1417" w:type="dxa"/>
            <w:shd w:val="clear" w:color="auto" w:fill="auto"/>
            <w:vAlign w:val="center"/>
          </w:tcPr>
          <w:p>
            <w:pPr>
              <w:jc w:val="right"/>
              <w:rPr>
                <w:rFonts w:ascii="宋体" w:hAnsi="宋体"/>
              </w:rPr>
            </w:pPr>
            <w:r>
              <w:rPr>
                <w:rFonts w:ascii="宋体" w:hAnsi="宋体"/>
              </w:rPr>
              <w:t>4,714,110</w:t>
            </w:r>
          </w:p>
        </w:tc>
        <w:tc>
          <w:tcPr>
            <w:tcW w:w="1276" w:type="dxa"/>
            <w:shd w:val="clear" w:color="auto" w:fill="auto"/>
            <w:vAlign w:val="center"/>
          </w:tcPr>
          <w:p>
            <w:pPr>
              <w:jc w:val="right"/>
              <w:rPr>
                <w:rFonts w:ascii="宋体" w:hAnsi="宋体"/>
              </w:rPr>
            </w:pPr>
            <w:r>
              <w:rPr>
                <w:rFonts w:ascii="宋体" w:hAnsi="宋体"/>
              </w:rPr>
              <w:t>4,714,110</w:t>
            </w:r>
          </w:p>
        </w:tc>
        <w:tc>
          <w:tcPr>
            <w:tcW w:w="709" w:type="dxa"/>
            <w:shd w:val="clear" w:color="auto" w:fill="auto"/>
            <w:vAlign w:val="center"/>
          </w:tcPr>
          <w:p>
            <w:pPr>
              <w:jc w:val="center"/>
              <w:rPr>
                <w:color w:val="000000" w:themeColor="text1"/>
              </w:rPr>
            </w:pPr>
            <w:r>
              <w:rPr>
                <w:rFonts w:hint="eastAsia"/>
              </w:rPr>
              <w:t>质押</w:t>
            </w:r>
          </w:p>
        </w:tc>
        <w:tc>
          <w:tcPr>
            <w:tcW w:w="850" w:type="dxa"/>
            <w:vAlign w:val="center"/>
          </w:tcPr>
          <w:p>
            <w:pPr>
              <w:pStyle w:val="Style217"/>
            </w:pPr>
            <w:r>
              <w:rPr>
                <w:rFonts w:hint="eastAsia"/>
              </w:rPr>
              <w:t>七、17长期股权投资</w:t>
            </w:r>
          </w:p>
        </w:tc>
      </w:tr>
      <w:tr>
        <w:tc>
          <w:tcPr>
            <w:tcW w:w="2411" w:type="dxa"/>
            <w:vAlign w:val="center"/>
          </w:tcPr>
          <w:p>
            <w:pPr>
              <w:pStyle w:val="Style217"/>
            </w:pPr>
            <w:r>
              <w:rPr>
                <w:rFonts w:hint="eastAsia"/>
              </w:rPr>
              <w:t>普力马煤矿总资产</w:t>
            </w:r>
          </w:p>
        </w:tc>
        <w:tc>
          <w:tcPr>
            <w:tcW w:w="1417" w:type="dxa"/>
            <w:shd w:val="clear" w:color="auto" w:fill="auto"/>
            <w:vAlign w:val="center"/>
          </w:tcPr>
          <w:p>
            <w:pPr>
              <w:jc w:val="right"/>
              <w:rPr>
                <w:rFonts w:ascii="宋体" w:hAnsi="宋体"/>
              </w:rPr>
            </w:pPr>
            <w:r>
              <w:rPr>
                <w:rFonts w:ascii="宋体" w:hAnsi="宋体"/>
              </w:rPr>
              <w:t>1,339,236</w:t>
            </w:r>
          </w:p>
        </w:tc>
        <w:tc>
          <w:tcPr>
            <w:tcW w:w="1418" w:type="dxa"/>
            <w:shd w:val="clear" w:color="auto" w:fill="auto"/>
            <w:vAlign w:val="center"/>
          </w:tcPr>
          <w:p>
            <w:pPr>
              <w:jc w:val="right"/>
              <w:rPr>
                <w:rFonts w:ascii="宋体" w:hAnsi="宋体"/>
              </w:rPr>
            </w:pPr>
            <w:r>
              <w:rPr>
                <w:rFonts w:ascii="宋体" w:hAnsi="宋体"/>
              </w:rPr>
              <w:t>1,339,236</w:t>
            </w:r>
          </w:p>
        </w:tc>
        <w:tc>
          <w:tcPr>
            <w:tcW w:w="708" w:type="dxa"/>
            <w:shd w:val="clear" w:color="auto" w:fill="auto"/>
            <w:vAlign w:val="center"/>
          </w:tcPr>
          <w:p>
            <w:pPr>
              <w:jc w:val="center"/>
              <w:rPr>
                <w:color w:val="000000" w:themeColor="text1"/>
              </w:rPr>
            </w:pPr>
            <w:r>
              <w:rPr>
                <w:rFonts w:hint="eastAsia"/>
              </w:rPr>
              <w:t>抵押</w:t>
            </w:r>
          </w:p>
        </w:tc>
        <w:tc>
          <w:tcPr>
            <w:tcW w:w="851" w:type="dxa"/>
            <w:shd w:val="clear" w:color="auto" w:fill="auto"/>
            <w:vAlign w:val="center"/>
          </w:tcPr>
          <w:p>
            <w:pPr>
              <w:pStyle w:val="Style217"/>
            </w:pPr>
            <w:r>
              <w:rPr>
                <w:rFonts w:hint="eastAsia"/>
              </w:rPr>
              <w:t>七、17长期股权投资</w:t>
            </w:r>
          </w:p>
        </w:tc>
        <w:tc>
          <w:tcPr>
            <w:tcW w:w="1417" w:type="dxa"/>
            <w:shd w:val="clear" w:color="auto" w:fill="auto"/>
            <w:vAlign w:val="center"/>
          </w:tcPr>
          <w:p>
            <w:pPr>
              <w:jc w:val="right"/>
              <w:rPr>
                <w:rFonts w:ascii="宋体" w:hAnsi="宋体"/>
              </w:rPr>
            </w:pPr>
            <w:r>
              <w:rPr>
                <w:rFonts w:ascii="宋体" w:hAnsi="宋体"/>
              </w:rPr>
              <w:t>1,204,462</w:t>
            </w:r>
          </w:p>
        </w:tc>
        <w:tc>
          <w:tcPr>
            <w:tcW w:w="1276" w:type="dxa"/>
            <w:shd w:val="clear" w:color="auto" w:fill="auto"/>
            <w:vAlign w:val="center"/>
          </w:tcPr>
          <w:p>
            <w:pPr>
              <w:jc w:val="right"/>
              <w:rPr>
                <w:rFonts w:ascii="宋体" w:hAnsi="宋体"/>
              </w:rPr>
            </w:pPr>
            <w:r>
              <w:rPr>
                <w:rFonts w:ascii="宋体" w:hAnsi="宋体"/>
              </w:rPr>
              <w:t>1,204,462</w:t>
            </w:r>
          </w:p>
        </w:tc>
        <w:tc>
          <w:tcPr>
            <w:tcW w:w="709" w:type="dxa"/>
            <w:shd w:val="clear" w:color="auto" w:fill="auto"/>
            <w:vAlign w:val="center"/>
          </w:tcPr>
          <w:p>
            <w:pPr>
              <w:jc w:val="center"/>
              <w:rPr>
                <w:color w:val="000000" w:themeColor="text1"/>
              </w:rPr>
            </w:pPr>
            <w:r>
              <w:rPr>
                <w:rFonts w:hint="eastAsia"/>
              </w:rPr>
              <w:t>抵押</w:t>
            </w:r>
          </w:p>
        </w:tc>
        <w:tc>
          <w:tcPr>
            <w:tcW w:w="850" w:type="dxa"/>
            <w:vAlign w:val="center"/>
          </w:tcPr>
          <w:p>
            <w:pPr>
              <w:pStyle w:val="Style217"/>
            </w:pPr>
            <w:r>
              <w:rPr>
                <w:rFonts w:hint="eastAsia"/>
              </w:rPr>
              <w:t>七、17长期股权投资</w:t>
            </w:r>
          </w:p>
        </w:tc>
      </w:tr>
      <w:tr>
        <w:tc>
          <w:tcPr>
            <w:tcW w:w="2411" w:type="dxa"/>
            <w:vAlign w:val="center"/>
          </w:tcPr>
          <w:p>
            <w:pPr>
              <w:pStyle w:val="Style217"/>
            </w:pPr>
            <w:r>
              <w:rPr>
                <w:rFonts w:hint="eastAsia"/>
              </w:rPr>
              <w:t>兖煤澳大利亚资源有限公司与联合煤炭工业有限公司总资产</w:t>
            </w:r>
          </w:p>
        </w:tc>
        <w:tc>
          <w:tcPr>
            <w:tcW w:w="1417" w:type="dxa"/>
            <w:shd w:val="clear" w:color="auto" w:fill="auto"/>
            <w:vAlign w:val="center"/>
          </w:tcPr>
          <w:p>
            <w:pPr>
              <w:jc w:val="right"/>
              <w:rPr>
                <w:rFonts w:ascii="宋体" w:hAnsi="宋体"/>
              </w:rPr>
            </w:pPr>
            <w:r>
              <w:rPr>
                <w:rFonts w:ascii="宋体" w:hAnsi="宋体"/>
              </w:rPr>
              <w:t>56,970,431</w:t>
            </w:r>
          </w:p>
        </w:tc>
        <w:tc>
          <w:tcPr>
            <w:tcW w:w="1418" w:type="dxa"/>
            <w:shd w:val="clear" w:color="auto" w:fill="auto"/>
            <w:vAlign w:val="center"/>
          </w:tcPr>
          <w:p>
            <w:pPr>
              <w:jc w:val="right"/>
              <w:rPr>
                <w:rFonts w:ascii="宋体" w:hAnsi="宋体"/>
              </w:rPr>
            </w:pPr>
            <w:r>
              <w:rPr>
                <w:rFonts w:ascii="宋体" w:hAnsi="宋体"/>
              </w:rPr>
              <w:t>56,970,431</w:t>
            </w:r>
          </w:p>
        </w:tc>
        <w:tc>
          <w:tcPr>
            <w:tcW w:w="708" w:type="dxa"/>
            <w:shd w:val="clear" w:color="auto" w:fill="auto"/>
            <w:vAlign w:val="center"/>
          </w:tcPr>
          <w:p>
            <w:pPr>
              <w:jc w:val="center"/>
              <w:rPr>
                <w:color w:val="000000" w:themeColor="text1"/>
              </w:rPr>
            </w:pPr>
            <w:r>
              <w:rPr>
                <w:rFonts w:hint="eastAsia"/>
              </w:rPr>
              <w:t>抵押</w:t>
            </w:r>
          </w:p>
        </w:tc>
        <w:tc>
          <w:tcPr>
            <w:tcW w:w="851" w:type="dxa"/>
            <w:shd w:val="clear" w:color="auto" w:fill="auto"/>
            <w:vAlign w:val="center"/>
          </w:tcPr>
          <w:p>
            <w:pPr>
              <w:pStyle w:val="Style217"/>
            </w:pPr>
            <w:r>
              <w:rPr>
                <w:rFonts w:hint="eastAsia"/>
              </w:rPr>
              <w:t>授信额度的抵押</w:t>
            </w:r>
          </w:p>
        </w:tc>
        <w:tc>
          <w:tcPr>
            <w:tcW w:w="1417" w:type="dxa"/>
            <w:shd w:val="clear" w:color="auto" w:fill="auto"/>
            <w:vAlign w:val="center"/>
          </w:tcPr>
          <w:p>
            <w:pPr>
              <w:jc w:val="right"/>
              <w:rPr>
                <w:rFonts w:ascii="宋体" w:hAnsi="宋体"/>
              </w:rPr>
            </w:pPr>
            <w:r>
              <w:rPr>
                <w:rFonts w:ascii="宋体" w:hAnsi="宋体"/>
              </w:rPr>
              <w:t>51,479,329</w:t>
            </w:r>
          </w:p>
        </w:tc>
        <w:tc>
          <w:tcPr>
            <w:tcW w:w="1276" w:type="dxa"/>
            <w:shd w:val="clear" w:color="auto" w:fill="auto"/>
            <w:vAlign w:val="center"/>
          </w:tcPr>
          <w:p>
            <w:pPr>
              <w:jc w:val="right"/>
              <w:rPr>
                <w:rFonts w:ascii="宋体" w:hAnsi="宋体"/>
              </w:rPr>
            </w:pPr>
            <w:r>
              <w:rPr>
                <w:rFonts w:ascii="宋体" w:hAnsi="宋体"/>
              </w:rPr>
              <w:t>51,479,329</w:t>
            </w:r>
          </w:p>
        </w:tc>
        <w:tc>
          <w:tcPr>
            <w:tcW w:w="709" w:type="dxa"/>
            <w:shd w:val="clear" w:color="auto" w:fill="auto"/>
            <w:vAlign w:val="center"/>
          </w:tcPr>
          <w:sdt>
            <w:sdtPr>
              <w:rPr>
                <w:color w:val="000000" w:themeColor="text1"/>
              </w:rPr>
              <w:alias w:val="所有权或使用权受到限制的资产明细-受限类型"/>
              <w:tag w:val="_GBC_b82779f51d5e4dd19234862e2e305177"/>
              <w:id w:val="-182988748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p>
                <w:pPr>
                  <w:jc w:val="center"/>
                  <w:rPr>
                    <w:color w:val="000000" w:themeColor="text1"/>
                  </w:rPr>
                </w:pPr>
                <w:r>
                  <w:rPr>
                    <w:color w:val="000000" w:themeColor="text1"/>
                  </w:rPr>
                  <w:t>抵押</w:t>
                </w:r>
              </w:p>
            </w:sdtContent>
          </w:sdt>
        </w:tc>
        <w:tc>
          <w:tcPr>
            <w:tcW w:w="850" w:type="dxa"/>
            <w:vAlign w:val="center"/>
          </w:tcPr>
          <w:p>
            <w:pPr>
              <w:pStyle w:val="Style217"/>
            </w:pPr>
            <w:r>
              <w:rPr>
                <w:rFonts w:hint="eastAsia"/>
              </w:rPr>
              <w:t>授信额度的抵押</w:t>
            </w:r>
          </w:p>
        </w:tc>
      </w:tr>
      <w:tr>
        <w:tc>
          <w:tcPr>
            <w:tcW w:w="2411" w:type="dxa"/>
            <w:vAlign w:val="center"/>
          </w:tcPr>
          <w:p>
            <w:pPr>
              <w:jc w:val="center"/>
              <w:rPr>
                <w:color w:val="000000" w:themeColor="text1"/>
              </w:rPr>
            </w:pPr>
            <w:r>
              <w:rPr>
                <w:color w:val="000000" w:themeColor="text1"/>
              </w:rPr>
              <w:t>合计</w:t>
            </w:r>
          </w:p>
        </w:tc>
        <w:tc>
          <w:tcPr>
            <w:tcW w:w="1417" w:type="dxa"/>
            <w:shd w:val="clear" w:color="auto" w:fill="auto"/>
            <w:vAlign w:val="center"/>
          </w:tcPr>
          <w:p>
            <w:pPr>
              <w:jc w:val="right"/>
              <w:rPr>
                <w:rFonts w:ascii="宋体" w:hAnsi="宋体"/>
              </w:rPr>
            </w:pPr>
            <w:r>
              <w:rPr>
                <w:rFonts w:ascii="宋体" w:hAnsi="宋体"/>
              </w:rPr>
              <w:t>85,700,746</w:t>
            </w:r>
          </w:p>
        </w:tc>
        <w:tc>
          <w:tcPr>
            <w:tcW w:w="1418" w:type="dxa"/>
            <w:shd w:val="clear" w:color="auto" w:fill="auto"/>
            <w:vAlign w:val="center"/>
          </w:tcPr>
          <w:p>
            <w:pPr>
              <w:jc w:val="right"/>
              <w:rPr>
                <w:rFonts w:ascii="宋体" w:hAnsi="宋体"/>
              </w:rPr>
            </w:pPr>
            <w:r>
              <w:rPr>
                <w:rFonts w:ascii="宋体" w:hAnsi="宋体"/>
              </w:rPr>
              <w:t>85,700,746</w:t>
            </w:r>
          </w:p>
        </w:tc>
        <w:tc>
          <w:tcPr>
            <w:tcW w:w="708" w:type="dxa"/>
            <w:shd w:val="clear" w:color="auto" w:fill="auto"/>
            <w:vAlign w:val="center"/>
          </w:tcPr>
          <w:p>
            <w:pPr>
              <w:jc w:val="center"/>
              <w:rPr>
                <w:color w:val="000000" w:themeColor="text1"/>
              </w:rPr>
            </w:pPr>
            <w:r>
              <w:rPr>
                <w:color w:val="000000" w:themeColor="text1"/>
              </w:rPr>
              <w:t>/</w:t>
            </w:r>
          </w:p>
        </w:tc>
        <w:tc>
          <w:tcPr>
            <w:tcW w:w="851" w:type="dxa"/>
            <w:shd w:val="clear" w:color="auto" w:fill="auto"/>
            <w:vAlign w:val="center"/>
          </w:tcPr>
          <w:p>
            <w:pPr>
              <w:jc w:val="center"/>
              <w:rPr>
                <w:color w:val="000000" w:themeColor="text1"/>
              </w:rPr>
            </w:pPr>
            <w:r>
              <w:rPr>
                <w:color w:val="000000" w:themeColor="text1"/>
              </w:rPr>
              <w:t>/</w:t>
            </w:r>
          </w:p>
        </w:tc>
        <w:tc>
          <w:tcPr>
            <w:tcW w:w="1417" w:type="dxa"/>
            <w:shd w:val="clear" w:color="auto" w:fill="auto"/>
          </w:tcPr>
          <w:p>
            <w:pPr>
              <w:jc w:val="right"/>
              <w:rPr>
                <w:rFonts w:ascii="宋体" w:hAnsi="宋体"/>
              </w:rPr>
            </w:pPr>
            <w:r>
              <w:rPr>
                <w:rFonts w:ascii="宋体" w:hAnsi="宋体"/>
              </w:rPr>
              <w:t>84,800,521</w:t>
            </w:r>
          </w:p>
        </w:tc>
        <w:tc>
          <w:tcPr>
            <w:tcW w:w="1276" w:type="dxa"/>
            <w:shd w:val="clear" w:color="auto" w:fill="auto"/>
            <w:vAlign w:val="center"/>
          </w:tcPr>
          <w:p>
            <w:pPr>
              <w:jc w:val="right"/>
              <w:rPr>
                <w:rFonts w:ascii="宋体" w:hAnsi="宋体"/>
              </w:rPr>
            </w:pPr>
            <w:r>
              <w:rPr>
                <w:rFonts w:ascii="宋体" w:hAnsi="宋体"/>
              </w:rPr>
              <w:t>84,800,124</w:t>
            </w:r>
          </w:p>
        </w:tc>
        <w:tc>
          <w:tcPr>
            <w:tcW w:w="709" w:type="dxa"/>
            <w:shd w:val="clear" w:color="auto" w:fill="auto"/>
            <w:vAlign w:val="center"/>
          </w:tcPr>
          <w:p>
            <w:pPr>
              <w:jc w:val="center"/>
              <w:rPr>
                <w:color w:val="000000" w:themeColor="text1"/>
              </w:rPr>
            </w:pPr>
            <w:r>
              <w:rPr>
                <w:color w:val="000000" w:themeColor="text1"/>
              </w:rPr>
              <w:t>/</w:t>
            </w:r>
          </w:p>
        </w:tc>
        <w:tc>
          <w:tcPr>
            <w:tcW w:w="850" w:type="dxa"/>
            <w:vAlign w:val="center"/>
          </w:tcPr>
          <w:p>
            <w:pPr>
              <w:jc w:val="center"/>
              <w:rPr>
                <w:color w:val="000000" w:themeColor="text1"/>
              </w:rPr>
            </w:pPr>
            <w:r>
              <w:rPr>
                <w:color w:val="000000" w:themeColor="text1"/>
              </w:rPr>
              <w:t>/</w:t>
            </w:r>
          </w:p>
        </w:tc>
      </w:tr>
    </w:tbl>
    <w:p>
      <w:pPr>
        <w:pStyle w:val="Style217"/>
      </w:pPr>
    </w:p>
    <w:p>
      <w:pPr>
        <w:spacing w:before="60" w:after="60"/>
        <w:rPr>
          <w:color w:val="000000" w:themeColor="text1"/>
        </w:rPr>
      </w:pPr>
      <w:r>
        <w:rPr>
          <w:rFonts w:hint="eastAsia"/>
          <w:color w:val="000000" w:themeColor="text1"/>
        </w:rPr>
        <w:t>其他说明：</w:t>
      </w:r>
    </w:p>
    <w:sdt>
      <w:sdtPr>
        <w:rPr>
          <w:color w:val="000000" w:themeColor="text1"/>
        </w:rPr>
        <w:alias w:val="所有权或使用权受到限制的资产的其他说明"/>
        <w:tag w:val="_GBC_cb6598cbee3c4c8881c3583f4da2f049"/>
        <w:id w:val="1993598842"/>
        <w:placeholder>
          <w:docPart w:val="GBC22222222222222222222222222222"/>
        </w:placeholder>
      </w:sdtPr>
      <w:sdtContent>
        <w:p>
          <w:pPr>
            <w:rPr>
              <w:color w:val="000000" w:themeColor="text1"/>
            </w:rPr>
          </w:pPr>
          <w:r>
            <w:rPr>
              <w:rFonts w:hint="eastAsia"/>
              <w:color w:val="000000" w:themeColor="text1"/>
            </w:rPr>
            <w:t>-</w:t>
          </w:r>
        </w:p>
      </w:sdtContent>
    </w:sdt>
    <w:bookmarkEnd w:id="482"/>
    <w:p>
      <w:pPr>
        <w:pStyle w:val="Style217"/>
      </w:pPr>
    </w:p>
    <w:p>
      <w:pPr>
        <w:pStyle w:val="Style178"/>
        <w:numPr>
          <w:ilvl w:val="0"/>
          <w:numId w:val="75"/>
        </w:numPr>
        <w:rPr>
          <w:szCs w:val="21"/>
        </w:rPr>
      </w:pPr>
      <w:r>
        <w:rPr>
          <w:szCs w:val="21"/>
        </w:rPr>
        <w:lastRenderedPageBreak/>
        <w:t>短期借款</w:t>
      </w:r>
    </w:p>
    <w:p>
      <w:pPr>
        <w:pStyle w:val="Style179"/>
        <w:numPr>
          <w:ilvl w:val="0"/>
          <w:numId w:val="98"/>
        </w:numPr>
        <w:ind w:left="426" w:hanging="426"/>
      </w:pPr>
      <w:r>
        <w:rPr>
          <w:rFonts w:hint="eastAsia"/>
        </w:rPr>
        <w:t>短期借款分类</w:t>
      </w:r>
    </w:p>
    <w:sdt>
      <w:sdtPr>
        <w:alias w:val="是否适用：短期借款分类[双击切换]"/>
        <w:tag w:val="_GBC_d7624f1054024527b72d59c4122e81cb"/>
        <w:id w:val="-151576053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短期借款分类"/>
          <w:tag w:val="_GBC_8d30fbb8785645499f9234dccd6e5b81"/>
          <w:id w:val="6106352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短期借款分类"/>
          <w:tag w:val="_GBC_f7294c19819e4515b1d98b3d42f8d07c"/>
          <w:id w:val="12907011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88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68"/>
        <w:gridCol w:w="3002"/>
        <w:gridCol w:w="3020"/>
      </w:tblGrid>
      <w:tr>
        <w:trPr>
          <w:cantSplit/>
        </w:trPr>
        <w:sdt>
          <w:sdtPr>
            <w:tag w:val="_PLD_7d518e78e06f4dc9b46aae7b6b47fd01"/>
            <w:id w:val="123363521"/>
          </w:sdtPr>
          <w:sdtContent>
            <w:tc>
              <w:tcPr>
                <w:tcW w:w="2868" w:type="dxa"/>
                <w:vAlign w:val="center"/>
              </w:tcPr>
              <w:p>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da187315847461e8ed854d1807d3b14"/>
            <w:id w:val="399021609"/>
          </w:sdtPr>
          <w:sdtContent>
            <w:tc>
              <w:tcPr>
                <w:tcW w:w="3002" w:type="dxa"/>
                <w:vAlign w:val="center"/>
              </w:tcPr>
              <w:p>
                <w:pPr>
                  <w:jc w:val="center"/>
                  <w:rPr>
                    <w:color w:val="000000" w:themeColor="text1"/>
                  </w:rPr>
                </w:pPr>
                <w:r>
                  <w:rPr>
                    <w:rFonts w:hint="eastAsia"/>
                    <w:color w:val="000000" w:themeColor="text1"/>
                  </w:rPr>
                  <w:t>期末余额</w:t>
                </w:r>
              </w:p>
            </w:tc>
          </w:sdtContent>
        </w:sdt>
        <w:sdt>
          <w:sdtPr>
            <w:tag w:val="_PLD_805e4b849be14c0ab0ca7f324971119b"/>
            <w:id w:val="-205489182"/>
          </w:sdtPr>
          <w:sdtContent>
            <w:tc>
              <w:tcPr>
                <w:tcW w:w="3020" w:type="dxa"/>
                <w:vAlign w:val="center"/>
              </w:tcPr>
              <w:p>
                <w:pPr>
                  <w:jc w:val="center"/>
                  <w:rPr>
                    <w:color w:val="000000" w:themeColor="text1"/>
                  </w:rPr>
                </w:pPr>
                <w:r>
                  <w:rPr>
                    <w:rFonts w:hint="eastAsia"/>
                    <w:color w:val="000000" w:themeColor="text1"/>
                  </w:rPr>
                  <w:t>期初余额</w:t>
                </w:r>
              </w:p>
            </w:tc>
          </w:sdtContent>
        </w:sdt>
      </w:tr>
      <w:tr>
        <w:trPr>
          <w:cantSplit/>
        </w:trPr>
        <w:tc>
          <w:tcPr>
            <w:tcW w:w="2868" w:type="dxa"/>
            <w:vAlign w:val="center"/>
          </w:tcPr>
          <w:p>
            <w:pPr>
              <w:autoSpaceDE w:val="0"/>
              <w:autoSpaceDN w:val="0"/>
              <w:adjustRightInd w:val="0"/>
              <w:snapToGrid w:val="0"/>
              <w:spacing w:line="240" w:lineRule="atLeast"/>
              <w:jc w:val="both"/>
              <w:rPr>
                <w:color w:val="000000" w:themeColor="text1"/>
              </w:rPr>
            </w:pPr>
            <w:r>
              <w:rPr>
                <w:rFonts w:ascii="宋体" w:hAnsi="宋体" w:hint="eastAsia"/>
              </w:rPr>
              <w:t>信用借款</w:t>
            </w:r>
          </w:p>
        </w:tc>
        <w:tc>
          <w:tcPr>
            <w:tcW w:w="3002" w:type="dxa"/>
            <w:vAlign w:val="center"/>
          </w:tcPr>
          <w:p>
            <w:pPr>
              <w:autoSpaceDE w:val="0"/>
              <w:autoSpaceDN w:val="0"/>
              <w:adjustRightInd w:val="0"/>
              <w:snapToGrid w:val="0"/>
              <w:spacing w:line="240" w:lineRule="atLeast"/>
              <w:ind w:right="180"/>
              <w:jc w:val="right"/>
              <w:rPr>
                <w:rFonts w:ascii="宋体" w:hAnsi="宋体"/>
              </w:rPr>
            </w:pPr>
            <w:r>
              <w:rPr>
                <w:rFonts w:ascii="宋体" w:hAnsi="宋体"/>
              </w:rPr>
              <w:t>20,684,167</w:t>
            </w:r>
          </w:p>
        </w:tc>
        <w:tc>
          <w:tcPr>
            <w:tcW w:w="3020" w:type="dxa"/>
            <w:vAlign w:val="center"/>
          </w:tcPr>
          <w:p>
            <w:pPr>
              <w:autoSpaceDE w:val="0"/>
              <w:autoSpaceDN w:val="0"/>
              <w:adjustRightInd w:val="0"/>
              <w:snapToGrid w:val="0"/>
              <w:spacing w:line="240" w:lineRule="atLeast"/>
              <w:ind w:right="180"/>
              <w:jc w:val="right"/>
              <w:rPr>
                <w:rFonts w:ascii="宋体" w:hAnsi="宋体"/>
              </w:rPr>
            </w:pPr>
            <w:r>
              <w:rPr>
                <w:rFonts w:ascii="宋体" w:hAnsi="宋体"/>
              </w:rPr>
              <w:t>8,637,662</w:t>
            </w:r>
          </w:p>
        </w:tc>
      </w:tr>
      <w:tr>
        <w:trPr>
          <w:cantSplit/>
        </w:trPr>
        <w:tc>
          <w:tcPr>
            <w:tcW w:w="2868" w:type="dxa"/>
            <w:vAlign w:val="center"/>
          </w:tcPr>
          <w:p>
            <w:pPr>
              <w:autoSpaceDE w:val="0"/>
              <w:autoSpaceDN w:val="0"/>
              <w:adjustRightInd w:val="0"/>
              <w:snapToGrid w:val="0"/>
              <w:spacing w:line="240" w:lineRule="atLeast"/>
              <w:jc w:val="both"/>
              <w:rPr>
                <w:color w:val="000000" w:themeColor="text1"/>
              </w:rPr>
            </w:pPr>
            <w:r>
              <w:rPr>
                <w:rFonts w:ascii="宋体" w:hAnsi="宋体" w:hint="eastAsia"/>
              </w:rPr>
              <w:t>抵押借款</w:t>
            </w:r>
          </w:p>
        </w:tc>
        <w:tc>
          <w:tcPr>
            <w:tcW w:w="3002" w:type="dxa"/>
            <w:vAlign w:val="center"/>
          </w:tcPr>
          <w:p>
            <w:pPr>
              <w:autoSpaceDE w:val="0"/>
              <w:autoSpaceDN w:val="0"/>
              <w:adjustRightInd w:val="0"/>
              <w:snapToGrid w:val="0"/>
              <w:spacing w:line="240" w:lineRule="atLeast"/>
              <w:ind w:right="180"/>
              <w:jc w:val="right"/>
              <w:rPr>
                <w:rFonts w:ascii="宋体" w:hAnsi="宋体"/>
              </w:rPr>
            </w:pPr>
            <w:r>
              <w:rPr>
                <w:rFonts w:ascii="宋体" w:hAnsi="宋体" w:hint="eastAsia"/>
              </w:rPr>
              <w:t>26,000</w:t>
            </w:r>
          </w:p>
        </w:tc>
        <w:tc>
          <w:tcPr>
            <w:tcW w:w="3020" w:type="dxa"/>
            <w:vAlign w:val="center"/>
          </w:tcPr>
          <w:p>
            <w:pPr>
              <w:autoSpaceDE w:val="0"/>
              <w:autoSpaceDN w:val="0"/>
              <w:adjustRightInd w:val="0"/>
              <w:snapToGrid w:val="0"/>
              <w:spacing w:line="240" w:lineRule="atLeast"/>
              <w:ind w:right="180"/>
              <w:jc w:val="right"/>
              <w:rPr>
                <w:rFonts w:ascii="宋体" w:hAnsi="宋体"/>
              </w:rPr>
            </w:pPr>
            <w:r>
              <w:rPr>
                <w:rFonts w:ascii="宋体" w:hAnsi="宋体" w:hint="eastAsia"/>
              </w:rPr>
              <w:t>26,000</w:t>
            </w:r>
          </w:p>
        </w:tc>
      </w:tr>
      <w:tr>
        <w:trPr>
          <w:cantSplit/>
        </w:trPr>
        <w:tc>
          <w:tcPr>
            <w:tcW w:w="2868" w:type="dxa"/>
            <w:vAlign w:val="center"/>
          </w:tcPr>
          <w:p>
            <w:pPr>
              <w:autoSpaceDE w:val="0"/>
              <w:autoSpaceDN w:val="0"/>
              <w:adjustRightInd w:val="0"/>
              <w:snapToGrid w:val="0"/>
              <w:spacing w:line="240" w:lineRule="atLeast"/>
              <w:jc w:val="both"/>
              <w:rPr>
                <w:color w:val="000000" w:themeColor="text1"/>
              </w:rPr>
            </w:pPr>
            <w:r>
              <w:rPr>
                <w:rFonts w:ascii="宋体" w:hAnsi="宋体" w:hint="eastAsia"/>
              </w:rPr>
              <w:t>保证借款</w:t>
            </w:r>
          </w:p>
        </w:tc>
        <w:tc>
          <w:tcPr>
            <w:tcW w:w="3002" w:type="dxa"/>
            <w:vAlign w:val="center"/>
          </w:tcPr>
          <w:p>
            <w:pPr>
              <w:autoSpaceDE w:val="0"/>
              <w:autoSpaceDN w:val="0"/>
              <w:adjustRightInd w:val="0"/>
              <w:snapToGrid w:val="0"/>
              <w:spacing w:line="240" w:lineRule="atLeast"/>
              <w:ind w:right="180"/>
              <w:jc w:val="right"/>
              <w:rPr>
                <w:rFonts w:ascii="宋体" w:hAnsi="宋体"/>
              </w:rPr>
            </w:pPr>
          </w:p>
        </w:tc>
        <w:tc>
          <w:tcPr>
            <w:tcW w:w="3020" w:type="dxa"/>
            <w:vAlign w:val="center"/>
          </w:tcPr>
          <w:p>
            <w:pPr>
              <w:autoSpaceDE w:val="0"/>
              <w:autoSpaceDN w:val="0"/>
              <w:adjustRightInd w:val="0"/>
              <w:snapToGrid w:val="0"/>
              <w:spacing w:line="240" w:lineRule="atLeast"/>
              <w:ind w:right="180"/>
              <w:jc w:val="right"/>
              <w:rPr>
                <w:rFonts w:ascii="宋体" w:hAnsi="宋体"/>
              </w:rPr>
            </w:pPr>
            <w:r>
              <w:rPr>
                <w:rFonts w:ascii="宋体" w:hAnsi="宋体" w:hint="eastAsia"/>
              </w:rPr>
              <w:t>220,000</w:t>
            </w:r>
          </w:p>
        </w:tc>
      </w:tr>
      <w:tr>
        <w:trPr>
          <w:cantSplit/>
        </w:trPr>
        <w:tc>
          <w:tcPr>
            <w:tcW w:w="2868" w:type="dxa"/>
            <w:vAlign w:val="center"/>
          </w:tcPr>
          <w:p>
            <w:pPr>
              <w:autoSpaceDE w:val="0"/>
              <w:autoSpaceDN w:val="0"/>
              <w:adjustRightInd w:val="0"/>
              <w:snapToGrid w:val="0"/>
              <w:spacing w:line="240" w:lineRule="atLeast"/>
            </w:pPr>
            <w:r>
              <w:rPr>
                <w:rFonts w:ascii="宋体" w:hAnsi="宋体" w:hint="eastAsia"/>
              </w:rPr>
              <w:t>质押借款</w:t>
            </w:r>
          </w:p>
        </w:tc>
        <w:tc>
          <w:tcPr>
            <w:tcW w:w="3002" w:type="dxa"/>
            <w:vAlign w:val="center"/>
          </w:tcPr>
          <w:p>
            <w:pPr>
              <w:autoSpaceDE w:val="0"/>
              <w:autoSpaceDN w:val="0"/>
              <w:adjustRightInd w:val="0"/>
              <w:snapToGrid w:val="0"/>
              <w:spacing w:line="240" w:lineRule="atLeast"/>
              <w:ind w:right="180"/>
              <w:jc w:val="right"/>
              <w:rPr>
                <w:rFonts w:ascii="宋体" w:hAnsi="宋体"/>
              </w:rPr>
            </w:pPr>
            <w:r>
              <w:rPr>
                <w:rFonts w:ascii="宋体" w:hAnsi="宋体"/>
              </w:rPr>
              <w:t>244,513</w:t>
            </w:r>
          </w:p>
        </w:tc>
        <w:tc>
          <w:tcPr>
            <w:tcW w:w="3020" w:type="dxa"/>
            <w:vAlign w:val="center"/>
          </w:tcPr>
          <w:p>
            <w:pPr>
              <w:autoSpaceDE w:val="0"/>
              <w:autoSpaceDN w:val="0"/>
              <w:adjustRightInd w:val="0"/>
              <w:snapToGrid w:val="0"/>
              <w:spacing w:line="240" w:lineRule="atLeast"/>
              <w:ind w:right="180"/>
              <w:jc w:val="right"/>
              <w:rPr>
                <w:rFonts w:ascii="宋体" w:hAnsi="宋体"/>
              </w:rPr>
            </w:pPr>
          </w:p>
        </w:tc>
      </w:tr>
      <w:tr>
        <w:trPr>
          <w:cantSplit/>
        </w:trPr>
        <w:tc>
          <w:tcPr>
            <w:tcW w:w="2868" w:type="dxa"/>
            <w:vAlign w:val="center"/>
          </w:tcPr>
          <w:p>
            <w:pPr>
              <w:autoSpaceDE w:val="0"/>
              <w:autoSpaceDN w:val="0"/>
              <w:adjustRightInd w:val="0"/>
              <w:snapToGrid w:val="0"/>
              <w:spacing w:line="240" w:lineRule="atLeast"/>
            </w:pPr>
            <w:r>
              <w:rPr>
                <w:rFonts w:ascii="宋体" w:hAnsi="宋体" w:hint="eastAsia"/>
              </w:rPr>
              <w:t>应付利息</w:t>
            </w:r>
          </w:p>
        </w:tc>
        <w:tc>
          <w:tcPr>
            <w:tcW w:w="3002" w:type="dxa"/>
            <w:vAlign w:val="center"/>
          </w:tcPr>
          <w:p>
            <w:pPr>
              <w:autoSpaceDE w:val="0"/>
              <w:autoSpaceDN w:val="0"/>
              <w:adjustRightInd w:val="0"/>
              <w:snapToGrid w:val="0"/>
              <w:spacing w:line="240" w:lineRule="atLeast"/>
              <w:ind w:right="180"/>
              <w:jc w:val="right"/>
              <w:rPr>
                <w:rFonts w:ascii="宋体" w:hAnsi="宋体"/>
              </w:rPr>
            </w:pPr>
            <w:r>
              <w:rPr>
                <w:rFonts w:ascii="宋体" w:hAnsi="宋体" w:hint="eastAsia"/>
              </w:rPr>
              <w:t>3,501</w:t>
            </w:r>
          </w:p>
        </w:tc>
        <w:tc>
          <w:tcPr>
            <w:tcW w:w="3020" w:type="dxa"/>
            <w:vAlign w:val="center"/>
          </w:tcPr>
          <w:p>
            <w:pPr>
              <w:autoSpaceDE w:val="0"/>
              <w:autoSpaceDN w:val="0"/>
              <w:adjustRightInd w:val="0"/>
              <w:snapToGrid w:val="0"/>
              <w:spacing w:line="240" w:lineRule="atLeast"/>
              <w:ind w:right="180"/>
              <w:jc w:val="right"/>
              <w:rPr>
                <w:rFonts w:ascii="宋体" w:hAnsi="宋体"/>
              </w:rPr>
            </w:pPr>
            <w:r>
              <w:rPr>
                <w:rFonts w:ascii="宋体" w:hAnsi="宋体" w:hint="eastAsia"/>
              </w:rPr>
              <w:t>9,054</w:t>
            </w:r>
          </w:p>
        </w:tc>
      </w:tr>
      <w:tr>
        <w:trPr>
          <w:cantSplit/>
        </w:trPr>
        <w:tc>
          <w:tcPr>
            <w:tcW w:w="2868" w:type="dxa"/>
            <w:vAlign w:val="center"/>
          </w:tcPr>
          <w:p>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3002" w:type="dxa"/>
            <w:vAlign w:val="center"/>
          </w:tcPr>
          <w:p>
            <w:pPr>
              <w:autoSpaceDE w:val="0"/>
              <w:autoSpaceDN w:val="0"/>
              <w:adjustRightInd w:val="0"/>
              <w:snapToGrid w:val="0"/>
              <w:spacing w:line="240" w:lineRule="atLeast"/>
              <w:ind w:right="180"/>
              <w:jc w:val="right"/>
              <w:rPr>
                <w:rFonts w:ascii="宋体" w:hAnsi="宋体"/>
              </w:rPr>
            </w:pPr>
            <w:r>
              <w:rPr>
                <w:rFonts w:ascii="宋体" w:hAnsi="宋体"/>
              </w:rPr>
              <w:t>20,958,181</w:t>
            </w:r>
          </w:p>
        </w:tc>
        <w:tc>
          <w:tcPr>
            <w:tcW w:w="3020" w:type="dxa"/>
            <w:vAlign w:val="center"/>
          </w:tcPr>
          <w:p>
            <w:pPr>
              <w:autoSpaceDE w:val="0"/>
              <w:autoSpaceDN w:val="0"/>
              <w:adjustRightInd w:val="0"/>
              <w:snapToGrid w:val="0"/>
              <w:spacing w:line="240" w:lineRule="atLeast"/>
              <w:ind w:right="180"/>
              <w:jc w:val="right"/>
              <w:rPr>
                <w:rFonts w:ascii="宋体" w:hAnsi="宋体"/>
              </w:rPr>
            </w:pPr>
            <w:r>
              <w:rPr>
                <w:rFonts w:ascii="宋体" w:hAnsi="宋体"/>
              </w:rPr>
              <w:t>8,892,716</w:t>
            </w:r>
          </w:p>
        </w:tc>
      </w:tr>
    </w:tbl>
    <w:p>
      <w:pPr>
        <w:snapToGrid w:val="0"/>
        <w:spacing w:line="240" w:lineRule="atLeast"/>
        <w:rPr>
          <w:color w:val="000000" w:themeColor="text1"/>
        </w:rPr>
      </w:pPr>
      <w:r>
        <w:rPr>
          <w:rFonts w:hint="eastAsia"/>
          <w:color w:val="000000" w:themeColor="text1"/>
        </w:rPr>
        <w:t>短期借款分类的说明：</w:t>
      </w:r>
    </w:p>
    <w:sdt>
      <w:sdtPr>
        <w:rPr>
          <w:rFonts w:ascii="Times New Roman" w:hAnsi="Times New Roman" w:cs="Times New Roman"/>
          <w:color w:val="FF0000"/>
          <w:kern w:val="0"/>
          <w:szCs w:val="21"/>
          <w14:ligatures w14:val="none"/>
        </w:rPr>
        <w:alias w:val="短期借款分类的说明"/>
        <w:tag w:val="_GBC_39c88fc069c44763b7ed661bff072142"/>
        <w:id w:val="-332833272"/>
        <w:placeholder>
          <w:docPart w:val="GBC22222222222222222222222222222"/>
        </w:placeholder>
      </w:sdtPr>
      <w:sdtEndPr>
        <w:rPr>
          <w:rFonts w:ascii="宋体" w:hAnsiTheme="minorHAnsi" w:cstheme="minorBidi"/>
          <w:kern w:val="2"/>
          <w:szCs w:val="18"/>
          <w14:ligatures w14:val="standardContextual"/>
        </w:rPr>
      </w:sdtEndPr>
      <w:sdtContent>
        <w:p>
          <w:pPr>
            <w:pStyle w:val="Style2061"/>
            <w:spacing w:after="120"/>
            <w:ind w:firstLine="400"/>
            <w:rPr>
              <w:sz w:val="21"/>
              <w:szCs w:val="21"/>
            </w:rPr>
          </w:pPr>
          <w:r>
            <w:rPr>
              <w:rFonts w:hint="eastAsia"/>
              <w:sz w:val="21"/>
              <w:szCs w:val="21"/>
            </w:rPr>
            <w:t>注1：短期借款中人民币借款利率在1.98%至3.50%之间。</w:t>
          </w:r>
        </w:p>
        <w:p>
          <w:pPr>
            <w:pStyle w:val="Style2061"/>
            <w:spacing w:afterLines="0" w:after="0"/>
            <w:rPr>
              <w:sz w:val="21"/>
              <w:szCs w:val="21"/>
            </w:rPr>
          </w:pPr>
          <w:r>
            <w:rPr>
              <w:rFonts w:hint="eastAsia"/>
              <w:sz w:val="21"/>
              <w:szCs w:val="21"/>
            </w:rPr>
            <w:t>注2：短期借款中的抵押借款26,000千元的抵押物为卡松科技润滑材料项目的房屋所有权，账面价值为59,601.03千元；及土地使用权，账面价值为11,780.06千元。</w:t>
          </w:r>
        </w:p>
        <w:p>
          <w:pPr>
            <w:pStyle w:val="Style241"/>
            <w:spacing w:after="120"/>
          </w:pPr>
          <w:r>
            <w:rPr>
              <w:rFonts w:hint="eastAsia"/>
              <w:color w:val="auto"/>
              <w:sz w:val="21"/>
              <w:szCs w:val="21"/>
            </w:rPr>
            <w:t>注3：短期借款中的质押借款244,513千元为本集团内公司将应收票据中未到期但已贴现进行重分类所致。</w:t>
          </w:r>
        </w:p>
      </w:sdtContent>
    </w:sdt>
    <w:p>
      <w:pPr>
        <w:snapToGrid w:val="0"/>
        <w:spacing w:line="240" w:lineRule="atLeast"/>
        <w:rPr>
          <w:color w:val="000000" w:themeColor="text1"/>
        </w:rPr>
      </w:pPr>
    </w:p>
    <w:p>
      <w:pPr>
        <w:pStyle w:val="Style179"/>
        <w:numPr>
          <w:ilvl w:val="0"/>
          <w:numId w:val="98"/>
        </w:numPr>
        <w:ind w:left="426" w:hanging="426"/>
      </w:pPr>
      <w:r>
        <w:rPr>
          <w:rFonts w:hint="eastAsia"/>
        </w:rPr>
        <w:t>已逾期未偿还的短期借款情况</w:t>
      </w:r>
    </w:p>
    <w:sdt>
      <w:sdtPr>
        <w:alias w:val="是否适用：已逾期未偿还的短期借款情况[双击切换]"/>
        <w:tag w:val="_GBC_b92057263cbf4b81a96df7b9d664c576"/>
        <w:id w:val="-127223185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t>其中重要的已逾期未偿还的短期借款情况如下：</w:t>
      </w:r>
    </w:p>
    <w:sdt>
      <w:sdtPr>
        <w:alias w:val="是否适用：其中重要的已逾期未偿还的短期借款情况[双击切换]"/>
        <w:tag w:val="_GBC_7c9437a678604c0382802a3e97f4d126"/>
        <w:id w:val="116404829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是否适用：短期借款的说明[双击切换]"/>
        <w:tag w:val="_GBC_c52256f82238457bbb4708bc99652730"/>
        <w:id w:val="-13564373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bookmarkStart w:id="483" w:name="_Hlk533422954"/>
      <w:bookmarkStart w:id="484" w:name="_Hlk533670147"/>
      <w:r>
        <w:rPr>
          <w:szCs w:val="21"/>
        </w:rPr>
        <w:t>交易性金融负债</w:t>
      </w:r>
    </w:p>
    <w:sdt>
      <w:sdtPr>
        <w:alias w:val="是否适用：交易性金融负债[双击切换]"/>
        <w:tag w:val="_GBC_c7e98597070f45a4a30160e35e818445"/>
        <w:id w:val="-214634572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w:t>
      </w:r>
      <w:r>
        <w:t>说明</w:t>
      </w:r>
      <w:r>
        <w:rPr>
          <w:rFonts w:hint="eastAsia"/>
        </w:rPr>
        <w:t>：</w:t>
      </w:r>
    </w:p>
    <w:sdt>
      <w:sdtPr>
        <w:alias w:val="是否适用：交易性金融负债的说明[双击切换]"/>
        <w:tag w:val="_GBC_995f4c24d1994336b676a94c12f11d69"/>
        <w:id w:val="-25774888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483"/>
    <w:bookmarkEnd w:id="484"/>
    <w:p>
      <w:pPr>
        <w:pStyle w:val="Style178"/>
        <w:numPr>
          <w:ilvl w:val="0"/>
          <w:numId w:val="75"/>
        </w:numPr>
        <w:rPr>
          <w:szCs w:val="21"/>
        </w:rPr>
      </w:pPr>
      <w:r>
        <w:rPr>
          <w:szCs w:val="21"/>
        </w:rPr>
        <w:t>衍生金融负债</w:t>
      </w:r>
    </w:p>
    <w:p>
      <w:pPr>
        <w:pStyle w:val="Style217"/>
      </w:pPr>
      <w:sdt>
        <w:sdtPr>
          <w:alias w:val="是否适用：衍生金融负债[双击切换]"/>
          <w:tag w:val="_GBC_9a70de9cca174edeb1bce62f4a47d15c"/>
          <w:id w:val="-2105788888"/>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pStyle w:val="Style217"/>
      </w:pPr>
    </w:p>
    <w:p>
      <w:pPr>
        <w:pStyle w:val="Style217"/>
      </w:pPr>
    </w:p>
    <w:p>
      <w:pPr>
        <w:pStyle w:val="Style178"/>
        <w:numPr>
          <w:ilvl w:val="0"/>
          <w:numId w:val="75"/>
        </w:numPr>
        <w:rPr>
          <w:szCs w:val="21"/>
        </w:rPr>
      </w:pPr>
      <w:r>
        <w:rPr>
          <w:szCs w:val="21"/>
        </w:rPr>
        <w:t>应付票据</w:t>
      </w:r>
    </w:p>
    <w:p>
      <w:pPr>
        <w:pStyle w:val="Style179"/>
        <w:numPr>
          <w:ilvl w:val="0"/>
          <w:numId w:val="99"/>
        </w:numPr>
        <w:ind w:left="426" w:hanging="426"/>
      </w:pPr>
      <w:r>
        <w:rPr>
          <w:rFonts w:hint="eastAsia"/>
        </w:rPr>
        <w:t>应付票据列示</w:t>
      </w:r>
    </w:p>
    <w:sdt>
      <w:sdtPr>
        <w:alias w:val="是否适用：应付票据[双击切换]"/>
        <w:tag w:val="_GBC_c0116f9cd6f34dcfa483a1f112dac85a"/>
        <w:id w:val="-47645915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bookmarkStart w:id="485" w:name="_Hlk24103817"/>
      <w:r>
        <w:rPr>
          <w:rFonts w:hint="eastAsia"/>
        </w:rPr>
        <w:t>单位：</w:t>
      </w:r>
      <w:sdt>
        <w:sdtPr>
          <w:rPr>
            <w:rFonts w:hint="eastAsia"/>
          </w:rPr>
          <w:alias w:val="单位：财务附注：应付票据"/>
          <w:tag w:val="_GBC_15d55f1cad24473fb8cfaa98468213e2"/>
          <w:id w:val="420067435"/>
          <w:placeholder>
            <w:docPart w:val="GBC22222222222222222222222222222"/>
          </w:placeholder>
          <w:dataBinding w:prefixMappings="xmlns:clcid-ci-ar='clcid-ci-ar'" w:xpath="/*/clcid-ci-ar:DanWeiCaiWuFuZhuYingFuPiaoJu[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币种：</w:t>
      </w:r>
      <w:sdt>
        <w:sdtPr>
          <w:rPr>
            <w:rFonts w:hint="eastAsia"/>
          </w:rPr>
          <w:alias w:val="币种：财务附注：应付票据"/>
          <w:tag w:val="_GBC_db171c7622f3432ab2c9c6ae31a7aba7"/>
          <w:id w:val="10007035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3396"/>
        <w:gridCol w:w="3301"/>
      </w:tblGrid>
      <w:tr>
        <w:trPr>
          <w:cantSplit/>
        </w:trPr>
        <w:sdt>
          <w:sdtPr>
            <w:tag w:val="_PLD_73e624e5fe424f71bbf918594e2a1c9a"/>
            <w:id w:val="1016119368"/>
          </w:sdtPr>
          <w:sdtContent>
            <w:tc>
              <w:tcPr>
                <w:tcW w:w="2350" w:type="dxa"/>
                <w:vAlign w:val="center"/>
              </w:tcPr>
              <w:p>
                <w:pPr>
                  <w:autoSpaceDE w:val="0"/>
                  <w:autoSpaceDN w:val="0"/>
                  <w:adjustRightInd w:val="0"/>
                  <w:snapToGrid w:val="0"/>
                  <w:spacing w:line="240" w:lineRule="atLeast"/>
                  <w:jc w:val="center"/>
                </w:pPr>
                <w:r>
                  <w:rPr>
                    <w:rFonts w:hint="eastAsia"/>
                  </w:rPr>
                  <w:t>种类</w:t>
                </w:r>
              </w:p>
            </w:tc>
          </w:sdtContent>
        </w:sdt>
        <w:sdt>
          <w:sdtPr>
            <w:tag w:val="_PLD_cca40679bdc548d8af0315d52fd2660e"/>
            <w:id w:val="-448398526"/>
          </w:sdtPr>
          <w:sdtContent>
            <w:tc>
              <w:tcPr>
                <w:tcW w:w="3396" w:type="dxa"/>
                <w:vAlign w:val="center"/>
              </w:tcPr>
              <w:p>
                <w:pPr>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1980028992"/>
          </w:sdtPr>
          <w:sdtContent>
            <w:tc>
              <w:tcPr>
                <w:tcW w:w="3301" w:type="dxa"/>
                <w:vAlign w:val="center"/>
              </w:tcPr>
              <w:p>
                <w:pPr>
                  <w:autoSpaceDE w:val="0"/>
                  <w:autoSpaceDN w:val="0"/>
                  <w:adjustRightInd w:val="0"/>
                  <w:snapToGrid w:val="0"/>
                  <w:spacing w:line="240" w:lineRule="atLeast"/>
                  <w:jc w:val="center"/>
                </w:pPr>
                <w:r>
                  <w:rPr>
                    <w:rFonts w:hint="eastAsia"/>
                  </w:rPr>
                  <w:t>期初余额</w:t>
                </w:r>
              </w:p>
            </w:tc>
          </w:sdtContent>
        </w:sdt>
      </w:tr>
      <w:tr>
        <w:trPr>
          <w:cantSplit/>
        </w:trPr>
        <w:tc>
          <w:tcPr>
            <w:tcW w:w="2350" w:type="dxa"/>
          </w:tcPr>
          <w:p>
            <w:pPr>
              <w:autoSpaceDE w:val="0"/>
              <w:autoSpaceDN w:val="0"/>
              <w:adjustRightInd w:val="0"/>
              <w:snapToGrid w:val="0"/>
              <w:spacing w:line="240" w:lineRule="atLeast"/>
            </w:pPr>
            <w:r>
              <w:rPr>
                <w:rFonts w:hint="eastAsia"/>
              </w:rPr>
              <w:t>银行承兑汇票</w:t>
            </w:r>
          </w:p>
        </w:tc>
        <w:tc>
          <w:tcPr>
            <w:tcW w:w="3396" w:type="dxa"/>
          </w:tcPr>
          <w:p>
            <w:pPr>
              <w:ind w:right="13"/>
              <w:jc w:val="right"/>
              <w:rPr>
                <w:rFonts w:ascii="宋体" w:hAnsi="宋体"/>
              </w:rPr>
            </w:pPr>
            <w:r>
              <w:rPr>
                <w:rFonts w:ascii="宋体" w:hAnsi="宋体"/>
              </w:rPr>
              <w:t>1,052,830</w:t>
            </w:r>
          </w:p>
        </w:tc>
        <w:tc>
          <w:tcPr>
            <w:tcW w:w="3301" w:type="dxa"/>
          </w:tcPr>
          <w:p>
            <w:pPr>
              <w:jc w:val="right"/>
              <w:rPr>
                <w:rFonts w:ascii="宋体" w:hAnsi="宋体"/>
              </w:rPr>
            </w:pPr>
            <w:r>
              <w:rPr>
                <w:rFonts w:ascii="宋体" w:hAnsi="宋体"/>
              </w:rPr>
              <w:t>1,513,075</w:t>
            </w:r>
          </w:p>
        </w:tc>
      </w:tr>
      <w:tr>
        <w:trPr>
          <w:cantSplit/>
        </w:trPr>
        <w:tc>
          <w:tcPr>
            <w:tcW w:w="2350" w:type="dxa"/>
          </w:tcPr>
          <w:p>
            <w:pPr>
              <w:autoSpaceDE w:val="0"/>
              <w:autoSpaceDN w:val="0"/>
              <w:adjustRightInd w:val="0"/>
              <w:snapToGrid w:val="0"/>
              <w:spacing w:line="240" w:lineRule="atLeast"/>
            </w:pPr>
            <w:r>
              <w:rPr>
                <w:rFonts w:hint="eastAsia"/>
              </w:rPr>
              <w:lastRenderedPageBreak/>
              <w:t>商业承兑汇票</w:t>
            </w:r>
          </w:p>
        </w:tc>
        <w:tc>
          <w:tcPr>
            <w:tcW w:w="3396" w:type="dxa"/>
          </w:tcPr>
          <w:p>
            <w:pPr>
              <w:ind w:right="13"/>
              <w:jc w:val="right"/>
              <w:rPr>
                <w:rFonts w:ascii="宋体" w:hAnsi="宋体"/>
              </w:rPr>
            </w:pPr>
            <w:r>
              <w:rPr>
                <w:rFonts w:ascii="宋体" w:hAnsi="宋体"/>
              </w:rPr>
              <w:t>11,593,687</w:t>
            </w:r>
          </w:p>
        </w:tc>
        <w:tc>
          <w:tcPr>
            <w:tcW w:w="3301" w:type="dxa"/>
          </w:tcPr>
          <w:p>
            <w:pPr>
              <w:jc w:val="right"/>
              <w:rPr>
                <w:rFonts w:ascii="宋体" w:hAnsi="宋体"/>
              </w:rPr>
            </w:pPr>
            <w:r>
              <w:rPr>
                <w:rFonts w:ascii="宋体" w:hAnsi="宋体"/>
              </w:rPr>
              <w:t>10,644,406</w:t>
            </w:r>
          </w:p>
        </w:tc>
      </w:tr>
      <w:tr>
        <w:trPr>
          <w:cantSplit/>
        </w:trPr>
        <w:tc>
          <w:tcPr>
            <w:tcW w:w="2350" w:type="dxa"/>
          </w:tcPr>
          <w:p>
            <w:pPr>
              <w:autoSpaceDE w:val="0"/>
              <w:autoSpaceDN w:val="0"/>
              <w:adjustRightInd w:val="0"/>
              <w:snapToGrid w:val="0"/>
              <w:spacing w:line="240" w:lineRule="atLeast"/>
            </w:pPr>
            <w:r>
              <w:rPr>
                <w:rFonts w:hint="eastAsia"/>
              </w:rPr>
              <w:t>信用证</w:t>
            </w:r>
          </w:p>
        </w:tc>
        <w:tc>
          <w:tcPr>
            <w:tcW w:w="3396" w:type="dxa"/>
          </w:tcPr>
          <w:p>
            <w:pPr>
              <w:ind w:right="13"/>
              <w:jc w:val="right"/>
              <w:rPr>
                <w:rFonts w:ascii="宋体" w:hAnsi="宋体"/>
              </w:rPr>
            </w:pPr>
            <w:r>
              <w:rPr>
                <w:rFonts w:ascii="宋体" w:hAnsi="宋体"/>
              </w:rPr>
              <w:t>1,066,698</w:t>
            </w:r>
          </w:p>
        </w:tc>
        <w:tc>
          <w:tcPr>
            <w:tcW w:w="3301" w:type="dxa"/>
          </w:tcPr>
          <w:p>
            <w:pPr>
              <w:jc w:val="right"/>
              <w:rPr>
                <w:rFonts w:ascii="宋体" w:hAnsi="宋体"/>
              </w:rPr>
            </w:pPr>
            <w:r>
              <w:rPr>
                <w:rFonts w:ascii="宋体" w:hAnsi="宋体"/>
              </w:rPr>
              <w:t>1,021,492</w:t>
            </w:r>
          </w:p>
        </w:tc>
      </w:tr>
      <w:tr>
        <w:trPr>
          <w:cantSplit/>
        </w:trPr>
        <w:tc>
          <w:tcPr>
            <w:tcW w:w="2350" w:type="dxa"/>
            <w:vAlign w:val="center"/>
          </w:tcPr>
          <w:p>
            <w:pPr>
              <w:autoSpaceDE w:val="0"/>
              <w:autoSpaceDN w:val="0"/>
              <w:adjustRightInd w:val="0"/>
              <w:snapToGrid w:val="0"/>
              <w:spacing w:line="240" w:lineRule="atLeast"/>
              <w:jc w:val="center"/>
            </w:pPr>
            <w:r>
              <w:rPr>
                <w:rFonts w:hint="eastAsia"/>
              </w:rPr>
              <w:t>合计</w:t>
            </w:r>
          </w:p>
        </w:tc>
        <w:tc>
          <w:tcPr>
            <w:tcW w:w="3396" w:type="dxa"/>
          </w:tcPr>
          <w:p>
            <w:pPr>
              <w:jc w:val="right"/>
              <w:rPr>
                <w:rFonts w:ascii="宋体" w:hAnsi="宋体"/>
              </w:rPr>
            </w:pPr>
            <w:r>
              <w:rPr>
                <w:rFonts w:ascii="宋体" w:hAnsi="宋体"/>
              </w:rPr>
              <w:t>13,713,215</w:t>
            </w:r>
          </w:p>
        </w:tc>
        <w:tc>
          <w:tcPr>
            <w:tcW w:w="3301" w:type="dxa"/>
          </w:tcPr>
          <w:p>
            <w:pPr>
              <w:jc w:val="right"/>
              <w:rPr>
                <w:rFonts w:ascii="宋体" w:hAnsi="宋体"/>
              </w:rPr>
            </w:pPr>
            <w:r>
              <w:rPr>
                <w:rFonts w:ascii="宋体" w:hAnsi="宋体"/>
              </w:rPr>
              <w:t>13,178,973</w:t>
            </w:r>
          </w:p>
        </w:tc>
      </w:tr>
    </w:tbl>
    <w:p>
      <w:pPr>
        <w:snapToGrid w:val="0"/>
        <w:spacing w:line="240" w:lineRule="atLeast"/>
      </w:pPr>
    </w:p>
    <w:bookmarkEnd w:id="485"/>
    <w:p>
      <w:pPr>
        <w:pStyle w:val="Style217"/>
      </w:pPr>
    </w:p>
    <w:p>
      <w:pPr>
        <w:pStyle w:val="Style178"/>
        <w:numPr>
          <w:ilvl w:val="0"/>
          <w:numId w:val="75"/>
        </w:numPr>
        <w:rPr>
          <w:szCs w:val="21"/>
        </w:rPr>
      </w:pPr>
      <w:r>
        <w:rPr>
          <w:szCs w:val="21"/>
        </w:rPr>
        <w:t>应付账款</w:t>
      </w:r>
    </w:p>
    <w:p>
      <w:pPr>
        <w:pStyle w:val="Style179"/>
        <w:numPr>
          <w:ilvl w:val="0"/>
          <w:numId w:val="100"/>
        </w:numPr>
        <w:ind w:left="426" w:hanging="426"/>
      </w:pPr>
      <w:r>
        <w:rPr>
          <w:rFonts w:hint="eastAsia"/>
        </w:rPr>
        <w:t>应付账款列示</w:t>
      </w:r>
    </w:p>
    <w:sdt>
      <w:sdtPr>
        <w:alias w:val="是否适用：应付账款列示[双击切换]"/>
        <w:tag w:val="_GBC_dfb190a9e762454c9f89eb6be64b6eae"/>
        <w:id w:val="210005543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账款情况"/>
          <w:tag w:val="_GBC_c14fe17937b74139aa7e100941fb21e9"/>
          <w:id w:val="6996750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付账款情况"/>
          <w:tag w:val="_GBC_946604b552a44d368399e078594b3226"/>
          <w:id w:val="185883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2866"/>
        <w:gridCol w:w="3340"/>
      </w:tblGrid>
      <w:tr>
        <w:sdt>
          <w:sdtPr>
            <w:tag w:val="_PLD_8270d78e97cf4a1cb18154c5c5dafe58"/>
            <w:id w:val="2062438185"/>
          </w:sdtPr>
          <w:sdtContent>
            <w:tc>
              <w:tcPr>
                <w:tcW w:w="2841" w:type="dxa"/>
                <w:vAlign w:val="center"/>
              </w:tcPr>
              <w:p>
                <w:pPr>
                  <w:jc w:val="center"/>
                </w:pPr>
                <w:r>
                  <w:rPr>
                    <w:rFonts w:hint="eastAsia"/>
                  </w:rPr>
                  <w:t>项目</w:t>
                </w:r>
              </w:p>
            </w:tc>
          </w:sdtContent>
        </w:sdt>
        <w:sdt>
          <w:sdtPr>
            <w:tag w:val="_PLD_56127cd5754c44aaacae0a1320139a7a"/>
            <w:id w:val="641387801"/>
          </w:sdtPr>
          <w:sdtContent>
            <w:tc>
              <w:tcPr>
                <w:tcW w:w="2866" w:type="dxa"/>
                <w:vAlign w:val="center"/>
              </w:tcPr>
              <w:p>
                <w:pPr>
                  <w:jc w:val="center"/>
                </w:pPr>
                <w:r>
                  <w:rPr>
                    <w:rFonts w:hint="eastAsia"/>
                  </w:rPr>
                  <w:t>期末余额</w:t>
                </w:r>
              </w:p>
            </w:tc>
          </w:sdtContent>
        </w:sdt>
        <w:sdt>
          <w:sdtPr>
            <w:tag w:val="_PLD_27c6d2ca479446539fe00ab23ee1dc13"/>
            <w:id w:val="-1448699084"/>
          </w:sdtPr>
          <w:sdtContent>
            <w:tc>
              <w:tcPr>
                <w:tcW w:w="3340" w:type="dxa"/>
                <w:vAlign w:val="center"/>
              </w:tcPr>
              <w:p>
                <w:pPr>
                  <w:jc w:val="center"/>
                </w:pPr>
                <w:r>
                  <w:rPr>
                    <w:rFonts w:hint="eastAsia"/>
                  </w:rPr>
                  <w:t>期初余额</w:t>
                </w:r>
              </w:p>
            </w:tc>
          </w:sdtContent>
        </w:sdt>
      </w:tr>
      <w:tr>
        <w:tc>
          <w:tcPr>
            <w:tcW w:w="2841" w:type="dxa"/>
            <w:vAlign w:val="center"/>
          </w:tcPr>
          <w:p>
            <w:pPr>
              <w:jc w:val="center"/>
              <w:rPr>
                <w:color w:val="000000" w:themeColor="text1"/>
              </w:rPr>
            </w:pPr>
            <w:r>
              <w:rPr>
                <w:rFonts w:hint="eastAsia"/>
                <w:color w:val="000000" w:themeColor="text1"/>
              </w:rPr>
              <w:t>合计</w:t>
            </w:r>
          </w:p>
        </w:tc>
        <w:tc>
          <w:tcPr>
            <w:tcW w:w="2866" w:type="dxa"/>
          </w:tcPr>
          <w:p>
            <w:pPr>
              <w:jc w:val="right"/>
              <w:rPr>
                <w:rFonts w:ascii="宋体" w:hAnsi="宋体"/>
              </w:rPr>
            </w:pPr>
            <w:r>
              <w:rPr>
                <w:rFonts w:ascii="宋体" w:hAnsi="宋体" w:hint="eastAsia"/>
              </w:rPr>
              <w:t>29,563,562</w:t>
            </w:r>
          </w:p>
        </w:tc>
        <w:tc>
          <w:tcPr>
            <w:tcW w:w="3340" w:type="dxa"/>
          </w:tcPr>
          <w:p>
            <w:pPr>
              <w:jc w:val="right"/>
              <w:rPr>
                <w:rFonts w:ascii="宋体" w:hAnsi="宋体"/>
              </w:rPr>
            </w:pPr>
            <w:r>
              <w:rPr>
                <w:rFonts w:ascii="宋体" w:hAnsi="宋体"/>
              </w:rPr>
              <w:t>26,230,467</w:t>
            </w:r>
          </w:p>
        </w:tc>
      </w:tr>
      <w:tr>
        <w:tc>
          <w:tcPr>
            <w:tcW w:w="2841" w:type="dxa"/>
            <w:vAlign w:val="center"/>
          </w:tcPr>
          <w:p>
            <w:pPr>
              <w:jc w:val="center"/>
              <w:rPr>
                <w:color w:val="000000" w:themeColor="text1"/>
              </w:rPr>
            </w:pPr>
            <w:r>
              <w:rPr>
                <w:rFonts w:hint="eastAsia"/>
                <w:color w:val="000000" w:themeColor="text1"/>
              </w:rPr>
              <w:t>其中：</w:t>
            </w:r>
            <w:r>
              <w:rPr>
                <w:rFonts w:hint="eastAsia"/>
                <w:color w:val="000000" w:themeColor="text1"/>
              </w:rPr>
              <w:t>1</w:t>
            </w:r>
            <w:r>
              <w:rPr>
                <w:rFonts w:hint="eastAsia"/>
                <w:color w:val="000000" w:themeColor="text1"/>
              </w:rPr>
              <w:t>年以上</w:t>
            </w:r>
          </w:p>
        </w:tc>
        <w:tc>
          <w:tcPr>
            <w:tcW w:w="2866" w:type="dxa"/>
          </w:tcPr>
          <w:p>
            <w:pPr>
              <w:jc w:val="right"/>
              <w:rPr>
                <w:rFonts w:ascii="宋体" w:hAnsi="宋体"/>
              </w:rPr>
            </w:pPr>
            <w:r>
              <w:rPr>
                <w:rFonts w:ascii="宋体" w:hAnsi="宋体"/>
              </w:rPr>
              <w:t>4,675,447</w:t>
            </w:r>
          </w:p>
        </w:tc>
        <w:tc>
          <w:tcPr>
            <w:tcW w:w="3340" w:type="dxa"/>
          </w:tcPr>
          <w:p>
            <w:pPr>
              <w:jc w:val="right"/>
              <w:rPr>
                <w:rFonts w:ascii="宋体" w:hAnsi="宋体"/>
              </w:rPr>
            </w:pPr>
            <w:r>
              <w:rPr>
                <w:rFonts w:ascii="宋体" w:hAnsi="宋体"/>
              </w:rPr>
              <w:t>4,645,565</w:t>
            </w:r>
          </w:p>
        </w:tc>
      </w:tr>
    </w:tbl>
    <w:p>
      <w:pPr>
        <w:pStyle w:val="Style217"/>
      </w:pPr>
    </w:p>
    <w:p>
      <w:pPr>
        <w:pStyle w:val="Style179"/>
        <w:numPr>
          <w:ilvl w:val="0"/>
          <w:numId w:val="100"/>
        </w:numPr>
        <w:ind w:left="426" w:hanging="426"/>
      </w:pPr>
      <w:r>
        <w:rPr>
          <w:rFonts w:hint="eastAsia"/>
        </w:rPr>
        <w:t>账龄超过1年或逾期的重要应付账款</w:t>
      </w:r>
    </w:p>
    <w:sdt>
      <w:sdtPr>
        <w:alias w:val="是否适用：账龄超过1年的重要应付账款[双击切换]"/>
        <w:tag w:val="_GBC_0eff470980a54dc3a4ea5996ab7721ce"/>
        <w:id w:val="212611964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账龄超过1年的应付账款"/>
          <w:tag w:val="_GBC_400afb873eea4650b57e850422f00616"/>
          <w:id w:val="15790271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重要的账龄超过1年的应付账款"/>
          <w:tag w:val="_GBC_e8618ecbab754a8a9213d0e97303efbc"/>
          <w:id w:val="8412762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2"/>
        <w:gridCol w:w="2826"/>
        <w:gridCol w:w="2939"/>
      </w:tblGrid>
      <w:tr>
        <w:sdt>
          <w:sdtPr>
            <w:tag w:val="_PLD_fdad43e863d14167af7eeaf4873d2a72"/>
            <w:id w:val="488217528"/>
          </w:sdtPr>
          <w:sdtContent>
            <w:tc>
              <w:tcPr>
                <w:tcW w:w="3282" w:type="dxa"/>
                <w:vAlign w:val="center"/>
              </w:tcPr>
              <w:p>
                <w:pPr>
                  <w:jc w:val="center"/>
                </w:pPr>
                <w:r>
                  <w:rPr>
                    <w:rFonts w:hint="eastAsia"/>
                  </w:rPr>
                  <w:t>项目</w:t>
                </w:r>
              </w:p>
            </w:tc>
          </w:sdtContent>
        </w:sdt>
        <w:sdt>
          <w:sdtPr>
            <w:tag w:val="_PLD_cd3e87440a294e4685cb5994a6fce19b"/>
            <w:id w:val="1255862461"/>
          </w:sdtPr>
          <w:sdtContent>
            <w:tc>
              <w:tcPr>
                <w:tcW w:w="2826" w:type="dxa"/>
                <w:vAlign w:val="center"/>
              </w:tcPr>
              <w:p>
                <w:pPr>
                  <w:jc w:val="center"/>
                </w:pPr>
                <w:r>
                  <w:rPr>
                    <w:rFonts w:hint="eastAsia"/>
                  </w:rPr>
                  <w:t>期末余额</w:t>
                </w:r>
              </w:p>
            </w:tc>
          </w:sdtContent>
        </w:sdt>
        <w:sdt>
          <w:sdtPr>
            <w:tag w:val="_PLD_3948dc08dbd84dbd875d1bd042c28c03"/>
            <w:id w:val="-62413182"/>
          </w:sdtPr>
          <w:sdtContent>
            <w:tc>
              <w:tcPr>
                <w:tcW w:w="2939" w:type="dxa"/>
                <w:vAlign w:val="center"/>
              </w:tcPr>
              <w:p>
                <w:pPr>
                  <w:jc w:val="center"/>
                </w:pPr>
                <w:r>
                  <w:rPr>
                    <w:rFonts w:hint="eastAsia"/>
                  </w:rPr>
                  <w:t>未偿还或结转的原因</w:t>
                </w:r>
              </w:p>
            </w:tc>
          </w:sdtContent>
        </w:sdt>
      </w:tr>
      <w:tr>
        <w:tc>
          <w:tcPr>
            <w:tcW w:w="3282" w:type="dxa"/>
            <w:tcBorders>
              <w:bottom w:val="single" w:sz="4" w:space="0" w:color="auto"/>
            </w:tcBorders>
          </w:tcPr>
          <w:p>
            <w:pPr>
              <w:pStyle w:val="Style217"/>
            </w:pPr>
            <w:r>
              <w:rPr>
                <w:rFonts w:hint="eastAsia"/>
              </w:rPr>
              <w:t>山东能源集团建工集团有限公司</w:t>
            </w:r>
          </w:p>
        </w:tc>
        <w:tc>
          <w:tcPr>
            <w:tcW w:w="2826" w:type="dxa"/>
            <w:vAlign w:val="center"/>
          </w:tcPr>
          <w:p>
            <w:pPr>
              <w:jc w:val="right"/>
              <w:rPr>
                <w:rFonts w:ascii="宋体" w:hAnsi="宋体"/>
              </w:rPr>
            </w:pPr>
            <w:r>
              <w:rPr>
                <w:rFonts w:ascii="宋体" w:hAnsi="宋体" w:hint="eastAsia"/>
              </w:rPr>
              <w:t>286,476</w:t>
            </w:r>
          </w:p>
        </w:tc>
        <w:tc>
          <w:tcPr>
            <w:tcW w:w="2939" w:type="dxa"/>
            <w:vAlign w:val="center"/>
          </w:tcPr>
          <w:p>
            <w:pPr>
              <w:jc w:val="right"/>
              <w:rPr>
                <w:rFonts w:ascii="宋体" w:hAnsi="宋体"/>
              </w:rPr>
            </w:pPr>
            <w:r>
              <w:rPr>
                <w:rFonts w:ascii="宋体" w:hAnsi="宋体" w:hint="eastAsia"/>
              </w:rPr>
              <w:t>尚未结算</w:t>
            </w:r>
          </w:p>
        </w:tc>
      </w:tr>
      <w:tr>
        <w:tc>
          <w:tcPr>
            <w:tcW w:w="3282" w:type="dxa"/>
            <w:tcBorders>
              <w:bottom w:val="single" w:sz="4" w:space="0" w:color="auto"/>
            </w:tcBorders>
          </w:tcPr>
          <w:p>
            <w:pPr>
              <w:pStyle w:val="Style217"/>
            </w:pPr>
            <w:r>
              <w:rPr>
                <w:rFonts w:hint="eastAsia"/>
              </w:rPr>
              <w:t>山东方大工程有限责任公司</w:t>
            </w:r>
          </w:p>
        </w:tc>
        <w:tc>
          <w:tcPr>
            <w:tcW w:w="2826" w:type="dxa"/>
            <w:vAlign w:val="center"/>
          </w:tcPr>
          <w:p>
            <w:pPr>
              <w:jc w:val="right"/>
              <w:rPr>
                <w:rFonts w:ascii="宋体" w:hAnsi="宋体"/>
              </w:rPr>
            </w:pPr>
            <w:r>
              <w:rPr>
                <w:rFonts w:ascii="宋体" w:hAnsi="宋体" w:hint="eastAsia"/>
              </w:rPr>
              <w:t>234,603</w:t>
            </w:r>
          </w:p>
        </w:tc>
        <w:tc>
          <w:tcPr>
            <w:tcW w:w="2939" w:type="dxa"/>
            <w:vAlign w:val="center"/>
          </w:tcPr>
          <w:p>
            <w:pPr>
              <w:jc w:val="right"/>
              <w:rPr>
                <w:rFonts w:ascii="宋体" w:hAnsi="宋体"/>
              </w:rPr>
            </w:pPr>
            <w:r>
              <w:rPr>
                <w:rFonts w:ascii="宋体" w:hAnsi="宋体" w:hint="eastAsia"/>
              </w:rPr>
              <w:t>尚未结算</w:t>
            </w:r>
          </w:p>
        </w:tc>
      </w:tr>
      <w:tr>
        <w:tc>
          <w:tcPr>
            <w:tcW w:w="3282" w:type="dxa"/>
            <w:tcBorders>
              <w:bottom w:val="single" w:sz="4" w:space="0" w:color="auto"/>
            </w:tcBorders>
          </w:tcPr>
          <w:p>
            <w:pPr>
              <w:pStyle w:val="Style217"/>
            </w:pPr>
            <w:r>
              <w:rPr>
                <w:rFonts w:hint="eastAsia"/>
              </w:rPr>
              <w:t>淄博矿业集团有限责任公司</w:t>
            </w:r>
          </w:p>
        </w:tc>
        <w:tc>
          <w:tcPr>
            <w:tcW w:w="2826" w:type="dxa"/>
            <w:vAlign w:val="center"/>
          </w:tcPr>
          <w:p>
            <w:pPr>
              <w:jc w:val="right"/>
              <w:rPr>
                <w:rFonts w:ascii="宋体" w:hAnsi="宋体"/>
              </w:rPr>
            </w:pPr>
            <w:r>
              <w:rPr>
                <w:rFonts w:ascii="宋体" w:hAnsi="宋体" w:hint="eastAsia"/>
              </w:rPr>
              <w:t>230,954</w:t>
            </w:r>
          </w:p>
        </w:tc>
        <w:tc>
          <w:tcPr>
            <w:tcW w:w="2939" w:type="dxa"/>
            <w:vAlign w:val="center"/>
          </w:tcPr>
          <w:p>
            <w:pPr>
              <w:jc w:val="right"/>
              <w:rPr>
                <w:rFonts w:ascii="宋体" w:hAnsi="宋体"/>
              </w:rPr>
            </w:pPr>
            <w:r>
              <w:rPr>
                <w:rFonts w:ascii="宋体" w:hAnsi="宋体" w:hint="eastAsia"/>
              </w:rPr>
              <w:t>尚未结算</w:t>
            </w:r>
          </w:p>
        </w:tc>
      </w:tr>
      <w:tr>
        <w:tc>
          <w:tcPr>
            <w:tcW w:w="3282" w:type="dxa"/>
            <w:tcBorders>
              <w:bottom w:val="single" w:sz="4" w:space="0" w:color="auto"/>
            </w:tcBorders>
          </w:tcPr>
          <w:p>
            <w:pPr>
              <w:pStyle w:val="Style217"/>
            </w:pPr>
            <w:r>
              <w:rPr>
                <w:rFonts w:hint="eastAsia"/>
              </w:rPr>
              <w:t>华陆工程科技有限责任公司</w:t>
            </w:r>
          </w:p>
        </w:tc>
        <w:tc>
          <w:tcPr>
            <w:tcW w:w="2826" w:type="dxa"/>
            <w:vAlign w:val="center"/>
          </w:tcPr>
          <w:p>
            <w:pPr>
              <w:jc w:val="right"/>
              <w:rPr>
                <w:rFonts w:ascii="宋体" w:hAnsi="宋体"/>
              </w:rPr>
            </w:pPr>
            <w:r>
              <w:rPr>
                <w:rFonts w:ascii="宋体" w:hAnsi="宋体" w:hint="eastAsia"/>
              </w:rPr>
              <w:t>182,438</w:t>
            </w:r>
          </w:p>
        </w:tc>
        <w:tc>
          <w:tcPr>
            <w:tcW w:w="2939" w:type="dxa"/>
            <w:vAlign w:val="center"/>
          </w:tcPr>
          <w:p>
            <w:pPr>
              <w:jc w:val="right"/>
              <w:rPr>
                <w:rFonts w:ascii="宋体" w:hAnsi="宋体"/>
              </w:rPr>
            </w:pPr>
            <w:r>
              <w:rPr>
                <w:rFonts w:ascii="宋体" w:hAnsi="宋体" w:hint="eastAsia"/>
              </w:rPr>
              <w:t>尚未结算</w:t>
            </w:r>
          </w:p>
        </w:tc>
      </w:tr>
      <w:tr>
        <w:tc>
          <w:tcPr>
            <w:tcW w:w="3282" w:type="dxa"/>
            <w:tcBorders>
              <w:bottom w:val="single" w:sz="4" w:space="0" w:color="auto"/>
            </w:tcBorders>
          </w:tcPr>
          <w:p>
            <w:pPr>
              <w:pStyle w:val="Style217"/>
            </w:pPr>
            <w:r>
              <w:rPr>
                <w:rFonts w:hint="eastAsia"/>
              </w:rPr>
              <w:t>中国天辰工程有限公司</w:t>
            </w:r>
          </w:p>
        </w:tc>
        <w:tc>
          <w:tcPr>
            <w:tcW w:w="2826" w:type="dxa"/>
            <w:vAlign w:val="center"/>
          </w:tcPr>
          <w:p>
            <w:pPr>
              <w:jc w:val="right"/>
              <w:rPr>
                <w:rFonts w:ascii="宋体" w:hAnsi="宋体"/>
              </w:rPr>
            </w:pPr>
            <w:r>
              <w:rPr>
                <w:rFonts w:ascii="宋体" w:hAnsi="宋体" w:hint="eastAsia"/>
              </w:rPr>
              <w:t>140,927</w:t>
            </w:r>
          </w:p>
        </w:tc>
        <w:tc>
          <w:tcPr>
            <w:tcW w:w="2939" w:type="dxa"/>
            <w:vAlign w:val="center"/>
          </w:tcPr>
          <w:p>
            <w:pPr>
              <w:jc w:val="right"/>
              <w:rPr>
                <w:rFonts w:ascii="宋体" w:hAnsi="宋体"/>
              </w:rPr>
            </w:pPr>
            <w:r>
              <w:rPr>
                <w:rFonts w:ascii="宋体" w:hAnsi="宋体" w:hint="eastAsia"/>
              </w:rPr>
              <w:t>尚未结算</w:t>
            </w:r>
          </w:p>
        </w:tc>
      </w:tr>
      <w:tr>
        <w:tc>
          <w:tcPr>
            <w:tcW w:w="3282" w:type="dxa"/>
            <w:vAlign w:val="center"/>
          </w:tcPr>
          <w:p>
            <w:pPr>
              <w:jc w:val="center"/>
            </w:pPr>
            <w:r>
              <w:rPr>
                <w:rFonts w:hint="eastAsia"/>
              </w:rPr>
              <w:t>合计</w:t>
            </w:r>
          </w:p>
        </w:tc>
        <w:tc>
          <w:tcPr>
            <w:tcW w:w="2826" w:type="dxa"/>
            <w:vAlign w:val="center"/>
          </w:tcPr>
          <w:p>
            <w:pPr>
              <w:jc w:val="right"/>
              <w:rPr>
                <w:rFonts w:ascii="宋体" w:hAnsi="宋体"/>
              </w:rPr>
            </w:pPr>
            <w:r>
              <w:rPr>
                <w:rFonts w:ascii="宋体" w:hAnsi="宋体"/>
              </w:rPr>
              <w:t>1,075,398</w:t>
            </w:r>
          </w:p>
        </w:tc>
        <w:tc>
          <w:tcPr>
            <w:tcW w:w="2939" w:type="dxa"/>
            <w:vAlign w:val="center"/>
          </w:tcPr>
          <w:p>
            <w:pPr>
              <w:jc w:val="center"/>
            </w:pPr>
            <w:r>
              <w:rPr>
                <w:rFonts w:hint="eastAsia"/>
              </w:rPr>
              <w:t>/</w:t>
            </w:r>
          </w:p>
        </w:tc>
      </w:tr>
    </w:tbl>
    <w:p>
      <w:pPr>
        <w:pStyle w:val="Style217"/>
      </w:pPr>
    </w:p>
    <w:p>
      <w:pPr>
        <w:pStyle w:val="Style217"/>
      </w:pPr>
      <w:r>
        <w:rPr>
          <w:rFonts w:hint="eastAsia"/>
        </w:rPr>
        <w:t>其他说明：</w:t>
      </w:r>
    </w:p>
    <w:sdt>
      <w:sdtPr>
        <w:alias w:val="是否适用：应付账款的其他说明[双击切换]"/>
        <w:tag w:val="_GBC_5dc0587a83084b71961a20293aaa95fb"/>
        <w:id w:val="93270644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78"/>
        <w:numPr>
          <w:ilvl w:val="0"/>
          <w:numId w:val="75"/>
        </w:numPr>
        <w:rPr>
          <w:szCs w:val="21"/>
        </w:rPr>
      </w:pPr>
      <w:r>
        <w:rPr>
          <w:szCs w:val="21"/>
        </w:rPr>
        <w:t>预收款项</w:t>
      </w:r>
    </w:p>
    <w:p>
      <w:pPr>
        <w:pStyle w:val="Style179"/>
        <w:numPr>
          <w:ilvl w:val="0"/>
          <w:numId w:val="101"/>
        </w:numPr>
      </w:pPr>
      <w:r>
        <w:rPr>
          <w:rFonts w:hint="eastAsia"/>
        </w:rPr>
        <w:t>预收款项列示</w:t>
      </w:r>
    </w:p>
    <w:sdt>
      <w:sdtPr>
        <w:alias w:val="是否适用：预收账款项列示[双击切换]"/>
        <w:tag w:val="_GBC_87fabe8d5b22400ca19233d7f82c54fc"/>
        <w:id w:val="13322394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01"/>
        </w:numPr>
      </w:pPr>
      <w:r>
        <w:rPr>
          <w:rFonts w:hint="eastAsia"/>
        </w:rPr>
        <w:t>账龄超过1年的重要预收款项</w:t>
      </w:r>
    </w:p>
    <w:sdt>
      <w:sdtPr>
        <w:alias w:val="是否适用：账龄超过1年的重要预收款项[双击切换]"/>
        <w:tag w:val="_GBC_79146ea4ecd2426b824d2bcf21203a69"/>
        <w:id w:val="-75937455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cstheme="minorBidi"/>
        </w:rPr>
      </w:pPr>
    </w:p>
    <w:p>
      <w:pPr>
        <w:pStyle w:val="Style179"/>
        <w:numPr>
          <w:ilvl w:val="0"/>
          <w:numId w:val="101"/>
        </w:numPr>
      </w:pPr>
      <w:r>
        <w:rPr>
          <w:rFonts w:hint="eastAsia"/>
        </w:rPr>
        <w:t>报告期内账面价值发生重大变动的金额和原因</w:t>
      </w:r>
    </w:p>
    <w:sdt>
      <w:sdtPr>
        <w:alias w:val="是否适用：预收款项账面价值发生重大变动的金额和原因?[双击切换]"/>
        <w:tag w:val="_GBC_080f20e9d1b64963a38dcdee1ed191a2"/>
        <w:id w:val="-117309286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是否适用：预收账款的其他说明[双击切换]"/>
        <w:tag w:val="_GBC_c0e961ba454e4e2cb91293bde731349d"/>
        <w:id w:val="78331575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cstheme="minorBidi"/>
          <w:color w:val="000000" w:themeColor="text1"/>
          <w:kern w:val="2"/>
        </w:rPr>
      </w:pPr>
    </w:p>
    <w:p>
      <w:pPr>
        <w:pStyle w:val="Style178"/>
        <w:numPr>
          <w:ilvl w:val="0"/>
          <w:numId w:val="75"/>
        </w:numPr>
        <w:rPr>
          <w:szCs w:val="21"/>
        </w:rPr>
      </w:pPr>
      <w:r>
        <w:rPr>
          <w:szCs w:val="21"/>
        </w:rPr>
        <w:t>合同负债</w:t>
      </w:r>
    </w:p>
    <w:p>
      <w:pPr>
        <w:pStyle w:val="Style179"/>
        <w:numPr>
          <w:ilvl w:val="0"/>
          <w:numId w:val="102"/>
        </w:numPr>
      </w:pPr>
      <w:r>
        <w:rPr>
          <w:rFonts w:hint="eastAsia"/>
        </w:rPr>
        <w:t>合同负债情况</w:t>
      </w:r>
    </w:p>
    <w:sdt>
      <w:sdtPr>
        <w:alias w:val="是否适用：合同负债情况[双击切换]"/>
        <w:tag w:val="_GBC_257112066c884c67acfede3a1536844a"/>
        <w:id w:val="119820096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left="360"/>
        <w:jc w:val="right"/>
      </w:pPr>
      <w:r>
        <w:rPr>
          <w:rFonts w:hint="eastAsia"/>
        </w:rPr>
        <w:t>单位：</w:t>
      </w:r>
      <w:sdt>
        <w:sdtPr>
          <w:rPr>
            <w:rFonts w:hint="eastAsia"/>
          </w:rPr>
          <w:alias w:val="单位：合同负债情况"/>
          <w:tag w:val="_GBC_ea58ca5e76b74f328a4691ca7c6cc941"/>
          <w:id w:val="8254744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合同负债情况"/>
          <w:tag w:val="_GBC_58f1908d1f4c48699237bf8c7f3604da"/>
          <w:id w:val="18664098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078"/>
        <w:gridCol w:w="3073"/>
      </w:tblGrid>
      <w:tr>
        <w:sdt>
          <w:sdtPr>
            <w:tag w:val="_PLD_c331ae60cae44b02b2a16eccd02434b1"/>
            <w:id w:val="-788193357"/>
          </w:sdtPr>
          <w:sdtContent>
            <w:tc>
              <w:tcPr>
                <w:tcW w:w="2897" w:type="dxa"/>
                <w:vAlign w:val="center"/>
              </w:tcPr>
              <w:p>
                <w:pPr>
                  <w:jc w:val="center"/>
                </w:pPr>
                <w:r>
                  <w:rPr>
                    <w:rFonts w:hint="eastAsia"/>
                  </w:rPr>
                  <w:t>项目</w:t>
                </w:r>
              </w:p>
            </w:tc>
          </w:sdtContent>
        </w:sdt>
        <w:sdt>
          <w:sdtPr>
            <w:tag w:val="_PLD_1619b2dd861a497cbc814256ed0e2957"/>
            <w:id w:val="1631742902"/>
          </w:sdtPr>
          <w:sdtContent>
            <w:tc>
              <w:tcPr>
                <w:tcW w:w="3078" w:type="dxa"/>
                <w:vAlign w:val="center"/>
              </w:tcPr>
              <w:p>
                <w:pPr>
                  <w:autoSpaceDE w:val="0"/>
                  <w:autoSpaceDN w:val="0"/>
                  <w:adjustRightInd w:val="0"/>
                  <w:snapToGrid w:val="0"/>
                  <w:spacing w:line="240" w:lineRule="atLeast"/>
                  <w:jc w:val="center"/>
                </w:pPr>
                <w:r>
                  <w:rPr>
                    <w:rFonts w:hint="eastAsia"/>
                  </w:rPr>
                  <w:t>期末余额</w:t>
                </w:r>
              </w:p>
            </w:tc>
          </w:sdtContent>
        </w:sdt>
        <w:sdt>
          <w:sdtPr>
            <w:tag w:val="_PLD_6341013bed194ee78619c433ebd01fda"/>
            <w:id w:val="-1870901306"/>
          </w:sdtPr>
          <w:sdtContent>
            <w:tc>
              <w:tcPr>
                <w:tcW w:w="3073" w:type="dxa"/>
                <w:vAlign w:val="center"/>
              </w:tcPr>
              <w:p>
                <w:pPr>
                  <w:autoSpaceDE w:val="0"/>
                  <w:autoSpaceDN w:val="0"/>
                  <w:adjustRightInd w:val="0"/>
                  <w:snapToGrid w:val="0"/>
                  <w:spacing w:line="240" w:lineRule="atLeast"/>
                  <w:jc w:val="center"/>
                </w:pPr>
                <w:r>
                  <w:rPr>
                    <w:rFonts w:hint="eastAsia"/>
                  </w:rPr>
                  <w:t>期初余额</w:t>
                </w:r>
              </w:p>
            </w:tc>
          </w:sdtContent>
        </w:sdt>
      </w:tr>
      <w:tr>
        <w:tc>
          <w:tcPr>
            <w:tcW w:w="2897" w:type="dxa"/>
          </w:tcPr>
          <w:p>
            <w:pPr>
              <w:pStyle w:val="Style217"/>
            </w:pPr>
            <w:r>
              <w:rPr>
                <w:rFonts w:hint="eastAsia"/>
              </w:rPr>
              <w:t>预收销售商品款</w:t>
            </w:r>
          </w:p>
        </w:tc>
        <w:tc>
          <w:tcPr>
            <w:tcW w:w="3078" w:type="dxa"/>
            <w:vAlign w:val="center"/>
          </w:tcPr>
          <w:p>
            <w:pPr>
              <w:jc w:val="right"/>
              <w:rPr>
                <w:rFonts w:ascii="宋体" w:hAnsi="宋体"/>
              </w:rPr>
            </w:pPr>
            <w:r>
              <w:rPr>
                <w:rFonts w:ascii="宋体" w:hAnsi="宋体" w:hint="eastAsia"/>
              </w:rPr>
              <w:t>6,330,233</w:t>
            </w:r>
          </w:p>
        </w:tc>
        <w:tc>
          <w:tcPr>
            <w:tcW w:w="3073" w:type="dxa"/>
            <w:vAlign w:val="center"/>
          </w:tcPr>
          <w:p>
            <w:pPr>
              <w:jc w:val="right"/>
              <w:rPr>
                <w:rFonts w:ascii="宋体" w:hAnsi="宋体"/>
              </w:rPr>
            </w:pPr>
            <w:r>
              <w:rPr>
                <w:rFonts w:ascii="宋体" w:hAnsi="宋体" w:hint="eastAsia"/>
              </w:rPr>
              <w:t>5,189,166</w:t>
            </w:r>
          </w:p>
        </w:tc>
      </w:tr>
      <w:tr>
        <w:tc>
          <w:tcPr>
            <w:tcW w:w="2897" w:type="dxa"/>
            <w:vAlign w:val="center"/>
          </w:tcPr>
          <w:p>
            <w:pPr>
              <w:jc w:val="center"/>
              <w:rPr>
                <w:color w:val="000000"/>
              </w:rPr>
            </w:pPr>
            <w:r>
              <w:rPr>
                <w:rFonts w:hint="eastAsia"/>
                <w:color w:val="000000"/>
              </w:rPr>
              <w:t>合计</w:t>
            </w:r>
          </w:p>
        </w:tc>
        <w:tc>
          <w:tcPr>
            <w:tcW w:w="3078" w:type="dxa"/>
            <w:vAlign w:val="center"/>
          </w:tcPr>
          <w:p>
            <w:pPr>
              <w:jc w:val="right"/>
              <w:rPr>
                <w:rFonts w:ascii="宋体" w:hAnsi="宋体"/>
              </w:rPr>
            </w:pPr>
            <w:r>
              <w:rPr>
                <w:rFonts w:ascii="宋体" w:hAnsi="宋体"/>
              </w:rPr>
              <w:t>6,330,233</w:t>
            </w:r>
          </w:p>
        </w:tc>
        <w:tc>
          <w:tcPr>
            <w:tcW w:w="3073" w:type="dxa"/>
            <w:vAlign w:val="center"/>
          </w:tcPr>
          <w:p>
            <w:pPr>
              <w:jc w:val="right"/>
              <w:rPr>
                <w:rFonts w:ascii="宋体" w:hAnsi="宋体"/>
              </w:rPr>
            </w:pPr>
            <w:r>
              <w:rPr>
                <w:rFonts w:ascii="宋体" w:hAnsi="宋体"/>
              </w:rPr>
              <w:t>5,189,166</w:t>
            </w:r>
          </w:p>
        </w:tc>
      </w:tr>
      <w:tr>
        <w:tc>
          <w:tcPr>
            <w:tcW w:w="2897" w:type="dxa"/>
          </w:tcPr>
          <w:p>
            <w:pPr>
              <w:jc w:val="center"/>
              <w:rPr>
                <w:color w:val="000000"/>
              </w:rPr>
            </w:pPr>
            <w:r>
              <w:rPr>
                <w:rFonts w:hint="eastAsia"/>
              </w:rPr>
              <w:t>其中：</w:t>
            </w:r>
            <w:r>
              <w:rPr>
                <w:rFonts w:hint="eastAsia"/>
              </w:rPr>
              <w:t>1</w:t>
            </w:r>
            <w:r>
              <w:rPr>
                <w:rFonts w:hint="eastAsia"/>
              </w:rPr>
              <w:t>年以上</w:t>
            </w:r>
          </w:p>
        </w:tc>
        <w:tc>
          <w:tcPr>
            <w:tcW w:w="3078" w:type="dxa"/>
            <w:vAlign w:val="center"/>
          </w:tcPr>
          <w:p>
            <w:pPr>
              <w:jc w:val="right"/>
              <w:rPr>
                <w:rFonts w:ascii="宋体" w:hAnsi="宋体"/>
              </w:rPr>
            </w:pPr>
            <w:r>
              <w:rPr>
                <w:rFonts w:ascii="宋体" w:hAnsi="宋体" w:hint="eastAsia"/>
              </w:rPr>
              <w:t>78,845</w:t>
            </w:r>
          </w:p>
        </w:tc>
        <w:tc>
          <w:tcPr>
            <w:tcW w:w="3073" w:type="dxa"/>
            <w:vAlign w:val="center"/>
          </w:tcPr>
          <w:p>
            <w:pPr>
              <w:jc w:val="right"/>
              <w:rPr>
                <w:rFonts w:ascii="宋体" w:hAnsi="宋体"/>
              </w:rPr>
            </w:pPr>
            <w:r>
              <w:rPr>
                <w:rFonts w:ascii="宋体" w:hAnsi="宋体" w:hint="eastAsia"/>
              </w:rPr>
              <w:t>78,790</w:t>
            </w:r>
          </w:p>
        </w:tc>
      </w:tr>
    </w:tbl>
    <w:p>
      <w:pPr>
        <w:pStyle w:val="Style217"/>
      </w:pPr>
    </w:p>
    <w:p>
      <w:pPr>
        <w:pStyle w:val="Style179"/>
        <w:numPr>
          <w:ilvl w:val="0"/>
          <w:numId w:val="102"/>
        </w:numPr>
      </w:pPr>
      <w:r>
        <w:rPr>
          <w:rFonts w:hint="eastAsia"/>
        </w:rPr>
        <w:t>账龄超过1年的重要合同负债</w:t>
      </w:r>
    </w:p>
    <w:sdt>
      <w:sdtPr>
        <w:alias w:val="是否适用：账龄超过1年的重要合同负债明细[双击切换]"/>
        <w:tag w:val="_GBC_743f27908aba47b4a5755e98b31475ae"/>
        <w:id w:val="-135325284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02"/>
        </w:numPr>
      </w:pPr>
      <w:r>
        <w:rPr>
          <w:rFonts w:hint="eastAsia"/>
        </w:rPr>
        <w:t>报告期内账面价值发生重大变动的金额和原因</w:t>
      </w:r>
    </w:p>
    <w:sdt>
      <w:sdtPr>
        <w:alias w:val="是否适用：合同负债账面价值发生重大变动[双击切换]"/>
        <w:tag w:val="_GBC_267fd365085f4836b846799edc8c3765"/>
        <w:id w:val="-107906363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是否适用：合同负债其他说明[双击切换]"/>
        <w:tag w:val="_GBC_1c99003b181f47ebb73e6452f4bfa446"/>
        <w:id w:val="203561513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r>
        <w:rPr>
          <w:szCs w:val="21"/>
        </w:rPr>
        <w:t>应付职工薪酬</w:t>
      </w:r>
    </w:p>
    <w:p>
      <w:pPr>
        <w:pStyle w:val="Style179"/>
        <w:numPr>
          <w:ilvl w:val="0"/>
          <w:numId w:val="103"/>
        </w:numPr>
      </w:pPr>
      <w:r>
        <w:rPr>
          <w:rFonts w:hint="eastAsia"/>
        </w:rPr>
        <w:t>应付职工薪酬列示</w:t>
      </w:r>
    </w:p>
    <w:sdt>
      <w:sdtPr>
        <w:alias w:val="是否适用：应付职工薪酬列示[双击切换]"/>
        <w:tag w:val="_GBC_215b41e091df4b2bbb2009fd3c8040b5"/>
        <w:id w:val="-62385386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职工薪酬"/>
          <w:tag w:val="_GBC_6889c0e435324d63b7c01ed595a8e140"/>
          <w:id w:val="17701990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付职工薪酬"/>
          <w:tag w:val="_GBC_64bcd9de14a14550b941cbdaf7bdc974"/>
          <w:id w:val="-16217570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1323"/>
        <w:gridCol w:w="1320"/>
        <w:gridCol w:w="1323"/>
        <w:gridCol w:w="1466"/>
        <w:gridCol w:w="1332"/>
      </w:tblGrid>
      <w:tr>
        <w:sdt>
          <w:sdtPr>
            <w:tag w:val="_PLD_4761dc2d96c64c3fb5d407cdbec097a2"/>
            <w:id w:val="-140199775"/>
          </w:sdtPr>
          <w:sdtContent>
            <w:tc>
              <w:tcPr>
                <w:tcW w:w="2282" w:type="dxa"/>
                <w:vAlign w:val="center"/>
              </w:tcPr>
              <w:p>
                <w:pPr>
                  <w:jc w:val="center"/>
                </w:pPr>
                <w:r>
                  <w:rPr>
                    <w:rFonts w:hint="eastAsia"/>
                  </w:rPr>
                  <w:t>项目</w:t>
                </w:r>
              </w:p>
            </w:tc>
          </w:sdtContent>
        </w:sdt>
        <w:sdt>
          <w:sdtPr>
            <w:tag w:val="_PLD_f666739d3c0f4f9891bd8f4974d101ec"/>
            <w:id w:val="1530908940"/>
          </w:sdtPr>
          <w:sdtContent>
            <w:tc>
              <w:tcPr>
                <w:tcW w:w="1323" w:type="dxa"/>
                <w:vAlign w:val="center"/>
              </w:tcPr>
              <w:p>
                <w:pPr>
                  <w:jc w:val="center"/>
                </w:pPr>
                <w:r>
                  <w:rPr>
                    <w:rFonts w:hint="eastAsia"/>
                  </w:rPr>
                  <w:t>期初余额</w:t>
                </w:r>
              </w:p>
            </w:tc>
          </w:sdtContent>
        </w:sdt>
        <w:sdt>
          <w:sdtPr>
            <w:tag w:val="_PLD_cc701d3a5a44484d862c996437df1e7d"/>
            <w:id w:val="320937597"/>
          </w:sdtPr>
          <w:sdtContent>
            <w:tc>
              <w:tcPr>
                <w:tcW w:w="1320" w:type="dxa"/>
                <w:vAlign w:val="center"/>
              </w:tcPr>
              <w:p>
                <w:pPr>
                  <w:jc w:val="center"/>
                </w:pPr>
                <w:r>
                  <w:rPr>
                    <w:rFonts w:hint="eastAsia"/>
                  </w:rPr>
                  <w:t>本期增加</w:t>
                </w:r>
              </w:p>
            </w:tc>
          </w:sdtContent>
        </w:sdt>
        <w:sdt>
          <w:sdtPr>
            <w:tag w:val="_PLD_0e8f833fca684ce592b0cba6d04c75ef"/>
            <w:id w:val="-377080702"/>
          </w:sdtPr>
          <w:sdtContent>
            <w:tc>
              <w:tcPr>
                <w:tcW w:w="1323" w:type="dxa"/>
                <w:vAlign w:val="center"/>
              </w:tcPr>
              <w:p>
                <w:pPr>
                  <w:jc w:val="center"/>
                </w:pPr>
                <w:r>
                  <w:rPr>
                    <w:rFonts w:hint="eastAsia"/>
                  </w:rPr>
                  <w:t>本期减少</w:t>
                </w:r>
              </w:p>
            </w:tc>
          </w:sdtContent>
        </w:sdt>
        <w:tc>
          <w:tcPr>
            <w:tcW w:w="1466" w:type="dxa"/>
            <w:vAlign w:val="center"/>
          </w:tcPr>
          <w:p>
            <w:pPr>
              <w:jc w:val="center"/>
            </w:pPr>
            <w:r>
              <w:rPr>
                <w:rFonts w:hint="eastAsia"/>
              </w:rPr>
              <w:t>外币报表折算差额</w:t>
            </w:r>
          </w:p>
        </w:tc>
        <w:sdt>
          <w:sdtPr>
            <w:tag w:val="_PLD_c39a265e94994f0480d13abd59d3eb39"/>
            <w:id w:val="-1101567265"/>
          </w:sdtPr>
          <w:sdtContent>
            <w:tc>
              <w:tcPr>
                <w:tcW w:w="1332" w:type="dxa"/>
                <w:vAlign w:val="center"/>
              </w:tcPr>
              <w:p>
                <w:pPr>
                  <w:jc w:val="center"/>
                </w:pPr>
                <w:r>
                  <w:rPr>
                    <w:rFonts w:hint="eastAsia"/>
                  </w:rPr>
                  <w:t>期末余额</w:t>
                </w:r>
              </w:p>
            </w:tc>
          </w:sdtContent>
        </w:sdt>
      </w:tr>
      <w:tr>
        <w:tc>
          <w:tcPr>
            <w:tcW w:w="2282" w:type="dxa"/>
            <w:vAlign w:val="center"/>
          </w:tcPr>
          <w:p>
            <w:pPr>
              <w:pStyle w:val="Style217"/>
            </w:pPr>
            <w:r>
              <w:rPr>
                <w:rFonts w:hint="eastAsia"/>
              </w:rPr>
              <w:t>一、短期薪酬</w:t>
            </w:r>
          </w:p>
        </w:tc>
        <w:tc>
          <w:tcPr>
            <w:tcW w:w="1323" w:type="dxa"/>
            <w:vAlign w:val="center"/>
          </w:tcPr>
          <w:p>
            <w:pPr>
              <w:jc w:val="right"/>
              <w:rPr>
                <w:rFonts w:ascii="宋体" w:hAnsi="宋体"/>
              </w:rPr>
            </w:pPr>
            <w:r>
              <w:rPr>
                <w:rFonts w:ascii="宋体" w:hAnsi="宋体"/>
              </w:rPr>
              <w:t>2,794,634</w:t>
            </w:r>
          </w:p>
        </w:tc>
        <w:tc>
          <w:tcPr>
            <w:tcW w:w="1320" w:type="dxa"/>
            <w:vAlign w:val="center"/>
          </w:tcPr>
          <w:p>
            <w:pPr>
              <w:jc w:val="right"/>
              <w:rPr>
                <w:rFonts w:ascii="宋体" w:hAnsi="宋体"/>
                <w:highlight w:val="yellow"/>
              </w:rPr>
            </w:pPr>
            <w:r>
              <w:rPr>
                <w:rFonts w:ascii="宋体" w:hAnsi="宋体"/>
              </w:rPr>
              <w:t>24,325,388</w:t>
            </w:r>
          </w:p>
        </w:tc>
        <w:tc>
          <w:tcPr>
            <w:tcW w:w="1323" w:type="dxa"/>
            <w:vAlign w:val="center"/>
          </w:tcPr>
          <w:p>
            <w:pPr>
              <w:jc w:val="right"/>
              <w:rPr>
                <w:rFonts w:ascii="宋体" w:hAnsi="宋体"/>
                <w:highlight w:val="yellow"/>
              </w:rPr>
            </w:pPr>
            <w:r>
              <w:rPr>
                <w:rFonts w:ascii="宋体" w:hAnsi="宋体"/>
              </w:rPr>
              <w:t>25,368,556</w:t>
            </w:r>
          </w:p>
        </w:tc>
        <w:tc>
          <w:tcPr>
            <w:tcW w:w="1466" w:type="dxa"/>
            <w:vAlign w:val="center"/>
          </w:tcPr>
          <w:p>
            <w:pPr>
              <w:jc w:val="right"/>
              <w:rPr>
                <w:rFonts w:ascii="宋体" w:hAnsi="宋体"/>
              </w:rPr>
            </w:pPr>
            <w:r>
              <w:rPr>
                <w:rFonts w:ascii="宋体" w:hAnsi="宋体"/>
              </w:rPr>
              <w:t>60,184</w:t>
            </w:r>
          </w:p>
        </w:tc>
        <w:tc>
          <w:tcPr>
            <w:tcW w:w="1332" w:type="dxa"/>
            <w:vAlign w:val="center"/>
          </w:tcPr>
          <w:p>
            <w:pPr>
              <w:jc w:val="right"/>
              <w:rPr>
                <w:rFonts w:ascii="宋体" w:hAnsi="宋体"/>
              </w:rPr>
            </w:pPr>
            <w:r>
              <w:rPr>
                <w:rFonts w:ascii="宋体" w:hAnsi="宋体"/>
              </w:rPr>
              <w:t>1,811,650</w:t>
            </w:r>
          </w:p>
        </w:tc>
      </w:tr>
      <w:tr>
        <w:tc>
          <w:tcPr>
            <w:tcW w:w="2282" w:type="dxa"/>
            <w:vAlign w:val="center"/>
          </w:tcPr>
          <w:p>
            <w:pPr>
              <w:pStyle w:val="Style217"/>
            </w:pPr>
            <w:r>
              <w:rPr>
                <w:rFonts w:hint="eastAsia"/>
              </w:rPr>
              <w:t>二、离职后福利-设定提存计划</w:t>
            </w:r>
          </w:p>
        </w:tc>
        <w:tc>
          <w:tcPr>
            <w:tcW w:w="1323" w:type="dxa"/>
            <w:vAlign w:val="center"/>
          </w:tcPr>
          <w:p>
            <w:pPr>
              <w:jc w:val="right"/>
              <w:rPr>
                <w:rFonts w:ascii="宋体" w:hAnsi="宋体"/>
              </w:rPr>
            </w:pPr>
            <w:r>
              <w:rPr>
                <w:rFonts w:ascii="宋体" w:hAnsi="宋体"/>
              </w:rPr>
              <w:t>71,743</w:t>
            </w:r>
          </w:p>
        </w:tc>
        <w:tc>
          <w:tcPr>
            <w:tcW w:w="1320" w:type="dxa"/>
            <w:vAlign w:val="center"/>
          </w:tcPr>
          <w:p>
            <w:pPr>
              <w:jc w:val="right"/>
              <w:rPr>
                <w:rFonts w:ascii="宋体" w:hAnsi="宋体"/>
              </w:rPr>
            </w:pPr>
            <w:r>
              <w:rPr>
                <w:rFonts w:ascii="宋体" w:hAnsi="宋体"/>
              </w:rPr>
              <w:t>3,411,833</w:t>
            </w:r>
          </w:p>
        </w:tc>
        <w:tc>
          <w:tcPr>
            <w:tcW w:w="1323" w:type="dxa"/>
            <w:vAlign w:val="center"/>
          </w:tcPr>
          <w:p>
            <w:pPr>
              <w:jc w:val="right"/>
              <w:rPr>
                <w:rFonts w:ascii="宋体" w:hAnsi="宋体"/>
              </w:rPr>
            </w:pPr>
            <w:r>
              <w:rPr>
                <w:rFonts w:ascii="宋体" w:hAnsi="宋体"/>
              </w:rPr>
              <w:t>3,440,853</w:t>
            </w:r>
          </w:p>
        </w:tc>
        <w:tc>
          <w:tcPr>
            <w:tcW w:w="1466" w:type="dxa"/>
            <w:vAlign w:val="center"/>
          </w:tcPr>
          <w:p>
            <w:pPr>
              <w:jc w:val="right"/>
              <w:rPr>
                <w:rFonts w:ascii="宋体" w:hAnsi="宋体"/>
              </w:rPr>
            </w:pPr>
          </w:p>
        </w:tc>
        <w:tc>
          <w:tcPr>
            <w:tcW w:w="1332" w:type="dxa"/>
            <w:vAlign w:val="center"/>
          </w:tcPr>
          <w:p>
            <w:pPr>
              <w:jc w:val="right"/>
              <w:rPr>
                <w:rFonts w:ascii="宋体" w:hAnsi="宋体"/>
              </w:rPr>
            </w:pPr>
            <w:r>
              <w:rPr>
                <w:rFonts w:ascii="宋体" w:hAnsi="宋体"/>
              </w:rPr>
              <w:t>42,723</w:t>
            </w:r>
          </w:p>
        </w:tc>
      </w:tr>
      <w:tr>
        <w:tc>
          <w:tcPr>
            <w:tcW w:w="2282" w:type="dxa"/>
            <w:vAlign w:val="center"/>
          </w:tcPr>
          <w:p>
            <w:pPr>
              <w:pStyle w:val="Style217"/>
            </w:pPr>
            <w:r>
              <w:rPr>
                <w:rFonts w:hint="eastAsia"/>
              </w:rPr>
              <w:t>三、辞退福利</w:t>
            </w:r>
          </w:p>
        </w:tc>
        <w:tc>
          <w:tcPr>
            <w:tcW w:w="1323" w:type="dxa"/>
            <w:vAlign w:val="center"/>
          </w:tcPr>
          <w:p>
            <w:pPr>
              <w:jc w:val="right"/>
              <w:rPr>
                <w:rFonts w:ascii="宋体" w:hAnsi="宋体"/>
              </w:rPr>
            </w:pPr>
          </w:p>
        </w:tc>
        <w:tc>
          <w:tcPr>
            <w:tcW w:w="1320" w:type="dxa"/>
            <w:vAlign w:val="center"/>
          </w:tcPr>
          <w:p>
            <w:pPr>
              <w:jc w:val="right"/>
              <w:rPr>
                <w:rFonts w:ascii="宋体" w:hAnsi="宋体"/>
              </w:rPr>
            </w:pPr>
            <w:r>
              <w:rPr>
                <w:rFonts w:ascii="宋体" w:hAnsi="宋体"/>
              </w:rPr>
              <w:t>5,820</w:t>
            </w:r>
          </w:p>
        </w:tc>
        <w:tc>
          <w:tcPr>
            <w:tcW w:w="1323" w:type="dxa"/>
            <w:vAlign w:val="center"/>
          </w:tcPr>
          <w:p>
            <w:pPr>
              <w:jc w:val="right"/>
              <w:rPr>
                <w:rFonts w:ascii="宋体" w:hAnsi="宋体"/>
              </w:rPr>
            </w:pPr>
            <w:r>
              <w:rPr>
                <w:rFonts w:ascii="宋体" w:hAnsi="宋体"/>
              </w:rPr>
              <w:t>5,820</w:t>
            </w:r>
          </w:p>
        </w:tc>
        <w:tc>
          <w:tcPr>
            <w:tcW w:w="1466" w:type="dxa"/>
            <w:vAlign w:val="center"/>
          </w:tcPr>
          <w:p>
            <w:pPr>
              <w:jc w:val="right"/>
              <w:rPr>
                <w:rFonts w:ascii="宋体" w:hAnsi="宋体"/>
              </w:rPr>
            </w:pPr>
          </w:p>
        </w:tc>
        <w:tc>
          <w:tcPr>
            <w:tcW w:w="1332" w:type="dxa"/>
            <w:vAlign w:val="center"/>
          </w:tcPr>
          <w:p>
            <w:pPr>
              <w:jc w:val="right"/>
              <w:rPr>
                <w:rFonts w:ascii="宋体" w:hAnsi="宋体"/>
              </w:rPr>
            </w:pPr>
          </w:p>
        </w:tc>
      </w:tr>
      <w:tr>
        <w:tc>
          <w:tcPr>
            <w:tcW w:w="2282" w:type="dxa"/>
            <w:vAlign w:val="center"/>
          </w:tcPr>
          <w:p>
            <w:pPr>
              <w:pStyle w:val="Style217"/>
            </w:pPr>
            <w:r>
              <w:rPr>
                <w:rFonts w:hint="eastAsia"/>
              </w:rPr>
              <w:t>四、一年内到期的其他福利</w:t>
            </w:r>
          </w:p>
        </w:tc>
        <w:tc>
          <w:tcPr>
            <w:tcW w:w="1323" w:type="dxa"/>
            <w:vAlign w:val="center"/>
          </w:tcPr>
          <w:p>
            <w:pPr>
              <w:jc w:val="right"/>
              <w:rPr>
                <w:rFonts w:ascii="宋体" w:hAnsi="宋体"/>
              </w:rPr>
            </w:pPr>
          </w:p>
        </w:tc>
        <w:tc>
          <w:tcPr>
            <w:tcW w:w="1320" w:type="dxa"/>
            <w:vAlign w:val="center"/>
          </w:tcPr>
          <w:p>
            <w:pPr>
              <w:jc w:val="right"/>
              <w:rPr>
                <w:rFonts w:ascii="宋体" w:hAnsi="宋体"/>
              </w:rPr>
            </w:pPr>
            <w:r>
              <w:rPr>
                <w:rFonts w:ascii="宋体" w:hAnsi="宋体"/>
              </w:rPr>
              <w:t>17,605</w:t>
            </w:r>
          </w:p>
        </w:tc>
        <w:tc>
          <w:tcPr>
            <w:tcW w:w="1323" w:type="dxa"/>
            <w:vAlign w:val="center"/>
          </w:tcPr>
          <w:p>
            <w:pPr>
              <w:jc w:val="right"/>
              <w:rPr>
                <w:rFonts w:ascii="宋体" w:hAnsi="宋体"/>
              </w:rPr>
            </w:pPr>
            <w:r>
              <w:rPr>
                <w:rFonts w:ascii="宋体" w:hAnsi="宋体"/>
              </w:rPr>
              <w:t>640</w:t>
            </w:r>
          </w:p>
        </w:tc>
        <w:tc>
          <w:tcPr>
            <w:tcW w:w="1466" w:type="dxa"/>
            <w:vAlign w:val="center"/>
          </w:tcPr>
          <w:p>
            <w:pPr>
              <w:jc w:val="right"/>
              <w:rPr>
                <w:rFonts w:ascii="宋体" w:hAnsi="宋体"/>
              </w:rPr>
            </w:pPr>
          </w:p>
        </w:tc>
        <w:tc>
          <w:tcPr>
            <w:tcW w:w="1332" w:type="dxa"/>
            <w:vAlign w:val="center"/>
          </w:tcPr>
          <w:p>
            <w:pPr>
              <w:jc w:val="right"/>
              <w:rPr>
                <w:rFonts w:ascii="宋体" w:hAnsi="宋体"/>
              </w:rPr>
            </w:pPr>
            <w:r>
              <w:rPr>
                <w:rFonts w:ascii="宋体" w:hAnsi="宋体"/>
              </w:rPr>
              <w:t>16,965</w:t>
            </w:r>
          </w:p>
        </w:tc>
      </w:tr>
      <w:tr>
        <w:tc>
          <w:tcPr>
            <w:tcW w:w="2282" w:type="dxa"/>
            <w:vAlign w:val="center"/>
          </w:tcPr>
          <w:p>
            <w:pPr>
              <w:jc w:val="center"/>
            </w:pPr>
            <w:r>
              <w:rPr>
                <w:rFonts w:hint="eastAsia"/>
              </w:rPr>
              <w:t>合计</w:t>
            </w:r>
          </w:p>
        </w:tc>
        <w:tc>
          <w:tcPr>
            <w:tcW w:w="1323" w:type="dxa"/>
            <w:vAlign w:val="center"/>
          </w:tcPr>
          <w:p>
            <w:pPr>
              <w:jc w:val="right"/>
              <w:rPr>
                <w:rFonts w:ascii="宋体" w:hAnsi="宋体"/>
              </w:rPr>
            </w:pPr>
            <w:r>
              <w:rPr>
                <w:rFonts w:ascii="宋体" w:hAnsi="宋体"/>
              </w:rPr>
              <w:t>2,866,377</w:t>
            </w:r>
          </w:p>
        </w:tc>
        <w:tc>
          <w:tcPr>
            <w:tcW w:w="1320" w:type="dxa"/>
            <w:vAlign w:val="center"/>
          </w:tcPr>
          <w:p>
            <w:pPr>
              <w:jc w:val="right"/>
              <w:rPr>
                <w:rFonts w:ascii="宋体" w:hAnsi="宋体"/>
              </w:rPr>
            </w:pPr>
            <w:r>
              <w:rPr>
                <w:rFonts w:ascii="宋体" w:hAnsi="宋体"/>
              </w:rPr>
              <w:t>27,760,646</w:t>
            </w:r>
          </w:p>
        </w:tc>
        <w:tc>
          <w:tcPr>
            <w:tcW w:w="1323" w:type="dxa"/>
            <w:vAlign w:val="center"/>
          </w:tcPr>
          <w:p>
            <w:pPr>
              <w:jc w:val="right"/>
              <w:rPr>
                <w:rFonts w:ascii="宋体" w:hAnsi="宋体"/>
              </w:rPr>
            </w:pPr>
            <w:r>
              <w:rPr>
                <w:rFonts w:ascii="宋体" w:hAnsi="宋体"/>
              </w:rPr>
              <w:t>28,815,869</w:t>
            </w:r>
          </w:p>
        </w:tc>
        <w:tc>
          <w:tcPr>
            <w:tcW w:w="1466" w:type="dxa"/>
            <w:vAlign w:val="center"/>
          </w:tcPr>
          <w:p>
            <w:pPr>
              <w:jc w:val="right"/>
              <w:rPr>
                <w:rFonts w:ascii="宋体" w:hAnsi="宋体"/>
              </w:rPr>
            </w:pPr>
            <w:r>
              <w:rPr>
                <w:rFonts w:ascii="宋体" w:hAnsi="宋体"/>
              </w:rPr>
              <w:t>60,184</w:t>
            </w:r>
          </w:p>
        </w:tc>
        <w:tc>
          <w:tcPr>
            <w:tcW w:w="1332" w:type="dxa"/>
            <w:vAlign w:val="center"/>
          </w:tcPr>
          <w:p>
            <w:pPr>
              <w:jc w:val="right"/>
              <w:rPr>
                <w:rFonts w:ascii="宋体" w:hAnsi="宋体"/>
              </w:rPr>
            </w:pPr>
            <w:r>
              <w:rPr>
                <w:rFonts w:ascii="宋体" w:hAnsi="宋体"/>
              </w:rPr>
              <w:t>1,871,338</w:t>
            </w:r>
          </w:p>
        </w:tc>
      </w:tr>
    </w:tbl>
    <w:p>
      <w:pPr>
        <w:pStyle w:val="Style217"/>
      </w:pPr>
    </w:p>
    <w:p>
      <w:pPr>
        <w:pStyle w:val="Style179"/>
        <w:numPr>
          <w:ilvl w:val="0"/>
          <w:numId w:val="103"/>
        </w:numPr>
      </w:pPr>
      <w:r>
        <w:rPr>
          <w:rFonts w:hint="eastAsia"/>
        </w:rPr>
        <w:t>短期薪酬列示</w:t>
      </w:r>
    </w:p>
    <w:sdt>
      <w:sdtPr>
        <w:alias w:val="是否适用：短期薪酬列示[双击切换]"/>
        <w:tag w:val="_GBC_531fef0ef27e47ad98c1bb26abdf204f"/>
        <w:id w:val="144426662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短期薪酬"/>
          <w:tag w:val="_GBC_4710a4978b1b4a4bbcd5757aaf80b8d7"/>
          <w:id w:val="14375567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r>
        <w:rPr>
          <w:rFonts w:hint="eastAsia"/>
        </w:rPr>
        <w:t>:</w:t>
      </w:r>
      <w:sdt>
        <w:sdtPr>
          <w:rPr>
            <w:rFonts w:hint="eastAsia"/>
          </w:rPr>
          <w:alias w:val="币种：财务附注：短期薪酬"/>
          <w:tag w:val="_GBC_aa08b58287754c0d8fad97e31bacb9e4"/>
          <w:id w:val="11271293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1325"/>
        <w:gridCol w:w="1308"/>
        <w:gridCol w:w="1321"/>
        <w:gridCol w:w="1466"/>
        <w:gridCol w:w="1332"/>
      </w:tblGrid>
      <w:tr>
        <w:sdt>
          <w:sdtPr>
            <w:tag w:val="_PLD_977153d49ca449b191bb833cd5f689b2"/>
            <w:id w:val="-1061327791"/>
          </w:sdtPr>
          <w:sdtContent>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项目</w:t>
                </w:r>
              </w:p>
            </w:tc>
          </w:sdtContent>
        </w:sdt>
        <w:sdt>
          <w:sdtPr>
            <w:tag w:val="_PLD_557c49ee2a4f40de99f948c76f4c3adc"/>
            <w:id w:val="-935825427"/>
          </w:sdtPr>
          <w:sdtContent>
            <w:tc>
              <w:tcPr>
                <w:tcW w:w="13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期初余额</w:t>
                </w:r>
              </w:p>
            </w:tc>
          </w:sdtContent>
        </w:sdt>
        <w:sdt>
          <w:sdtPr>
            <w:tag w:val="_PLD_98d1ab48f8084264aff0ef3a30e8ba71"/>
            <w:id w:val="503554221"/>
          </w:sdtPr>
          <w:sdtContent>
            <w:tc>
              <w:tcPr>
                <w:tcW w:w="1308"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本期增加</w:t>
                </w:r>
              </w:p>
            </w:tc>
          </w:sdtContent>
        </w:sdt>
        <w:sdt>
          <w:sdtPr>
            <w:tag w:val="_PLD_e35c4f26db444503b2f9a32896872169"/>
            <w:id w:val="1609238567"/>
          </w:sdtPr>
          <w:sdtContent>
            <w:tc>
              <w:tcPr>
                <w:tcW w:w="1321" w:type="dxa"/>
                <w:tcBorders>
                  <w:top w:val="single" w:sz="4" w:space="0" w:color="auto"/>
                  <w:left w:val="single" w:sz="4" w:space="0" w:color="auto"/>
                  <w:bottom w:val="single" w:sz="4" w:space="0" w:color="auto"/>
                  <w:right w:val="single" w:sz="4" w:space="0" w:color="auto"/>
                </w:tcBorders>
                <w:vAlign w:val="center"/>
              </w:tcPr>
              <w:p>
                <w:pPr>
                  <w:jc w:val="center"/>
                </w:pPr>
                <w:r>
                  <w:t>本期减少</w:t>
                </w:r>
              </w:p>
            </w:tc>
          </w:sdtContent>
        </w:sdt>
        <w:tc>
          <w:tcPr>
            <w:tcW w:w="146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外币报表折算差额</w:t>
            </w:r>
          </w:p>
        </w:tc>
        <w:sdt>
          <w:sdtPr>
            <w:tag w:val="_PLD_e67d191300ac43c2b1b07c1beddfe891"/>
            <w:id w:val="273762557"/>
          </w:sdtPr>
          <w:sdtContent>
            <w:tc>
              <w:tcPr>
                <w:tcW w:w="133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期末余额</w:t>
                </w:r>
              </w:p>
            </w:tc>
          </w:sdtContent>
        </w:sdt>
      </w:tr>
      <w:tr>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hint="eastAsia"/>
              </w:rPr>
              <w:t>一、工资、奖金、津贴和补贴</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1,585,102</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15,949,496</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16,732,027</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43,396</w:t>
            </w: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845,967</w:t>
            </w:r>
          </w:p>
        </w:tc>
      </w:tr>
      <w:tr>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hint="eastAsia"/>
              </w:rPr>
              <w:t>二、职工福利费</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287</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1,715,616</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1,715,871</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w:t>
            </w:r>
          </w:p>
        </w:tc>
      </w:tr>
      <w:tr>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hint="eastAsia"/>
              </w:rPr>
              <w:t>三、社会保险费</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38,261</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1,372,630</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1,392,368</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18,523</w:t>
            </w:r>
          </w:p>
        </w:tc>
      </w:tr>
      <w:tr>
        <w:tc>
          <w:tcPr>
            <w:tcW w:w="2294" w:type="dxa"/>
            <w:tcBorders>
              <w:top w:val="single" w:sz="4" w:space="0" w:color="auto"/>
              <w:left w:val="single" w:sz="4" w:space="0" w:color="auto"/>
              <w:bottom w:val="single" w:sz="4" w:space="0" w:color="auto"/>
              <w:right w:val="single" w:sz="4" w:space="0" w:color="auto"/>
            </w:tcBorders>
            <w:vAlign w:val="center"/>
          </w:tcPr>
          <w:p>
            <w:pPr>
              <w:rPr>
                <w:color w:val="008000"/>
              </w:rPr>
            </w:pPr>
            <w:r>
              <w:rPr>
                <w:rFonts w:hint="eastAsia"/>
              </w:rPr>
              <w:t>其中：</w:t>
            </w:r>
            <w:r>
              <w:t>医疗保险费</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26,952</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1,173,984</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1,189,839</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11,097</w:t>
            </w:r>
          </w:p>
        </w:tc>
      </w:tr>
      <w:tr>
        <w:tc>
          <w:tcPr>
            <w:tcW w:w="2294" w:type="dxa"/>
            <w:tcBorders>
              <w:top w:val="single" w:sz="4" w:space="0" w:color="auto"/>
              <w:left w:val="single" w:sz="4" w:space="0" w:color="auto"/>
              <w:bottom w:val="single" w:sz="4" w:space="0" w:color="auto"/>
              <w:right w:val="single" w:sz="4" w:space="0" w:color="auto"/>
            </w:tcBorders>
            <w:vAlign w:val="center"/>
          </w:tcPr>
          <w:p>
            <w:pPr>
              <w:ind w:firstLineChars="300" w:firstLine="630"/>
            </w:pPr>
            <w:r>
              <w:rPr>
                <w:rFonts w:hint="eastAsia"/>
              </w:rPr>
              <w:t>工伤保险费</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10,398</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198,173</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201,186</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7,385</w:t>
            </w:r>
          </w:p>
        </w:tc>
      </w:tr>
      <w:tr>
        <w:tc>
          <w:tcPr>
            <w:tcW w:w="2294" w:type="dxa"/>
            <w:tcBorders>
              <w:top w:val="single" w:sz="4" w:space="0" w:color="auto"/>
              <w:left w:val="single" w:sz="4" w:space="0" w:color="auto"/>
              <w:bottom w:val="single" w:sz="4" w:space="0" w:color="auto"/>
              <w:right w:val="single" w:sz="4" w:space="0" w:color="auto"/>
            </w:tcBorders>
            <w:vAlign w:val="center"/>
          </w:tcPr>
          <w:p>
            <w:pPr>
              <w:ind w:firstLineChars="300" w:firstLine="630"/>
            </w:pPr>
            <w:r>
              <w:rPr>
                <w:rFonts w:hint="eastAsia"/>
              </w:rPr>
              <w:t>生育保险费</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911</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473</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1,343</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41</w:t>
            </w:r>
          </w:p>
        </w:tc>
      </w:tr>
      <w:tr>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hint="eastAsia"/>
              </w:rPr>
              <w:t>四、住房公积金</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68,748</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1,687,002</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1,699,504</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56,246</w:t>
            </w:r>
          </w:p>
        </w:tc>
      </w:tr>
      <w:tr>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hint="eastAsia"/>
              </w:rPr>
              <w:t>五、工会经费和职工教育经费</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470,316</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419,595</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565,220</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324,691</w:t>
            </w:r>
          </w:p>
        </w:tc>
      </w:tr>
      <w:tr>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hint="eastAsia"/>
              </w:rPr>
              <w:t>六、短期带薪缺勤</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511,284</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3,181,049</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3,143,187</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16,788</w:t>
            </w: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565,934</w:t>
            </w:r>
          </w:p>
        </w:tc>
      </w:tr>
      <w:tr>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hint="eastAsia"/>
              </w:rPr>
              <w:t>七、短期利润分享计划</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120,636</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120,379</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257</w:t>
            </w:r>
          </w:p>
        </w:tc>
      </w:tr>
      <w:tr>
        <w:tc>
          <w:tcPr>
            <w:tcW w:w="229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lastRenderedPageBreak/>
              <w:t>合计</w:t>
            </w:r>
          </w:p>
        </w:tc>
        <w:tc>
          <w:tcPr>
            <w:tcW w:w="13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2,794,634</w:t>
            </w:r>
          </w:p>
        </w:tc>
        <w:tc>
          <w:tcPr>
            <w:tcW w:w="130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24,325,388</w:t>
            </w:r>
          </w:p>
        </w:tc>
        <w:tc>
          <w:tcPr>
            <w:tcW w:w="13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25,368,556</w:t>
            </w:r>
          </w:p>
        </w:tc>
        <w:tc>
          <w:tcPr>
            <w:tcW w:w="146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60,184</w:t>
            </w:r>
          </w:p>
        </w:tc>
        <w:tc>
          <w:tcPr>
            <w:tcW w:w="133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1,811,650</w:t>
            </w:r>
          </w:p>
        </w:tc>
      </w:tr>
    </w:tbl>
    <w:p>
      <w:pPr>
        <w:pStyle w:val="Style217"/>
      </w:pPr>
    </w:p>
    <w:p>
      <w:pPr>
        <w:pStyle w:val="Style179"/>
        <w:numPr>
          <w:ilvl w:val="0"/>
          <w:numId w:val="103"/>
        </w:numPr>
      </w:pPr>
      <w:r>
        <w:rPr>
          <w:rFonts w:hint="eastAsia"/>
        </w:rPr>
        <w:t>设定提存计划列示</w:t>
      </w:r>
    </w:p>
    <w:p>
      <w:pPr>
        <w:pStyle w:val="Style217"/>
      </w:pPr>
      <w:sdt>
        <w:sdtPr>
          <w:alias w:val="是否适用：设定提存计划列示[双击切换]"/>
          <w:tag w:val="_GBC_b10b1dbaca2d418ba8658bab8f732ec8"/>
          <w:id w:val="1770275282"/>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设定提存计划列示"/>
          <w:tag w:val="_GBC_925094ba622346ba8857a40cf7e6f1b2"/>
          <w:id w:val="15735487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设定提存计划列示"/>
          <w:tag w:val="_GBC_e3e3da384da84c8f92edb23d37c13690"/>
          <w:id w:val="17148453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36"/>
        <w:gridCol w:w="1321"/>
        <w:gridCol w:w="1349"/>
        <w:gridCol w:w="1466"/>
        <w:gridCol w:w="1306"/>
      </w:tblGrid>
      <w:tr>
        <w:sdt>
          <w:sdtPr>
            <w:tag w:val="_PLD_5a05fd1b5f8842ba9ae6094f6792dfbe"/>
            <w:id w:val="-1639263105"/>
          </w:sdtPr>
          <w:sdtContent>
            <w:tc>
              <w:tcPr>
                <w:tcW w:w="2268" w:type="dxa"/>
                <w:vAlign w:val="center"/>
              </w:tcPr>
              <w:p>
                <w:pPr>
                  <w:jc w:val="center"/>
                </w:pPr>
                <w:r>
                  <w:rPr>
                    <w:rFonts w:hint="eastAsia"/>
                  </w:rPr>
                  <w:t>项目</w:t>
                </w:r>
              </w:p>
            </w:tc>
          </w:sdtContent>
        </w:sdt>
        <w:sdt>
          <w:sdtPr>
            <w:tag w:val="_PLD_fae7d76d85e4429d925f3d30ff27566f"/>
            <w:id w:val="-2109795797"/>
          </w:sdtPr>
          <w:sdtContent>
            <w:tc>
              <w:tcPr>
                <w:tcW w:w="1336" w:type="dxa"/>
                <w:vAlign w:val="center"/>
              </w:tcPr>
              <w:p>
                <w:pPr>
                  <w:jc w:val="center"/>
                </w:pPr>
                <w:r>
                  <w:rPr>
                    <w:rFonts w:hint="eastAsia"/>
                  </w:rPr>
                  <w:t>期初余额</w:t>
                </w:r>
              </w:p>
            </w:tc>
          </w:sdtContent>
        </w:sdt>
        <w:sdt>
          <w:sdtPr>
            <w:tag w:val="_PLD_cd3c897871944aa0a1ea524d70e51704"/>
            <w:id w:val="1061912558"/>
          </w:sdtPr>
          <w:sdtContent>
            <w:tc>
              <w:tcPr>
                <w:tcW w:w="1321" w:type="dxa"/>
                <w:vAlign w:val="center"/>
              </w:tcPr>
              <w:p>
                <w:pPr>
                  <w:jc w:val="center"/>
                </w:pPr>
                <w:r>
                  <w:rPr>
                    <w:rFonts w:hint="eastAsia"/>
                  </w:rPr>
                  <w:t>本期增加</w:t>
                </w:r>
              </w:p>
            </w:tc>
          </w:sdtContent>
        </w:sdt>
        <w:sdt>
          <w:sdtPr>
            <w:tag w:val="_PLD_5ef10b06a3d24730bad93c45f119182f"/>
            <w:id w:val="862335099"/>
          </w:sdtPr>
          <w:sdtContent>
            <w:tc>
              <w:tcPr>
                <w:tcW w:w="1349" w:type="dxa"/>
                <w:vAlign w:val="center"/>
              </w:tcPr>
              <w:p>
                <w:pPr>
                  <w:jc w:val="center"/>
                </w:pPr>
                <w:r>
                  <w:rPr>
                    <w:rFonts w:hint="eastAsia"/>
                  </w:rPr>
                  <w:t>本期减少</w:t>
                </w:r>
              </w:p>
            </w:tc>
          </w:sdtContent>
        </w:sdt>
        <w:tc>
          <w:tcPr>
            <w:tcW w:w="1466" w:type="dxa"/>
            <w:vAlign w:val="center"/>
          </w:tcPr>
          <w:p>
            <w:pPr>
              <w:jc w:val="center"/>
            </w:pPr>
            <w:r>
              <w:rPr>
                <w:rFonts w:hint="eastAsia"/>
              </w:rPr>
              <w:t>外币报表折算差额</w:t>
            </w:r>
          </w:p>
        </w:tc>
        <w:sdt>
          <w:sdtPr>
            <w:tag w:val="_PLD_13d5e5df016d4921aa56218755dfb8f4"/>
            <w:id w:val="530838247"/>
          </w:sdtPr>
          <w:sdtContent>
            <w:tc>
              <w:tcPr>
                <w:tcW w:w="1306" w:type="dxa"/>
                <w:vAlign w:val="center"/>
              </w:tcPr>
              <w:p>
                <w:pPr>
                  <w:jc w:val="center"/>
                </w:pPr>
                <w:r>
                  <w:rPr>
                    <w:rFonts w:hint="eastAsia"/>
                  </w:rPr>
                  <w:t>期末余额</w:t>
                </w:r>
              </w:p>
            </w:tc>
          </w:sdtContent>
        </w:sdt>
      </w:tr>
      <w:tr>
        <w:tc>
          <w:tcPr>
            <w:tcW w:w="2268" w:type="dxa"/>
            <w:vAlign w:val="center"/>
          </w:tcPr>
          <w:p>
            <w:pPr>
              <w:pStyle w:val="Style217"/>
            </w:pPr>
            <w:r>
              <w:rPr>
                <w:rFonts w:hint="eastAsia"/>
              </w:rPr>
              <w:t>1、基本养老保险</w:t>
            </w:r>
          </w:p>
        </w:tc>
        <w:tc>
          <w:tcPr>
            <w:tcW w:w="1336" w:type="dxa"/>
            <w:vAlign w:val="center"/>
          </w:tcPr>
          <w:p>
            <w:pPr>
              <w:jc w:val="right"/>
              <w:rPr>
                <w:rFonts w:ascii="宋体" w:hAnsi="宋体"/>
              </w:rPr>
            </w:pPr>
            <w:r>
              <w:rPr>
                <w:rFonts w:ascii="宋体" w:hAnsi="宋体"/>
              </w:rPr>
              <w:t>43,436</w:t>
            </w:r>
          </w:p>
        </w:tc>
        <w:tc>
          <w:tcPr>
            <w:tcW w:w="1321" w:type="dxa"/>
            <w:vAlign w:val="center"/>
          </w:tcPr>
          <w:p>
            <w:pPr>
              <w:jc w:val="right"/>
              <w:rPr>
                <w:rFonts w:ascii="宋体" w:hAnsi="宋体"/>
              </w:rPr>
            </w:pPr>
            <w:r>
              <w:rPr>
                <w:rFonts w:ascii="宋体" w:hAnsi="宋体"/>
              </w:rPr>
              <w:t>2,172,147</w:t>
            </w:r>
          </w:p>
        </w:tc>
        <w:tc>
          <w:tcPr>
            <w:tcW w:w="1349" w:type="dxa"/>
            <w:vAlign w:val="center"/>
          </w:tcPr>
          <w:p>
            <w:pPr>
              <w:jc w:val="right"/>
              <w:rPr>
                <w:rFonts w:ascii="宋体" w:hAnsi="宋体"/>
              </w:rPr>
            </w:pPr>
            <w:r>
              <w:rPr>
                <w:rFonts w:ascii="宋体" w:hAnsi="宋体"/>
              </w:rPr>
              <w:t>2,193,962</w:t>
            </w:r>
          </w:p>
        </w:tc>
        <w:tc>
          <w:tcPr>
            <w:tcW w:w="1466" w:type="dxa"/>
            <w:vAlign w:val="center"/>
          </w:tcPr>
          <w:p>
            <w:pPr>
              <w:jc w:val="right"/>
              <w:rPr>
                <w:rFonts w:ascii="宋体" w:hAnsi="宋体"/>
              </w:rPr>
            </w:pPr>
          </w:p>
        </w:tc>
        <w:tc>
          <w:tcPr>
            <w:tcW w:w="1306" w:type="dxa"/>
            <w:vAlign w:val="center"/>
          </w:tcPr>
          <w:p>
            <w:pPr>
              <w:jc w:val="right"/>
              <w:rPr>
                <w:rFonts w:ascii="宋体" w:hAnsi="宋体"/>
              </w:rPr>
            </w:pPr>
            <w:r>
              <w:rPr>
                <w:rFonts w:ascii="宋体" w:hAnsi="宋体"/>
              </w:rPr>
              <w:t>21,621</w:t>
            </w:r>
          </w:p>
        </w:tc>
      </w:tr>
      <w:tr>
        <w:tc>
          <w:tcPr>
            <w:tcW w:w="2268" w:type="dxa"/>
            <w:vAlign w:val="center"/>
          </w:tcPr>
          <w:p>
            <w:pPr>
              <w:pStyle w:val="Style217"/>
            </w:pPr>
            <w:r>
              <w:rPr>
                <w:rFonts w:hint="eastAsia"/>
              </w:rPr>
              <w:t>2、失业保险费</w:t>
            </w:r>
          </w:p>
        </w:tc>
        <w:tc>
          <w:tcPr>
            <w:tcW w:w="1336" w:type="dxa"/>
            <w:vAlign w:val="center"/>
          </w:tcPr>
          <w:p>
            <w:pPr>
              <w:jc w:val="right"/>
              <w:rPr>
                <w:rFonts w:ascii="宋体" w:hAnsi="宋体"/>
              </w:rPr>
            </w:pPr>
            <w:r>
              <w:rPr>
                <w:rFonts w:ascii="宋体" w:hAnsi="宋体"/>
              </w:rPr>
              <w:t>5,976</w:t>
            </w:r>
          </w:p>
        </w:tc>
        <w:tc>
          <w:tcPr>
            <w:tcW w:w="1321" w:type="dxa"/>
            <w:vAlign w:val="center"/>
          </w:tcPr>
          <w:p>
            <w:pPr>
              <w:jc w:val="right"/>
              <w:rPr>
                <w:rFonts w:ascii="宋体" w:hAnsi="宋体"/>
              </w:rPr>
            </w:pPr>
            <w:r>
              <w:rPr>
                <w:rFonts w:ascii="宋体" w:hAnsi="宋体"/>
              </w:rPr>
              <w:t>91,098</w:t>
            </w:r>
          </w:p>
        </w:tc>
        <w:tc>
          <w:tcPr>
            <w:tcW w:w="1349" w:type="dxa"/>
            <w:vAlign w:val="center"/>
          </w:tcPr>
          <w:p>
            <w:pPr>
              <w:jc w:val="right"/>
              <w:rPr>
                <w:rFonts w:ascii="宋体" w:hAnsi="宋体"/>
              </w:rPr>
            </w:pPr>
            <w:r>
              <w:rPr>
                <w:rFonts w:ascii="宋体" w:hAnsi="宋体"/>
              </w:rPr>
              <w:t>96,348</w:t>
            </w:r>
          </w:p>
        </w:tc>
        <w:tc>
          <w:tcPr>
            <w:tcW w:w="1466" w:type="dxa"/>
            <w:vAlign w:val="center"/>
          </w:tcPr>
          <w:p>
            <w:pPr>
              <w:jc w:val="right"/>
              <w:rPr>
                <w:rFonts w:ascii="宋体" w:hAnsi="宋体"/>
              </w:rPr>
            </w:pPr>
          </w:p>
        </w:tc>
        <w:tc>
          <w:tcPr>
            <w:tcW w:w="1306" w:type="dxa"/>
            <w:vAlign w:val="center"/>
          </w:tcPr>
          <w:p>
            <w:pPr>
              <w:jc w:val="right"/>
              <w:rPr>
                <w:rFonts w:ascii="宋体" w:hAnsi="宋体"/>
              </w:rPr>
            </w:pPr>
            <w:r>
              <w:rPr>
                <w:rFonts w:ascii="宋体" w:hAnsi="宋体"/>
              </w:rPr>
              <w:t>726</w:t>
            </w:r>
          </w:p>
        </w:tc>
      </w:tr>
      <w:tr>
        <w:tc>
          <w:tcPr>
            <w:tcW w:w="2268" w:type="dxa"/>
            <w:vAlign w:val="center"/>
          </w:tcPr>
          <w:p>
            <w:pPr>
              <w:pStyle w:val="Style217"/>
            </w:pPr>
            <w:r>
              <w:rPr>
                <w:rFonts w:hint="eastAsia"/>
              </w:rPr>
              <w:t>3、企业年金缴费</w:t>
            </w:r>
          </w:p>
        </w:tc>
        <w:tc>
          <w:tcPr>
            <w:tcW w:w="1336" w:type="dxa"/>
            <w:vAlign w:val="center"/>
          </w:tcPr>
          <w:p>
            <w:pPr>
              <w:jc w:val="right"/>
              <w:rPr>
                <w:rFonts w:ascii="宋体" w:hAnsi="宋体"/>
              </w:rPr>
            </w:pPr>
            <w:r>
              <w:rPr>
                <w:rFonts w:ascii="宋体" w:hAnsi="宋体"/>
              </w:rPr>
              <w:t>22,331</w:t>
            </w:r>
          </w:p>
        </w:tc>
        <w:tc>
          <w:tcPr>
            <w:tcW w:w="1321" w:type="dxa"/>
            <w:vAlign w:val="center"/>
          </w:tcPr>
          <w:p>
            <w:pPr>
              <w:jc w:val="right"/>
              <w:rPr>
                <w:rFonts w:ascii="宋体" w:hAnsi="宋体"/>
              </w:rPr>
            </w:pPr>
            <w:r>
              <w:rPr>
                <w:rFonts w:ascii="宋体" w:hAnsi="宋体"/>
              </w:rPr>
              <w:t>1,148,588</w:t>
            </w:r>
          </w:p>
        </w:tc>
        <w:tc>
          <w:tcPr>
            <w:tcW w:w="1349" w:type="dxa"/>
            <w:vAlign w:val="center"/>
          </w:tcPr>
          <w:p>
            <w:pPr>
              <w:jc w:val="right"/>
              <w:rPr>
                <w:rFonts w:ascii="宋体" w:hAnsi="宋体"/>
              </w:rPr>
            </w:pPr>
            <w:r>
              <w:rPr>
                <w:rFonts w:ascii="宋体" w:hAnsi="宋体"/>
              </w:rPr>
              <w:t>1,150,543</w:t>
            </w:r>
          </w:p>
        </w:tc>
        <w:tc>
          <w:tcPr>
            <w:tcW w:w="1466" w:type="dxa"/>
            <w:vAlign w:val="center"/>
          </w:tcPr>
          <w:p>
            <w:pPr>
              <w:jc w:val="right"/>
              <w:rPr>
                <w:rFonts w:ascii="宋体" w:hAnsi="宋体"/>
              </w:rPr>
            </w:pPr>
          </w:p>
        </w:tc>
        <w:tc>
          <w:tcPr>
            <w:tcW w:w="1306" w:type="dxa"/>
            <w:vAlign w:val="center"/>
          </w:tcPr>
          <w:p>
            <w:pPr>
              <w:jc w:val="right"/>
              <w:rPr>
                <w:rFonts w:ascii="宋体" w:hAnsi="宋体"/>
              </w:rPr>
            </w:pPr>
            <w:r>
              <w:rPr>
                <w:rFonts w:ascii="宋体" w:hAnsi="宋体"/>
              </w:rPr>
              <w:t>20,376</w:t>
            </w:r>
          </w:p>
        </w:tc>
      </w:tr>
      <w:tr>
        <w:tc>
          <w:tcPr>
            <w:tcW w:w="2268" w:type="dxa"/>
            <w:vAlign w:val="center"/>
          </w:tcPr>
          <w:p>
            <w:pPr>
              <w:jc w:val="center"/>
            </w:pPr>
            <w:r>
              <w:rPr>
                <w:rFonts w:hint="eastAsia"/>
              </w:rPr>
              <w:t>合计</w:t>
            </w:r>
          </w:p>
        </w:tc>
        <w:tc>
          <w:tcPr>
            <w:tcW w:w="1336" w:type="dxa"/>
            <w:vAlign w:val="center"/>
          </w:tcPr>
          <w:p>
            <w:pPr>
              <w:jc w:val="right"/>
              <w:rPr>
                <w:rFonts w:ascii="宋体" w:hAnsi="宋体"/>
              </w:rPr>
            </w:pPr>
            <w:r>
              <w:rPr>
                <w:rFonts w:ascii="宋体" w:hAnsi="宋体"/>
              </w:rPr>
              <w:t>71,743</w:t>
            </w:r>
          </w:p>
        </w:tc>
        <w:tc>
          <w:tcPr>
            <w:tcW w:w="1321" w:type="dxa"/>
            <w:vAlign w:val="center"/>
          </w:tcPr>
          <w:p>
            <w:pPr>
              <w:jc w:val="right"/>
              <w:rPr>
                <w:rFonts w:ascii="宋体" w:hAnsi="宋体"/>
              </w:rPr>
            </w:pPr>
            <w:r>
              <w:rPr>
                <w:rFonts w:ascii="宋体" w:hAnsi="宋体"/>
              </w:rPr>
              <w:t>3,411,833</w:t>
            </w:r>
          </w:p>
        </w:tc>
        <w:tc>
          <w:tcPr>
            <w:tcW w:w="1349" w:type="dxa"/>
            <w:vAlign w:val="center"/>
          </w:tcPr>
          <w:p>
            <w:pPr>
              <w:jc w:val="right"/>
              <w:rPr>
                <w:rFonts w:ascii="宋体" w:hAnsi="宋体"/>
              </w:rPr>
            </w:pPr>
            <w:r>
              <w:rPr>
                <w:rFonts w:ascii="宋体" w:hAnsi="宋体"/>
              </w:rPr>
              <w:t>3,440,853</w:t>
            </w:r>
          </w:p>
        </w:tc>
        <w:tc>
          <w:tcPr>
            <w:tcW w:w="1466" w:type="dxa"/>
            <w:vAlign w:val="center"/>
          </w:tcPr>
          <w:p>
            <w:pPr>
              <w:jc w:val="right"/>
              <w:rPr>
                <w:rFonts w:ascii="宋体" w:hAnsi="宋体"/>
              </w:rPr>
            </w:pPr>
          </w:p>
        </w:tc>
        <w:tc>
          <w:tcPr>
            <w:tcW w:w="1306" w:type="dxa"/>
            <w:vAlign w:val="center"/>
          </w:tcPr>
          <w:p>
            <w:pPr>
              <w:jc w:val="right"/>
              <w:rPr>
                <w:rFonts w:ascii="宋体" w:hAnsi="宋体"/>
              </w:rPr>
            </w:pPr>
            <w:r>
              <w:rPr>
                <w:rFonts w:ascii="宋体" w:hAnsi="宋体"/>
              </w:rPr>
              <w:t>42,723</w:t>
            </w:r>
          </w:p>
        </w:tc>
      </w:tr>
    </w:tbl>
    <w:p>
      <w:pPr>
        <w:pStyle w:val="Style217"/>
      </w:pPr>
    </w:p>
    <w:p>
      <w:pPr>
        <w:autoSpaceDE w:val="0"/>
        <w:autoSpaceDN w:val="0"/>
        <w:adjustRightInd w:val="0"/>
      </w:pPr>
      <w:r>
        <w:rPr>
          <w:rFonts w:hint="eastAsia"/>
        </w:rPr>
        <w:t>其他说明：</w:t>
      </w:r>
    </w:p>
    <w:sdt>
      <w:sdtPr>
        <w:alias w:val="是否适用：应付职工薪酬的说明[双击切换]"/>
        <w:tag w:val="_GBC_140070104764414eae4680364e4d0b62"/>
        <w:id w:val="80032992"/>
        <w:placeholder>
          <w:docPart w:val="GBC22222222222222222222222222222"/>
        </w:placeholder>
      </w:sdtPr>
      <w:sdtContent>
        <w:p>
          <w:pPr>
            <w:autoSpaceDE w:val="0"/>
            <w:autoSpaceDN w:val="0"/>
            <w:adjustRightInd w:val="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autoSpaceDE w:val="0"/>
        <w:autoSpaceDN w:val="0"/>
        <w:adjustRightInd w:val="0"/>
      </w:pPr>
    </w:p>
    <w:p>
      <w:pPr>
        <w:pStyle w:val="Style178"/>
        <w:numPr>
          <w:ilvl w:val="0"/>
          <w:numId w:val="75"/>
        </w:numPr>
        <w:rPr>
          <w:szCs w:val="21"/>
        </w:rPr>
      </w:pPr>
      <w:r>
        <w:rPr>
          <w:szCs w:val="21"/>
        </w:rPr>
        <w:t>应交税费</w:t>
      </w:r>
    </w:p>
    <w:sdt>
      <w:sdtPr>
        <w:alias w:val="是否适用：应交税费[双击切换]"/>
        <w:tag w:val="_GBC_2ed6216b8f4c4523a1de5c2628cc02a2"/>
        <w:id w:val="-124764361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交税费"/>
          <w:tag w:val="_GBC_9fe49c1b8a984180ae11c305f9fe5484"/>
          <w:id w:val="14698581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交税费"/>
          <w:tag w:val="_GBC_aefdac676d8d4584b84883b8a3980e21"/>
          <w:id w:val="-8021645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3006"/>
        <w:gridCol w:w="3011"/>
      </w:tblGrid>
      <w:tr>
        <w:trPr>
          <w:cantSplit/>
        </w:trPr>
        <w:sdt>
          <w:sdtPr>
            <w:tag w:val="_PLD_6c8ac0907441450eac644085301d6804"/>
            <w:id w:val="-426197358"/>
          </w:sdtPr>
          <w:sdtContent>
            <w:tc>
              <w:tcPr>
                <w:tcW w:w="3031" w:type="dxa"/>
                <w:vAlign w:val="center"/>
              </w:tcPr>
              <w:p>
                <w:pPr>
                  <w:ind w:right="105"/>
                  <w:jc w:val="center"/>
                </w:pPr>
                <w:r>
                  <w:rPr>
                    <w:rFonts w:hint="eastAsia"/>
                  </w:rPr>
                  <w:t>项目</w:t>
                </w:r>
              </w:p>
            </w:tc>
          </w:sdtContent>
        </w:sdt>
        <w:sdt>
          <w:sdtPr>
            <w:tag w:val="_PLD_8dab1e5e153c4b93a2d18673e1365591"/>
            <w:id w:val="1556743764"/>
          </w:sdtPr>
          <w:sdtContent>
            <w:tc>
              <w:tcPr>
                <w:tcW w:w="3006" w:type="dxa"/>
                <w:vAlign w:val="center"/>
              </w:tcPr>
              <w:p>
                <w:pPr>
                  <w:jc w:val="center"/>
                </w:pPr>
                <w:r>
                  <w:rPr>
                    <w:rFonts w:hint="eastAsia"/>
                  </w:rPr>
                  <w:t>期末余额</w:t>
                </w:r>
              </w:p>
            </w:tc>
          </w:sdtContent>
        </w:sdt>
        <w:sdt>
          <w:sdtPr>
            <w:tag w:val="_PLD_9793c5ba001a43cb914658d949d3dcec"/>
            <w:id w:val="534162213"/>
          </w:sdtPr>
          <w:sdtContent>
            <w:tc>
              <w:tcPr>
                <w:tcW w:w="3011" w:type="dxa"/>
                <w:vAlign w:val="center"/>
              </w:tcPr>
              <w:p>
                <w:pPr>
                  <w:jc w:val="center"/>
                </w:pPr>
                <w:r>
                  <w:rPr>
                    <w:rFonts w:hint="eastAsia"/>
                  </w:rPr>
                  <w:t>期初余额</w:t>
                </w:r>
              </w:p>
            </w:tc>
          </w:sdtContent>
        </w:sdt>
      </w:tr>
      <w:tr>
        <w:trPr>
          <w:cantSplit/>
        </w:trPr>
        <w:tc>
          <w:tcPr>
            <w:tcW w:w="3031" w:type="dxa"/>
            <w:vAlign w:val="center"/>
          </w:tcPr>
          <w:p>
            <w:pPr>
              <w:ind w:right="105"/>
            </w:pPr>
            <w:r>
              <w:rPr>
                <w:rFonts w:hint="eastAsia"/>
              </w:rPr>
              <w:t>企业所得税</w:t>
            </w:r>
          </w:p>
        </w:tc>
        <w:tc>
          <w:tcPr>
            <w:tcW w:w="3006" w:type="dxa"/>
            <w:vAlign w:val="center"/>
          </w:tcPr>
          <w:p>
            <w:pPr>
              <w:ind w:right="73"/>
              <w:jc w:val="right"/>
              <w:rPr>
                <w:rFonts w:ascii="宋体" w:hAnsi="宋体"/>
              </w:rPr>
            </w:pPr>
            <w:r>
              <w:rPr>
                <w:rFonts w:ascii="宋体" w:hAnsi="宋体"/>
              </w:rPr>
              <w:t>1,324,626</w:t>
            </w:r>
          </w:p>
        </w:tc>
        <w:tc>
          <w:tcPr>
            <w:tcW w:w="3011" w:type="dxa"/>
            <w:vAlign w:val="center"/>
          </w:tcPr>
          <w:p>
            <w:pPr>
              <w:jc w:val="right"/>
              <w:rPr>
                <w:rFonts w:ascii="宋体" w:hAnsi="宋体"/>
              </w:rPr>
            </w:pPr>
            <w:r>
              <w:rPr>
                <w:rFonts w:ascii="宋体" w:hAnsi="宋体"/>
              </w:rPr>
              <w:t>1,367,673</w:t>
            </w:r>
          </w:p>
        </w:tc>
      </w:tr>
      <w:tr>
        <w:trPr>
          <w:cantSplit/>
        </w:trPr>
        <w:tc>
          <w:tcPr>
            <w:tcW w:w="3031" w:type="dxa"/>
            <w:vAlign w:val="center"/>
          </w:tcPr>
          <w:p>
            <w:pPr>
              <w:ind w:right="105"/>
            </w:pPr>
            <w:r>
              <w:rPr>
                <w:rFonts w:hint="eastAsia"/>
              </w:rPr>
              <w:t>个人所得税</w:t>
            </w:r>
          </w:p>
        </w:tc>
        <w:tc>
          <w:tcPr>
            <w:tcW w:w="3006" w:type="dxa"/>
            <w:vAlign w:val="center"/>
          </w:tcPr>
          <w:p>
            <w:pPr>
              <w:ind w:right="73"/>
              <w:jc w:val="right"/>
              <w:rPr>
                <w:rFonts w:ascii="宋体" w:hAnsi="宋体"/>
              </w:rPr>
            </w:pPr>
            <w:r>
              <w:rPr>
                <w:rFonts w:ascii="宋体" w:hAnsi="宋体"/>
              </w:rPr>
              <w:t>95,868</w:t>
            </w:r>
          </w:p>
        </w:tc>
        <w:tc>
          <w:tcPr>
            <w:tcW w:w="3011" w:type="dxa"/>
            <w:vAlign w:val="center"/>
          </w:tcPr>
          <w:p>
            <w:pPr>
              <w:jc w:val="right"/>
              <w:rPr>
                <w:rFonts w:ascii="宋体" w:hAnsi="宋体"/>
              </w:rPr>
            </w:pPr>
            <w:r>
              <w:rPr>
                <w:rFonts w:ascii="宋体" w:hAnsi="宋体"/>
              </w:rPr>
              <w:t>130,518</w:t>
            </w:r>
          </w:p>
        </w:tc>
      </w:tr>
      <w:tr>
        <w:trPr>
          <w:cantSplit/>
        </w:trPr>
        <w:tc>
          <w:tcPr>
            <w:tcW w:w="3031" w:type="dxa"/>
          </w:tcPr>
          <w:p>
            <w:pPr>
              <w:ind w:right="105"/>
            </w:pPr>
            <w:r>
              <w:rPr>
                <w:rFonts w:hint="eastAsia"/>
              </w:rPr>
              <w:t>资源税</w:t>
            </w:r>
          </w:p>
        </w:tc>
        <w:tc>
          <w:tcPr>
            <w:tcW w:w="3006" w:type="dxa"/>
            <w:vAlign w:val="center"/>
          </w:tcPr>
          <w:p>
            <w:pPr>
              <w:ind w:right="73"/>
              <w:jc w:val="right"/>
              <w:rPr>
                <w:rFonts w:ascii="宋体" w:hAnsi="宋体"/>
              </w:rPr>
            </w:pPr>
            <w:r>
              <w:rPr>
                <w:rFonts w:ascii="宋体" w:hAnsi="宋体"/>
              </w:rPr>
              <w:t>373,299</w:t>
            </w:r>
          </w:p>
        </w:tc>
        <w:tc>
          <w:tcPr>
            <w:tcW w:w="3011" w:type="dxa"/>
            <w:vAlign w:val="center"/>
          </w:tcPr>
          <w:p>
            <w:pPr>
              <w:jc w:val="right"/>
              <w:rPr>
                <w:rFonts w:ascii="宋体" w:hAnsi="宋体"/>
              </w:rPr>
            </w:pPr>
            <w:r>
              <w:rPr>
                <w:rFonts w:ascii="宋体" w:hAnsi="宋体"/>
              </w:rPr>
              <w:t>395,426</w:t>
            </w:r>
          </w:p>
        </w:tc>
      </w:tr>
      <w:tr>
        <w:trPr>
          <w:cantSplit/>
        </w:trPr>
        <w:tc>
          <w:tcPr>
            <w:tcW w:w="3031" w:type="dxa"/>
          </w:tcPr>
          <w:p>
            <w:pPr>
              <w:ind w:right="105"/>
            </w:pPr>
            <w:r>
              <w:rPr>
                <w:rFonts w:hint="eastAsia"/>
              </w:rPr>
              <w:t>增值税</w:t>
            </w:r>
          </w:p>
        </w:tc>
        <w:tc>
          <w:tcPr>
            <w:tcW w:w="3006" w:type="dxa"/>
            <w:vAlign w:val="center"/>
          </w:tcPr>
          <w:p>
            <w:pPr>
              <w:ind w:right="73"/>
              <w:jc w:val="right"/>
              <w:rPr>
                <w:rFonts w:ascii="宋体" w:hAnsi="宋体"/>
              </w:rPr>
            </w:pPr>
            <w:r>
              <w:rPr>
                <w:rFonts w:ascii="宋体" w:hAnsi="宋体"/>
              </w:rPr>
              <w:t>439,803</w:t>
            </w:r>
          </w:p>
        </w:tc>
        <w:tc>
          <w:tcPr>
            <w:tcW w:w="3011" w:type="dxa"/>
            <w:vAlign w:val="center"/>
          </w:tcPr>
          <w:p>
            <w:pPr>
              <w:jc w:val="right"/>
              <w:rPr>
                <w:rFonts w:ascii="宋体" w:hAnsi="宋体"/>
              </w:rPr>
            </w:pPr>
            <w:r>
              <w:rPr>
                <w:rFonts w:ascii="宋体" w:hAnsi="宋体"/>
              </w:rPr>
              <w:t>384,091</w:t>
            </w:r>
          </w:p>
        </w:tc>
      </w:tr>
      <w:tr>
        <w:trPr>
          <w:cantSplit/>
        </w:trPr>
        <w:tc>
          <w:tcPr>
            <w:tcW w:w="3031" w:type="dxa"/>
          </w:tcPr>
          <w:p>
            <w:pPr>
              <w:ind w:right="105"/>
            </w:pPr>
            <w:r>
              <w:rPr>
                <w:rFonts w:hint="eastAsia"/>
              </w:rPr>
              <w:t>消费税</w:t>
            </w:r>
          </w:p>
        </w:tc>
        <w:tc>
          <w:tcPr>
            <w:tcW w:w="3006" w:type="dxa"/>
            <w:vAlign w:val="center"/>
          </w:tcPr>
          <w:p>
            <w:pPr>
              <w:ind w:right="73"/>
              <w:jc w:val="right"/>
              <w:rPr>
                <w:rFonts w:ascii="宋体" w:hAnsi="宋体"/>
              </w:rPr>
            </w:pPr>
            <w:r>
              <w:rPr>
                <w:rFonts w:ascii="宋体" w:hAnsi="宋体"/>
              </w:rPr>
              <w:t>50,937</w:t>
            </w:r>
          </w:p>
        </w:tc>
        <w:tc>
          <w:tcPr>
            <w:tcW w:w="3011" w:type="dxa"/>
            <w:vAlign w:val="center"/>
          </w:tcPr>
          <w:p>
            <w:pPr>
              <w:jc w:val="right"/>
              <w:rPr>
                <w:rFonts w:ascii="宋体" w:hAnsi="宋体"/>
              </w:rPr>
            </w:pPr>
            <w:r>
              <w:rPr>
                <w:rFonts w:ascii="宋体" w:hAnsi="宋体"/>
              </w:rPr>
              <w:t>43,402</w:t>
            </w:r>
          </w:p>
        </w:tc>
      </w:tr>
      <w:tr>
        <w:trPr>
          <w:cantSplit/>
        </w:trPr>
        <w:tc>
          <w:tcPr>
            <w:tcW w:w="3031" w:type="dxa"/>
          </w:tcPr>
          <w:p>
            <w:pPr>
              <w:ind w:right="105"/>
            </w:pPr>
            <w:r>
              <w:rPr>
                <w:rFonts w:hint="eastAsia"/>
              </w:rPr>
              <w:t>其他</w:t>
            </w:r>
          </w:p>
        </w:tc>
        <w:tc>
          <w:tcPr>
            <w:tcW w:w="3006" w:type="dxa"/>
            <w:vAlign w:val="center"/>
          </w:tcPr>
          <w:p>
            <w:pPr>
              <w:ind w:right="73"/>
              <w:jc w:val="right"/>
              <w:rPr>
                <w:rFonts w:ascii="宋体" w:hAnsi="宋体"/>
              </w:rPr>
            </w:pPr>
            <w:r>
              <w:rPr>
                <w:rFonts w:ascii="宋体" w:hAnsi="宋体"/>
              </w:rPr>
              <w:t>445,818</w:t>
            </w:r>
          </w:p>
        </w:tc>
        <w:tc>
          <w:tcPr>
            <w:tcW w:w="3011" w:type="dxa"/>
            <w:vAlign w:val="center"/>
          </w:tcPr>
          <w:p>
            <w:pPr>
              <w:jc w:val="right"/>
              <w:rPr>
                <w:rFonts w:ascii="宋体" w:hAnsi="宋体"/>
              </w:rPr>
            </w:pPr>
            <w:r>
              <w:rPr>
                <w:rFonts w:ascii="宋体" w:hAnsi="宋体"/>
              </w:rPr>
              <w:t>329,336</w:t>
            </w:r>
          </w:p>
        </w:tc>
      </w:tr>
      <w:tr>
        <w:trPr>
          <w:cantSplit/>
        </w:trPr>
        <w:tc>
          <w:tcPr>
            <w:tcW w:w="3031" w:type="dxa"/>
            <w:vAlign w:val="center"/>
          </w:tcPr>
          <w:p>
            <w:pPr>
              <w:ind w:right="105"/>
              <w:jc w:val="center"/>
            </w:pPr>
            <w:r>
              <w:rPr>
                <w:rFonts w:hint="eastAsia"/>
              </w:rPr>
              <w:t>合计</w:t>
            </w:r>
          </w:p>
        </w:tc>
        <w:tc>
          <w:tcPr>
            <w:tcW w:w="3006" w:type="dxa"/>
            <w:vAlign w:val="center"/>
          </w:tcPr>
          <w:p>
            <w:pPr>
              <w:ind w:right="73"/>
              <w:jc w:val="right"/>
              <w:rPr>
                <w:rFonts w:ascii="宋体" w:hAnsi="宋体"/>
              </w:rPr>
            </w:pPr>
            <w:r>
              <w:rPr>
                <w:rFonts w:ascii="宋体" w:hAnsi="宋体"/>
              </w:rPr>
              <w:t>2,730,351</w:t>
            </w:r>
          </w:p>
        </w:tc>
        <w:tc>
          <w:tcPr>
            <w:tcW w:w="3011" w:type="dxa"/>
            <w:vAlign w:val="center"/>
          </w:tcPr>
          <w:p>
            <w:pPr>
              <w:jc w:val="right"/>
              <w:rPr>
                <w:rFonts w:ascii="宋体" w:hAnsi="宋体"/>
              </w:rPr>
            </w:pPr>
            <w:r>
              <w:rPr>
                <w:rFonts w:ascii="宋体" w:hAnsi="宋体"/>
              </w:rPr>
              <w:t>2,650,446</w:t>
            </w:r>
          </w:p>
        </w:tc>
      </w:tr>
    </w:tbl>
    <w:p>
      <w:pPr>
        <w:pStyle w:val="Style217"/>
      </w:pPr>
      <w:r>
        <w:rPr>
          <w:rFonts w:hint="eastAsia"/>
        </w:rPr>
        <w:t>其他说明：</w:t>
      </w:r>
    </w:p>
    <w:sdt>
      <w:sdtPr>
        <w:alias w:val="应交税金的说明"/>
        <w:tag w:val="_GBC_e365cc8f407645ca84ccf91263d3cc28"/>
        <w:id w:val="430554713"/>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75"/>
        </w:numPr>
        <w:rPr>
          <w:szCs w:val="21"/>
        </w:rPr>
      </w:pPr>
      <w:r>
        <w:rPr>
          <w:szCs w:val="21"/>
        </w:rPr>
        <w:t>其他应付款</w:t>
      </w:r>
    </w:p>
    <w:p>
      <w:pPr>
        <w:pStyle w:val="Style179"/>
        <w:numPr>
          <w:ilvl w:val="0"/>
          <w:numId w:val="104"/>
        </w:numPr>
      </w:pPr>
      <w:bookmarkStart w:id="486" w:name="_Hlk532910042"/>
      <w:r>
        <w:rPr>
          <w:rFonts w:hint="eastAsia"/>
        </w:rPr>
        <w:t>项目列示</w:t>
      </w:r>
    </w:p>
    <w:sdt>
      <w:sdtPr>
        <w:alias w:val="是否适用：其他应付款分类列示[双击切换]"/>
        <w:tag w:val="_GBC_66f20e30acfe43c3b4edf860d086ad10"/>
        <w:id w:val="-116954754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其他应付款分类列示"/>
          <w:tag w:val="_GBC_1d2c755c7a60470390b86f677f589d52"/>
          <w:id w:val="15736210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其他应付款分类列示"/>
          <w:tag w:val="_GBC_54becc5fdf374134a56007701ad1c4e0"/>
          <w:id w:val="-5224763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2863"/>
        <w:gridCol w:w="2877"/>
      </w:tblGrid>
      <w:tr>
        <w:sdt>
          <w:sdtPr>
            <w:tag w:val="_PLD_5b32323c48c441e4832da1fe28654990"/>
            <w:id w:val="535785460"/>
          </w:sdtPr>
          <w:sdtContent>
            <w:tc>
              <w:tcPr>
                <w:tcW w:w="3308" w:type="dxa"/>
                <w:vAlign w:val="center"/>
              </w:tcPr>
              <w:p>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27fe40919c945eaada0e2529b497787"/>
            <w:id w:val="961387290"/>
          </w:sdtPr>
          <w:sdtContent>
            <w:tc>
              <w:tcPr>
                <w:tcW w:w="2863" w:type="dxa"/>
                <w:vAlign w:val="center"/>
              </w:tcPr>
              <w:p>
                <w:pPr>
                  <w:jc w:val="center"/>
                </w:pPr>
                <w:r>
                  <w:rPr>
                    <w:rFonts w:hint="eastAsia"/>
                  </w:rPr>
                  <w:t>期末余额</w:t>
                </w:r>
              </w:p>
            </w:tc>
          </w:sdtContent>
        </w:sdt>
        <w:sdt>
          <w:sdtPr>
            <w:tag w:val="_PLD_963dd0fff1a644319fa667127e37c635"/>
            <w:id w:val="-1736006885"/>
          </w:sdtPr>
          <w:sdtContent>
            <w:tc>
              <w:tcPr>
                <w:tcW w:w="2877" w:type="dxa"/>
                <w:vAlign w:val="center"/>
              </w:tcPr>
              <w:p>
                <w:pPr>
                  <w:jc w:val="center"/>
                </w:pPr>
                <w:r>
                  <w:rPr>
                    <w:rFonts w:hint="eastAsia"/>
                  </w:rPr>
                  <w:t>期初余额</w:t>
                </w:r>
              </w:p>
            </w:tc>
          </w:sdtContent>
        </w:sdt>
      </w:tr>
      <w:tr>
        <w:tc>
          <w:tcPr>
            <w:tcW w:w="3308" w:type="dxa"/>
            <w:vAlign w:val="center"/>
          </w:tcPr>
          <w:p>
            <w:pPr>
              <w:tabs>
                <w:tab w:val="right" w:pos="3690"/>
                <w:tab w:val="right" w:pos="5130"/>
                <w:tab w:val="right" w:pos="6030"/>
                <w:tab w:val="right" w:pos="7650"/>
                <w:tab w:val="right" w:pos="9270"/>
              </w:tabs>
              <w:adjustRightInd w:val="0"/>
              <w:snapToGrid w:val="0"/>
            </w:pPr>
            <w:r>
              <w:rPr>
                <w:rFonts w:hint="eastAsia"/>
              </w:rPr>
              <w:t>应付股利</w:t>
            </w:r>
          </w:p>
        </w:tc>
        <w:tc>
          <w:tcPr>
            <w:tcW w:w="2863" w:type="dxa"/>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6,931,005</w:t>
            </w:r>
          </w:p>
        </w:tc>
        <w:tc>
          <w:tcPr>
            <w:tcW w:w="2877" w:type="dxa"/>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3,178,658</w:t>
            </w:r>
          </w:p>
        </w:tc>
      </w:tr>
      <w:tr>
        <w:tc>
          <w:tcPr>
            <w:tcW w:w="3308" w:type="dxa"/>
            <w:vAlign w:val="center"/>
          </w:tcPr>
          <w:p>
            <w:pPr>
              <w:tabs>
                <w:tab w:val="right" w:pos="3690"/>
                <w:tab w:val="right" w:pos="5130"/>
                <w:tab w:val="right" w:pos="6030"/>
                <w:tab w:val="right" w:pos="7650"/>
                <w:tab w:val="right" w:pos="9270"/>
              </w:tabs>
              <w:adjustRightInd w:val="0"/>
              <w:snapToGrid w:val="0"/>
            </w:pPr>
            <w:r>
              <w:rPr>
                <w:rFonts w:hint="eastAsia"/>
              </w:rPr>
              <w:t>其他应付款</w:t>
            </w:r>
          </w:p>
        </w:tc>
        <w:tc>
          <w:tcPr>
            <w:tcW w:w="2863" w:type="dxa"/>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32,045,320</w:t>
            </w:r>
          </w:p>
        </w:tc>
        <w:tc>
          <w:tcPr>
            <w:tcW w:w="2877" w:type="dxa"/>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37,173,316</w:t>
            </w:r>
          </w:p>
        </w:tc>
      </w:tr>
      <w:tr>
        <w:tc>
          <w:tcPr>
            <w:tcW w:w="3308" w:type="dxa"/>
            <w:vAlign w:val="center"/>
          </w:tcPr>
          <w:p>
            <w:pPr>
              <w:tabs>
                <w:tab w:val="right" w:pos="3690"/>
                <w:tab w:val="right" w:pos="5130"/>
                <w:tab w:val="right" w:pos="6030"/>
                <w:tab w:val="right" w:pos="7650"/>
                <w:tab w:val="right" w:pos="9270"/>
              </w:tabs>
              <w:adjustRightInd w:val="0"/>
              <w:snapToGrid w:val="0"/>
            </w:pPr>
            <w:r>
              <w:rPr>
                <w:rFonts w:hint="eastAsia"/>
              </w:rPr>
              <w:t>合计</w:t>
            </w:r>
          </w:p>
        </w:tc>
        <w:tc>
          <w:tcPr>
            <w:tcW w:w="2863" w:type="dxa"/>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38,976,325</w:t>
            </w:r>
          </w:p>
        </w:tc>
        <w:tc>
          <w:tcPr>
            <w:tcW w:w="2877" w:type="dxa"/>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40,351,974</w:t>
            </w:r>
          </w:p>
        </w:tc>
      </w:tr>
    </w:tbl>
    <w:p>
      <w:pPr>
        <w:pStyle w:val="Style217"/>
      </w:pPr>
    </w:p>
    <w:p>
      <w:pPr>
        <w:pStyle w:val="Style217"/>
      </w:pPr>
      <w:bookmarkStart w:id="487" w:name="_Hlk155097683"/>
      <w:r>
        <w:rPr>
          <w:rFonts w:hint="eastAsia"/>
        </w:rPr>
        <w:t>其他说明：</w:t>
      </w:r>
    </w:p>
    <w:sdt>
      <w:sdtPr>
        <w:alias w:val="是否适用：其他应付款分类列示其他说明[双击切换]"/>
        <w:tag w:val="_GBC_9cfb2316deee44a8a3605ab376f15408"/>
        <w:id w:val="-142564407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04"/>
        </w:numPr>
      </w:pPr>
      <w:r>
        <w:rPr>
          <w:rFonts w:hint="eastAsia"/>
        </w:rPr>
        <w:t>应付利息</w:t>
      </w:r>
    </w:p>
    <w:p>
      <w:pPr>
        <w:pStyle w:val="Style217"/>
      </w:pPr>
      <w:r>
        <w:rPr>
          <w:rFonts w:hint="eastAsia"/>
        </w:rPr>
        <w:t>分类列示</w:t>
      </w:r>
    </w:p>
    <w:sdt>
      <w:sdtPr>
        <w:alias w:val="是否适用：应付利息[双击切换]"/>
        <w:tag w:val="_GBC_563016e83d32408f90ee8ae140b7dccd"/>
        <w:id w:val="-150806102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逾期的重要应付利息：</w:t>
      </w:r>
    </w:p>
    <w:sdt>
      <w:sdtPr>
        <w:alias w:val="是否适用：重要的已逾期未支付的利息情况[双击切换]"/>
        <w:tag w:val="_GBC_e97342df449a4b51897b93180a76915c"/>
        <w:id w:val="169195660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pacing w:before="60" w:after="60"/>
      </w:pPr>
      <w:r>
        <w:rPr>
          <w:rFonts w:hint="eastAsia"/>
        </w:rPr>
        <w:t>其他说明：</w:t>
      </w:r>
    </w:p>
    <w:sdt>
      <w:sdtPr>
        <w:alias w:val="是否适用：应付利息说明[双击切换]"/>
        <w:tag w:val="_GBC_8e7eb675343843e89996290865d02478"/>
        <w:id w:val="-522938470"/>
        <w:placeholder>
          <w:docPart w:val="GBC22222222222222222222222222222"/>
        </w:placeholder>
      </w:sdtPr>
      <w:sdtContent>
        <w:p>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9"/>
        <w:numPr>
          <w:ilvl w:val="0"/>
          <w:numId w:val="104"/>
        </w:numPr>
      </w:pPr>
      <w:r>
        <w:rPr>
          <w:rFonts w:hint="eastAsia"/>
        </w:rPr>
        <w:t>应付股利</w:t>
      </w:r>
    </w:p>
    <w:p>
      <w:pPr>
        <w:pStyle w:val="Style217"/>
      </w:pPr>
      <w:r>
        <w:rPr>
          <w:rFonts w:hint="eastAsia"/>
        </w:rPr>
        <w:t>分类列示</w:t>
      </w:r>
    </w:p>
    <w:sdt>
      <w:sdtPr>
        <w:alias w:val="是否适用：应付股利[双击切换]"/>
        <w:tag w:val="_GBC_b5ae3881f6d849679d4053b7e1707366"/>
        <w:id w:val="145335881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股利"/>
          <w:tag w:val="_GBC_746e24ac62424d15a96488b86eb826bf"/>
          <w:id w:val="5358531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付股利"/>
          <w:tag w:val="_GBC_c18d5382c5f94daeb6547452b4d37f05"/>
          <w:id w:val="-2246054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88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2858"/>
        <w:gridCol w:w="3017"/>
        <w:gridCol w:w="3018"/>
      </w:tblGrid>
      <w:tr>
        <w:trPr>
          <w:cantSplit/>
        </w:trPr>
        <w:sdt>
          <w:sdtPr>
            <w:tag w:val="_PLD_88e24e44527e4710873d9194ba96a0df"/>
            <w:id w:val="1615868110"/>
          </w:sdtPr>
          <w:sdtContent>
            <w:tc>
              <w:tcPr>
                <w:tcW w:w="2858" w:type="dxa"/>
                <w:vAlign w:val="center"/>
              </w:tcPr>
              <w:p>
                <w:pPr>
                  <w:ind w:right="105"/>
                  <w:jc w:val="center"/>
                </w:pPr>
                <w:r>
                  <w:rPr>
                    <w:rFonts w:hint="eastAsia"/>
                  </w:rPr>
                  <w:t>项目</w:t>
                </w:r>
              </w:p>
            </w:tc>
          </w:sdtContent>
        </w:sdt>
        <w:sdt>
          <w:sdtPr>
            <w:tag w:val="_PLD_af903224d39d4058972c7eba8a903356"/>
            <w:id w:val="-1810008394"/>
          </w:sdtPr>
          <w:sdtContent>
            <w:tc>
              <w:tcPr>
                <w:tcW w:w="3017" w:type="dxa"/>
                <w:vAlign w:val="center"/>
              </w:tcPr>
              <w:p>
                <w:pPr>
                  <w:jc w:val="center"/>
                </w:pPr>
                <w:r>
                  <w:rPr>
                    <w:rFonts w:hint="eastAsia"/>
                  </w:rPr>
                  <w:t>期末余额</w:t>
                </w:r>
              </w:p>
            </w:tc>
          </w:sdtContent>
        </w:sdt>
        <w:sdt>
          <w:sdtPr>
            <w:tag w:val="_PLD_11459cf9081a4b309da14403cad71071"/>
            <w:id w:val="1906726752"/>
          </w:sdtPr>
          <w:sdtContent>
            <w:tc>
              <w:tcPr>
                <w:tcW w:w="3018" w:type="dxa"/>
                <w:vAlign w:val="center"/>
              </w:tcPr>
              <w:p>
                <w:pPr>
                  <w:jc w:val="center"/>
                </w:pPr>
                <w:r>
                  <w:rPr>
                    <w:rFonts w:hint="eastAsia"/>
                  </w:rPr>
                  <w:t>期初余额</w:t>
                </w:r>
              </w:p>
            </w:tc>
          </w:sdtContent>
        </w:sdt>
      </w:tr>
      <w:tr>
        <w:trPr>
          <w:cantSplit/>
        </w:trPr>
        <w:tc>
          <w:tcPr>
            <w:tcW w:w="2858" w:type="dxa"/>
            <w:vAlign w:val="center"/>
          </w:tcPr>
          <w:p>
            <w:pPr>
              <w:ind w:right="105"/>
            </w:pPr>
            <w:r>
              <w:rPr>
                <w:rFonts w:hint="eastAsia"/>
              </w:rPr>
              <w:t>普通股股利</w:t>
            </w:r>
          </w:p>
        </w:tc>
        <w:tc>
          <w:tcPr>
            <w:tcW w:w="3017" w:type="dxa"/>
            <w:vAlign w:val="center"/>
          </w:tcPr>
          <w:p>
            <w:pPr>
              <w:ind w:right="73"/>
              <w:jc w:val="right"/>
              <w:rPr>
                <w:rFonts w:ascii="宋体" w:hAnsi="宋体"/>
              </w:rPr>
            </w:pPr>
            <w:r>
              <w:rPr>
                <w:rFonts w:ascii="宋体" w:hAnsi="宋体"/>
              </w:rPr>
              <w:t>6,929,817</w:t>
            </w:r>
          </w:p>
        </w:tc>
        <w:tc>
          <w:tcPr>
            <w:tcW w:w="3018" w:type="dxa"/>
            <w:vAlign w:val="center"/>
          </w:tcPr>
          <w:p>
            <w:pPr>
              <w:ind w:right="73"/>
              <w:jc w:val="right"/>
              <w:rPr>
                <w:rFonts w:ascii="宋体" w:hAnsi="宋体"/>
              </w:rPr>
            </w:pPr>
            <w:r>
              <w:rPr>
                <w:rFonts w:ascii="宋体" w:hAnsi="宋体"/>
              </w:rPr>
              <w:t>3,178,658</w:t>
            </w:r>
          </w:p>
        </w:tc>
      </w:tr>
      <w:tr>
        <w:trPr>
          <w:cantSplit/>
        </w:trPr>
        <w:tc>
          <w:tcPr>
            <w:tcW w:w="2858" w:type="dxa"/>
            <w:vAlign w:val="center"/>
          </w:tcPr>
          <w:p>
            <w:pPr>
              <w:ind w:right="105"/>
              <w:rPr>
                <w:color w:val="000000" w:themeColor="text1"/>
              </w:rPr>
            </w:pPr>
            <w:r>
              <w:rPr>
                <w:rFonts w:hint="eastAsia"/>
              </w:rPr>
              <w:t>划分为权益工具的优先股</w:t>
            </w:r>
            <w:r>
              <w:rPr>
                <w:rFonts w:hint="eastAsia"/>
              </w:rPr>
              <w:t>\</w:t>
            </w:r>
            <w:r>
              <w:rPr>
                <w:rFonts w:hint="eastAsia"/>
              </w:rPr>
              <w:t>永续债股利</w:t>
            </w:r>
          </w:p>
        </w:tc>
        <w:tc>
          <w:tcPr>
            <w:tcW w:w="3017" w:type="dxa"/>
            <w:vAlign w:val="center"/>
          </w:tcPr>
          <w:p>
            <w:pPr>
              <w:ind w:right="73"/>
              <w:jc w:val="right"/>
              <w:rPr>
                <w:rFonts w:ascii="宋体" w:hAnsi="宋体"/>
              </w:rPr>
            </w:pPr>
            <w:r>
              <w:rPr>
                <w:rFonts w:ascii="宋体" w:hAnsi="宋体"/>
              </w:rPr>
              <w:t>1,188</w:t>
            </w:r>
          </w:p>
        </w:tc>
        <w:tc>
          <w:tcPr>
            <w:tcW w:w="3018" w:type="dxa"/>
            <w:vAlign w:val="center"/>
          </w:tcPr>
          <w:p>
            <w:pPr>
              <w:ind w:right="73"/>
              <w:jc w:val="right"/>
              <w:rPr>
                <w:rFonts w:ascii="宋体" w:hAnsi="宋体"/>
              </w:rPr>
            </w:pPr>
          </w:p>
        </w:tc>
      </w:tr>
      <w:tr>
        <w:trPr>
          <w:cantSplit/>
        </w:trPr>
        <w:tc>
          <w:tcPr>
            <w:tcW w:w="2858" w:type="dxa"/>
            <w:vAlign w:val="center"/>
          </w:tcPr>
          <w:p>
            <w:pPr>
              <w:ind w:right="105"/>
              <w:jc w:val="center"/>
              <w:rPr>
                <w:color w:val="000000" w:themeColor="text1"/>
              </w:rPr>
            </w:pPr>
            <w:r>
              <w:rPr>
                <w:rFonts w:hint="eastAsia"/>
                <w:color w:val="000000" w:themeColor="text1"/>
              </w:rPr>
              <w:t>合计</w:t>
            </w:r>
          </w:p>
        </w:tc>
        <w:tc>
          <w:tcPr>
            <w:tcW w:w="3017" w:type="dxa"/>
            <w:vAlign w:val="center"/>
          </w:tcPr>
          <w:p>
            <w:pPr>
              <w:ind w:right="73"/>
              <w:jc w:val="right"/>
              <w:rPr>
                <w:rFonts w:ascii="宋体" w:hAnsi="宋体"/>
              </w:rPr>
            </w:pPr>
            <w:r>
              <w:rPr>
                <w:rFonts w:ascii="宋体" w:hAnsi="宋体"/>
              </w:rPr>
              <w:t>6,931,005</w:t>
            </w:r>
          </w:p>
        </w:tc>
        <w:tc>
          <w:tcPr>
            <w:tcW w:w="3018" w:type="dxa"/>
            <w:vAlign w:val="center"/>
          </w:tcPr>
          <w:p>
            <w:pPr>
              <w:ind w:right="73"/>
              <w:jc w:val="right"/>
              <w:rPr>
                <w:rFonts w:ascii="宋体" w:hAnsi="宋体"/>
              </w:rPr>
            </w:pPr>
            <w:r>
              <w:rPr>
                <w:rFonts w:ascii="宋体" w:hAnsi="宋体"/>
              </w:rPr>
              <w:t>3,178,658</w:t>
            </w:r>
          </w:p>
        </w:tc>
      </w:tr>
    </w:tbl>
    <w:p>
      <w:pPr>
        <w:snapToGrid w:val="0"/>
      </w:pPr>
    </w:p>
    <w:p>
      <w:pPr>
        <w:pStyle w:val="Style179"/>
        <w:numPr>
          <w:ilvl w:val="0"/>
          <w:numId w:val="104"/>
        </w:numPr>
      </w:pPr>
      <w:r>
        <w:rPr>
          <w:rFonts w:hint="eastAsia"/>
        </w:rPr>
        <w:t>其他应付款</w:t>
      </w:r>
    </w:p>
    <w:p>
      <w:pPr>
        <w:pStyle w:val="Style217"/>
      </w:pPr>
      <w:r>
        <w:rPr>
          <w:rFonts w:hint="eastAsia"/>
        </w:rPr>
        <w:t>按款项性质列示其他应付款</w:t>
      </w:r>
    </w:p>
    <w:sdt>
      <w:sdtPr>
        <w:alias w:val="是否适用：按款项性质列示其他应付款[双击切换]"/>
        <w:tag w:val="_GBC_57fbe084a94a43569e8618c84187e188"/>
        <w:id w:val="110863088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付款情况"/>
          <w:tag w:val="_GBC_d726e1428c6749b29d7f0a192835a738"/>
          <w:id w:val="-14846937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其他应付款情况"/>
          <w:tag w:val="_GBC_d6d5ce55cea54bfdb348f465f935498d"/>
          <w:id w:val="5283056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2"/>
        <w:gridCol w:w="2998"/>
        <w:gridCol w:w="3127"/>
      </w:tblGrid>
      <w:tr>
        <w:sdt>
          <w:sdtPr>
            <w:tag w:val="_PLD_93c8bd274adc4f10996e441415613a6a"/>
            <w:id w:val="1088119662"/>
          </w:sdtPr>
          <w:sdtContent>
            <w:tc>
              <w:tcPr>
                <w:tcW w:w="2922" w:type="dxa"/>
                <w:vAlign w:val="center"/>
              </w:tcPr>
              <w:p>
                <w:pPr>
                  <w:jc w:val="center"/>
                </w:pPr>
                <w:r>
                  <w:rPr>
                    <w:rFonts w:hint="eastAsia"/>
                  </w:rPr>
                  <w:t>项目</w:t>
                </w:r>
              </w:p>
            </w:tc>
          </w:sdtContent>
        </w:sdt>
        <w:sdt>
          <w:sdtPr>
            <w:tag w:val="_PLD_a5c3f7ebd9dd4870a971a7b858fb9f49"/>
            <w:id w:val="-818259516"/>
          </w:sdtPr>
          <w:sdtContent>
            <w:tc>
              <w:tcPr>
                <w:tcW w:w="2998" w:type="dxa"/>
                <w:vAlign w:val="center"/>
              </w:tcPr>
              <w:p>
                <w:pPr>
                  <w:jc w:val="center"/>
                </w:pPr>
                <w:r>
                  <w:rPr>
                    <w:rFonts w:hint="eastAsia"/>
                  </w:rPr>
                  <w:t>期末余额</w:t>
                </w:r>
              </w:p>
            </w:tc>
          </w:sdtContent>
        </w:sdt>
        <w:sdt>
          <w:sdtPr>
            <w:tag w:val="_PLD_f8823e49aba34d32b07cafa41f32e166"/>
            <w:id w:val="209003427"/>
          </w:sdtPr>
          <w:sdtContent>
            <w:tc>
              <w:tcPr>
                <w:tcW w:w="3127" w:type="dxa"/>
                <w:vAlign w:val="center"/>
              </w:tcPr>
              <w:p>
                <w:pPr>
                  <w:jc w:val="center"/>
                </w:pPr>
                <w:r>
                  <w:rPr>
                    <w:rFonts w:hint="eastAsia"/>
                  </w:rPr>
                  <w:t>期初余额</w:t>
                </w:r>
              </w:p>
            </w:tc>
          </w:sdtContent>
        </w:sdt>
      </w:tr>
      <w:tr>
        <w:tc>
          <w:tcPr>
            <w:tcW w:w="2922" w:type="dxa"/>
          </w:tcPr>
          <w:p>
            <w:pPr>
              <w:pStyle w:val="Style217"/>
            </w:pPr>
            <w:r>
              <w:rPr>
                <w:rFonts w:hint="eastAsia"/>
              </w:rPr>
              <w:t>吸收存款</w:t>
            </w:r>
          </w:p>
        </w:tc>
        <w:tc>
          <w:tcPr>
            <w:tcW w:w="2998" w:type="dxa"/>
            <w:vAlign w:val="center"/>
          </w:tcPr>
          <w:p>
            <w:pPr>
              <w:jc w:val="right"/>
              <w:rPr>
                <w:rFonts w:ascii="宋体" w:hAnsi="宋体"/>
              </w:rPr>
            </w:pPr>
            <w:r>
              <w:rPr>
                <w:rFonts w:ascii="宋体" w:hAnsi="宋体"/>
              </w:rPr>
              <w:t>24,111,87</w:t>
            </w:r>
            <w:r>
              <w:rPr>
                <w:rFonts w:ascii="宋体" w:hAnsi="宋体" w:hint="eastAsia"/>
              </w:rPr>
              <w:t>2</w:t>
            </w:r>
          </w:p>
        </w:tc>
        <w:tc>
          <w:tcPr>
            <w:tcW w:w="3127" w:type="dxa"/>
            <w:vAlign w:val="center"/>
          </w:tcPr>
          <w:p>
            <w:pPr>
              <w:jc w:val="right"/>
              <w:rPr>
                <w:rFonts w:ascii="宋体" w:hAnsi="宋体"/>
              </w:rPr>
            </w:pPr>
            <w:r>
              <w:rPr>
                <w:rFonts w:ascii="宋体" w:hAnsi="宋体"/>
              </w:rPr>
              <w:t>23,359,247</w:t>
            </w:r>
          </w:p>
        </w:tc>
      </w:tr>
      <w:tr>
        <w:tc>
          <w:tcPr>
            <w:tcW w:w="2922" w:type="dxa"/>
          </w:tcPr>
          <w:p>
            <w:pPr>
              <w:pStyle w:val="Style217"/>
            </w:pPr>
            <w:r>
              <w:rPr>
                <w:rFonts w:hint="eastAsia"/>
              </w:rPr>
              <w:t>应付投资款</w:t>
            </w:r>
          </w:p>
        </w:tc>
        <w:tc>
          <w:tcPr>
            <w:tcW w:w="2998" w:type="dxa"/>
            <w:vAlign w:val="center"/>
          </w:tcPr>
          <w:p>
            <w:pPr>
              <w:jc w:val="right"/>
              <w:rPr>
                <w:rFonts w:ascii="宋体" w:hAnsi="宋体"/>
              </w:rPr>
            </w:pPr>
            <w:r>
              <w:rPr>
                <w:rFonts w:ascii="宋体" w:hAnsi="宋体"/>
              </w:rPr>
              <w:t>400,215</w:t>
            </w:r>
          </w:p>
        </w:tc>
        <w:tc>
          <w:tcPr>
            <w:tcW w:w="3127" w:type="dxa"/>
            <w:vAlign w:val="center"/>
          </w:tcPr>
          <w:p>
            <w:pPr>
              <w:jc w:val="right"/>
              <w:rPr>
                <w:rFonts w:ascii="宋体" w:hAnsi="宋体"/>
              </w:rPr>
            </w:pPr>
            <w:r>
              <w:rPr>
                <w:rFonts w:ascii="宋体" w:hAnsi="宋体"/>
              </w:rPr>
              <w:t>832,623</w:t>
            </w:r>
          </w:p>
        </w:tc>
      </w:tr>
      <w:tr>
        <w:tc>
          <w:tcPr>
            <w:tcW w:w="2922" w:type="dxa"/>
          </w:tcPr>
          <w:p>
            <w:pPr>
              <w:pStyle w:val="Style217"/>
            </w:pPr>
            <w:r>
              <w:rPr>
                <w:rFonts w:hint="eastAsia"/>
              </w:rPr>
              <w:t>往来款</w:t>
            </w:r>
          </w:p>
        </w:tc>
        <w:tc>
          <w:tcPr>
            <w:tcW w:w="2998" w:type="dxa"/>
            <w:vAlign w:val="center"/>
          </w:tcPr>
          <w:p>
            <w:pPr>
              <w:jc w:val="right"/>
              <w:rPr>
                <w:rFonts w:ascii="宋体" w:hAnsi="宋体"/>
              </w:rPr>
            </w:pPr>
            <w:r>
              <w:rPr>
                <w:rFonts w:ascii="宋体" w:hAnsi="宋体"/>
              </w:rPr>
              <w:t>4,564,708</w:t>
            </w:r>
          </w:p>
        </w:tc>
        <w:tc>
          <w:tcPr>
            <w:tcW w:w="3127" w:type="dxa"/>
            <w:vAlign w:val="center"/>
          </w:tcPr>
          <w:p>
            <w:pPr>
              <w:jc w:val="right"/>
              <w:rPr>
                <w:rFonts w:ascii="宋体" w:hAnsi="宋体"/>
              </w:rPr>
            </w:pPr>
            <w:r>
              <w:rPr>
                <w:rFonts w:ascii="宋体" w:hAnsi="宋体"/>
              </w:rPr>
              <w:t>8,762,842</w:t>
            </w:r>
          </w:p>
        </w:tc>
      </w:tr>
      <w:tr>
        <w:tc>
          <w:tcPr>
            <w:tcW w:w="2922" w:type="dxa"/>
          </w:tcPr>
          <w:p>
            <w:pPr>
              <w:pStyle w:val="Style217"/>
            </w:pPr>
            <w:r>
              <w:rPr>
                <w:rFonts w:hint="eastAsia"/>
              </w:rPr>
              <w:t>矿业权出让收益</w:t>
            </w:r>
          </w:p>
        </w:tc>
        <w:tc>
          <w:tcPr>
            <w:tcW w:w="2998" w:type="dxa"/>
            <w:vAlign w:val="center"/>
          </w:tcPr>
          <w:p>
            <w:pPr>
              <w:jc w:val="right"/>
              <w:rPr>
                <w:rFonts w:ascii="宋体" w:hAnsi="宋体"/>
              </w:rPr>
            </w:pPr>
          </w:p>
        </w:tc>
        <w:tc>
          <w:tcPr>
            <w:tcW w:w="3127" w:type="dxa"/>
            <w:vAlign w:val="center"/>
          </w:tcPr>
          <w:p>
            <w:pPr>
              <w:jc w:val="right"/>
              <w:rPr>
                <w:rFonts w:ascii="宋体" w:hAnsi="宋体"/>
              </w:rPr>
            </w:pPr>
            <w:r>
              <w:rPr>
                <w:rFonts w:ascii="宋体" w:hAnsi="宋体"/>
              </w:rPr>
              <w:t>1,705,716</w:t>
            </w:r>
          </w:p>
        </w:tc>
      </w:tr>
      <w:tr>
        <w:tc>
          <w:tcPr>
            <w:tcW w:w="2922" w:type="dxa"/>
          </w:tcPr>
          <w:p>
            <w:pPr>
              <w:pStyle w:val="Style217"/>
            </w:pPr>
            <w:r>
              <w:rPr>
                <w:rFonts w:hint="eastAsia"/>
              </w:rPr>
              <w:t>押金保证金</w:t>
            </w:r>
          </w:p>
        </w:tc>
        <w:tc>
          <w:tcPr>
            <w:tcW w:w="2998" w:type="dxa"/>
            <w:vAlign w:val="center"/>
          </w:tcPr>
          <w:p>
            <w:pPr>
              <w:jc w:val="right"/>
              <w:rPr>
                <w:rFonts w:ascii="宋体" w:hAnsi="宋体"/>
              </w:rPr>
            </w:pPr>
            <w:r>
              <w:rPr>
                <w:rFonts w:ascii="宋体" w:hAnsi="宋体"/>
              </w:rPr>
              <w:t>766,934</w:t>
            </w:r>
          </w:p>
        </w:tc>
        <w:tc>
          <w:tcPr>
            <w:tcW w:w="3127" w:type="dxa"/>
            <w:vAlign w:val="center"/>
          </w:tcPr>
          <w:p>
            <w:pPr>
              <w:jc w:val="right"/>
              <w:rPr>
                <w:rFonts w:ascii="宋体" w:hAnsi="宋体"/>
              </w:rPr>
            </w:pPr>
            <w:r>
              <w:rPr>
                <w:rFonts w:ascii="宋体" w:hAnsi="宋体"/>
              </w:rPr>
              <w:t>997,060</w:t>
            </w:r>
          </w:p>
        </w:tc>
      </w:tr>
      <w:tr>
        <w:tc>
          <w:tcPr>
            <w:tcW w:w="2922" w:type="dxa"/>
          </w:tcPr>
          <w:p>
            <w:pPr>
              <w:pStyle w:val="Style217"/>
            </w:pPr>
            <w:r>
              <w:rPr>
                <w:rFonts w:hint="eastAsia"/>
              </w:rPr>
              <w:t>应付代扣款</w:t>
            </w:r>
          </w:p>
        </w:tc>
        <w:tc>
          <w:tcPr>
            <w:tcW w:w="2998" w:type="dxa"/>
            <w:vAlign w:val="center"/>
          </w:tcPr>
          <w:p>
            <w:pPr>
              <w:jc w:val="right"/>
              <w:rPr>
                <w:rFonts w:ascii="宋体" w:hAnsi="宋体"/>
              </w:rPr>
            </w:pPr>
            <w:r>
              <w:rPr>
                <w:rFonts w:ascii="宋体" w:hAnsi="宋体"/>
              </w:rPr>
              <w:t>535,716</w:t>
            </w:r>
          </w:p>
        </w:tc>
        <w:tc>
          <w:tcPr>
            <w:tcW w:w="3127" w:type="dxa"/>
            <w:vAlign w:val="center"/>
          </w:tcPr>
          <w:p>
            <w:pPr>
              <w:jc w:val="right"/>
              <w:rPr>
                <w:rFonts w:ascii="宋体" w:hAnsi="宋体"/>
              </w:rPr>
            </w:pPr>
            <w:r>
              <w:rPr>
                <w:rFonts w:ascii="宋体" w:hAnsi="宋体"/>
              </w:rPr>
              <w:t>207,561</w:t>
            </w:r>
          </w:p>
        </w:tc>
      </w:tr>
      <w:tr>
        <w:tc>
          <w:tcPr>
            <w:tcW w:w="2922" w:type="dxa"/>
          </w:tcPr>
          <w:p>
            <w:pPr>
              <w:pStyle w:val="Style217"/>
            </w:pPr>
            <w:r>
              <w:rPr>
                <w:rFonts w:hint="eastAsia"/>
              </w:rPr>
              <w:t>限制性股票回购义务</w:t>
            </w:r>
          </w:p>
        </w:tc>
        <w:tc>
          <w:tcPr>
            <w:tcW w:w="2998" w:type="dxa"/>
            <w:vAlign w:val="center"/>
          </w:tcPr>
          <w:p>
            <w:pPr>
              <w:jc w:val="right"/>
              <w:rPr>
                <w:rFonts w:ascii="宋体" w:hAnsi="宋体"/>
              </w:rPr>
            </w:pPr>
            <w:r>
              <w:rPr>
                <w:rFonts w:ascii="宋体" w:hAnsi="宋体"/>
              </w:rPr>
              <w:t>53,424</w:t>
            </w:r>
          </w:p>
        </w:tc>
        <w:tc>
          <w:tcPr>
            <w:tcW w:w="3127" w:type="dxa"/>
            <w:vAlign w:val="center"/>
          </w:tcPr>
          <w:p>
            <w:pPr>
              <w:jc w:val="right"/>
              <w:rPr>
                <w:rFonts w:ascii="宋体" w:hAnsi="宋体"/>
              </w:rPr>
            </w:pPr>
            <w:r>
              <w:rPr>
                <w:rFonts w:ascii="宋体" w:hAnsi="宋体"/>
              </w:rPr>
              <w:t>112,417</w:t>
            </w:r>
          </w:p>
        </w:tc>
      </w:tr>
      <w:tr>
        <w:tc>
          <w:tcPr>
            <w:tcW w:w="2922" w:type="dxa"/>
          </w:tcPr>
          <w:p>
            <w:pPr>
              <w:pStyle w:val="Style217"/>
            </w:pPr>
            <w:r>
              <w:rPr>
                <w:rFonts w:hint="eastAsia"/>
              </w:rPr>
              <w:t>工程款</w:t>
            </w:r>
          </w:p>
        </w:tc>
        <w:tc>
          <w:tcPr>
            <w:tcW w:w="2998" w:type="dxa"/>
            <w:vAlign w:val="center"/>
          </w:tcPr>
          <w:p>
            <w:pPr>
              <w:jc w:val="right"/>
              <w:rPr>
                <w:rFonts w:ascii="宋体" w:hAnsi="宋体"/>
              </w:rPr>
            </w:pPr>
            <w:r>
              <w:rPr>
                <w:rFonts w:ascii="宋体" w:hAnsi="宋体"/>
              </w:rPr>
              <w:t>165,518</w:t>
            </w:r>
          </w:p>
        </w:tc>
        <w:tc>
          <w:tcPr>
            <w:tcW w:w="3127" w:type="dxa"/>
            <w:vAlign w:val="center"/>
          </w:tcPr>
          <w:p>
            <w:pPr>
              <w:jc w:val="right"/>
              <w:rPr>
                <w:rFonts w:ascii="宋体" w:hAnsi="宋体"/>
              </w:rPr>
            </w:pPr>
            <w:r>
              <w:rPr>
                <w:rFonts w:ascii="宋体" w:hAnsi="宋体"/>
              </w:rPr>
              <w:t>86,692</w:t>
            </w:r>
          </w:p>
        </w:tc>
      </w:tr>
      <w:tr>
        <w:tc>
          <w:tcPr>
            <w:tcW w:w="2922" w:type="dxa"/>
          </w:tcPr>
          <w:p>
            <w:pPr>
              <w:pStyle w:val="Style217"/>
            </w:pPr>
            <w:r>
              <w:rPr>
                <w:rFonts w:hint="eastAsia"/>
              </w:rPr>
              <w:t>其他</w:t>
            </w:r>
          </w:p>
        </w:tc>
        <w:tc>
          <w:tcPr>
            <w:tcW w:w="2998" w:type="dxa"/>
            <w:vAlign w:val="center"/>
          </w:tcPr>
          <w:p>
            <w:pPr>
              <w:jc w:val="right"/>
              <w:rPr>
                <w:rFonts w:ascii="宋体" w:hAnsi="宋体"/>
              </w:rPr>
            </w:pPr>
            <w:r>
              <w:rPr>
                <w:rFonts w:ascii="宋体" w:hAnsi="宋体"/>
              </w:rPr>
              <w:t>1,446,933</w:t>
            </w:r>
          </w:p>
        </w:tc>
        <w:tc>
          <w:tcPr>
            <w:tcW w:w="3127" w:type="dxa"/>
            <w:vAlign w:val="center"/>
          </w:tcPr>
          <w:p>
            <w:pPr>
              <w:jc w:val="right"/>
              <w:rPr>
                <w:rFonts w:ascii="宋体" w:hAnsi="宋体"/>
              </w:rPr>
            </w:pPr>
            <w:r>
              <w:rPr>
                <w:rFonts w:ascii="宋体" w:hAnsi="宋体"/>
              </w:rPr>
              <w:t>1,109,158</w:t>
            </w:r>
          </w:p>
        </w:tc>
      </w:tr>
      <w:tr>
        <w:tc>
          <w:tcPr>
            <w:tcW w:w="2922" w:type="dxa"/>
            <w:vAlign w:val="center"/>
          </w:tcPr>
          <w:p>
            <w:pPr>
              <w:jc w:val="center"/>
              <w:rPr>
                <w:color w:val="000000" w:themeColor="text1"/>
              </w:rPr>
            </w:pPr>
            <w:r>
              <w:rPr>
                <w:rFonts w:hint="eastAsia"/>
                <w:color w:val="000000" w:themeColor="text1"/>
              </w:rPr>
              <w:t>合计</w:t>
            </w:r>
          </w:p>
        </w:tc>
        <w:tc>
          <w:tcPr>
            <w:tcW w:w="2998" w:type="dxa"/>
            <w:vAlign w:val="center"/>
          </w:tcPr>
          <w:p>
            <w:pPr>
              <w:jc w:val="right"/>
              <w:rPr>
                <w:rFonts w:ascii="宋体" w:hAnsi="宋体"/>
              </w:rPr>
            </w:pPr>
            <w:r>
              <w:rPr>
                <w:rFonts w:ascii="宋体" w:hAnsi="宋体"/>
              </w:rPr>
              <w:t>32,045,320</w:t>
            </w:r>
          </w:p>
        </w:tc>
        <w:tc>
          <w:tcPr>
            <w:tcW w:w="3127" w:type="dxa"/>
            <w:vAlign w:val="center"/>
          </w:tcPr>
          <w:p>
            <w:pPr>
              <w:jc w:val="right"/>
              <w:rPr>
                <w:rFonts w:ascii="宋体" w:hAnsi="宋体"/>
              </w:rPr>
            </w:pPr>
            <w:r>
              <w:rPr>
                <w:rFonts w:ascii="宋体" w:hAnsi="宋体"/>
              </w:rPr>
              <w:t>37,173,316</w:t>
            </w:r>
          </w:p>
        </w:tc>
      </w:tr>
    </w:tbl>
    <w:p>
      <w:pPr>
        <w:pStyle w:val="Style217"/>
      </w:pPr>
    </w:p>
    <w:p>
      <w:pPr>
        <w:pStyle w:val="Style217"/>
      </w:pPr>
      <w:r>
        <w:rPr>
          <w:rFonts w:hint="eastAsia"/>
        </w:rPr>
        <w:t>期末账龄超过</w:t>
      </w:r>
      <w:r>
        <w:t>1年</w:t>
      </w:r>
      <w:r>
        <w:rPr>
          <w:rFonts w:hint="eastAsia"/>
        </w:rPr>
        <w:t>或逾期</w:t>
      </w:r>
      <w:r>
        <w:t>的重要其他应付款</w:t>
      </w:r>
    </w:p>
    <w:p>
      <w:pPr>
        <w:pStyle w:val="Style217"/>
      </w:pPr>
      <w:sdt>
        <w:sdtPr>
          <w:alias w:val="是否适用：账龄超过1年的重要其他应付款[双击切换]"/>
          <w:tag w:val="_GBC_fcaee62c74504c20ba2aca131c060029"/>
          <w:id w:val="-1824032169"/>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账龄超过1年的重要其他应付款"/>
          <w:tag w:val="_GBC_e21231b7e5484676830a99cc2a6d76a0"/>
          <w:id w:val="-148747589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账龄超过1年的重要其他应付款"/>
          <w:tag w:val="_GBC_5e3f99162ac34319b05e54b554619653"/>
          <w:id w:val="-3404904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8"/>
        <w:gridCol w:w="3027"/>
        <w:gridCol w:w="3112"/>
      </w:tblGrid>
      <w:tr>
        <w:trPr>
          <w:trHeight w:val="269"/>
        </w:trPr>
        <w:sdt>
          <w:sdtPr>
            <w:tag w:val="_PLD_14d2af0850664c16b8395770ef822d33"/>
            <w:id w:val="1597523800"/>
          </w:sdtPr>
          <w:sdtContent>
            <w:tc>
              <w:tcPr>
                <w:tcW w:w="2908" w:type="dxa"/>
                <w:vAlign w:val="center"/>
              </w:tcPr>
              <w:p>
                <w:pPr>
                  <w:jc w:val="center"/>
                </w:pPr>
                <w:r>
                  <w:rPr>
                    <w:rFonts w:hint="eastAsia"/>
                  </w:rPr>
                  <w:t>项目</w:t>
                </w:r>
              </w:p>
            </w:tc>
          </w:sdtContent>
        </w:sdt>
        <w:sdt>
          <w:sdtPr>
            <w:tag w:val="_PLD_c469b5a44aaf475d9fd5270a942f9c4a"/>
            <w:id w:val="1321313014"/>
          </w:sdtPr>
          <w:sdtContent>
            <w:tc>
              <w:tcPr>
                <w:tcW w:w="3027" w:type="dxa"/>
                <w:vAlign w:val="center"/>
              </w:tcPr>
              <w:p>
                <w:pPr>
                  <w:jc w:val="center"/>
                </w:pPr>
                <w:r>
                  <w:rPr>
                    <w:rFonts w:hint="eastAsia"/>
                  </w:rPr>
                  <w:t>期末余额</w:t>
                </w:r>
              </w:p>
            </w:tc>
          </w:sdtContent>
        </w:sdt>
        <w:sdt>
          <w:sdtPr>
            <w:tag w:val="_PLD_94367c3bf4fa488b95d154694ccf77ca"/>
            <w:id w:val="309532790"/>
          </w:sdtPr>
          <w:sdtContent>
            <w:tc>
              <w:tcPr>
                <w:tcW w:w="3112" w:type="dxa"/>
                <w:vAlign w:val="center"/>
              </w:tcPr>
              <w:p>
                <w:pPr>
                  <w:jc w:val="center"/>
                </w:pPr>
                <w:r>
                  <w:rPr>
                    <w:rFonts w:hint="eastAsia"/>
                  </w:rPr>
                  <w:t>未偿还或结转的原因</w:t>
                </w:r>
              </w:p>
            </w:tc>
          </w:sdtContent>
        </w:sdt>
      </w:tr>
      <w:tr>
        <w:tc>
          <w:tcPr>
            <w:tcW w:w="2908" w:type="dxa"/>
            <w:tcBorders>
              <w:bottom w:val="single" w:sz="4" w:space="0" w:color="auto"/>
            </w:tcBorders>
          </w:tcPr>
          <w:p>
            <w:pPr>
              <w:pStyle w:val="Style217"/>
            </w:pPr>
            <w:r>
              <w:rPr>
                <w:rFonts w:hint="eastAsia"/>
              </w:rPr>
              <w:t>山东能源集团有限公司</w:t>
            </w:r>
          </w:p>
        </w:tc>
        <w:tc>
          <w:tcPr>
            <w:tcW w:w="3027" w:type="dxa"/>
            <w:vAlign w:val="center"/>
          </w:tcPr>
          <w:p>
            <w:pPr>
              <w:jc w:val="right"/>
              <w:rPr>
                <w:rFonts w:ascii="宋体" w:hAnsi="宋体"/>
              </w:rPr>
            </w:pPr>
            <w:r>
              <w:rPr>
                <w:rFonts w:ascii="宋体" w:hAnsi="宋体" w:hint="eastAsia"/>
              </w:rPr>
              <w:t>772,011</w:t>
            </w:r>
          </w:p>
        </w:tc>
        <w:tc>
          <w:tcPr>
            <w:tcW w:w="3112" w:type="dxa"/>
            <w:vAlign w:val="center"/>
          </w:tcPr>
          <w:p>
            <w:pPr>
              <w:jc w:val="center"/>
            </w:pPr>
            <w:r>
              <w:rPr>
                <w:rFonts w:hint="eastAsia"/>
              </w:rPr>
              <w:t>未到结算期</w:t>
            </w:r>
          </w:p>
        </w:tc>
      </w:tr>
      <w:tr>
        <w:tc>
          <w:tcPr>
            <w:tcW w:w="2908" w:type="dxa"/>
            <w:tcBorders>
              <w:bottom w:val="single" w:sz="4" w:space="0" w:color="auto"/>
            </w:tcBorders>
          </w:tcPr>
          <w:p>
            <w:pPr>
              <w:pStyle w:val="Style217"/>
            </w:pPr>
            <w:r>
              <w:rPr>
                <w:rFonts w:hint="eastAsia"/>
              </w:rPr>
              <w:t>山东能源集团重型装备制造（集团）有限公司</w:t>
            </w:r>
          </w:p>
        </w:tc>
        <w:tc>
          <w:tcPr>
            <w:tcW w:w="3027" w:type="dxa"/>
            <w:vAlign w:val="center"/>
          </w:tcPr>
          <w:p>
            <w:pPr>
              <w:jc w:val="right"/>
              <w:rPr>
                <w:rFonts w:ascii="宋体" w:hAnsi="宋体"/>
              </w:rPr>
            </w:pPr>
            <w:r>
              <w:rPr>
                <w:rFonts w:ascii="宋体" w:hAnsi="宋体" w:hint="eastAsia"/>
              </w:rPr>
              <w:t>276,720</w:t>
            </w:r>
          </w:p>
        </w:tc>
        <w:tc>
          <w:tcPr>
            <w:tcW w:w="3112" w:type="dxa"/>
            <w:vAlign w:val="center"/>
          </w:tcPr>
          <w:p>
            <w:pPr>
              <w:jc w:val="center"/>
            </w:pPr>
            <w:r>
              <w:rPr>
                <w:rFonts w:hint="eastAsia"/>
              </w:rPr>
              <w:t>未到结算期</w:t>
            </w:r>
          </w:p>
        </w:tc>
      </w:tr>
      <w:tr>
        <w:tc>
          <w:tcPr>
            <w:tcW w:w="2908" w:type="dxa"/>
            <w:tcBorders>
              <w:bottom w:val="single" w:sz="4" w:space="0" w:color="auto"/>
            </w:tcBorders>
          </w:tcPr>
          <w:p>
            <w:pPr>
              <w:pStyle w:val="Style217"/>
            </w:pPr>
            <w:r>
              <w:rPr>
                <w:rFonts w:hint="eastAsia"/>
              </w:rPr>
              <w:t>深圳市麦凯莱科技有限公司</w:t>
            </w:r>
          </w:p>
        </w:tc>
        <w:tc>
          <w:tcPr>
            <w:tcW w:w="3027" w:type="dxa"/>
            <w:vAlign w:val="center"/>
          </w:tcPr>
          <w:p>
            <w:pPr>
              <w:jc w:val="right"/>
              <w:rPr>
                <w:rFonts w:ascii="宋体" w:hAnsi="宋体"/>
              </w:rPr>
            </w:pPr>
            <w:r>
              <w:rPr>
                <w:rFonts w:ascii="宋体" w:hAnsi="宋体" w:hint="eastAsia"/>
              </w:rPr>
              <w:t>174,446</w:t>
            </w:r>
          </w:p>
        </w:tc>
        <w:tc>
          <w:tcPr>
            <w:tcW w:w="3112" w:type="dxa"/>
            <w:vAlign w:val="center"/>
          </w:tcPr>
          <w:p>
            <w:pPr>
              <w:jc w:val="center"/>
            </w:pPr>
            <w:r>
              <w:rPr>
                <w:rFonts w:hint="eastAsia"/>
              </w:rPr>
              <w:t>未到结算期</w:t>
            </w:r>
          </w:p>
        </w:tc>
      </w:tr>
      <w:tr>
        <w:tc>
          <w:tcPr>
            <w:tcW w:w="2908" w:type="dxa"/>
            <w:tcBorders>
              <w:bottom w:val="single" w:sz="4" w:space="0" w:color="auto"/>
            </w:tcBorders>
          </w:tcPr>
          <w:p>
            <w:pPr>
              <w:pStyle w:val="Style217"/>
            </w:pPr>
            <w:r>
              <w:rPr>
                <w:rFonts w:hint="eastAsia"/>
              </w:rPr>
              <w:t>浙江魔湾电子有限公司</w:t>
            </w:r>
          </w:p>
        </w:tc>
        <w:tc>
          <w:tcPr>
            <w:tcW w:w="3027" w:type="dxa"/>
            <w:vAlign w:val="center"/>
          </w:tcPr>
          <w:p>
            <w:pPr>
              <w:jc w:val="right"/>
              <w:rPr>
                <w:rFonts w:ascii="宋体" w:hAnsi="宋体"/>
              </w:rPr>
            </w:pPr>
            <w:r>
              <w:rPr>
                <w:rFonts w:ascii="宋体" w:hAnsi="宋体" w:hint="eastAsia"/>
              </w:rPr>
              <w:t>124,005</w:t>
            </w:r>
          </w:p>
        </w:tc>
        <w:tc>
          <w:tcPr>
            <w:tcW w:w="3112" w:type="dxa"/>
            <w:vAlign w:val="center"/>
          </w:tcPr>
          <w:p>
            <w:pPr>
              <w:jc w:val="center"/>
            </w:pPr>
            <w:r>
              <w:rPr>
                <w:rFonts w:hint="eastAsia"/>
              </w:rPr>
              <w:t>未到结算期</w:t>
            </w:r>
          </w:p>
        </w:tc>
      </w:tr>
      <w:tr>
        <w:tc>
          <w:tcPr>
            <w:tcW w:w="2908" w:type="dxa"/>
            <w:vAlign w:val="center"/>
          </w:tcPr>
          <w:p>
            <w:pPr>
              <w:jc w:val="center"/>
            </w:pPr>
            <w:r>
              <w:rPr>
                <w:rFonts w:hint="eastAsia"/>
              </w:rPr>
              <w:t>合计</w:t>
            </w:r>
          </w:p>
        </w:tc>
        <w:tc>
          <w:tcPr>
            <w:tcW w:w="3027" w:type="dxa"/>
            <w:vAlign w:val="center"/>
          </w:tcPr>
          <w:p>
            <w:pPr>
              <w:jc w:val="right"/>
              <w:rPr>
                <w:rFonts w:ascii="宋体" w:hAnsi="宋体"/>
              </w:rPr>
            </w:pPr>
            <w:r>
              <w:rPr>
                <w:rFonts w:ascii="宋体" w:hAnsi="宋体"/>
              </w:rPr>
              <w:t>1,347,182</w:t>
            </w:r>
          </w:p>
        </w:tc>
        <w:tc>
          <w:tcPr>
            <w:tcW w:w="3112" w:type="dxa"/>
            <w:vAlign w:val="center"/>
          </w:tcPr>
          <w:p>
            <w:pPr>
              <w:jc w:val="center"/>
            </w:pPr>
            <w:r>
              <w:rPr>
                <w:rFonts w:hint="eastAsia"/>
              </w:rPr>
              <w:t>/</w:t>
            </w:r>
          </w:p>
        </w:tc>
      </w:tr>
    </w:tbl>
    <w:p>
      <w:pPr>
        <w:pStyle w:val="Style217"/>
      </w:pPr>
    </w:p>
    <w:p>
      <w:pPr>
        <w:pStyle w:val="Style217"/>
      </w:pPr>
    </w:p>
    <w:p>
      <w:pPr>
        <w:pStyle w:val="Style217"/>
      </w:pPr>
      <w:r>
        <w:rPr>
          <w:rFonts w:hint="eastAsia"/>
        </w:rPr>
        <w:t>其他说明：</w:t>
      </w:r>
    </w:p>
    <w:sdt>
      <w:sdtPr>
        <w:alias w:val="是否适用：其他应付款的其他说明[双击切换]"/>
        <w:tag w:val="_GBC_b02a256e4ac940019e9d9179cb6dc349"/>
        <w:id w:val="-105522908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486"/>
    <w:bookmarkEnd w:id="487"/>
    <w:p>
      <w:pPr>
        <w:pStyle w:val="Style178"/>
        <w:numPr>
          <w:ilvl w:val="0"/>
          <w:numId w:val="75"/>
        </w:numPr>
        <w:rPr>
          <w:szCs w:val="21"/>
        </w:rPr>
      </w:pPr>
      <w:r>
        <w:rPr>
          <w:szCs w:val="21"/>
        </w:rPr>
        <w:lastRenderedPageBreak/>
        <w:t>持有待售负债</w:t>
      </w:r>
    </w:p>
    <w:sdt>
      <w:sdtPr>
        <w:alias w:val="是否适用：划分为持有待售的负债[双击切换]"/>
        <w:tag w:val="_GBC_4ea9b2c6d4024d74b39e491f80a07798"/>
        <w:id w:val="201989559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p>
    <w:p>
      <w:pPr>
        <w:pStyle w:val="Style217"/>
      </w:pPr>
    </w:p>
    <w:p>
      <w:pPr>
        <w:pStyle w:val="Style178"/>
        <w:numPr>
          <w:ilvl w:val="0"/>
          <w:numId w:val="75"/>
        </w:numPr>
        <w:rPr>
          <w:szCs w:val="21"/>
        </w:rPr>
      </w:pPr>
      <w:bookmarkStart w:id="488" w:name="_Hlk24104125"/>
      <w:r>
        <w:rPr>
          <w:szCs w:val="21"/>
        </w:rPr>
        <w:t>一年内到期的非流动负债</w:t>
      </w:r>
    </w:p>
    <w:sdt>
      <w:sdtPr>
        <w:alias w:val="是否适用：1年内到期的非流动负债[双击切换]"/>
        <w:tag w:val="_GBC_bf40c7464345405f8470856436e2c6a3"/>
        <w:id w:val="105943550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1年内到期的非流动负债情况"/>
          <w:tag w:val="_GBC_fc5bef9f043c4967ab706b443fc31d3c"/>
          <w:id w:val="-1294053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1年内到期的非流动负债情况"/>
          <w:tag w:val="_GBC_fbd4d32585d945468e7aeae52abddc6f"/>
          <w:id w:val="-7160477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8"/>
        <w:gridCol w:w="3036"/>
        <w:gridCol w:w="3103"/>
      </w:tblGrid>
      <w:tr>
        <w:sdt>
          <w:sdtPr>
            <w:tag w:val="_PLD_e20bf58d6f134f4caedbea03f8659c14"/>
            <w:id w:val="65304987"/>
          </w:sdtPr>
          <w:sdtContent>
            <w:tc>
              <w:tcPr>
                <w:tcW w:w="2908" w:type="dxa"/>
                <w:vAlign w:val="center"/>
              </w:tcPr>
              <w:p>
                <w:pPr>
                  <w:jc w:val="center"/>
                </w:pPr>
                <w:r>
                  <w:rPr>
                    <w:rFonts w:hint="eastAsia"/>
                  </w:rPr>
                  <w:t>项目</w:t>
                </w:r>
              </w:p>
            </w:tc>
          </w:sdtContent>
        </w:sdt>
        <w:sdt>
          <w:sdtPr>
            <w:tag w:val="_PLD_dad829d6a45646668218857399318d20"/>
            <w:id w:val="-2029316237"/>
          </w:sdtPr>
          <w:sdtContent>
            <w:tc>
              <w:tcPr>
                <w:tcW w:w="3036" w:type="dxa"/>
                <w:vAlign w:val="center"/>
              </w:tcPr>
              <w:p>
                <w:pPr>
                  <w:jc w:val="center"/>
                </w:pPr>
                <w:r>
                  <w:rPr>
                    <w:rFonts w:hint="eastAsia"/>
                  </w:rPr>
                  <w:t>期末余额</w:t>
                </w:r>
              </w:p>
            </w:tc>
          </w:sdtContent>
        </w:sdt>
        <w:sdt>
          <w:sdtPr>
            <w:tag w:val="_PLD_9d1d036ddf0544b2b2ddd1dc5633a114"/>
            <w:id w:val="-432673385"/>
          </w:sdtPr>
          <w:sdtContent>
            <w:tc>
              <w:tcPr>
                <w:tcW w:w="3103" w:type="dxa"/>
                <w:vAlign w:val="center"/>
              </w:tcPr>
              <w:p>
                <w:pPr>
                  <w:jc w:val="center"/>
                </w:pPr>
                <w:r>
                  <w:rPr>
                    <w:rFonts w:hint="eastAsia"/>
                  </w:rPr>
                  <w:t>期初余额</w:t>
                </w:r>
              </w:p>
            </w:tc>
          </w:sdtContent>
        </w:sdt>
      </w:tr>
      <w:tr>
        <w:tc>
          <w:tcPr>
            <w:tcW w:w="2908" w:type="dxa"/>
          </w:tcPr>
          <w:p>
            <w:pPr>
              <w:pStyle w:val="Style217"/>
            </w:pPr>
            <w:r>
              <w:rPr>
                <w:rFonts w:hint="eastAsia"/>
              </w:rPr>
              <w:t>一年内到期的应付债券</w:t>
            </w:r>
          </w:p>
        </w:tc>
        <w:tc>
          <w:tcPr>
            <w:tcW w:w="3036" w:type="dxa"/>
            <w:vAlign w:val="center"/>
          </w:tcPr>
          <w:p>
            <w:pPr>
              <w:jc w:val="right"/>
              <w:rPr>
                <w:rFonts w:ascii="宋体" w:hAnsi="宋体"/>
              </w:rPr>
            </w:pPr>
            <w:r>
              <w:rPr>
                <w:rFonts w:ascii="宋体" w:hAnsi="宋体" w:hint="eastAsia"/>
              </w:rPr>
              <w:t>6,422,622</w:t>
            </w:r>
          </w:p>
        </w:tc>
        <w:tc>
          <w:tcPr>
            <w:tcW w:w="3103" w:type="dxa"/>
            <w:vAlign w:val="center"/>
          </w:tcPr>
          <w:p>
            <w:pPr>
              <w:jc w:val="right"/>
              <w:rPr>
                <w:rFonts w:ascii="宋体" w:hAnsi="宋体"/>
              </w:rPr>
            </w:pPr>
            <w:r>
              <w:rPr>
                <w:rFonts w:ascii="宋体" w:hAnsi="宋体" w:hint="eastAsia"/>
              </w:rPr>
              <w:t>11,660,503</w:t>
            </w:r>
          </w:p>
        </w:tc>
      </w:tr>
      <w:tr>
        <w:tc>
          <w:tcPr>
            <w:tcW w:w="2908" w:type="dxa"/>
          </w:tcPr>
          <w:p>
            <w:pPr>
              <w:pStyle w:val="Style217"/>
            </w:pPr>
            <w:r>
              <w:rPr>
                <w:rFonts w:hint="eastAsia"/>
              </w:rPr>
              <w:t>一年内到期的长期借款（注）</w:t>
            </w:r>
          </w:p>
        </w:tc>
        <w:tc>
          <w:tcPr>
            <w:tcW w:w="3036" w:type="dxa"/>
            <w:vAlign w:val="center"/>
          </w:tcPr>
          <w:p>
            <w:pPr>
              <w:jc w:val="right"/>
              <w:rPr>
                <w:rFonts w:ascii="宋体" w:hAnsi="宋体"/>
              </w:rPr>
            </w:pPr>
            <w:r>
              <w:rPr>
                <w:rFonts w:ascii="宋体" w:hAnsi="宋体" w:hint="eastAsia"/>
              </w:rPr>
              <w:t>23,376,317</w:t>
            </w:r>
          </w:p>
        </w:tc>
        <w:tc>
          <w:tcPr>
            <w:tcW w:w="3103" w:type="dxa"/>
            <w:vAlign w:val="center"/>
          </w:tcPr>
          <w:p>
            <w:pPr>
              <w:jc w:val="right"/>
              <w:rPr>
                <w:rFonts w:ascii="宋体" w:hAnsi="宋体"/>
              </w:rPr>
            </w:pPr>
            <w:r>
              <w:rPr>
                <w:rFonts w:ascii="宋体" w:hAnsi="宋体" w:hint="eastAsia"/>
              </w:rPr>
              <w:t>20,644,731</w:t>
            </w:r>
          </w:p>
        </w:tc>
      </w:tr>
      <w:tr>
        <w:tc>
          <w:tcPr>
            <w:tcW w:w="2908" w:type="dxa"/>
          </w:tcPr>
          <w:p>
            <w:pPr>
              <w:pStyle w:val="Style217"/>
            </w:pPr>
            <w:r>
              <w:rPr>
                <w:rFonts w:hint="eastAsia"/>
              </w:rPr>
              <w:t>一年内到期的长期应付款</w:t>
            </w:r>
          </w:p>
        </w:tc>
        <w:tc>
          <w:tcPr>
            <w:tcW w:w="3036" w:type="dxa"/>
            <w:vAlign w:val="center"/>
          </w:tcPr>
          <w:p>
            <w:pPr>
              <w:jc w:val="right"/>
              <w:rPr>
                <w:rFonts w:ascii="宋体" w:hAnsi="宋体"/>
              </w:rPr>
            </w:pPr>
            <w:r>
              <w:rPr>
                <w:rFonts w:ascii="宋体" w:hAnsi="宋体" w:hint="eastAsia"/>
              </w:rPr>
              <w:t>269,465</w:t>
            </w:r>
          </w:p>
        </w:tc>
        <w:tc>
          <w:tcPr>
            <w:tcW w:w="3103" w:type="dxa"/>
            <w:vAlign w:val="center"/>
          </w:tcPr>
          <w:p>
            <w:pPr>
              <w:jc w:val="right"/>
              <w:rPr>
                <w:rFonts w:ascii="宋体" w:hAnsi="宋体"/>
              </w:rPr>
            </w:pPr>
            <w:r>
              <w:rPr>
                <w:rFonts w:ascii="宋体" w:hAnsi="宋体"/>
              </w:rPr>
              <w:t>99,394</w:t>
            </w:r>
          </w:p>
        </w:tc>
      </w:tr>
      <w:tr>
        <w:tc>
          <w:tcPr>
            <w:tcW w:w="2908" w:type="dxa"/>
          </w:tcPr>
          <w:p>
            <w:pPr>
              <w:pStyle w:val="Style217"/>
            </w:pPr>
            <w:r>
              <w:rPr>
                <w:rFonts w:hint="eastAsia"/>
              </w:rPr>
              <w:t>一年内到期的长期应付职工薪酬</w:t>
            </w:r>
          </w:p>
        </w:tc>
        <w:tc>
          <w:tcPr>
            <w:tcW w:w="3036" w:type="dxa"/>
            <w:vAlign w:val="center"/>
          </w:tcPr>
          <w:p>
            <w:pPr>
              <w:jc w:val="right"/>
              <w:rPr>
                <w:rFonts w:ascii="宋体" w:hAnsi="宋体"/>
              </w:rPr>
            </w:pPr>
            <w:r>
              <w:rPr>
                <w:rFonts w:ascii="宋体" w:hAnsi="宋体" w:hint="eastAsia"/>
              </w:rPr>
              <w:t>946,401</w:t>
            </w:r>
          </w:p>
        </w:tc>
        <w:tc>
          <w:tcPr>
            <w:tcW w:w="3103" w:type="dxa"/>
            <w:vAlign w:val="center"/>
          </w:tcPr>
          <w:p>
            <w:pPr>
              <w:jc w:val="right"/>
              <w:rPr>
                <w:rFonts w:ascii="宋体" w:hAnsi="宋体"/>
              </w:rPr>
            </w:pPr>
            <w:r>
              <w:rPr>
                <w:rFonts w:ascii="宋体" w:hAnsi="宋体"/>
              </w:rPr>
              <w:t>430,731</w:t>
            </w:r>
          </w:p>
        </w:tc>
      </w:tr>
      <w:tr>
        <w:tc>
          <w:tcPr>
            <w:tcW w:w="2908" w:type="dxa"/>
          </w:tcPr>
          <w:p>
            <w:pPr>
              <w:pStyle w:val="Style217"/>
            </w:pPr>
            <w:r>
              <w:rPr>
                <w:rFonts w:hint="eastAsia"/>
              </w:rPr>
              <w:t>一年内到期的预计负债</w:t>
            </w:r>
          </w:p>
        </w:tc>
        <w:tc>
          <w:tcPr>
            <w:tcW w:w="3036" w:type="dxa"/>
            <w:vAlign w:val="center"/>
          </w:tcPr>
          <w:p>
            <w:pPr>
              <w:jc w:val="right"/>
              <w:rPr>
                <w:rFonts w:ascii="宋体" w:hAnsi="宋体"/>
              </w:rPr>
            </w:pPr>
            <w:r>
              <w:rPr>
                <w:rFonts w:ascii="宋体" w:hAnsi="宋体" w:hint="eastAsia"/>
              </w:rPr>
              <w:t>817,242</w:t>
            </w:r>
          </w:p>
        </w:tc>
        <w:tc>
          <w:tcPr>
            <w:tcW w:w="3103" w:type="dxa"/>
            <w:vAlign w:val="center"/>
          </w:tcPr>
          <w:p>
            <w:pPr>
              <w:jc w:val="right"/>
              <w:rPr>
                <w:rFonts w:ascii="宋体" w:hAnsi="宋体"/>
              </w:rPr>
            </w:pPr>
            <w:r>
              <w:rPr>
                <w:rFonts w:ascii="宋体" w:hAnsi="宋体" w:hint="eastAsia"/>
              </w:rPr>
              <w:t>529,188</w:t>
            </w:r>
          </w:p>
        </w:tc>
      </w:tr>
      <w:tr>
        <w:tc>
          <w:tcPr>
            <w:tcW w:w="2908" w:type="dxa"/>
          </w:tcPr>
          <w:p>
            <w:pPr>
              <w:pStyle w:val="Style217"/>
            </w:pPr>
            <w:r>
              <w:rPr>
                <w:rFonts w:hint="eastAsia"/>
              </w:rPr>
              <w:t>一年内到期的租赁负债</w:t>
            </w:r>
          </w:p>
        </w:tc>
        <w:tc>
          <w:tcPr>
            <w:tcW w:w="3036" w:type="dxa"/>
            <w:vAlign w:val="center"/>
          </w:tcPr>
          <w:p>
            <w:pPr>
              <w:jc w:val="right"/>
              <w:rPr>
                <w:rFonts w:ascii="宋体" w:hAnsi="宋体"/>
              </w:rPr>
            </w:pPr>
            <w:r>
              <w:rPr>
                <w:rFonts w:ascii="宋体" w:hAnsi="宋体" w:hint="eastAsia"/>
              </w:rPr>
              <w:t>241,982</w:t>
            </w:r>
          </w:p>
        </w:tc>
        <w:tc>
          <w:tcPr>
            <w:tcW w:w="3103" w:type="dxa"/>
            <w:vAlign w:val="center"/>
          </w:tcPr>
          <w:p>
            <w:pPr>
              <w:jc w:val="right"/>
              <w:rPr>
                <w:rFonts w:ascii="宋体" w:hAnsi="宋体"/>
              </w:rPr>
            </w:pPr>
            <w:r>
              <w:rPr>
                <w:rFonts w:ascii="宋体" w:hAnsi="宋体" w:hint="eastAsia"/>
              </w:rPr>
              <w:t>227,826</w:t>
            </w:r>
          </w:p>
        </w:tc>
      </w:tr>
      <w:tr>
        <w:tc>
          <w:tcPr>
            <w:tcW w:w="2908" w:type="dxa"/>
            <w:vAlign w:val="center"/>
          </w:tcPr>
          <w:p>
            <w:pPr>
              <w:jc w:val="center"/>
            </w:pPr>
            <w:r>
              <w:rPr>
                <w:rFonts w:hint="eastAsia"/>
              </w:rPr>
              <w:t>合计</w:t>
            </w:r>
          </w:p>
        </w:tc>
        <w:tc>
          <w:tcPr>
            <w:tcW w:w="3036" w:type="dxa"/>
            <w:vAlign w:val="center"/>
          </w:tcPr>
          <w:p>
            <w:pPr>
              <w:jc w:val="right"/>
              <w:rPr>
                <w:rFonts w:ascii="宋体" w:hAnsi="宋体"/>
              </w:rPr>
            </w:pPr>
            <w:r>
              <w:rPr>
                <w:rFonts w:ascii="宋体" w:hAnsi="宋体"/>
              </w:rPr>
              <w:t>32,074,029</w:t>
            </w:r>
          </w:p>
        </w:tc>
        <w:tc>
          <w:tcPr>
            <w:tcW w:w="3103" w:type="dxa"/>
            <w:vAlign w:val="center"/>
          </w:tcPr>
          <w:p>
            <w:pPr>
              <w:jc w:val="right"/>
              <w:rPr>
                <w:rFonts w:ascii="宋体" w:hAnsi="宋体"/>
              </w:rPr>
            </w:pPr>
            <w:r>
              <w:rPr>
                <w:rFonts w:ascii="宋体" w:hAnsi="宋体"/>
              </w:rPr>
              <w:t>33,592,373</w:t>
            </w:r>
          </w:p>
        </w:tc>
      </w:tr>
    </w:tbl>
    <w:p>
      <w:pPr>
        <w:spacing w:before="60" w:after="60"/>
      </w:pPr>
      <w:r>
        <w:rPr>
          <w:rFonts w:hint="eastAsia"/>
        </w:rPr>
        <w:t>其他说明：</w:t>
      </w:r>
    </w:p>
    <w:sdt>
      <w:sdtPr>
        <w:rPr>
          <w:rFonts w:ascii="宋体" w:hAnsi="宋体"/>
          <w:sz w:val="20"/>
          <w:szCs w:val="20"/>
        </w:rPr>
        <w:alias w:val="1年内到期的非流动负债说明"/>
        <w:tag w:val="_GBC_8d20cbb6880f4895b7051ae6dee973ca"/>
        <w:id w:val="594520964"/>
        <w:placeholder>
          <w:docPart w:val="GBC22222222222222222222222222222"/>
        </w:placeholder>
      </w:sdtPr>
      <w:sdtEndPr>
        <w:rPr>
          <w:sz w:val="21"/>
        </w:rPr>
      </w:sdtEndPr>
      <w:sdtContent>
        <w:p>
          <w:pPr>
            <w:spacing w:line="360" w:lineRule="exact"/>
            <w:ind w:leftChars="85" w:left="178" w:firstLineChars="200" w:firstLine="400"/>
            <w:rPr>
              <w:rFonts w:ascii="宋体" w:hAnsi="宋体"/>
            </w:rPr>
          </w:pPr>
          <w:r>
            <w:rPr>
              <w:rFonts w:ascii="宋体" w:hAnsi="宋体" w:hint="eastAsia"/>
            </w:rPr>
            <w:t>注：一年内到期的长期借款明细：</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92|0|desc|||0|1"/>
          </w:tblPr>
          <w:tblGrid>
            <w:gridCol w:w="2859"/>
            <w:gridCol w:w="2860"/>
            <w:gridCol w:w="2860"/>
          </w:tblGrid>
          <w:tr>
            <w:trPr>
              <w:trHeight w:val="397"/>
              <w:tblHeader/>
              <w:jc w:val="center"/>
            </w:trPr>
            <w:tc>
              <w:tcPr>
                <w:tcW w:w="2859" w:type="dxa"/>
                <w:shd w:val="clear" w:color="auto" w:fill="auto"/>
                <w:vAlign w:val="center"/>
              </w:tcPr>
              <w:p>
                <w:pPr>
                  <w:jc w:val="center"/>
                  <w:rPr>
                    <w:rFonts w:ascii="宋体" w:hAnsi="宋体"/>
                    <w:b/>
                    <w:bCs/>
                    <w:color w:val="000000"/>
                  </w:rPr>
                </w:pPr>
                <w:r>
                  <w:rPr>
                    <w:rFonts w:ascii="宋体" w:hAnsi="宋体" w:hint="eastAsia"/>
                    <w:b/>
                    <w:bCs/>
                    <w:color w:val="000000"/>
                  </w:rPr>
                  <w:t>项目</w:t>
                </w:r>
              </w:p>
            </w:tc>
            <w:tc>
              <w:tcPr>
                <w:tcW w:w="2860" w:type="dxa"/>
                <w:shd w:val="clear" w:color="auto" w:fill="auto"/>
                <w:vAlign w:val="center"/>
              </w:tcPr>
              <w:p>
                <w:pPr>
                  <w:jc w:val="center"/>
                  <w:rPr>
                    <w:rFonts w:ascii="宋体" w:hAnsi="宋体"/>
                    <w:b/>
                    <w:bCs/>
                    <w:color w:val="000000"/>
                  </w:rPr>
                </w:pPr>
                <w:r>
                  <w:rPr>
                    <w:rFonts w:ascii="宋体" w:hAnsi="宋体" w:hint="eastAsia"/>
                    <w:b/>
                    <w:bCs/>
                    <w:color w:val="000000"/>
                  </w:rPr>
                  <w:t>期末余额</w:t>
                </w:r>
              </w:p>
            </w:tc>
            <w:tc>
              <w:tcPr>
                <w:tcW w:w="2860" w:type="dxa"/>
                <w:shd w:val="clear" w:color="auto" w:fill="auto"/>
                <w:vAlign w:val="center"/>
              </w:tcPr>
              <w:p>
                <w:pPr>
                  <w:jc w:val="center"/>
                  <w:rPr>
                    <w:rFonts w:ascii="宋体" w:hAnsi="宋体"/>
                    <w:b/>
                    <w:bCs/>
                    <w:color w:val="000000"/>
                  </w:rPr>
                </w:pPr>
                <w:r>
                  <w:rPr>
                    <w:rFonts w:ascii="宋体" w:hAnsi="宋体" w:hint="eastAsia"/>
                    <w:b/>
                    <w:bCs/>
                    <w:color w:val="000000"/>
                  </w:rPr>
                  <w:t>期初余额</w:t>
                </w:r>
              </w:p>
            </w:tc>
          </w:tr>
          <w:tr>
            <w:trPr>
              <w:trHeight w:val="397"/>
              <w:jc w:val="center"/>
            </w:trPr>
            <w:tc>
              <w:tcPr>
                <w:tcW w:w="2859" w:type="dxa"/>
                <w:shd w:val="clear" w:color="auto" w:fill="auto"/>
                <w:noWrap/>
                <w:vAlign w:val="center"/>
              </w:tcPr>
              <w:p>
                <w:pPr>
                  <w:rPr>
                    <w:rFonts w:ascii="宋体" w:hAnsi="宋体"/>
                    <w:color w:val="000000"/>
                  </w:rPr>
                </w:pPr>
                <w:r>
                  <w:rPr>
                    <w:rFonts w:ascii="宋体" w:hAnsi="宋体" w:hint="eastAsia"/>
                  </w:rPr>
                  <w:t>保证借款</w:t>
                </w:r>
              </w:p>
            </w:tc>
            <w:tc>
              <w:tcPr>
                <w:tcW w:w="2860" w:type="dxa"/>
                <w:shd w:val="clear" w:color="auto" w:fill="auto"/>
                <w:vAlign w:val="center"/>
              </w:tcPr>
              <w:p>
                <w:pPr>
                  <w:jc w:val="right"/>
                  <w:rPr>
                    <w:rFonts w:ascii="宋体" w:hAnsi="宋体"/>
                    <w:color w:val="000000"/>
                  </w:rPr>
                </w:pPr>
                <w:r>
                  <w:rPr>
                    <w:rFonts w:ascii="宋体" w:hAnsi="宋体" w:hint="eastAsia"/>
                  </w:rPr>
                  <w:t>227,785</w:t>
                </w:r>
              </w:p>
            </w:tc>
            <w:tc>
              <w:tcPr>
                <w:tcW w:w="2860" w:type="dxa"/>
                <w:shd w:val="clear" w:color="auto" w:fill="auto"/>
                <w:vAlign w:val="center"/>
              </w:tcPr>
              <w:p>
                <w:pPr>
                  <w:jc w:val="right"/>
                  <w:rPr>
                    <w:rFonts w:ascii="宋体" w:hAnsi="宋体"/>
                    <w:color w:val="000000"/>
                  </w:rPr>
                </w:pPr>
                <w:r>
                  <w:rPr>
                    <w:rFonts w:ascii="宋体" w:hAnsi="宋体" w:hint="eastAsia"/>
                  </w:rPr>
                  <w:t>1,488,771</w:t>
                </w:r>
              </w:p>
            </w:tc>
          </w:tr>
          <w:tr>
            <w:trPr>
              <w:trHeight w:val="397"/>
              <w:jc w:val="center"/>
            </w:trPr>
            <w:tc>
              <w:tcPr>
                <w:tcW w:w="2859" w:type="dxa"/>
                <w:shd w:val="clear" w:color="auto" w:fill="auto"/>
                <w:noWrap/>
                <w:vAlign w:val="center"/>
              </w:tcPr>
              <w:p>
                <w:pPr>
                  <w:spacing w:line="340" w:lineRule="exact"/>
                  <w:rPr>
                    <w:rFonts w:ascii="宋体" w:hAnsi="宋体"/>
                    <w:color w:val="000000"/>
                  </w:rPr>
                </w:pPr>
                <w:r>
                  <w:rPr>
                    <w:rFonts w:ascii="宋体" w:hAnsi="宋体" w:hint="eastAsia"/>
                    <w:color w:val="000000"/>
                  </w:rPr>
                  <w:t>抵押借款</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rPr>
                  <w:t>1,613,470</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rPr>
                  <w:t>80,000</w:t>
                </w:r>
              </w:p>
            </w:tc>
          </w:tr>
          <w:tr>
            <w:trPr>
              <w:trHeight w:val="397"/>
              <w:jc w:val="center"/>
            </w:trPr>
            <w:tc>
              <w:tcPr>
                <w:tcW w:w="2859" w:type="dxa"/>
                <w:shd w:val="clear" w:color="auto" w:fill="auto"/>
                <w:noWrap/>
                <w:vAlign w:val="center"/>
              </w:tcPr>
              <w:p>
                <w:pPr>
                  <w:spacing w:line="340" w:lineRule="exact"/>
                  <w:rPr>
                    <w:rFonts w:ascii="宋体" w:hAnsi="宋体"/>
                    <w:color w:val="000000"/>
                  </w:rPr>
                </w:pPr>
                <w:r>
                  <w:rPr>
                    <w:rFonts w:ascii="宋体" w:hAnsi="宋体" w:hint="eastAsia"/>
                    <w:color w:val="000000"/>
                  </w:rPr>
                  <w:t>信用借款</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color w:val="000000"/>
                  </w:rPr>
                  <w:t>21,008,479</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color w:val="000000"/>
                  </w:rPr>
                  <w:t>17,021,631</w:t>
                </w:r>
              </w:p>
            </w:tc>
          </w:tr>
          <w:tr>
            <w:trPr>
              <w:trHeight w:val="397"/>
              <w:jc w:val="center"/>
            </w:trPr>
            <w:tc>
              <w:tcPr>
                <w:tcW w:w="2859" w:type="dxa"/>
                <w:shd w:val="clear" w:color="auto" w:fill="auto"/>
                <w:noWrap/>
                <w:vAlign w:val="center"/>
              </w:tcPr>
              <w:p>
                <w:pPr>
                  <w:spacing w:line="340" w:lineRule="exact"/>
                  <w:rPr>
                    <w:rFonts w:ascii="宋体" w:hAnsi="宋体"/>
                    <w:color w:val="000000"/>
                  </w:rPr>
                </w:pPr>
                <w:r>
                  <w:rPr>
                    <w:rFonts w:ascii="宋体" w:hAnsi="宋体" w:hint="eastAsia"/>
                    <w:color w:val="000000"/>
                  </w:rPr>
                  <w:t>质押借款</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rPr>
                  <w:t>524,897</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rPr>
                  <w:t>2,054,329</w:t>
                </w:r>
              </w:p>
            </w:tc>
          </w:tr>
          <w:tr>
            <w:trPr>
              <w:trHeight w:val="397"/>
              <w:jc w:val="center"/>
            </w:trPr>
            <w:tc>
              <w:tcPr>
                <w:tcW w:w="2859" w:type="dxa"/>
                <w:shd w:val="clear" w:color="auto" w:fill="auto"/>
                <w:noWrap/>
                <w:vAlign w:val="center"/>
              </w:tcPr>
              <w:p>
                <w:pPr>
                  <w:spacing w:line="340" w:lineRule="exact"/>
                  <w:rPr>
                    <w:rFonts w:ascii="宋体" w:hAnsi="宋体"/>
                    <w:color w:val="000000"/>
                  </w:rPr>
                </w:pPr>
                <w:r>
                  <w:rPr>
                    <w:rFonts w:ascii="宋体" w:hAnsi="宋体" w:hint="eastAsia"/>
                    <w:color w:val="000000"/>
                  </w:rPr>
                  <w:t>应付利息</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rPr>
                  <w:t>1,686</w:t>
                </w:r>
              </w:p>
            </w:tc>
            <w:tc>
              <w:tcPr>
                <w:tcW w:w="2860" w:type="dxa"/>
                <w:shd w:val="clear" w:color="auto" w:fill="auto"/>
                <w:vAlign w:val="center"/>
              </w:tcPr>
              <w:p>
                <w:pPr>
                  <w:spacing w:line="340" w:lineRule="exact"/>
                  <w:jc w:val="right"/>
                  <w:rPr>
                    <w:rFonts w:ascii="宋体" w:hAnsi="宋体"/>
                    <w:color w:val="000000"/>
                  </w:rPr>
                </w:pPr>
              </w:p>
            </w:tc>
          </w:tr>
          <w:tr>
            <w:trPr>
              <w:trHeight w:val="397"/>
              <w:jc w:val="center"/>
            </w:trPr>
            <w:tc>
              <w:tcPr>
                <w:tcW w:w="2859" w:type="dxa"/>
                <w:shd w:val="clear" w:color="auto" w:fill="auto"/>
                <w:vAlign w:val="center"/>
              </w:tcPr>
              <w:p>
                <w:pPr>
                  <w:spacing w:line="340" w:lineRule="exact"/>
                  <w:jc w:val="center"/>
                  <w:rPr>
                    <w:rFonts w:ascii="宋体" w:hAnsi="宋体"/>
                    <w:color w:val="000000"/>
                    <w:u w:val="double"/>
                  </w:rPr>
                </w:pPr>
                <w:r>
                  <w:rPr>
                    <w:rFonts w:ascii="宋体" w:hAnsi="宋体" w:hint="eastAsia"/>
                    <w:color w:val="000000"/>
                    <w:u w:val="double"/>
                  </w:rPr>
                  <w:t>合计</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color w:val="000000"/>
                  </w:rPr>
                  <w:t>23,376,317</w:t>
                </w:r>
              </w:p>
            </w:tc>
            <w:tc>
              <w:tcPr>
                <w:tcW w:w="2860" w:type="dxa"/>
                <w:shd w:val="clear" w:color="auto" w:fill="auto"/>
                <w:vAlign w:val="center"/>
              </w:tcPr>
              <w:p>
                <w:pPr>
                  <w:spacing w:line="340" w:lineRule="exact"/>
                  <w:jc w:val="right"/>
                  <w:rPr>
                    <w:rFonts w:ascii="宋体" w:hAnsi="宋体"/>
                    <w:color w:val="000000"/>
                  </w:rPr>
                </w:pPr>
                <w:r>
                  <w:rPr>
                    <w:rFonts w:ascii="宋体" w:hAnsi="宋体" w:hint="eastAsia"/>
                    <w:color w:val="000000"/>
                  </w:rPr>
                  <w:t>20,644,731</w:t>
                </w:r>
              </w:p>
            </w:tc>
          </w:tr>
        </w:tbl>
        <w:p>
          <w:pPr>
            <w:autoSpaceDE w:val="0"/>
            <w:autoSpaceDN w:val="0"/>
            <w:adjustRightInd w:val="0"/>
            <w:spacing w:line="340" w:lineRule="exact"/>
            <w:ind w:firstLine="420"/>
            <w:rPr>
              <w:rFonts w:ascii="宋体" w:hAnsi="宋体"/>
            </w:rPr>
          </w:pPr>
        </w:p>
        <w:p>
          <w:pPr>
            <w:autoSpaceDE w:val="0"/>
            <w:autoSpaceDN w:val="0"/>
            <w:adjustRightInd w:val="0"/>
            <w:spacing w:afterLines="50" w:after="120" w:line="340" w:lineRule="exact"/>
            <w:ind w:firstLine="420"/>
            <w:rPr>
              <w:rFonts w:ascii="宋体" w:hAnsi="宋体"/>
            </w:rPr>
          </w:pPr>
          <w:r>
            <w:rPr>
              <w:rFonts w:ascii="宋体" w:hAnsi="宋体" w:hint="eastAsia"/>
            </w:rPr>
            <w:t>一年内到期的长期借款中人民币借款利率在0.02%至6.20%之间，一年内到期的长期借款人民币余额为23,376,317千元。</w:t>
          </w:r>
        </w:p>
        <w:p>
          <w:pPr>
            <w:autoSpaceDE w:val="0"/>
            <w:autoSpaceDN w:val="0"/>
            <w:adjustRightInd w:val="0"/>
            <w:spacing w:afterLines="50" w:after="120" w:line="340" w:lineRule="exact"/>
            <w:ind w:firstLine="420"/>
            <w:rPr>
              <w:rFonts w:ascii="宋体" w:hAnsi="宋体"/>
            </w:rPr>
          </w:pPr>
          <w:r>
            <w:rPr>
              <w:rFonts w:ascii="宋体" w:hAnsi="宋体" w:hint="eastAsia"/>
            </w:rPr>
            <w:t>一年内到期的保证借款由5家公司提供担保，其中：47,785千元由山东能源集团有限公司、酒泉钢铁（集团）有限责任公司、江苏悦达集团有限公司共同提供担保;160,000千元由兖煤矿业股份有限公司提供担保;20,000千元由鄂尔多斯市锋威光电有限公司提供担保。</w:t>
          </w:r>
        </w:p>
        <w:p>
          <w:pPr>
            <w:autoSpaceDE w:val="0"/>
            <w:autoSpaceDN w:val="0"/>
            <w:adjustRightInd w:val="0"/>
            <w:spacing w:afterLines="50" w:after="120" w:line="340" w:lineRule="exact"/>
            <w:ind w:firstLine="420"/>
            <w:rPr>
              <w:rFonts w:ascii="宋体" w:hAnsi="宋体"/>
            </w:rPr>
          </w:pPr>
          <w:r>
            <w:rPr>
              <w:rFonts w:ascii="宋体" w:hAnsi="宋体" w:hint="eastAsia"/>
            </w:rPr>
            <w:t>一年内到期的质押借款具体情况详见本附注“七、45长期借款”。</w:t>
          </w:r>
        </w:p>
        <w:p>
          <w:pPr>
            <w:pStyle w:val="Style217"/>
          </w:pPr>
        </w:p>
      </w:sdtContent>
    </w:sdt>
    <w:bookmarkEnd w:id="488"/>
    <w:p>
      <w:pPr>
        <w:pStyle w:val="Style178"/>
        <w:numPr>
          <w:ilvl w:val="0"/>
          <w:numId w:val="75"/>
        </w:numPr>
        <w:rPr>
          <w:szCs w:val="21"/>
        </w:rPr>
      </w:pPr>
      <w:r>
        <w:rPr>
          <w:szCs w:val="21"/>
        </w:rPr>
        <w:t>其他流动负债</w:t>
      </w:r>
    </w:p>
    <w:p>
      <w:pPr>
        <w:pStyle w:val="Style217"/>
      </w:pPr>
      <w:bookmarkStart w:id="489" w:name="_Hlk533670262"/>
      <w:r>
        <w:rPr>
          <w:rFonts w:hint="eastAsia"/>
        </w:rPr>
        <w:t>其他流动负债情况</w:t>
      </w:r>
    </w:p>
    <w:sdt>
      <w:sdtPr>
        <w:rPr>
          <w:rFonts w:hint="eastAsia"/>
        </w:rPr>
        <w:alias w:val="是否适用：其他流动负债情况 [双击切换]"/>
        <w:tag w:val="_GBC_a84ebf5eebf04d4ab9f07c3da85115c2"/>
        <w:id w:val="99985691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流动负债"/>
          <w:tag w:val="_GBC_1a3ea80bd2b9426ead4537785c82d01e"/>
          <w:id w:val="8478303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其他流动负债"/>
          <w:tag w:val="_GBC_c39ac2b60b0f44cbbd7534c211405631"/>
          <w:id w:val="8920872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88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721"/>
        <w:gridCol w:w="2721"/>
      </w:tblGrid>
      <w:tr>
        <w:trPr>
          <w:jc w:val="center"/>
        </w:trPr>
        <w:bookmarkStart w:id="490" w:name="_Hlk533423091" w:displacedByCustomXml="next"/>
        <w:sdt>
          <w:sdtPr>
            <w:tag w:val="_PLD_96b7e8e5e688449c87d23adc1b63439f"/>
            <w:id w:val="1356772888"/>
          </w:sdtPr>
          <w:sdtContent>
            <w:tc>
              <w:tcPr>
                <w:tcW w:w="3397" w:type="dxa"/>
                <w:tcBorders>
                  <w:top w:val="single" w:sz="4" w:space="0" w:color="auto"/>
                  <w:left w:val="single" w:sz="4" w:space="0" w:color="auto"/>
                  <w:bottom w:val="single" w:sz="4" w:space="0" w:color="auto"/>
                  <w:right w:val="single" w:sz="4" w:space="0" w:color="auto"/>
                </w:tcBorders>
                <w:vAlign w:val="center"/>
              </w:tcPr>
              <w:p>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741229e75da644bb809ec002cfe06423"/>
            <w:id w:val="682634478"/>
          </w:sdtPr>
          <w:sdtContent>
            <w:tc>
              <w:tcPr>
                <w:tcW w:w="2721"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pPr>
                <w:r>
                  <w:rPr>
                    <w:rFonts w:hint="eastAsia"/>
                  </w:rPr>
                  <w:t>期末余额</w:t>
                </w:r>
              </w:p>
            </w:tc>
          </w:sdtContent>
        </w:sdt>
        <w:sdt>
          <w:sdtPr>
            <w:tag w:val="_PLD_426d25a331b04af9b2ec53d6a7e168d4"/>
            <w:id w:val="-143120630"/>
          </w:sdtPr>
          <w:sdtContent>
            <w:tc>
              <w:tcPr>
                <w:tcW w:w="2721" w:type="dxa"/>
                <w:tcBorders>
                  <w:top w:val="single" w:sz="4" w:space="0" w:color="auto"/>
                  <w:left w:val="single" w:sz="4" w:space="0" w:color="auto"/>
                  <w:bottom w:val="single" w:sz="4" w:space="0" w:color="auto"/>
                  <w:right w:val="single" w:sz="4" w:space="0" w:color="auto"/>
                </w:tcBorders>
                <w:vAlign w:val="center"/>
              </w:tcPr>
              <w:p>
                <w:pPr>
                  <w:adjustRightInd w:val="0"/>
                  <w:snapToGrid w:val="0"/>
                  <w:jc w:val="center"/>
                </w:pPr>
                <w:r>
                  <w:rPr>
                    <w:rFonts w:hint="eastAsia"/>
                  </w:rPr>
                  <w:t>期初余额</w:t>
                </w:r>
              </w:p>
            </w:tc>
          </w:sdtContent>
        </w:sdt>
      </w:tr>
      <w:tr>
        <w:trPr>
          <w:jc w:val="center"/>
        </w:trPr>
        <w:tc>
          <w:tcPr>
            <w:tcW w:w="3397" w:type="dxa"/>
            <w:tcBorders>
              <w:top w:val="single" w:sz="4" w:space="0" w:color="auto"/>
              <w:left w:val="single" w:sz="4" w:space="0" w:color="auto"/>
              <w:bottom w:val="single" w:sz="4" w:space="0" w:color="auto"/>
              <w:right w:val="single" w:sz="4" w:space="0" w:color="auto"/>
            </w:tcBorders>
          </w:tcPr>
          <w:p>
            <w:pPr>
              <w:rPr>
                <w:color w:val="000000" w:themeColor="text1"/>
              </w:rPr>
            </w:pPr>
            <w:r>
              <w:rPr>
                <w:rFonts w:hint="eastAsia"/>
              </w:rPr>
              <w:t>待转销项税金</w:t>
            </w:r>
          </w:p>
        </w:tc>
        <w:tc>
          <w:tcPr>
            <w:tcW w:w="27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1,309,084</w:t>
            </w:r>
          </w:p>
        </w:tc>
        <w:tc>
          <w:tcPr>
            <w:tcW w:w="27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641,049</w:t>
            </w:r>
          </w:p>
        </w:tc>
      </w:tr>
      <w:tr>
        <w:trPr>
          <w:jc w:val="center"/>
        </w:trPr>
        <w:tc>
          <w:tcPr>
            <w:tcW w:w="3397" w:type="dxa"/>
            <w:tcBorders>
              <w:top w:val="single" w:sz="4" w:space="0" w:color="auto"/>
              <w:left w:val="single" w:sz="4" w:space="0" w:color="auto"/>
              <w:bottom w:val="single" w:sz="4" w:space="0" w:color="auto"/>
              <w:right w:val="single" w:sz="4" w:space="0" w:color="auto"/>
            </w:tcBorders>
          </w:tcPr>
          <w:p>
            <w:pPr>
              <w:pStyle w:val="Style217"/>
            </w:pPr>
            <w:r>
              <w:rPr>
                <w:rFonts w:hint="eastAsia"/>
              </w:rPr>
              <w:lastRenderedPageBreak/>
              <w:t>未终止确认的应收票据</w:t>
            </w:r>
          </w:p>
        </w:tc>
        <w:tc>
          <w:tcPr>
            <w:tcW w:w="27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1,034,268</w:t>
            </w:r>
          </w:p>
        </w:tc>
        <w:tc>
          <w:tcPr>
            <w:tcW w:w="27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475,915</w:t>
            </w:r>
          </w:p>
        </w:tc>
      </w:tr>
      <w:tr>
        <w:trPr>
          <w:jc w:val="center"/>
        </w:trPr>
        <w:tc>
          <w:tcPr>
            <w:tcW w:w="3397" w:type="dxa"/>
            <w:tcBorders>
              <w:top w:val="single" w:sz="4" w:space="0" w:color="auto"/>
              <w:left w:val="single" w:sz="4" w:space="0" w:color="auto"/>
              <w:bottom w:val="single" w:sz="4" w:space="0" w:color="auto"/>
              <w:right w:val="single" w:sz="4" w:space="0" w:color="auto"/>
            </w:tcBorders>
          </w:tcPr>
          <w:p>
            <w:pPr>
              <w:pStyle w:val="Style217"/>
            </w:pPr>
            <w:r>
              <w:rPr>
                <w:rFonts w:hint="eastAsia"/>
              </w:rPr>
              <w:t>土地塌陷、复原、重整及环保费</w:t>
            </w:r>
          </w:p>
        </w:tc>
        <w:tc>
          <w:tcPr>
            <w:tcW w:w="27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15,875</w:t>
            </w:r>
          </w:p>
        </w:tc>
        <w:tc>
          <w:tcPr>
            <w:tcW w:w="27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120,405</w:t>
            </w:r>
          </w:p>
        </w:tc>
      </w:tr>
      <w:tr>
        <w:trPr>
          <w:jc w:val="center"/>
        </w:trPr>
        <w:tc>
          <w:tcPr>
            <w:tcW w:w="339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7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2,359,227</w:t>
            </w:r>
          </w:p>
        </w:tc>
        <w:tc>
          <w:tcPr>
            <w:tcW w:w="272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1,237,369</w:t>
            </w:r>
          </w:p>
        </w:tc>
      </w:tr>
    </w:tbl>
    <w:p>
      <w:pPr>
        <w:rPr>
          <w:color w:val="000000" w:themeColor="text1"/>
        </w:rPr>
      </w:pPr>
    </w:p>
    <w:bookmarkEnd w:id="489"/>
    <w:bookmarkEnd w:id="490"/>
    <w:p>
      <w:pPr>
        <w:pStyle w:val="Style217"/>
      </w:pPr>
      <w:r>
        <w:rPr>
          <w:rFonts w:hint="eastAsia"/>
        </w:rPr>
        <w:t>短期</w:t>
      </w:r>
      <w:r>
        <w:t>应付债券的增减变动</w:t>
      </w:r>
      <w:r>
        <w:rPr>
          <w:rFonts w:hint="eastAsia"/>
        </w:rPr>
        <w:t>：</w:t>
      </w:r>
    </w:p>
    <w:sdt>
      <w:sdtPr>
        <w:alias w:val="是否适用：短期应付债券的增减变动[双击切换]"/>
        <w:tag w:val="_GBC_9702365af41547e6b7eeb62225fd79a4"/>
        <w:id w:val="-39899148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pacing w:before="60" w:after="60"/>
      </w:pPr>
      <w:r>
        <w:rPr>
          <w:rFonts w:hint="eastAsia"/>
        </w:rPr>
        <w:t>其他说明：</w:t>
      </w:r>
    </w:p>
    <w:sdt>
      <w:sdtPr>
        <w:alias w:val="是否适用：其他流动负债说明[双击切换]"/>
        <w:tag w:val="_GBC_137d3b80ab3041c1a1b255a500c3d52c"/>
        <w:id w:val="-78525723"/>
        <w:placeholder>
          <w:docPart w:val="GBC22222222222222222222222222222"/>
        </w:placeholder>
      </w:sdtPr>
      <w:sdtContent>
        <w:p>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178"/>
        <w:numPr>
          <w:ilvl w:val="0"/>
          <w:numId w:val="75"/>
        </w:numPr>
        <w:rPr>
          <w:szCs w:val="21"/>
        </w:rPr>
      </w:pPr>
      <w:r>
        <w:rPr>
          <w:szCs w:val="21"/>
        </w:rPr>
        <w:t>长期借款</w:t>
      </w:r>
    </w:p>
    <w:p>
      <w:pPr>
        <w:pStyle w:val="Style179"/>
        <w:numPr>
          <w:ilvl w:val="3"/>
          <w:numId w:val="105"/>
        </w:numPr>
      </w:pPr>
      <w:r>
        <w:rPr>
          <w:rFonts w:hint="eastAsia"/>
        </w:rPr>
        <w:t>长期借款分类</w:t>
      </w:r>
    </w:p>
    <w:sdt>
      <w:sdtPr>
        <w:alias w:val="是否适用：长期借款分类[双击切换]"/>
        <w:tag w:val="_GBC_f97d0882083646ed86769469b3ee8875"/>
        <w:id w:val="73073948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借款分类"/>
          <w:tag w:val="_GBC_1469e55f5b66428a857f07acaf1e4ae0"/>
          <w:id w:val="11083884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长期借款分类"/>
          <w:tag w:val="_GBC_02e1603886284ce797acd755be7f672a"/>
          <w:id w:val="-1848349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1"/>
        <w:gridCol w:w="3051"/>
        <w:gridCol w:w="2946"/>
      </w:tblGrid>
      <w:tr>
        <w:trPr>
          <w:cantSplit/>
        </w:trPr>
        <w:sdt>
          <w:sdtPr>
            <w:tag w:val="_PLD_4e1b60888e3248369c96087fd1f19eed"/>
            <w:id w:val="1291860825"/>
          </w:sdtPr>
          <w:sdtContent>
            <w:tc>
              <w:tcPr>
                <w:tcW w:w="3051" w:type="dxa"/>
                <w:vAlign w:val="center"/>
              </w:tcPr>
              <w:p>
                <w:pPr>
                  <w:autoSpaceDE w:val="0"/>
                  <w:autoSpaceDN w:val="0"/>
                  <w:adjustRightInd w:val="0"/>
                  <w:snapToGrid w:val="0"/>
                  <w:jc w:val="center"/>
                </w:pPr>
                <w:r>
                  <w:rPr>
                    <w:rFonts w:hint="eastAsia"/>
                  </w:rPr>
                  <w:t>借款条件类别</w:t>
                </w:r>
              </w:p>
            </w:tc>
          </w:sdtContent>
        </w:sdt>
        <w:sdt>
          <w:sdtPr>
            <w:tag w:val="_PLD_5eb33a0c1cde49ff9ed499493463ec46"/>
            <w:id w:val="231050703"/>
          </w:sdtPr>
          <w:sdtContent>
            <w:tc>
              <w:tcPr>
                <w:tcW w:w="3051" w:type="dxa"/>
                <w:vAlign w:val="center"/>
              </w:tcPr>
              <w:p>
                <w:pPr>
                  <w:jc w:val="center"/>
                </w:pPr>
                <w:r>
                  <w:rPr>
                    <w:rFonts w:hint="eastAsia"/>
                  </w:rPr>
                  <w:t>期末余额</w:t>
                </w:r>
              </w:p>
            </w:tc>
          </w:sdtContent>
        </w:sdt>
        <w:sdt>
          <w:sdtPr>
            <w:tag w:val="_PLD_9b129c446a5847edb58141b866ffac5d"/>
            <w:id w:val="-1846550651"/>
          </w:sdtPr>
          <w:sdtContent>
            <w:tc>
              <w:tcPr>
                <w:tcW w:w="2946" w:type="dxa"/>
                <w:vAlign w:val="center"/>
              </w:tcPr>
              <w:p>
                <w:pPr>
                  <w:jc w:val="center"/>
                </w:pPr>
                <w:r>
                  <w:rPr>
                    <w:rFonts w:hint="eastAsia"/>
                  </w:rPr>
                  <w:t>期初余额</w:t>
                </w:r>
              </w:p>
            </w:tc>
          </w:sdtContent>
        </w:sdt>
      </w:tr>
      <w:tr>
        <w:trPr>
          <w:cantSplit/>
        </w:trPr>
        <w:tc>
          <w:tcPr>
            <w:tcW w:w="3051" w:type="dxa"/>
          </w:tcPr>
          <w:p>
            <w:pPr>
              <w:autoSpaceDE w:val="0"/>
              <w:autoSpaceDN w:val="0"/>
              <w:adjustRightInd w:val="0"/>
              <w:snapToGrid w:val="0"/>
              <w:jc w:val="both"/>
            </w:pPr>
            <w:r>
              <w:rPr>
                <w:rFonts w:hint="eastAsia"/>
              </w:rPr>
              <w:t>信用借款</w:t>
            </w:r>
          </w:p>
        </w:tc>
        <w:tc>
          <w:tcPr>
            <w:tcW w:w="3051" w:type="dxa"/>
            <w:vAlign w:val="center"/>
          </w:tcPr>
          <w:p>
            <w:pPr>
              <w:autoSpaceDE w:val="0"/>
              <w:autoSpaceDN w:val="0"/>
              <w:adjustRightInd w:val="0"/>
              <w:snapToGrid w:val="0"/>
              <w:ind w:right="180"/>
              <w:jc w:val="right"/>
              <w:rPr>
                <w:rFonts w:ascii="宋体" w:hAnsi="宋体"/>
              </w:rPr>
            </w:pPr>
            <w:r>
              <w:rPr>
                <w:rFonts w:ascii="宋体" w:hAnsi="宋体"/>
              </w:rPr>
              <w:t>47,060,644</w:t>
            </w:r>
          </w:p>
        </w:tc>
        <w:tc>
          <w:tcPr>
            <w:tcW w:w="2946" w:type="dxa"/>
            <w:vAlign w:val="center"/>
          </w:tcPr>
          <w:p>
            <w:pPr>
              <w:jc w:val="right"/>
              <w:rPr>
                <w:rFonts w:ascii="宋体" w:hAnsi="宋体"/>
              </w:rPr>
            </w:pPr>
            <w:r>
              <w:rPr>
                <w:rFonts w:ascii="宋体" w:hAnsi="宋体"/>
              </w:rPr>
              <w:t>46,736,680</w:t>
            </w:r>
          </w:p>
        </w:tc>
      </w:tr>
      <w:tr>
        <w:trPr>
          <w:cantSplit/>
        </w:trPr>
        <w:tc>
          <w:tcPr>
            <w:tcW w:w="3051" w:type="dxa"/>
          </w:tcPr>
          <w:p>
            <w:pPr>
              <w:autoSpaceDE w:val="0"/>
              <w:autoSpaceDN w:val="0"/>
              <w:adjustRightInd w:val="0"/>
              <w:snapToGrid w:val="0"/>
              <w:jc w:val="both"/>
            </w:pPr>
            <w:r>
              <w:rPr>
                <w:rFonts w:hint="eastAsia"/>
              </w:rPr>
              <w:t>保证借款</w:t>
            </w:r>
          </w:p>
        </w:tc>
        <w:tc>
          <w:tcPr>
            <w:tcW w:w="3051" w:type="dxa"/>
            <w:vAlign w:val="center"/>
          </w:tcPr>
          <w:p>
            <w:pPr>
              <w:autoSpaceDE w:val="0"/>
              <w:autoSpaceDN w:val="0"/>
              <w:adjustRightInd w:val="0"/>
              <w:snapToGrid w:val="0"/>
              <w:ind w:right="180"/>
              <w:jc w:val="right"/>
              <w:rPr>
                <w:rFonts w:ascii="宋体" w:hAnsi="宋体"/>
              </w:rPr>
            </w:pPr>
            <w:r>
              <w:rPr>
                <w:rFonts w:ascii="宋体" w:hAnsi="宋体"/>
              </w:rPr>
              <w:t>8,355,405</w:t>
            </w:r>
          </w:p>
        </w:tc>
        <w:tc>
          <w:tcPr>
            <w:tcW w:w="2946" w:type="dxa"/>
            <w:vAlign w:val="center"/>
          </w:tcPr>
          <w:p>
            <w:pPr>
              <w:jc w:val="right"/>
              <w:rPr>
                <w:rFonts w:ascii="宋体" w:hAnsi="宋体"/>
              </w:rPr>
            </w:pPr>
            <w:r>
              <w:rPr>
                <w:rFonts w:ascii="宋体" w:hAnsi="宋体"/>
              </w:rPr>
              <w:t>9,529,586</w:t>
            </w:r>
          </w:p>
        </w:tc>
      </w:tr>
      <w:tr>
        <w:trPr>
          <w:cantSplit/>
        </w:trPr>
        <w:tc>
          <w:tcPr>
            <w:tcW w:w="3051" w:type="dxa"/>
          </w:tcPr>
          <w:p>
            <w:pPr>
              <w:autoSpaceDE w:val="0"/>
              <w:autoSpaceDN w:val="0"/>
              <w:adjustRightInd w:val="0"/>
              <w:snapToGrid w:val="0"/>
              <w:jc w:val="both"/>
            </w:pPr>
            <w:r>
              <w:rPr>
                <w:rFonts w:hint="eastAsia"/>
              </w:rPr>
              <w:t>质押借款</w:t>
            </w:r>
          </w:p>
        </w:tc>
        <w:tc>
          <w:tcPr>
            <w:tcW w:w="3051" w:type="dxa"/>
            <w:vAlign w:val="center"/>
          </w:tcPr>
          <w:p>
            <w:pPr>
              <w:autoSpaceDE w:val="0"/>
              <w:autoSpaceDN w:val="0"/>
              <w:adjustRightInd w:val="0"/>
              <w:snapToGrid w:val="0"/>
              <w:ind w:right="180"/>
              <w:jc w:val="right"/>
              <w:rPr>
                <w:rFonts w:ascii="宋体" w:hAnsi="宋体"/>
              </w:rPr>
            </w:pPr>
            <w:r>
              <w:rPr>
                <w:rFonts w:ascii="宋体" w:hAnsi="宋体"/>
              </w:rPr>
              <w:t>1,221,645</w:t>
            </w:r>
          </w:p>
        </w:tc>
        <w:tc>
          <w:tcPr>
            <w:tcW w:w="2946" w:type="dxa"/>
            <w:vAlign w:val="center"/>
          </w:tcPr>
          <w:p>
            <w:pPr>
              <w:jc w:val="right"/>
              <w:rPr>
                <w:rFonts w:ascii="宋体" w:hAnsi="宋体"/>
              </w:rPr>
            </w:pPr>
            <w:r>
              <w:rPr>
                <w:rFonts w:ascii="宋体" w:hAnsi="宋体"/>
              </w:rPr>
              <w:t>5,150,216</w:t>
            </w:r>
          </w:p>
        </w:tc>
      </w:tr>
      <w:tr>
        <w:trPr>
          <w:cantSplit/>
        </w:trPr>
        <w:tc>
          <w:tcPr>
            <w:tcW w:w="3051" w:type="dxa"/>
          </w:tcPr>
          <w:p>
            <w:pPr>
              <w:autoSpaceDE w:val="0"/>
              <w:autoSpaceDN w:val="0"/>
              <w:adjustRightInd w:val="0"/>
              <w:snapToGrid w:val="0"/>
              <w:jc w:val="both"/>
            </w:pPr>
            <w:r>
              <w:rPr>
                <w:rFonts w:hint="eastAsia"/>
              </w:rPr>
              <w:t>抵押借款</w:t>
            </w:r>
          </w:p>
        </w:tc>
        <w:tc>
          <w:tcPr>
            <w:tcW w:w="3051" w:type="dxa"/>
            <w:vAlign w:val="center"/>
          </w:tcPr>
          <w:p>
            <w:pPr>
              <w:autoSpaceDE w:val="0"/>
              <w:autoSpaceDN w:val="0"/>
              <w:adjustRightInd w:val="0"/>
              <w:snapToGrid w:val="0"/>
              <w:ind w:right="180"/>
              <w:jc w:val="right"/>
              <w:rPr>
                <w:rFonts w:ascii="宋体" w:hAnsi="宋体"/>
              </w:rPr>
            </w:pPr>
            <w:r>
              <w:rPr>
                <w:rFonts w:ascii="宋体" w:hAnsi="宋体"/>
              </w:rPr>
              <w:t>456,872</w:t>
            </w:r>
          </w:p>
        </w:tc>
        <w:tc>
          <w:tcPr>
            <w:tcW w:w="2946" w:type="dxa"/>
            <w:vAlign w:val="center"/>
          </w:tcPr>
          <w:p>
            <w:pPr>
              <w:jc w:val="right"/>
              <w:rPr>
                <w:rFonts w:ascii="宋体" w:hAnsi="宋体"/>
              </w:rPr>
            </w:pPr>
            <w:r>
              <w:rPr>
                <w:rFonts w:ascii="宋体" w:hAnsi="宋体"/>
              </w:rPr>
              <w:t>2,240,552</w:t>
            </w:r>
          </w:p>
        </w:tc>
      </w:tr>
      <w:tr>
        <w:trPr>
          <w:cantSplit/>
        </w:trPr>
        <w:tc>
          <w:tcPr>
            <w:tcW w:w="3051" w:type="dxa"/>
          </w:tcPr>
          <w:p>
            <w:pPr>
              <w:autoSpaceDE w:val="0"/>
              <w:autoSpaceDN w:val="0"/>
              <w:adjustRightInd w:val="0"/>
              <w:snapToGrid w:val="0"/>
            </w:pPr>
            <w:r>
              <w:rPr>
                <w:rFonts w:hint="eastAsia"/>
              </w:rPr>
              <w:t>应付利息</w:t>
            </w:r>
          </w:p>
        </w:tc>
        <w:tc>
          <w:tcPr>
            <w:tcW w:w="3051" w:type="dxa"/>
            <w:vAlign w:val="center"/>
          </w:tcPr>
          <w:p>
            <w:pPr>
              <w:autoSpaceDE w:val="0"/>
              <w:autoSpaceDN w:val="0"/>
              <w:adjustRightInd w:val="0"/>
              <w:snapToGrid w:val="0"/>
              <w:ind w:right="180"/>
              <w:jc w:val="right"/>
              <w:rPr>
                <w:rFonts w:ascii="宋体" w:hAnsi="宋体"/>
              </w:rPr>
            </w:pPr>
            <w:r>
              <w:rPr>
                <w:rFonts w:ascii="宋体" w:hAnsi="宋体"/>
              </w:rPr>
              <w:t>5,157</w:t>
            </w:r>
          </w:p>
        </w:tc>
        <w:tc>
          <w:tcPr>
            <w:tcW w:w="2946" w:type="dxa"/>
            <w:vAlign w:val="center"/>
          </w:tcPr>
          <w:p>
            <w:pPr>
              <w:jc w:val="right"/>
              <w:rPr>
                <w:rFonts w:ascii="宋体" w:hAnsi="宋体"/>
              </w:rPr>
            </w:pPr>
            <w:r>
              <w:rPr>
                <w:rFonts w:ascii="宋体" w:hAnsi="宋体"/>
              </w:rPr>
              <w:t>2,229</w:t>
            </w:r>
          </w:p>
        </w:tc>
      </w:tr>
      <w:tr>
        <w:trPr>
          <w:cantSplit/>
        </w:trPr>
        <w:tc>
          <w:tcPr>
            <w:tcW w:w="3051" w:type="dxa"/>
            <w:vAlign w:val="center"/>
          </w:tcPr>
          <w:p>
            <w:pPr>
              <w:autoSpaceDE w:val="0"/>
              <w:autoSpaceDN w:val="0"/>
              <w:adjustRightInd w:val="0"/>
              <w:snapToGrid w:val="0"/>
              <w:jc w:val="center"/>
            </w:pPr>
            <w:r>
              <w:rPr>
                <w:rFonts w:hint="eastAsia"/>
              </w:rPr>
              <w:t>合计</w:t>
            </w:r>
          </w:p>
        </w:tc>
        <w:tc>
          <w:tcPr>
            <w:tcW w:w="3051" w:type="dxa"/>
            <w:vAlign w:val="center"/>
          </w:tcPr>
          <w:p>
            <w:pPr>
              <w:autoSpaceDE w:val="0"/>
              <w:autoSpaceDN w:val="0"/>
              <w:adjustRightInd w:val="0"/>
              <w:snapToGrid w:val="0"/>
              <w:ind w:right="180"/>
              <w:jc w:val="right"/>
              <w:rPr>
                <w:rFonts w:ascii="宋体" w:hAnsi="宋体"/>
              </w:rPr>
            </w:pPr>
            <w:r>
              <w:rPr>
                <w:rFonts w:ascii="宋体" w:hAnsi="宋体"/>
              </w:rPr>
              <w:t>57,099,723</w:t>
            </w:r>
          </w:p>
        </w:tc>
        <w:tc>
          <w:tcPr>
            <w:tcW w:w="2946" w:type="dxa"/>
            <w:vAlign w:val="center"/>
          </w:tcPr>
          <w:p>
            <w:pPr>
              <w:jc w:val="right"/>
              <w:rPr>
                <w:rFonts w:ascii="宋体" w:hAnsi="宋体"/>
              </w:rPr>
            </w:pPr>
            <w:r>
              <w:rPr>
                <w:rFonts w:ascii="宋体" w:hAnsi="宋体"/>
              </w:rPr>
              <w:t>63,659,263</w:t>
            </w:r>
          </w:p>
        </w:tc>
      </w:tr>
    </w:tbl>
    <w:p>
      <w:pPr>
        <w:snapToGrid w:val="0"/>
        <w:spacing w:before="60" w:after="60" w:line="240" w:lineRule="atLeast"/>
      </w:pPr>
      <w:r>
        <w:rPr>
          <w:rFonts w:hint="eastAsia"/>
        </w:rPr>
        <w:t>长期借款分类的说明：</w:t>
      </w:r>
    </w:p>
    <w:sdt>
      <w:sdtPr>
        <w:alias w:val="长期借款分类的说明"/>
        <w:tag w:val="_GBC_b89f86a2a8054eb2892900c86ecbdcb3"/>
        <w:id w:val="1860780778"/>
        <w:placeholder>
          <w:docPart w:val="GBC22222222222222222222222222222"/>
        </w:placeholder>
      </w:sdtPr>
      <w:sdtContent>
        <w:p>
          <w:pPr>
            <w:spacing w:afterLines="50" w:after="120" w:line="340" w:lineRule="exact"/>
            <w:ind w:firstLine="420"/>
            <w:rPr>
              <w:rFonts w:asciiTheme="minorEastAsia" w:hAnsiTheme="minorEastAsia"/>
            </w:rPr>
          </w:pPr>
          <w:r>
            <w:rPr>
              <w:rFonts w:asciiTheme="minorEastAsia" w:hAnsiTheme="minorEastAsia" w:hint="eastAsia"/>
            </w:rPr>
            <w:t>注</w:t>
          </w:r>
          <w:r>
            <w:rPr>
              <w:rFonts w:asciiTheme="minorEastAsia" w:hAnsiTheme="minorEastAsia"/>
            </w:rPr>
            <w:t>1：</w:t>
          </w:r>
          <w:r>
            <w:rPr>
              <w:rFonts w:ascii="宋体" w:hAnsi="宋体"/>
            </w:rPr>
            <w:t>长期借款中人民币借款利率在2.</w:t>
          </w:r>
          <w:r>
            <w:rPr>
              <w:rFonts w:ascii="宋体" w:hAnsi="宋体" w:hint="eastAsia"/>
            </w:rPr>
            <w:t>10</w:t>
          </w:r>
          <w:r>
            <w:rPr>
              <w:rFonts w:ascii="宋体" w:hAnsi="宋体"/>
            </w:rPr>
            <w:t>%至4.98%之间，外币澳元借款利率为</w:t>
          </w:r>
          <w:r>
            <w:rPr>
              <w:rFonts w:ascii="宋体" w:hAnsi="宋体" w:hint="eastAsia"/>
            </w:rPr>
            <w:t>2.69</w:t>
          </w:r>
          <w:r>
            <w:rPr>
              <w:rFonts w:ascii="宋体" w:hAnsi="宋体"/>
            </w:rPr>
            <w:t>%；澳元借款余额为</w:t>
          </w:r>
          <w:r>
            <w:rPr>
              <w:rFonts w:ascii="宋体" w:hAnsi="宋体" w:hint="eastAsia"/>
            </w:rPr>
            <w:t>36,222</w:t>
          </w:r>
          <w:r>
            <w:rPr>
              <w:rFonts w:ascii="宋体" w:hAnsi="宋体"/>
            </w:rPr>
            <w:t>千元，折合人民币</w:t>
          </w:r>
          <w:r>
            <w:rPr>
              <w:rFonts w:ascii="宋体" w:hAnsi="宋体" w:hint="eastAsia"/>
            </w:rPr>
            <w:t>169,852</w:t>
          </w:r>
          <w:r>
            <w:rPr>
              <w:rFonts w:ascii="宋体" w:hAnsi="宋体"/>
            </w:rPr>
            <w:t>千元。外币美元借款利率为3个月Libor+1.8%;美元借款余额为</w:t>
          </w:r>
          <w:r>
            <w:rPr>
              <w:rFonts w:ascii="宋体" w:hAnsi="宋体" w:hint="eastAsia"/>
            </w:rPr>
            <w:t>65,000</w:t>
          </w:r>
          <w:r>
            <w:rPr>
              <w:rFonts w:ascii="宋体" w:hAnsi="宋体"/>
            </w:rPr>
            <w:t>千元，折合人民币</w:t>
          </w:r>
          <w:r>
            <w:rPr>
              <w:rFonts w:ascii="宋体" w:hAnsi="宋体" w:hint="eastAsia"/>
            </w:rPr>
            <w:t>456,872</w:t>
          </w:r>
          <w:r>
            <w:rPr>
              <w:rFonts w:ascii="宋体" w:hAnsi="宋体"/>
            </w:rPr>
            <w:t>千元</w:t>
          </w:r>
          <w:r>
            <w:rPr>
              <w:rFonts w:asciiTheme="minorEastAsia" w:eastAsiaTheme="minorEastAsia" w:hAnsiTheme="minorEastAsia" w:hint="eastAsia"/>
            </w:rPr>
            <w:t>。</w:t>
          </w:r>
        </w:p>
        <w:p>
          <w:pPr>
            <w:spacing w:afterLines="50" w:after="120" w:line="360" w:lineRule="exact"/>
            <w:ind w:firstLine="420"/>
            <w:rPr>
              <w:rFonts w:ascii="宋体" w:hAnsi="宋体"/>
            </w:rPr>
          </w:pPr>
          <w:r>
            <w:rPr>
              <w:rFonts w:ascii="宋体" w:hAnsi="宋体" w:hint="eastAsia"/>
            </w:rPr>
            <w:t>注2：保证借款共计</w:t>
          </w:r>
          <w:r>
            <w:rPr>
              <w:rFonts w:ascii="宋体" w:hAnsi="宋体"/>
            </w:rPr>
            <w:t>8,583,190</w:t>
          </w:r>
          <w:r>
            <w:rPr>
              <w:rFonts w:ascii="宋体" w:hAnsi="宋体" w:hint="eastAsia"/>
            </w:rPr>
            <w:t>千元，包括一年以内到期的保证借款227,785千元,由7家公司提供担保，其中：13,494千元由山东能源集团有限公司提供担保；440,000千元由兖煤矿业股份有限公司提供担保；439,000千元由鄂尔多斯市锋威光电有限公司提供担保；5,107,500千元由新疆能化有限公司提供担保；</w:t>
          </w:r>
          <w:r>
            <w:rPr>
              <w:rFonts w:ascii="宋体" w:hAnsi="宋体"/>
            </w:rPr>
            <w:t>2,183,196</w:t>
          </w:r>
          <w:r>
            <w:rPr>
              <w:rFonts w:ascii="宋体" w:hAnsi="宋体" w:hint="eastAsia"/>
            </w:rPr>
            <w:t>千元由山东能源集团有限公司、酒泉钢铁（集团）有限责任公司、江苏悦达集团有限公司共同提供担保；400,000千元由平凉天元煤电化有限公司提供担保。</w:t>
          </w:r>
        </w:p>
        <w:p>
          <w:pPr>
            <w:spacing w:afterLines="50" w:after="120" w:line="360" w:lineRule="exact"/>
            <w:ind w:firstLine="420"/>
            <w:rPr>
              <w:rFonts w:asciiTheme="minorEastAsia" w:eastAsiaTheme="minorEastAsia" w:hAnsiTheme="minorEastAsia"/>
            </w:rPr>
          </w:pPr>
          <w:r>
            <w:rPr>
              <w:rFonts w:asciiTheme="minorEastAsia" w:hAnsiTheme="minorEastAsia" w:hint="eastAsia"/>
            </w:rPr>
            <w:t>注3：质押借款共计</w:t>
          </w:r>
          <w:r>
            <w:rPr>
              <w:rFonts w:asciiTheme="minorEastAsia" w:hAnsiTheme="minorEastAsia"/>
            </w:rPr>
            <w:t>1,746,542</w:t>
          </w:r>
          <w:r>
            <w:rPr>
              <w:rFonts w:asciiTheme="minorEastAsia" w:hAnsiTheme="minorEastAsia" w:hint="eastAsia"/>
            </w:rPr>
            <w:t>千元，包括一年以内到期的质押借款524,897千元，其中：</w:t>
          </w:r>
          <w:r>
            <w:rPr>
              <w:rFonts w:asciiTheme="minorEastAsia" w:hAnsiTheme="minorEastAsia"/>
            </w:rPr>
            <w:t>1,746,542</w:t>
          </w:r>
          <w:r>
            <w:rPr>
              <w:rFonts w:asciiTheme="minorEastAsia" w:hAnsiTheme="minorEastAsia" w:hint="eastAsia"/>
            </w:rPr>
            <w:t>千元的质押物为本公司之子公司兖矿融资租赁有限公司质押在借款银行应收租金债权2,357,839千元。</w:t>
          </w:r>
        </w:p>
        <w:p>
          <w:pPr>
            <w:spacing w:afterLines="50" w:after="120" w:line="360" w:lineRule="exact"/>
            <w:ind w:firstLine="420"/>
            <w:rPr>
              <w:rFonts w:asciiTheme="minorEastAsia" w:hAnsiTheme="minorEastAsia"/>
            </w:rPr>
          </w:pPr>
          <w:r>
            <w:rPr>
              <w:rFonts w:asciiTheme="minorEastAsia" w:eastAsiaTheme="minorEastAsia" w:hAnsiTheme="minorEastAsia" w:hint="eastAsia"/>
            </w:rPr>
            <w:t>注4：</w:t>
          </w:r>
          <w:r>
            <w:rPr>
              <w:rFonts w:asciiTheme="minorEastAsia" w:hAnsiTheme="minorEastAsia" w:hint="eastAsia"/>
            </w:rPr>
            <w:t>抵押借款456,872千元的抵押物为本公司之子公司兖煤国际（控股）有限公司持有的9.34亿股浙商银行股份有限公司股票，账面价值共计</w:t>
          </w:r>
          <w:r>
            <w:rPr>
              <w:rFonts w:asciiTheme="minorEastAsia" w:hAnsiTheme="minorEastAsia"/>
            </w:rPr>
            <w:t>6,922,309</w:t>
          </w:r>
          <w:r>
            <w:rPr>
              <w:rFonts w:asciiTheme="minorEastAsia" w:hAnsiTheme="minorEastAsia" w:hint="eastAsia"/>
            </w:rPr>
            <w:t>千元。</w:t>
          </w:r>
        </w:p>
      </w:sdtContent>
    </w:sdt>
    <w:p>
      <w:pPr>
        <w:snapToGrid w:val="0"/>
        <w:rPr>
          <w:rFonts w:cstheme="minorBidi"/>
          <w:color w:val="000000" w:themeColor="text1"/>
          <w:kern w:val="2"/>
        </w:rPr>
      </w:pPr>
    </w:p>
    <w:p>
      <w:pPr>
        <w:snapToGrid w:val="0"/>
        <w:rPr>
          <w:color w:val="000000" w:themeColor="text1"/>
        </w:rPr>
      </w:pPr>
      <w:r>
        <w:rPr>
          <w:rFonts w:hint="eastAsia"/>
          <w:color w:val="000000" w:themeColor="text1"/>
        </w:rPr>
        <w:t>其他说明：</w:t>
      </w:r>
    </w:p>
    <w:sdt>
      <w:sdtPr>
        <w:rPr>
          <w:color w:val="000000" w:themeColor="text1"/>
        </w:rPr>
        <w:alias w:val="是否适用：长期借款的说明[双击切换]"/>
        <w:tag w:val="_GBC_81b19a673078421a910ba8721333fbbe"/>
        <w:id w:val="1461000592"/>
        <w:placeholder>
          <w:docPart w:val="GBC22222222222222222222222222222"/>
        </w:placeholder>
      </w:sdtPr>
      <w:sdtContent>
        <w:p>
          <w:pPr>
            <w:snapToGrid w:val="0"/>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pStyle w:val="Style178"/>
        <w:numPr>
          <w:ilvl w:val="0"/>
          <w:numId w:val="75"/>
        </w:numPr>
        <w:rPr>
          <w:szCs w:val="21"/>
        </w:rPr>
      </w:pPr>
      <w:r>
        <w:rPr>
          <w:szCs w:val="21"/>
        </w:rPr>
        <w:t>应付债券</w:t>
      </w:r>
    </w:p>
    <w:p>
      <w:pPr>
        <w:pStyle w:val="Style179"/>
        <w:numPr>
          <w:ilvl w:val="0"/>
          <w:numId w:val="106"/>
        </w:numPr>
        <w:ind w:left="426" w:hanging="426"/>
      </w:pPr>
      <w:r>
        <w:rPr>
          <w:rFonts w:hint="eastAsia"/>
        </w:rPr>
        <w:t>应付债券</w:t>
      </w:r>
    </w:p>
    <w:sdt>
      <w:sdtPr>
        <w:alias w:val="是否适用：应付债券[双击切换]"/>
        <w:tag w:val="_GBC_645b020b25af4284b8eff88f14f8c5c2"/>
        <w:id w:val="-10596551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lastRenderedPageBreak/>
        <w:t>单位：</w:t>
      </w:r>
      <w:sdt>
        <w:sdtPr>
          <w:rPr>
            <w:rFonts w:hint="eastAsia"/>
          </w:rPr>
          <w:alias w:val="单位：财务附注：应付债券"/>
          <w:tag w:val="_GBC_57b3a408d4a84bb0a330d1831f7c6f29"/>
          <w:id w:val="6356797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付债券"/>
          <w:tag w:val="_GBC_058298e5284a4aa58bf3ef0038f20732"/>
          <w:id w:val="2712104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054"/>
        <w:gridCol w:w="3078"/>
        <w:gridCol w:w="2926"/>
      </w:tblGrid>
      <w:tr>
        <w:trPr>
          <w:cantSplit/>
          <w:trHeight w:val="252"/>
        </w:trPr>
        <w:sdt>
          <w:sdtPr>
            <w:tag w:val="_PLD_b1ab73cce61a4f81a37c70a551b42047"/>
            <w:id w:val="-192158041"/>
          </w:sdtPr>
          <w:sdtContent>
            <w:tc>
              <w:tcPr>
                <w:tcW w:w="3054" w:type="dxa"/>
                <w:vAlign w:val="center"/>
              </w:tcPr>
              <w:p>
                <w:pPr>
                  <w:jc w:val="center"/>
                </w:pPr>
                <w:r>
                  <w:rPr>
                    <w:rFonts w:hint="eastAsia"/>
                  </w:rPr>
                  <w:t>项目</w:t>
                </w:r>
              </w:p>
            </w:tc>
          </w:sdtContent>
        </w:sdt>
        <w:sdt>
          <w:sdtPr>
            <w:tag w:val="_PLD_3d8bcc7ecd3e4fd5ad328c296fbe1164"/>
            <w:id w:val="323174804"/>
          </w:sdtPr>
          <w:sdtContent>
            <w:tc>
              <w:tcPr>
                <w:tcW w:w="3078" w:type="dxa"/>
                <w:vAlign w:val="center"/>
              </w:tcPr>
              <w:p>
                <w:pPr>
                  <w:adjustRightInd w:val="0"/>
                  <w:snapToGrid w:val="0"/>
                  <w:ind w:leftChars="-2" w:left="-2" w:rightChars="9" w:right="19" w:hangingChars="1" w:hanging="2"/>
                  <w:jc w:val="center"/>
                  <w:rPr>
                    <w:b/>
                  </w:rPr>
                </w:pPr>
                <w:r>
                  <w:rPr>
                    <w:rFonts w:hint="eastAsia"/>
                  </w:rPr>
                  <w:t>期末余额</w:t>
                </w:r>
              </w:p>
            </w:tc>
          </w:sdtContent>
        </w:sdt>
        <w:sdt>
          <w:sdtPr>
            <w:tag w:val="_PLD_82ec823678804bd3ba2932976400cc89"/>
            <w:id w:val="676934576"/>
          </w:sdtPr>
          <w:sdtContent>
            <w:tc>
              <w:tcPr>
                <w:tcW w:w="2926" w:type="dxa"/>
                <w:vAlign w:val="center"/>
              </w:tcPr>
              <w:p>
                <w:pPr>
                  <w:adjustRightInd w:val="0"/>
                  <w:snapToGrid w:val="0"/>
                  <w:ind w:leftChars="-2" w:left="-2" w:rightChars="9" w:right="19" w:hangingChars="1" w:hanging="2"/>
                  <w:jc w:val="center"/>
                </w:pPr>
                <w:r>
                  <w:rPr>
                    <w:rFonts w:hint="eastAsia"/>
                  </w:rPr>
                  <w:t>期初余额</w:t>
                </w:r>
              </w:p>
            </w:tc>
          </w:sdtContent>
        </w:sdt>
      </w:tr>
      <w:tr>
        <w:trPr>
          <w:cantSplit/>
        </w:trPr>
        <w:tc>
          <w:tcPr>
            <w:tcW w:w="3054" w:type="dxa"/>
            <w:vAlign w:val="center"/>
          </w:tcPr>
          <w:p>
            <w:pPr>
              <w:pStyle w:val="Style217"/>
            </w:pPr>
            <w:r>
              <w:rPr>
                <w:rFonts w:hint="eastAsia"/>
              </w:rPr>
              <w:t>应付债券</w:t>
            </w:r>
          </w:p>
        </w:tc>
        <w:tc>
          <w:tcPr>
            <w:tcW w:w="3078" w:type="dxa"/>
            <w:vAlign w:val="center"/>
          </w:tcPr>
          <w:p>
            <w:pPr>
              <w:jc w:val="right"/>
              <w:rPr>
                <w:rFonts w:ascii="宋体" w:hAnsi="宋体"/>
              </w:rPr>
            </w:pPr>
            <w:r>
              <w:rPr>
                <w:rFonts w:ascii="宋体" w:hAnsi="宋体"/>
              </w:rPr>
              <w:t>22,964,152</w:t>
            </w:r>
          </w:p>
        </w:tc>
        <w:tc>
          <w:tcPr>
            <w:tcW w:w="2926" w:type="dxa"/>
            <w:vAlign w:val="center"/>
          </w:tcPr>
          <w:p>
            <w:pPr>
              <w:jc w:val="right"/>
              <w:rPr>
                <w:rFonts w:ascii="宋体" w:hAnsi="宋体"/>
              </w:rPr>
            </w:pPr>
            <w:r>
              <w:rPr>
                <w:rFonts w:ascii="宋体" w:hAnsi="宋体"/>
              </w:rPr>
              <w:t>15,973,544</w:t>
            </w:r>
          </w:p>
        </w:tc>
      </w:tr>
      <w:tr>
        <w:trPr>
          <w:cantSplit/>
        </w:trPr>
        <w:tc>
          <w:tcPr>
            <w:tcW w:w="3054" w:type="dxa"/>
            <w:vAlign w:val="center"/>
          </w:tcPr>
          <w:p>
            <w:pPr>
              <w:jc w:val="center"/>
            </w:pPr>
            <w:r>
              <w:rPr>
                <w:rFonts w:hint="eastAsia"/>
              </w:rPr>
              <w:t>合计</w:t>
            </w:r>
          </w:p>
        </w:tc>
        <w:tc>
          <w:tcPr>
            <w:tcW w:w="3078" w:type="dxa"/>
            <w:vAlign w:val="center"/>
          </w:tcPr>
          <w:p>
            <w:pPr>
              <w:jc w:val="right"/>
              <w:rPr>
                <w:rFonts w:ascii="宋体" w:hAnsi="宋体"/>
              </w:rPr>
            </w:pPr>
            <w:r>
              <w:rPr>
                <w:rFonts w:ascii="宋体" w:hAnsi="宋体"/>
              </w:rPr>
              <w:t>22,964,152</w:t>
            </w:r>
          </w:p>
        </w:tc>
        <w:tc>
          <w:tcPr>
            <w:tcW w:w="2926" w:type="dxa"/>
            <w:vAlign w:val="center"/>
          </w:tcPr>
          <w:p>
            <w:pPr>
              <w:jc w:val="right"/>
              <w:rPr>
                <w:rFonts w:ascii="宋体" w:hAnsi="宋体"/>
              </w:rPr>
            </w:pPr>
            <w:r>
              <w:rPr>
                <w:rFonts w:ascii="宋体" w:hAnsi="宋体"/>
              </w:rPr>
              <w:t>15,973,544</w:t>
            </w:r>
          </w:p>
        </w:tc>
      </w:tr>
    </w:tbl>
    <w:p>
      <w:pPr>
        <w:pStyle w:val="Style217"/>
      </w:pPr>
    </w:p>
    <w:p>
      <w:pPr>
        <w:sectPr>
          <w:pgSz w:w="11906" w:h="16838"/>
          <w:pgMar w:top="1440" w:right="1797" w:bottom="1525" w:left="1276" w:header="856" w:footer="992" w:gutter="0"/>
          <w:cols w:space="425"/>
          <w:docGrid w:linePitch="312"/>
        </w:sectPr>
      </w:pPr>
    </w:p>
    <w:p>
      <w:pPr>
        <w:pStyle w:val="Style179"/>
        <w:numPr>
          <w:ilvl w:val="0"/>
          <w:numId w:val="106"/>
        </w:numPr>
        <w:ind w:left="426" w:hanging="426"/>
      </w:pPr>
      <w:bookmarkStart w:id="491" w:name="OLE_LINK18"/>
      <w:bookmarkStart w:id="492" w:name="OLE_LINK16"/>
      <w:r>
        <w:rPr>
          <w:rFonts w:hint="eastAsia"/>
        </w:rPr>
        <w:lastRenderedPageBreak/>
        <w:t>应付债券的具体情况：（不包括划分为金融负债的优先股、永续债等其他金融工具）</w:t>
      </w:r>
    </w:p>
    <w:sdt>
      <w:sdtPr>
        <w:alias w:val="是否适用：应付债券的增减变动[双击切换]"/>
        <w:tag w:val="_GBC_a682f35f6b7c4d8b840f80705a81f19c"/>
        <w:id w:val="767120205"/>
      </w:sdtPr>
      <w:sdtContent>
        <w:p>
          <w:pPr>
            <w:pStyle w:val="Style175"/>
          </w:pPr>
          <w:r>
            <w:rPr>
              <w:rFonts w:ascii="宋体" w:hAnsi="宋体"/>
              <w:sz w:val="21"/>
            </w:rPr>
            <w:fldChar w:fldCharType="begin"/>
          </w:r>
          <w:r>
            <w:rPr>
              <w:rFonts w:ascii="宋体" w:hAnsi="宋体" w:hint="eastAsia"/>
              <w:sz w:val="21"/>
            </w:rPr>
            <w:instrText xml:space="preserve">MACROBUTTON SnrToggleCheckbox √适用 </w:instrText>
          </w:r>
          <w:r>
            <w:rPr>
              <w:rFonts w:ascii="宋体" w:hAnsi="宋体"/>
              <w:sz w:val="21"/>
            </w:rPr>
            <w:fldChar w:fldCharType="end"/>
          </w:r>
          <w:r>
            <w:rPr>
              <w:rFonts w:ascii="宋体" w:hAnsi="宋体"/>
              <w:sz w:val="21"/>
            </w:rPr>
            <w:fldChar w:fldCharType="begin"/>
          </w:r>
          <w:r>
            <w:rPr>
              <w:rFonts w:ascii="宋体" w:hAnsi="宋体"/>
              <w:sz w:val="21"/>
            </w:rPr>
            <w:instrText xml:space="preserve">MACROBUTTON  SnrToggleCheckbox □不适用 </w:instrText>
          </w:r>
          <w:r>
            <w:rPr>
              <w:rFonts w:ascii="宋体" w:hAnsi="宋体"/>
              <w:sz w:val="21"/>
            </w:rPr>
            <w:fldChar w:fldCharType="end"/>
          </w:r>
        </w:p>
      </w:sdtContent>
    </w:sdt>
    <w:p>
      <w:pPr>
        <w:jc w:val="right"/>
      </w:pPr>
      <w:r>
        <w:rPr>
          <w:rFonts w:hint="eastAsia"/>
        </w:rPr>
        <w:t>单位：</w:t>
      </w:r>
      <w:sdt>
        <w:sdtPr>
          <w:rPr>
            <w:rFonts w:hint="eastAsia"/>
          </w:rPr>
          <w:alias w:val="单位：财务附注：应付债券的增减变动"/>
          <w:tag w:val="_GBC_221366b8136447aca9359e6115acb07a"/>
          <w:id w:val="6778445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付债券的增减变动"/>
          <w:tag w:val="_GBC_ab4475cd02fd49449e15ccf7e0fadc42"/>
          <w:id w:val="125285632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587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851"/>
        <w:gridCol w:w="568"/>
        <w:gridCol w:w="567"/>
        <w:gridCol w:w="1134"/>
        <w:gridCol w:w="708"/>
        <w:gridCol w:w="1276"/>
        <w:gridCol w:w="1276"/>
        <w:gridCol w:w="1417"/>
        <w:gridCol w:w="1276"/>
        <w:gridCol w:w="992"/>
        <w:gridCol w:w="1134"/>
        <w:gridCol w:w="1276"/>
        <w:gridCol w:w="425"/>
        <w:gridCol w:w="1276"/>
        <w:gridCol w:w="1276"/>
        <w:gridCol w:w="425"/>
      </w:tblGrid>
      <w:tr>
        <w:trPr>
          <w:cantSplit/>
          <w:trHeight w:val="590"/>
        </w:trPr>
        <w:sdt>
          <w:sdtPr>
            <w:tag w:val="_PLD_e802e0473fe74b70b94a2bc1ff9e6120"/>
            <w:id w:val="814305055"/>
          </w:sdtPr>
          <w:sdtContent>
            <w:tc>
              <w:tcPr>
                <w:tcW w:w="851" w:type="dxa"/>
                <w:vAlign w:val="center"/>
              </w:tcPr>
              <w:p>
                <w:pPr>
                  <w:jc w:val="center"/>
                </w:pPr>
                <w:r>
                  <w:rPr>
                    <w:rFonts w:hint="eastAsia"/>
                  </w:rPr>
                  <w:t>债券</w:t>
                </w:r>
              </w:p>
              <w:p>
                <w:pPr>
                  <w:jc w:val="center"/>
                </w:pPr>
                <w:r>
                  <w:rPr>
                    <w:rFonts w:hint="eastAsia"/>
                  </w:rPr>
                  <w:t>名称</w:t>
                </w:r>
              </w:p>
            </w:tc>
          </w:sdtContent>
        </w:sdt>
        <w:sdt>
          <w:sdtPr>
            <w:tag w:val="_PLD_3305820c0a7b4304abdad6fc20766aa3"/>
            <w:id w:val="1394003438"/>
          </w:sdtPr>
          <w:sdtContent>
            <w:tc>
              <w:tcPr>
                <w:tcW w:w="568" w:type="dxa"/>
                <w:vAlign w:val="center"/>
              </w:tcPr>
              <w:p>
                <w:pPr>
                  <w:jc w:val="center"/>
                </w:pPr>
                <w:r>
                  <w:rPr>
                    <w:rFonts w:hint="eastAsia"/>
                  </w:rPr>
                  <w:t>面值（</w:t>
                </w:r>
                <w:sdt>
                  <w:sdtPr>
                    <w:rPr>
                      <w:rFonts w:hint="eastAsia"/>
                    </w:rPr>
                    <w:alias w:val="单位：应付债券面值"/>
                    <w:tag w:val="_GBC_db357e0250e543be9557b662713d7632"/>
                    <w:id w:val="-1323049430"/>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w:t>
                </w:r>
              </w:p>
            </w:tc>
          </w:sdtContent>
        </w:sdt>
        <w:tc>
          <w:tcPr>
            <w:tcW w:w="567" w:type="dxa"/>
            <w:vAlign w:val="center"/>
          </w:tcPr>
          <w:sdt>
            <w:sdtPr>
              <w:tag w:val="_PLD_cde8062fd35d4697ab79d366fd31de10"/>
              <w:id w:val="-1970275535"/>
            </w:sdtPr>
            <w:sdtContent>
              <w:p>
                <w:pPr>
                  <w:jc w:val="center"/>
                </w:pPr>
                <w:r>
                  <w:rPr>
                    <w:rFonts w:hint="eastAsia"/>
                  </w:rPr>
                  <w:t>票面利率（</w:t>
                </w:r>
                <w:r>
                  <w:rPr>
                    <w:rFonts w:hint="eastAsia"/>
                  </w:rPr>
                  <w:t>%</w:t>
                </w:r>
                <w:r>
                  <w:rPr>
                    <w:rFonts w:hint="eastAsia"/>
                  </w:rPr>
                  <w:t>）</w:t>
                </w:r>
              </w:p>
            </w:sdtContent>
          </w:sdt>
        </w:tc>
        <w:sdt>
          <w:sdtPr>
            <w:tag w:val="_PLD_ee6ba2e107ad4013b8b8d3efeae50c26"/>
            <w:id w:val="-208337903"/>
          </w:sdtPr>
          <w:sdtContent>
            <w:tc>
              <w:tcPr>
                <w:tcW w:w="1134" w:type="dxa"/>
                <w:vAlign w:val="center"/>
              </w:tcPr>
              <w:p>
                <w:pPr>
                  <w:jc w:val="center"/>
                </w:pPr>
                <w:r>
                  <w:rPr>
                    <w:rFonts w:hint="eastAsia"/>
                  </w:rPr>
                  <w:t>发行</w:t>
                </w:r>
              </w:p>
              <w:p>
                <w:pPr>
                  <w:jc w:val="center"/>
                </w:pPr>
                <w:r>
                  <w:rPr>
                    <w:rFonts w:hint="eastAsia"/>
                  </w:rPr>
                  <w:t>日期</w:t>
                </w:r>
              </w:p>
            </w:tc>
          </w:sdtContent>
        </w:sdt>
        <w:sdt>
          <w:sdtPr>
            <w:tag w:val="_PLD_124bbea948a54d48a0375b121ca28abc"/>
            <w:id w:val="1365793666"/>
          </w:sdtPr>
          <w:sdtContent>
            <w:tc>
              <w:tcPr>
                <w:tcW w:w="708" w:type="dxa"/>
                <w:vAlign w:val="center"/>
              </w:tcPr>
              <w:p>
                <w:pPr>
                  <w:jc w:val="center"/>
                </w:pPr>
                <w:r>
                  <w:rPr>
                    <w:rFonts w:hint="eastAsia"/>
                  </w:rPr>
                  <w:t>债券</w:t>
                </w:r>
              </w:p>
              <w:p>
                <w:pPr>
                  <w:jc w:val="center"/>
                </w:pPr>
                <w:r>
                  <w:rPr>
                    <w:rFonts w:hint="eastAsia"/>
                  </w:rPr>
                  <w:t>期限</w:t>
                </w:r>
              </w:p>
            </w:tc>
          </w:sdtContent>
        </w:sdt>
        <w:sdt>
          <w:sdtPr>
            <w:tag w:val="_PLD_7049ab93920145468e81fe6c529385fb"/>
            <w:id w:val="-662545172"/>
          </w:sdtPr>
          <w:sdtContent>
            <w:tc>
              <w:tcPr>
                <w:tcW w:w="1276" w:type="dxa"/>
                <w:vAlign w:val="center"/>
              </w:tcPr>
              <w:p>
                <w:pPr>
                  <w:jc w:val="center"/>
                </w:pPr>
                <w:r>
                  <w:rPr>
                    <w:rFonts w:hint="eastAsia"/>
                  </w:rPr>
                  <w:t>发行</w:t>
                </w:r>
              </w:p>
              <w:p>
                <w:pPr>
                  <w:jc w:val="center"/>
                </w:pPr>
                <w:r>
                  <w:rPr>
                    <w:rFonts w:hint="eastAsia"/>
                  </w:rPr>
                  <w:t>金额</w:t>
                </w:r>
              </w:p>
            </w:tc>
          </w:sdtContent>
        </w:sdt>
        <w:sdt>
          <w:sdtPr>
            <w:tag w:val="_PLD_38d9b1ec51834164a4568a000acee069"/>
            <w:id w:val="475661580"/>
          </w:sdtPr>
          <w:sdtContent>
            <w:tc>
              <w:tcPr>
                <w:tcW w:w="1276" w:type="dxa"/>
                <w:vAlign w:val="center"/>
              </w:tcPr>
              <w:p>
                <w:pPr>
                  <w:jc w:val="center"/>
                </w:pPr>
                <w:r>
                  <w:rPr>
                    <w:rFonts w:hint="eastAsia"/>
                  </w:rPr>
                  <w:t>期初</w:t>
                </w:r>
              </w:p>
              <w:p>
                <w:pPr>
                  <w:jc w:val="center"/>
                </w:pPr>
                <w:r>
                  <w:rPr>
                    <w:rFonts w:hint="eastAsia"/>
                  </w:rPr>
                  <w:t>余额</w:t>
                </w:r>
              </w:p>
            </w:tc>
          </w:sdtContent>
        </w:sdt>
        <w:sdt>
          <w:sdtPr>
            <w:tag w:val="_PLD_631bbacf370944efab46658f1d2b4f3d"/>
            <w:id w:val="-271706099"/>
          </w:sdtPr>
          <w:sdtContent>
            <w:tc>
              <w:tcPr>
                <w:tcW w:w="1417" w:type="dxa"/>
                <w:vAlign w:val="center"/>
              </w:tcPr>
              <w:p>
                <w:pPr>
                  <w:jc w:val="center"/>
                </w:pPr>
                <w:r>
                  <w:rPr>
                    <w:rFonts w:hint="eastAsia"/>
                  </w:rPr>
                  <w:t>本期</w:t>
                </w:r>
              </w:p>
              <w:p>
                <w:pPr>
                  <w:jc w:val="center"/>
                </w:pPr>
                <w:r>
                  <w:rPr>
                    <w:rFonts w:hint="eastAsia"/>
                  </w:rPr>
                  <w:t>发行</w:t>
                </w:r>
              </w:p>
            </w:tc>
          </w:sdtContent>
        </w:sdt>
        <w:sdt>
          <w:sdtPr>
            <w:tag w:val="_PLD_46ecadb6d93742c196106f528dc587fb"/>
            <w:id w:val="-47458911"/>
          </w:sdtPr>
          <w:sdtContent>
            <w:tc>
              <w:tcPr>
                <w:tcW w:w="1276" w:type="dxa"/>
                <w:vAlign w:val="center"/>
              </w:tcPr>
              <w:p>
                <w:pPr>
                  <w:jc w:val="center"/>
                </w:pPr>
                <w:r>
                  <w:rPr>
                    <w:rFonts w:hint="eastAsia"/>
                  </w:rPr>
                  <w:t>按面值计提利息</w:t>
                </w:r>
              </w:p>
            </w:tc>
          </w:sdtContent>
        </w:sdt>
        <w:sdt>
          <w:sdtPr>
            <w:tag w:val="_PLD_ae4bf5f0a7024d7494d06729dd783ba4"/>
            <w:id w:val="-376007257"/>
          </w:sdtPr>
          <w:sdtContent>
            <w:tc>
              <w:tcPr>
                <w:tcW w:w="992" w:type="dxa"/>
                <w:vAlign w:val="center"/>
              </w:tcPr>
              <w:p>
                <w:pPr>
                  <w:jc w:val="center"/>
                </w:pPr>
                <w:r>
                  <w:rPr>
                    <w:rFonts w:hint="eastAsia"/>
                  </w:rPr>
                  <w:t>溢折价摊销</w:t>
                </w:r>
              </w:p>
            </w:tc>
          </w:sdtContent>
        </w:sdt>
        <w:sdt>
          <w:sdtPr>
            <w:tag w:val="_PLD_4b5846bfb9664157a5fbfb5219160105"/>
            <w:id w:val="-1865744733"/>
          </w:sdtPr>
          <w:sdtContent>
            <w:tc>
              <w:tcPr>
                <w:tcW w:w="1134" w:type="dxa"/>
                <w:vAlign w:val="center"/>
              </w:tcPr>
              <w:p>
                <w:pPr>
                  <w:jc w:val="center"/>
                </w:pPr>
                <w:r>
                  <w:rPr>
                    <w:rFonts w:hint="eastAsia"/>
                  </w:rPr>
                  <w:t>本期</w:t>
                </w:r>
              </w:p>
              <w:p>
                <w:pPr>
                  <w:jc w:val="center"/>
                </w:pPr>
                <w:r>
                  <w:rPr>
                    <w:rFonts w:hint="eastAsia"/>
                  </w:rPr>
                  <w:t>偿还</w:t>
                </w:r>
              </w:p>
            </w:tc>
          </w:sdtContent>
        </w:sdt>
        <w:tc>
          <w:tcPr>
            <w:tcW w:w="1276" w:type="dxa"/>
            <w:vAlign w:val="center"/>
          </w:tcPr>
          <w:p>
            <w:pPr>
              <w:jc w:val="center"/>
            </w:pPr>
            <w:r>
              <w:rPr>
                <w:rFonts w:hint="eastAsia"/>
              </w:rPr>
              <w:t>本年赎回</w:t>
            </w:r>
          </w:p>
          <w:p>
            <w:pPr>
              <w:jc w:val="center"/>
            </w:pPr>
          </w:p>
        </w:tc>
        <w:tc>
          <w:tcPr>
            <w:tcW w:w="425" w:type="dxa"/>
            <w:vAlign w:val="center"/>
          </w:tcPr>
          <w:p>
            <w:pPr>
              <w:jc w:val="center"/>
            </w:pPr>
            <w:r>
              <w:rPr>
                <w:rFonts w:hint="eastAsia"/>
              </w:rPr>
              <w:t>外币报表折算差额</w:t>
            </w:r>
          </w:p>
        </w:tc>
        <w:tc>
          <w:tcPr>
            <w:tcW w:w="1276" w:type="dxa"/>
            <w:vAlign w:val="center"/>
          </w:tcPr>
          <w:p>
            <w:pPr>
              <w:jc w:val="center"/>
            </w:pPr>
            <w:r>
              <w:rPr>
                <w:rFonts w:hint="eastAsia"/>
              </w:rPr>
              <w:t>重分类</w:t>
            </w:r>
          </w:p>
        </w:tc>
        <w:sdt>
          <w:sdtPr>
            <w:tag w:val="_PLD_a12b5b0e009f4c31a176550ce24d537b"/>
            <w:id w:val="713155914"/>
          </w:sdtPr>
          <w:sdtContent>
            <w:tc>
              <w:tcPr>
                <w:tcW w:w="1276" w:type="dxa"/>
                <w:vAlign w:val="center"/>
              </w:tcPr>
              <w:p>
                <w:pPr>
                  <w:jc w:val="center"/>
                </w:pPr>
                <w:r>
                  <w:rPr>
                    <w:rFonts w:hint="eastAsia"/>
                  </w:rPr>
                  <w:t>期末</w:t>
                </w:r>
              </w:p>
              <w:p>
                <w:pPr>
                  <w:jc w:val="center"/>
                </w:pPr>
                <w:r>
                  <w:rPr>
                    <w:rFonts w:hint="eastAsia"/>
                  </w:rPr>
                  <w:t>余额</w:t>
                </w:r>
              </w:p>
            </w:tc>
          </w:sdtContent>
        </w:sdt>
        <w:tc>
          <w:tcPr>
            <w:tcW w:w="425" w:type="dxa"/>
            <w:vAlign w:val="center"/>
          </w:tcPr>
          <w:sdt>
            <w:sdtPr>
              <w:tag w:val="_PLD_fe946a005a854bd5b7b72ef369d885ff"/>
              <w:id w:val="-1394816412"/>
            </w:sdtPr>
            <w:sdtContent>
              <w:p>
                <w:pPr>
                  <w:jc w:val="center"/>
                </w:pPr>
                <w:r>
                  <w:rPr>
                    <w:rFonts w:hint="eastAsia"/>
                  </w:rPr>
                  <w:t>是否违约</w:t>
                </w:r>
              </w:p>
            </w:sdtContent>
          </w:sdt>
        </w:tc>
      </w:tr>
      <w:sdt>
        <w:sdtPr>
          <w:rPr>
            <w:rFonts w:ascii="宋体" w:hAnsi="宋体"/>
          </w:rPr>
          <w:alias w:val="应付债券明细"/>
          <w:tag w:val="_TUP_483a6814da9c434391de215e945c94f6"/>
          <w:id w:val="87203177"/>
        </w:sdtPr>
        <w:sdtContent>
          <w:tr>
            <w:trPr>
              <w:cantSplit/>
              <w:trHeight w:val="266"/>
            </w:trPr>
            <w:tc>
              <w:tcPr>
                <w:tcW w:w="851" w:type="dxa"/>
                <w:vAlign w:val="center"/>
              </w:tcPr>
              <w:p>
                <w:pPr>
                  <w:rPr>
                    <w:rFonts w:ascii="宋体" w:hAnsi="宋体"/>
                  </w:rPr>
                </w:pPr>
                <w:r>
                  <w:rPr>
                    <w:rFonts w:ascii="宋体" w:hAnsi="宋体"/>
                  </w:rPr>
                  <w:t>20</w:t>
                </w:r>
                <w:r>
                  <w:rPr>
                    <w:rFonts w:ascii="宋体" w:hAnsi="宋体" w:hint="eastAsia"/>
                  </w:rPr>
                  <w:t>兖煤</w:t>
                </w:r>
                <w:r>
                  <w:rPr>
                    <w:rFonts w:ascii="宋体" w:hAnsi="宋体"/>
                  </w:rPr>
                  <w:t>03</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4</w:t>
                </w:r>
              </w:p>
            </w:tc>
            <w:tc>
              <w:tcPr>
                <w:tcW w:w="1134" w:type="dxa"/>
                <w:vAlign w:val="center"/>
              </w:tcPr>
              <w:p>
                <w:pPr>
                  <w:jc w:val="right"/>
                  <w:rPr>
                    <w:rFonts w:ascii="宋体" w:hAnsi="宋体"/>
                  </w:rPr>
                </w:pPr>
                <w:r>
                  <w:rPr>
                    <w:rFonts w:ascii="宋体" w:hAnsi="宋体"/>
                  </w:rPr>
                  <w:t>2020-03-10</w:t>
                </w:r>
              </w:p>
            </w:tc>
            <w:tc>
              <w:tcPr>
                <w:tcW w:w="708" w:type="dxa"/>
                <w:vAlign w:val="center"/>
              </w:tcPr>
              <w:p>
                <w:pPr>
                  <w:rPr>
                    <w:rFonts w:ascii="宋体" w:hAnsi="宋体"/>
                  </w:rPr>
                </w:pPr>
                <w:r>
                  <w:rPr>
                    <w:rFonts w:ascii="宋体" w:hAnsi="宋体"/>
                  </w:rPr>
                  <w:t>10</w:t>
                </w:r>
                <w:r>
                  <w:rPr>
                    <w:rFonts w:ascii="宋体" w:hAnsi="宋体" w:hint="eastAsia"/>
                  </w:rPr>
                  <w:t>年</w:t>
                </w:r>
              </w:p>
            </w:tc>
            <w:tc>
              <w:tcPr>
                <w:tcW w:w="1276" w:type="dxa"/>
                <w:vAlign w:val="center"/>
              </w:tcPr>
              <w:p>
                <w:pPr>
                  <w:jc w:val="right"/>
                  <w:rPr>
                    <w:rFonts w:ascii="宋体" w:hAnsi="宋体"/>
                  </w:rPr>
                </w:pPr>
                <w:r>
                  <w:rPr>
                    <w:rFonts w:ascii="宋体" w:hAnsi="宋体"/>
                  </w:rPr>
                  <w:t>2,000,000</w:t>
                </w:r>
              </w:p>
            </w:tc>
            <w:tc>
              <w:tcPr>
                <w:tcW w:w="1276" w:type="dxa"/>
                <w:vAlign w:val="center"/>
              </w:tcPr>
              <w:p>
                <w:pPr>
                  <w:jc w:val="right"/>
                  <w:rPr>
                    <w:rFonts w:ascii="宋体" w:hAnsi="宋体"/>
                  </w:rPr>
                </w:pPr>
                <w:r>
                  <w:rPr>
                    <w:rFonts w:ascii="宋体" w:hAnsi="宋体"/>
                  </w:rPr>
                  <w:t>1,989,500</w:t>
                </w: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161,828</w:t>
                </w:r>
              </w:p>
            </w:tc>
            <w:tc>
              <w:tcPr>
                <w:tcW w:w="992" w:type="dxa"/>
                <w:vAlign w:val="center"/>
              </w:tcPr>
              <w:p>
                <w:pPr>
                  <w:jc w:val="right"/>
                  <w:rPr>
                    <w:rFonts w:ascii="宋体" w:hAnsi="宋体"/>
                  </w:rPr>
                </w:pPr>
                <w:r>
                  <w:rPr>
                    <w:rFonts w:ascii="宋体" w:hAnsi="宋体"/>
                  </w:rPr>
                  <w:t>2,000</w:t>
                </w:r>
              </w:p>
            </w:tc>
            <w:tc>
              <w:tcPr>
                <w:tcW w:w="1134" w:type="dxa"/>
                <w:vAlign w:val="center"/>
              </w:tcPr>
              <w:p>
                <w:pPr>
                  <w:jc w:val="right"/>
                  <w:rPr>
                    <w:rFonts w:ascii="宋体" w:hAnsi="宋体"/>
                  </w:rPr>
                </w:pPr>
                <w:r>
                  <w:rPr>
                    <w:rFonts w:ascii="宋体" w:hAnsi="宋体" w:hint="eastAsia"/>
                  </w:rPr>
                  <w:t>85,800</w:t>
                </w:r>
              </w:p>
            </w:tc>
            <w:sdt>
              <w:sdtPr>
                <w:rPr>
                  <w:rFonts w:ascii="宋体" w:hAnsi="宋体"/>
                </w:rPr>
                <w:alias w:val="本年赎回"/>
                <w:tag w:val="_GBC_c6c700cd95e4418f975d929190947081"/>
                <w:id w:val="-790745694"/>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76,028</w:t>
                </w:r>
              </w:p>
            </w:tc>
            <w:tc>
              <w:tcPr>
                <w:tcW w:w="1276" w:type="dxa"/>
                <w:vAlign w:val="center"/>
              </w:tcPr>
              <w:p>
                <w:pPr>
                  <w:jc w:val="right"/>
                  <w:rPr>
                    <w:rFonts w:ascii="宋体" w:hAnsi="宋体"/>
                  </w:rPr>
                </w:pPr>
                <w:r>
                  <w:rPr>
                    <w:rFonts w:ascii="宋体" w:hAnsi="宋体"/>
                  </w:rPr>
                  <w:t>1,991,500</w:t>
                </w:r>
              </w:p>
            </w:tc>
            <w:sdt>
              <w:sdtPr>
                <w:rPr>
                  <w:rFonts w:ascii="宋体" w:hAnsi="宋体"/>
                </w:rPr>
                <w:alias w:val="应付债券是否违约"/>
                <w:tag w:val="_GBC_b29c4c8797c84a3fa108403ac6b6e6df"/>
                <w:id w:val="-507990392"/>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948277779"/>
        </w:sdtPr>
        <w:sdtContent>
          <w:tr>
            <w:trPr>
              <w:cantSplit/>
              <w:trHeight w:val="266"/>
            </w:trPr>
            <w:tc>
              <w:tcPr>
                <w:tcW w:w="851" w:type="dxa"/>
                <w:vAlign w:val="center"/>
              </w:tcPr>
              <w:p>
                <w:pPr>
                  <w:rPr>
                    <w:rFonts w:ascii="宋体" w:hAnsi="宋体"/>
                  </w:rPr>
                </w:pPr>
                <w:r>
                  <w:rPr>
                    <w:rFonts w:ascii="宋体" w:hAnsi="宋体"/>
                  </w:rPr>
                  <w:t>21</w:t>
                </w:r>
                <w:r>
                  <w:rPr>
                    <w:rFonts w:ascii="宋体" w:hAnsi="宋体" w:hint="eastAsia"/>
                  </w:rPr>
                  <w:t>兖煤</w:t>
                </w:r>
                <w:r>
                  <w:rPr>
                    <w:rFonts w:ascii="宋体" w:hAnsi="宋体"/>
                  </w:rPr>
                  <w:t>02</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4</w:t>
                </w:r>
              </w:p>
            </w:tc>
            <w:tc>
              <w:tcPr>
                <w:tcW w:w="1134" w:type="dxa"/>
                <w:vAlign w:val="center"/>
              </w:tcPr>
              <w:p>
                <w:pPr>
                  <w:jc w:val="right"/>
                  <w:rPr>
                    <w:rFonts w:ascii="宋体" w:hAnsi="宋体"/>
                  </w:rPr>
                </w:pPr>
                <w:r>
                  <w:rPr>
                    <w:rFonts w:ascii="宋体" w:hAnsi="宋体"/>
                  </w:rPr>
                  <w:t>2021-05-28</w:t>
                </w:r>
              </w:p>
            </w:tc>
            <w:tc>
              <w:tcPr>
                <w:tcW w:w="708" w:type="dxa"/>
                <w:vAlign w:val="center"/>
              </w:tcPr>
              <w:p>
                <w:pPr>
                  <w:rPr>
                    <w:rFonts w:ascii="宋体" w:hAnsi="宋体"/>
                  </w:rPr>
                </w:pPr>
                <w:r>
                  <w:rPr>
                    <w:rFonts w:ascii="宋体" w:hAnsi="宋体"/>
                  </w:rPr>
                  <w:t>5</w:t>
                </w:r>
                <w:r>
                  <w:rPr>
                    <w:rFonts w:ascii="宋体" w:hAnsi="宋体" w:hint="eastAsia"/>
                  </w:rPr>
                  <w:t>年</w:t>
                </w:r>
              </w:p>
            </w:tc>
            <w:tc>
              <w:tcPr>
                <w:tcW w:w="1276" w:type="dxa"/>
                <w:vAlign w:val="center"/>
              </w:tcPr>
              <w:p>
                <w:pPr>
                  <w:jc w:val="right"/>
                  <w:rPr>
                    <w:rFonts w:ascii="宋体" w:hAnsi="宋体"/>
                  </w:rPr>
                </w:pPr>
                <w:r>
                  <w:rPr>
                    <w:rFonts w:ascii="宋体" w:hAnsi="宋体"/>
                  </w:rPr>
                  <w:t>1,000,000</w:t>
                </w:r>
              </w:p>
            </w:tc>
            <w:tc>
              <w:tcPr>
                <w:tcW w:w="1276" w:type="dxa"/>
                <w:vAlign w:val="center"/>
              </w:tcPr>
              <w:p>
                <w:pPr>
                  <w:jc w:val="right"/>
                  <w:rPr>
                    <w:rFonts w:ascii="宋体" w:hAnsi="宋体"/>
                  </w:rPr>
                </w:pPr>
                <w:r>
                  <w:rPr>
                    <w:rFonts w:ascii="宋体" w:hAnsi="宋体"/>
                  </w:rPr>
                  <w:t>999,333</w:t>
                </w: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68,145</w:t>
                </w:r>
              </w:p>
            </w:tc>
            <w:tc>
              <w:tcPr>
                <w:tcW w:w="992" w:type="dxa"/>
                <w:vAlign w:val="center"/>
              </w:tcPr>
              <w:p>
                <w:pPr>
                  <w:jc w:val="right"/>
                  <w:rPr>
                    <w:rFonts w:ascii="宋体" w:hAnsi="宋体"/>
                  </w:rPr>
                </w:pPr>
                <w:r>
                  <w:rPr>
                    <w:rFonts w:ascii="宋体" w:hAnsi="宋体"/>
                  </w:rPr>
                  <w:t>500</w:t>
                </w:r>
              </w:p>
            </w:tc>
            <w:tc>
              <w:tcPr>
                <w:tcW w:w="1134" w:type="dxa"/>
                <w:vAlign w:val="center"/>
              </w:tcPr>
              <w:p>
                <w:pPr>
                  <w:jc w:val="right"/>
                  <w:rPr>
                    <w:rFonts w:ascii="宋体" w:hAnsi="宋体"/>
                  </w:rPr>
                </w:pPr>
                <w:r>
                  <w:rPr>
                    <w:rFonts w:ascii="宋体" w:hAnsi="宋体"/>
                  </w:rPr>
                  <w:t>41,300</w:t>
                </w:r>
              </w:p>
            </w:tc>
            <w:sdt>
              <w:sdtPr>
                <w:rPr>
                  <w:rFonts w:ascii="宋体" w:hAnsi="宋体"/>
                </w:rPr>
                <w:alias w:val="本年赎回"/>
                <w:tag w:val="_GBC_c6c700cd95e4418f975d929190947081"/>
                <w:id w:val="789168090"/>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1,026,678</w:t>
                </w:r>
              </w:p>
            </w:tc>
            <w:tc>
              <w:tcPr>
                <w:tcW w:w="1276" w:type="dxa"/>
                <w:vAlign w:val="center"/>
              </w:tcPr>
              <w:p>
                <w:pPr>
                  <w:jc w:val="right"/>
                  <w:rPr>
                    <w:rFonts w:ascii="宋体" w:hAnsi="宋体"/>
                  </w:rPr>
                </w:pPr>
              </w:p>
            </w:tc>
            <w:sdt>
              <w:sdtPr>
                <w:rPr>
                  <w:rFonts w:ascii="宋体" w:hAnsi="宋体"/>
                </w:rPr>
                <w:alias w:val="应付债券是否违约"/>
                <w:tag w:val="_GBC_b29c4c8797c84a3fa108403ac6b6e6df"/>
                <w:id w:val="2003776405"/>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1468819151"/>
        </w:sdtPr>
        <w:sdtContent>
          <w:tr>
            <w:trPr>
              <w:cantSplit/>
              <w:trHeight w:val="266"/>
            </w:trPr>
            <w:tc>
              <w:tcPr>
                <w:tcW w:w="851" w:type="dxa"/>
                <w:vAlign w:val="center"/>
              </w:tcPr>
              <w:p>
                <w:pPr>
                  <w:rPr>
                    <w:rFonts w:ascii="宋体" w:hAnsi="宋体"/>
                  </w:rPr>
                </w:pPr>
                <w:r>
                  <w:rPr>
                    <w:rFonts w:ascii="宋体" w:hAnsi="宋体"/>
                  </w:rPr>
                  <w:t>23</w:t>
                </w:r>
                <w:r>
                  <w:rPr>
                    <w:rFonts w:ascii="宋体" w:hAnsi="宋体" w:hint="eastAsia"/>
                  </w:rPr>
                  <w:t>兖煤</w:t>
                </w:r>
                <w:r>
                  <w:rPr>
                    <w:rFonts w:ascii="宋体" w:hAnsi="宋体"/>
                  </w:rPr>
                  <w:t>01</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3</w:t>
                </w:r>
              </w:p>
            </w:tc>
            <w:tc>
              <w:tcPr>
                <w:tcW w:w="1134" w:type="dxa"/>
                <w:vAlign w:val="center"/>
              </w:tcPr>
              <w:p>
                <w:pPr>
                  <w:jc w:val="right"/>
                  <w:rPr>
                    <w:rFonts w:ascii="宋体" w:hAnsi="宋体"/>
                  </w:rPr>
                </w:pPr>
                <w:r>
                  <w:rPr>
                    <w:rFonts w:ascii="宋体" w:hAnsi="宋体"/>
                  </w:rPr>
                  <w:t>2023-05-25</w:t>
                </w:r>
              </w:p>
            </w:tc>
            <w:tc>
              <w:tcPr>
                <w:tcW w:w="708" w:type="dxa"/>
                <w:vAlign w:val="center"/>
              </w:tcPr>
              <w:p>
                <w:pPr>
                  <w:rPr>
                    <w:rFonts w:ascii="宋体" w:hAnsi="宋体"/>
                  </w:rPr>
                </w:pPr>
                <w:r>
                  <w:rPr>
                    <w:rFonts w:ascii="宋体" w:hAnsi="宋体"/>
                  </w:rPr>
                  <w:t>5</w:t>
                </w:r>
                <w:r>
                  <w:rPr>
                    <w:rFonts w:ascii="宋体" w:hAnsi="宋体" w:hint="eastAsia"/>
                  </w:rPr>
                  <w:t>年</w:t>
                </w:r>
              </w:p>
            </w:tc>
            <w:tc>
              <w:tcPr>
                <w:tcW w:w="1276" w:type="dxa"/>
                <w:vAlign w:val="center"/>
              </w:tcPr>
              <w:p>
                <w:pPr>
                  <w:jc w:val="right"/>
                  <w:rPr>
                    <w:rFonts w:ascii="宋体" w:hAnsi="宋体"/>
                  </w:rPr>
                </w:pPr>
                <w:r>
                  <w:rPr>
                    <w:rFonts w:ascii="宋体" w:hAnsi="宋体"/>
                  </w:rPr>
                  <w:t>1,000,000</w:t>
                </w:r>
              </w:p>
            </w:tc>
            <w:tc>
              <w:tcPr>
                <w:tcW w:w="1276" w:type="dxa"/>
                <w:vAlign w:val="center"/>
              </w:tcPr>
              <w:p>
                <w:pPr>
                  <w:jc w:val="right"/>
                  <w:rPr>
                    <w:rFonts w:ascii="宋体" w:hAnsi="宋体"/>
                  </w:rPr>
                </w:pPr>
                <w:r>
                  <w:rPr>
                    <w:rFonts w:ascii="宋体" w:hAnsi="宋体"/>
                  </w:rPr>
                  <w:t>999,333</w:t>
                </w: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54,646</w:t>
                </w:r>
              </w:p>
            </w:tc>
            <w:tc>
              <w:tcPr>
                <w:tcW w:w="992" w:type="dxa"/>
                <w:vAlign w:val="center"/>
              </w:tcPr>
              <w:p>
                <w:pPr>
                  <w:jc w:val="right"/>
                  <w:rPr>
                    <w:rFonts w:ascii="宋体" w:hAnsi="宋体"/>
                  </w:rPr>
                </w:pPr>
                <w:r>
                  <w:rPr>
                    <w:rFonts w:ascii="宋体" w:hAnsi="宋体"/>
                  </w:rPr>
                  <w:t>200</w:t>
                </w:r>
              </w:p>
            </w:tc>
            <w:tc>
              <w:tcPr>
                <w:tcW w:w="1134" w:type="dxa"/>
                <w:vAlign w:val="center"/>
              </w:tcPr>
              <w:p>
                <w:pPr>
                  <w:jc w:val="right"/>
                  <w:rPr>
                    <w:rFonts w:ascii="宋体" w:hAnsi="宋体"/>
                  </w:rPr>
                </w:pPr>
                <w:r>
                  <w:rPr>
                    <w:rFonts w:ascii="宋体" w:hAnsi="宋体"/>
                  </w:rPr>
                  <w:t>33,400</w:t>
                </w:r>
              </w:p>
            </w:tc>
            <w:sdt>
              <w:sdtPr>
                <w:rPr>
                  <w:rFonts w:ascii="宋体" w:hAnsi="宋体"/>
                </w:rPr>
                <w:alias w:val="本年赎回"/>
                <w:tag w:val="_GBC_c6c700cd95e4418f975d929190947081"/>
                <w:id w:val="1024751777"/>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21,246</w:t>
                </w:r>
              </w:p>
            </w:tc>
            <w:tc>
              <w:tcPr>
                <w:tcW w:w="1276" w:type="dxa"/>
                <w:vAlign w:val="center"/>
              </w:tcPr>
              <w:p>
                <w:pPr>
                  <w:jc w:val="right"/>
                  <w:rPr>
                    <w:rFonts w:ascii="宋体" w:hAnsi="宋体"/>
                  </w:rPr>
                </w:pPr>
                <w:r>
                  <w:rPr>
                    <w:rFonts w:ascii="宋体" w:hAnsi="宋体"/>
                  </w:rPr>
                  <w:t>999,533</w:t>
                </w:r>
              </w:p>
            </w:tc>
            <w:sdt>
              <w:sdtPr>
                <w:rPr>
                  <w:rFonts w:ascii="宋体" w:hAnsi="宋体"/>
                </w:rPr>
                <w:alias w:val="应付债券是否违约"/>
                <w:tag w:val="_GBC_b29c4c8797c84a3fa108403ac6b6e6df"/>
                <w:id w:val="176083209"/>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1870070037"/>
        </w:sdtPr>
        <w:sdtContent>
          <w:tr>
            <w:trPr>
              <w:cantSplit/>
              <w:trHeight w:val="266"/>
            </w:trPr>
            <w:tc>
              <w:tcPr>
                <w:tcW w:w="851" w:type="dxa"/>
                <w:vAlign w:val="center"/>
              </w:tcPr>
              <w:p>
                <w:pPr>
                  <w:rPr>
                    <w:rFonts w:ascii="宋体" w:hAnsi="宋体"/>
                  </w:rPr>
                </w:pPr>
                <w:r>
                  <w:rPr>
                    <w:rFonts w:ascii="宋体" w:hAnsi="宋体"/>
                  </w:rPr>
                  <w:t>23</w:t>
                </w:r>
                <w:r>
                  <w:rPr>
                    <w:rFonts w:ascii="宋体" w:hAnsi="宋体" w:hint="eastAsia"/>
                  </w:rPr>
                  <w:t>兖煤</w:t>
                </w:r>
                <w:r>
                  <w:rPr>
                    <w:rFonts w:ascii="宋体" w:hAnsi="宋体"/>
                  </w:rPr>
                  <w:t>02</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4</w:t>
                </w:r>
              </w:p>
            </w:tc>
            <w:tc>
              <w:tcPr>
                <w:tcW w:w="1134" w:type="dxa"/>
                <w:vAlign w:val="center"/>
              </w:tcPr>
              <w:p>
                <w:pPr>
                  <w:jc w:val="right"/>
                  <w:rPr>
                    <w:rFonts w:ascii="宋体" w:hAnsi="宋体"/>
                  </w:rPr>
                </w:pPr>
                <w:r>
                  <w:rPr>
                    <w:rFonts w:ascii="宋体" w:hAnsi="宋体"/>
                  </w:rPr>
                  <w:t>2023-05-25</w:t>
                </w:r>
              </w:p>
            </w:tc>
            <w:tc>
              <w:tcPr>
                <w:tcW w:w="708" w:type="dxa"/>
                <w:vAlign w:val="center"/>
              </w:tcPr>
              <w:p>
                <w:pPr>
                  <w:rPr>
                    <w:rFonts w:ascii="宋体" w:hAnsi="宋体"/>
                  </w:rPr>
                </w:pPr>
                <w:r>
                  <w:rPr>
                    <w:rFonts w:ascii="宋体" w:hAnsi="宋体"/>
                  </w:rPr>
                  <w:t>10</w:t>
                </w:r>
                <w:r>
                  <w:rPr>
                    <w:rFonts w:ascii="宋体" w:hAnsi="宋体" w:hint="eastAsia"/>
                  </w:rPr>
                  <w:t>年</w:t>
                </w:r>
              </w:p>
            </w:tc>
            <w:tc>
              <w:tcPr>
                <w:tcW w:w="1276" w:type="dxa"/>
                <w:vAlign w:val="center"/>
              </w:tcPr>
              <w:p>
                <w:pPr>
                  <w:jc w:val="right"/>
                  <w:rPr>
                    <w:rFonts w:ascii="宋体" w:hAnsi="宋体"/>
                  </w:rPr>
                </w:pPr>
                <w:r>
                  <w:rPr>
                    <w:rFonts w:ascii="宋体" w:hAnsi="宋体"/>
                  </w:rPr>
                  <w:t>2,000,000</w:t>
                </w:r>
              </w:p>
            </w:tc>
            <w:tc>
              <w:tcPr>
                <w:tcW w:w="1276" w:type="dxa"/>
                <w:vAlign w:val="center"/>
              </w:tcPr>
              <w:p>
                <w:pPr>
                  <w:jc w:val="right"/>
                  <w:rPr>
                    <w:rFonts w:ascii="宋体" w:hAnsi="宋体"/>
                  </w:rPr>
                </w:pPr>
                <w:r>
                  <w:rPr>
                    <w:rFonts w:ascii="宋体" w:hAnsi="宋体"/>
                  </w:rPr>
                  <w:t>1,996,667</w:t>
                </w: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124,344</w:t>
                </w:r>
              </w:p>
            </w:tc>
            <w:tc>
              <w:tcPr>
                <w:tcW w:w="992" w:type="dxa"/>
                <w:vAlign w:val="center"/>
              </w:tcPr>
              <w:p>
                <w:pPr>
                  <w:jc w:val="right"/>
                  <w:rPr>
                    <w:rFonts w:ascii="宋体" w:hAnsi="宋体"/>
                  </w:rPr>
                </w:pPr>
                <w:r>
                  <w:rPr>
                    <w:rFonts w:ascii="宋体" w:hAnsi="宋体"/>
                  </w:rPr>
                  <w:t>400</w:t>
                </w:r>
              </w:p>
            </w:tc>
            <w:tc>
              <w:tcPr>
                <w:tcW w:w="1134" w:type="dxa"/>
                <w:vAlign w:val="center"/>
              </w:tcPr>
              <w:p>
                <w:pPr>
                  <w:jc w:val="right"/>
                  <w:rPr>
                    <w:rFonts w:ascii="宋体" w:hAnsi="宋体"/>
                  </w:rPr>
                </w:pPr>
                <w:r>
                  <w:rPr>
                    <w:rFonts w:ascii="宋体" w:hAnsi="宋体"/>
                  </w:rPr>
                  <w:t>76,000</w:t>
                </w:r>
              </w:p>
            </w:tc>
            <w:sdt>
              <w:sdtPr>
                <w:rPr>
                  <w:rFonts w:ascii="宋体" w:hAnsi="宋体"/>
                </w:rPr>
                <w:alias w:val="本年赎回"/>
                <w:tag w:val="_GBC_c6c700cd95e4418f975d929190947081"/>
                <w:id w:val="1187793569"/>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48,344</w:t>
                </w:r>
              </w:p>
            </w:tc>
            <w:tc>
              <w:tcPr>
                <w:tcW w:w="1276" w:type="dxa"/>
                <w:vAlign w:val="center"/>
              </w:tcPr>
              <w:p>
                <w:pPr>
                  <w:jc w:val="right"/>
                  <w:rPr>
                    <w:rFonts w:ascii="宋体" w:hAnsi="宋体"/>
                  </w:rPr>
                </w:pPr>
                <w:r>
                  <w:rPr>
                    <w:rFonts w:ascii="宋体" w:hAnsi="宋体"/>
                  </w:rPr>
                  <w:t>1,997,067</w:t>
                </w:r>
              </w:p>
            </w:tc>
            <w:sdt>
              <w:sdtPr>
                <w:rPr>
                  <w:rFonts w:ascii="宋体" w:hAnsi="宋体"/>
                </w:rPr>
                <w:alias w:val="应付债券是否违约"/>
                <w:tag w:val="_GBC_b29c4c8797c84a3fa108403ac6b6e6df"/>
                <w:id w:val="1519663390"/>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601772426"/>
        </w:sdtPr>
        <w:sdtContent>
          <w:tr>
            <w:trPr>
              <w:cantSplit/>
              <w:trHeight w:val="266"/>
            </w:trPr>
            <w:tc>
              <w:tcPr>
                <w:tcW w:w="851" w:type="dxa"/>
                <w:vAlign w:val="center"/>
              </w:tcPr>
              <w:p>
                <w:pPr>
                  <w:rPr>
                    <w:rFonts w:ascii="宋体" w:hAnsi="宋体"/>
                  </w:rPr>
                </w:pPr>
                <w:r>
                  <w:rPr>
                    <w:rFonts w:ascii="宋体" w:hAnsi="宋体"/>
                  </w:rPr>
                  <w:t>23</w:t>
                </w:r>
                <w:r>
                  <w:rPr>
                    <w:rFonts w:ascii="宋体" w:hAnsi="宋体" w:hint="eastAsia"/>
                  </w:rPr>
                  <w:t>兖煤</w:t>
                </w:r>
                <w:r>
                  <w:rPr>
                    <w:rFonts w:ascii="宋体" w:hAnsi="宋体"/>
                  </w:rPr>
                  <w:t>04</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4</w:t>
                </w:r>
              </w:p>
            </w:tc>
            <w:tc>
              <w:tcPr>
                <w:tcW w:w="1134" w:type="dxa"/>
                <w:vAlign w:val="center"/>
              </w:tcPr>
              <w:p>
                <w:pPr>
                  <w:jc w:val="right"/>
                  <w:rPr>
                    <w:rFonts w:ascii="宋体" w:hAnsi="宋体"/>
                  </w:rPr>
                </w:pPr>
                <w:r>
                  <w:rPr>
                    <w:rFonts w:ascii="宋体" w:hAnsi="宋体"/>
                  </w:rPr>
                  <w:t>2023-06-15</w:t>
                </w:r>
              </w:p>
            </w:tc>
            <w:tc>
              <w:tcPr>
                <w:tcW w:w="708" w:type="dxa"/>
                <w:vAlign w:val="center"/>
              </w:tcPr>
              <w:p>
                <w:pPr>
                  <w:rPr>
                    <w:rFonts w:ascii="宋体" w:hAnsi="宋体"/>
                  </w:rPr>
                </w:pPr>
                <w:r>
                  <w:rPr>
                    <w:rFonts w:ascii="宋体" w:hAnsi="宋体"/>
                  </w:rPr>
                  <w:t>10</w:t>
                </w:r>
                <w:r>
                  <w:rPr>
                    <w:rFonts w:ascii="宋体" w:hAnsi="宋体" w:hint="eastAsia"/>
                  </w:rPr>
                  <w:t>年</w:t>
                </w:r>
              </w:p>
            </w:tc>
            <w:tc>
              <w:tcPr>
                <w:tcW w:w="1276" w:type="dxa"/>
                <w:vAlign w:val="center"/>
              </w:tcPr>
              <w:p>
                <w:pPr>
                  <w:jc w:val="right"/>
                  <w:rPr>
                    <w:rFonts w:ascii="宋体" w:hAnsi="宋体"/>
                  </w:rPr>
                </w:pPr>
                <w:r>
                  <w:rPr>
                    <w:rFonts w:ascii="宋体" w:hAnsi="宋体"/>
                  </w:rPr>
                  <w:t>2,000,000</w:t>
                </w:r>
              </w:p>
            </w:tc>
            <w:tc>
              <w:tcPr>
                <w:tcW w:w="1276" w:type="dxa"/>
                <w:vAlign w:val="center"/>
              </w:tcPr>
              <w:p>
                <w:pPr>
                  <w:jc w:val="right"/>
                  <w:rPr>
                    <w:rFonts w:ascii="宋体" w:hAnsi="宋体"/>
                  </w:rPr>
                </w:pPr>
                <w:r>
                  <w:rPr>
                    <w:rFonts w:ascii="宋体" w:hAnsi="宋体"/>
                  </w:rPr>
                  <w:t>1,996,633</w:t>
                </w: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118,333</w:t>
                </w:r>
              </w:p>
            </w:tc>
            <w:tc>
              <w:tcPr>
                <w:tcW w:w="992" w:type="dxa"/>
                <w:vAlign w:val="center"/>
              </w:tcPr>
              <w:p>
                <w:pPr>
                  <w:jc w:val="right"/>
                  <w:rPr>
                    <w:rFonts w:ascii="宋体" w:hAnsi="宋体"/>
                  </w:rPr>
                </w:pPr>
                <w:r>
                  <w:rPr>
                    <w:rFonts w:ascii="宋体" w:hAnsi="宋体"/>
                  </w:rPr>
                  <w:t>400</w:t>
                </w:r>
              </w:p>
            </w:tc>
            <w:tc>
              <w:tcPr>
                <w:tcW w:w="1134" w:type="dxa"/>
                <w:vAlign w:val="center"/>
              </w:tcPr>
              <w:p>
                <w:pPr>
                  <w:jc w:val="right"/>
                  <w:rPr>
                    <w:rFonts w:ascii="宋体" w:hAnsi="宋体"/>
                  </w:rPr>
                </w:pPr>
                <w:r>
                  <w:rPr>
                    <w:rFonts w:ascii="宋体" w:hAnsi="宋体"/>
                  </w:rPr>
                  <w:t>75,000</w:t>
                </w:r>
              </w:p>
            </w:tc>
            <w:sdt>
              <w:sdtPr>
                <w:rPr>
                  <w:rFonts w:ascii="宋体" w:hAnsi="宋体"/>
                </w:rPr>
                <w:alias w:val="本年赎回"/>
                <w:tag w:val="_GBC_c6c700cd95e4418f975d929190947081"/>
                <w:id w:val="-186916574"/>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43,333</w:t>
                </w:r>
              </w:p>
            </w:tc>
            <w:tc>
              <w:tcPr>
                <w:tcW w:w="1276" w:type="dxa"/>
                <w:vAlign w:val="center"/>
              </w:tcPr>
              <w:p>
                <w:pPr>
                  <w:jc w:val="right"/>
                  <w:rPr>
                    <w:rFonts w:ascii="宋体" w:hAnsi="宋体"/>
                  </w:rPr>
                </w:pPr>
                <w:r>
                  <w:rPr>
                    <w:rFonts w:ascii="宋体" w:hAnsi="宋体"/>
                  </w:rPr>
                  <w:t>1,997,033</w:t>
                </w:r>
              </w:p>
            </w:tc>
            <w:sdt>
              <w:sdtPr>
                <w:rPr>
                  <w:rFonts w:ascii="宋体" w:hAnsi="宋体"/>
                </w:rPr>
                <w:alias w:val="应付债券是否违约"/>
                <w:tag w:val="_GBC_b29c4c8797c84a3fa108403ac6b6e6df"/>
                <w:id w:val="1068310997"/>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2102166568"/>
        </w:sdtPr>
        <w:sdtContent>
          <w:tr>
            <w:trPr>
              <w:cantSplit/>
              <w:trHeight w:val="266"/>
            </w:trPr>
            <w:tc>
              <w:tcPr>
                <w:tcW w:w="851" w:type="dxa"/>
                <w:vAlign w:val="center"/>
              </w:tcPr>
              <w:p>
                <w:pPr>
                  <w:rPr>
                    <w:rFonts w:ascii="宋体" w:hAnsi="宋体"/>
                  </w:rPr>
                </w:pPr>
                <w:r>
                  <w:rPr>
                    <w:rFonts w:ascii="宋体" w:hAnsi="宋体"/>
                  </w:rPr>
                  <w:t>24</w:t>
                </w:r>
                <w:r>
                  <w:rPr>
                    <w:rFonts w:ascii="宋体" w:hAnsi="宋体" w:hint="eastAsia"/>
                  </w:rPr>
                  <w:t>兖矿</w:t>
                </w:r>
                <w:r>
                  <w:rPr>
                    <w:rFonts w:ascii="宋体" w:hAnsi="宋体"/>
                  </w:rPr>
                  <w:t>K1</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3</w:t>
                </w:r>
              </w:p>
            </w:tc>
            <w:tc>
              <w:tcPr>
                <w:tcW w:w="1134" w:type="dxa"/>
                <w:vAlign w:val="center"/>
              </w:tcPr>
              <w:p>
                <w:pPr>
                  <w:jc w:val="right"/>
                  <w:rPr>
                    <w:rFonts w:ascii="宋体" w:hAnsi="宋体"/>
                  </w:rPr>
                </w:pPr>
                <w:r>
                  <w:rPr>
                    <w:rFonts w:ascii="宋体" w:hAnsi="宋体"/>
                  </w:rPr>
                  <w:t>2024-03-13</w:t>
                </w:r>
              </w:p>
            </w:tc>
            <w:tc>
              <w:tcPr>
                <w:tcW w:w="708" w:type="dxa"/>
                <w:vAlign w:val="center"/>
              </w:tcPr>
              <w:p>
                <w:pPr>
                  <w:rPr>
                    <w:rFonts w:ascii="宋体" w:hAnsi="宋体"/>
                  </w:rPr>
                </w:pPr>
                <w:r>
                  <w:rPr>
                    <w:rFonts w:ascii="宋体" w:hAnsi="宋体"/>
                  </w:rPr>
                  <w:t>10</w:t>
                </w:r>
                <w:r>
                  <w:rPr>
                    <w:rFonts w:ascii="宋体" w:hAnsi="宋体" w:hint="eastAsia"/>
                  </w:rPr>
                  <w:t>年</w:t>
                </w:r>
              </w:p>
            </w:tc>
            <w:tc>
              <w:tcPr>
                <w:tcW w:w="1276"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r>
                  <w:rPr>
                    <w:rFonts w:ascii="宋体" w:hAnsi="宋体"/>
                  </w:rPr>
                  <w:t>2,994,500</w:t>
                </w: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165,640</w:t>
                </w:r>
              </w:p>
            </w:tc>
            <w:tc>
              <w:tcPr>
                <w:tcW w:w="992" w:type="dxa"/>
                <w:vAlign w:val="center"/>
              </w:tcPr>
              <w:p>
                <w:pPr>
                  <w:jc w:val="right"/>
                  <w:rPr>
                    <w:rFonts w:ascii="宋体" w:hAnsi="宋体"/>
                  </w:rPr>
                </w:pPr>
                <w:r>
                  <w:rPr>
                    <w:rFonts w:ascii="宋体" w:hAnsi="宋体"/>
                  </w:rPr>
                  <w:t>-4,800</w:t>
                </w:r>
              </w:p>
            </w:tc>
            <w:tc>
              <w:tcPr>
                <w:tcW w:w="1134" w:type="dxa"/>
                <w:vAlign w:val="center"/>
              </w:tcPr>
              <w:p>
                <w:pPr>
                  <w:jc w:val="right"/>
                  <w:rPr>
                    <w:rFonts w:ascii="宋体" w:hAnsi="宋体"/>
                  </w:rPr>
                </w:pPr>
                <w:r>
                  <w:rPr>
                    <w:rFonts w:ascii="宋体" w:hAnsi="宋体"/>
                  </w:rPr>
                  <w:t>90,900</w:t>
                </w:r>
              </w:p>
            </w:tc>
            <w:sdt>
              <w:sdtPr>
                <w:rPr>
                  <w:rFonts w:ascii="宋体" w:hAnsi="宋体"/>
                </w:rPr>
                <w:alias w:val="本年赎回"/>
                <w:tag w:val="_GBC_c6c700cd95e4418f975d929190947081"/>
                <w:id w:val="1940722001"/>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74,740</w:t>
                </w:r>
              </w:p>
            </w:tc>
            <w:tc>
              <w:tcPr>
                <w:tcW w:w="1276" w:type="dxa"/>
                <w:vAlign w:val="center"/>
              </w:tcPr>
              <w:p>
                <w:pPr>
                  <w:jc w:val="right"/>
                  <w:rPr>
                    <w:rFonts w:ascii="宋体" w:hAnsi="宋体"/>
                  </w:rPr>
                </w:pPr>
                <w:r>
                  <w:rPr>
                    <w:rFonts w:ascii="宋体" w:hAnsi="宋体"/>
                  </w:rPr>
                  <w:t>2,989,700</w:t>
                </w:r>
              </w:p>
            </w:tc>
            <w:sdt>
              <w:sdtPr>
                <w:rPr>
                  <w:rFonts w:ascii="宋体" w:hAnsi="宋体"/>
                </w:rPr>
                <w:alias w:val="应付债券是否违约"/>
                <w:tag w:val="_GBC_b29c4c8797c84a3fa108403ac6b6e6df"/>
                <w:id w:val="-1971188850"/>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1411735080"/>
        </w:sdtPr>
        <w:sdtContent>
          <w:tr>
            <w:trPr>
              <w:cantSplit/>
              <w:trHeight w:val="266"/>
            </w:trPr>
            <w:tc>
              <w:tcPr>
                <w:tcW w:w="851" w:type="dxa"/>
                <w:vAlign w:val="center"/>
              </w:tcPr>
              <w:p>
                <w:pPr>
                  <w:rPr>
                    <w:rFonts w:ascii="宋体" w:hAnsi="宋体"/>
                  </w:rPr>
                </w:pPr>
                <w:r>
                  <w:rPr>
                    <w:rFonts w:ascii="宋体" w:hAnsi="宋体"/>
                  </w:rPr>
                  <w:t>24</w:t>
                </w:r>
                <w:r>
                  <w:rPr>
                    <w:rFonts w:ascii="宋体" w:hAnsi="宋体" w:hint="eastAsia"/>
                  </w:rPr>
                  <w:t>兖矿</w:t>
                </w:r>
                <w:r>
                  <w:rPr>
                    <w:rFonts w:ascii="宋体" w:hAnsi="宋体"/>
                  </w:rPr>
                  <w:t>K3</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2</w:t>
                </w:r>
              </w:p>
            </w:tc>
            <w:tc>
              <w:tcPr>
                <w:tcW w:w="1134" w:type="dxa"/>
                <w:vAlign w:val="center"/>
              </w:tcPr>
              <w:p>
                <w:pPr>
                  <w:jc w:val="right"/>
                  <w:rPr>
                    <w:rFonts w:ascii="宋体" w:hAnsi="宋体"/>
                  </w:rPr>
                </w:pPr>
                <w:r>
                  <w:rPr>
                    <w:rFonts w:ascii="宋体" w:hAnsi="宋体"/>
                  </w:rPr>
                  <w:t>2024-08-02</w:t>
                </w:r>
              </w:p>
            </w:tc>
            <w:tc>
              <w:tcPr>
                <w:tcW w:w="708" w:type="dxa"/>
                <w:vAlign w:val="center"/>
              </w:tcPr>
              <w:p>
                <w:pPr>
                  <w:rPr>
                    <w:rFonts w:ascii="宋体" w:hAnsi="宋体"/>
                  </w:rPr>
                </w:pPr>
                <w:r>
                  <w:rPr>
                    <w:rFonts w:ascii="宋体" w:hAnsi="宋体"/>
                  </w:rPr>
                  <w:t>3</w:t>
                </w:r>
                <w:r>
                  <w:rPr>
                    <w:rFonts w:ascii="宋体" w:hAnsi="宋体" w:hint="eastAsia"/>
                  </w:rPr>
                  <w:t>年</w:t>
                </w:r>
              </w:p>
            </w:tc>
            <w:tc>
              <w:tcPr>
                <w:tcW w:w="1276"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r>
                  <w:rPr>
                    <w:rFonts w:ascii="宋体" w:hAnsi="宋体"/>
                  </w:rPr>
                  <w:t>2,998,566</w:t>
                </w: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87,637</w:t>
                </w:r>
              </w:p>
            </w:tc>
            <w:tc>
              <w:tcPr>
                <w:tcW w:w="992" w:type="dxa"/>
                <w:vAlign w:val="center"/>
              </w:tcPr>
              <w:p>
                <w:pPr>
                  <w:jc w:val="right"/>
                  <w:rPr>
                    <w:rFonts w:ascii="宋体" w:hAnsi="宋体"/>
                  </w:rPr>
                </w:pPr>
                <w:r>
                  <w:rPr>
                    <w:rFonts w:ascii="宋体" w:hAnsi="宋体"/>
                  </w:rPr>
                  <w:t>556</w:t>
                </w:r>
              </w:p>
            </w:tc>
            <w:tc>
              <w:tcPr>
                <w:tcW w:w="1134" w:type="dxa"/>
                <w:vAlign w:val="center"/>
              </w:tcPr>
              <w:p>
                <w:pPr>
                  <w:jc w:val="right"/>
                  <w:rPr>
                    <w:rFonts w:ascii="宋体" w:hAnsi="宋体"/>
                  </w:rPr>
                </w:pPr>
                <w:r>
                  <w:rPr>
                    <w:rFonts w:ascii="宋体" w:hAnsi="宋体"/>
                  </w:rPr>
                  <w:t>61,500</w:t>
                </w:r>
              </w:p>
            </w:tc>
            <w:sdt>
              <w:sdtPr>
                <w:rPr>
                  <w:rFonts w:ascii="宋体" w:hAnsi="宋体"/>
                </w:rPr>
                <w:alias w:val="本年赎回"/>
                <w:tag w:val="_GBC_c6c700cd95e4418f975d929190947081"/>
                <w:id w:val="1852676000"/>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26,138</w:t>
                </w:r>
              </w:p>
            </w:tc>
            <w:tc>
              <w:tcPr>
                <w:tcW w:w="1276" w:type="dxa"/>
                <w:vAlign w:val="center"/>
              </w:tcPr>
              <w:p>
                <w:pPr>
                  <w:jc w:val="right"/>
                  <w:rPr>
                    <w:rFonts w:ascii="宋体" w:hAnsi="宋体"/>
                  </w:rPr>
                </w:pPr>
                <w:r>
                  <w:rPr>
                    <w:rFonts w:ascii="宋体" w:hAnsi="宋体"/>
                  </w:rPr>
                  <w:t>2,999,121</w:t>
                </w:r>
              </w:p>
            </w:tc>
            <w:sdt>
              <w:sdtPr>
                <w:rPr>
                  <w:rFonts w:ascii="宋体" w:hAnsi="宋体"/>
                </w:rPr>
                <w:alias w:val="应付债券是否违约"/>
                <w:tag w:val="_GBC_b29c4c8797c84a3fa108403ac6b6e6df"/>
                <w:id w:val="571016129"/>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1836677880"/>
        </w:sdtPr>
        <w:sdtContent>
          <w:tr>
            <w:trPr>
              <w:cantSplit/>
              <w:trHeight w:val="266"/>
            </w:trPr>
            <w:tc>
              <w:tcPr>
                <w:tcW w:w="851" w:type="dxa"/>
                <w:vAlign w:val="center"/>
              </w:tcPr>
              <w:p>
                <w:pPr>
                  <w:rPr>
                    <w:rFonts w:ascii="宋体" w:hAnsi="宋体"/>
                  </w:rPr>
                </w:pPr>
                <w:r>
                  <w:rPr>
                    <w:rFonts w:ascii="宋体" w:hAnsi="宋体"/>
                  </w:rPr>
                  <w:t>24</w:t>
                </w:r>
                <w:r>
                  <w:rPr>
                    <w:rFonts w:ascii="宋体" w:hAnsi="宋体" w:hint="eastAsia"/>
                  </w:rPr>
                  <w:t>兖矿</w:t>
                </w:r>
                <w:r>
                  <w:rPr>
                    <w:rFonts w:ascii="宋体" w:hAnsi="宋体"/>
                  </w:rPr>
                  <w:t>K4</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2</w:t>
                </w:r>
              </w:p>
            </w:tc>
            <w:tc>
              <w:tcPr>
                <w:tcW w:w="1134" w:type="dxa"/>
                <w:vAlign w:val="center"/>
              </w:tcPr>
              <w:p>
                <w:pPr>
                  <w:jc w:val="right"/>
                  <w:rPr>
                    <w:rFonts w:ascii="宋体" w:hAnsi="宋体"/>
                  </w:rPr>
                </w:pPr>
                <w:r>
                  <w:rPr>
                    <w:rFonts w:ascii="宋体" w:hAnsi="宋体"/>
                  </w:rPr>
                  <w:t>2024-09-13</w:t>
                </w:r>
              </w:p>
            </w:tc>
            <w:tc>
              <w:tcPr>
                <w:tcW w:w="708" w:type="dxa"/>
                <w:vAlign w:val="center"/>
              </w:tcPr>
              <w:p>
                <w:pPr>
                  <w:rPr>
                    <w:rFonts w:ascii="宋体" w:hAnsi="宋体"/>
                  </w:rPr>
                </w:pPr>
                <w:r>
                  <w:rPr>
                    <w:rFonts w:ascii="宋体" w:hAnsi="宋体"/>
                  </w:rPr>
                  <w:t>3</w:t>
                </w:r>
                <w:r>
                  <w:rPr>
                    <w:rFonts w:ascii="宋体" w:hAnsi="宋体" w:hint="eastAsia"/>
                  </w:rPr>
                  <w:t>年</w:t>
                </w:r>
              </w:p>
            </w:tc>
            <w:tc>
              <w:tcPr>
                <w:tcW w:w="1276"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r>
                  <w:rPr>
                    <w:rFonts w:ascii="宋体" w:hAnsi="宋体"/>
                  </w:rPr>
                  <w:t>1,999,012</w:t>
                </w: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56,019</w:t>
                </w:r>
              </w:p>
            </w:tc>
            <w:tc>
              <w:tcPr>
                <w:tcW w:w="992" w:type="dxa"/>
                <w:vAlign w:val="center"/>
              </w:tcPr>
              <w:p>
                <w:pPr>
                  <w:jc w:val="right"/>
                  <w:rPr>
                    <w:rFonts w:ascii="宋体" w:hAnsi="宋体"/>
                  </w:rPr>
                </w:pPr>
                <w:r>
                  <w:rPr>
                    <w:rFonts w:ascii="宋体" w:hAnsi="宋体"/>
                  </w:rPr>
                  <w:t>370</w:t>
                </w:r>
              </w:p>
            </w:tc>
            <w:tc>
              <w:tcPr>
                <w:tcW w:w="1134" w:type="dxa"/>
                <w:vAlign w:val="center"/>
              </w:tcPr>
              <w:p>
                <w:pPr>
                  <w:jc w:val="right"/>
                  <w:rPr>
                    <w:rFonts w:ascii="宋体" w:hAnsi="宋体"/>
                  </w:rPr>
                </w:pPr>
                <w:r>
                  <w:rPr>
                    <w:rFonts w:ascii="宋体" w:hAnsi="宋体"/>
                  </w:rPr>
                  <w:t>43,000</w:t>
                </w:r>
              </w:p>
            </w:tc>
            <w:sdt>
              <w:sdtPr>
                <w:rPr>
                  <w:rFonts w:ascii="宋体" w:hAnsi="宋体"/>
                </w:rPr>
                <w:alias w:val="本年赎回"/>
                <w:tag w:val="_GBC_c6c700cd95e4418f975d929190947081"/>
                <w:id w:val="-1901357778"/>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13,018</w:t>
                </w:r>
              </w:p>
            </w:tc>
            <w:tc>
              <w:tcPr>
                <w:tcW w:w="1276" w:type="dxa"/>
                <w:vAlign w:val="center"/>
              </w:tcPr>
              <w:p>
                <w:pPr>
                  <w:jc w:val="right"/>
                  <w:rPr>
                    <w:rFonts w:ascii="宋体" w:hAnsi="宋体"/>
                  </w:rPr>
                </w:pPr>
                <w:r>
                  <w:rPr>
                    <w:rFonts w:ascii="宋体" w:hAnsi="宋体"/>
                  </w:rPr>
                  <w:t>1,999,383</w:t>
                </w:r>
              </w:p>
            </w:tc>
            <w:sdt>
              <w:sdtPr>
                <w:rPr>
                  <w:rFonts w:ascii="宋体" w:hAnsi="宋体"/>
                </w:rPr>
                <w:alias w:val="应付债券是否违约"/>
                <w:tag w:val="_GBC_b29c4c8797c84a3fa108403ac6b6e6df"/>
                <w:id w:val="1904026845"/>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1178468865"/>
        </w:sdtPr>
        <w:sdtContent>
          <w:tr>
            <w:trPr>
              <w:cantSplit/>
              <w:trHeight w:val="266"/>
            </w:trPr>
            <w:tc>
              <w:tcPr>
                <w:tcW w:w="851" w:type="dxa"/>
                <w:vAlign w:val="center"/>
              </w:tcPr>
              <w:p>
                <w:pPr>
                  <w:rPr>
                    <w:rFonts w:ascii="宋体" w:hAnsi="宋体"/>
                  </w:rPr>
                </w:pPr>
                <w:r>
                  <w:rPr>
                    <w:rFonts w:ascii="宋体" w:hAnsi="宋体"/>
                  </w:rPr>
                  <w:t>25</w:t>
                </w:r>
                <w:r>
                  <w:rPr>
                    <w:rFonts w:ascii="宋体" w:hAnsi="宋体" w:hint="eastAsia"/>
                  </w:rPr>
                  <w:t>兖矿能源</w:t>
                </w:r>
                <w:r>
                  <w:rPr>
                    <w:rFonts w:ascii="宋体" w:hAnsi="宋体"/>
                  </w:rPr>
                  <w:t>SCP004</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2</w:t>
                </w:r>
              </w:p>
            </w:tc>
            <w:tc>
              <w:tcPr>
                <w:tcW w:w="1134" w:type="dxa"/>
                <w:vAlign w:val="center"/>
              </w:tcPr>
              <w:p>
                <w:pPr>
                  <w:jc w:val="right"/>
                  <w:rPr>
                    <w:rFonts w:ascii="宋体" w:hAnsi="宋体"/>
                  </w:rPr>
                </w:pPr>
                <w:r>
                  <w:rPr>
                    <w:rFonts w:ascii="宋体" w:hAnsi="宋体"/>
                  </w:rPr>
                  <w:t>2025-12-25</w:t>
                </w:r>
              </w:p>
            </w:tc>
            <w:tc>
              <w:tcPr>
                <w:tcW w:w="708" w:type="dxa"/>
                <w:vAlign w:val="center"/>
              </w:tcPr>
              <w:p>
                <w:pPr>
                  <w:rPr>
                    <w:rFonts w:ascii="宋体" w:hAnsi="宋体"/>
                  </w:rPr>
                </w:pPr>
                <w:r>
                  <w:rPr>
                    <w:rFonts w:ascii="宋体" w:hAnsi="宋体"/>
                  </w:rPr>
                  <w:t>9</w:t>
                </w:r>
                <w:r>
                  <w:rPr>
                    <w:rFonts w:ascii="宋体" w:hAnsi="宋体" w:hint="eastAsia"/>
                  </w:rPr>
                  <w:t>个月</w:t>
                </w:r>
              </w:p>
            </w:tc>
            <w:tc>
              <w:tcPr>
                <w:tcW w:w="1276"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r>
                  <w:rPr>
                    <w:rFonts w:ascii="宋体" w:hAnsi="宋体"/>
                  </w:rPr>
                  <w:t>3,025</w:t>
                </w:r>
              </w:p>
            </w:tc>
            <w:tc>
              <w:tcPr>
                <w:tcW w:w="992" w:type="dxa"/>
                <w:vAlign w:val="center"/>
              </w:tcPr>
              <w:p>
                <w:pPr>
                  <w:jc w:val="right"/>
                  <w:rPr>
                    <w:rFonts w:ascii="宋体" w:hAnsi="宋体"/>
                  </w:rPr>
                </w:pPr>
                <w:r>
                  <w:rPr>
                    <w:rFonts w:ascii="宋体" w:hAnsi="宋体"/>
                  </w:rPr>
                  <w:t>-200</w:t>
                </w:r>
              </w:p>
            </w:tc>
            <w:tc>
              <w:tcPr>
                <w:tcW w:w="1134" w:type="dxa"/>
                <w:vAlign w:val="center"/>
              </w:tcPr>
              <w:p>
                <w:pPr>
                  <w:jc w:val="right"/>
                  <w:rPr>
                    <w:rFonts w:ascii="宋体" w:hAnsi="宋体"/>
                  </w:rPr>
                </w:pPr>
              </w:p>
            </w:tc>
            <w:sdt>
              <w:sdtPr>
                <w:rPr>
                  <w:rFonts w:ascii="宋体" w:hAnsi="宋体"/>
                </w:rPr>
                <w:alias w:val="本年赎回"/>
                <w:tag w:val="_GBC_c6c700cd95e4418f975d929190947081"/>
                <w:id w:val="-695917676"/>
                <w:showingPlcHdr/>
              </w:sdtPr>
              <w:sdtContent>
                <w:tc>
                  <w:tcPr>
                    <w:tcW w:w="1276" w:type="dxa"/>
                    <w:vAlign w:val="center"/>
                  </w:tcPr>
                  <w:p>
                    <w:pPr>
                      <w:jc w:val="right"/>
                      <w:rPr>
                        <w:rFonts w:ascii="宋体" w:hAnsi="宋体"/>
                      </w:rPr>
                    </w:pP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3,002,825</w:t>
                </w:r>
              </w:p>
            </w:tc>
            <w:tc>
              <w:tcPr>
                <w:tcW w:w="1276" w:type="dxa"/>
                <w:vAlign w:val="center"/>
              </w:tcPr>
              <w:p>
                <w:pPr>
                  <w:jc w:val="right"/>
                  <w:rPr>
                    <w:rFonts w:ascii="宋体" w:hAnsi="宋体"/>
                  </w:rPr>
                </w:pPr>
              </w:p>
            </w:tc>
            <w:sdt>
              <w:sdtPr>
                <w:rPr>
                  <w:rFonts w:ascii="宋体" w:hAnsi="宋体"/>
                </w:rPr>
                <w:alias w:val="应付债券是否违约"/>
                <w:tag w:val="_GBC_b29c4c8797c84a3fa108403ac6b6e6df"/>
                <w:id w:val="936244953"/>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1046682023"/>
        </w:sdtPr>
        <w:sdtContent>
          <w:tr>
            <w:trPr>
              <w:cantSplit/>
              <w:trHeight w:val="266"/>
            </w:trPr>
            <w:tc>
              <w:tcPr>
                <w:tcW w:w="851" w:type="dxa"/>
                <w:vAlign w:val="center"/>
              </w:tcPr>
              <w:p>
                <w:pPr>
                  <w:rPr>
                    <w:rFonts w:ascii="宋体" w:hAnsi="宋体"/>
                  </w:rPr>
                </w:pPr>
                <w:r>
                  <w:rPr>
                    <w:rFonts w:ascii="宋体" w:hAnsi="宋体"/>
                  </w:rPr>
                  <w:t>25</w:t>
                </w:r>
                <w:r>
                  <w:rPr>
                    <w:rFonts w:ascii="宋体" w:hAnsi="宋体" w:hint="eastAsia"/>
                  </w:rPr>
                  <w:t>兖矿能源</w:t>
                </w:r>
                <w:r>
                  <w:rPr>
                    <w:rFonts w:ascii="宋体" w:hAnsi="宋体"/>
                  </w:rPr>
                  <w:t>K2</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2</w:t>
                </w:r>
              </w:p>
            </w:tc>
            <w:tc>
              <w:tcPr>
                <w:tcW w:w="1134" w:type="dxa"/>
                <w:vAlign w:val="center"/>
              </w:tcPr>
              <w:p>
                <w:pPr>
                  <w:jc w:val="right"/>
                  <w:rPr>
                    <w:rFonts w:ascii="宋体" w:hAnsi="宋体"/>
                  </w:rPr>
                </w:pPr>
                <w:r>
                  <w:rPr>
                    <w:rFonts w:ascii="宋体" w:hAnsi="宋体"/>
                  </w:rPr>
                  <w:t>2025-06-05</w:t>
                </w:r>
              </w:p>
            </w:tc>
            <w:tc>
              <w:tcPr>
                <w:tcW w:w="708" w:type="dxa"/>
                <w:vAlign w:val="center"/>
              </w:tcPr>
              <w:p>
                <w:pPr>
                  <w:rPr>
                    <w:rFonts w:ascii="宋体" w:hAnsi="宋体"/>
                  </w:rPr>
                </w:pPr>
                <w:r>
                  <w:rPr>
                    <w:rFonts w:ascii="宋体" w:hAnsi="宋体"/>
                  </w:rPr>
                  <w:t>5</w:t>
                </w:r>
                <w:r>
                  <w:rPr>
                    <w:rFonts w:ascii="宋体" w:hAnsi="宋体" w:hint="eastAsia"/>
                  </w:rPr>
                  <w:t>年</w:t>
                </w:r>
              </w:p>
            </w:tc>
            <w:tc>
              <w:tcPr>
                <w:tcW w:w="1276"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r>
                  <w:rPr>
                    <w:rFonts w:ascii="宋体" w:hAnsi="宋体"/>
                  </w:rPr>
                  <w:t>35,013</w:t>
                </w:r>
              </w:p>
            </w:tc>
            <w:tc>
              <w:tcPr>
                <w:tcW w:w="992" w:type="dxa"/>
                <w:vAlign w:val="center"/>
              </w:tcPr>
              <w:p>
                <w:pPr>
                  <w:jc w:val="right"/>
                  <w:rPr>
                    <w:rFonts w:ascii="宋体" w:hAnsi="宋体"/>
                  </w:rPr>
                </w:pPr>
                <w:r>
                  <w:rPr>
                    <w:rFonts w:ascii="宋体" w:hAnsi="宋体"/>
                  </w:rPr>
                  <w:t>-4,418</w:t>
                </w:r>
              </w:p>
            </w:tc>
            <w:tc>
              <w:tcPr>
                <w:tcW w:w="1134" w:type="dxa"/>
                <w:vAlign w:val="center"/>
              </w:tcPr>
              <w:p>
                <w:pPr>
                  <w:jc w:val="right"/>
                  <w:rPr>
                    <w:rFonts w:ascii="宋体" w:hAnsi="宋体"/>
                  </w:rPr>
                </w:pPr>
              </w:p>
            </w:tc>
            <w:sdt>
              <w:sdtPr>
                <w:rPr>
                  <w:rFonts w:ascii="宋体" w:hAnsi="宋体"/>
                </w:rPr>
                <w:alias w:val="本年赎回"/>
                <w:tag w:val="_GBC_c6c700cd95e4418f975d929190947081"/>
                <w:id w:val="399264175"/>
                <w:showingPlcHdr/>
              </w:sdtPr>
              <w:sdtContent>
                <w:tc>
                  <w:tcPr>
                    <w:tcW w:w="1276" w:type="dxa"/>
                    <w:vAlign w:val="center"/>
                  </w:tcPr>
                  <w:p>
                    <w:pPr>
                      <w:jc w:val="right"/>
                      <w:rPr>
                        <w:rFonts w:ascii="宋体" w:hAnsi="宋体"/>
                      </w:rPr>
                    </w:pP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35,013</w:t>
                </w:r>
              </w:p>
            </w:tc>
            <w:tc>
              <w:tcPr>
                <w:tcW w:w="1276" w:type="dxa"/>
                <w:vAlign w:val="center"/>
              </w:tcPr>
              <w:p>
                <w:pPr>
                  <w:jc w:val="right"/>
                  <w:rPr>
                    <w:rFonts w:ascii="宋体" w:hAnsi="宋体"/>
                  </w:rPr>
                </w:pPr>
                <w:r>
                  <w:rPr>
                    <w:rFonts w:ascii="宋体" w:hAnsi="宋体"/>
                  </w:rPr>
                  <w:t>2,995,582</w:t>
                </w:r>
              </w:p>
            </w:tc>
            <w:sdt>
              <w:sdtPr>
                <w:rPr>
                  <w:rFonts w:ascii="宋体" w:hAnsi="宋体"/>
                </w:rPr>
                <w:alias w:val="应付债券是否违约"/>
                <w:tag w:val="_GBC_b29c4c8797c84a3fa108403ac6b6e6df"/>
                <w:id w:val="247863101"/>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699978755"/>
        </w:sdtPr>
        <w:sdtContent>
          <w:tr>
            <w:trPr>
              <w:cantSplit/>
              <w:trHeight w:val="266"/>
            </w:trPr>
            <w:tc>
              <w:tcPr>
                <w:tcW w:w="851" w:type="dxa"/>
                <w:vAlign w:val="center"/>
              </w:tcPr>
              <w:p>
                <w:pPr>
                  <w:rPr>
                    <w:rFonts w:ascii="宋体" w:hAnsi="宋体"/>
                  </w:rPr>
                </w:pPr>
                <w:r>
                  <w:rPr>
                    <w:rFonts w:ascii="宋体" w:hAnsi="宋体"/>
                  </w:rPr>
                  <w:t>25</w:t>
                </w:r>
                <w:r>
                  <w:rPr>
                    <w:rFonts w:ascii="宋体" w:hAnsi="宋体" w:hint="eastAsia"/>
                  </w:rPr>
                  <w:t>兖矿能源</w:t>
                </w:r>
                <w:r>
                  <w:rPr>
                    <w:rFonts w:ascii="宋体" w:hAnsi="宋体"/>
                  </w:rPr>
                  <w:t>K3</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2</w:t>
                </w:r>
              </w:p>
            </w:tc>
            <w:tc>
              <w:tcPr>
                <w:tcW w:w="1134" w:type="dxa"/>
                <w:vAlign w:val="center"/>
              </w:tcPr>
              <w:p>
                <w:pPr>
                  <w:jc w:val="right"/>
                  <w:rPr>
                    <w:rFonts w:ascii="宋体" w:hAnsi="宋体"/>
                  </w:rPr>
                </w:pPr>
                <w:r>
                  <w:rPr>
                    <w:rFonts w:ascii="宋体" w:hAnsi="宋体"/>
                  </w:rPr>
                  <w:t>2025-09-08</w:t>
                </w:r>
              </w:p>
            </w:tc>
            <w:tc>
              <w:tcPr>
                <w:tcW w:w="708" w:type="dxa"/>
                <w:vAlign w:val="center"/>
              </w:tcPr>
              <w:p>
                <w:pPr>
                  <w:rPr>
                    <w:rFonts w:ascii="宋体" w:hAnsi="宋体"/>
                  </w:rPr>
                </w:pPr>
                <w:r>
                  <w:rPr>
                    <w:rFonts w:ascii="宋体" w:hAnsi="宋体"/>
                  </w:rPr>
                  <w:t>5</w:t>
                </w:r>
                <w:r>
                  <w:rPr>
                    <w:rFonts w:ascii="宋体" w:hAnsi="宋体" w:hint="eastAsia"/>
                  </w:rPr>
                  <w:t>年</w:t>
                </w:r>
              </w:p>
            </w:tc>
            <w:tc>
              <w:tcPr>
                <w:tcW w:w="1276" w:type="dxa"/>
                <w:vAlign w:val="center"/>
              </w:tcPr>
              <w:p>
                <w:pPr>
                  <w:jc w:val="right"/>
                  <w:rPr>
                    <w:rFonts w:ascii="宋体" w:hAnsi="宋体"/>
                  </w:rPr>
                </w:pPr>
                <w:r>
                  <w:rPr>
                    <w:rFonts w:ascii="宋体" w:hAnsi="宋体"/>
                  </w:rPr>
                  <w:t>2,000,000</w:t>
                </w:r>
              </w:p>
            </w:tc>
            <w:tc>
              <w:tcPr>
                <w:tcW w:w="1276"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2,000,000</w:t>
                </w:r>
              </w:p>
            </w:tc>
            <w:tc>
              <w:tcPr>
                <w:tcW w:w="1276" w:type="dxa"/>
                <w:vAlign w:val="center"/>
              </w:tcPr>
              <w:p>
                <w:pPr>
                  <w:jc w:val="right"/>
                  <w:rPr>
                    <w:rFonts w:ascii="宋体" w:hAnsi="宋体"/>
                  </w:rPr>
                </w:pPr>
                <w:r>
                  <w:rPr>
                    <w:rFonts w:ascii="宋体" w:hAnsi="宋体"/>
                  </w:rPr>
                  <w:t>12,179</w:t>
                </w:r>
              </w:p>
            </w:tc>
            <w:tc>
              <w:tcPr>
                <w:tcW w:w="992" w:type="dxa"/>
                <w:vAlign w:val="center"/>
              </w:tcPr>
              <w:p>
                <w:pPr>
                  <w:jc w:val="right"/>
                  <w:rPr>
                    <w:rFonts w:ascii="宋体" w:hAnsi="宋体"/>
                  </w:rPr>
                </w:pPr>
                <w:r>
                  <w:rPr>
                    <w:rFonts w:ascii="宋体" w:hAnsi="宋体"/>
                  </w:rPr>
                  <w:t>-1,867</w:t>
                </w:r>
              </w:p>
            </w:tc>
            <w:tc>
              <w:tcPr>
                <w:tcW w:w="1134" w:type="dxa"/>
                <w:vAlign w:val="center"/>
              </w:tcPr>
              <w:p>
                <w:pPr>
                  <w:jc w:val="right"/>
                  <w:rPr>
                    <w:rFonts w:ascii="宋体" w:hAnsi="宋体"/>
                  </w:rPr>
                </w:pPr>
              </w:p>
            </w:tc>
            <w:sdt>
              <w:sdtPr>
                <w:rPr>
                  <w:rFonts w:ascii="宋体" w:hAnsi="宋体"/>
                </w:rPr>
                <w:alias w:val="本年赎回"/>
                <w:tag w:val="_GBC_c6c700cd95e4418f975d929190947081"/>
                <w:id w:val="1379280461"/>
                <w:showingPlcHdr/>
              </w:sdtPr>
              <w:sdtContent>
                <w:tc>
                  <w:tcPr>
                    <w:tcW w:w="1276" w:type="dxa"/>
                    <w:vAlign w:val="center"/>
                  </w:tcPr>
                  <w:p>
                    <w:pPr>
                      <w:jc w:val="right"/>
                      <w:rPr>
                        <w:rFonts w:ascii="宋体" w:hAnsi="宋体"/>
                      </w:rPr>
                    </w:pP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12,179</w:t>
                </w:r>
              </w:p>
            </w:tc>
            <w:tc>
              <w:tcPr>
                <w:tcW w:w="1276" w:type="dxa"/>
                <w:vAlign w:val="center"/>
              </w:tcPr>
              <w:p>
                <w:pPr>
                  <w:jc w:val="right"/>
                  <w:rPr>
                    <w:rFonts w:ascii="宋体" w:hAnsi="宋体"/>
                  </w:rPr>
                </w:pPr>
                <w:r>
                  <w:rPr>
                    <w:rFonts w:ascii="宋体" w:hAnsi="宋体"/>
                  </w:rPr>
                  <w:t>1,998,133</w:t>
                </w:r>
              </w:p>
            </w:tc>
            <w:sdt>
              <w:sdtPr>
                <w:rPr>
                  <w:rFonts w:ascii="宋体" w:hAnsi="宋体"/>
                </w:rPr>
                <w:alias w:val="应付债券是否违约"/>
                <w:tag w:val="_GBC_b29c4c8797c84a3fa108403ac6b6e6df"/>
                <w:id w:val="-1375612493"/>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468798128"/>
        </w:sdtPr>
        <w:sdtContent>
          <w:tr>
            <w:trPr>
              <w:cantSplit/>
              <w:trHeight w:val="266"/>
            </w:trPr>
            <w:tc>
              <w:tcPr>
                <w:tcW w:w="851" w:type="dxa"/>
                <w:vAlign w:val="center"/>
              </w:tcPr>
              <w:p>
                <w:pPr>
                  <w:rPr>
                    <w:rFonts w:ascii="宋体" w:hAnsi="宋体"/>
                  </w:rPr>
                </w:pPr>
                <w:r>
                  <w:rPr>
                    <w:rFonts w:ascii="宋体" w:hAnsi="宋体"/>
                  </w:rPr>
                  <w:t>25</w:t>
                </w:r>
                <w:r>
                  <w:rPr>
                    <w:rFonts w:ascii="宋体" w:hAnsi="宋体" w:hint="eastAsia"/>
                  </w:rPr>
                  <w:t>兖矿能源</w:t>
                </w:r>
                <w:r>
                  <w:rPr>
                    <w:rFonts w:ascii="宋体" w:hAnsi="宋体"/>
                  </w:rPr>
                  <w:t>SCP001</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2</w:t>
                </w:r>
              </w:p>
            </w:tc>
            <w:tc>
              <w:tcPr>
                <w:tcW w:w="1134" w:type="dxa"/>
                <w:vAlign w:val="center"/>
              </w:tcPr>
              <w:p>
                <w:pPr>
                  <w:jc w:val="right"/>
                  <w:rPr>
                    <w:rFonts w:ascii="宋体" w:hAnsi="宋体"/>
                  </w:rPr>
                </w:pPr>
                <w:r>
                  <w:rPr>
                    <w:rFonts w:ascii="宋体" w:hAnsi="宋体"/>
                  </w:rPr>
                  <w:t>2025-07-23</w:t>
                </w:r>
              </w:p>
            </w:tc>
            <w:tc>
              <w:tcPr>
                <w:tcW w:w="708" w:type="dxa"/>
                <w:vAlign w:val="center"/>
              </w:tcPr>
              <w:p>
                <w:pPr>
                  <w:rPr>
                    <w:rFonts w:ascii="宋体" w:hAnsi="宋体"/>
                  </w:rPr>
                </w:pPr>
                <w:r>
                  <w:rPr>
                    <w:rFonts w:ascii="宋体" w:hAnsi="宋体"/>
                  </w:rPr>
                  <w:t>140</w:t>
                </w:r>
                <w:r>
                  <w:rPr>
                    <w:rFonts w:ascii="宋体" w:hAnsi="宋体" w:hint="eastAsia"/>
                  </w:rPr>
                  <w:t>日</w:t>
                </w:r>
              </w:p>
            </w:tc>
            <w:tc>
              <w:tcPr>
                <w:tcW w:w="1276" w:type="dxa"/>
                <w:vAlign w:val="center"/>
              </w:tcPr>
              <w:p>
                <w:pPr>
                  <w:jc w:val="right"/>
                  <w:rPr>
                    <w:rFonts w:ascii="宋体" w:hAnsi="宋体"/>
                  </w:rPr>
                </w:pPr>
                <w:r>
                  <w:rPr>
                    <w:rFonts w:ascii="宋体" w:hAnsi="宋体"/>
                  </w:rPr>
                  <w:t>2,000,000</w:t>
                </w:r>
              </w:p>
            </w:tc>
            <w:tc>
              <w:tcPr>
                <w:tcW w:w="1276"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2,000,000</w:t>
                </w:r>
              </w:p>
            </w:tc>
            <w:tc>
              <w:tcPr>
                <w:tcW w:w="1276" w:type="dxa"/>
                <w:vAlign w:val="center"/>
              </w:tcPr>
              <w:p>
                <w:pPr>
                  <w:jc w:val="right"/>
                  <w:rPr>
                    <w:rFonts w:ascii="宋体" w:hAnsi="宋体"/>
                  </w:rPr>
                </w:pPr>
                <w:r>
                  <w:rPr>
                    <w:rFonts w:ascii="宋体" w:hAnsi="宋体"/>
                  </w:rPr>
                  <w:t>11,967</w:t>
                </w:r>
              </w:p>
            </w:tc>
            <w:tc>
              <w:tcPr>
                <w:tcW w:w="992" w:type="dxa"/>
                <w:vAlign w:val="center"/>
              </w:tcPr>
              <w:p>
                <w:pPr>
                  <w:jc w:val="right"/>
                  <w:rPr>
                    <w:rFonts w:ascii="宋体" w:hAnsi="宋体"/>
                  </w:rPr>
                </w:pPr>
              </w:p>
            </w:tc>
            <w:tc>
              <w:tcPr>
                <w:tcW w:w="1134" w:type="dxa"/>
                <w:vAlign w:val="center"/>
              </w:tcPr>
              <w:p>
                <w:pPr>
                  <w:jc w:val="right"/>
                  <w:rPr>
                    <w:rFonts w:ascii="宋体" w:hAnsi="宋体"/>
                  </w:rPr>
                </w:pPr>
                <w:r>
                  <w:rPr>
                    <w:rFonts w:ascii="宋体" w:hAnsi="宋体"/>
                  </w:rPr>
                  <w:t>11,967</w:t>
                </w:r>
              </w:p>
            </w:tc>
            <w:sdt>
              <w:sdtPr>
                <w:rPr>
                  <w:rFonts w:ascii="宋体" w:hAnsi="宋体"/>
                </w:rPr>
                <w:alias w:val="本年赎回"/>
                <w:tag w:val="_GBC_c6c700cd95e4418f975d929190947081"/>
                <w:id w:val="-718197673"/>
              </w:sdtPr>
              <w:sdtContent>
                <w:tc>
                  <w:tcPr>
                    <w:tcW w:w="1276" w:type="dxa"/>
                    <w:vAlign w:val="center"/>
                  </w:tcPr>
                  <w:p>
                    <w:pPr>
                      <w:jc w:val="right"/>
                      <w:rPr>
                        <w:rFonts w:ascii="宋体" w:hAnsi="宋体"/>
                      </w:rPr>
                    </w:pPr>
                    <w:r>
                      <w:rPr>
                        <w:rFonts w:ascii="宋体" w:hAnsi="宋体"/>
                      </w:rPr>
                      <w:t>2,000,000</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p>
            </w:tc>
            <w:tc>
              <w:tcPr>
                <w:tcW w:w="1276" w:type="dxa"/>
                <w:vAlign w:val="center"/>
              </w:tcPr>
              <w:p>
                <w:pPr>
                  <w:jc w:val="right"/>
                  <w:rPr>
                    <w:rFonts w:ascii="宋体" w:hAnsi="宋体"/>
                  </w:rPr>
                </w:pPr>
              </w:p>
            </w:tc>
            <w:sdt>
              <w:sdtPr>
                <w:rPr>
                  <w:rFonts w:ascii="宋体" w:hAnsi="宋体"/>
                </w:rPr>
                <w:alias w:val="应付债券是否违约"/>
                <w:tag w:val="_GBC_b29c4c8797c84a3fa108403ac6b6e6df"/>
                <w:id w:val="1336108208"/>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437637746"/>
        </w:sdtPr>
        <w:sdtContent>
          <w:tr>
            <w:trPr>
              <w:cantSplit/>
              <w:trHeight w:val="266"/>
            </w:trPr>
            <w:tc>
              <w:tcPr>
                <w:tcW w:w="851" w:type="dxa"/>
                <w:vAlign w:val="center"/>
              </w:tcPr>
              <w:p>
                <w:pPr>
                  <w:rPr>
                    <w:rFonts w:ascii="宋体" w:hAnsi="宋体"/>
                  </w:rPr>
                </w:pPr>
                <w:r>
                  <w:rPr>
                    <w:rFonts w:ascii="宋体" w:hAnsi="宋体"/>
                  </w:rPr>
                  <w:t>21</w:t>
                </w:r>
                <w:r>
                  <w:rPr>
                    <w:rFonts w:ascii="宋体" w:hAnsi="宋体" w:hint="eastAsia"/>
                  </w:rPr>
                  <w:t>兖煤</w:t>
                </w:r>
                <w:r>
                  <w:rPr>
                    <w:rFonts w:ascii="宋体" w:hAnsi="宋体"/>
                  </w:rPr>
                  <w:t>MTN001</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4</w:t>
                </w:r>
              </w:p>
            </w:tc>
            <w:tc>
              <w:tcPr>
                <w:tcW w:w="1134" w:type="dxa"/>
                <w:vAlign w:val="center"/>
              </w:tcPr>
              <w:p>
                <w:pPr>
                  <w:jc w:val="right"/>
                  <w:rPr>
                    <w:rFonts w:ascii="宋体" w:hAnsi="宋体"/>
                  </w:rPr>
                </w:pPr>
                <w:r>
                  <w:rPr>
                    <w:rFonts w:ascii="宋体" w:hAnsi="宋体"/>
                  </w:rPr>
                  <w:t>2021-07-22</w:t>
                </w:r>
              </w:p>
            </w:tc>
            <w:tc>
              <w:tcPr>
                <w:tcW w:w="708" w:type="dxa"/>
                <w:vAlign w:val="center"/>
              </w:tcPr>
              <w:p>
                <w:pPr>
                  <w:rPr>
                    <w:rFonts w:ascii="宋体" w:hAnsi="宋体"/>
                  </w:rPr>
                </w:pPr>
                <w:r>
                  <w:rPr>
                    <w:rFonts w:ascii="宋体" w:hAnsi="宋体"/>
                  </w:rPr>
                  <w:t>5</w:t>
                </w:r>
                <w:r>
                  <w:rPr>
                    <w:rFonts w:ascii="宋体" w:hAnsi="宋体" w:hint="eastAsia"/>
                  </w:rPr>
                  <w:t>年</w:t>
                </w:r>
              </w:p>
            </w:tc>
            <w:tc>
              <w:tcPr>
                <w:tcW w:w="1276" w:type="dxa"/>
                <w:vAlign w:val="center"/>
              </w:tcPr>
              <w:p>
                <w:pPr>
                  <w:jc w:val="right"/>
                  <w:rPr>
                    <w:rFonts w:ascii="宋体" w:hAnsi="宋体"/>
                  </w:rPr>
                </w:pPr>
                <w:r>
                  <w:rPr>
                    <w:rFonts w:ascii="宋体" w:hAnsi="宋体"/>
                  </w:rPr>
                  <w:t>2,000,000</w:t>
                </w:r>
              </w:p>
            </w:tc>
            <w:tc>
              <w:tcPr>
                <w:tcW w:w="1276" w:type="dxa"/>
                <w:vAlign w:val="center"/>
              </w:tcPr>
              <w:p>
                <w:pPr>
                  <w:jc w:val="right"/>
                  <w:rPr>
                    <w:rFonts w:ascii="宋体" w:hAnsi="宋体"/>
                  </w:rPr>
                </w:pPr>
              </w:p>
            </w:tc>
            <w:tc>
              <w:tcPr>
                <w:tcW w:w="1417"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113,578</w:t>
                </w:r>
              </w:p>
            </w:tc>
            <w:tc>
              <w:tcPr>
                <w:tcW w:w="992" w:type="dxa"/>
                <w:vAlign w:val="center"/>
              </w:tcPr>
              <w:p>
                <w:pPr>
                  <w:jc w:val="right"/>
                  <w:rPr>
                    <w:rFonts w:ascii="宋体" w:hAnsi="宋体"/>
                  </w:rPr>
                </w:pPr>
                <w:r>
                  <w:rPr>
                    <w:rFonts w:ascii="宋体" w:hAnsi="宋体"/>
                  </w:rPr>
                  <w:t>1,000</w:t>
                </w:r>
              </w:p>
            </w:tc>
            <w:tc>
              <w:tcPr>
                <w:tcW w:w="1134" w:type="dxa"/>
                <w:vAlign w:val="center"/>
              </w:tcPr>
              <w:p>
                <w:pPr>
                  <w:jc w:val="right"/>
                  <w:rPr>
                    <w:rFonts w:ascii="宋体" w:hAnsi="宋体"/>
                  </w:rPr>
                </w:pPr>
                <w:r>
                  <w:rPr>
                    <w:rFonts w:ascii="宋体" w:hAnsi="宋体"/>
                  </w:rPr>
                  <w:t>76,000</w:t>
                </w:r>
              </w:p>
            </w:tc>
            <w:sdt>
              <w:sdtPr>
                <w:rPr>
                  <w:rFonts w:ascii="宋体" w:hAnsi="宋体"/>
                </w:rPr>
                <w:alias w:val="本年赎回"/>
                <w:tag w:val="_GBC_c6c700cd95e4418f975d929190947081"/>
                <w:id w:val="-1583218976"/>
                <w:showingPlcHdr/>
              </w:sdtPr>
              <w:sdtContent>
                <w:tc>
                  <w:tcPr>
                    <w:tcW w:w="1276" w:type="dxa"/>
                    <w:vAlign w:val="center"/>
                  </w:tcPr>
                  <w:p>
                    <w:pPr>
                      <w:jc w:val="right"/>
                      <w:rPr>
                        <w:rFonts w:ascii="宋体" w:hAnsi="宋体"/>
                      </w:rPr>
                    </w:pPr>
                    <w:r>
                      <w:rPr>
                        <w:rFonts w:ascii="宋体" w:hAnsi="宋体" w:hint="eastAsia"/>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38,578</w:t>
                </w:r>
              </w:p>
            </w:tc>
            <w:tc>
              <w:tcPr>
                <w:tcW w:w="1276" w:type="dxa"/>
                <w:vAlign w:val="center"/>
              </w:tcPr>
              <w:p>
                <w:pPr>
                  <w:jc w:val="right"/>
                  <w:rPr>
                    <w:rFonts w:ascii="宋体" w:hAnsi="宋体"/>
                  </w:rPr>
                </w:pPr>
              </w:p>
            </w:tc>
            <w:sdt>
              <w:sdtPr>
                <w:rPr>
                  <w:rFonts w:ascii="宋体" w:hAnsi="宋体"/>
                </w:rPr>
                <w:alias w:val="应付债券是否违约"/>
                <w:tag w:val="_GBC_b29c4c8797c84a3fa108403ac6b6e6df"/>
                <w:id w:val="1098833989"/>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sdt>
        <w:sdtPr>
          <w:rPr>
            <w:rFonts w:ascii="宋体" w:hAnsi="宋体"/>
          </w:rPr>
          <w:alias w:val="应付债券明细"/>
          <w:tag w:val="_TUP_483a6814da9c434391de215e945c94f6"/>
          <w:id w:val="61761467"/>
        </w:sdtPr>
        <w:sdtContent>
          <w:tr>
            <w:trPr>
              <w:cantSplit/>
              <w:trHeight w:val="266"/>
            </w:trPr>
            <w:tc>
              <w:tcPr>
                <w:tcW w:w="851" w:type="dxa"/>
                <w:vAlign w:val="center"/>
              </w:tcPr>
              <w:p>
                <w:pPr>
                  <w:rPr>
                    <w:rFonts w:ascii="宋体" w:hAnsi="宋体"/>
                  </w:rPr>
                </w:pPr>
                <w:r>
                  <w:rPr>
                    <w:rFonts w:ascii="宋体" w:hAnsi="宋体"/>
                  </w:rPr>
                  <w:t>25</w:t>
                </w:r>
                <w:r>
                  <w:rPr>
                    <w:rFonts w:ascii="宋体" w:hAnsi="宋体" w:hint="eastAsia"/>
                  </w:rPr>
                  <w:t>兖矿能源</w:t>
                </w:r>
                <w:r>
                  <w:rPr>
                    <w:rFonts w:ascii="宋体" w:hAnsi="宋体"/>
                  </w:rPr>
                  <w:t>K6</w:t>
                </w:r>
              </w:p>
            </w:tc>
            <w:tc>
              <w:tcPr>
                <w:tcW w:w="568" w:type="dxa"/>
                <w:vAlign w:val="center"/>
              </w:tcPr>
              <w:p>
                <w:pPr>
                  <w:jc w:val="right"/>
                  <w:rPr>
                    <w:rFonts w:ascii="宋体" w:hAnsi="宋体"/>
                  </w:rPr>
                </w:pPr>
                <w:r>
                  <w:rPr>
                    <w:rFonts w:ascii="宋体" w:hAnsi="宋体"/>
                  </w:rPr>
                  <w:t>100</w:t>
                </w:r>
              </w:p>
            </w:tc>
            <w:tc>
              <w:tcPr>
                <w:tcW w:w="567" w:type="dxa"/>
                <w:vAlign w:val="center"/>
              </w:tcPr>
              <w:p>
                <w:pPr>
                  <w:jc w:val="right"/>
                  <w:rPr>
                    <w:rFonts w:ascii="宋体" w:hAnsi="宋体"/>
                  </w:rPr>
                </w:pPr>
                <w:r>
                  <w:rPr>
                    <w:rFonts w:ascii="宋体" w:hAnsi="宋体"/>
                  </w:rPr>
                  <w:t>2</w:t>
                </w:r>
              </w:p>
            </w:tc>
            <w:tc>
              <w:tcPr>
                <w:tcW w:w="1134" w:type="dxa"/>
                <w:vAlign w:val="center"/>
              </w:tcPr>
              <w:p>
                <w:pPr>
                  <w:jc w:val="right"/>
                  <w:rPr>
                    <w:rFonts w:ascii="宋体" w:hAnsi="宋体"/>
                  </w:rPr>
                </w:pPr>
                <w:r>
                  <w:rPr>
                    <w:rFonts w:ascii="宋体" w:hAnsi="宋体"/>
                  </w:rPr>
                  <w:t>2025-11-24</w:t>
                </w:r>
              </w:p>
            </w:tc>
            <w:tc>
              <w:tcPr>
                <w:tcW w:w="708" w:type="dxa"/>
                <w:vAlign w:val="center"/>
              </w:tcPr>
              <w:p>
                <w:pPr>
                  <w:rPr>
                    <w:rFonts w:ascii="宋体" w:hAnsi="宋体"/>
                  </w:rPr>
                </w:pPr>
                <w:r>
                  <w:rPr>
                    <w:rFonts w:ascii="宋体" w:hAnsi="宋体"/>
                  </w:rPr>
                  <w:t>5</w:t>
                </w:r>
                <w:r>
                  <w:rPr>
                    <w:rFonts w:ascii="宋体" w:hAnsi="宋体" w:hint="eastAsia"/>
                  </w:rPr>
                  <w:t>年</w:t>
                </w:r>
              </w:p>
            </w:tc>
            <w:tc>
              <w:tcPr>
                <w:tcW w:w="1276"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3,000,000</w:t>
                </w:r>
              </w:p>
            </w:tc>
            <w:tc>
              <w:tcPr>
                <w:tcW w:w="1276" w:type="dxa"/>
                <w:vAlign w:val="center"/>
              </w:tcPr>
              <w:p>
                <w:pPr>
                  <w:jc w:val="right"/>
                  <w:rPr>
                    <w:rFonts w:ascii="宋体" w:hAnsi="宋体"/>
                  </w:rPr>
                </w:pPr>
                <w:r>
                  <w:rPr>
                    <w:rFonts w:ascii="宋体" w:hAnsi="宋体"/>
                  </w:rPr>
                  <w:t>6,000</w:t>
                </w:r>
              </w:p>
            </w:tc>
            <w:tc>
              <w:tcPr>
                <w:tcW w:w="992" w:type="dxa"/>
                <w:vAlign w:val="center"/>
              </w:tcPr>
              <w:p>
                <w:pPr>
                  <w:jc w:val="right"/>
                  <w:rPr>
                    <w:rFonts w:ascii="宋体" w:hAnsi="宋体"/>
                  </w:rPr>
                </w:pPr>
                <w:r>
                  <w:rPr>
                    <w:rFonts w:ascii="宋体" w:hAnsi="宋体"/>
                  </w:rPr>
                  <w:t>-2,900</w:t>
                </w:r>
              </w:p>
            </w:tc>
            <w:tc>
              <w:tcPr>
                <w:tcW w:w="1134" w:type="dxa"/>
                <w:vAlign w:val="center"/>
              </w:tcPr>
              <w:p>
                <w:pPr>
                  <w:jc w:val="right"/>
                  <w:rPr>
                    <w:rFonts w:ascii="宋体" w:hAnsi="宋体"/>
                  </w:rPr>
                </w:pPr>
              </w:p>
            </w:tc>
            <w:sdt>
              <w:sdtPr>
                <w:rPr>
                  <w:rFonts w:ascii="宋体" w:hAnsi="宋体"/>
                </w:rPr>
                <w:alias w:val="本年赎回"/>
                <w:tag w:val="_GBC_c6c700cd95e4418f975d929190947081"/>
                <w:id w:val="-647059111"/>
                <w:showingPlcHdr/>
              </w:sdtPr>
              <w:sdtContent>
                <w:tc>
                  <w:tcPr>
                    <w:tcW w:w="1276" w:type="dxa"/>
                    <w:vAlign w:val="center"/>
                  </w:tcPr>
                  <w:p>
                    <w:pPr>
                      <w:jc w:val="right"/>
                      <w:rPr>
                        <w:rFonts w:ascii="宋体" w:hAnsi="宋体"/>
                      </w:rPr>
                    </w:pPr>
                    <w:r>
                      <w:rPr>
                        <w:rFonts w:ascii="宋体" w:hAnsi="宋体"/>
                      </w:rPr>
                      <w:t xml:space="preserve">     </w:t>
                    </w:r>
                  </w:p>
                </w:tc>
              </w:sdtContent>
            </w:sdt>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6,000</w:t>
                </w:r>
              </w:p>
            </w:tc>
            <w:tc>
              <w:tcPr>
                <w:tcW w:w="1276" w:type="dxa"/>
                <w:vAlign w:val="center"/>
              </w:tcPr>
              <w:p>
                <w:pPr>
                  <w:jc w:val="right"/>
                  <w:rPr>
                    <w:rFonts w:ascii="宋体" w:hAnsi="宋体"/>
                  </w:rPr>
                </w:pPr>
                <w:r>
                  <w:rPr>
                    <w:rFonts w:ascii="宋体" w:hAnsi="宋体"/>
                  </w:rPr>
                  <w:t>2,997,100</w:t>
                </w:r>
              </w:p>
            </w:tc>
            <w:sdt>
              <w:sdtPr>
                <w:rPr>
                  <w:rFonts w:ascii="宋体" w:hAnsi="宋体"/>
                </w:rPr>
                <w:alias w:val="应付债券是否违约"/>
                <w:tag w:val="_GBC_b29c4c8797c84a3fa108403ac6b6e6df"/>
                <w:id w:val="256720745"/>
                <w:comboBox>
                  <w:listItem w:displayText="是" w:value="是"/>
                  <w:listItem w:displayText="否" w:value="否"/>
                </w:comboBox>
              </w:sdtPr>
              <w:sdtContent>
                <w:tc>
                  <w:tcPr>
                    <w:tcW w:w="425" w:type="dxa"/>
                    <w:vAlign w:val="center"/>
                  </w:tcPr>
                  <w:p>
                    <w:pPr>
                      <w:jc w:val="right"/>
                      <w:rPr>
                        <w:rFonts w:ascii="宋体" w:hAnsi="宋体"/>
                      </w:rPr>
                    </w:pPr>
                    <w:r>
                      <w:rPr>
                        <w:rFonts w:ascii="宋体" w:hAnsi="宋体" w:hint="eastAsia"/>
                      </w:rPr>
                      <w:t>否</w:t>
                    </w:r>
                  </w:p>
                </w:tc>
              </w:sdtContent>
            </w:sdt>
          </w:tr>
        </w:sdtContent>
      </w:sdt>
      <w:tr>
        <w:trPr>
          <w:cantSplit/>
          <w:trHeight w:val="266"/>
        </w:trPr>
        <w:sdt>
          <w:sdtPr>
            <w:rPr>
              <w:rFonts w:ascii="宋体" w:hAnsi="宋体"/>
            </w:rPr>
            <w:tag w:val="_PLD_41192c0475024a44a2c97d36651ee82d"/>
            <w:id w:val="-858278714"/>
          </w:sdtPr>
          <w:sdtContent>
            <w:tc>
              <w:tcPr>
                <w:tcW w:w="851" w:type="dxa"/>
                <w:vAlign w:val="center"/>
              </w:tcPr>
              <w:p>
                <w:pPr>
                  <w:jc w:val="center"/>
                  <w:rPr>
                    <w:rFonts w:ascii="宋体" w:hAnsi="宋体"/>
                  </w:rPr>
                </w:pPr>
                <w:r>
                  <w:rPr>
                    <w:rFonts w:ascii="宋体" w:hAnsi="宋体" w:hint="eastAsia"/>
                  </w:rPr>
                  <w:t>合计</w:t>
                </w:r>
              </w:p>
            </w:tc>
          </w:sdtContent>
        </w:sdt>
        <w:tc>
          <w:tcPr>
            <w:tcW w:w="568" w:type="dxa"/>
            <w:vAlign w:val="center"/>
          </w:tcPr>
          <w:sdt>
            <w:sdtPr>
              <w:rPr>
                <w:rFonts w:ascii="宋体" w:hAnsi="宋体"/>
              </w:rPr>
              <w:tag w:val="_PLD_c0ae6c3256074b0298876be520a70e7b"/>
              <w:id w:val="1694725003"/>
            </w:sdtPr>
            <w:sdtContent>
              <w:p>
                <w:pPr>
                  <w:jc w:val="center"/>
                  <w:rPr>
                    <w:rFonts w:ascii="宋体" w:hAnsi="宋体"/>
                  </w:rPr>
                </w:pPr>
                <w:r>
                  <w:rPr>
                    <w:rFonts w:ascii="宋体" w:hAnsi="宋体"/>
                  </w:rPr>
                  <w:t>/</w:t>
                </w:r>
              </w:p>
            </w:sdtContent>
          </w:sdt>
        </w:tc>
        <w:tc>
          <w:tcPr>
            <w:tcW w:w="567" w:type="dxa"/>
            <w:vAlign w:val="center"/>
          </w:tcPr>
          <w:p>
            <w:pPr>
              <w:jc w:val="center"/>
              <w:rPr>
                <w:rFonts w:ascii="宋体" w:hAnsi="宋体"/>
              </w:rPr>
            </w:pPr>
            <w:r>
              <w:rPr>
                <w:rFonts w:ascii="宋体" w:hAnsi="宋体"/>
              </w:rPr>
              <w:t>/</w:t>
            </w:r>
          </w:p>
        </w:tc>
        <w:tc>
          <w:tcPr>
            <w:tcW w:w="1134" w:type="dxa"/>
            <w:vAlign w:val="center"/>
          </w:tcPr>
          <w:p>
            <w:pPr>
              <w:jc w:val="center"/>
              <w:rPr>
                <w:rFonts w:ascii="宋体" w:hAnsi="宋体"/>
              </w:rPr>
            </w:pPr>
            <w:r>
              <w:rPr>
                <w:rFonts w:ascii="宋体" w:hAnsi="宋体"/>
              </w:rPr>
              <w:t>/</w:t>
            </w:r>
          </w:p>
        </w:tc>
        <w:tc>
          <w:tcPr>
            <w:tcW w:w="708" w:type="dxa"/>
            <w:vAlign w:val="center"/>
          </w:tcPr>
          <w:p>
            <w:pPr>
              <w:jc w:val="center"/>
              <w:rPr>
                <w:rFonts w:ascii="宋体" w:hAnsi="宋体"/>
              </w:rPr>
            </w:pPr>
            <w:r>
              <w:rPr>
                <w:rFonts w:ascii="宋体" w:hAnsi="宋体"/>
              </w:rPr>
              <w:t>/</w:t>
            </w:r>
          </w:p>
        </w:tc>
        <w:tc>
          <w:tcPr>
            <w:tcW w:w="1276" w:type="dxa"/>
            <w:vAlign w:val="center"/>
          </w:tcPr>
          <w:p>
            <w:pPr>
              <w:jc w:val="right"/>
              <w:rPr>
                <w:rFonts w:ascii="宋体" w:hAnsi="宋体"/>
              </w:rPr>
            </w:pPr>
            <w:r>
              <w:rPr>
                <w:rFonts w:ascii="宋体" w:hAnsi="宋体"/>
              </w:rPr>
              <w:t>32,000,000</w:t>
            </w:r>
          </w:p>
        </w:tc>
        <w:tc>
          <w:tcPr>
            <w:tcW w:w="1276" w:type="dxa"/>
            <w:vAlign w:val="center"/>
          </w:tcPr>
          <w:p>
            <w:pPr>
              <w:jc w:val="right"/>
              <w:rPr>
                <w:rFonts w:ascii="宋体" w:hAnsi="宋体"/>
              </w:rPr>
            </w:pPr>
            <w:r>
              <w:rPr>
                <w:rFonts w:ascii="宋体" w:hAnsi="宋体"/>
              </w:rPr>
              <w:t>15,973,544</w:t>
            </w:r>
          </w:p>
        </w:tc>
        <w:tc>
          <w:tcPr>
            <w:tcW w:w="1417" w:type="dxa"/>
            <w:vAlign w:val="center"/>
          </w:tcPr>
          <w:p>
            <w:pPr>
              <w:jc w:val="right"/>
              <w:rPr>
                <w:rFonts w:ascii="宋体" w:hAnsi="宋体"/>
              </w:rPr>
            </w:pPr>
            <w:r>
              <w:rPr>
                <w:rFonts w:ascii="宋体" w:hAnsi="宋体"/>
              </w:rPr>
              <w:t>13,000,000</w:t>
            </w:r>
          </w:p>
        </w:tc>
        <w:tc>
          <w:tcPr>
            <w:tcW w:w="1276" w:type="dxa"/>
            <w:vAlign w:val="center"/>
          </w:tcPr>
          <w:p>
            <w:pPr>
              <w:jc w:val="right"/>
              <w:rPr>
                <w:rFonts w:ascii="宋体" w:hAnsi="宋体"/>
              </w:rPr>
            </w:pPr>
            <w:r>
              <w:rPr>
                <w:rFonts w:ascii="宋体" w:hAnsi="宋体"/>
              </w:rPr>
              <w:t>1,018,354</w:t>
            </w:r>
          </w:p>
        </w:tc>
        <w:tc>
          <w:tcPr>
            <w:tcW w:w="992" w:type="dxa"/>
            <w:vAlign w:val="center"/>
          </w:tcPr>
          <w:p>
            <w:pPr>
              <w:jc w:val="right"/>
              <w:rPr>
                <w:rFonts w:ascii="宋体" w:hAnsi="宋体"/>
              </w:rPr>
            </w:pPr>
            <w:r>
              <w:rPr>
                <w:rFonts w:ascii="宋体" w:hAnsi="宋体"/>
              </w:rPr>
              <w:t>-8,759</w:t>
            </w:r>
          </w:p>
        </w:tc>
        <w:tc>
          <w:tcPr>
            <w:tcW w:w="1134" w:type="dxa"/>
            <w:vAlign w:val="center"/>
          </w:tcPr>
          <w:p>
            <w:pPr>
              <w:jc w:val="right"/>
              <w:rPr>
                <w:rFonts w:ascii="宋体" w:hAnsi="宋体"/>
              </w:rPr>
            </w:pPr>
            <w:r>
              <w:rPr>
                <w:rFonts w:ascii="宋体" w:hAnsi="宋体"/>
              </w:rPr>
              <w:t>594,867</w:t>
            </w:r>
          </w:p>
        </w:tc>
        <w:tc>
          <w:tcPr>
            <w:tcW w:w="1276" w:type="dxa"/>
            <w:vAlign w:val="center"/>
          </w:tcPr>
          <w:p>
            <w:pPr>
              <w:jc w:val="right"/>
              <w:rPr>
                <w:rFonts w:ascii="宋体" w:hAnsi="宋体"/>
              </w:rPr>
            </w:pPr>
            <w:r>
              <w:rPr>
                <w:rFonts w:ascii="宋体" w:hAnsi="宋体"/>
              </w:rPr>
              <w:t>2,000,000</w:t>
            </w:r>
          </w:p>
        </w:tc>
        <w:tc>
          <w:tcPr>
            <w:tcW w:w="425"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hint="eastAsia"/>
              </w:rPr>
              <w:t>4,424,120</w:t>
            </w:r>
          </w:p>
        </w:tc>
        <w:tc>
          <w:tcPr>
            <w:tcW w:w="1276" w:type="dxa"/>
            <w:vAlign w:val="center"/>
          </w:tcPr>
          <w:p>
            <w:pPr>
              <w:jc w:val="right"/>
              <w:rPr>
                <w:rFonts w:ascii="宋体" w:hAnsi="宋体"/>
              </w:rPr>
            </w:pPr>
            <w:r>
              <w:rPr>
                <w:rFonts w:ascii="宋体" w:hAnsi="宋体"/>
              </w:rPr>
              <w:t>22,964,152</w:t>
            </w:r>
          </w:p>
        </w:tc>
        <w:tc>
          <w:tcPr>
            <w:tcW w:w="425" w:type="dxa"/>
            <w:vAlign w:val="center"/>
          </w:tcPr>
          <w:p>
            <w:pPr>
              <w:jc w:val="right"/>
              <w:rPr>
                <w:rFonts w:ascii="宋体" w:hAnsi="宋体"/>
              </w:rPr>
            </w:pPr>
            <w:r>
              <w:rPr>
                <w:rFonts w:ascii="宋体" w:hAnsi="宋体"/>
              </w:rPr>
              <w:t>/</w:t>
            </w:r>
          </w:p>
        </w:tc>
      </w:tr>
    </w:tbl>
    <w:p>
      <w:pPr>
        <w:pStyle w:val="Style175"/>
      </w:pPr>
    </w:p>
    <w:p>
      <w:pPr>
        <w:pStyle w:val="Style217"/>
      </w:pPr>
    </w:p>
    <w:p>
      <w:pPr>
        <w:pStyle w:val="Style179"/>
        <w:numPr>
          <w:ilvl w:val="0"/>
          <w:numId w:val="106"/>
        </w:numPr>
        <w:ind w:left="426" w:hanging="426"/>
      </w:pPr>
      <w:r>
        <w:rPr>
          <w:rFonts w:hint="eastAsia"/>
        </w:rPr>
        <w:t>可转换公司债券的说明</w:t>
      </w:r>
    </w:p>
    <w:sdt>
      <w:sdtPr>
        <w:rPr>
          <w:rFonts w:hint="eastAsia"/>
        </w:rPr>
        <w:alias w:val="是否适用：可转换公司债券的转股条件、转股时间说明[双击切换]"/>
        <w:tag w:val="_GBC_2b6cb515ba4c417781662a31ccbd84e3"/>
        <w:id w:val="-478459327"/>
        <w:placeholder>
          <w:docPart w:val="GBC22222222222222222222222222222"/>
        </w:placeholder>
      </w:sdtPr>
      <w:sdtContent>
        <w:p>
          <w:pPr>
            <w:spacing w:before="60" w:after="6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pacing w:before="60" w:after="60"/>
      </w:pPr>
    </w:p>
    <w:p>
      <w:pPr>
        <w:spacing w:before="60" w:after="60"/>
      </w:pPr>
      <w:r>
        <w:rPr>
          <w:rFonts w:hint="eastAsia"/>
        </w:rPr>
        <w:t>转股权会计处理及判断依据</w:t>
      </w:r>
    </w:p>
    <w:sdt>
      <w:sdtPr>
        <w:alias w:val="是否适用：转股权会计处理及判断依据[双击切换]"/>
        <w:tag w:val="_GBC_8ec57a1730b24863aa91d9cece86f4d1"/>
        <w:id w:val="113337971"/>
        <w:placeholder>
          <w:docPart w:val="GBC22222222222222222222222222222"/>
        </w:placeholder>
      </w:sdtPr>
      <w:sdtContent>
        <w:p>
          <w:pPr>
            <w:spacing w:before="60" w:after="6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9"/>
        <w:numPr>
          <w:ilvl w:val="0"/>
          <w:numId w:val="106"/>
        </w:numPr>
        <w:ind w:left="426" w:hanging="426"/>
      </w:pPr>
      <w:bookmarkStart w:id="493" w:name="_Hlk184976397"/>
      <w:bookmarkEnd w:id="491"/>
      <w:bookmarkEnd w:id="492"/>
      <w:r>
        <w:rPr>
          <w:rFonts w:hint="eastAsia"/>
        </w:rPr>
        <w:t>划分为金融负债的其他金融工具说明</w:t>
      </w:r>
    </w:p>
    <w:p>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53513c1d69be4ad5ae1f8e792b460c3a"/>
        <w:id w:val="-2111967272"/>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p>
    <w:p>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e613ba16b53e4bbb8a851aaf5017e3db"/>
        <w:id w:val="-1763985694"/>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p>
    <w:p>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204081d4f834a93a4a19ca79b51cf77"/>
        <w:id w:val="1543094006"/>
        <w:placeholder>
          <w:docPart w:val="GBC22222222222222222222222222222"/>
        </w:placeholder>
      </w:sdtPr>
      <w:sdtContent>
        <w:p>
          <w:pPr>
            <w:spacing w:before="60" w:after="6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p>
    <w:bookmarkEnd w:id="493"/>
    <w:p>
      <w:pPr>
        <w:spacing w:before="60" w:after="60"/>
      </w:pPr>
      <w:r>
        <w:rPr>
          <w:rFonts w:hint="eastAsia"/>
        </w:rPr>
        <w:t>其他说明：</w:t>
      </w:r>
    </w:p>
    <w:sdt>
      <w:sdtPr>
        <w:alias w:val="是否适用：应付债券的其他说明[双击切换]"/>
        <w:tag w:val="_GBC_2068e4e6d2994d6f8cfa9ecc26b171d4"/>
        <w:id w:val="1421602664"/>
        <w:placeholder>
          <w:docPart w:val="GBC22222222222222222222222222222"/>
        </w:placeholder>
      </w:sdtPr>
      <w:sdtContent>
        <w:p>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sectPr>
          <w:pgSz w:w="16838" w:h="11906" w:orient="landscape"/>
          <w:pgMar w:top="1276" w:right="1440" w:bottom="1797" w:left="1525" w:header="856" w:footer="992" w:gutter="0"/>
          <w:cols w:space="425"/>
          <w:docGrid w:linePitch="312"/>
        </w:sectPr>
      </w:pPr>
    </w:p>
    <w:p>
      <w:pPr>
        <w:pStyle w:val="Style217"/>
      </w:pPr>
    </w:p>
    <w:p>
      <w:pPr>
        <w:pStyle w:val="Style178"/>
        <w:numPr>
          <w:ilvl w:val="0"/>
          <w:numId w:val="75"/>
        </w:numPr>
        <w:rPr>
          <w:szCs w:val="21"/>
        </w:rPr>
      </w:pPr>
      <w:bookmarkStart w:id="494" w:name="_Hlk24026742"/>
      <w:r>
        <w:rPr>
          <w:szCs w:val="21"/>
        </w:rPr>
        <w:t>租赁负债</w:t>
      </w:r>
    </w:p>
    <w:sdt>
      <w:sdtPr>
        <w:alias w:val="是否适用：租赁负债[双击切换]"/>
        <w:tag w:val="_GBC_abf9a23b0ddc4b63b6f39d768c084973"/>
        <w:id w:val="-49064253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租赁负债"/>
          <w:tag w:val="_GBC_33e504b2a4a34d41946083d1a309022f"/>
          <w:id w:val="207986778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租赁负债"/>
          <w:tag w:val="_GBC_90ebb9825c5740c794669c2bf1475590"/>
          <w:id w:val="9663301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2921"/>
        <w:gridCol w:w="2922"/>
      </w:tblGrid>
      <w:tr>
        <w:trPr>
          <w:cantSplit/>
          <w:trHeight w:val="307"/>
        </w:trPr>
        <w:sdt>
          <w:sdtPr>
            <w:tag w:val="_PLD_a05982b715d74082b7e01db9e1e265ef"/>
            <w:id w:val="-1625149856"/>
          </w:sdtPr>
          <w:sdtContent>
            <w:tc>
              <w:tcPr>
                <w:tcW w:w="3205" w:type="dxa"/>
                <w:vAlign w:val="center"/>
              </w:tcPr>
              <w:p>
                <w:pPr>
                  <w:jc w:val="center"/>
                </w:pPr>
                <w:r>
                  <w:rPr>
                    <w:rFonts w:hint="eastAsia"/>
                  </w:rPr>
                  <w:t>项目</w:t>
                </w:r>
              </w:p>
            </w:tc>
          </w:sdtContent>
        </w:sdt>
        <w:sdt>
          <w:sdtPr>
            <w:tag w:val="_PLD_84a0d8719b674f50bfcfc1c6ed86fed6"/>
            <w:id w:val="1567300947"/>
          </w:sdtPr>
          <w:sdtContent>
            <w:tc>
              <w:tcPr>
                <w:tcW w:w="2921" w:type="dxa"/>
                <w:vAlign w:val="center"/>
              </w:tcPr>
              <w:p>
                <w:pPr>
                  <w:jc w:val="center"/>
                </w:pPr>
                <w:r>
                  <w:rPr>
                    <w:rFonts w:hint="eastAsia"/>
                  </w:rPr>
                  <w:t>期末余额</w:t>
                </w:r>
              </w:p>
            </w:tc>
          </w:sdtContent>
        </w:sdt>
        <w:sdt>
          <w:sdtPr>
            <w:tag w:val="_PLD_d601589800f8414abb18e7477e7b41d6"/>
            <w:id w:val="1282150309"/>
          </w:sdtPr>
          <w:sdtContent>
            <w:tc>
              <w:tcPr>
                <w:tcW w:w="2922" w:type="dxa"/>
                <w:vAlign w:val="center"/>
              </w:tcPr>
              <w:p>
                <w:pPr>
                  <w:jc w:val="center"/>
                </w:pPr>
                <w:r>
                  <w:rPr>
                    <w:rFonts w:hint="eastAsia"/>
                  </w:rPr>
                  <w:t>期初余额</w:t>
                </w:r>
              </w:p>
            </w:tc>
          </w:sdtContent>
        </w:sdt>
      </w:tr>
      <w:tr>
        <w:trPr>
          <w:cantSplit/>
          <w:trHeight w:val="186"/>
        </w:trPr>
        <w:tc>
          <w:tcPr>
            <w:tcW w:w="3205" w:type="dxa"/>
          </w:tcPr>
          <w:p>
            <w:pPr>
              <w:pStyle w:val="Style217"/>
            </w:pPr>
            <w:r>
              <w:rPr>
                <w:rFonts w:hint="eastAsia"/>
              </w:rPr>
              <w:t>经营租赁</w:t>
            </w:r>
          </w:p>
        </w:tc>
        <w:tc>
          <w:tcPr>
            <w:tcW w:w="2921" w:type="dxa"/>
            <w:vAlign w:val="center"/>
          </w:tcPr>
          <w:p>
            <w:pPr>
              <w:jc w:val="right"/>
              <w:rPr>
                <w:rFonts w:ascii="宋体" w:hAnsi="宋体"/>
              </w:rPr>
            </w:pPr>
            <w:r>
              <w:rPr>
                <w:rFonts w:ascii="宋体" w:hAnsi="宋体"/>
              </w:rPr>
              <w:t>138,733</w:t>
            </w:r>
          </w:p>
        </w:tc>
        <w:tc>
          <w:tcPr>
            <w:tcW w:w="2922" w:type="dxa"/>
            <w:vAlign w:val="center"/>
          </w:tcPr>
          <w:p>
            <w:pPr>
              <w:jc w:val="right"/>
              <w:rPr>
                <w:rFonts w:ascii="宋体" w:hAnsi="宋体"/>
              </w:rPr>
            </w:pPr>
            <w:r>
              <w:rPr>
                <w:rFonts w:ascii="宋体" w:hAnsi="宋体"/>
              </w:rPr>
              <w:t>223,704</w:t>
            </w:r>
          </w:p>
        </w:tc>
      </w:tr>
      <w:tr>
        <w:trPr>
          <w:cantSplit/>
          <w:trHeight w:val="186"/>
        </w:trPr>
        <w:tc>
          <w:tcPr>
            <w:tcW w:w="3205" w:type="dxa"/>
          </w:tcPr>
          <w:p>
            <w:pPr>
              <w:pStyle w:val="Style217"/>
            </w:pPr>
            <w:r>
              <w:rPr>
                <w:rFonts w:hint="eastAsia"/>
              </w:rPr>
              <w:t>融资租赁</w:t>
            </w:r>
          </w:p>
        </w:tc>
        <w:tc>
          <w:tcPr>
            <w:tcW w:w="2921" w:type="dxa"/>
            <w:vAlign w:val="center"/>
          </w:tcPr>
          <w:p>
            <w:pPr>
              <w:jc w:val="right"/>
              <w:rPr>
                <w:rFonts w:ascii="宋体" w:hAnsi="宋体"/>
              </w:rPr>
            </w:pPr>
            <w:r>
              <w:rPr>
                <w:rFonts w:ascii="宋体" w:hAnsi="宋体"/>
              </w:rPr>
              <w:t>286,910</w:t>
            </w:r>
          </w:p>
        </w:tc>
        <w:tc>
          <w:tcPr>
            <w:tcW w:w="2922" w:type="dxa"/>
            <w:vAlign w:val="center"/>
          </w:tcPr>
          <w:p>
            <w:pPr>
              <w:jc w:val="right"/>
              <w:rPr>
                <w:rFonts w:ascii="宋体" w:hAnsi="宋体"/>
              </w:rPr>
            </w:pPr>
            <w:r>
              <w:rPr>
                <w:rFonts w:ascii="宋体" w:hAnsi="宋体"/>
              </w:rPr>
              <w:t>121,120</w:t>
            </w:r>
          </w:p>
        </w:tc>
      </w:tr>
      <w:tr>
        <w:trPr>
          <w:cantSplit/>
          <w:trHeight w:val="186"/>
        </w:trPr>
        <w:tc>
          <w:tcPr>
            <w:tcW w:w="3205" w:type="dxa"/>
            <w:vAlign w:val="center"/>
          </w:tcPr>
          <w:p>
            <w:pPr>
              <w:jc w:val="center"/>
            </w:pPr>
            <w:r>
              <w:rPr>
                <w:rFonts w:hint="eastAsia"/>
              </w:rPr>
              <w:t>合计</w:t>
            </w:r>
          </w:p>
        </w:tc>
        <w:tc>
          <w:tcPr>
            <w:tcW w:w="2921" w:type="dxa"/>
            <w:vAlign w:val="center"/>
          </w:tcPr>
          <w:p>
            <w:pPr>
              <w:jc w:val="right"/>
              <w:rPr>
                <w:rFonts w:ascii="宋体" w:hAnsi="宋体"/>
              </w:rPr>
            </w:pPr>
            <w:r>
              <w:rPr>
                <w:rFonts w:ascii="宋体" w:hAnsi="宋体"/>
              </w:rPr>
              <w:t>425,643</w:t>
            </w:r>
          </w:p>
        </w:tc>
        <w:tc>
          <w:tcPr>
            <w:tcW w:w="2922" w:type="dxa"/>
            <w:vAlign w:val="center"/>
          </w:tcPr>
          <w:p>
            <w:pPr>
              <w:jc w:val="right"/>
              <w:rPr>
                <w:rFonts w:ascii="宋体" w:hAnsi="宋体"/>
              </w:rPr>
            </w:pPr>
            <w:r>
              <w:rPr>
                <w:rFonts w:ascii="宋体" w:hAnsi="宋体"/>
              </w:rPr>
              <w:t>344,824</w:t>
            </w:r>
          </w:p>
        </w:tc>
      </w:tr>
    </w:tbl>
    <w:p>
      <w:pPr>
        <w:snapToGrid w:val="0"/>
        <w:spacing w:before="60" w:after="60" w:line="240" w:lineRule="atLeast"/>
      </w:pPr>
      <w:r>
        <w:rPr>
          <w:rFonts w:hint="eastAsia"/>
        </w:rPr>
        <w:t>其他说明：</w:t>
      </w:r>
    </w:p>
    <w:sdt>
      <w:sdtPr>
        <w:alias w:val="租赁负债其他说明"/>
        <w:tag w:val="_GBC_d655dad6394141cbbfbca3ff3319cddc"/>
        <w:id w:val="2031677547"/>
        <w:placeholder>
          <w:docPart w:val="GBC22222222222222222222222222222"/>
        </w:placeholder>
      </w:sdtPr>
      <w:sdtContent>
        <w:p>
          <w:pPr>
            <w:pStyle w:val="Style217"/>
          </w:pPr>
          <w:r>
            <w:rPr>
              <w:rFonts w:hint="eastAsia"/>
            </w:rPr>
            <w:t>-</w:t>
          </w:r>
        </w:p>
      </w:sdtContent>
    </w:sdt>
    <w:bookmarkEnd w:id="494"/>
    <w:p>
      <w:pPr>
        <w:pStyle w:val="Style217"/>
      </w:pPr>
    </w:p>
    <w:p>
      <w:pPr>
        <w:pStyle w:val="Style178"/>
        <w:numPr>
          <w:ilvl w:val="0"/>
          <w:numId w:val="75"/>
        </w:numPr>
        <w:rPr>
          <w:szCs w:val="21"/>
        </w:rPr>
      </w:pPr>
      <w:r>
        <w:rPr>
          <w:szCs w:val="21"/>
        </w:rPr>
        <w:t>长期应付款</w:t>
      </w:r>
    </w:p>
    <w:p>
      <w:pPr>
        <w:pStyle w:val="Style179"/>
      </w:pPr>
      <w:bookmarkStart w:id="495" w:name="_Hlk532911038"/>
      <w:r>
        <w:rPr>
          <w:rFonts w:hint="eastAsia"/>
        </w:rPr>
        <w:t>项目列示</w:t>
      </w:r>
    </w:p>
    <w:sdt>
      <w:sdtPr>
        <w:alias w:val="是否适用：长期应付款分类列示[双击切换]"/>
        <w:tag w:val="_GBC_90d4a9bd673140ef9c99898da48d1614"/>
        <w:id w:val="-148353717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长期应付款分类列示"/>
          <w:tag w:val="_GBC_6f1c5753ac2941b597e1d984d66c55a3"/>
          <w:id w:val="-9782204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长期应付款分类列示"/>
          <w:tag w:val="_GBC_8f45b0164513461a90709633a96141c4"/>
          <w:id w:val="1654462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2863"/>
        <w:gridCol w:w="2877"/>
      </w:tblGrid>
      <w:tr>
        <w:sdt>
          <w:sdtPr>
            <w:tag w:val="_PLD_2038af4a07e447f88ceb8aedfaa7f12b"/>
            <w:id w:val="-1134101296"/>
          </w:sdtPr>
          <w:sdtContent>
            <w:tc>
              <w:tcPr>
                <w:tcW w:w="3308" w:type="dxa"/>
                <w:vAlign w:val="center"/>
              </w:tcPr>
              <w:p>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8b56081577b84bd3b322c0202b6a7142"/>
            <w:id w:val="391619642"/>
          </w:sdtPr>
          <w:sdtContent>
            <w:tc>
              <w:tcPr>
                <w:tcW w:w="2863" w:type="dxa"/>
                <w:vAlign w:val="center"/>
              </w:tcPr>
              <w:p>
                <w:pPr>
                  <w:jc w:val="center"/>
                </w:pPr>
                <w:r>
                  <w:rPr>
                    <w:rFonts w:hint="eastAsia"/>
                  </w:rPr>
                  <w:t>期末余额</w:t>
                </w:r>
              </w:p>
            </w:tc>
          </w:sdtContent>
        </w:sdt>
        <w:sdt>
          <w:sdtPr>
            <w:tag w:val="_PLD_2fa2691f59be4fb398c9e37e50109f5a"/>
            <w:id w:val="-1485854424"/>
          </w:sdtPr>
          <w:sdtContent>
            <w:tc>
              <w:tcPr>
                <w:tcW w:w="2877" w:type="dxa"/>
                <w:vAlign w:val="center"/>
              </w:tcPr>
              <w:p>
                <w:pPr>
                  <w:jc w:val="center"/>
                </w:pPr>
                <w:r>
                  <w:rPr>
                    <w:rFonts w:hint="eastAsia"/>
                  </w:rPr>
                  <w:t>期初余额</w:t>
                </w:r>
              </w:p>
            </w:tc>
          </w:sdtContent>
        </w:sdt>
      </w:tr>
      <w:tr>
        <w:tc>
          <w:tcPr>
            <w:tcW w:w="3308" w:type="dxa"/>
            <w:vAlign w:val="center"/>
          </w:tcPr>
          <w:p>
            <w:pPr>
              <w:tabs>
                <w:tab w:val="right" w:pos="3690"/>
                <w:tab w:val="right" w:pos="5130"/>
                <w:tab w:val="right" w:pos="6030"/>
                <w:tab w:val="right" w:pos="7650"/>
                <w:tab w:val="right" w:pos="9270"/>
              </w:tabs>
              <w:adjustRightInd w:val="0"/>
              <w:snapToGrid w:val="0"/>
            </w:pPr>
            <w:r>
              <w:rPr>
                <w:rFonts w:hint="eastAsia"/>
              </w:rPr>
              <w:t>长期应付款</w:t>
            </w:r>
          </w:p>
        </w:tc>
        <w:tc>
          <w:tcPr>
            <w:tcW w:w="2863" w:type="dxa"/>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16,270,899</w:t>
            </w:r>
          </w:p>
        </w:tc>
        <w:tc>
          <w:tcPr>
            <w:tcW w:w="2877" w:type="dxa"/>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10,820,411</w:t>
            </w:r>
          </w:p>
        </w:tc>
      </w:tr>
      <w:tr>
        <w:tc>
          <w:tcPr>
            <w:tcW w:w="3308" w:type="dxa"/>
            <w:vAlign w:val="center"/>
          </w:tcPr>
          <w:p>
            <w:pPr>
              <w:tabs>
                <w:tab w:val="right" w:pos="3690"/>
                <w:tab w:val="right" w:pos="5130"/>
                <w:tab w:val="right" w:pos="6030"/>
                <w:tab w:val="right" w:pos="7650"/>
                <w:tab w:val="right" w:pos="9270"/>
              </w:tabs>
              <w:adjustRightInd w:val="0"/>
              <w:snapToGrid w:val="0"/>
            </w:pPr>
            <w:r>
              <w:rPr>
                <w:rFonts w:hint="eastAsia"/>
              </w:rPr>
              <w:t>专项应付款</w:t>
            </w:r>
          </w:p>
        </w:tc>
        <w:tc>
          <w:tcPr>
            <w:tcW w:w="2863" w:type="dxa"/>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16,162</w:t>
            </w:r>
          </w:p>
        </w:tc>
        <w:tc>
          <w:tcPr>
            <w:tcW w:w="2877" w:type="dxa"/>
            <w:vAlign w:val="center"/>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13,382</w:t>
            </w:r>
          </w:p>
        </w:tc>
      </w:tr>
      <w:tr>
        <w:tc>
          <w:tcPr>
            <w:tcW w:w="3308" w:type="dxa"/>
            <w:vAlign w:val="center"/>
          </w:tcPr>
          <w:p>
            <w:pPr>
              <w:tabs>
                <w:tab w:val="right" w:pos="3690"/>
                <w:tab w:val="right" w:pos="5130"/>
                <w:tab w:val="right" w:pos="6030"/>
                <w:tab w:val="right" w:pos="7650"/>
                <w:tab w:val="right" w:pos="9270"/>
              </w:tabs>
              <w:adjustRightInd w:val="0"/>
              <w:snapToGrid w:val="0"/>
              <w:jc w:val="center"/>
            </w:pPr>
            <w:r>
              <w:rPr>
                <w:rFonts w:hint="eastAsia"/>
              </w:rPr>
              <w:t>合计</w:t>
            </w:r>
          </w:p>
        </w:tc>
        <w:tc>
          <w:tcPr>
            <w:tcW w:w="2863" w:type="dxa"/>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16,287,061</w:t>
            </w:r>
          </w:p>
        </w:tc>
        <w:tc>
          <w:tcPr>
            <w:tcW w:w="2877" w:type="dxa"/>
          </w:tcPr>
          <w:p>
            <w:pPr>
              <w:tabs>
                <w:tab w:val="right" w:pos="3690"/>
                <w:tab w:val="right" w:pos="5130"/>
                <w:tab w:val="right" w:pos="6030"/>
                <w:tab w:val="right" w:pos="7650"/>
                <w:tab w:val="right" w:pos="9270"/>
              </w:tabs>
              <w:adjustRightInd w:val="0"/>
              <w:snapToGrid w:val="0"/>
              <w:jc w:val="right"/>
              <w:rPr>
                <w:rFonts w:ascii="宋体" w:hAnsi="宋体"/>
              </w:rPr>
            </w:pPr>
            <w:r>
              <w:rPr>
                <w:rFonts w:ascii="宋体" w:hAnsi="宋体"/>
              </w:rPr>
              <w:t>10,833,793</w:t>
            </w:r>
          </w:p>
        </w:tc>
      </w:tr>
    </w:tbl>
    <w:p>
      <w:pPr>
        <w:pStyle w:val="Style217"/>
      </w:pPr>
    </w:p>
    <w:p>
      <w:pPr>
        <w:pStyle w:val="Style217"/>
      </w:pPr>
      <w:bookmarkStart w:id="496" w:name="_Hlk532911057"/>
      <w:bookmarkEnd w:id="495"/>
      <w:r>
        <w:rPr>
          <w:rFonts w:hint="eastAsia"/>
        </w:rPr>
        <w:t>其他说明：</w:t>
      </w:r>
    </w:p>
    <w:sdt>
      <w:sdtPr>
        <w:alias w:val="是否适用：长期应付款分类列示其他说明[双击切换]"/>
        <w:tag w:val="_GBC_e7daa7f55cea4e3d835be6ee6457b35d"/>
        <w:id w:val="-73593143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496"/>
    <w:p>
      <w:pPr>
        <w:pStyle w:val="Style179"/>
        <w:ind w:left="360" w:hanging="360"/>
      </w:pPr>
      <w:r>
        <w:rPr>
          <w:rFonts w:hint="eastAsia"/>
        </w:rPr>
        <w:t>长期应付款</w:t>
      </w:r>
    </w:p>
    <w:p>
      <w:pPr>
        <w:pStyle w:val="Style180"/>
        <w:numPr>
          <w:ilvl w:val="0"/>
          <w:numId w:val="107"/>
        </w:numPr>
        <w:ind w:leftChars="0"/>
      </w:pPr>
      <w:r>
        <w:rPr>
          <w:rFonts w:hint="eastAsia"/>
        </w:rPr>
        <w:t>按款项性质列示长期应付款</w:t>
      </w:r>
    </w:p>
    <w:sdt>
      <w:sdtPr>
        <w:alias w:val="是否适用：按款项性质列示长期应付款[双击切换]"/>
        <w:tag w:val="_GBC_6a4cca7cce5341018cd4836f32746cd9"/>
        <w:id w:val="155242455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付款"/>
          <w:tag w:val="_GBC_ddf7b9d28f164198ac6c2f6a82b47d41"/>
          <w:id w:val="-19955577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长期应付款"/>
          <w:tag w:val="_GBC_f93228408d4f48699309d8ab4da673ba"/>
          <w:id w:val="-16969240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208"/>
        <w:gridCol w:w="2924"/>
        <w:gridCol w:w="2926"/>
      </w:tblGrid>
      <w:tr>
        <w:trPr>
          <w:cantSplit/>
          <w:trHeight w:val="307"/>
        </w:trPr>
        <w:sdt>
          <w:sdtPr>
            <w:tag w:val="_PLD_80697eb0741143188d1783ddd81c2db2"/>
            <w:id w:val="471103531"/>
          </w:sdtPr>
          <w:sdtContent>
            <w:tc>
              <w:tcPr>
                <w:tcW w:w="3208" w:type="dxa"/>
                <w:vAlign w:val="center"/>
              </w:tcPr>
              <w:p>
                <w:pPr>
                  <w:jc w:val="center"/>
                </w:pPr>
                <w:r>
                  <w:rPr>
                    <w:rFonts w:hint="eastAsia"/>
                  </w:rPr>
                  <w:t>项目</w:t>
                </w:r>
              </w:p>
            </w:tc>
          </w:sdtContent>
        </w:sdt>
        <w:sdt>
          <w:sdtPr>
            <w:tag w:val="_PLD_b45e38f9b06048e18bf5d20429299b7b"/>
            <w:id w:val="1684865983"/>
          </w:sdtPr>
          <w:sdtContent>
            <w:tc>
              <w:tcPr>
                <w:tcW w:w="2924" w:type="dxa"/>
                <w:vAlign w:val="center"/>
              </w:tcPr>
              <w:p>
                <w:pPr>
                  <w:jc w:val="center"/>
                </w:pPr>
                <w:r>
                  <w:rPr>
                    <w:rFonts w:hint="eastAsia"/>
                  </w:rPr>
                  <w:t>期末余额</w:t>
                </w:r>
              </w:p>
            </w:tc>
          </w:sdtContent>
        </w:sdt>
        <w:sdt>
          <w:sdtPr>
            <w:tag w:val="_PLD_361897af892e4de98bc2cf056e2b512c"/>
            <w:id w:val="-68731296"/>
          </w:sdtPr>
          <w:sdtContent>
            <w:tc>
              <w:tcPr>
                <w:tcW w:w="2926" w:type="dxa"/>
                <w:vAlign w:val="center"/>
              </w:tcPr>
              <w:p>
                <w:pPr>
                  <w:jc w:val="center"/>
                </w:pPr>
                <w:r>
                  <w:rPr>
                    <w:rFonts w:hint="eastAsia"/>
                  </w:rPr>
                  <w:t>期初余额</w:t>
                </w:r>
              </w:p>
            </w:tc>
          </w:sdtContent>
        </w:sdt>
      </w:tr>
      <w:tr>
        <w:trPr>
          <w:cantSplit/>
          <w:trHeight w:val="186"/>
        </w:trPr>
        <w:tc>
          <w:tcPr>
            <w:tcW w:w="3208" w:type="dxa"/>
          </w:tcPr>
          <w:p>
            <w:pPr>
              <w:pStyle w:val="Style217"/>
            </w:pPr>
            <w:r>
              <w:rPr>
                <w:rFonts w:hint="eastAsia"/>
              </w:rPr>
              <w:t>采矿权购置款</w:t>
            </w:r>
          </w:p>
        </w:tc>
        <w:tc>
          <w:tcPr>
            <w:tcW w:w="2924" w:type="dxa"/>
            <w:vAlign w:val="center"/>
          </w:tcPr>
          <w:p>
            <w:pPr>
              <w:jc w:val="right"/>
              <w:rPr>
                <w:rFonts w:ascii="宋体" w:hAnsi="宋体"/>
              </w:rPr>
            </w:pPr>
            <w:r>
              <w:rPr>
                <w:rFonts w:ascii="宋体" w:hAnsi="宋体"/>
              </w:rPr>
              <w:t>13,295,006</w:t>
            </w:r>
          </w:p>
        </w:tc>
        <w:tc>
          <w:tcPr>
            <w:tcW w:w="2926" w:type="dxa"/>
            <w:vAlign w:val="center"/>
          </w:tcPr>
          <w:p>
            <w:pPr>
              <w:jc w:val="right"/>
              <w:rPr>
                <w:rFonts w:ascii="宋体" w:hAnsi="宋体"/>
              </w:rPr>
            </w:pPr>
            <w:r>
              <w:rPr>
                <w:rFonts w:ascii="宋体" w:hAnsi="宋体"/>
              </w:rPr>
              <w:t>7,107,097</w:t>
            </w:r>
          </w:p>
        </w:tc>
      </w:tr>
      <w:tr>
        <w:trPr>
          <w:cantSplit/>
          <w:trHeight w:val="186"/>
        </w:trPr>
        <w:tc>
          <w:tcPr>
            <w:tcW w:w="3208" w:type="dxa"/>
          </w:tcPr>
          <w:p>
            <w:pPr>
              <w:pStyle w:val="Style217"/>
            </w:pPr>
            <w:r>
              <w:rPr>
                <w:rFonts w:hint="eastAsia"/>
              </w:rPr>
              <w:t>售后回租款（注）</w:t>
            </w:r>
          </w:p>
        </w:tc>
        <w:tc>
          <w:tcPr>
            <w:tcW w:w="2924" w:type="dxa"/>
            <w:vAlign w:val="center"/>
          </w:tcPr>
          <w:p>
            <w:pPr>
              <w:jc w:val="right"/>
              <w:rPr>
                <w:rFonts w:ascii="宋体" w:hAnsi="宋体"/>
              </w:rPr>
            </w:pPr>
            <w:r>
              <w:rPr>
                <w:rFonts w:ascii="宋体" w:hAnsi="宋体"/>
              </w:rPr>
              <w:t>501,056</w:t>
            </w:r>
          </w:p>
        </w:tc>
        <w:tc>
          <w:tcPr>
            <w:tcW w:w="2926" w:type="dxa"/>
            <w:vAlign w:val="center"/>
          </w:tcPr>
          <w:p>
            <w:pPr>
              <w:jc w:val="right"/>
              <w:rPr>
                <w:rFonts w:ascii="宋体" w:hAnsi="宋体"/>
              </w:rPr>
            </w:pPr>
            <w:r>
              <w:rPr>
                <w:rFonts w:ascii="宋体" w:hAnsi="宋体"/>
              </w:rPr>
              <w:t>1,540,726</w:t>
            </w:r>
          </w:p>
        </w:tc>
      </w:tr>
      <w:tr>
        <w:trPr>
          <w:cantSplit/>
          <w:trHeight w:val="186"/>
        </w:trPr>
        <w:tc>
          <w:tcPr>
            <w:tcW w:w="3208" w:type="dxa"/>
          </w:tcPr>
          <w:p>
            <w:pPr>
              <w:pStyle w:val="Style217"/>
            </w:pPr>
            <w:r>
              <w:rPr>
                <w:rFonts w:hint="eastAsia"/>
              </w:rPr>
              <w:t>政府专项债券</w:t>
            </w:r>
          </w:p>
        </w:tc>
        <w:tc>
          <w:tcPr>
            <w:tcW w:w="2924" w:type="dxa"/>
            <w:vAlign w:val="center"/>
          </w:tcPr>
          <w:p>
            <w:pPr>
              <w:jc w:val="right"/>
              <w:rPr>
                <w:rFonts w:ascii="宋体" w:hAnsi="宋体"/>
              </w:rPr>
            </w:pPr>
            <w:r>
              <w:rPr>
                <w:rFonts w:ascii="宋体" w:hAnsi="宋体"/>
              </w:rPr>
              <w:t>2,041,902</w:t>
            </w:r>
          </w:p>
        </w:tc>
        <w:tc>
          <w:tcPr>
            <w:tcW w:w="2926" w:type="dxa"/>
            <w:vAlign w:val="center"/>
          </w:tcPr>
          <w:p>
            <w:pPr>
              <w:jc w:val="right"/>
              <w:rPr>
                <w:rFonts w:ascii="宋体" w:hAnsi="宋体"/>
              </w:rPr>
            </w:pPr>
            <w:r>
              <w:rPr>
                <w:rFonts w:ascii="宋体" w:hAnsi="宋体"/>
              </w:rPr>
              <w:t>2,041,902</w:t>
            </w:r>
          </w:p>
        </w:tc>
      </w:tr>
      <w:tr>
        <w:trPr>
          <w:cantSplit/>
          <w:trHeight w:val="186"/>
        </w:trPr>
        <w:tc>
          <w:tcPr>
            <w:tcW w:w="3208" w:type="dxa"/>
          </w:tcPr>
          <w:p>
            <w:pPr>
              <w:pStyle w:val="Style217"/>
            </w:pPr>
            <w:r>
              <w:rPr>
                <w:rFonts w:hint="eastAsia"/>
              </w:rPr>
              <w:t>关联方借款</w:t>
            </w:r>
          </w:p>
        </w:tc>
        <w:tc>
          <w:tcPr>
            <w:tcW w:w="2924" w:type="dxa"/>
            <w:vAlign w:val="center"/>
          </w:tcPr>
          <w:p>
            <w:pPr>
              <w:jc w:val="right"/>
              <w:rPr>
                <w:rFonts w:ascii="宋体" w:hAnsi="宋体"/>
              </w:rPr>
            </w:pPr>
            <w:r>
              <w:rPr>
                <w:rFonts w:ascii="宋体" w:hAnsi="宋体"/>
              </w:rPr>
              <w:t>65,586</w:t>
            </w:r>
          </w:p>
        </w:tc>
        <w:tc>
          <w:tcPr>
            <w:tcW w:w="2926" w:type="dxa"/>
            <w:vAlign w:val="center"/>
          </w:tcPr>
          <w:p>
            <w:pPr>
              <w:jc w:val="right"/>
              <w:rPr>
                <w:rFonts w:ascii="宋体" w:hAnsi="宋体"/>
              </w:rPr>
            </w:pPr>
            <w:r>
              <w:rPr>
                <w:rFonts w:ascii="宋体" w:hAnsi="宋体"/>
              </w:rPr>
              <w:t>108,186</w:t>
            </w:r>
          </w:p>
        </w:tc>
      </w:tr>
      <w:tr>
        <w:trPr>
          <w:cantSplit/>
          <w:trHeight w:val="186"/>
        </w:trPr>
        <w:tc>
          <w:tcPr>
            <w:tcW w:w="3208" w:type="dxa"/>
          </w:tcPr>
          <w:p>
            <w:pPr>
              <w:pStyle w:val="Style217"/>
            </w:pPr>
            <w:r>
              <w:rPr>
                <w:rFonts w:hint="eastAsia"/>
              </w:rPr>
              <w:t>其他</w:t>
            </w:r>
          </w:p>
        </w:tc>
        <w:tc>
          <w:tcPr>
            <w:tcW w:w="2924" w:type="dxa"/>
          </w:tcPr>
          <w:p>
            <w:pPr>
              <w:jc w:val="right"/>
              <w:rPr>
                <w:rFonts w:ascii="宋体" w:hAnsi="宋体"/>
              </w:rPr>
            </w:pPr>
            <w:r>
              <w:rPr>
                <w:rFonts w:ascii="宋体" w:hAnsi="宋体"/>
              </w:rPr>
              <w:t>367,349</w:t>
            </w:r>
          </w:p>
        </w:tc>
        <w:tc>
          <w:tcPr>
            <w:tcW w:w="2926" w:type="dxa"/>
          </w:tcPr>
          <w:p>
            <w:pPr>
              <w:jc w:val="right"/>
              <w:rPr>
                <w:rFonts w:ascii="宋体" w:hAnsi="宋体"/>
              </w:rPr>
            </w:pPr>
            <w:r>
              <w:rPr>
                <w:rFonts w:ascii="宋体" w:hAnsi="宋体"/>
              </w:rPr>
              <w:t>22,500</w:t>
            </w:r>
          </w:p>
        </w:tc>
      </w:tr>
      <w:tr>
        <w:trPr>
          <w:cantSplit/>
          <w:trHeight w:val="186"/>
        </w:trPr>
        <w:tc>
          <w:tcPr>
            <w:tcW w:w="3208" w:type="dxa"/>
            <w:vAlign w:val="center"/>
          </w:tcPr>
          <w:p>
            <w:pPr>
              <w:jc w:val="center"/>
            </w:pPr>
            <w:r>
              <w:rPr>
                <w:rFonts w:hint="eastAsia"/>
              </w:rPr>
              <w:t>合计</w:t>
            </w:r>
          </w:p>
        </w:tc>
        <w:tc>
          <w:tcPr>
            <w:tcW w:w="2924" w:type="dxa"/>
          </w:tcPr>
          <w:p>
            <w:pPr>
              <w:jc w:val="right"/>
              <w:rPr>
                <w:rFonts w:ascii="宋体" w:hAnsi="宋体"/>
              </w:rPr>
            </w:pPr>
            <w:r>
              <w:rPr>
                <w:rFonts w:ascii="宋体" w:hAnsi="宋体"/>
              </w:rPr>
              <w:t>16,270,899</w:t>
            </w:r>
          </w:p>
        </w:tc>
        <w:tc>
          <w:tcPr>
            <w:tcW w:w="2926" w:type="dxa"/>
          </w:tcPr>
          <w:p>
            <w:pPr>
              <w:jc w:val="right"/>
              <w:rPr>
                <w:rFonts w:ascii="宋体" w:hAnsi="宋体"/>
              </w:rPr>
            </w:pPr>
            <w:r>
              <w:rPr>
                <w:rFonts w:ascii="宋体" w:hAnsi="宋体"/>
              </w:rPr>
              <w:t>10,820,411</w:t>
            </w:r>
          </w:p>
        </w:tc>
      </w:tr>
    </w:tbl>
    <w:p>
      <w:pPr>
        <w:snapToGrid w:val="0"/>
        <w:spacing w:before="60" w:after="60" w:line="240" w:lineRule="atLeast"/>
      </w:pPr>
      <w:r>
        <w:rPr>
          <w:rFonts w:hint="eastAsia"/>
        </w:rPr>
        <w:t>其他说明：</w:t>
      </w:r>
    </w:p>
    <w:sdt>
      <w:sdtPr>
        <w:alias w:val="长期应付款的说明"/>
        <w:tag w:val="_GBC_1e1004e075cc4ec6b1e314219a582067"/>
        <w:id w:val="859326373"/>
        <w:placeholder>
          <w:docPart w:val="GBC22222222222222222222222222222"/>
        </w:placeholder>
      </w:sdtPr>
      <w:sdtContent>
        <w:p>
          <w:pPr>
            <w:tabs>
              <w:tab w:val="left" w:pos="567"/>
              <w:tab w:val="left" w:pos="1100"/>
              <w:tab w:val="left" w:pos="1287"/>
            </w:tabs>
            <w:spacing w:beforeLines="50" w:before="120" w:afterLines="50" w:after="120" w:line="360" w:lineRule="exact"/>
            <w:ind w:firstLineChars="200" w:firstLine="420"/>
            <w:rPr>
              <w:rFonts w:ascii="宋体" w:hAnsi="宋体" w:cs="宋体"/>
            </w:rPr>
          </w:pPr>
          <w:r>
            <w:rPr>
              <w:rFonts w:ascii="宋体" w:hAnsi="宋体" w:cs="宋体" w:hint="eastAsia"/>
            </w:rPr>
            <w:t>注:截至2025年12月31日，该售后回租业务抵押的固定资产账面价值</w:t>
          </w:r>
          <w:r>
            <w:rPr>
              <w:rFonts w:ascii="宋体" w:hAnsi="宋体" w:cs="宋体"/>
            </w:rPr>
            <w:t>364,269</w:t>
          </w:r>
          <w:r>
            <w:rPr>
              <w:rFonts w:ascii="宋体" w:hAnsi="宋体" w:cs="宋体" w:hint="eastAsia"/>
            </w:rPr>
            <w:t>千元。</w:t>
          </w:r>
        </w:p>
      </w:sdtContent>
    </w:sdt>
    <w:p>
      <w:pPr>
        <w:snapToGrid w:val="0"/>
        <w:spacing w:line="240" w:lineRule="atLeast"/>
        <w:rPr>
          <w:rFonts w:cstheme="minorBidi"/>
        </w:rPr>
      </w:pPr>
    </w:p>
    <w:p>
      <w:pPr>
        <w:pStyle w:val="Style179"/>
        <w:ind w:left="360" w:hanging="360"/>
      </w:pPr>
      <w:r>
        <w:rPr>
          <w:rFonts w:hint="eastAsia"/>
        </w:rPr>
        <w:t>专项应付款</w:t>
      </w:r>
    </w:p>
    <w:p>
      <w:pPr>
        <w:pStyle w:val="Style180"/>
        <w:numPr>
          <w:ilvl w:val="0"/>
          <w:numId w:val="107"/>
        </w:numPr>
        <w:ind w:leftChars="0"/>
      </w:pPr>
      <w:r>
        <w:rPr>
          <w:rFonts w:hint="eastAsia"/>
        </w:rPr>
        <w:t>按款项性质列示专项应付款</w:t>
      </w:r>
    </w:p>
    <w:sdt>
      <w:sdtPr>
        <w:alias w:val="是否适用：专项应付款[双击切换]"/>
        <w:tag w:val="_GBC_857ddecb5bce4a0f99e428cd2635aa03"/>
        <w:id w:val="-57813802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专项应付款"/>
          <w:tag w:val="_GBC_17da351113a84d468019127602052875"/>
          <w:id w:val="-7815698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专项应付款"/>
          <w:tag w:val="_GBC_d724de50ed974f2a952a318759be09a1"/>
          <w:id w:val="-18539485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72"/>
        <w:gridCol w:w="1472"/>
        <w:gridCol w:w="1434"/>
        <w:gridCol w:w="1501"/>
        <w:gridCol w:w="1489"/>
        <w:gridCol w:w="1686"/>
      </w:tblGrid>
      <w:tr>
        <w:trPr>
          <w:cantSplit/>
        </w:trPr>
        <w:sdt>
          <w:sdtPr>
            <w:tag w:val="_PLD_a53ee673c4a94254bd1789424c6ff3d7"/>
            <w:id w:val="1050815468"/>
          </w:sdtPr>
          <w:sdtContent>
            <w:tc>
              <w:tcPr>
                <w:tcW w:w="1472" w:type="dxa"/>
                <w:vAlign w:val="center"/>
              </w:tcPr>
              <w:p>
                <w:pPr>
                  <w:ind w:right="105"/>
                  <w:jc w:val="center"/>
                </w:pPr>
                <w:r>
                  <w:rPr>
                    <w:rFonts w:hint="eastAsia"/>
                  </w:rPr>
                  <w:t>项目</w:t>
                </w:r>
              </w:p>
            </w:tc>
          </w:sdtContent>
        </w:sdt>
        <w:sdt>
          <w:sdtPr>
            <w:tag w:val="_PLD_a2bded2bd4b64db99375c871cadc7bfe"/>
            <w:id w:val="1438556184"/>
          </w:sdtPr>
          <w:sdtContent>
            <w:tc>
              <w:tcPr>
                <w:tcW w:w="1472" w:type="dxa"/>
                <w:vAlign w:val="center"/>
              </w:tcPr>
              <w:p>
                <w:pPr>
                  <w:jc w:val="center"/>
                </w:pPr>
                <w:r>
                  <w:rPr>
                    <w:rFonts w:hint="eastAsia"/>
                  </w:rPr>
                  <w:t>期初余额</w:t>
                </w:r>
              </w:p>
            </w:tc>
          </w:sdtContent>
        </w:sdt>
        <w:sdt>
          <w:sdtPr>
            <w:tag w:val="_PLD_38d8ecb0074145e2a543b0f0e8520f81"/>
            <w:id w:val="524675619"/>
          </w:sdtPr>
          <w:sdtContent>
            <w:tc>
              <w:tcPr>
                <w:tcW w:w="1434" w:type="dxa"/>
                <w:vAlign w:val="center"/>
              </w:tcPr>
              <w:p>
                <w:pPr>
                  <w:jc w:val="center"/>
                </w:pPr>
                <w:r>
                  <w:rPr>
                    <w:rFonts w:hint="eastAsia"/>
                  </w:rPr>
                  <w:t>本期增加</w:t>
                </w:r>
              </w:p>
            </w:tc>
          </w:sdtContent>
        </w:sdt>
        <w:sdt>
          <w:sdtPr>
            <w:tag w:val="_PLD_b5e01b5460594423805476f202eecf1c"/>
            <w:id w:val="-1473054427"/>
          </w:sdtPr>
          <w:sdtContent>
            <w:tc>
              <w:tcPr>
                <w:tcW w:w="1501" w:type="dxa"/>
                <w:vAlign w:val="center"/>
              </w:tcPr>
              <w:p>
                <w:pPr>
                  <w:jc w:val="center"/>
                </w:pPr>
                <w:r>
                  <w:rPr>
                    <w:rFonts w:hint="eastAsia"/>
                  </w:rPr>
                  <w:t>本期减少</w:t>
                </w:r>
              </w:p>
            </w:tc>
          </w:sdtContent>
        </w:sdt>
        <w:sdt>
          <w:sdtPr>
            <w:tag w:val="_PLD_f5bb3951cab74130adf727fbe35ac9d4"/>
            <w:id w:val="1836031066"/>
          </w:sdtPr>
          <w:sdtContent>
            <w:tc>
              <w:tcPr>
                <w:tcW w:w="1489" w:type="dxa"/>
                <w:vAlign w:val="center"/>
              </w:tcPr>
              <w:p>
                <w:pPr>
                  <w:jc w:val="center"/>
                </w:pPr>
                <w:r>
                  <w:rPr>
                    <w:rFonts w:hint="eastAsia"/>
                  </w:rPr>
                  <w:t>期末余额</w:t>
                </w:r>
              </w:p>
            </w:tc>
          </w:sdtContent>
        </w:sdt>
        <w:sdt>
          <w:sdtPr>
            <w:tag w:val="_PLD_1bb67b7225804d0fb21b0788ddc7b7d2"/>
            <w:id w:val="2143530972"/>
          </w:sdtPr>
          <w:sdtContent>
            <w:tc>
              <w:tcPr>
                <w:tcW w:w="1686" w:type="dxa"/>
                <w:vAlign w:val="center"/>
              </w:tcPr>
              <w:p>
                <w:pPr>
                  <w:jc w:val="center"/>
                </w:pPr>
                <w:r>
                  <w:rPr>
                    <w:rFonts w:hint="eastAsia"/>
                  </w:rPr>
                  <w:t>形成原因</w:t>
                </w:r>
              </w:p>
            </w:tc>
          </w:sdtContent>
        </w:sdt>
      </w:tr>
      <w:tr>
        <w:trPr>
          <w:cantSplit/>
        </w:trPr>
        <w:tc>
          <w:tcPr>
            <w:tcW w:w="1472" w:type="dxa"/>
          </w:tcPr>
          <w:p>
            <w:pPr>
              <w:ind w:right="105"/>
            </w:pPr>
            <w:r>
              <w:rPr>
                <w:rFonts w:hint="eastAsia"/>
              </w:rPr>
              <w:lastRenderedPageBreak/>
              <w:t>北宿煤矿关闭专项资金</w:t>
            </w:r>
          </w:p>
        </w:tc>
        <w:tc>
          <w:tcPr>
            <w:tcW w:w="1472" w:type="dxa"/>
            <w:vAlign w:val="center"/>
          </w:tcPr>
          <w:p>
            <w:pPr>
              <w:ind w:right="73"/>
              <w:jc w:val="right"/>
              <w:rPr>
                <w:rFonts w:ascii="宋体" w:hAnsi="宋体"/>
              </w:rPr>
            </w:pPr>
            <w:r>
              <w:rPr>
                <w:rFonts w:ascii="宋体" w:hAnsi="宋体" w:hint="eastAsia"/>
              </w:rPr>
              <w:t>12,980</w:t>
            </w:r>
          </w:p>
        </w:tc>
        <w:tc>
          <w:tcPr>
            <w:tcW w:w="1434" w:type="dxa"/>
            <w:vAlign w:val="center"/>
          </w:tcPr>
          <w:p>
            <w:pPr>
              <w:jc w:val="right"/>
              <w:rPr>
                <w:rFonts w:ascii="宋体" w:hAnsi="宋体"/>
              </w:rPr>
            </w:pPr>
          </w:p>
        </w:tc>
        <w:tc>
          <w:tcPr>
            <w:tcW w:w="1501" w:type="dxa"/>
            <w:vAlign w:val="center"/>
          </w:tcPr>
          <w:p>
            <w:pPr>
              <w:jc w:val="right"/>
              <w:rPr>
                <w:rFonts w:ascii="宋体" w:hAnsi="宋体"/>
              </w:rPr>
            </w:pPr>
            <w:r>
              <w:rPr>
                <w:rFonts w:ascii="宋体" w:hAnsi="宋体" w:hint="eastAsia"/>
              </w:rPr>
              <w:t>1,918</w:t>
            </w:r>
          </w:p>
        </w:tc>
        <w:tc>
          <w:tcPr>
            <w:tcW w:w="1489" w:type="dxa"/>
            <w:vAlign w:val="center"/>
          </w:tcPr>
          <w:p>
            <w:pPr>
              <w:ind w:right="73"/>
              <w:jc w:val="right"/>
              <w:rPr>
                <w:rFonts w:ascii="宋体" w:hAnsi="宋体"/>
              </w:rPr>
            </w:pPr>
            <w:r>
              <w:rPr>
                <w:rFonts w:ascii="宋体" w:hAnsi="宋体" w:hint="eastAsia"/>
              </w:rPr>
              <w:t>11,062</w:t>
            </w:r>
          </w:p>
        </w:tc>
        <w:tc>
          <w:tcPr>
            <w:tcW w:w="1686" w:type="dxa"/>
            <w:vAlign w:val="center"/>
          </w:tcPr>
          <w:p>
            <w:pPr>
              <w:jc w:val="center"/>
            </w:pPr>
            <w:r>
              <w:rPr>
                <w:rFonts w:hint="eastAsia"/>
              </w:rPr>
              <w:t>煤矿关闭</w:t>
            </w:r>
          </w:p>
        </w:tc>
      </w:tr>
      <w:tr>
        <w:trPr>
          <w:cantSplit/>
        </w:trPr>
        <w:tc>
          <w:tcPr>
            <w:tcW w:w="1472" w:type="dxa"/>
          </w:tcPr>
          <w:p>
            <w:pPr>
              <w:ind w:right="105"/>
            </w:pPr>
            <w:r>
              <w:rPr>
                <w:rFonts w:hint="eastAsia"/>
              </w:rPr>
              <w:t>科技计划项目经费</w:t>
            </w:r>
          </w:p>
        </w:tc>
        <w:tc>
          <w:tcPr>
            <w:tcW w:w="1472" w:type="dxa"/>
            <w:vAlign w:val="center"/>
          </w:tcPr>
          <w:p>
            <w:pPr>
              <w:ind w:right="73"/>
              <w:jc w:val="right"/>
              <w:rPr>
                <w:rFonts w:ascii="宋体" w:hAnsi="宋体"/>
              </w:rPr>
            </w:pPr>
            <w:r>
              <w:rPr>
                <w:rFonts w:ascii="宋体" w:hAnsi="宋体" w:hint="eastAsia"/>
              </w:rPr>
              <w:t>402</w:t>
            </w:r>
          </w:p>
        </w:tc>
        <w:tc>
          <w:tcPr>
            <w:tcW w:w="1434" w:type="dxa"/>
            <w:vAlign w:val="center"/>
          </w:tcPr>
          <w:p>
            <w:pPr>
              <w:jc w:val="right"/>
              <w:rPr>
                <w:rFonts w:ascii="宋体" w:hAnsi="宋体"/>
              </w:rPr>
            </w:pPr>
          </w:p>
        </w:tc>
        <w:tc>
          <w:tcPr>
            <w:tcW w:w="1501" w:type="dxa"/>
            <w:vAlign w:val="center"/>
          </w:tcPr>
          <w:p>
            <w:pPr>
              <w:jc w:val="right"/>
              <w:rPr>
                <w:rFonts w:ascii="宋体" w:hAnsi="宋体"/>
              </w:rPr>
            </w:pPr>
            <w:r>
              <w:rPr>
                <w:rFonts w:ascii="宋体" w:hAnsi="宋体" w:hint="eastAsia"/>
              </w:rPr>
              <w:t>402</w:t>
            </w:r>
          </w:p>
        </w:tc>
        <w:tc>
          <w:tcPr>
            <w:tcW w:w="1489" w:type="dxa"/>
            <w:vAlign w:val="center"/>
          </w:tcPr>
          <w:p>
            <w:pPr>
              <w:ind w:right="73"/>
              <w:jc w:val="right"/>
              <w:rPr>
                <w:rFonts w:ascii="宋体" w:hAnsi="宋体"/>
              </w:rPr>
            </w:pPr>
          </w:p>
        </w:tc>
        <w:tc>
          <w:tcPr>
            <w:tcW w:w="1686" w:type="dxa"/>
            <w:vAlign w:val="center"/>
          </w:tcPr>
          <w:p>
            <w:pPr>
              <w:jc w:val="center"/>
            </w:pPr>
            <w:r>
              <w:rPr>
                <w:rFonts w:hint="eastAsia"/>
              </w:rPr>
              <w:t>专项研发</w:t>
            </w:r>
          </w:p>
        </w:tc>
      </w:tr>
      <w:tr>
        <w:trPr>
          <w:cantSplit/>
        </w:trPr>
        <w:tc>
          <w:tcPr>
            <w:tcW w:w="1472" w:type="dxa"/>
          </w:tcPr>
          <w:p>
            <w:pPr>
              <w:ind w:right="105"/>
            </w:pPr>
            <w:r>
              <w:rPr>
                <w:rFonts w:hint="eastAsia"/>
              </w:rPr>
              <w:t>节能降碳专项拨款</w:t>
            </w:r>
          </w:p>
        </w:tc>
        <w:tc>
          <w:tcPr>
            <w:tcW w:w="1472" w:type="dxa"/>
            <w:vAlign w:val="center"/>
          </w:tcPr>
          <w:p>
            <w:pPr>
              <w:ind w:right="73"/>
              <w:jc w:val="right"/>
              <w:rPr>
                <w:rFonts w:ascii="宋体" w:hAnsi="宋体"/>
              </w:rPr>
            </w:pPr>
          </w:p>
        </w:tc>
        <w:tc>
          <w:tcPr>
            <w:tcW w:w="1434" w:type="dxa"/>
            <w:vAlign w:val="center"/>
          </w:tcPr>
          <w:p>
            <w:pPr>
              <w:jc w:val="right"/>
              <w:rPr>
                <w:rFonts w:ascii="宋体" w:hAnsi="宋体"/>
              </w:rPr>
            </w:pPr>
            <w:r>
              <w:rPr>
                <w:rFonts w:ascii="宋体" w:hAnsi="宋体" w:hint="eastAsia"/>
              </w:rPr>
              <w:t>5,100</w:t>
            </w:r>
          </w:p>
        </w:tc>
        <w:tc>
          <w:tcPr>
            <w:tcW w:w="1501" w:type="dxa"/>
            <w:vAlign w:val="center"/>
          </w:tcPr>
          <w:p>
            <w:pPr>
              <w:jc w:val="right"/>
              <w:rPr>
                <w:rFonts w:ascii="宋体" w:hAnsi="宋体"/>
              </w:rPr>
            </w:pPr>
          </w:p>
        </w:tc>
        <w:tc>
          <w:tcPr>
            <w:tcW w:w="1489" w:type="dxa"/>
            <w:vAlign w:val="center"/>
          </w:tcPr>
          <w:p>
            <w:pPr>
              <w:ind w:right="73"/>
              <w:jc w:val="right"/>
              <w:rPr>
                <w:rFonts w:ascii="宋体" w:hAnsi="宋体"/>
              </w:rPr>
            </w:pPr>
            <w:r>
              <w:rPr>
                <w:rFonts w:ascii="宋体" w:hAnsi="宋体" w:hint="eastAsia"/>
              </w:rPr>
              <w:t>5,100</w:t>
            </w:r>
          </w:p>
        </w:tc>
        <w:tc>
          <w:tcPr>
            <w:tcW w:w="1686" w:type="dxa"/>
            <w:vAlign w:val="center"/>
          </w:tcPr>
          <w:p>
            <w:pPr>
              <w:jc w:val="center"/>
            </w:pPr>
            <w:r>
              <w:rPr>
                <w:rFonts w:hint="eastAsia"/>
              </w:rPr>
              <w:t>循环经济助力降碳项目</w:t>
            </w:r>
          </w:p>
        </w:tc>
      </w:tr>
      <w:tr>
        <w:trPr>
          <w:cantSplit/>
        </w:trPr>
        <w:tc>
          <w:tcPr>
            <w:tcW w:w="1472" w:type="dxa"/>
            <w:vAlign w:val="center"/>
          </w:tcPr>
          <w:p>
            <w:pPr>
              <w:ind w:right="105"/>
              <w:jc w:val="center"/>
              <w:rPr>
                <w:color w:val="000000" w:themeColor="text1"/>
              </w:rPr>
            </w:pPr>
            <w:r>
              <w:rPr>
                <w:rFonts w:hint="eastAsia"/>
                <w:color w:val="000000" w:themeColor="text1"/>
              </w:rPr>
              <w:t>合计</w:t>
            </w:r>
          </w:p>
        </w:tc>
        <w:tc>
          <w:tcPr>
            <w:tcW w:w="1472" w:type="dxa"/>
            <w:vAlign w:val="center"/>
          </w:tcPr>
          <w:p>
            <w:pPr>
              <w:ind w:right="73"/>
              <w:jc w:val="right"/>
              <w:rPr>
                <w:rFonts w:ascii="宋体" w:hAnsi="宋体"/>
              </w:rPr>
            </w:pPr>
            <w:r>
              <w:rPr>
                <w:rFonts w:ascii="宋体" w:hAnsi="宋体"/>
              </w:rPr>
              <w:t>13,382</w:t>
            </w:r>
          </w:p>
        </w:tc>
        <w:tc>
          <w:tcPr>
            <w:tcW w:w="1434" w:type="dxa"/>
            <w:vAlign w:val="center"/>
          </w:tcPr>
          <w:p>
            <w:pPr>
              <w:jc w:val="right"/>
              <w:rPr>
                <w:rFonts w:ascii="宋体" w:hAnsi="宋体"/>
              </w:rPr>
            </w:pPr>
            <w:r>
              <w:rPr>
                <w:rFonts w:ascii="宋体" w:hAnsi="宋体"/>
              </w:rPr>
              <w:t>5,100</w:t>
            </w:r>
          </w:p>
        </w:tc>
        <w:tc>
          <w:tcPr>
            <w:tcW w:w="1501" w:type="dxa"/>
            <w:vAlign w:val="center"/>
          </w:tcPr>
          <w:p>
            <w:pPr>
              <w:jc w:val="right"/>
              <w:rPr>
                <w:rFonts w:ascii="宋体" w:hAnsi="宋体"/>
              </w:rPr>
            </w:pPr>
            <w:r>
              <w:rPr>
                <w:rFonts w:ascii="宋体" w:hAnsi="宋体"/>
              </w:rPr>
              <w:t>2,320</w:t>
            </w:r>
          </w:p>
        </w:tc>
        <w:tc>
          <w:tcPr>
            <w:tcW w:w="1489" w:type="dxa"/>
            <w:vAlign w:val="center"/>
          </w:tcPr>
          <w:p>
            <w:pPr>
              <w:ind w:right="73"/>
              <w:jc w:val="right"/>
              <w:rPr>
                <w:rFonts w:ascii="宋体" w:hAnsi="宋体"/>
              </w:rPr>
            </w:pPr>
            <w:r>
              <w:rPr>
                <w:rFonts w:ascii="宋体" w:hAnsi="宋体"/>
              </w:rPr>
              <w:t>16,162</w:t>
            </w:r>
          </w:p>
        </w:tc>
        <w:tc>
          <w:tcPr>
            <w:tcW w:w="1686" w:type="dxa"/>
            <w:vAlign w:val="center"/>
          </w:tcPr>
          <w:p>
            <w:pPr>
              <w:jc w:val="center"/>
              <w:rPr>
                <w:color w:val="000000" w:themeColor="text1"/>
              </w:rPr>
            </w:pPr>
            <w:r>
              <w:rPr>
                <w:color w:val="000000" w:themeColor="text1"/>
              </w:rPr>
              <w:t>/</w:t>
            </w:r>
          </w:p>
        </w:tc>
      </w:tr>
    </w:tbl>
    <w:p>
      <w:pPr>
        <w:snapToGrid w:val="0"/>
        <w:spacing w:before="60" w:after="60"/>
      </w:pPr>
      <w:r>
        <w:rPr>
          <w:rFonts w:hint="eastAsia"/>
        </w:rPr>
        <w:t>其他说明：</w:t>
      </w:r>
    </w:p>
    <w:sdt>
      <w:sdtPr>
        <w:alias w:val="专项应付款的说明"/>
        <w:tag w:val="_GBC_954a6f7cb5ff48de9193ddbb478f6007"/>
        <w:id w:val="-120150651"/>
        <w:placeholder>
          <w:docPart w:val="GBC22222222222222222222222222222"/>
        </w:placeholder>
      </w:sdtPr>
      <w:sdtContent>
        <w:p>
          <w:pPr>
            <w:snapToGrid w:val="0"/>
          </w:pPr>
          <w:r>
            <w:rPr>
              <w:rFonts w:hint="eastAsia"/>
            </w:rPr>
            <w:t>-</w:t>
          </w:r>
        </w:p>
      </w:sdtContent>
    </w:sdt>
    <w:p>
      <w:pPr>
        <w:snapToGrid w:val="0"/>
      </w:pPr>
    </w:p>
    <w:p>
      <w:pPr>
        <w:pStyle w:val="Style178"/>
        <w:numPr>
          <w:ilvl w:val="0"/>
          <w:numId w:val="75"/>
        </w:numPr>
        <w:rPr>
          <w:szCs w:val="21"/>
        </w:rPr>
      </w:pPr>
      <w:r>
        <w:rPr>
          <w:szCs w:val="21"/>
        </w:rPr>
        <w:t>长期应付职工薪酬</w:t>
      </w:r>
    </w:p>
    <w:sdt>
      <w:sdtPr>
        <w:alias w:val="是否适用：长期应付职工薪酬[双击切换]"/>
        <w:tag w:val="_GBC_24f9546075204a64926cf2cb24e64f0e"/>
        <w:id w:val="88699076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79"/>
        <w:numPr>
          <w:ilvl w:val="0"/>
          <w:numId w:val="108"/>
        </w:numPr>
        <w:ind w:left="426" w:hanging="426"/>
      </w:pPr>
      <w:r>
        <w:rPr>
          <w:rFonts w:hint="eastAsia"/>
        </w:rPr>
        <w:t>长期应付职工薪酬表</w:t>
      </w:r>
    </w:p>
    <w:sdt>
      <w:sdtPr>
        <w:alias w:val="是否适用：长期应付职工薪酬表[双击切换]"/>
        <w:tag w:val="_GBC_b44de9fd198c4a3499852d2770fe541b"/>
        <w:id w:val="-8854848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付职工薪酬"/>
          <w:tag w:val="_GBC_494e432bb7b842a4b2966c2a30e46b7c"/>
          <w:id w:val="-11849810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长期应付职工薪酬"/>
          <w:tag w:val="_GBC_02ec6d6e408949a7aba93c9538df7dad"/>
          <w:id w:val="-11125870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2631"/>
        <w:gridCol w:w="2763"/>
      </w:tblGrid>
      <w:tr>
        <w:sdt>
          <w:sdtPr>
            <w:tag w:val="_PLD_87f8419ee43a44a3851aeb0ae20db3b3"/>
            <w:id w:val="-470293324"/>
          </w:sdtPr>
          <w:sdtContent>
            <w:tc>
              <w:tcPr>
                <w:tcW w:w="3653" w:type="dxa"/>
                <w:vAlign w:val="center"/>
              </w:tcPr>
              <w:p>
                <w:pPr>
                  <w:jc w:val="center"/>
                </w:pPr>
                <w:r>
                  <w:rPr>
                    <w:rFonts w:hint="eastAsia"/>
                  </w:rPr>
                  <w:t>项目</w:t>
                </w:r>
              </w:p>
            </w:tc>
          </w:sdtContent>
        </w:sdt>
        <w:sdt>
          <w:sdtPr>
            <w:tag w:val="_PLD_dc953e100cbb4806858d7d10436872c1"/>
            <w:id w:val="917832796"/>
          </w:sdtPr>
          <w:sdtContent>
            <w:tc>
              <w:tcPr>
                <w:tcW w:w="2631" w:type="dxa"/>
                <w:vAlign w:val="center"/>
              </w:tcPr>
              <w:p>
                <w:pPr>
                  <w:jc w:val="center"/>
                </w:pPr>
                <w:r>
                  <w:rPr>
                    <w:rFonts w:hint="eastAsia"/>
                  </w:rPr>
                  <w:t>期末余额</w:t>
                </w:r>
              </w:p>
            </w:tc>
          </w:sdtContent>
        </w:sdt>
        <w:sdt>
          <w:sdtPr>
            <w:tag w:val="_PLD_28d4785454ea4bd99f4433899ff434f8"/>
            <w:id w:val="-1739547971"/>
          </w:sdtPr>
          <w:sdtContent>
            <w:tc>
              <w:tcPr>
                <w:tcW w:w="2763" w:type="dxa"/>
                <w:vAlign w:val="center"/>
              </w:tcPr>
              <w:p>
                <w:pPr>
                  <w:jc w:val="center"/>
                </w:pPr>
                <w:r>
                  <w:rPr>
                    <w:rFonts w:hint="eastAsia"/>
                  </w:rPr>
                  <w:t>期初余额</w:t>
                </w:r>
              </w:p>
            </w:tc>
          </w:sdtContent>
        </w:sdt>
      </w:tr>
      <w:tr>
        <w:tc>
          <w:tcPr>
            <w:tcW w:w="3653" w:type="dxa"/>
            <w:vAlign w:val="center"/>
          </w:tcPr>
          <w:p>
            <w:pPr>
              <w:pStyle w:val="Style217"/>
            </w:pPr>
            <w:r>
              <w:rPr>
                <w:rFonts w:hint="eastAsia"/>
              </w:rPr>
              <w:t>一、离职后福利-设定受益计划净负债</w:t>
            </w:r>
          </w:p>
        </w:tc>
        <w:tc>
          <w:tcPr>
            <w:tcW w:w="2631" w:type="dxa"/>
            <w:vAlign w:val="center"/>
          </w:tcPr>
          <w:p>
            <w:pPr>
              <w:jc w:val="right"/>
              <w:rPr>
                <w:rFonts w:ascii="宋体" w:hAnsi="宋体"/>
              </w:rPr>
            </w:pPr>
            <w:r>
              <w:rPr>
                <w:rFonts w:ascii="宋体" w:hAnsi="宋体"/>
              </w:rPr>
              <w:t>10,595,818</w:t>
            </w:r>
          </w:p>
        </w:tc>
        <w:tc>
          <w:tcPr>
            <w:tcW w:w="2763" w:type="dxa"/>
            <w:vAlign w:val="center"/>
          </w:tcPr>
          <w:p>
            <w:pPr>
              <w:jc w:val="right"/>
              <w:rPr>
                <w:rFonts w:ascii="宋体" w:hAnsi="宋体"/>
              </w:rPr>
            </w:pPr>
            <w:r>
              <w:rPr>
                <w:rFonts w:ascii="宋体" w:hAnsi="宋体"/>
              </w:rPr>
              <w:t>11,848,723</w:t>
            </w:r>
          </w:p>
        </w:tc>
      </w:tr>
      <w:tr>
        <w:tc>
          <w:tcPr>
            <w:tcW w:w="3653" w:type="dxa"/>
            <w:vAlign w:val="center"/>
          </w:tcPr>
          <w:p>
            <w:pPr>
              <w:pStyle w:val="Style217"/>
            </w:pPr>
            <w:r>
              <w:rPr>
                <w:rFonts w:hint="eastAsia"/>
              </w:rPr>
              <w:t>二、长期服务假</w:t>
            </w:r>
          </w:p>
        </w:tc>
        <w:tc>
          <w:tcPr>
            <w:tcW w:w="2631" w:type="dxa"/>
            <w:vAlign w:val="center"/>
          </w:tcPr>
          <w:p>
            <w:pPr>
              <w:jc w:val="right"/>
              <w:rPr>
                <w:rFonts w:ascii="宋体" w:hAnsi="宋体"/>
              </w:rPr>
            </w:pPr>
            <w:r>
              <w:rPr>
                <w:rFonts w:ascii="宋体" w:hAnsi="宋体"/>
              </w:rPr>
              <w:t>620,950</w:t>
            </w:r>
          </w:p>
        </w:tc>
        <w:tc>
          <w:tcPr>
            <w:tcW w:w="2763" w:type="dxa"/>
            <w:vAlign w:val="center"/>
          </w:tcPr>
          <w:p>
            <w:pPr>
              <w:jc w:val="right"/>
              <w:rPr>
                <w:rFonts w:ascii="宋体" w:hAnsi="宋体"/>
              </w:rPr>
            </w:pPr>
            <w:r>
              <w:rPr>
                <w:rFonts w:ascii="宋体" w:hAnsi="宋体"/>
              </w:rPr>
              <w:t>539,270</w:t>
            </w:r>
          </w:p>
        </w:tc>
      </w:tr>
      <w:tr>
        <w:tc>
          <w:tcPr>
            <w:tcW w:w="3653" w:type="dxa"/>
            <w:vAlign w:val="center"/>
          </w:tcPr>
          <w:p>
            <w:pPr>
              <w:pStyle w:val="Style217"/>
            </w:pPr>
            <w:r>
              <w:rPr>
                <w:rFonts w:hint="eastAsia"/>
              </w:rPr>
              <w:t>三、辞退福利</w:t>
            </w:r>
          </w:p>
        </w:tc>
        <w:tc>
          <w:tcPr>
            <w:tcW w:w="2631" w:type="dxa"/>
            <w:vAlign w:val="center"/>
          </w:tcPr>
          <w:p>
            <w:pPr>
              <w:jc w:val="right"/>
              <w:rPr>
                <w:rFonts w:ascii="宋体" w:hAnsi="宋体"/>
              </w:rPr>
            </w:pPr>
            <w:r>
              <w:rPr>
                <w:rFonts w:ascii="宋体" w:hAnsi="宋体"/>
              </w:rPr>
              <w:t>176,034</w:t>
            </w:r>
          </w:p>
        </w:tc>
        <w:tc>
          <w:tcPr>
            <w:tcW w:w="2763" w:type="dxa"/>
            <w:vAlign w:val="center"/>
          </w:tcPr>
          <w:p>
            <w:pPr>
              <w:jc w:val="right"/>
              <w:rPr>
                <w:rFonts w:ascii="宋体" w:hAnsi="宋体"/>
              </w:rPr>
            </w:pPr>
            <w:r>
              <w:rPr>
                <w:rFonts w:ascii="宋体" w:hAnsi="宋体"/>
              </w:rPr>
              <w:t>227,322</w:t>
            </w:r>
          </w:p>
        </w:tc>
      </w:tr>
      <w:tr>
        <w:tc>
          <w:tcPr>
            <w:tcW w:w="3653" w:type="dxa"/>
            <w:vAlign w:val="center"/>
          </w:tcPr>
          <w:p>
            <w:pPr>
              <w:jc w:val="center"/>
            </w:pPr>
            <w:r>
              <w:rPr>
                <w:rFonts w:hint="eastAsia"/>
              </w:rPr>
              <w:t>合计</w:t>
            </w:r>
          </w:p>
        </w:tc>
        <w:tc>
          <w:tcPr>
            <w:tcW w:w="2631" w:type="dxa"/>
            <w:vAlign w:val="center"/>
          </w:tcPr>
          <w:p>
            <w:pPr>
              <w:jc w:val="right"/>
              <w:rPr>
                <w:rFonts w:ascii="宋体" w:hAnsi="宋体"/>
              </w:rPr>
            </w:pPr>
            <w:r>
              <w:rPr>
                <w:rFonts w:ascii="宋体" w:hAnsi="宋体"/>
              </w:rPr>
              <w:t>11,392,802</w:t>
            </w:r>
          </w:p>
        </w:tc>
        <w:tc>
          <w:tcPr>
            <w:tcW w:w="2763" w:type="dxa"/>
            <w:vAlign w:val="center"/>
          </w:tcPr>
          <w:p>
            <w:pPr>
              <w:jc w:val="right"/>
              <w:rPr>
                <w:rFonts w:ascii="宋体" w:hAnsi="宋体"/>
              </w:rPr>
            </w:pPr>
            <w:r>
              <w:rPr>
                <w:rFonts w:ascii="宋体" w:hAnsi="宋体"/>
              </w:rPr>
              <w:t>12,615,315</w:t>
            </w:r>
          </w:p>
        </w:tc>
      </w:tr>
    </w:tbl>
    <w:p>
      <w:pPr>
        <w:pStyle w:val="Style2061"/>
        <w:spacing w:after="120"/>
        <w:ind w:firstLine="400"/>
      </w:pPr>
      <w:r>
        <w:rPr>
          <w:rFonts w:hint="eastAsia"/>
        </w:rPr>
        <w:t>注:长期服务假以截至本报告期末由职工提供的服务预期未来付款的现值计量并考虑未来的工资和薪金水平，员工离职和服务期限。在资产负债表日，使用市场收益率对估计未来现金流出量进行折现。根据澳大利亚Coal·Mining·Industry·(LongService·Leave·Funding)</w:t>
      </w:r>
      <w:r>
        <w:t>.Act.</w:t>
      </w:r>
      <w:r>
        <w:rPr>
          <w:rFonts w:hint="eastAsia"/>
        </w:rPr>
        <w:t>1992煤炭行业(长期服务年假基金)法规1992.规定，若雇员长期被雇佣，雇员将获得除年假以外的长期服务假期(带薪)。每月应根据职工薪酬水平向Coal·Mining·Industry(Long·Service·Leave·Funding)Corporation(以下简称Coal·Mining·Industry·Corporation)存入长期服务假资金，待向员工支付长期服务假福利后，可以从Coal·Mining·Industry·Corporation·得到部分补偿，因此将此款项确认为其他流动资产、其他非流动资产。在资产负债表日，若长期服务假的支付义务未来发生，则将长期服务假确认为应付职工薪酬、长期应付职工薪酬。</w:t>
      </w:r>
    </w:p>
    <w:p>
      <w:pPr>
        <w:pStyle w:val="Style217"/>
      </w:pPr>
    </w:p>
    <w:p>
      <w:pPr>
        <w:pStyle w:val="Style179"/>
        <w:numPr>
          <w:ilvl w:val="0"/>
          <w:numId w:val="108"/>
        </w:numPr>
        <w:ind w:left="426" w:hanging="426"/>
      </w:pPr>
      <w:r>
        <w:rPr>
          <w:rFonts w:hint="eastAsia"/>
        </w:rPr>
        <w:t>设定受益计划变动情况</w:t>
      </w:r>
    </w:p>
    <w:p>
      <w:pPr>
        <w:pStyle w:val="Style217"/>
      </w:pPr>
      <w:r>
        <w:rPr>
          <w:rFonts w:hint="eastAsia"/>
        </w:rPr>
        <w:t>设定受益计划义务现值：</w:t>
      </w:r>
    </w:p>
    <w:sdt>
      <w:sdtPr>
        <w:alias w:val="是否适用：设定受益计划义务现值[双击切换]"/>
        <w:tag w:val="_GBC_898bbd8ee5bb4ad698965551469ae3fb"/>
        <w:id w:val="-164888345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设定受益计划义务现值"/>
          <w:tag w:val="_GBC_d87db3237cee4a5a822494fe218bb633"/>
          <w:id w:val="8699612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设定受益计划义务现值"/>
          <w:tag w:val="_GBC_99e1a1c974464745933602a4864f5ee3"/>
          <w:id w:val="-4472399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2"/>
        <w:gridCol w:w="2785"/>
        <w:gridCol w:w="2781"/>
      </w:tblGrid>
      <w:tr>
        <w:sdt>
          <w:sdtPr>
            <w:tag w:val="_PLD_3dee25d75b904d5fa25c2c52ba200ae2"/>
            <w:id w:val="-1409155164"/>
          </w:sdtPr>
          <w:sdtContent>
            <w:tc>
              <w:tcPr>
                <w:tcW w:w="3482" w:type="dxa"/>
                <w:tcBorders>
                  <w:left w:val="single" w:sz="6" w:space="0" w:color="auto"/>
                  <w:bottom w:val="single" w:sz="6" w:space="0" w:color="auto"/>
                  <w:right w:val="single" w:sz="6" w:space="0" w:color="auto"/>
                </w:tcBorders>
                <w:vAlign w:val="center"/>
              </w:tcPr>
              <w:p>
                <w:pPr>
                  <w:jc w:val="center"/>
                </w:pPr>
                <w:r>
                  <w:rPr>
                    <w:rFonts w:hint="eastAsia"/>
                  </w:rPr>
                  <w:t>项目</w:t>
                </w:r>
              </w:p>
            </w:tc>
          </w:sdtContent>
        </w:sdt>
        <w:sdt>
          <w:sdtPr>
            <w:tag w:val="_PLD_a95376567d1a4834b376e3089b85f864"/>
            <w:id w:val="-1258753319"/>
          </w:sdtPr>
          <w:sdtContent>
            <w:tc>
              <w:tcPr>
                <w:tcW w:w="2785" w:type="dxa"/>
                <w:tcBorders>
                  <w:top w:val="single" w:sz="6" w:space="0" w:color="auto"/>
                  <w:left w:val="single" w:sz="6" w:space="0" w:color="auto"/>
                  <w:bottom w:val="single" w:sz="4" w:space="0" w:color="auto"/>
                  <w:right w:val="single" w:sz="4" w:space="0" w:color="auto"/>
                </w:tcBorders>
                <w:vAlign w:val="center"/>
              </w:tcPr>
              <w:p>
                <w:pPr>
                  <w:jc w:val="center"/>
                </w:pPr>
                <w:r>
                  <w:rPr>
                    <w:rFonts w:hint="eastAsia"/>
                  </w:rPr>
                  <w:t>本期发生额</w:t>
                </w:r>
              </w:p>
            </w:tc>
          </w:sdtContent>
        </w:sdt>
        <w:sdt>
          <w:sdtPr>
            <w:tag w:val="_PLD_86c4cd0f85c94b3197fb39dcde827282"/>
            <w:id w:val="-653979459"/>
          </w:sdtPr>
          <w:sdtContent>
            <w:tc>
              <w:tcPr>
                <w:tcW w:w="2781" w:type="dxa"/>
                <w:tcBorders>
                  <w:top w:val="single" w:sz="6" w:space="0" w:color="auto"/>
                  <w:left w:val="single" w:sz="6" w:space="0" w:color="auto"/>
                  <w:bottom w:val="single" w:sz="4" w:space="0" w:color="auto"/>
                  <w:right w:val="single" w:sz="4" w:space="0" w:color="auto"/>
                </w:tcBorders>
                <w:vAlign w:val="center"/>
              </w:tcPr>
              <w:p>
                <w:pPr>
                  <w:jc w:val="center"/>
                </w:pPr>
                <w:r>
                  <w:rPr>
                    <w:rFonts w:hint="eastAsia"/>
                  </w:rPr>
                  <w:t>上期发生额</w:t>
                </w:r>
              </w:p>
            </w:tc>
          </w:sdtContent>
        </w:sdt>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一、期初余额</w:t>
            </w:r>
          </w:p>
        </w:tc>
        <w:tc>
          <w:tcPr>
            <w:tcW w:w="2785" w:type="dxa"/>
            <w:tcBorders>
              <w:top w:val="single" w:sz="6"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12,506,776</w:t>
            </w:r>
          </w:p>
        </w:tc>
        <w:tc>
          <w:tcPr>
            <w:tcW w:w="2781" w:type="dxa"/>
            <w:tcBorders>
              <w:top w:val="single" w:sz="6"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12,219,036</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二、计入当期损益的设定受益成本</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18,014</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554,189</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1</w:t>
            </w:r>
            <w:r>
              <w:t>.</w:t>
            </w:r>
            <w:r>
              <w:rPr>
                <w:rFonts w:hint="eastAsia"/>
              </w:rPr>
              <w:t>结算利得（损失以“－”表示）</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-138,060</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431,146</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2.利息净额</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156,074</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123,043</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三、计入其他综合收益的设定收益成本</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-82,735</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180,543</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1.利息净额</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hint="eastAsia"/>
              </w:rPr>
              <w:t>112,792</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2</w:t>
            </w:r>
            <w:r>
              <w:t>.</w:t>
            </w:r>
            <w:r>
              <w:rPr>
                <w:rFonts w:hint="eastAsia"/>
              </w:rPr>
              <w:t>精算利得（损失以“－”表示）</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-82,735</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hint="eastAsia"/>
              </w:rPr>
              <w:t>67,751</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lastRenderedPageBreak/>
              <w:t>四、其他变动</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-723,802</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-446,992</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1</w:t>
            </w:r>
            <w:r>
              <w:t>.</w:t>
            </w:r>
            <w:r>
              <w:rPr>
                <w:rFonts w:hint="eastAsia"/>
              </w:rPr>
              <w:t>已支付的福利</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-726,642</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-446,976</w:t>
            </w:r>
          </w:p>
        </w:tc>
      </w:tr>
      <w:tr>
        <w:tc>
          <w:tcPr>
            <w:tcW w:w="3482" w:type="dxa"/>
            <w:tcBorders>
              <w:top w:val="single" w:sz="4" w:space="0" w:color="auto"/>
              <w:left w:val="single" w:sz="4" w:space="0" w:color="auto"/>
              <w:bottom w:val="single" w:sz="6" w:space="0" w:color="auto"/>
              <w:right w:val="single" w:sz="6" w:space="0" w:color="auto"/>
            </w:tcBorders>
            <w:vAlign w:val="center"/>
          </w:tcPr>
          <w:p>
            <w:pPr>
              <w:pStyle w:val="Style217"/>
            </w:pPr>
            <w:r>
              <w:rPr>
                <w:rFonts w:hint="eastAsia"/>
              </w:rPr>
              <w:t>2.其他</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2,840</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-16</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五、期末余额</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11,718,253</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12,506,776</w:t>
            </w:r>
          </w:p>
        </w:tc>
      </w:tr>
      <w:tr>
        <w:tc>
          <w:tcPr>
            <w:tcW w:w="3482" w:type="dxa"/>
            <w:tcBorders>
              <w:top w:val="single" w:sz="6" w:space="0" w:color="auto"/>
              <w:left w:val="single" w:sz="6" w:space="0" w:color="auto"/>
              <w:bottom w:val="single" w:sz="6" w:space="0" w:color="auto"/>
              <w:right w:val="single" w:sz="6" w:space="0" w:color="auto"/>
            </w:tcBorders>
            <w:vAlign w:val="center"/>
          </w:tcPr>
          <w:p>
            <w:pPr>
              <w:pStyle w:val="Style217"/>
            </w:pPr>
            <w:r>
              <w:rPr>
                <w:rFonts w:hint="eastAsia"/>
              </w:rPr>
              <w:t>其中：一年内到期的长期应付职工薪酬</w:t>
            </w:r>
          </w:p>
        </w:tc>
        <w:tc>
          <w:tcPr>
            <w:tcW w:w="2785"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946,401</w:t>
            </w:r>
          </w:p>
        </w:tc>
        <w:tc>
          <w:tcPr>
            <w:tcW w:w="2781" w:type="dxa"/>
            <w:tcBorders>
              <w:top w:val="single" w:sz="4" w:space="0" w:color="auto"/>
              <w:left w:val="single" w:sz="6" w:space="0" w:color="auto"/>
              <w:bottom w:val="single" w:sz="4" w:space="0" w:color="auto"/>
              <w:right w:val="single" w:sz="4" w:space="0" w:color="auto"/>
            </w:tcBorders>
            <w:vAlign w:val="center"/>
          </w:tcPr>
          <w:p>
            <w:pPr>
              <w:jc w:val="right"/>
              <w:rPr>
                <w:rFonts w:ascii="宋体" w:hAnsi="宋体"/>
              </w:rPr>
            </w:pPr>
            <w:r>
              <w:rPr>
                <w:rFonts w:ascii="宋体" w:hAnsi="宋体"/>
              </w:rPr>
              <w:t>430,731</w:t>
            </w:r>
          </w:p>
        </w:tc>
      </w:tr>
    </w:tbl>
    <w:p>
      <w:pPr>
        <w:pStyle w:val="Style217"/>
      </w:pPr>
    </w:p>
    <w:p>
      <w:pPr>
        <w:pStyle w:val="Style217"/>
      </w:pPr>
      <w:r>
        <w:rPr>
          <w:rFonts w:hint="eastAsia"/>
        </w:rPr>
        <w:t>计划资产：</w:t>
      </w:r>
    </w:p>
    <w:p>
      <w:pPr>
        <w:pStyle w:val="Style217"/>
      </w:pPr>
      <w:sdt>
        <w:sdtPr>
          <w:rPr>
            <w:rFonts w:hint="eastAsia"/>
          </w:rPr>
          <w:alias w:val="是否适用：设定受益计划变动情况_计划资产[双击切换]"/>
          <w:tag w:val="_GBC_da74e4a7bfc84e888afc38ffa6096a31"/>
          <w:id w:val="1754862813"/>
          <w:placeholder>
            <w:docPart w:val="GBC22222222222222222222222222222"/>
          </w:placeholder>
        </w:sdtPr>
        <w:sdtContent>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pStyle w:val="Style217"/>
      </w:pPr>
    </w:p>
    <w:p>
      <w:pPr>
        <w:pStyle w:val="Style217"/>
      </w:pPr>
      <w:r>
        <w:rPr>
          <w:rFonts w:hint="eastAsia"/>
        </w:rPr>
        <w:t>设定受益计划净负债（净资产）</w:t>
      </w:r>
    </w:p>
    <w:sdt>
      <w:sdtPr>
        <w:alias w:val="是否适用：设定受益计划变动情况_设定受益计划净负债[双击切换]"/>
        <w:tag w:val="_GBC_4ef7ea9e6dc7431c9365dcd01da99b90"/>
        <w:id w:val="-161736246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设定受益计划的内容及与之相关风险、对公司未来现金流量、时间和不确定性的影响说明：</w:t>
      </w:r>
    </w:p>
    <w:sdt>
      <w:sdtPr>
        <w:alias w:val="是否适用：设定受益计划的内容及与之相关风险、对公司未来现金流量、时间和不确定性的影响说明[双击切换]"/>
        <w:tag w:val="_GBC_4c44a3ab962f4a27836276afcc8a7570"/>
        <w:id w:val="-47236844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设定受益计划重大精算假设及敏感性分析结果说明</w:t>
      </w:r>
    </w:p>
    <w:sdt>
      <w:sdtPr>
        <w:alias w:val="是否适用：设定受益计划重大精算假设及敏感性分析结果说明[双击切换]"/>
        <w:tag w:val="_GBC_24dfbea0996e4d8cbbe60d6820df50a2"/>
        <w:id w:val="179070660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是否适用：长期应付职工薪酬的其他说明[双击切换]"/>
        <w:tag w:val="_GBC_4c32051ec1ee486180dafb68d556d339"/>
        <w:id w:val="-1970120709"/>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bookmarkStart w:id="497" w:name="_Hlk533670325"/>
      <w:r>
        <w:rPr>
          <w:szCs w:val="21"/>
        </w:rPr>
        <w:t>预计负债</w:t>
      </w:r>
    </w:p>
    <w:sdt>
      <w:sdtPr>
        <w:alias w:val="是否适用：预计负债[双击切换]"/>
        <w:tag w:val="_GBC_d57ab9083835465c9b1fdeb5ed46b3ce"/>
        <w:id w:val="-210942646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预计负债"/>
          <w:tag w:val="_GBC_579154bdef014b44aba03cac00df126c"/>
          <w:id w:val="-15663320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预计负债"/>
          <w:tag w:val="_GBC_1129ab1db6684ceb91f0593c32b5d268"/>
          <w:id w:val="-15839080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405"/>
        <w:gridCol w:w="2123"/>
        <w:gridCol w:w="2264"/>
        <w:gridCol w:w="2264"/>
      </w:tblGrid>
      <w:tr>
        <w:trPr>
          <w:cantSplit/>
        </w:trPr>
        <w:sdt>
          <w:sdtPr>
            <w:tag w:val="_PLD_afddd1066e934e598ead7a6e38343c21"/>
            <w:id w:val="1062913334"/>
          </w:sdtPr>
          <w:sdtContent>
            <w:tc>
              <w:tcPr>
                <w:tcW w:w="2405" w:type="dxa"/>
                <w:vAlign w:val="center"/>
              </w:tcPr>
              <w:p>
                <w:pPr>
                  <w:ind w:right="105"/>
                  <w:jc w:val="center"/>
                </w:pPr>
                <w:r>
                  <w:rPr>
                    <w:rFonts w:hint="eastAsia"/>
                  </w:rPr>
                  <w:t>项目</w:t>
                </w:r>
              </w:p>
            </w:tc>
          </w:sdtContent>
        </w:sdt>
        <w:sdt>
          <w:sdtPr>
            <w:tag w:val="_PLD_34e5a75912204ec1a95f806f18cf2748"/>
            <w:id w:val="389237468"/>
          </w:sdtPr>
          <w:sdtContent>
            <w:tc>
              <w:tcPr>
                <w:tcW w:w="2123" w:type="dxa"/>
                <w:vAlign w:val="center"/>
              </w:tcPr>
              <w:p>
                <w:pPr>
                  <w:jc w:val="center"/>
                </w:pPr>
                <w:r>
                  <w:rPr>
                    <w:rFonts w:hint="eastAsia"/>
                  </w:rPr>
                  <w:t>期末余额</w:t>
                </w:r>
              </w:p>
            </w:tc>
          </w:sdtContent>
        </w:sdt>
        <w:sdt>
          <w:sdtPr>
            <w:tag w:val="_PLD_d493e26e1fb643299cea253bb9f43ca1"/>
            <w:id w:val="496849609"/>
          </w:sdtPr>
          <w:sdtContent>
            <w:tc>
              <w:tcPr>
                <w:tcW w:w="2264" w:type="dxa"/>
                <w:vAlign w:val="center"/>
              </w:tcPr>
              <w:p>
                <w:pPr>
                  <w:jc w:val="center"/>
                </w:pPr>
                <w:r>
                  <w:rPr>
                    <w:rFonts w:hint="eastAsia"/>
                  </w:rPr>
                  <w:t>期初余额</w:t>
                </w:r>
              </w:p>
            </w:tc>
          </w:sdtContent>
        </w:sdt>
        <w:sdt>
          <w:sdtPr>
            <w:tag w:val="_PLD_4ab9627b71924167a2397cf4a5d9e546"/>
            <w:id w:val="952668724"/>
          </w:sdtPr>
          <w:sdtContent>
            <w:tc>
              <w:tcPr>
                <w:tcW w:w="2264" w:type="dxa"/>
                <w:vAlign w:val="center"/>
              </w:tcPr>
              <w:p>
                <w:pPr>
                  <w:jc w:val="center"/>
                </w:pPr>
                <w:r>
                  <w:rPr>
                    <w:rFonts w:hint="eastAsia"/>
                  </w:rPr>
                  <w:t>形成原因</w:t>
                </w:r>
              </w:p>
            </w:tc>
          </w:sdtContent>
        </w:sdt>
      </w:tr>
      <w:tr>
        <w:trPr>
          <w:cantSplit/>
        </w:trPr>
        <w:tc>
          <w:tcPr>
            <w:tcW w:w="2405" w:type="dxa"/>
          </w:tcPr>
          <w:p>
            <w:pPr>
              <w:ind w:right="105"/>
            </w:pPr>
            <w:r>
              <w:rPr>
                <w:rFonts w:hint="eastAsia"/>
              </w:rPr>
              <w:t>复垦</w:t>
            </w:r>
            <w:r>
              <w:rPr>
                <w:rFonts w:hint="eastAsia"/>
              </w:rPr>
              <w:t>/</w:t>
            </w:r>
            <w:r>
              <w:rPr>
                <w:rFonts w:hint="eastAsia"/>
              </w:rPr>
              <w:t>复原及环境恢复</w:t>
            </w:r>
          </w:p>
        </w:tc>
        <w:tc>
          <w:tcPr>
            <w:tcW w:w="2123" w:type="dxa"/>
            <w:vAlign w:val="center"/>
          </w:tcPr>
          <w:p>
            <w:pPr>
              <w:jc w:val="right"/>
              <w:rPr>
                <w:rFonts w:ascii="宋体" w:hAnsi="宋体"/>
              </w:rPr>
            </w:pPr>
            <w:r>
              <w:rPr>
                <w:rFonts w:ascii="宋体" w:hAnsi="宋体"/>
              </w:rPr>
              <w:t>13,429,276</w:t>
            </w:r>
          </w:p>
        </w:tc>
        <w:tc>
          <w:tcPr>
            <w:tcW w:w="2264" w:type="dxa"/>
            <w:vAlign w:val="center"/>
          </w:tcPr>
          <w:p>
            <w:pPr>
              <w:jc w:val="right"/>
              <w:rPr>
                <w:rFonts w:ascii="宋体" w:hAnsi="宋体"/>
              </w:rPr>
            </w:pPr>
            <w:r>
              <w:rPr>
                <w:rFonts w:ascii="宋体" w:hAnsi="宋体"/>
              </w:rPr>
              <w:t>12,669,251</w:t>
            </w:r>
          </w:p>
        </w:tc>
        <w:tc>
          <w:tcPr>
            <w:tcW w:w="2264" w:type="dxa"/>
            <w:vAlign w:val="center"/>
          </w:tcPr>
          <w:p>
            <w:pPr>
              <w:ind w:right="73"/>
            </w:pPr>
          </w:p>
        </w:tc>
      </w:tr>
      <w:tr>
        <w:trPr>
          <w:cantSplit/>
        </w:trPr>
        <w:tc>
          <w:tcPr>
            <w:tcW w:w="2405" w:type="dxa"/>
          </w:tcPr>
          <w:p>
            <w:pPr>
              <w:ind w:right="105"/>
            </w:pPr>
            <w:r>
              <w:rPr>
                <w:rFonts w:hint="eastAsia"/>
              </w:rPr>
              <w:t>亏损合同（注</w:t>
            </w:r>
            <w:r>
              <w:rPr>
                <w:rFonts w:hint="eastAsia"/>
              </w:rPr>
              <w:t>1</w:t>
            </w:r>
            <w:r>
              <w:rPr>
                <w:rFonts w:hint="eastAsia"/>
              </w:rPr>
              <w:t>）</w:t>
            </w:r>
          </w:p>
        </w:tc>
        <w:tc>
          <w:tcPr>
            <w:tcW w:w="2123" w:type="dxa"/>
            <w:vAlign w:val="center"/>
          </w:tcPr>
          <w:p>
            <w:pPr>
              <w:jc w:val="right"/>
              <w:rPr>
                <w:rFonts w:ascii="宋体" w:hAnsi="宋体"/>
              </w:rPr>
            </w:pPr>
            <w:r>
              <w:rPr>
                <w:rFonts w:ascii="宋体" w:hAnsi="宋体"/>
              </w:rPr>
              <w:t>61,552</w:t>
            </w:r>
          </w:p>
        </w:tc>
        <w:tc>
          <w:tcPr>
            <w:tcW w:w="2264" w:type="dxa"/>
            <w:vAlign w:val="center"/>
          </w:tcPr>
          <w:p>
            <w:pPr>
              <w:jc w:val="right"/>
              <w:rPr>
                <w:rFonts w:ascii="宋体" w:hAnsi="宋体"/>
              </w:rPr>
            </w:pPr>
            <w:r>
              <w:rPr>
                <w:rFonts w:ascii="宋体" w:hAnsi="宋体"/>
              </w:rPr>
              <w:t>78,729</w:t>
            </w:r>
          </w:p>
        </w:tc>
        <w:tc>
          <w:tcPr>
            <w:tcW w:w="2264" w:type="dxa"/>
            <w:vAlign w:val="center"/>
          </w:tcPr>
          <w:p>
            <w:pPr>
              <w:ind w:right="73"/>
            </w:pPr>
          </w:p>
        </w:tc>
      </w:tr>
      <w:tr>
        <w:trPr>
          <w:cantSplit/>
        </w:trPr>
        <w:tc>
          <w:tcPr>
            <w:tcW w:w="2405" w:type="dxa"/>
            <w:vAlign w:val="center"/>
          </w:tcPr>
          <w:p>
            <w:pPr>
              <w:ind w:right="105"/>
            </w:pPr>
            <w:r>
              <w:rPr>
                <w:rFonts w:hint="eastAsia"/>
              </w:rPr>
              <w:t>其他</w:t>
            </w:r>
          </w:p>
        </w:tc>
        <w:tc>
          <w:tcPr>
            <w:tcW w:w="2123" w:type="dxa"/>
            <w:vAlign w:val="center"/>
          </w:tcPr>
          <w:p>
            <w:pPr>
              <w:jc w:val="right"/>
              <w:rPr>
                <w:rFonts w:ascii="宋体" w:hAnsi="宋体"/>
              </w:rPr>
            </w:pPr>
            <w:r>
              <w:rPr>
                <w:rFonts w:ascii="宋体" w:hAnsi="宋体"/>
              </w:rPr>
              <w:t>283,141</w:t>
            </w:r>
          </w:p>
        </w:tc>
        <w:tc>
          <w:tcPr>
            <w:tcW w:w="2264" w:type="dxa"/>
            <w:vAlign w:val="center"/>
          </w:tcPr>
          <w:p>
            <w:pPr>
              <w:jc w:val="right"/>
              <w:rPr>
                <w:rFonts w:ascii="宋体" w:hAnsi="宋体"/>
              </w:rPr>
            </w:pPr>
            <w:r>
              <w:rPr>
                <w:rFonts w:ascii="宋体" w:hAnsi="宋体"/>
              </w:rPr>
              <w:t>98,292</w:t>
            </w:r>
          </w:p>
        </w:tc>
        <w:tc>
          <w:tcPr>
            <w:tcW w:w="2264" w:type="dxa"/>
            <w:vAlign w:val="center"/>
          </w:tcPr>
          <w:p>
            <w:pPr>
              <w:ind w:right="73"/>
            </w:pPr>
          </w:p>
        </w:tc>
      </w:tr>
      <w:tr>
        <w:trPr>
          <w:cantSplit/>
        </w:trPr>
        <w:tc>
          <w:tcPr>
            <w:tcW w:w="2405" w:type="dxa"/>
            <w:vAlign w:val="center"/>
          </w:tcPr>
          <w:p>
            <w:pPr>
              <w:ind w:right="105"/>
              <w:jc w:val="center"/>
            </w:pPr>
            <w:r>
              <w:rPr>
                <w:rFonts w:hint="eastAsia"/>
              </w:rPr>
              <w:t>合计</w:t>
            </w:r>
          </w:p>
        </w:tc>
        <w:tc>
          <w:tcPr>
            <w:tcW w:w="2123" w:type="dxa"/>
            <w:vAlign w:val="center"/>
          </w:tcPr>
          <w:p>
            <w:pPr>
              <w:jc w:val="right"/>
              <w:rPr>
                <w:rFonts w:ascii="宋体" w:hAnsi="宋体"/>
              </w:rPr>
            </w:pPr>
            <w:r>
              <w:rPr>
                <w:rFonts w:ascii="宋体" w:hAnsi="宋体"/>
              </w:rPr>
              <w:t>13,773,969</w:t>
            </w:r>
          </w:p>
        </w:tc>
        <w:tc>
          <w:tcPr>
            <w:tcW w:w="2264" w:type="dxa"/>
            <w:vAlign w:val="center"/>
          </w:tcPr>
          <w:p>
            <w:pPr>
              <w:jc w:val="right"/>
              <w:rPr>
                <w:rFonts w:ascii="宋体" w:hAnsi="宋体"/>
              </w:rPr>
            </w:pPr>
            <w:r>
              <w:rPr>
                <w:rFonts w:ascii="宋体" w:hAnsi="宋体"/>
              </w:rPr>
              <w:t>12,846,272</w:t>
            </w:r>
          </w:p>
        </w:tc>
        <w:tc>
          <w:tcPr>
            <w:tcW w:w="2264" w:type="dxa"/>
            <w:vAlign w:val="center"/>
          </w:tcPr>
          <w:p>
            <w:pPr>
              <w:jc w:val="center"/>
              <w:rPr>
                <w:color w:val="000000" w:themeColor="text1"/>
              </w:rPr>
            </w:pPr>
          </w:p>
        </w:tc>
      </w:tr>
    </w:tbl>
    <w:p>
      <w:pPr>
        <w:pStyle w:val="Style217"/>
      </w:pPr>
    </w:p>
    <w:p>
      <w:pPr>
        <w:snapToGrid w:val="0"/>
        <w:spacing w:before="60" w:after="60"/>
      </w:pPr>
      <w:r>
        <w:rPr>
          <w:rFonts w:hint="eastAsia"/>
        </w:rPr>
        <w:t>其他说明，包括重要预计负债的相关重要假设、估计说明：</w:t>
      </w:r>
    </w:p>
    <w:sdt>
      <w:sdtPr>
        <w:alias w:val="预计负债的说明"/>
        <w:tag w:val="_GBC_6e5c9571d9134db08ab20372e7d011c7"/>
        <w:id w:val="762035900"/>
        <w:placeholder>
          <w:docPart w:val="GBC22222222222222222222222222222"/>
        </w:placeholder>
      </w:sdtPr>
      <w:sdtContent>
        <w:p>
          <w:pPr>
            <w:autoSpaceDE w:val="0"/>
            <w:autoSpaceDN w:val="0"/>
            <w:adjustRightInd w:val="0"/>
            <w:ind w:firstLineChars="200" w:firstLine="420"/>
          </w:pPr>
          <w:r>
            <w:rPr>
              <w:rFonts w:hint="eastAsia"/>
            </w:rPr>
            <w:t>注</w:t>
          </w:r>
          <w:r>
            <w:rPr>
              <w:rFonts w:hint="eastAsia"/>
            </w:rPr>
            <w:t>1</w:t>
          </w:r>
          <w:r>
            <w:rPr>
              <w:rFonts w:hint="eastAsia"/>
            </w:rPr>
            <w:t>：本集团之子公司联合煤炭工业有限公司与第三方签订的煤炭供应和运输协议，该合同价格低于市场价格，为亏损合同，故就该合同价格与市场价格之间的差异折现确认预计负债。</w:t>
          </w:r>
        </w:p>
      </w:sdtContent>
    </w:sdt>
    <w:bookmarkEnd w:id="497"/>
    <w:p>
      <w:pPr>
        <w:pStyle w:val="Style217"/>
      </w:pPr>
    </w:p>
    <w:p>
      <w:pPr>
        <w:pStyle w:val="Style178"/>
        <w:numPr>
          <w:ilvl w:val="0"/>
          <w:numId w:val="75"/>
        </w:numPr>
        <w:rPr>
          <w:szCs w:val="21"/>
        </w:rPr>
      </w:pPr>
      <w:r>
        <w:rPr>
          <w:szCs w:val="21"/>
        </w:rPr>
        <w:t>递延收益</w:t>
      </w:r>
    </w:p>
    <w:p>
      <w:pPr>
        <w:pStyle w:val="Style18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877378451"/>
        <w:placeholder>
          <w:docPart w:val="GBC22222222222222222222222222222"/>
        </w:placeholder>
      </w:sdtPr>
      <w:sdtContent>
        <w:p>
          <w:pPr>
            <w:pStyle w:val="Style189"/>
            <w:ind w:firstLineChars="0" w:firstLine="0"/>
            <w:jc w:val="left"/>
            <w:rPr>
              <w:rFonts w:ascii="宋体" w:hAnsi="宋体" w:cs="宋体"/>
              <w:kern w:val="0"/>
              <w:szCs w:val="21"/>
            </w:rPr>
          </w:pPr>
          <w:r>
            <w:rPr>
              <w:rFonts w:ascii="宋体" w:hAnsi="宋体" w:cs="宋体"/>
              <w:kern w:val="0"/>
              <w:sz w:val="21"/>
              <w:szCs w:val="21"/>
            </w:rPr>
            <w:fldChar w:fldCharType="begin"/>
          </w:r>
          <w:r>
            <w:rPr>
              <w:rFonts w:ascii="宋体" w:hAnsi="宋体" w:cs="宋体" w:hint="eastAsia"/>
              <w:kern w:val="0"/>
              <w:sz w:val="21"/>
              <w:szCs w:val="21"/>
            </w:rPr>
            <w:instrText xml:space="preserve"> MACROBUTTON  SnrToggleCheckbox □适用  </w:instrText>
          </w:r>
          <w:r>
            <w:rPr>
              <w:rFonts w:ascii="宋体" w:hAnsi="宋体" w:cs="宋体"/>
              <w:kern w:val="0"/>
              <w:sz w:val="21"/>
              <w:szCs w:val="21"/>
            </w:rPr>
            <w:fldChar w:fldCharType="end"/>
          </w:r>
          <w:r>
            <w:rPr>
              <w:rFonts w:ascii="宋体" w:hAnsi="宋体" w:cs="宋体"/>
              <w:kern w:val="0"/>
              <w:sz w:val="21"/>
              <w:szCs w:val="21"/>
            </w:rPr>
            <w:fldChar w:fldCharType="begin"/>
          </w:r>
          <w:r>
            <w:rPr>
              <w:rFonts w:ascii="宋体" w:hAnsi="宋体" w:cs="宋体" w:hint="eastAsia"/>
              <w:kern w:val="0"/>
              <w:sz w:val="21"/>
              <w:szCs w:val="21"/>
            </w:rPr>
            <w:instrText xml:space="preserve"> MACROBUTTON  SnrToggleCheckbox √不适用 </w:instrText>
          </w:r>
          <w:r>
            <w:rPr>
              <w:rFonts w:ascii="宋体" w:hAnsi="宋体" w:cs="宋体"/>
              <w:kern w:val="0"/>
              <w:sz w:val="21"/>
              <w:szCs w:val="21"/>
            </w:rPr>
            <w:fldChar w:fldCharType="end"/>
          </w:r>
        </w:p>
      </w:sdtContent>
    </w:sdt>
    <w:p>
      <w:pPr>
        <w:pStyle w:val="Style189"/>
        <w:ind w:firstLineChars="0" w:firstLine="0"/>
        <w:jc w:val="left"/>
      </w:pPr>
    </w:p>
    <w:p>
      <w:pPr>
        <w:spacing w:before="60" w:after="60"/>
      </w:pPr>
      <w:bookmarkStart w:id="498" w:name="_Hlk532902543"/>
      <w:bookmarkStart w:id="499" w:name="_Hlk532902569"/>
      <w:bookmarkStart w:id="500" w:name="OLE_LINK85"/>
      <w:bookmarkStart w:id="501" w:name="OLE_LINK84"/>
      <w:bookmarkEnd w:id="498"/>
      <w:bookmarkEnd w:id="499"/>
      <w:r>
        <w:rPr>
          <w:rFonts w:hint="eastAsia"/>
        </w:rPr>
        <w:t>其他说明：</w:t>
      </w:r>
    </w:p>
    <w:sdt>
      <w:sdtPr>
        <w:alias w:val="是否适用：递延收益的其他说明[双击切换]"/>
        <w:tag w:val="_GBC_0c28db54a76349869056f2b92b5d9400"/>
        <w:id w:val="-67124256"/>
        <w:placeholder>
          <w:docPart w:val="GBC22222222222222222222222222222"/>
        </w:placeholder>
      </w:sdtPr>
      <w:sdtContent>
        <w:p>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00"/>
    <w:bookmarkEnd w:id="501"/>
    <w:p>
      <w:pPr>
        <w:snapToGrid w:val="0"/>
        <w:spacing w:line="240" w:lineRule="atLeast"/>
      </w:pPr>
    </w:p>
    <w:p>
      <w:pPr>
        <w:pStyle w:val="Style178"/>
        <w:numPr>
          <w:ilvl w:val="0"/>
          <w:numId w:val="75"/>
        </w:numPr>
        <w:rPr>
          <w:szCs w:val="21"/>
        </w:rPr>
      </w:pPr>
      <w:bookmarkStart w:id="502" w:name="_Hlk533670383"/>
      <w:r>
        <w:rPr>
          <w:szCs w:val="21"/>
        </w:rPr>
        <w:t>其他非流动负债</w:t>
      </w:r>
    </w:p>
    <w:sdt>
      <w:sdtPr>
        <w:alias w:val="是否适用：其他非流动负债[双击切换]"/>
        <w:tag w:val="_GBC_05e5676f32624ce18727385761bd1a9a"/>
        <w:id w:val="-76723751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502"/>
    <w:p>
      <w:pPr>
        <w:pStyle w:val="Style217"/>
      </w:pPr>
    </w:p>
    <w:p>
      <w:pPr>
        <w:pStyle w:val="Style178"/>
        <w:numPr>
          <w:ilvl w:val="0"/>
          <w:numId w:val="75"/>
        </w:numPr>
        <w:rPr>
          <w:szCs w:val="21"/>
        </w:rPr>
      </w:pPr>
      <w:r>
        <w:rPr>
          <w:szCs w:val="21"/>
        </w:rPr>
        <w:lastRenderedPageBreak/>
        <w:t>股本</w:t>
      </w:r>
    </w:p>
    <w:sdt>
      <w:sdtPr>
        <w:alias w:val="是否适用：股本[双击切换]"/>
        <w:tag w:val="_GBC_a2069fb3657946ee9810a9154eb11422"/>
        <w:id w:val="-82449965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股本"/>
          <w:tag w:val="_GBC_e2cacf7f2d9f4ad78dce53a3e345569e"/>
          <w:id w:val="-8039362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股本"/>
          <w:tag w:val="_GBC_a1c9c99744d0466d8ff5672b2b69076a"/>
          <w:id w:val="-546229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315"/>
        <w:gridCol w:w="1000"/>
        <w:gridCol w:w="1000"/>
        <w:gridCol w:w="1071"/>
        <w:gridCol w:w="1085"/>
        <w:gridCol w:w="1061"/>
        <w:gridCol w:w="1357"/>
      </w:tblGrid>
      <w:tr>
        <w:trPr>
          <w:cantSplit/>
          <w:trHeight w:val="270"/>
        </w:trPr>
        <w:sdt>
          <w:sdtPr>
            <w:tag w:val="_PLD_59c3e97e3f674ae6805374496a9434cd"/>
            <w:id w:val="-275488935"/>
          </w:sdtPr>
          <w:sdtContent>
            <w:tc>
              <w:tcPr>
                <w:tcW w:w="1158" w:type="dxa"/>
                <w:vMerge w:val="restart"/>
                <w:tcBorders>
                  <w:top w:val="single" w:sz="4" w:space="0" w:color="auto"/>
                  <w:left w:val="single" w:sz="4" w:space="0" w:color="auto"/>
                  <w:bottom w:val="single" w:sz="4" w:space="0" w:color="auto"/>
                  <w:right w:val="single" w:sz="4" w:space="0" w:color="auto"/>
                </w:tcBorders>
                <w:vAlign w:val="center"/>
              </w:tcPr>
              <w:p>
                <w:pPr>
                  <w:jc w:val="center"/>
                </w:pPr>
                <w:r>
                  <w:rPr>
                    <w:rFonts w:ascii="宋体" w:hAnsi="宋体" w:cs="宋体" w:hint="eastAsia"/>
                    <w:bCs/>
                  </w:rPr>
                  <w:t>项目</w:t>
                </w:r>
              </w:p>
            </w:tc>
          </w:sdtContent>
        </w:sdt>
        <w:sdt>
          <w:sdtPr>
            <w:tag w:val="_PLD_fd63a619db16496bad52eeb145839158"/>
            <w:id w:val="529838305"/>
          </w:sdtPr>
          <w:sdtContent>
            <w:tc>
              <w:tcPr>
                <w:tcW w:w="1315" w:type="dxa"/>
                <w:vMerge w:val="restart"/>
                <w:tcBorders>
                  <w:top w:val="single" w:sz="4" w:space="0" w:color="auto"/>
                  <w:left w:val="single" w:sz="4" w:space="0" w:color="auto"/>
                  <w:right w:val="single" w:sz="4" w:space="0" w:color="auto"/>
                </w:tcBorders>
                <w:vAlign w:val="center"/>
              </w:tcPr>
              <w:p>
                <w:pPr>
                  <w:jc w:val="center"/>
                </w:pPr>
                <w:r>
                  <w:rPr>
                    <w:rFonts w:hint="eastAsia"/>
                  </w:rPr>
                  <w:t>期初余额</w:t>
                </w:r>
              </w:p>
            </w:tc>
          </w:sdtContent>
        </w:sdt>
        <w:sdt>
          <w:sdtPr>
            <w:tag w:val="_PLD_2cb33d9d8b0d47539581498c039e86aa"/>
            <w:id w:val="222725157"/>
          </w:sdtPr>
          <w:sdtContent>
            <w:tc>
              <w:tcPr>
                <w:tcW w:w="5217" w:type="dxa"/>
                <w:gridSpan w:val="5"/>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本次变动增减（</w:t>
                </w:r>
                <w:r>
                  <w:rPr>
                    <w:rFonts w:hint="eastAsia"/>
                  </w:rPr>
                  <w:t>+</w:t>
                </w:r>
                <w:r>
                  <w:rPr>
                    <w:rFonts w:hint="eastAsia"/>
                  </w:rPr>
                  <w:t>、</w:t>
                </w:r>
                <w:r>
                  <w:rPr>
                    <w:rFonts w:hint="eastAsia"/>
                  </w:rPr>
                  <w:t>-</w:t>
                </w:r>
                <w:r>
                  <w:rPr>
                    <w:rFonts w:hint="eastAsia"/>
                  </w:rPr>
                  <w:t>）</w:t>
                </w:r>
              </w:p>
            </w:tc>
          </w:sdtContent>
        </w:sdt>
        <w:sdt>
          <w:sdtPr>
            <w:tag w:val="_PLD_e579078cb28f47a09273701ab9e2e37a"/>
            <w:id w:val="-668631626"/>
          </w:sdtPr>
          <w:sdtContent>
            <w:tc>
              <w:tcPr>
                <w:tcW w:w="1357" w:type="dxa"/>
                <w:vMerge w:val="restart"/>
                <w:tcBorders>
                  <w:top w:val="single" w:sz="4" w:space="0" w:color="auto"/>
                  <w:left w:val="single" w:sz="4" w:space="0" w:color="auto"/>
                  <w:right w:val="single" w:sz="4" w:space="0" w:color="auto"/>
                </w:tcBorders>
                <w:vAlign w:val="center"/>
              </w:tcPr>
              <w:p>
                <w:pPr>
                  <w:jc w:val="center"/>
                </w:pPr>
                <w:r>
                  <w:rPr>
                    <w:rFonts w:hint="eastAsia"/>
                  </w:rPr>
                  <w:t>期末余额</w:t>
                </w:r>
              </w:p>
            </w:tc>
          </w:sdtContent>
        </w:sdt>
      </w:tr>
      <w:tr>
        <w:trPr>
          <w:cantSplit/>
          <w:trHeight w:val="312"/>
        </w:trPr>
        <w:tc>
          <w:tcPr>
            <w:tcW w:w="1158" w:type="dxa"/>
            <w:vMerge/>
            <w:tcBorders>
              <w:top w:val="single" w:sz="4" w:space="0" w:color="auto"/>
              <w:left w:val="single" w:sz="4" w:space="0" w:color="auto"/>
              <w:bottom w:val="single" w:sz="4" w:space="0" w:color="auto"/>
              <w:right w:val="single" w:sz="4" w:space="0" w:color="auto"/>
            </w:tcBorders>
            <w:vAlign w:val="center"/>
          </w:tcPr>
          <w:p>
            <w:pPr>
              <w:pStyle w:val="Style217"/>
            </w:pPr>
          </w:p>
        </w:tc>
        <w:tc>
          <w:tcPr>
            <w:tcW w:w="1315" w:type="dxa"/>
            <w:vMerge/>
            <w:tcBorders>
              <w:left w:val="single" w:sz="4" w:space="0" w:color="auto"/>
              <w:bottom w:val="single" w:sz="4" w:space="0" w:color="auto"/>
              <w:right w:val="single" w:sz="4" w:space="0" w:color="auto"/>
            </w:tcBorders>
            <w:vAlign w:val="center"/>
          </w:tcPr>
          <w:p>
            <w:pPr>
              <w:ind w:leftChars="-119" w:left="-250" w:firstLineChars="119" w:firstLine="250"/>
            </w:pPr>
          </w:p>
        </w:tc>
        <w:sdt>
          <w:sdtPr>
            <w:tag w:val="_PLD_2f067dcfa40a4e2d896a383f16e2e483"/>
            <w:id w:val="382301630"/>
          </w:sdtPr>
          <w:sdtContent>
            <w:tc>
              <w:tcPr>
                <w:tcW w:w="1000"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发行</w:t>
                </w:r>
              </w:p>
              <w:p>
                <w:pPr>
                  <w:jc w:val="center"/>
                </w:pPr>
                <w:r>
                  <w:rPr>
                    <w:rFonts w:hint="eastAsia"/>
                  </w:rPr>
                  <w:t>新股</w:t>
                </w:r>
              </w:p>
            </w:tc>
          </w:sdtContent>
        </w:sdt>
        <w:sdt>
          <w:sdtPr>
            <w:tag w:val="_PLD_afc58df66e0343a29873ec3c2270451e"/>
            <w:id w:val="1137848146"/>
          </w:sdtPr>
          <w:sdtContent>
            <w:tc>
              <w:tcPr>
                <w:tcW w:w="1000"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送股</w:t>
                </w:r>
              </w:p>
            </w:tc>
          </w:sdtContent>
        </w:sdt>
        <w:sdt>
          <w:sdtPr>
            <w:tag w:val="_PLD_31d618a387e243239ea8ee139a3a39da"/>
            <w:id w:val="-1591917247"/>
          </w:sdtPr>
          <w:sdtContent>
            <w:tc>
              <w:tcPr>
                <w:tcW w:w="107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公积金</w:t>
                </w:r>
              </w:p>
              <w:p>
                <w:pPr>
                  <w:jc w:val="center"/>
                </w:pPr>
                <w:r>
                  <w:rPr>
                    <w:rFonts w:hint="eastAsia"/>
                  </w:rPr>
                  <w:t>转股</w:t>
                </w:r>
              </w:p>
            </w:tc>
          </w:sdtContent>
        </w:sdt>
        <w:sdt>
          <w:sdtPr>
            <w:tag w:val="_PLD_12526084dedd4dc68d673c8a71c73862"/>
            <w:id w:val="262266580"/>
          </w:sdtPr>
          <w:sdtContent>
            <w:tc>
              <w:tcPr>
                <w:tcW w:w="108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其他</w:t>
                </w:r>
              </w:p>
            </w:tc>
          </w:sdtContent>
        </w:sdt>
        <w:sdt>
          <w:sdtPr>
            <w:tag w:val="_PLD_fe70bd23af2d4fd680087e555e574f82"/>
            <w:id w:val="-730069523"/>
          </w:sdtPr>
          <w:sdtContent>
            <w:tc>
              <w:tcPr>
                <w:tcW w:w="106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小计</w:t>
                </w:r>
              </w:p>
            </w:tc>
          </w:sdtContent>
        </w:sdt>
        <w:tc>
          <w:tcPr>
            <w:tcW w:w="1357" w:type="dxa"/>
            <w:vMerge/>
            <w:tcBorders>
              <w:left w:val="single" w:sz="4" w:space="0" w:color="auto"/>
              <w:bottom w:val="single" w:sz="4" w:space="0" w:color="auto"/>
              <w:right w:val="single" w:sz="4" w:space="0" w:color="auto"/>
            </w:tcBorders>
            <w:vAlign w:val="center"/>
          </w:tcPr>
          <w:p>
            <w:pPr>
              <w:pStyle w:val="Style217"/>
            </w:pPr>
          </w:p>
        </w:tc>
      </w:tr>
      <w:tr>
        <w:trPr>
          <w:cantSplit/>
        </w:trPr>
        <w:tc>
          <w:tcPr>
            <w:tcW w:w="1158" w:type="dxa"/>
            <w:tcBorders>
              <w:top w:val="single" w:sz="4" w:space="0" w:color="auto"/>
              <w:left w:val="single" w:sz="4" w:space="0" w:color="auto"/>
              <w:bottom w:val="single" w:sz="4" w:space="0" w:color="auto"/>
              <w:right w:val="single" w:sz="4" w:space="0" w:color="auto"/>
            </w:tcBorders>
          </w:tcPr>
          <w:p>
            <w:pPr>
              <w:jc w:val="center"/>
            </w:pPr>
            <w:r>
              <w:rPr>
                <w:rFonts w:hint="eastAsia"/>
              </w:rPr>
              <w:t>有限售条件股份</w:t>
            </w:r>
          </w:p>
        </w:tc>
        <w:tc>
          <w:tcPr>
            <w:tcW w:w="13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6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1158" w:type="dxa"/>
            <w:tcBorders>
              <w:top w:val="single" w:sz="4" w:space="0" w:color="auto"/>
              <w:left w:val="single" w:sz="4" w:space="0" w:color="auto"/>
              <w:bottom w:val="single" w:sz="4" w:space="0" w:color="auto"/>
              <w:right w:val="single" w:sz="4" w:space="0" w:color="auto"/>
            </w:tcBorders>
          </w:tcPr>
          <w:p>
            <w:pPr>
              <w:jc w:val="center"/>
            </w:pPr>
            <w:r>
              <w:rPr>
                <w:rFonts w:hint="eastAsia"/>
              </w:rPr>
              <w:t>境内自然人持股</w:t>
            </w:r>
          </w:p>
        </w:tc>
        <w:tc>
          <w:tcPr>
            <w:tcW w:w="13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bookmarkStart w:id="503" w:name="_Hlk225327233"/>
            <w:r>
              <w:rPr>
                <w:rFonts w:ascii="宋体" w:hAnsi="宋体"/>
              </w:rPr>
              <w:t>77,188</w:t>
            </w:r>
            <w:bookmarkEnd w:id="503"/>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-2,379</w:t>
            </w:r>
          </w:p>
        </w:tc>
        <w:tc>
          <w:tcPr>
            <w:tcW w:w="106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-2,379</w:t>
            </w:r>
          </w:p>
        </w:tc>
        <w:tc>
          <w:tcPr>
            <w:tcW w:w="13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74,809</w:t>
            </w:r>
          </w:p>
        </w:tc>
      </w:tr>
      <w:tr>
        <w:trPr>
          <w:cantSplit/>
        </w:trPr>
        <w:tc>
          <w:tcPr>
            <w:tcW w:w="1158" w:type="dxa"/>
            <w:tcBorders>
              <w:top w:val="single" w:sz="4" w:space="0" w:color="auto"/>
              <w:left w:val="single" w:sz="4" w:space="0" w:color="auto"/>
              <w:bottom w:val="single" w:sz="4" w:space="0" w:color="auto"/>
              <w:right w:val="single" w:sz="4" w:space="0" w:color="auto"/>
            </w:tcBorders>
          </w:tcPr>
          <w:p>
            <w:pPr>
              <w:jc w:val="center"/>
            </w:pPr>
            <w:r>
              <w:rPr>
                <w:rFonts w:hint="eastAsia"/>
              </w:rPr>
              <w:t>有限售条件股份合计</w:t>
            </w:r>
          </w:p>
        </w:tc>
        <w:tc>
          <w:tcPr>
            <w:tcW w:w="13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77,188</w:t>
            </w: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-2,379</w:t>
            </w:r>
          </w:p>
        </w:tc>
        <w:tc>
          <w:tcPr>
            <w:tcW w:w="106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-2,379</w:t>
            </w:r>
          </w:p>
        </w:tc>
        <w:tc>
          <w:tcPr>
            <w:tcW w:w="13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74,809</w:t>
            </w:r>
          </w:p>
        </w:tc>
      </w:tr>
      <w:tr>
        <w:trPr>
          <w:cantSplit/>
        </w:trPr>
        <w:tc>
          <w:tcPr>
            <w:tcW w:w="1158" w:type="dxa"/>
            <w:tcBorders>
              <w:top w:val="single" w:sz="4" w:space="0" w:color="auto"/>
              <w:left w:val="single" w:sz="4" w:space="0" w:color="auto"/>
              <w:bottom w:val="single" w:sz="4" w:space="0" w:color="auto"/>
              <w:right w:val="single" w:sz="4" w:space="0" w:color="auto"/>
            </w:tcBorders>
          </w:tcPr>
          <w:p>
            <w:pPr>
              <w:jc w:val="center"/>
            </w:pPr>
            <w:r>
              <w:rPr>
                <w:rFonts w:hint="eastAsia"/>
              </w:rPr>
              <w:t>无限售条件流通股份</w:t>
            </w:r>
          </w:p>
        </w:tc>
        <w:tc>
          <w:tcPr>
            <w:tcW w:w="13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6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1158" w:type="dxa"/>
            <w:tcBorders>
              <w:top w:val="single" w:sz="4" w:space="0" w:color="auto"/>
              <w:left w:val="single" w:sz="4" w:space="0" w:color="auto"/>
              <w:bottom w:val="single" w:sz="4" w:space="0" w:color="auto"/>
              <w:right w:val="single" w:sz="4" w:space="0" w:color="auto"/>
            </w:tcBorders>
          </w:tcPr>
          <w:p>
            <w:pPr>
              <w:jc w:val="center"/>
            </w:pPr>
            <w:r>
              <w:rPr>
                <w:rFonts w:hint="eastAsia"/>
              </w:rPr>
              <w:t>人民币普通股</w:t>
            </w:r>
          </w:p>
        </w:tc>
        <w:tc>
          <w:tcPr>
            <w:tcW w:w="13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5,887,172</w:t>
            </w: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6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5,887,172</w:t>
            </w:r>
          </w:p>
        </w:tc>
      </w:tr>
      <w:tr>
        <w:trPr>
          <w:cantSplit/>
        </w:trPr>
        <w:tc>
          <w:tcPr>
            <w:tcW w:w="1158" w:type="dxa"/>
            <w:tcBorders>
              <w:top w:val="single" w:sz="4" w:space="0" w:color="auto"/>
              <w:left w:val="single" w:sz="4" w:space="0" w:color="auto"/>
              <w:bottom w:val="single" w:sz="4" w:space="0" w:color="auto"/>
              <w:right w:val="single" w:sz="4" w:space="0" w:color="auto"/>
            </w:tcBorders>
          </w:tcPr>
          <w:p>
            <w:pPr>
              <w:jc w:val="center"/>
            </w:pPr>
            <w:r>
              <w:rPr>
                <w:rFonts w:hint="eastAsia"/>
              </w:rPr>
              <w:t>境内上市外资股</w:t>
            </w:r>
          </w:p>
        </w:tc>
        <w:tc>
          <w:tcPr>
            <w:tcW w:w="13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4,075,500</w:t>
            </w: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6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4,075,500</w:t>
            </w:r>
          </w:p>
        </w:tc>
      </w:tr>
      <w:tr>
        <w:trPr>
          <w:cantSplit/>
        </w:trPr>
        <w:tc>
          <w:tcPr>
            <w:tcW w:w="1158" w:type="dxa"/>
            <w:tcBorders>
              <w:top w:val="single" w:sz="4" w:space="0" w:color="auto"/>
              <w:left w:val="single" w:sz="4" w:space="0" w:color="auto"/>
              <w:bottom w:val="single" w:sz="4" w:space="0" w:color="auto"/>
              <w:right w:val="single" w:sz="4" w:space="0" w:color="auto"/>
            </w:tcBorders>
          </w:tcPr>
          <w:p>
            <w:pPr>
              <w:jc w:val="center"/>
            </w:pPr>
            <w:r>
              <w:rPr>
                <w:rFonts w:hint="eastAsia"/>
              </w:rPr>
              <w:t>无限售条件股份合计</w:t>
            </w:r>
          </w:p>
        </w:tc>
        <w:tc>
          <w:tcPr>
            <w:tcW w:w="13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9,962,672</w:t>
            </w: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6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3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9,962,672</w:t>
            </w:r>
          </w:p>
        </w:tc>
      </w:tr>
      <w:tr>
        <w:trPr>
          <w:cantSplit/>
        </w:trPr>
        <w:tc>
          <w:tcPr>
            <w:tcW w:w="1158"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股份总数</w:t>
            </w:r>
          </w:p>
        </w:tc>
        <w:tc>
          <w:tcPr>
            <w:tcW w:w="131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10,039,860</w:t>
            </w: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0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-2,379</w:t>
            </w:r>
          </w:p>
        </w:tc>
        <w:tc>
          <w:tcPr>
            <w:tcW w:w="106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-2,379</w:t>
            </w:r>
          </w:p>
        </w:tc>
        <w:tc>
          <w:tcPr>
            <w:tcW w:w="13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10,037,481</w:t>
            </w:r>
          </w:p>
        </w:tc>
      </w:tr>
    </w:tbl>
    <w:p>
      <w:pPr>
        <w:spacing w:before="60" w:after="60"/>
      </w:pPr>
      <w:r>
        <w:rPr>
          <w:rFonts w:hint="eastAsia"/>
        </w:rPr>
        <w:t>其他说明：</w:t>
      </w:r>
    </w:p>
    <w:sdt>
      <w:sdtPr>
        <w:alias w:val="股本变动情况说明"/>
        <w:tag w:val="_GBC_6600e13aac194caa9cb58963beb3073e"/>
        <w:id w:val="-1365360678"/>
        <w:placeholder>
          <w:docPart w:val="GBC22222222222222222222222222222"/>
        </w:placeholder>
      </w:sdtPr>
      <w:sdtEndPr>
        <w:rPr>
          <w:rFonts w:asciiTheme="minorEastAsia" w:eastAsiaTheme="minorEastAsia" w:hAnsiTheme="minorEastAsia"/>
        </w:rPr>
      </w:sdtEndPr>
      <w:sdtContent>
        <w:p>
          <w:pPr>
            <w:ind w:firstLineChars="200" w:firstLine="420"/>
            <w:rPr>
              <w:rFonts w:asciiTheme="minorEastAsia" w:eastAsiaTheme="minorEastAsia" w:hAnsiTheme="minorEastAsia"/>
            </w:rPr>
          </w:pPr>
          <w:r>
            <w:rPr>
              <w:rFonts w:asciiTheme="minorEastAsia" w:eastAsiaTheme="minorEastAsia" w:hAnsiTheme="minorEastAsia" w:hint="eastAsia"/>
            </w:rPr>
            <w:t>注1：2025年2月24日，公司第九届董事会第十三次会议和第九届监事会第九次会议审议批准了《关于回购注销部分激励对象限制性股票的议案》《关于审议批准解禁A股限制性股票激励第二批限售股份的议案》。鉴于本激励计划27名激励对象因职务调动等原因已不符合激励条件，5名激励对象绩效考核结果为“不合格”，9名激励对象绩效考核结果为“达标”，应对上述41名激励对象已获授但尚未解除限售的限制性股票237.986万股进行回购注销。</w:t>
          </w:r>
        </w:p>
      </w:sdtContent>
    </w:sdt>
    <w:p>
      <w:pPr>
        <w:sectPr>
          <w:pgSz w:w="11906" w:h="16838"/>
          <w:pgMar w:top="1525" w:right="1276" w:bottom="1440" w:left="1797" w:header="856" w:footer="992" w:gutter="0"/>
          <w:cols w:space="425"/>
          <w:docGrid w:linePitch="312"/>
        </w:sectPr>
      </w:pPr>
    </w:p>
    <w:p>
      <w:pPr>
        <w:pStyle w:val="Style217"/>
      </w:pPr>
    </w:p>
    <w:p>
      <w:pPr>
        <w:pStyle w:val="Style178"/>
        <w:numPr>
          <w:ilvl w:val="0"/>
          <w:numId w:val="75"/>
        </w:numPr>
        <w:rPr>
          <w:szCs w:val="21"/>
        </w:rPr>
      </w:pPr>
      <w:r>
        <w:rPr>
          <w:szCs w:val="21"/>
        </w:rPr>
        <w:t>其他权益工具</w:t>
      </w:r>
    </w:p>
    <w:p>
      <w:pPr>
        <w:pStyle w:val="Style179"/>
        <w:numPr>
          <w:ilvl w:val="0"/>
          <w:numId w:val="109"/>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6114802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09"/>
        </w:numPr>
        <w:ind w:left="426" w:hanging="426"/>
      </w:pPr>
      <w:bookmarkStart w:id="504"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4879051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期末发行在外的优先股、永续债等金融工具变动情况表"/>
          <w:tag w:val="_GBC_d2372fc5ff6d449398ab6e1c411fa976"/>
          <w:id w:val="-16787444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期末发行在外的优先股、永续债等金融工具变动情况表"/>
          <w:tag w:val="_GBC_66ee05b2a4d0475f9a4ec5517301dec9"/>
          <w:id w:val="2546434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pPr w:leftFromText="180" w:rightFromText="180" w:vertAnchor="text" w:horzAnchor="margin" w:tblpXSpec="center" w:tblpY="45"/>
        <w:tblW w:w="158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972"/>
        <w:gridCol w:w="1559"/>
        <w:gridCol w:w="1843"/>
        <w:gridCol w:w="1559"/>
        <w:gridCol w:w="1560"/>
        <w:gridCol w:w="1559"/>
        <w:gridCol w:w="1701"/>
        <w:gridCol w:w="1559"/>
        <w:gridCol w:w="1559"/>
      </w:tblGrid>
      <w:tr>
        <w:trPr>
          <w:trHeight w:val="340"/>
        </w:trPr>
        <w:sdt>
          <w:sdtPr>
            <w:tag w:val="_PLD_df628908b5094c73bf63d2bbbc0f369b"/>
            <w:id w:val="-951773946"/>
          </w:sdtPr>
          <w:sdtContent>
            <w:tc>
              <w:tcPr>
                <w:tcW w:w="2972" w:type="dxa"/>
                <w:vMerge w:val="restart"/>
                <w:vAlign w:val="center"/>
              </w:tcPr>
              <w:p>
                <w:pPr>
                  <w:jc w:val="center"/>
                </w:pPr>
                <w:r>
                  <w:rPr>
                    <w:rFonts w:hint="eastAsia"/>
                  </w:rPr>
                  <w:t>发行在外的金融工具</w:t>
                </w:r>
              </w:p>
            </w:tc>
          </w:sdtContent>
        </w:sdt>
        <w:sdt>
          <w:sdtPr>
            <w:tag w:val="_PLD_fce65120208840efbe468c59d259be05"/>
            <w:id w:val="-563568620"/>
          </w:sdtPr>
          <w:sdtContent>
            <w:tc>
              <w:tcPr>
                <w:tcW w:w="3402" w:type="dxa"/>
                <w:gridSpan w:val="2"/>
                <w:vAlign w:val="center"/>
              </w:tcPr>
              <w:p>
                <w:pPr>
                  <w:jc w:val="center"/>
                </w:pPr>
                <w:r>
                  <w:rPr>
                    <w:rFonts w:hint="eastAsia"/>
                  </w:rPr>
                  <w:t>期初</w:t>
                </w:r>
              </w:p>
            </w:tc>
          </w:sdtContent>
        </w:sdt>
        <w:sdt>
          <w:sdtPr>
            <w:tag w:val="_PLD_18ce06e25fcb40258e1160c9b2b3e3ff"/>
            <w:id w:val="1887287784"/>
          </w:sdtPr>
          <w:sdtContent>
            <w:tc>
              <w:tcPr>
                <w:tcW w:w="3119" w:type="dxa"/>
                <w:gridSpan w:val="2"/>
                <w:vAlign w:val="center"/>
              </w:tcPr>
              <w:p>
                <w:pPr>
                  <w:jc w:val="center"/>
                </w:pPr>
                <w:r>
                  <w:rPr>
                    <w:rFonts w:hint="eastAsia"/>
                  </w:rPr>
                  <w:t>本期增加</w:t>
                </w:r>
              </w:p>
            </w:tc>
          </w:sdtContent>
        </w:sdt>
        <w:sdt>
          <w:sdtPr>
            <w:tag w:val="_PLD_845d97dab9324a1b938b3698bf77ae08"/>
            <w:id w:val="1787700480"/>
          </w:sdtPr>
          <w:sdtContent>
            <w:tc>
              <w:tcPr>
                <w:tcW w:w="3260" w:type="dxa"/>
                <w:gridSpan w:val="2"/>
                <w:vAlign w:val="center"/>
              </w:tcPr>
              <w:p>
                <w:pPr>
                  <w:jc w:val="center"/>
                </w:pPr>
                <w:r>
                  <w:rPr>
                    <w:rFonts w:hint="eastAsia"/>
                  </w:rPr>
                  <w:t>本期减少</w:t>
                </w:r>
              </w:p>
            </w:tc>
          </w:sdtContent>
        </w:sdt>
        <w:sdt>
          <w:sdtPr>
            <w:tag w:val="_PLD_c9583d25c4ef43689e2163e07818032b"/>
            <w:id w:val="-1060326687"/>
          </w:sdtPr>
          <w:sdtContent>
            <w:tc>
              <w:tcPr>
                <w:tcW w:w="3118" w:type="dxa"/>
                <w:gridSpan w:val="2"/>
                <w:vAlign w:val="center"/>
              </w:tcPr>
              <w:p>
                <w:pPr>
                  <w:jc w:val="center"/>
                </w:pPr>
                <w:r>
                  <w:rPr>
                    <w:rFonts w:hint="eastAsia"/>
                  </w:rPr>
                  <w:t>期末</w:t>
                </w:r>
              </w:p>
            </w:tc>
          </w:sdtContent>
        </w:sdt>
      </w:tr>
      <w:tr>
        <w:trPr>
          <w:trHeight w:val="340"/>
        </w:trPr>
        <w:tc>
          <w:tcPr>
            <w:tcW w:w="2972" w:type="dxa"/>
            <w:vMerge/>
            <w:vAlign w:val="center"/>
          </w:tcPr>
          <w:p>
            <w:pPr>
              <w:jc w:val="center"/>
            </w:pPr>
          </w:p>
        </w:tc>
        <w:sdt>
          <w:sdtPr>
            <w:tag w:val="_PLD_45e61464bc5d4bc892736d90fbe1c1f7"/>
            <w:id w:val="-1291356188"/>
          </w:sdtPr>
          <w:sdtContent>
            <w:tc>
              <w:tcPr>
                <w:tcW w:w="1559" w:type="dxa"/>
                <w:vAlign w:val="center"/>
              </w:tcPr>
              <w:p>
                <w:pPr>
                  <w:jc w:val="center"/>
                </w:pPr>
                <w:r>
                  <w:rPr>
                    <w:rFonts w:hint="eastAsia"/>
                  </w:rPr>
                  <w:t>数量</w:t>
                </w:r>
              </w:p>
            </w:tc>
          </w:sdtContent>
        </w:sdt>
        <w:sdt>
          <w:sdtPr>
            <w:tag w:val="_PLD_c4afaacc073244569b1b7834fc03b329"/>
            <w:id w:val="-1217113181"/>
          </w:sdtPr>
          <w:sdtContent>
            <w:tc>
              <w:tcPr>
                <w:tcW w:w="1843" w:type="dxa"/>
                <w:vAlign w:val="center"/>
              </w:tcPr>
              <w:p>
                <w:pPr>
                  <w:jc w:val="center"/>
                </w:pPr>
                <w:r>
                  <w:rPr>
                    <w:rFonts w:hint="eastAsia"/>
                  </w:rPr>
                  <w:t>账面价值</w:t>
                </w:r>
              </w:p>
            </w:tc>
          </w:sdtContent>
        </w:sdt>
        <w:sdt>
          <w:sdtPr>
            <w:tag w:val="_PLD_8e1cccc1cb5f4a25bc68efd1b62378b8"/>
            <w:id w:val="-279338090"/>
          </w:sdtPr>
          <w:sdtContent>
            <w:tc>
              <w:tcPr>
                <w:tcW w:w="1559" w:type="dxa"/>
                <w:vAlign w:val="center"/>
              </w:tcPr>
              <w:p>
                <w:pPr>
                  <w:jc w:val="center"/>
                </w:pPr>
                <w:r>
                  <w:rPr>
                    <w:rFonts w:hint="eastAsia"/>
                  </w:rPr>
                  <w:t>数量</w:t>
                </w:r>
              </w:p>
            </w:tc>
          </w:sdtContent>
        </w:sdt>
        <w:sdt>
          <w:sdtPr>
            <w:tag w:val="_PLD_ec5a25aac9f64725962e7a8df3cdbe3c"/>
            <w:id w:val="378204792"/>
          </w:sdtPr>
          <w:sdtContent>
            <w:tc>
              <w:tcPr>
                <w:tcW w:w="1560" w:type="dxa"/>
                <w:vAlign w:val="center"/>
              </w:tcPr>
              <w:p>
                <w:pPr>
                  <w:jc w:val="center"/>
                </w:pPr>
                <w:r>
                  <w:rPr>
                    <w:rFonts w:hint="eastAsia"/>
                  </w:rPr>
                  <w:t>账面价值</w:t>
                </w:r>
              </w:p>
            </w:tc>
          </w:sdtContent>
        </w:sdt>
        <w:sdt>
          <w:sdtPr>
            <w:tag w:val="_PLD_c73f641ea2f645108a8b82692fa23869"/>
            <w:id w:val="1419438102"/>
          </w:sdtPr>
          <w:sdtContent>
            <w:tc>
              <w:tcPr>
                <w:tcW w:w="1559" w:type="dxa"/>
                <w:vAlign w:val="center"/>
              </w:tcPr>
              <w:p>
                <w:pPr>
                  <w:jc w:val="center"/>
                </w:pPr>
                <w:r>
                  <w:rPr>
                    <w:rFonts w:hint="eastAsia"/>
                  </w:rPr>
                  <w:t>数量</w:t>
                </w:r>
              </w:p>
            </w:tc>
          </w:sdtContent>
        </w:sdt>
        <w:sdt>
          <w:sdtPr>
            <w:tag w:val="_PLD_78b2601ce135482fad14bd4d88f9655e"/>
            <w:id w:val="-96794425"/>
          </w:sdtPr>
          <w:sdtContent>
            <w:tc>
              <w:tcPr>
                <w:tcW w:w="1701" w:type="dxa"/>
                <w:vAlign w:val="center"/>
              </w:tcPr>
              <w:p>
                <w:pPr>
                  <w:jc w:val="center"/>
                </w:pPr>
                <w:r>
                  <w:rPr>
                    <w:rFonts w:hint="eastAsia"/>
                  </w:rPr>
                  <w:t>账面价值</w:t>
                </w:r>
              </w:p>
            </w:tc>
          </w:sdtContent>
        </w:sdt>
        <w:sdt>
          <w:sdtPr>
            <w:tag w:val="_PLD_9d6d43395400480f89a8592b018d121c"/>
            <w:id w:val="175710260"/>
          </w:sdtPr>
          <w:sdtContent>
            <w:tc>
              <w:tcPr>
                <w:tcW w:w="1559" w:type="dxa"/>
                <w:vAlign w:val="center"/>
              </w:tcPr>
              <w:p>
                <w:pPr>
                  <w:jc w:val="center"/>
                </w:pPr>
                <w:r>
                  <w:rPr>
                    <w:rFonts w:hint="eastAsia"/>
                  </w:rPr>
                  <w:t>数量</w:t>
                </w:r>
              </w:p>
            </w:tc>
          </w:sdtContent>
        </w:sdt>
        <w:sdt>
          <w:sdtPr>
            <w:tag w:val="_PLD_a754aae4328d42e5bc9c79faf2a1547c"/>
            <w:id w:val="-1101729345"/>
          </w:sdtPr>
          <w:sdtContent>
            <w:tc>
              <w:tcPr>
                <w:tcW w:w="1559" w:type="dxa"/>
                <w:vAlign w:val="center"/>
              </w:tcPr>
              <w:p>
                <w:pPr>
                  <w:jc w:val="center"/>
                </w:pPr>
                <w:r>
                  <w:rPr>
                    <w:rFonts w:hint="eastAsia"/>
                  </w:rPr>
                  <w:t>账面价值</w:t>
                </w:r>
              </w:p>
            </w:tc>
          </w:sdtContent>
        </w:sdt>
      </w:tr>
      <w:tr>
        <w:trPr>
          <w:trHeight w:val="340"/>
        </w:trPr>
        <w:tc>
          <w:tcPr>
            <w:tcW w:w="2972" w:type="dxa"/>
            <w:vAlign w:val="center"/>
          </w:tcPr>
          <w:p>
            <w:pPr>
              <w:jc w:val="both"/>
              <w:rPr>
                <w:rFonts w:ascii="宋体" w:hAnsi="宋体"/>
              </w:rPr>
            </w:pPr>
            <w:r>
              <w:rPr>
                <w:rFonts w:ascii="宋体" w:hAnsi="宋体" w:hint="eastAsia"/>
              </w:rPr>
              <w:t>22兖矿能源MTN002</w:t>
            </w:r>
          </w:p>
        </w:tc>
        <w:tc>
          <w:tcPr>
            <w:tcW w:w="1559" w:type="dxa"/>
            <w:vAlign w:val="center"/>
          </w:tcPr>
          <w:p>
            <w:pPr>
              <w:jc w:val="right"/>
              <w:rPr>
                <w:rFonts w:ascii="宋体" w:hAnsi="宋体"/>
              </w:rPr>
            </w:pPr>
            <w:r>
              <w:rPr>
                <w:rFonts w:ascii="宋体" w:hAnsi="宋体" w:hint="eastAsia"/>
              </w:rPr>
              <w:t>20,000</w:t>
            </w:r>
          </w:p>
        </w:tc>
        <w:tc>
          <w:tcPr>
            <w:tcW w:w="1843" w:type="dxa"/>
            <w:vAlign w:val="center"/>
          </w:tcPr>
          <w:p>
            <w:pPr>
              <w:jc w:val="right"/>
              <w:rPr>
                <w:rFonts w:ascii="宋体" w:hAnsi="宋体"/>
              </w:rPr>
            </w:pPr>
            <w:r>
              <w:rPr>
                <w:rFonts w:ascii="宋体" w:hAnsi="宋体" w:hint="eastAsia"/>
              </w:rPr>
              <w:t>1,996,400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20,000</w:t>
            </w:r>
          </w:p>
        </w:tc>
        <w:tc>
          <w:tcPr>
            <w:tcW w:w="1701" w:type="dxa"/>
            <w:vAlign w:val="center"/>
          </w:tcPr>
          <w:p>
            <w:pPr>
              <w:jc w:val="right"/>
              <w:rPr>
                <w:rFonts w:ascii="宋体" w:hAnsi="宋体"/>
              </w:rPr>
            </w:pPr>
            <w:r>
              <w:rPr>
                <w:rFonts w:ascii="宋体" w:hAnsi="宋体" w:hint="eastAsia"/>
              </w:rPr>
              <w:t>1,996,400</w:t>
            </w:r>
          </w:p>
        </w:tc>
        <w:tc>
          <w:tcPr>
            <w:tcW w:w="1559" w:type="dxa"/>
            <w:vAlign w:val="center"/>
          </w:tcPr>
          <w:p>
            <w:pPr>
              <w:jc w:val="right"/>
              <w:rPr>
                <w:rFonts w:ascii="宋体" w:hAnsi="宋体"/>
              </w:rPr>
            </w:pPr>
          </w:p>
        </w:tc>
        <w:tc>
          <w:tcPr>
            <w:tcW w:w="1559" w:type="dxa"/>
            <w:vAlign w:val="center"/>
          </w:tcPr>
          <w:p>
            <w:pPr>
              <w:jc w:val="right"/>
              <w:rPr>
                <w:rFonts w:ascii="宋体" w:hAnsi="宋体"/>
              </w:rPr>
            </w:pPr>
          </w:p>
        </w:tc>
      </w:tr>
      <w:tr>
        <w:trPr>
          <w:trHeight w:val="340"/>
        </w:trPr>
        <w:tc>
          <w:tcPr>
            <w:tcW w:w="2972" w:type="dxa"/>
            <w:vAlign w:val="center"/>
          </w:tcPr>
          <w:p>
            <w:pPr>
              <w:jc w:val="both"/>
              <w:rPr>
                <w:rFonts w:ascii="宋体" w:hAnsi="宋体"/>
              </w:rPr>
            </w:pPr>
            <w:r>
              <w:rPr>
                <w:rFonts w:ascii="宋体" w:hAnsi="宋体" w:hint="eastAsia"/>
              </w:rPr>
              <w:t>22兖矿能源MTN001A</w:t>
            </w:r>
          </w:p>
        </w:tc>
        <w:tc>
          <w:tcPr>
            <w:tcW w:w="1559" w:type="dxa"/>
            <w:vAlign w:val="center"/>
          </w:tcPr>
          <w:p>
            <w:pPr>
              <w:jc w:val="right"/>
              <w:rPr>
                <w:rFonts w:ascii="宋体" w:hAnsi="宋体"/>
              </w:rPr>
            </w:pPr>
            <w:r>
              <w:rPr>
                <w:rFonts w:ascii="宋体" w:hAnsi="宋体" w:hint="eastAsia"/>
              </w:rPr>
              <w:t>25,000</w:t>
            </w:r>
          </w:p>
        </w:tc>
        <w:tc>
          <w:tcPr>
            <w:tcW w:w="1843" w:type="dxa"/>
            <w:vAlign w:val="center"/>
          </w:tcPr>
          <w:p>
            <w:pPr>
              <w:jc w:val="right"/>
              <w:rPr>
                <w:rFonts w:ascii="宋体" w:hAnsi="宋体"/>
              </w:rPr>
            </w:pPr>
            <w:r>
              <w:rPr>
                <w:rFonts w:ascii="宋体" w:hAnsi="宋体" w:hint="eastAsia"/>
              </w:rPr>
              <w:t>2,495,500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25,000</w:t>
            </w:r>
          </w:p>
        </w:tc>
        <w:tc>
          <w:tcPr>
            <w:tcW w:w="1701" w:type="dxa"/>
            <w:vAlign w:val="center"/>
          </w:tcPr>
          <w:p>
            <w:pPr>
              <w:jc w:val="right"/>
              <w:rPr>
                <w:rFonts w:ascii="宋体" w:hAnsi="宋体"/>
              </w:rPr>
            </w:pPr>
            <w:r>
              <w:rPr>
                <w:rFonts w:ascii="宋体" w:hAnsi="宋体" w:hint="eastAsia"/>
              </w:rPr>
              <w:t>2,495,500</w:t>
            </w:r>
          </w:p>
        </w:tc>
        <w:tc>
          <w:tcPr>
            <w:tcW w:w="1559" w:type="dxa"/>
            <w:vAlign w:val="center"/>
          </w:tcPr>
          <w:p>
            <w:pPr>
              <w:jc w:val="right"/>
              <w:rPr>
                <w:rFonts w:ascii="宋体" w:hAnsi="宋体"/>
              </w:rPr>
            </w:pPr>
          </w:p>
        </w:tc>
        <w:tc>
          <w:tcPr>
            <w:tcW w:w="1559" w:type="dxa"/>
            <w:vAlign w:val="center"/>
          </w:tcPr>
          <w:p>
            <w:pPr>
              <w:jc w:val="right"/>
              <w:rPr>
                <w:rFonts w:ascii="宋体" w:hAnsi="宋体"/>
              </w:rPr>
            </w:pPr>
          </w:p>
        </w:tc>
      </w:tr>
      <w:tr>
        <w:trPr>
          <w:trHeight w:val="340"/>
        </w:trPr>
        <w:tc>
          <w:tcPr>
            <w:tcW w:w="2972" w:type="dxa"/>
            <w:vAlign w:val="center"/>
          </w:tcPr>
          <w:p>
            <w:pPr>
              <w:jc w:val="both"/>
              <w:rPr>
                <w:rFonts w:ascii="宋体" w:hAnsi="宋体"/>
              </w:rPr>
            </w:pPr>
            <w:r>
              <w:rPr>
                <w:rFonts w:ascii="宋体" w:hAnsi="宋体" w:hint="eastAsia"/>
              </w:rPr>
              <w:t>22兖矿能源MTN001B</w:t>
            </w:r>
          </w:p>
        </w:tc>
        <w:tc>
          <w:tcPr>
            <w:tcW w:w="1559" w:type="dxa"/>
            <w:vAlign w:val="center"/>
          </w:tcPr>
          <w:p>
            <w:pPr>
              <w:jc w:val="right"/>
              <w:rPr>
                <w:rFonts w:ascii="宋体" w:hAnsi="宋体"/>
              </w:rPr>
            </w:pPr>
            <w:r>
              <w:rPr>
                <w:rFonts w:ascii="宋体" w:hAnsi="宋体" w:hint="eastAsia"/>
              </w:rPr>
              <w:t>5,000</w:t>
            </w:r>
          </w:p>
        </w:tc>
        <w:tc>
          <w:tcPr>
            <w:tcW w:w="1843" w:type="dxa"/>
            <w:vAlign w:val="center"/>
          </w:tcPr>
          <w:p>
            <w:pPr>
              <w:jc w:val="right"/>
              <w:rPr>
                <w:rFonts w:ascii="宋体" w:hAnsi="宋体"/>
              </w:rPr>
            </w:pPr>
            <w:r>
              <w:rPr>
                <w:rFonts w:ascii="宋体" w:hAnsi="宋体" w:hint="eastAsia"/>
              </w:rPr>
              <w:t>498,500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5,000</w:t>
            </w:r>
          </w:p>
        </w:tc>
        <w:tc>
          <w:tcPr>
            <w:tcW w:w="1559" w:type="dxa"/>
            <w:vAlign w:val="center"/>
          </w:tcPr>
          <w:p>
            <w:pPr>
              <w:jc w:val="right"/>
              <w:rPr>
                <w:rFonts w:ascii="宋体" w:hAnsi="宋体"/>
              </w:rPr>
            </w:pPr>
            <w:r>
              <w:rPr>
                <w:rFonts w:ascii="宋体" w:hAnsi="宋体" w:hint="eastAsia"/>
              </w:rPr>
              <w:t>498,500</w:t>
            </w:r>
          </w:p>
        </w:tc>
      </w:tr>
      <w:tr>
        <w:trPr>
          <w:trHeight w:val="340"/>
        </w:trPr>
        <w:tc>
          <w:tcPr>
            <w:tcW w:w="2972" w:type="dxa"/>
            <w:vAlign w:val="center"/>
          </w:tcPr>
          <w:p>
            <w:pPr>
              <w:jc w:val="both"/>
              <w:rPr>
                <w:rFonts w:ascii="宋体" w:hAnsi="宋体"/>
              </w:rPr>
            </w:pPr>
            <w:r>
              <w:rPr>
                <w:rFonts w:ascii="宋体" w:hAnsi="宋体" w:hint="eastAsia"/>
              </w:rPr>
              <w:t>23兖矿能源MTN001</w:t>
            </w:r>
          </w:p>
        </w:tc>
        <w:tc>
          <w:tcPr>
            <w:tcW w:w="1559" w:type="dxa"/>
            <w:vAlign w:val="center"/>
          </w:tcPr>
          <w:p>
            <w:pPr>
              <w:jc w:val="right"/>
              <w:rPr>
                <w:rFonts w:ascii="宋体" w:hAnsi="宋体"/>
              </w:rPr>
            </w:pPr>
            <w:r>
              <w:rPr>
                <w:rFonts w:ascii="宋体" w:hAnsi="宋体" w:hint="eastAsia"/>
              </w:rPr>
              <w:t>20,000</w:t>
            </w:r>
          </w:p>
        </w:tc>
        <w:tc>
          <w:tcPr>
            <w:tcW w:w="1843" w:type="dxa"/>
            <w:vAlign w:val="center"/>
          </w:tcPr>
          <w:p>
            <w:pPr>
              <w:jc w:val="right"/>
              <w:rPr>
                <w:rFonts w:ascii="宋体" w:hAnsi="宋体"/>
              </w:rPr>
            </w:pPr>
            <w:r>
              <w:rPr>
                <w:rFonts w:ascii="宋体" w:hAnsi="宋体" w:hint="eastAsia"/>
              </w:rPr>
              <w:t>1,999,200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20,000</w:t>
            </w:r>
          </w:p>
        </w:tc>
        <w:tc>
          <w:tcPr>
            <w:tcW w:w="1701" w:type="dxa"/>
            <w:vAlign w:val="center"/>
          </w:tcPr>
          <w:p>
            <w:pPr>
              <w:jc w:val="right"/>
              <w:rPr>
                <w:rFonts w:ascii="宋体" w:hAnsi="宋体"/>
              </w:rPr>
            </w:pPr>
            <w:r>
              <w:rPr>
                <w:rFonts w:ascii="宋体" w:hAnsi="宋体" w:hint="eastAsia"/>
              </w:rPr>
              <w:t>1,999,200</w:t>
            </w:r>
          </w:p>
        </w:tc>
        <w:tc>
          <w:tcPr>
            <w:tcW w:w="1559" w:type="dxa"/>
            <w:vAlign w:val="center"/>
          </w:tcPr>
          <w:p>
            <w:pPr>
              <w:jc w:val="right"/>
              <w:rPr>
                <w:rFonts w:ascii="宋体" w:hAnsi="宋体"/>
              </w:rPr>
            </w:pPr>
          </w:p>
        </w:tc>
        <w:tc>
          <w:tcPr>
            <w:tcW w:w="1559" w:type="dxa"/>
            <w:vAlign w:val="center"/>
          </w:tcPr>
          <w:p>
            <w:pPr>
              <w:jc w:val="right"/>
              <w:rPr>
                <w:rFonts w:ascii="宋体" w:hAnsi="宋体"/>
              </w:rPr>
            </w:pPr>
          </w:p>
        </w:tc>
      </w:tr>
      <w:tr>
        <w:trPr>
          <w:trHeight w:val="340"/>
        </w:trPr>
        <w:tc>
          <w:tcPr>
            <w:tcW w:w="2972" w:type="dxa"/>
            <w:vAlign w:val="center"/>
          </w:tcPr>
          <w:p>
            <w:pPr>
              <w:jc w:val="both"/>
              <w:rPr>
                <w:rFonts w:ascii="宋体" w:hAnsi="宋体"/>
              </w:rPr>
            </w:pPr>
            <w:r>
              <w:rPr>
                <w:rFonts w:ascii="宋体" w:hAnsi="宋体" w:hint="eastAsia"/>
              </w:rPr>
              <w:t>23兖矿能源MTN002</w:t>
            </w:r>
          </w:p>
        </w:tc>
        <w:tc>
          <w:tcPr>
            <w:tcW w:w="1559" w:type="dxa"/>
            <w:vAlign w:val="center"/>
          </w:tcPr>
          <w:p>
            <w:pPr>
              <w:jc w:val="right"/>
              <w:rPr>
                <w:rFonts w:ascii="宋体" w:hAnsi="宋体"/>
              </w:rPr>
            </w:pPr>
            <w:r>
              <w:rPr>
                <w:rFonts w:ascii="宋体" w:hAnsi="宋体" w:hint="eastAsia"/>
              </w:rPr>
              <w:t>30,000</w:t>
            </w:r>
          </w:p>
        </w:tc>
        <w:tc>
          <w:tcPr>
            <w:tcW w:w="1843" w:type="dxa"/>
            <w:vAlign w:val="center"/>
          </w:tcPr>
          <w:p>
            <w:pPr>
              <w:jc w:val="right"/>
              <w:rPr>
                <w:rFonts w:ascii="宋体" w:hAnsi="宋体"/>
              </w:rPr>
            </w:pPr>
            <w:r>
              <w:rPr>
                <w:rFonts w:ascii="宋体" w:hAnsi="宋体" w:hint="eastAsia"/>
              </w:rPr>
              <w:t>2,998,800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701" w:type="dxa"/>
            <w:vAlign w:val="center"/>
          </w:tcPr>
          <w:p>
            <w:pPr>
              <w:jc w:val="right"/>
              <w:rPr>
                <w:rFonts w:ascii="宋体" w:hAnsi="宋体"/>
              </w:rPr>
            </w:pPr>
            <w:r>
              <w:rPr>
                <w:rFonts w:ascii="宋体" w:hAnsi="宋体" w:hint="eastAsia"/>
              </w:rPr>
              <w:t>2,998,800</w:t>
            </w:r>
          </w:p>
        </w:tc>
        <w:tc>
          <w:tcPr>
            <w:tcW w:w="1559" w:type="dxa"/>
            <w:vAlign w:val="center"/>
          </w:tcPr>
          <w:p>
            <w:pPr>
              <w:jc w:val="right"/>
              <w:rPr>
                <w:rFonts w:ascii="宋体" w:hAnsi="宋体"/>
              </w:rPr>
            </w:pPr>
          </w:p>
        </w:tc>
        <w:tc>
          <w:tcPr>
            <w:tcW w:w="1559" w:type="dxa"/>
            <w:vAlign w:val="center"/>
          </w:tcPr>
          <w:p>
            <w:pPr>
              <w:jc w:val="right"/>
              <w:rPr>
                <w:rFonts w:ascii="宋体" w:hAnsi="宋体"/>
              </w:rPr>
            </w:pPr>
          </w:p>
        </w:tc>
      </w:tr>
      <w:tr>
        <w:trPr>
          <w:trHeight w:val="340"/>
        </w:trPr>
        <w:tc>
          <w:tcPr>
            <w:tcW w:w="2972" w:type="dxa"/>
            <w:vAlign w:val="center"/>
          </w:tcPr>
          <w:p>
            <w:pPr>
              <w:jc w:val="both"/>
              <w:rPr>
                <w:rFonts w:ascii="宋体" w:hAnsi="宋体"/>
              </w:rPr>
            </w:pPr>
            <w:r>
              <w:rPr>
                <w:rFonts w:ascii="宋体" w:hAnsi="宋体" w:hint="eastAsia"/>
              </w:rPr>
              <w:t>24兖矿能源MTN001</w:t>
            </w:r>
          </w:p>
        </w:tc>
        <w:tc>
          <w:tcPr>
            <w:tcW w:w="1559" w:type="dxa"/>
            <w:vAlign w:val="center"/>
          </w:tcPr>
          <w:p>
            <w:pPr>
              <w:jc w:val="right"/>
              <w:rPr>
                <w:rFonts w:ascii="宋体" w:hAnsi="宋体"/>
              </w:rPr>
            </w:pPr>
            <w:r>
              <w:rPr>
                <w:rFonts w:ascii="宋体" w:hAnsi="宋体" w:hint="eastAsia"/>
              </w:rPr>
              <w:t>30,000</w:t>
            </w:r>
          </w:p>
        </w:tc>
        <w:tc>
          <w:tcPr>
            <w:tcW w:w="1843" w:type="dxa"/>
            <w:vAlign w:val="center"/>
          </w:tcPr>
          <w:p>
            <w:pPr>
              <w:jc w:val="right"/>
              <w:rPr>
                <w:rFonts w:ascii="宋体" w:hAnsi="宋体"/>
              </w:rPr>
            </w:pPr>
            <w:r>
              <w:rPr>
                <w:rFonts w:ascii="宋体" w:hAnsi="宋体" w:hint="eastAsia"/>
              </w:rPr>
              <w:t>3,000,000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59" w:type="dxa"/>
            <w:vAlign w:val="center"/>
          </w:tcPr>
          <w:p>
            <w:pPr>
              <w:jc w:val="right"/>
              <w:rPr>
                <w:rFonts w:ascii="宋体" w:hAnsi="宋体"/>
              </w:rPr>
            </w:pPr>
            <w:r>
              <w:rPr>
                <w:rFonts w:ascii="宋体" w:hAnsi="宋体" w:hint="eastAsia"/>
              </w:rPr>
              <w:t>3,000,000</w:t>
            </w:r>
          </w:p>
        </w:tc>
      </w:tr>
      <w:tr>
        <w:trPr>
          <w:trHeight w:val="340"/>
        </w:trPr>
        <w:tc>
          <w:tcPr>
            <w:tcW w:w="2972" w:type="dxa"/>
            <w:vAlign w:val="center"/>
          </w:tcPr>
          <w:p>
            <w:pPr>
              <w:jc w:val="both"/>
              <w:rPr>
                <w:rFonts w:ascii="宋体" w:hAnsi="宋体"/>
              </w:rPr>
            </w:pPr>
            <w:r>
              <w:rPr>
                <w:rFonts w:ascii="宋体" w:hAnsi="宋体" w:hint="eastAsia"/>
              </w:rPr>
              <w:t>24兖矿能源KY01</w:t>
            </w:r>
          </w:p>
        </w:tc>
        <w:tc>
          <w:tcPr>
            <w:tcW w:w="1559" w:type="dxa"/>
            <w:vAlign w:val="center"/>
          </w:tcPr>
          <w:p>
            <w:pPr>
              <w:jc w:val="right"/>
              <w:rPr>
                <w:rFonts w:ascii="宋体" w:hAnsi="宋体"/>
              </w:rPr>
            </w:pPr>
            <w:r>
              <w:rPr>
                <w:rFonts w:ascii="宋体" w:hAnsi="宋体" w:hint="eastAsia"/>
              </w:rPr>
              <w:t>30,000</w:t>
            </w:r>
          </w:p>
        </w:tc>
        <w:tc>
          <w:tcPr>
            <w:tcW w:w="1843" w:type="dxa"/>
            <w:vAlign w:val="center"/>
          </w:tcPr>
          <w:p>
            <w:pPr>
              <w:jc w:val="right"/>
              <w:rPr>
                <w:rFonts w:ascii="宋体" w:hAnsi="宋体"/>
              </w:rPr>
            </w:pPr>
            <w:r>
              <w:rPr>
                <w:rFonts w:ascii="宋体" w:hAnsi="宋体" w:hint="eastAsia"/>
              </w:rPr>
              <w:t>3,000,000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59" w:type="dxa"/>
            <w:vAlign w:val="center"/>
          </w:tcPr>
          <w:p>
            <w:pPr>
              <w:jc w:val="right"/>
              <w:rPr>
                <w:rFonts w:ascii="宋体" w:hAnsi="宋体"/>
              </w:rPr>
            </w:pPr>
            <w:r>
              <w:rPr>
                <w:rFonts w:ascii="宋体" w:hAnsi="宋体" w:hint="eastAsia"/>
              </w:rPr>
              <w:t>3,000,000</w:t>
            </w:r>
          </w:p>
        </w:tc>
      </w:tr>
      <w:tr>
        <w:trPr>
          <w:trHeight w:val="340"/>
        </w:trPr>
        <w:tc>
          <w:tcPr>
            <w:tcW w:w="2972" w:type="dxa"/>
            <w:vAlign w:val="center"/>
          </w:tcPr>
          <w:p>
            <w:pPr>
              <w:jc w:val="both"/>
              <w:rPr>
                <w:rFonts w:ascii="宋体" w:hAnsi="宋体"/>
              </w:rPr>
            </w:pPr>
            <w:r>
              <w:rPr>
                <w:rFonts w:ascii="宋体" w:hAnsi="宋体" w:hint="eastAsia"/>
              </w:rPr>
              <w:t>24兖矿能源KY02</w:t>
            </w:r>
          </w:p>
        </w:tc>
        <w:tc>
          <w:tcPr>
            <w:tcW w:w="1559" w:type="dxa"/>
            <w:vAlign w:val="center"/>
          </w:tcPr>
          <w:p>
            <w:pPr>
              <w:jc w:val="right"/>
              <w:rPr>
                <w:rFonts w:ascii="宋体" w:hAnsi="宋体"/>
              </w:rPr>
            </w:pPr>
            <w:r>
              <w:rPr>
                <w:rFonts w:ascii="宋体" w:hAnsi="宋体" w:hint="eastAsia"/>
              </w:rPr>
              <w:t>20,000</w:t>
            </w:r>
          </w:p>
        </w:tc>
        <w:tc>
          <w:tcPr>
            <w:tcW w:w="1843" w:type="dxa"/>
            <w:vAlign w:val="center"/>
          </w:tcPr>
          <w:p>
            <w:pPr>
              <w:jc w:val="right"/>
              <w:rPr>
                <w:rFonts w:ascii="宋体" w:hAnsi="宋体"/>
              </w:rPr>
            </w:pPr>
            <w:r>
              <w:rPr>
                <w:rFonts w:ascii="宋体" w:hAnsi="宋体" w:hint="eastAsia"/>
              </w:rPr>
              <w:t>2,000,000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20,000</w:t>
            </w:r>
          </w:p>
        </w:tc>
        <w:tc>
          <w:tcPr>
            <w:tcW w:w="1559" w:type="dxa"/>
            <w:vAlign w:val="center"/>
          </w:tcPr>
          <w:p>
            <w:pPr>
              <w:jc w:val="right"/>
              <w:rPr>
                <w:rFonts w:ascii="宋体" w:hAnsi="宋体"/>
              </w:rPr>
            </w:pPr>
            <w:r>
              <w:rPr>
                <w:rFonts w:ascii="宋体" w:hAnsi="宋体" w:hint="eastAsia"/>
              </w:rPr>
              <w:t>2,000,000</w:t>
            </w:r>
          </w:p>
        </w:tc>
      </w:tr>
      <w:tr>
        <w:trPr>
          <w:trHeight w:val="340"/>
        </w:trPr>
        <w:tc>
          <w:tcPr>
            <w:tcW w:w="2972" w:type="dxa"/>
            <w:vAlign w:val="center"/>
          </w:tcPr>
          <w:p>
            <w:pPr>
              <w:jc w:val="both"/>
              <w:rPr>
                <w:rFonts w:ascii="宋体" w:hAnsi="宋体"/>
              </w:rPr>
            </w:pPr>
            <w:r>
              <w:rPr>
                <w:rFonts w:ascii="宋体" w:hAnsi="宋体" w:hint="eastAsia"/>
              </w:rPr>
              <w:t>24兖矿能源MTN002</w:t>
            </w:r>
          </w:p>
        </w:tc>
        <w:tc>
          <w:tcPr>
            <w:tcW w:w="1559" w:type="dxa"/>
            <w:vAlign w:val="center"/>
          </w:tcPr>
          <w:p>
            <w:pPr>
              <w:jc w:val="right"/>
              <w:rPr>
                <w:rFonts w:ascii="宋体" w:hAnsi="宋体"/>
              </w:rPr>
            </w:pPr>
            <w:r>
              <w:rPr>
                <w:rFonts w:ascii="宋体" w:hAnsi="宋体" w:hint="eastAsia"/>
              </w:rPr>
              <w:t>15,000</w:t>
            </w:r>
          </w:p>
        </w:tc>
        <w:tc>
          <w:tcPr>
            <w:tcW w:w="1843" w:type="dxa"/>
            <w:vAlign w:val="center"/>
          </w:tcPr>
          <w:p>
            <w:pPr>
              <w:jc w:val="right"/>
              <w:rPr>
                <w:rFonts w:ascii="宋体" w:hAnsi="宋体"/>
              </w:rPr>
            </w:pPr>
            <w:r>
              <w:rPr>
                <w:rFonts w:ascii="宋体" w:hAnsi="宋体" w:hint="eastAsia"/>
              </w:rPr>
              <w:t>1,500,000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15,000</w:t>
            </w:r>
          </w:p>
        </w:tc>
        <w:tc>
          <w:tcPr>
            <w:tcW w:w="1559" w:type="dxa"/>
            <w:vAlign w:val="center"/>
          </w:tcPr>
          <w:p>
            <w:pPr>
              <w:jc w:val="right"/>
              <w:rPr>
                <w:rFonts w:ascii="宋体" w:hAnsi="宋体"/>
              </w:rPr>
            </w:pPr>
            <w:r>
              <w:rPr>
                <w:rFonts w:ascii="宋体" w:hAnsi="宋体" w:hint="eastAsia"/>
              </w:rPr>
              <w:t>1,500,000</w:t>
            </w:r>
          </w:p>
        </w:tc>
      </w:tr>
      <w:tr>
        <w:trPr>
          <w:trHeight w:val="340"/>
        </w:trPr>
        <w:tc>
          <w:tcPr>
            <w:tcW w:w="2972" w:type="dxa"/>
            <w:vAlign w:val="center"/>
          </w:tcPr>
          <w:p>
            <w:pPr>
              <w:jc w:val="both"/>
              <w:rPr>
                <w:rFonts w:ascii="宋体" w:hAnsi="宋体"/>
              </w:rPr>
            </w:pPr>
            <w:r>
              <w:rPr>
                <w:rFonts w:ascii="宋体" w:hAnsi="宋体" w:hint="eastAsia"/>
              </w:rPr>
              <w:t>24兖矿能源MTN003</w:t>
            </w:r>
          </w:p>
        </w:tc>
        <w:tc>
          <w:tcPr>
            <w:tcW w:w="1559" w:type="dxa"/>
            <w:vAlign w:val="center"/>
          </w:tcPr>
          <w:p>
            <w:pPr>
              <w:jc w:val="right"/>
              <w:rPr>
                <w:rFonts w:ascii="宋体" w:hAnsi="宋体"/>
              </w:rPr>
            </w:pPr>
            <w:r>
              <w:rPr>
                <w:rFonts w:ascii="宋体" w:hAnsi="宋体" w:hint="eastAsia"/>
              </w:rPr>
              <w:t>15,000</w:t>
            </w:r>
          </w:p>
        </w:tc>
        <w:tc>
          <w:tcPr>
            <w:tcW w:w="1843" w:type="dxa"/>
            <w:vAlign w:val="center"/>
          </w:tcPr>
          <w:p>
            <w:pPr>
              <w:jc w:val="right"/>
              <w:rPr>
                <w:rFonts w:ascii="宋体" w:hAnsi="宋体"/>
              </w:rPr>
            </w:pPr>
            <w:r>
              <w:rPr>
                <w:rFonts w:ascii="宋体" w:hAnsi="宋体" w:hint="eastAsia"/>
              </w:rPr>
              <w:t>1,500,000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15,000</w:t>
            </w:r>
          </w:p>
        </w:tc>
        <w:tc>
          <w:tcPr>
            <w:tcW w:w="1559" w:type="dxa"/>
            <w:vAlign w:val="center"/>
          </w:tcPr>
          <w:p>
            <w:pPr>
              <w:jc w:val="right"/>
              <w:rPr>
                <w:rFonts w:ascii="宋体" w:hAnsi="宋体"/>
              </w:rPr>
            </w:pPr>
            <w:r>
              <w:rPr>
                <w:rFonts w:ascii="宋体" w:hAnsi="宋体" w:hint="eastAsia"/>
              </w:rPr>
              <w:t>1,500,000</w:t>
            </w:r>
          </w:p>
        </w:tc>
      </w:tr>
      <w:tr>
        <w:trPr>
          <w:trHeight w:val="340"/>
        </w:trPr>
        <w:tc>
          <w:tcPr>
            <w:tcW w:w="2972" w:type="dxa"/>
            <w:vAlign w:val="center"/>
          </w:tcPr>
          <w:p>
            <w:pPr>
              <w:jc w:val="both"/>
              <w:rPr>
                <w:rFonts w:ascii="宋体" w:hAnsi="宋体"/>
              </w:rPr>
            </w:pPr>
            <w:r>
              <w:rPr>
                <w:rFonts w:ascii="宋体" w:hAnsi="宋体" w:hint="eastAsia"/>
              </w:rPr>
              <w:t>24兖矿能源MTN004</w:t>
            </w:r>
          </w:p>
        </w:tc>
        <w:tc>
          <w:tcPr>
            <w:tcW w:w="1559" w:type="dxa"/>
            <w:vAlign w:val="center"/>
          </w:tcPr>
          <w:p>
            <w:pPr>
              <w:jc w:val="right"/>
              <w:rPr>
                <w:rFonts w:ascii="宋体" w:hAnsi="宋体"/>
              </w:rPr>
            </w:pPr>
            <w:r>
              <w:rPr>
                <w:rFonts w:ascii="宋体" w:hAnsi="宋体" w:hint="eastAsia"/>
              </w:rPr>
              <w:t>20,000</w:t>
            </w:r>
          </w:p>
        </w:tc>
        <w:tc>
          <w:tcPr>
            <w:tcW w:w="1843" w:type="dxa"/>
            <w:vAlign w:val="center"/>
          </w:tcPr>
          <w:p>
            <w:pPr>
              <w:jc w:val="right"/>
              <w:rPr>
                <w:rFonts w:ascii="宋体" w:hAnsi="宋体"/>
              </w:rPr>
            </w:pPr>
            <w:r>
              <w:rPr>
                <w:rFonts w:ascii="宋体" w:hAnsi="宋体" w:hint="eastAsia"/>
              </w:rPr>
              <w:t>2,000,000</w:t>
            </w:r>
          </w:p>
        </w:tc>
        <w:tc>
          <w:tcPr>
            <w:tcW w:w="1559" w:type="dxa"/>
            <w:vAlign w:val="center"/>
          </w:tcPr>
          <w:p>
            <w:pPr>
              <w:jc w:val="right"/>
              <w:rPr>
                <w:rFonts w:ascii="宋体" w:hAnsi="宋体"/>
              </w:rPr>
            </w:pPr>
          </w:p>
        </w:tc>
        <w:tc>
          <w:tcPr>
            <w:tcW w:w="1560" w:type="dxa"/>
            <w:vAlign w:val="center"/>
          </w:tcPr>
          <w:p>
            <w:pPr>
              <w:jc w:val="right"/>
              <w:rPr>
                <w:rFonts w:ascii="宋体" w:hAnsi="宋体"/>
              </w:rPr>
            </w:pP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20,000</w:t>
            </w:r>
          </w:p>
        </w:tc>
        <w:tc>
          <w:tcPr>
            <w:tcW w:w="1559" w:type="dxa"/>
            <w:vAlign w:val="center"/>
          </w:tcPr>
          <w:p>
            <w:pPr>
              <w:jc w:val="right"/>
              <w:rPr>
                <w:rFonts w:ascii="宋体" w:hAnsi="宋体"/>
              </w:rPr>
            </w:pPr>
            <w:r>
              <w:rPr>
                <w:rFonts w:ascii="宋体" w:hAnsi="宋体" w:hint="eastAsia"/>
              </w:rPr>
              <w:t>2,000,000</w:t>
            </w:r>
          </w:p>
        </w:tc>
      </w:tr>
      <w:tr>
        <w:trPr>
          <w:trHeight w:val="340"/>
        </w:trPr>
        <w:tc>
          <w:tcPr>
            <w:tcW w:w="2972" w:type="dxa"/>
            <w:vAlign w:val="center"/>
          </w:tcPr>
          <w:p>
            <w:pPr>
              <w:jc w:val="both"/>
              <w:rPr>
                <w:rFonts w:ascii="宋体" w:hAnsi="宋体"/>
              </w:rPr>
            </w:pPr>
            <w:r>
              <w:rPr>
                <w:rFonts w:ascii="宋体" w:hAnsi="宋体" w:hint="eastAsia"/>
              </w:rPr>
              <w:t>25兖矿能源KY04</w:t>
            </w:r>
          </w:p>
        </w:tc>
        <w:tc>
          <w:tcPr>
            <w:tcW w:w="1559" w:type="dxa"/>
            <w:vAlign w:val="center"/>
          </w:tcPr>
          <w:p>
            <w:pPr>
              <w:jc w:val="right"/>
              <w:rPr>
                <w:rFonts w:ascii="宋体" w:hAnsi="宋体"/>
              </w:rPr>
            </w:pPr>
          </w:p>
        </w:tc>
        <w:tc>
          <w:tcPr>
            <w:tcW w:w="1843"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60" w:type="dxa"/>
            <w:vAlign w:val="center"/>
          </w:tcPr>
          <w:p>
            <w:pPr>
              <w:jc w:val="right"/>
              <w:rPr>
                <w:rFonts w:ascii="宋体" w:hAnsi="宋体"/>
              </w:rPr>
            </w:pPr>
            <w:r>
              <w:rPr>
                <w:rFonts w:ascii="宋体" w:hAnsi="宋体" w:hint="eastAsia"/>
              </w:rPr>
              <w:t>3,000,000</w:t>
            </w: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59" w:type="dxa"/>
            <w:vAlign w:val="center"/>
          </w:tcPr>
          <w:p>
            <w:pPr>
              <w:jc w:val="right"/>
              <w:rPr>
                <w:rFonts w:ascii="宋体" w:hAnsi="宋体"/>
              </w:rPr>
            </w:pPr>
            <w:r>
              <w:rPr>
                <w:rFonts w:ascii="宋体" w:hAnsi="宋体" w:hint="eastAsia"/>
              </w:rPr>
              <w:t>3,000,000</w:t>
            </w:r>
          </w:p>
        </w:tc>
      </w:tr>
      <w:tr>
        <w:trPr>
          <w:trHeight w:val="340"/>
        </w:trPr>
        <w:tc>
          <w:tcPr>
            <w:tcW w:w="2972" w:type="dxa"/>
            <w:vAlign w:val="center"/>
          </w:tcPr>
          <w:p>
            <w:pPr>
              <w:jc w:val="both"/>
              <w:rPr>
                <w:rFonts w:ascii="宋体" w:hAnsi="宋体"/>
              </w:rPr>
            </w:pPr>
            <w:r>
              <w:rPr>
                <w:rFonts w:ascii="宋体" w:hAnsi="宋体" w:hint="eastAsia"/>
              </w:rPr>
              <w:t>25兖矿能源KY06</w:t>
            </w:r>
          </w:p>
        </w:tc>
        <w:tc>
          <w:tcPr>
            <w:tcW w:w="1559" w:type="dxa"/>
            <w:vAlign w:val="center"/>
          </w:tcPr>
          <w:p>
            <w:pPr>
              <w:jc w:val="right"/>
              <w:rPr>
                <w:rFonts w:ascii="宋体" w:hAnsi="宋体"/>
              </w:rPr>
            </w:pPr>
          </w:p>
        </w:tc>
        <w:tc>
          <w:tcPr>
            <w:tcW w:w="1843"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60" w:type="dxa"/>
            <w:vAlign w:val="center"/>
          </w:tcPr>
          <w:p>
            <w:pPr>
              <w:jc w:val="right"/>
              <w:rPr>
                <w:rFonts w:ascii="宋体" w:hAnsi="宋体"/>
              </w:rPr>
            </w:pPr>
            <w:r>
              <w:rPr>
                <w:rFonts w:ascii="宋体" w:hAnsi="宋体" w:hint="eastAsia"/>
              </w:rPr>
              <w:t>3,000,000</w:t>
            </w: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59" w:type="dxa"/>
            <w:vAlign w:val="center"/>
          </w:tcPr>
          <w:p>
            <w:pPr>
              <w:jc w:val="right"/>
              <w:rPr>
                <w:rFonts w:ascii="宋体" w:hAnsi="宋体"/>
              </w:rPr>
            </w:pPr>
            <w:r>
              <w:rPr>
                <w:rFonts w:ascii="宋体" w:hAnsi="宋体" w:hint="eastAsia"/>
              </w:rPr>
              <w:t>3,000,000</w:t>
            </w:r>
          </w:p>
        </w:tc>
      </w:tr>
      <w:tr>
        <w:trPr>
          <w:trHeight w:val="340"/>
        </w:trPr>
        <w:tc>
          <w:tcPr>
            <w:tcW w:w="2972" w:type="dxa"/>
            <w:vAlign w:val="center"/>
          </w:tcPr>
          <w:p>
            <w:pPr>
              <w:jc w:val="both"/>
              <w:rPr>
                <w:rFonts w:ascii="宋体" w:hAnsi="宋体"/>
              </w:rPr>
            </w:pPr>
            <w:r>
              <w:rPr>
                <w:rFonts w:ascii="宋体" w:hAnsi="宋体" w:hint="eastAsia"/>
              </w:rPr>
              <w:t>25兖矿能源MTN001</w:t>
            </w:r>
          </w:p>
        </w:tc>
        <w:tc>
          <w:tcPr>
            <w:tcW w:w="1559" w:type="dxa"/>
            <w:vAlign w:val="center"/>
          </w:tcPr>
          <w:p>
            <w:pPr>
              <w:jc w:val="right"/>
              <w:rPr>
                <w:rFonts w:ascii="宋体" w:hAnsi="宋体"/>
              </w:rPr>
            </w:pPr>
          </w:p>
        </w:tc>
        <w:tc>
          <w:tcPr>
            <w:tcW w:w="1843"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60" w:type="dxa"/>
            <w:vAlign w:val="center"/>
          </w:tcPr>
          <w:p>
            <w:pPr>
              <w:jc w:val="right"/>
              <w:rPr>
                <w:rFonts w:ascii="宋体" w:hAnsi="宋体"/>
              </w:rPr>
            </w:pPr>
            <w:r>
              <w:rPr>
                <w:rFonts w:ascii="宋体" w:hAnsi="宋体" w:hint="eastAsia"/>
              </w:rPr>
              <w:t>3,000,000</w:t>
            </w: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59" w:type="dxa"/>
            <w:vAlign w:val="center"/>
          </w:tcPr>
          <w:p>
            <w:pPr>
              <w:jc w:val="right"/>
              <w:rPr>
                <w:rFonts w:ascii="宋体" w:hAnsi="宋体"/>
              </w:rPr>
            </w:pPr>
            <w:r>
              <w:rPr>
                <w:rFonts w:ascii="宋体" w:hAnsi="宋体" w:hint="eastAsia"/>
              </w:rPr>
              <w:t>3,000,000</w:t>
            </w:r>
          </w:p>
        </w:tc>
      </w:tr>
      <w:tr>
        <w:trPr>
          <w:trHeight w:val="340"/>
        </w:trPr>
        <w:tc>
          <w:tcPr>
            <w:tcW w:w="2972" w:type="dxa"/>
            <w:vAlign w:val="center"/>
          </w:tcPr>
          <w:p>
            <w:pPr>
              <w:jc w:val="both"/>
              <w:rPr>
                <w:rFonts w:ascii="宋体" w:hAnsi="宋体"/>
              </w:rPr>
            </w:pPr>
            <w:r>
              <w:rPr>
                <w:rFonts w:ascii="宋体" w:hAnsi="宋体" w:hint="eastAsia"/>
              </w:rPr>
              <w:lastRenderedPageBreak/>
              <w:t>25兖矿能源MTN002</w:t>
            </w:r>
          </w:p>
        </w:tc>
        <w:tc>
          <w:tcPr>
            <w:tcW w:w="1559" w:type="dxa"/>
            <w:vAlign w:val="center"/>
          </w:tcPr>
          <w:p>
            <w:pPr>
              <w:jc w:val="right"/>
              <w:rPr>
                <w:rFonts w:ascii="宋体" w:hAnsi="宋体"/>
              </w:rPr>
            </w:pPr>
          </w:p>
        </w:tc>
        <w:tc>
          <w:tcPr>
            <w:tcW w:w="1843"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60" w:type="dxa"/>
            <w:vAlign w:val="center"/>
          </w:tcPr>
          <w:p>
            <w:pPr>
              <w:jc w:val="right"/>
              <w:rPr>
                <w:rFonts w:ascii="宋体" w:hAnsi="宋体"/>
              </w:rPr>
            </w:pPr>
            <w:r>
              <w:rPr>
                <w:rFonts w:ascii="宋体" w:hAnsi="宋体" w:hint="eastAsia"/>
              </w:rPr>
              <w:t>3,000,000</w:t>
            </w: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59" w:type="dxa"/>
            <w:vAlign w:val="center"/>
          </w:tcPr>
          <w:p>
            <w:pPr>
              <w:jc w:val="right"/>
              <w:rPr>
                <w:rFonts w:ascii="宋体" w:hAnsi="宋体"/>
              </w:rPr>
            </w:pPr>
            <w:r>
              <w:rPr>
                <w:rFonts w:ascii="宋体" w:hAnsi="宋体" w:hint="eastAsia"/>
              </w:rPr>
              <w:t>3,000,000</w:t>
            </w:r>
          </w:p>
        </w:tc>
      </w:tr>
      <w:tr>
        <w:trPr>
          <w:trHeight w:val="340"/>
        </w:trPr>
        <w:tc>
          <w:tcPr>
            <w:tcW w:w="2972" w:type="dxa"/>
            <w:vAlign w:val="center"/>
          </w:tcPr>
          <w:p>
            <w:pPr>
              <w:jc w:val="both"/>
              <w:rPr>
                <w:rFonts w:ascii="宋体" w:hAnsi="宋体"/>
              </w:rPr>
            </w:pPr>
            <w:r>
              <w:rPr>
                <w:rFonts w:ascii="宋体" w:hAnsi="宋体" w:hint="eastAsia"/>
              </w:rPr>
              <w:t>25兖矿能源MTN003</w:t>
            </w:r>
          </w:p>
        </w:tc>
        <w:tc>
          <w:tcPr>
            <w:tcW w:w="1559" w:type="dxa"/>
            <w:vAlign w:val="center"/>
          </w:tcPr>
          <w:p>
            <w:pPr>
              <w:jc w:val="right"/>
              <w:rPr>
                <w:rFonts w:ascii="宋体" w:hAnsi="宋体"/>
              </w:rPr>
            </w:pPr>
          </w:p>
        </w:tc>
        <w:tc>
          <w:tcPr>
            <w:tcW w:w="1843"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60" w:type="dxa"/>
            <w:vAlign w:val="center"/>
          </w:tcPr>
          <w:p>
            <w:pPr>
              <w:jc w:val="right"/>
              <w:rPr>
                <w:rFonts w:ascii="宋体" w:hAnsi="宋体"/>
              </w:rPr>
            </w:pPr>
            <w:r>
              <w:rPr>
                <w:rFonts w:ascii="宋体" w:hAnsi="宋体" w:hint="eastAsia"/>
              </w:rPr>
              <w:t>3,000,000</w:t>
            </w:r>
          </w:p>
        </w:tc>
        <w:tc>
          <w:tcPr>
            <w:tcW w:w="1559" w:type="dxa"/>
            <w:vAlign w:val="center"/>
          </w:tcPr>
          <w:p>
            <w:pPr>
              <w:jc w:val="right"/>
              <w:rPr>
                <w:rFonts w:ascii="宋体" w:hAnsi="宋体"/>
              </w:rPr>
            </w:pPr>
          </w:p>
        </w:tc>
        <w:tc>
          <w:tcPr>
            <w:tcW w:w="170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30,000</w:t>
            </w:r>
          </w:p>
        </w:tc>
        <w:tc>
          <w:tcPr>
            <w:tcW w:w="1559" w:type="dxa"/>
            <w:vAlign w:val="center"/>
          </w:tcPr>
          <w:p>
            <w:pPr>
              <w:jc w:val="right"/>
              <w:rPr>
                <w:rFonts w:ascii="宋体" w:hAnsi="宋体"/>
              </w:rPr>
            </w:pPr>
            <w:r>
              <w:rPr>
                <w:rFonts w:ascii="宋体" w:hAnsi="宋体" w:hint="eastAsia"/>
              </w:rPr>
              <w:t>3,000,000</w:t>
            </w:r>
          </w:p>
        </w:tc>
      </w:tr>
      <w:tr>
        <w:trPr>
          <w:trHeight w:val="340"/>
        </w:trPr>
        <w:tc>
          <w:tcPr>
            <w:tcW w:w="2972" w:type="dxa"/>
            <w:vAlign w:val="center"/>
          </w:tcPr>
          <w:p>
            <w:pPr>
              <w:jc w:val="both"/>
              <w:rPr>
                <w:rFonts w:ascii="宋体" w:hAnsi="宋体"/>
              </w:rPr>
            </w:pPr>
            <w:r>
              <w:rPr>
                <w:rFonts w:ascii="宋体" w:hAnsi="宋体" w:hint="eastAsia"/>
              </w:rPr>
              <w:t>计提永续债利息</w:t>
            </w:r>
          </w:p>
        </w:tc>
        <w:tc>
          <w:tcPr>
            <w:tcW w:w="1559" w:type="dxa"/>
            <w:vAlign w:val="center"/>
          </w:tcPr>
          <w:p>
            <w:pPr>
              <w:jc w:val="right"/>
              <w:rPr>
                <w:rFonts w:ascii="宋体" w:hAnsi="宋体"/>
              </w:rPr>
            </w:pPr>
          </w:p>
        </w:tc>
        <w:tc>
          <w:tcPr>
            <w:tcW w:w="1843" w:type="dxa"/>
            <w:vAlign w:val="center"/>
          </w:tcPr>
          <w:p>
            <w:pPr>
              <w:jc w:val="right"/>
              <w:rPr>
                <w:rFonts w:ascii="宋体" w:hAnsi="宋体"/>
              </w:rPr>
            </w:pPr>
            <w:r>
              <w:rPr>
                <w:rFonts w:ascii="宋体" w:hAnsi="宋体" w:hint="eastAsia"/>
              </w:rPr>
              <w:t>278,821</w:t>
            </w:r>
          </w:p>
        </w:tc>
        <w:tc>
          <w:tcPr>
            <w:tcW w:w="1559" w:type="dxa"/>
            <w:vAlign w:val="center"/>
          </w:tcPr>
          <w:p>
            <w:pPr>
              <w:jc w:val="right"/>
              <w:rPr>
                <w:rFonts w:ascii="宋体" w:hAnsi="宋体"/>
              </w:rPr>
            </w:pPr>
          </w:p>
        </w:tc>
        <w:tc>
          <w:tcPr>
            <w:tcW w:w="1560" w:type="dxa"/>
            <w:vAlign w:val="center"/>
          </w:tcPr>
          <w:p>
            <w:pPr>
              <w:jc w:val="right"/>
              <w:rPr>
                <w:rFonts w:ascii="宋体" w:hAnsi="宋体"/>
              </w:rPr>
            </w:pPr>
            <w:r>
              <w:rPr>
                <w:rFonts w:ascii="宋体" w:hAnsi="宋体" w:hint="eastAsia"/>
              </w:rPr>
              <w:t>627,530</w:t>
            </w:r>
          </w:p>
        </w:tc>
        <w:tc>
          <w:tcPr>
            <w:tcW w:w="1559"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hint="eastAsia"/>
              </w:rPr>
              <w:t>638,200</w:t>
            </w:r>
          </w:p>
        </w:tc>
        <w:tc>
          <w:tcPr>
            <w:tcW w:w="1559"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hint="eastAsia"/>
              </w:rPr>
              <w:t>268,151</w:t>
            </w:r>
          </w:p>
        </w:tc>
      </w:tr>
      <w:tr>
        <w:trPr>
          <w:trHeight w:val="340"/>
        </w:trPr>
        <w:tc>
          <w:tcPr>
            <w:tcW w:w="2972" w:type="dxa"/>
            <w:vAlign w:val="center"/>
          </w:tcPr>
          <w:p>
            <w:pPr>
              <w:jc w:val="center"/>
            </w:pPr>
            <w:r>
              <w:rPr>
                <w:rFonts w:hint="eastAsia"/>
              </w:rPr>
              <w:t>合计</w:t>
            </w:r>
          </w:p>
        </w:tc>
        <w:tc>
          <w:tcPr>
            <w:tcW w:w="1559" w:type="dxa"/>
          </w:tcPr>
          <w:p>
            <w:pPr>
              <w:jc w:val="right"/>
              <w:rPr>
                <w:rFonts w:ascii="宋体" w:hAnsi="宋体"/>
              </w:rPr>
            </w:pPr>
          </w:p>
        </w:tc>
        <w:tc>
          <w:tcPr>
            <w:tcW w:w="1843" w:type="dxa"/>
            <w:vAlign w:val="center"/>
          </w:tcPr>
          <w:p>
            <w:pPr>
              <w:jc w:val="right"/>
              <w:rPr>
                <w:rFonts w:ascii="宋体" w:hAnsi="宋体"/>
              </w:rPr>
            </w:pPr>
            <w:r>
              <w:rPr>
                <w:rFonts w:ascii="宋体" w:hAnsi="宋体"/>
              </w:rPr>
              <w:t>23,267,221</w:t>
            </w:r>
          </w:p>
        </w:tc>
        <w:tc>
          <w:tcPr>
            <w:tcW w:w="1559" w:type="dxa"/>
            <w:vAlign w:val="center"/>
          </w:tcPr>
          <w:p>
            <w:pPr>
              <w:jc w:val="right"/>
              <w:rPr>
                <w:rFonts w:ascii="宋体" w:hAnsi="宋体"/>
              </w:rPr>
            </w:pPr>
          </w:p>
        </w:tc>
        <w:tc>
          <w:tcPr>
            <w:tcW w:w="1560" w:type="dxa"/>
            <w:vAlign w:val="center"/>
          </w:tcPr>
          <w:p>
            <w:pPr>
              <w:jc w:val="right"/>
              <w:rPr>
                <w:rFonts w:ascii="宋体" w:hAnsi="宋体"/>
              </w:rPr>
            </w:pPr>
            <w:r>
              <w:rPr>
                <w:rFonts w:ascii="宋体" w:hAnsi="宋体"/>
              </w:rPr>
              <w:t>15,627,530</w:t>
            </w:r>
          </w:p>
        </w:tc>
        <w:tc>
          <w:tcPr>
            <w:tcW w:w="1559"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10,128,100</w:t>
            </w:r>
          </w:p>
        </w:tc>
        <w:tc>
          <w:tcPr>
            <w:tcW w:w="1559"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rPr>
              <w:t>28,766,651</w:t>
            </w:r>
          </w:p>
        </w:tc>
      </w:tr>
    </w:tbl>
    <w:p>
      <w:pPr>
        <w:pStyle w:val="Style217"/>
      </w:pPr>
    </w:p>
    <w:p>
      <w:pPr>
        <w:pStyle w:val="Style217"/>
      </w:pPr>
      <w:bookmarkStart w:id="505" w:name="_Hlk89785136"/>
      <w:bookmarkEnd w:id="504"/>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193443672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505"/>
    <w:p>
      <w:pPr>
        <w:pStyle w:val="Style217"/>
      </w:pPr>
    </w:p>
    <w:p>
      <w:pPr>
        <w:pStyle w:val="Style217"/>
      </w:pPr>
      <w:bookmarkStart w:id="506" w:name="_Hlk89785124"/>
      <w:r>
        <w:rPr>
          <w:rFonts w:hint="eastAsia"/>
        </w:rPr>
        <w:t>其他说明：</w:t>
      </w:r>
    </w:p>
    <w:sdt>
      <w:sdtPr>
        <w:alias w:val="是否适用：其他权益工具的其他说明[双击切换]"/>
        <w:tag w:val="_GBC_af2e32ae9c704175a99ebad592dec5f2"/>
        <w:id w:val="85769775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其他权益工具的其他说明"/>
        <w:tag w:val="_GBC_95c132dcbe164594a72f95ef17c3b3a2"/>
        <w:id w:val="-912543962"/>
        <w:placeholder>
          <w:docPart w:val="GBC22222222222222222222222222222"/>
        </w:placeholder>
      </w:sdtPr>
      <w:sdtContent>
        <w:p>
          <w:pPr>
            <w:spacing w:afterLines="50" w:after="120" w:line="360" w:lineRule="exact"/>
            <w:ind w:firstLineChars="200" w:firstLine="420"/>
            <w:rPr>
              <w:rFonts w:ascii="宋体" w:hAnsi="宋体"/>
            </w:rPr>
          </w:pPr>
          <w:r>
            <w:rPr>
              <w:rFonts w:ascii="宋体" w:hAnsi="宋体" w:hint="eastAsia"/>
            </w:rPr>
            <w:t>注1：本集团于2022年6月8日发行兖矿能源集团股份有限公司2022年度第二期中期票据（债券简称：22兖矿能源MTN002），总金额为2,000,000千元，扣除发行费用，实际募集资金1,996,400千元，此工具无固定偿还期限。本集团于2025年6月9日向债券购买人兑付兴业银行永续债（22兖矿能源MTN002）本息。</w:t>
          </w:r>
        </w:p>
        <w:p>
          <w:pPr>
            <w:spacing w:afterLines="50" w:after="120" w:line="360" w:lineRule="exact"/>
            <w:ind w:firstLineChars="200" w:firstLine="420"/>
            <w:rPr>
              <w:rFonts w:ascii="宋体" w:hAnsi="宋体"/>
            </w:rPr>
          </w:pPr>
          <w:r>
            <w:rPr>
              <w:rFonts w:ascii="宋体" w:hAnsi="宋体" w:hint="eastAsia"/>
            </w:rPr>
            <w:t>注2：本集团于2022年5月18日发行兖矿能源集团股份有限公司2022年度第一期中期票据（品种一）（债券简称：22兖矿能源MTN001A)，总金额为2,500,000千元，扣除发行费用，实际募集资2,495,500千元，此工具无固定偿还期限。本集团于2025年5月19日向债券购买人兑付招商银行永续债（22兖矿能源MTN001A）本息。</w:t>
          </w:r>
        </w:p>
        <w:p>
          <w:pPr>
            <w:spacing w:afterLines="50" w:after="120" w:line="360" w:lineRule="exact"/>
            <w:ind w:firstLineChars="200" w:firstLine="420"/>
            <w:rPr>
              <w:rFonts w:ascii="宋体" w:hAnsi="宋体"/>
            </w:rPr>
          </w:pPr>
          <w:r>
            <w:rPr>
              <w:rFonts w:ascii="宋体" w:hAnsi="宋体" w:hint="eastAsia"/>
            </w:rPr>
            <w:t>注3：本集团2022年5月18日发行兖矿能源集团股份有限公司2022年度第一期中期票据（品种二）（债券简称：22兖矿能源MTN001B)，总金额为500,000千元，扣除发行费用，实际募集资金498,500千元，此工具无固定偿还期限。本集团本年按照3.71％的利率向债券购买人支付利息。</w:t>
          </w:r>
        </w:p>
        <w:p>
          <w:pPr>
            <w:spacing w:afterLines="50" w:after="120" w:line="360" w:lineRule="exact"/>
            <w:ind w:firstLineChars="200" w:firstLine="420"/>
            <w:rPr>
              <w:rFonts w:ascii="宋体" w:hAnsi="宋体"/>
            </w:rPr>
          </w:pPr>
          <w:r>
            <w:rPr>
              <w:rFonts w:ascii="宋体" w:hAnsi="宋体" w:hint="eastAsia"/>
            </w:rPr>
            <w:t>注4：本集团于2023年10月19日发行2023年度第一期中期票据（债券简称：23兖矿能源MTN001），总金额为2,000,000千元，扣除发行费用，实际募集资金1,999,200千元，此工具无固定偿还期限。本集团于2025年10月21日向债券购买人兑付招商银行永续债（23兖矿能源MTN001）本息。</w:t>
          </w:r>
        </w:p>
        <w:p>
          <w:pPr>
            <w:spacing w:afterLines="50" w:after="120" w:line="360" w:lineRule="exact"/>
            <w:ind w:firstLineChars="200" w:firstLine="420"/>
            <w:rPr>
              <w:rFonts w:ascii="宋体" w:hAnsi="宋体"/>
            </w:rPr>
          </w:pPr>
          <w:r>
            <w:rPr>
              <w:rFonts w:ascii="宋体" w:hAnsi="宋体" w:hint="eastAsia"/>
            </w:rPr>
            <w:t>注5：本集团于2023年11月21日发行2023年度第二期中期票据（债券简称：23兖矿能源MTN002），总金额为3,000,000千元，扣除发行费用，实际募集资金2,998,800千元，此工具无固定偿还期限。本集团于2025年11月21日向债券购买人兑付招商银行永续债（23兖矿能源MTN001）本息。</w:t>
          </w:r>
        </w:p>
        <w:p>
          <w:pPr>
            <w:spacing w:afterLines="50" w:after="120" w:line="360" w:lineRule="exact"/>
            <w:ind w:firstLineChars="200" w:firstLine="420"/>
            <w:rPr>
              <w:rFonts w:ascii="宋体" w:hAnsi="宋体"/>
            </w:rPr>
          </w:pPr>
          <w:r>
            <w:rPr>
              <w:rFonts w:ascii="宋体" w:hAnsi="宋体" w:hint="eastAsia"/>
            </w:rPr>
            <w:lastRenderedPageBreak/>
            <w:t>注6：本集团于2024年1月31日发行2024年度第一期中期票据（科创票据）（债券简称：24兖矿能源MTN001），总金额3,000,000千元，此工具无固定偿还期限。本集团本年按照2.85%的利率向债券购买人支付利息。</w:t>
          </w:r>
        </w:p>
        <w:p>
          <w:pPr>
            <w:spacing w:afterLines="50" w:after="120" w:line="360" w:lineRule="exact"/>
            <w:ind w:firstLineChars="200" w:firstLine="420"/>
            <w:rPr>
              <w:rFonts w:ascii="宋体" w:hAnsi="宋体"/>
            </w:rPr>
          </w:pPr>
          <w:r>
            <w:rPr>
              <w:rFonts w:ascii="宋体" w:hAnsi="宋体" w:hint="eastAsia"/>
            </w:rPr>
            <w:t>注7：本集团于2024年6月17日发行科技创新可续期公司债券（第一期）（债券简称：24兖矿能源KY01），总金额3,000,000千元，此工具无固定偿还期限。本集团本年按照2.28%的利率向债券购买人支付利息。</w:t>
          </w:r>
        </w:p>
        <w:p>
          <w:pPr>
            <w:spacing w:afterLines="50" w:after="120" w:line="360" w:lineRule="exact"/>
            <w:ind w:firstLineChars="200" w:firstLine="420"/>
            <w:rPr>
              <w:rFonts w:ascii="宋体" w:hAnsi="宋体"/>
            </w:rPr>
          </w:pPr>
          <w:r>
            <w:rPr>
              <w:rFonts w:ascii="宋体" w:hAnsi="宋体" w:hint="eastAsia"/>
            </w:rPr>
            <w:t>注8：本集团于2024年7月25日发行科技创新可续期公司债券（第二期）（债券简称：24兖矿能源KY02），总金额2,000,000千元，此工具无固定偿还期限。本集团本年按照2.17%的利率向债券购买人支付利息。</w:t>
          </w:r>
        </w:p>
        <w:p>
          <w:pPr>
            <w:spacing w:afterLines="50" w:after="120" w:line="360" w:lineRule="exact"/>
            <w:ind w:firstLineChars="200" w:firstLine="420"/>
            <w:rPr>
              <w:rFonts w:ascii="宋体" w:hAnsi="宋体"/>
            </w:rPr>
          </w:pPr>
          <w:r>
            <w:rPr>
              <w:rFonts w:ascii="宋体" w:hAnsi="宋体" w:hint="eastAsia"/>
            </w:rPr>
            <w:t>注9：本集团于2024年10月28日发行2024年度第二期中期票据（科创票据）（债券简称：24兖矿能源MTN002(科创票据）），总金额1,500,000千元，此工具无固定偿还期限。本集团本年按照2.43%的利率向债券购买人支付利息。</w:t>
          </w:r>
        </w:p>
        <w:p>
          <w:pPr>
            <w:spacing w:afterLines="50" w:after="120" w:line="360" w:lineRule="exact"/>
            <w:ind w:firstLineChars="200" w:firstLine="420"/>
            <w:rPr>
              <w:rFonts w:ascii="宋体" w:hAnsi="宋体"/>
            </w:rPr>
          </w:pPr>
          <w:r>
            <w:rPr>
              <w:rFonts w:ascii="宋体" w:hAnsi="宋体" w:hint="eastAsia"/>
            </w:rPr>
            <w:t>注10：本集团于2024年11月20日发行2024年度第三期中期票据（科创票据）（债券简称：24兖矿能源MTN003(科创票据）），总金额1,500,000千元人民币，此工具无固定偿还期限。本集团本年按照2.26%的利率向债券购买人支付利息。</w:t>
          </w:r>
        </w:p>
        <w:p>
          <w:pPr>
            <w:spacing w:afterLines="50" w:after="120" w:line="360" w:lineRule="exact"/>
            <w:ind w:firstLineChars="200" w:firstLine="420"/>
          </w:pPr>
          <w:r>
            <w:rPr>
              <w:rFonts w:ascii="宋体" w:hAnsi="宋体" w:hint="eastAsia"/>
            </w:rPr>
            <w:t>注11：本集团于2024年12月9日发行2024年度第四期中期票据（债券简称：24兖矿能源MTN004），总金额2,000,000千元，此工具无固定偿还期限。本集团本年按照2.06%的利率向债券购买人支付利息</w:t>
          </w:r>
          <w:r>
            <w:rPr>
              <w:rFonts w:hint="eastAsia"/>
            </w:rPr>
            <w:t>。</w:t>
          </w:r>
        </w:p>
        <w:p>
          <w:pPr>
            <w:spacing w:afterLines="50" w:after="120" w:line="360" w:lineRule="exact"/>
            <w:ind w:firstLineChars="200" w:firstLine="420"/>
          </w:pPr>
          <w:r>
            <w:rPr>
              <w:rFonts w:ascii="宋体" w:hAnsi="宋体" w:hint="eastAsia"/>
            </w:rPr>
            <w:t>注12：本集团于2025年6月23日发行科技创新可续期公司债券（第一期）（债券简称：25兖矿KY04），总金额3,000,000千元，此工具无固定偿还期限。本集团本年按照1.86%的利率向债券购买人支付利息</w:t>
          </w:r>
          <w:r>
            <w:rPr>
              <w:rFonts w:hint="eastAsia"/>
            </w:rPr>
            <w:t>。</w:t>
          </w:r>
        </w:p>
        <w:p>
          <w:pPr>
            <w:spacing w:afterLines="50" w:after="120" w:line="360" w:lineRule="exact"/>
            <w:ind w:firstLineChars="200" w:firstLine="420"/>
          </w:pPr>
          <w:r>
            <w:rPr>
              <w:rFonts w:ascii="宋体" w:hAnsi="宋体" w:hint="eastAsia"/>
            </w:rPr>
            <w:t>注13：本集团于2025年10月20日发行技创新可续期公司债券（第二期）（债券简称：25兖矿KY06），总金额3,000,000千元，此工具无固定偿还期限。本集团本年按照2.15%的利率向债券购买人支付利息</w:t>
          </w:r>
          <w:r>
            <w:rPr>
              <w:rFonts w:hint="eastAsia"/>
            </w:rPr>
            <w:t>。</w:t>
          </w:r>
        </w:p>
        <w:p>
          <w:pPr>
            <w:spacing w:afterLines="50" w:after="120" w:line="360" w:lineRule="exact"/>
            <w:ind w:firstLineChars="200" w:firstLine="420"/>
          </w:pPr>
          <w:r>
            <w:rPr>
              <w:rFonts w:ascii="宋体" w:hAnsi="宋体" w:hint="eastAsia"/>
            </w:rPr>
            <w:t>注14：本集团于2025年4月28日发行2025年度第一期中期票据（债券简称：25兖矿能源MTN001），总金额3,000,000千元，此工具无固定偿还期限。本集团本年按照2.09%的利率向债券购买人支付利息</w:t>
          </w:r>
          <w:r>
            <w:rPr>
              <w:rFonts w:hint="eastAsia"/>
            </w:rPr>
            <w:t>。</w:t>
          </w:r>
        </w:p>
        <w:p>
          <w:pPr>
            <w:spacing w:afterLines="50" w:after="120" w:line="360" w:lineRule="exact"/>
            <w:ind w:firstLineChars="200" w:firstLine="420"/>
          </w:pPr>
          <w:r>
            <w:rPr>
              <w:rFonts w:ascii="宋体" w:hAnsi="宋体" w:hint="eastAsia"/>
            </w:rPr>
            <w:t>注15：本集团于2025年10月27日发行2025年度第二期科技创新债券（债券简称：25兖矿能源MTN002(科创债)），总金额3,000,000千元此工具无固定偿还期限。本集团本年按照1.96%的利率向债券购买人支付利息</w:t>
          </w:r>
          <w:r>
            <w:rPr>
              <w:rFonts w:hint="eastAsia"/>
            </w:rPr>
            <w:t>。</w:t>
          </w:r>
        </w:p>
        <w:p>
          <w:pPr>
            <w:ind w:firstLineChars="200" w:firstLine="420"/>
          </w:pPr>
          <w:r>
            <w:rPr>
              <w:rFonts w:ascii="宋体" w:hAnsi="宋体" w:hint="eastAsia"/>
            </w:rPr>
            <w:lastRenderedPageBreak/>
            <w:t>注16：本集团于2025年11月12日发行2025年度第三期科技创新债券（债券简称：25兖矿能源MTN003(科创债)），总金额3,000,000千元，此工具无固定偿还期限。本集团本年按照2.06%的利率向债券购买人支付利息</w:t>
          </w:r>
          <w:r>
            <w:rPr>
              <w:rFonts w:hint="eastAsia"/>
            </w:rPr>
            <w:t>。</w:t>
          </w:r>
        </w:p>
      </w:sdtContent>
    </w:sdt>
    <w:bookmarkEnd w:id="506"/>
    <w:p>
      <w:pPr>
        <w:sectPr>
          <w:pgSz w:w="16838" w:h="11906" w:orient="landscape"/>
          <w:pgMar w:top="1797" w:right="1525" w:bottom="1276" w:left="1440" w:header="856" w:footer="992" w:gutter="0"/>
          <w:cols w:space="425"/>
          <w:docGrid w:linePitch="312"/>
        </w:sectPr>
      </w:pPr>
    </w:p>
    <w:p>
      <w:pPr>
        <w:pStyle w:val="Style217"/>
      </w:pPr>
    </w:p>
    <w:sdt>
      <w:sdtPr>
        <w:tag w:val="_PLD_885198f6f9d04613938d28c728dac8ce"/>
        <w:id w:val="-1592543972"/>
      </w:sdtPr>
      <w:sdtContent>
        <w:p>
          <w:pPr>
            <w:pStyle w:val="Style178"/>
            <w:numPr>
              <w:ilvl w:val="0"/>
              <w:numId w:val="75"/>
            </w:numPr>
            <w:rPr>
              <w:szCs w:val="21"/>
            </w:rPr>
          </w:pPr>
          <w:r>
            <w:rPr>
              <w:szCs w:val="21"/>
            </w:rPr>
            <w:t>资本公积</w:t>
          </w:r>
        </w:p>
      </w:sdtContent>
    </w:sdt>
    <w:sdt>
      <w:sdtPr>
        <w:alias w:val="是否适用：资本公积[双击切换]"/>
        <w:tag w:val="_GBC_58b0344d8757456787af32396840e233"/>
        <w:id w:val="1610167390"/>
      </w:sdtPr>
      <w:sdtContent>
        <w:p>
          <w:pPr>
            <w:pStyle w:val="Style175"/>
          </w:pPr>
          <w:r>
            <w:rPr>
              <w:rFonts w:ascii="宋体" w:hAnsi="宋体"/>
              <w:sz w:val="21"/>
            </w:rPr>
            <w:fldChar w:fldCharType="begin"/>
          </w:r>
          <w:r>
            <w:rPr>
              <w:rFonts w:ascii="宋体" w:hAnsi="宋体" w:hint="eastAsia"/>
              <w:sz w:val="21"/>
            </w:rPr>
            <w:instrText xml:space="preserve">MACROBUTTON SnrToggleCheckbox √适用 </w:instrText>
          </w:r>
          <w:r>
            <w:rPr>
              <w:rFonts w:ascii="宋体" w:hAnsi="宋体"/>
              <w:sz w:val="21"/>
            </w:rPr>
            <w:fldChar w:fldCharType="end"/>
          </w:r>
          <w:r>
            <w:rPr>
              <w:rFonts w:ascii="宋体" w:hAnsi="宋体"/>
              <w:sz w:val="21"/>
            </w:rPr>
            <w:fldChar w:fldCharType="begin"/>
          </w:r>
          <w:r>
            <w:rPr>
              <w:rFonts w:ascii="宋体" w:hAnsi="宋体"/>
              <w:sz w:val="21"/>
            </w:rPr>
            <w:instrText xml:space="preserve">MACROBUTTON  SnrToggleCheckbox □不适用 </w:instrText>
          </w:r>
          <w:r>
            <w:rPr>
              <w:rFonts w:ascii="宋体" w:hAnsi="宋体"/>
              <w:sz w:val="21"/>
            </w:rPr>
            <w:fldChar w:fldCharType="end"/>
          </w:r>
        </w:p>
      </w:sdtContent>
    </w:sdt>
    <w:p>
      <w:pPr>
        <w:jc w:val="right"/>
      </w:pPr>
      <w:r>
        <w:rPr>
          <w:rFonts w:hint="eastAsia"/>
        </w:rPr>
        <w:t>单位：</w:t>
      </w:r>
      <w:sdt>
        <w:sdtPr>
          <w:rPr>
            <w:rFonts w:hint="eastAsia"/>
          </w:rPr>
          <w:alias w:val="单位：财务附注：资本公积"/>
          <w:tag w:val="_GBC_1b11e7474fd44870ad976b16c25b20f4"/>
          <w:id w:val="109096742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资本公积"/>
          <w:tag w:val="_GBC_6c523a4f3a0744439ef148664a9f722b"/>
          <w:id w:val="-13322957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706"/>
        <w:gridCol w:w="1820"/>
        <w:gridCol w:w="1855"/>
        <w:gridCol w:w="1838"/>
        <w:gridCol w:w="1837"/>
      </w:tblGrid>
      <w:tr>
        <w:sdt>
          <w:sdtPr>
            <w:tag w:val="_PLD_b4e0b77813064aeb83afd63c7bafbdab"/>
            <w:id w:val="227119669"/>
          </w:sdtPr>
          <w:sdtContent>
            <w:tc>
              <w:tcPr>
                <w:tcW w:w="1706" w:type="dxa"/>
                <w:vAlign w:val="center"/>
              </w:tcPr>
              <w:p>
                <w:pPr>
                  <w:autoSpaceDE w:val="0"/>
                  <w:autoSpaceDN w:val="0"/>
                  <w:adjustRightInd w:val="0"/>
                  <w:snapToGrid w:val="0"/>
                  <w:jc w:val="center"/>
                </w:pPr>
                <w:r>
                  <w:rPr>
                    <w:rFonts w:hint="eastAsia"/>
                  </w:rPr>
                  <w:t>项目</w:t>
                </w:r>
              </w:p>
            </w:tc>
          </w:sdtContent>
        </w:sdt>
        <w:sdt>
          <w:sdtPr>
            <w:tag w:val="_PLD_2e3387dfd4d8490ca15036edd55f5d7b"/>
            <w:id w:val="1267668021"/>
          </w:sdtPr>
          <w:sdtContent>
            <w:tc>
              <w:tcPr>
                <w:tcW w:w="1820" w:type="dxa"/>
                <w:vAlign w:val="center"/>
              </w:tcPr>
              <w:p>
                <w:pPr>
                  <w:autoSpaceDE w:val="0"/>
                  <w:autoSpaceDN w:val="0"/>
                  <w:adjustRightInd w:val="0"/>
                  <w:snapToGrid w:val="0"/>
                  <w:jc w:val="center"/>
                </w:pPr>
                <w:r>
                  <w:rPr>
                    <w:rFonts w:hint="eastAsia"/>
                  </w:rPr>
                  <w:t>期初余额</w:t>
                </w:r>
              </w:p>
            </w:tc>
          </w:sdtContent>
        </w:sdt>
        <w:sdt>
          <w:sdtPr>
            <w:tag w:val="_PLD_48beb7e26e4d4ae4b8c76cfd47809420"/>
            <w:id w:val="-1826123155"/>
          </w:sdtPr>
          <w:sdtContent>
            <w:tc>
              <w:tcPr>
                <w:tcW w:w="1855" w:type="dxa"/>
                <w:vAlign w:val="center"/>
              </w:tcPr>
              <w:p>
                <w:pPr>
                  <w:autoSpaceDE w:val="0"/>
                  <w:autoSpaceDN w:val="0"/>
                  <w:adjustRightInd w:val="0"/>
                  <w:snapToGrid w:val="0"/>
                  <w:jc w:val="center"/>
                </w:pPr>
                <w:r>
                  <w:rPr>
                    <w:rFonts w:hint="eastAsia"/>
                  </w:rPr>
                  <w:t>本期增加</w:t>
                </w:r>
              </w:p>
            </w:tc>
          </w:sdtContent>
        </w:sdt>
        <w:sdt>
          <w:sdtPr>
            <w:tag w:val="_PLD_146cd5e556074222b88edab30b505382"/>
            <w:id w:val="-1156906150"/>
          </w:sdtPr>
          <w:sdtContent>
            <w:tc>
              <w:tcPr>
                <w:tcW w:w="1838" w:type="dxa"/>
                <w:vAlign w:val="center"/>
              </w:tcPr>
              <w:p>
                <w:pPr>
                  <w:autoSpaceDE w:val="0"/>
                  <w:autoSpaceDN w:val="0"/>
                  <w:adjustRightInd w:val="0"/>
                  <w:snapToGrid w:val="0"/>
                  <w:jc w:val="center"/>
                </w:pPr>
                <w:r>
                  <w:rPr>
                    <w:rFonts w:hint="eastAsia"/>
                  </w:rPr>
                  <w:t>本期减少</w:t>
                </w:r>
              </w:p>
            </w:tc>
          </w:sdtContent>
        </w:sdt>
        <w:sdt>
          <w:sdtPr>
            <w:tag w:val="_PLD_ce18950b18064dc1ac40e20c98bf9dcb"/>
            <w:id w:val="-793826778"/>
          </w:sdtPr>
          <w:sdtContent>
            <w:tc>
              <w:tcPr>
                <w:tcW w:w="1837" w:type="dxa"/>
                <w:vAlign w:val="center"/>
              </w:tcPr>
              <w:p>
                <w:pPr>
                  <w:autoSpaceDE w:val="0"/>
                  <w:autoSpaceDN w:val="0"/>
                  <w:adjustRightInd w:val="0"/>
                  <w:snapToGrid w:val="0"/>
                  <w:jc w:val="center"/>
                </w:pPr>
                <w:r>
                  <w:rPr>
                    <w:rFonts w:hint="eastAsia"/>
                  </w:rPr>
                  <w:t>期末余额</w:t>
                </w:r>
              </w:p>
            </w:tc>
          </w:sdtContent>
        </w:sdt>
      </w:tr>
      <w:tr>
        <w:sdt>
          <w:sdtPr>
            <w:tag w:val="_PLD_0d018aed47f94c61acfb01bd741534a0"/>
            <w:id w:val="1272670323"/>
          </w:sdtPr>
          <w:sdtContent>
            <w:tc>
              <w:tcPr>
                <w:tcW w:w="1706" w:type="dxa"/>
                <w:vAlign w:val="center"/>
              </w:tcPr>
              <w:p>
                <w:pPr>
                  <w:autoSpaceDE w:val="0"/>
                  <w:autoSpaceDN w:val="0"/>
                  <w:adjustRightInd w:val="0"/>
                  <w:snapToGrid w:val="0"/>
                </w:pPr>
                <w:r>
                  <w:rPr>
                    <w:rFonts w:hint="eastAsia"/>
                  </w:rPr>
                  <w:t>股本溢价</w:t>
                </w:r>
              </w:p>
            </w:tc>
          </w:sdtContent>
        </w:sdt>
        <w:tc>
          <w:tcPr>
            <w:tcW w:w="1820" w:type="dxa"/>
            <w:vAlign w:val="center"/>
          </w:tcPr>
          <w:p>
            <w:pPr>
              <w:autoSpaceDE w:val="0"/>
              <w:autoSpaceDN w:val="0"/>
              <w:adjustRightInd w:val="0"/>
              <w:snapToGrid w:val="0"/>
              <w:jc w:val="right"/>
              <w:rPr>
                <w:rFonts w:ascii="宋体" w:hAnsi="宋体"/>
              </w:rPr>
            </w:pPr>
            <w:r>
              <w:rPr>
                <w:rFonts w:ascii="宋体" w:hAnsi="宋体" w:hint="eastAsia"/>
              </w:rPr>
              <w:t>8,539,492</w:t>
            </w:r>
          </w:p>
        </w:tc>
        <w:tc>
          <w:tcPr>
            <w:tcW w:w="1855" w:type="dxa"/>
            <w:vAlign w:val="center"/>
          </w:tcPr>
          <w:p>
            <w:pPr>
              <w:autoSpaceDE w:val="0"/>
              <w:autoSpaceDN w:val="0"/>
              <w:adjustRightInd w:val="0"/>
              <w:snapToGrid w:val="0"/>
              <w:jc w:val="right"/>
              <w:rPr>
                <w:rFonts w:ascii="宋体" w:hAnsi="宋体"/>
              </w:rPr>
            </w:pPr>
            <w:r>
              <w:rPr>
                <w:rFonts w:ascii="宋体" w:hAnsi="宋体" w:hint="eastAsia"/>
              </w:rPr>
              <w:t>18,360,561</w:t>
            </w:r>
          </w:p>
        </w:tc>
        <w:tc>
          <w:tcPr>
            <w:tcW w:w="1838" w:type="dxa"/>
            <w:vAlign w:val="center"/>
          </w:tcPr>
          <w:p>
            <w:pPr>
              <w:autoSpaceDE w:val="0"/>
              <w:autoSpaceDN w:val="0"/>
              <w:adjustRightInd w:val="0"/>
              <w:snapToGrid w:val="0"/>
              <w:jc w:val="right"/>
              <w:rPr>
                <w:rFonts w:ascii="宋体" w:hAnsi="宋体"/>
              </w:rPr>
            </w:pPr>
            <w:r>
              <w:rPr>
                <w:rFonts w:ascii="宋体" w:hAnsi="宋体" w:hint="eastAsia"/>
              </w:rPr>
              <w:t>8,539,492</w:t>
            </w:r>
          </w:p>
        </w:tc>
        <w:tc>
          <w:tcPr>
            <w:tcW w:w="1837" w:type="dxa"/>
            <w:vAlign w:val="center"/>
          </w:tcPr>
          <w:p>
            <w:pPr>
              <w:autoSpaceDE w:val="0"/>
              <w:autoSpaceDN w:val="0"/>
              <w:adjustRightInd w:val="0"/>
              <w:snapToGrid w:val="0"/>
              <w:jc w:val="right"/>
              <w:rPr>
                <w:rFonts w:ascii="宋体" w:hAnsi="宋体"/>
              </w:rPr>
            </w:pPr>
            <w:r>
              <w:rPr>
                <w:rFonts w:ascii="宋体" w:hAnsi="宋体" w:hint="eastAsia"/>
              </w:rPr>
              <w:t>18,360,561</w:t>
            </w:r>
          </w:p>
        </w:tc>
      </w:tr>
      <w:tr>
        <w:sdt>
          <w:sdtPr>
            <w:tag w:val="_PLD_86bb5cd56f814da8b960cf8902cad6a5"/>
            <w:id w:val="1827087848"/>
          </w:sdtPr>
          <w:sdtContent>
            <w:tc>
              <w:tcPr>
                <w:tcW w:w="1706" w:type="dxa"/>
                <w:vAlign w:val="center"/>
              </w:tcPr>
              <w:p>
                <w:pPr>
                  <w:autoSpaceDE w:val="0"/>
                  <w:autoSpaceDN w:val="0"/>
                  <w:adjustRightInd w:val="0"/>
                  <w:snapToGrid w:val="0"/>
                </w:pPr>
                <w:r>
                  <w:rPr>
                    <w:rFonts w:hint="eastAsia"/>
                  </w:rPr>
                  <w:t>其他资本公积</w:t>
                </w:r>
              </w:p>
            </w:tc>
          </w:sdtContent>
        </w:sdt>
        <w:tc>
          <w:tcPr>
            <w:tcW w:w="1820" w:type="dxa"/>
            <w:vAlign w:val="center"/>
          </w:tcPr>
          <w:p>
            <w:pPr>
              <w:autoSpaceDE w:val="0"/>
              <w:autoSpaceDN w:val="0"/>
              <w:adjustRightInd w:val="0"/>
              <w:snapToGrid w:val="0"/>
              <w:jc w:val="right"/>
              <w:rPr>
                <w:rFonts w:ascii="宋体" w:hAnsi="宋体"/>
              </w:rPr>
            </w:pPr>
            <w:r>
              <w:rPr>
                <w:rFonts w:ascii="宋体" w:hAnsi="宋体" w:hint="eastAsia"/>
              </w:rPr>
              <w:t>-800,039</w:t>
            </w:r>
          </w:p>
        </w:tc>
        <w:tc>
          <w:tcPr>
            <w:tcW w:w="1855" w:type="dxa"/>
            <w:vAlign w:val="center"/>
          </w:tcPr>
          <w:p>
            <w:pPr>
              <w:autoSpaceDE w:val="0"/>
              <w:autoSpaceDN w:val="0"/>
              <w:adjustRightInd w:val="0"/>
              <w:snapToGrid w:val="0"/>
              <w:jc w:val="right"/>
              <w:rPr>
                <w:rFonts w:ascii="宋体" w:hAnsi="宋体"/>
              </w:rPr>
            </w:pPr>
            <w:r>
              <w:rPr>
                <w:rFonts w:ascii="宋体" w:hAnsi="宋体" w:hint="eastAsia"/>
              </w:rPr>
              <w:t>151,198</w:t>
            </w:r>
          </w:p>
        </w:tc>
        <w:tc>
          <w:tcPr>
            <w:tcW w:w="1838" w:type="dxa"/>
            <w:vAlign w:val="center"/>
          </w:tcPr>
          <w:p>
            <w:pPr>
              <w:autoSpaceDE w:val="0"/>
              <w:autoSpaceDN w:val="0"/>
              <w:adjustRightInd w:val="0"/>
              <w:snapToGrid w:val="0"/>
              <w:jc w:val="right"/>
              <w:rPr>
                <w:rFonts w:ascii="宋体" w:hAnsi="宋体"/>
              </w:rPr>
            </w:pPr>
            <w:r>
              <w:rPr>
                <w:rFonts w:ascii="宋体" w:hAnsi="宋体" w:hint="eastAsia"/>
              </w:rPr>
              <w:t>1,351,239</w:t>
            </w:r>
          </w:p>
        </w:tc>
        <w:tc>
          <w:tcPr>
            <w:tcW w:w="1837" w:type="dxa"/>
            <w:vAlign w:val="center"/>
          </w:tcPr>
          <w:p>
            <w:pPr>
              <w:autoSpaceDE w:val="0"/>
              <w:autoSpaceDN w:val="0"/>
              <w:adjustRightInd w:val="0"/>
              <w:snapToGrid w:val="0"/>
              <w:jc w:val="right"/>
              <w:rPr>
                <w:rFonts w:ascii="宋体" w:hAnsi="宋体"/>
              </w:rPr>
            </w:pPr>
            <w:r>
              <w:rPr>
                <w:rFonts w:ascii="宋体" w:hAnsi="宋体" w:hint="eastAsia"/>
              </w:rPr>
              <w:t>-2,000,080</w:t>
            </w:r>
          </w:p>
        </w:tc>
      </w:tr>
      <w:tr>
        <w:sdt>
          <w:sdtPr>
            <w:tag w:val="_PLD_9b03907e667d49cf9868e1518c28d82c"/>
            <w:id w:val="-1823964852"/>
          </w:sdtPr>
          <w:sdtContent>
            <w:tc>
              <w:tcPr>
                <w:tcW w:w="1706" w:type="dxa"/>
                <w:vAlign w:val="center"/>
              </w:tcPr>
              <w:p>
                <w:pPr>
                  <w:autoSpaceDE w:val="0"/>
                  <w:autoSpaceDN w:val="0"/>
                  <w:adjustRightInd w:val="0"/>
                  <w:snapToGrid w:val="0"/>
                  <w:jc w:val="center"/>
                </w:pPr>
                <w:r>
                  <w:rPr>
                    <w:rFonts w:hint="eastAsia"/>
                  </w:rPr>
                  <w:t>合计</w:t>
                </w:r>
              </w:p>
            </w:tc>
          </w:sdtContent>
        </w:sdt>
        <w:tc>
          <w:tcPr>
            <w:tcW w:w="1820" w:type="dxa"/>
            <w:vAlign w:val="center"/>
          </w:tcPr>
          <w:p>
            <w:pPr>
              <w:autoSpaceDE w:val="0"/>
              <w:autoSpaceDN w:val="0"/>
              <w:adjustRightInd w:val="0"/>
              <w:snapToGrid w:val="0"/>
              <w:jc w:val="right"/>
              <w:rPr>
                <w:rFonts w:ascii="宋体" w:hAnsi="宋体"/>
              </w:rPr>
            </w:pPr>
            <w:r>
              <w:rPr>
                <w:rFonts w:ascii="宋体" w:hAnsi="宋体" w:hint="eastAsia"/>
              </w:rPr>
              <w:t>7,739,453</w:t>
            </w:r>
          </w:p>
        </w:tc>
        <w:tc>
          <w:tcPr>
            <w:tcW w:w="1855" w:type="dxa"/>
            <w:vAlign w:val="center"/>
          </w:tcPr>
          <w:p>
            <w:pPr>
              <w:autoSpaceDE w:val="0"/>
              <w:autoSpaceDN w:val="0"/>
              <w:adjustRightInd w:val="0"/>
              <w:snapToGrid w:val="0"/>
              <w:jc w:val="right"/>
              <w:rPr>
                <w:rFonts w:ascii="宋体" w:hAnsi="宋体"/>
              </w:rPr>
            </w:pPr>
            <w:r>
              <w:rPr>
                <w:rFonts w:ascii="宋体" w:hAnsi="宋体" w:hint="eastAsia"/>
              </w:rPr>
              <w:t>18,511,759</w:t>
            </w:r>
          </w:p>
        </w:tc>
        <w:tc>
          <w:tcPr>
            <w:tcW w:w="1838" w:type="dxa"/>
            <w:vAlign w:val="center"/>
          </w:tcPr>
          <w:p>
            <w:pPr>
              <w:autoSpaceDE w:val="0"/>
              <w:autoSpaceDN w:val="0"/>
              <w:adjustRightInd w:val="0"/>
              <w:snapToGrid w:val="0"/>
              <w:jc w:val="right"/>
              <w:rPr>
                <w:rFonts w:ascii="宋体" w:hAnsi="宋体"/>
              </w:rPr>
            </w:pPr>
            <w:r>
              <w:rPr>
                <w:rFonts w:ascii="宋体" w:hAnsi="宋体" w:hint="eastAsia"/>
              </w:rPr>
              <w:t>9,890,731</w:t>
            </w:r>
          </w:p>
        </w:tc>
        <w:tc>
          <w:tcPr>
            <w:tcW w:w="1837" w:type="dxa"/>
            <w:vAlign w:val="center"/>
          </w:tcPr>
          <w:p>
            <w:pPr>
              <w:autoSpaceDE w:val="0"/>
              <w:autoSpaceDN w:val="0"/>
              <w:adjustRightInd w:val="0"/>
              <w:snapToGrid w:val="0"/>
              <w:jc w:val="right"/>
              <w:rPr>
                <w:rFonts w:ascii="宋体" w:hAnsi="宋体"/>
              </w:rPr>
            </w:pPr>
            <w:r>
              <w:rPr>
                <w:rFonts w:ascii="宋体" w:hAnsi="宋体" w:hint="eastAsia"/>
              </w:rPr>
              <w:t>16,360,481</w:t>
            </w:r>
          </w:p>
        </w:tc>
      </w:tr>
    </w:tbl>
    <w:p>
      <w:pPr>
        <w:pStyle w:val="Style175"/>
      </w:pPr>
      <w:r>
        <w:rPr>
          <w:rFonts w:hint="eastAsia"/>
        </w:rPr>
        <w:t>其他说明，包括本期增减变动情况、变动原因说明：</w:t>
      </w:r>
    </w:p>
    <w:sdt>
      <w:sdtPr>
        <w:rPr>
          <w:sz w:val="20"/>
          <w:szCs w:val="20"/>
        </w:rPr>
        <w:alias w:val="资本公积说明"/>
        <w:tag w:val="_GBC_bd957b69783b49af88b2c285825bd0fc"/>
        <w:id w:val="-1667541164"/>
      </w:sdtPr>
      <w:sdtEndPr>
        <w:rPr>
          <w:rFonts w:ascii="宋体" w:hAnsi="宋体"/>
        </w:rPr>
      </w:sdtEndPr>
      <w:sdtContent>
        <w:p>
          <w:pPr>
            <w:autoSpaceDE w:val="0"/>
            <w:autoSpaceDN w:val="0"/>
            <w:adjustRightInd w:val="0"/>
            <w:spacing w:afterLines="50" w:after="120" w:line="360" w:lineRule="exact"/>
            <w:ind w:firstLine="420"/>
            <w:rPr>
              <w:rFonts w:ascii="宋体" w:hAnsi="宋体"/>
            </w:rPr>
          </w:pPr>
          <w:r>
            <w:rPr>
              <w:rFonts w:ascii="宋体" w:hAnsi="宋体" w:hint="eastAsia"/>
            </w:rPr>
            <w:t>注1：资本公积-股本溢价本期变动原因如下：本公司确认复兴一期项目业绩对赌补偿款增加资本公积18,360,561千元；偿还永续债减少8,100千元,发行永续债的承销费用减少资本公积1,500千元；注销不满足条件限售股注销减少960千元；收购山东能源集团西北矿业有限公司（以下简称“西北矿业”）减少8,456,543千元；收购兖矿售电有限公司（以下简称“售电公司”）减少72,389千元。</w:t>
          </w:r>
        </w:p>
        <w:p>
          <w:pPr>
            <w:pStyle w:val="Style175"/>
            <w:ind w:firstLineChars="200" w:firstLine="400"/>
            <w:rPr>
              <w:rFonts w:ascii="宋体" w:hAnsi="宋体"/>
            </w:rPr>
          </w:pPr>
          <w:r>
            <w:rPr>
              <w:rFonts w:ascii="宋体" w:hAnsi="宋体" w:hint="eastAsia"/>
            </w:rPr>
            <w:t>注2：资本公积-其他资本公积本期变动原因如下：本公司计提股权激励费用增加47,420千元,物泊科技计提股权激励归属于母公司的部分增加资本公积2,969千元，兖州煤业澳大利亚有限公司（以下简称“兖煤澳洲”）股权激励减少资本公积4,741千元；联营企业权益变动减少281,603千元；收购西北矿业股权冲销资本公积552,554千元，收购兖矿东华装备制造（泰安）有限公司减少资本公积344,847千元；承担统筹外费用减少资本公积66,685千元</w:t>
          </w:r>
          <w:r>
            <w:rPr>
              <w:rFonts w:ascii="宋体" w:hAnsi="宋体"/>
            </w:rPr>
            <w:t>。</w:t>
          </w:r>
        </w:p>
      </w:sdtContent>
    </w:sdt>
    <w:p>
      <w:pPr>
        <w:pStyle w:val="Style175"/>
      </w:pPr>
    </w:p>
    <w:p>
      <w:pPr>
        <w:pStyle w:val="Style178"/>
        <w:numPr>
          <w:ilvl w:val="0"/>
          <w:numId w:val="75"/>
        </w:numPr>
        <w:rPr>
          <w:szCs w:val="21"/>
        </w:rPr>
      </w:pPr>
      <w:r>
        <w:rPr>
          <w:szCs w:val="21"/>
        </w:rPr>
        <w:t>库存股</w:t>
      </w:r>
    </w:p>
    <w:sdt>
      <w:sdtPr>
        <w:alias w:val="是否适用：库存股[双击切换]"/>
        <w:tag w:val="_GBC_8e4fbb6e216145d28e75f17bb16e2ed0"/>
        <w:id w:val="202436256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19539741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 xml:space="preserve">千元  </w:t>
          </w:r>
        </w:sdtContent>
      </w:sdt>
      <w:r>
        <w:rPr>
          <w:rFonts w:ascii="宋体" w:hAnsi="宋体" w:hint="eastAsia"/>
          <w:szCs w:val="21"/>
        </w:rPr>
        <w:t>币种：</w:t>
      </w:r>
      <w:sdt>
        <w:sdtPr>
          <w:rPr>
            <w:rFonts w:ascii="宋体" w:hAnsi="宋体" w:hint="eastAsia"/>
            <w:szCs w:val="21"/>
          </w:rPr>
          <w:alias w:val="币种：财务附注：库存股"/>
          <w:tag w:val="_GBC_aa9b77277b2f445fb00ee31519c400b8"/>
          <w:id w:val="13929281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Style100"/>
        <w:tblW w:w="90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712"/>
        <w:gridCol w:w="1808"/>
        <w:gridCol w:w="1837"/>
        <w:gridCol w:w="1849"/>
        <w:gridCol w:w="1851"/>
      </w:tblGrid>
      <w:tr>
        <w:sdt>
          <w:sdtPr>
            <w:tag w:val="_PLD_3bb42fd3c8c244e1ba361777cd8b061c"/>
            <w:id w:val="1564831080"/>
          </w:sdtPr>
          <w:sdtContent>
            <w:tc>
              <w:tcPr>
                <w:tcW w:w="1712" w:type="dxa"/>
                <w:vAlign w:val="center"/>
              </w:tcPr>
              <w:p>
                <w:pPr>
                  <w:jc w:val="center"/>
                </w:pPr>
                <w:r>
                  <w:rPr>
                    <w:rFonts w:hint="eastAsia"/>
                  </w:rPr>
                  <w:t>项目</w:t>
                </w:r>
              </w:p>
            </w:tc>
          </w:sdtContent>
        </w:sdt>
        <w:sdt>
          <w:sdtPr>
            <w:tag w:val="_PLD_dbccb5fb3e6647159adf418aaf7a819d"/>
            <w:id w:val="-2085210763"/>
          </w:sdtPr>
          <w:sdtContent>
            <w:tc>
              <w:tcPr>
                <w:tcW w:w="1808" w:type="dxa"/>
                <w:vAlign w:val="center"/>
              </w:tcPr>
              <w:p>
                <w:pPr>
                  <w:jc w:val="center"/>
                </w:pPr>
                <w:r>
                  <w:rPr>
                    <w:rFonts w:hint="eastAsia"/>
                  </w:rPr>
                  <w:t>期初余额</w:t>
                </w:r>
              </w:p>
            </w:tc>
          </w:sdtContent>
        </w:sdt>
        <w:sdt>
          <w:sdtPr>
            <w:tag w:val="_PLD_efd45699d9ff4436b9e070adb8fb59ad"/>
            <w:id w:val="238141322"/>
          </w:sdtPr>
          <w:sdtContent>
            <w:tc>
              <w:tcPr>
                <w:tcW w:w="1837" w:type="dxa"/>
                <w:vAlign w:val="center"/>
              </w:tcPr>
              <w:p>
                <w:pPr>
                  <w:jc w:val="center"/>
                </w:pPr>
                <w:r>
                  <w:rPr>
                    <w:rFonts w:hint="eastAsia"/>
                  </w:rPr>
                  <w:t>本期增加</w:t>
                </w:r>
              </w:p>
            </w:tc>
          </w:sdtContent>
        </w:sdt>
        <w:sdt>
          <w:sdtPr>
            <w:tag w:val="_PLD_98330c8585594c0b8f1ac93353a4e2bc"/>
            <w:id w:val="1752244118"/>
          </w:sdtPr>
          <w:sdtContent>
            <w:tc>
              <w:tcPr>
                <w:tcW w:w="1849" w:type="dxa"/>
                <w:vAlign w:val="center"/>
              </w:tcPr>
              <w:p>
                <w:pPr>
                  <w:jc w:val="center"/>
                </w:pPr>
                <w:r>
                  <w:rPr>
                    <w:rFonts w:hint="eastAsia"/>
                  </w:rPr>
                  <w:t>本期减少</w:t>
                </w:r>
              </w:p>
            </w:tc>
          </w:sdtContent>
        </w:sdt>
        <w:sdt>
          <w:sdtPr>
            <w:tag w:val="_PLD_6d3e824a5a6f4f1fbc66e6ffabf43d1e"/>
            <w:id w:val="126829134"/>
          </w:sdtPr>
          <w:sdtContent>
            <w:tc>
              <w:tcPr>
                <w:tcW w:w="1851" w:type="dxa"/>
                <w:vAlign w:val="center"/>
              </w:tcPr>
              <w:p>
                <w:pPr>
                  <w:jc w:val="center"/>
                </w:pPr>
                <w:r>
                  <w:rPr>
                    <w:rFonts w:hint="eastAsia"/>
                  </w:rPr>
                  <w:t>期末余额</w:t>
                </w:r>
              </w:p>
            </w:tc>
          </w:sdtContent>
        </w:sdt>
      </w:tr>
      <w:tr>
        <w:tc>
          <w:tcPr>
            <w:tcW w:w="1712" w:type="dxa"/>
            <w:vAlign w:val="center"/>
          </w:tcPr>
          <w:p>
            <w:pPr>
              <w:jc w:val="both"/>
            </w:pPr>
            <w:r>
              <w:rPr>
                <w:rFonts w:hint="eastAsia"/>
              </w:rPr>
              <w:t>限制性股票</w:t>
            </w:r>
          </w:p>
        </w:tc>
        <w:tc>
          <w:tcPr>
            <w:tcW w:w="1808" w:type="dxa"/>
            <w:vAlign w:val="center"/>
          </w:tcPr>
          <w:p>
            <w:pPr>
              <w:jc w:val="right"/>
              <w:rPr>
                <w:rFonts w:ascii="宋体" w:hAnsi="宋体"/>
              </w:rPr>
            </w:pPr>
            <w:r>
              <w:rPr>
                <w:rFonts w:ascii="宋体" w:hAnsi="宋体" w:hint="eastAsia"/>
              </w:rPr>
              <w:t>112,417</w:t>
            </w:r>
          </w:p>
        </w:tc>
        <w:tc>
          <w:tcPr>
            <w:tcW w:w="1837" w:type="dxa"/>
            <w:vAlign w:val="center"/>
          </w:tcPr>
          <w:p>
            <w:pPr>
              <w:jc w:val="right"/>
              <w:rPr>
                <w:rFonts w:ascii="宋体" w:hAnsi="宋体"/>
              </w:rPr>
            </w:pPr>
          </w:p>
        </w:tc>
        <w:tc>
          <w:tcPr>
            <w:tcW w:w="1849" w:type="dxa"/>
            <w:vAlign w:val="center"/>
          </w:tcPr>
          <w:p>
            <w:pPr>
              <w:jc w:val="right"/>
              <w:rPr>
                <w:rFonts w:ascii="宋体" w:hAnsi="宋体"/>
              </w:rPr>
            </w:pPr>
            <w:r>
              <w:rPr>
                <w:rFonts w:ascii="宋体" w:hAnsi="宋体" w:hint="eastAsia"/>
              </w:rPr>
              <w:t>58,993</w:t>
            </w:r>
          </w:p>
        </w:tc>
        <w:tc>
          <w:tcPr>
            <w:tcW w:w="1851" w:type="dxa"/>
            <w:vAlign w:val="center"/>
          </w:tcPr>
          <w:p>
            <w:pPr>
              <w:jc w:val="right"/>
              <w:rPr>
                <w:rFonts w:ascii="宋体" w:hAnsi="宋体"/>
              </w:rPr>
            </w:pPr>
            <w:r>
              <w:rPr>
                <w:rFonts w:ascii="宋体" w:hAnsi="宋体" w:hint="eastAsia"/>
              </w:rPr>
              <w:t>53,424</w:t>
            </w:r>
          </w:p>
        </w:tc>
      </w:tr>
      <w:tr>
        <w:tc>
          <w:tcPr>
            <w:tcW w:w="1712" w:type="dxa"/>
            <w:vAlign w:val="center"/>
          </w:tcPr>
          <w:p>
            <w:pPr>
              <w:jc w:val="center"/>
            </w:pPr>
            <w:r>
              <w:rPr>
                <w:rFonts w:hint="eastAsia"/>
              </w:rPr>
              <w:t>合计</w:t>
            </w:r>
          </w:p>
        </w:tc>
        <w:tc>
          <w:tcPr>
            <w:tcW w:w="1808" w:type="dxa"/>
            <w:vAlign w:val="center"/>
          </w:tcPr>
          <w:p>
            <w:pPr>
              <w:jc w:val="right"/>
              <w:rPr>
                <w:rFonts w:ascii="宋体" w:hAnsi="宋体"/>
              </w:rPr>
            </w:pPr>
            <w:r>
              <w:rPr>
                <w:rFonts w:ascii="宋体" w:hAnsi="宋体"/>
              </w:rPr>
              <w:t>112,417</w:t>
            </w:r>
          </w:p>
        </w:tc>
        <w:tc>
          <w:tcPr>
            <w:tcW w:w="1837" w:type="dxa"/>
            <w:vAlign w:val="center"/>
          </w:tcPr>
          <w:p>
            <w:pPr>
              <w:jc w:val="right"/>
              <w:rPr>
                <w:rFonts w:ascii="宋体" w:hAnsi="宋体"/>
              </w:rPr>
            </w:pPr>
          </w:p>
        </w:tc>
        <w:tc>
          <w:tcPr>
            <w:tcW w:w="1849" w:type="dxa"/>
            <w:vAlign w:val="center"/>
          </w:tcPr>
          <w:p>
            <w:pPr>
              <w:jc w:val="right"/>
              <w:rPr>
                <w:rFonts w:ascii="宋体" w:hAnsi="宋体"/>
              </w:rPr>
            </w:pPr>
            <w:r>
              <w:rPr>
                <w:rFonts w:ascii="宋体" w:hAnsi="宋体"/>
              </w:rPr>
              <w:t>58,993</w:t>
            </w:r>
          </w:p>
        </w:tc>
        <w:tc>
          <w:tcPr>
            <w:tcW w:w="1851" w:type="dxa"/>
            <w:vAlign w:val="center"/>
          </w:tcPr>
          <w:p>
            <w:pPr>
              <w:jc w:val="right"/>
              <w:rPr>
                <w:rFonts w:ascii="宋体" w:hAnsi="宋体"/>
              </w:rPr>
            </w:pPr>
            <w:r>
              <w:rPr>
                <w:rFonts w:ascii="宋体" w:hAnsi="宋体"/>
              </w:rPr>
              <w:t>53,424</w:t>
            </w:r>
          </w:p>
        </w:tc>
      </w:tr>
    </w:tbl>
    <w:p>
      <w:pPr>
        <w:pStyle w:val="Style217"/>
      </w:pPr>
      <w:r>
        <w:rPr>
          <w:rFonts w:hint="eastAsia"/>
        </w:rPr>
        <w:t>其他说明，包括本期增减变动情况、变动原因说明：</w:t>
      </w:r>
    </w:p>
    <w:p>
      <w:pPr>
        <w:rPr>
          <w:b/>
        </w:rPr>
      </w:pPr>
      <w:sdt>
        <w:sdtPr>
          <w:alias w:val="库存股情况说明"/>
          <w:tag w:val="_GBC_42d286884eca4cfab482f6fcc10c0c0b"/>
          <w:id w:val="-177276408"/>
          <w:placeholder>
            <w:docPart w:val="GBC22222222222222222222222222222"/>
          </w:placeholder>
        </w:sdtPr>
        <w:sdtContent>
          <w:r>
            <w:rPr>
              <w:rFonts w:hint="eastAsia"/>
            </w:rPr>
            <w:t>-</w:t>
          </w:r>
        </w:sdtContent>
      </w:sdt>
    </w:p>
    <w:p>
      <w:pPr>
        <w:pStyle w:val="Style217"/>
      </w:pPr>
    </w:p>
    <w:p>
      <w:pPr>
        <w:pStyle w:val="Style178"/>
        <w:numPr>
          <w:ilvl w:val="0"/>
          <w:numId w:val="75"/>
        </w:numPr>
        <w:rPr>
          <w:szCs w:val="21"/>
        </w:rPr>
      </w:pPr>
      <w:bookmarkStart w:id="507" w:name="_Hlk10537776"/>
      <w:bookmarkStart w:id="508" w:name="_Hlk24027351"/>
      <w:bookmarkEnd w:id="507"/>
      <w:r>
        <w:rPr>
          <w:szCs w:val="21"/>
        </w:rPr>
        <w:t>其他综合收益</w:t>
      </w:r>
    </w:p>
    <w:sdt>
      <w:sdtPr>
        <w:alias w:val="是否适用：其他综合收益[双击切换]"/>
        <w:tag w:val="_GBC_60105f81909745c788232a2118ec8260"/>
        <w:id w:val="213798726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综合收益情况"/>
          <w:tag w:val="_GBC_e409bf7299734ac38578b7aeaafe4b22"/>
          <w:id w:val="13911520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其他综合收益情况"/>
          <w:tag w:val="_GBC_27d655d96e764a21a47eae18f25945dc"/>
          <w:id w:val="2641959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0915"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6"/>
        <w:gridCol w:w="708"/>
        <w:gridCol w:w="709"/>
        <w:gridCol w:w="851"/>
        <w:gridCol w:w="1275"/>
        <w:gridCol w:w="993"/>
        <w:gridCol w:w="1275"/>
      </w:tblGrid>
      <w:tr>
        <w:trPr>
          <w:trHeight w:val="215"/>
        </w:trPr>
        <w:sdt>
          <w:sdtPr>
            <w:tag w:val="_PLD_b9ff3615ccfb4fb8b5b240bdfb50f58f"/>
            <w:id w:val="1460456585"/>
          </w:sdtPr>
          <w:sdtContent>
            <w:tc>
              <w:tcPr>
                <w:tcW w:w="2410" w:type="dxa"/>
                <w:vMerge w:val="restart"/>
                <w:vAlign w:val="center"/>
              </w:tcPr>
              <w:p>
                <w:pPr>
                  <w:jc w:val="center"/>
                </w:pPr>
                <w:r>
                  <w:rPr>
                    <w:rFonts w:hint="eastAsia"/>
                  </w:rPr>
                  <w:t>项目</w:t>
                </w:r>
              </w:p>
            </w:tc>
          </w:sdtContent>
        </w:sdt>
        <w:sdt>
          <w:sdtPr>
            <w:tag w:val="_PLD_c452eb3cb7084e41ba725641dbad27ab"/>
            <w:id w:val="49506823"/>
          </w:sdtPr>
          <w:sdtContent>
            <w:tc>
              <w:tcPr>
                <w:tcW w:w="1418" w:type="dxa"/>
                <w:vMerge w:val="restart"/>
                <w:vAlign w:val="center"/>
              </w:tcPr>
              <w:p>
                <w:pPr>
                  <w:jc w:val="center"/>
                </w:pPr>
                <w:r>
                  <w:rPr>
                    <w:rFonts w:hint="eastAsia"/>
                  </w:rPr>
                  <w:t>期初</w:t>
                </w:r>
              </w:p>
              <w:p>
                <w:pPr>
                  <w:jc w:val="center"/>
                </w:pPr>
                <w:r>
                  <w:rPr>
                    <w:rFonts w:hint="eastAsia"/>
                  </w:rPr>
                  <w:t>余额</w:t>
                </w:r>
              </w:p>
            </w:tc>
          </w:sdtContent>
        </w:sdt>
        <w:sdt>
          <w:sdtPr>
            <w:tag w:val="_PLD_c4c67158aa744717a253a7b51b99ed00"/>
            <w:id w:val="-220444098"/>
          </w:sdtPr>
          <w:sdtContent>
            <w:tc>
              <w:tcPr>
                <w:tcW w:w="5812" w:type="dxa"/>
                <w:gridSpan w:val="6"/>
                <w:vAlign w:val="center"/>
              </w:tcPr>
              <w:p>
                <w:pPr>
                  <w:jc w:val="center"/>
                </w:pPr>
                <w:r>
                  <w:rPr>
                    <w:rFonts w:hint="eastAsia"/>
                  </w:rPr>
                  <w:t>本期发生金额</w:t>
                </w:r>
              </w:p>
            </w:tc>
          </w:sdtContent>
        </w:sdt>
        <w:sdt>
          <w:sdtPr>
            <w:tag w:val="_PLD_2fcdc30e089b48d0af01eff4e6c0c7ad"/>
            <w:id w:val="2012248921"/>
          </w:sdtPr>
          <w:sdtContent>
            <w:tc>
              <w:tcPr>
                <w:tcW w:w="1275" w:type="dxa"/>
                <w:vMerge w:val="restart"/>
                <w:vAlign w:val="center"/>
              </w:tcPr>
              <w:p>
                <w:pPr>
                  <w:jc w:val="center"/>
                </w:pPr>
                <w:r>
                  <w:rPr>
                    <w:rFonts w:hint="eastAsia"/>
                  </w:rPr>
                  <w:t>期末</w:t>
                </w:r>
              </w:p>
              <w:p>
                <w:pPr>
                  <w:jc w:val="center"/>
                </w:pPr>
                <w:r>
                  <w:rPr>
                    <w:rFonts w:hint="eastAsia"/>
                  </w:rPr>
                  <w:t>余额</w:t>
                </w:r>
              </w:p>
            </w:tc>
          </w:sdtContent>
        </w:sdt>
      </w:tr>
      <w:tr>
        <w:tc>
          <w:tcPr>
            <w:tcW w:w="2410" w:type="dxa"/>
            <w:vMerge/>
            <w:vAlign w:val="center"/>
          </w:tcPr>
          <w:p>
            <w:pPr>
              <w:jc w:val="center"/>
            </w:pPr>
          </w:p>
        </w:tc>
        <w:tc>
          <w:tcPr>
            <w:tcW w:w="1418" w:type="dxa"/>
            <w:vMerge/>
            <w:vAlign w:val="center"/>
          </w:tcPr>
          <w:p>
            <w:pPr>
              <w:jc w:val="center"/>
            </w:pPr>
          </w:p>
        </w:tc>
        <w:sdt>
          <w:sdtPr>
            <w:tag w:val="_PLD_08b0381418824e1685e4223515aed1f1"/>
            <w:id w:val="1858073401"/>
          </w:sdtPr>
          <w:sdtContent>
            <w:tc>
              <w:tcPr>
                <w:tcW w:w="1276" w:type="dxa"/>
                <w:vAlign w:val="center"/>
              </w:tcPr>
              <w:p>
                <w:pPr>
                  <w:jc w:val="center"/>
                </w:pPr>
                <w:r>
                  <w:rPr>
                    <w:rFonts w:hint="eastAsia"/>
                  </w:rPr>
                  <w:t>本期所得税前发生额</w:t>
                </w:r>
              </w:p>
            </w:tc>
          </w:sdtContent>
        </w:sdt>
        <w:sdt>
          <w:sdtPr>
            <w:tag w:val="_PLD_b9b4a9789ab94b46aa682fa396296a6f"/>
            <w:id w:val="944124101"/>
          </w:sdtPr>
          <w:sdtContent>
            <w:tc>
              <w:tcPr>
                <w:tcW w:w="708" w:type="dxa"/>
                <w:vAlign w:val="center"/>
              </w:tcPr>
              <w:p>
                <w:pPr>
                  <w:jc w:val="center"/>
                </w:pPr>
                <w:r>
                  <w:rPr>
                    <w:rFonts w:hint="eastAsia"/>
                  </w:rPr>
                  <w:t>减：前期计入其他综合收益当期转入损益</w:t>
                </w:r>
              </w:p>
            </w:tc>
          </w:sdtContent>
        </w:sdt>
        <w:tc>
          <w:tcPr>
            <w:tcW w:w="709" w:type="dxa"/>
            <w:vAlign w:val="center"/>
          </w:tcPr>
          <w:sdt>
            <w:sdtPr>
              <w:tag w:val="_PLD_a38fa46c72bd4d5dbd427d2107ab58cc"/>
              <w:id w:val="1457977791"/>
            </w:sdtPr>
            <w:sdtContent>
              <w:p>
                <w:pPr>
                  <w:jc w:val="center"/>
                </w:pPr>
                <w:r>
                  <w:rPr>
                    <w:rFonts w:hint="eastAsia"/>
                  </w:rPr>
                  <w:t>减：前期计入其他综合收益当期转入留存收益</w:t>
                </w:r>
              </w:p>
            </w:sdtContent>
          </w:sdt>
        </w:tc>
        <w:sdt>
          <w:sdtPr>
            <w:tag w:val="_PLD_3aa0b45624ce4714ba49e23b657915b8"/>
            <w:id w:val="2055189193"/>
          </w:sdtPr>
          <w:sdtContent>
            <w:tc>
              <w:tcPr>
                <w:tcW w:w="851" w:type="dxa"/>
                <w:vAlign w:val="center"/>
              </w:tcPr>
              <w:p>
                <w:pPr>
                  <w:jc w:val="center"/>
                </w:pPr>
                <w:r>
                  <w:rPr>
                    <w:rFonts w:hint="eastAsia"/>
                  </w:rPr>
                  <w:t>减：所得税费用</w:t>
                </w:r>
              </w:p>
            </w:tc>
          </w:sdtContent>
        </w:sdt>
        <w:sdt>
          <w:sdtPr>
            <w:tag w:val="_PLD_8b3cddc1172740f1a089204a9d0cbe76"/>
            <w:id w:val="589516401"/>
          </w:sdtPr>
          <w:sdtContent>
            <w:tc>
              <w:tcPr>
                <w:tcW w:w="1275" w:type="dxa"/>
                <w:vAlign w:val="center"/>
              </w:tcPr>
              <w:p>
                <w:pPr>
                  <w:jc w:val="center"/>
                </w:pPr>
                <w:r>
                  <w:rPr>
                    <w:rFonts w:hint="eastAsia"/>
                  </w:rPr>
                  <w:t>税后归属于母公司</w:t>
                </w:r>
              </w:p>
            </w:tc>
          </w:sdtContent>
        </w:sdt>
        <w:sdt>
          <w:sdtPr>
            <w:tag w:val="_PLD_addbe2b10c3b49449f4532c4ee8679a0"/>
            <w:id w:val="-1430185871"/>
          </w:sdtPr>
          <w:sdtContent>
            <w:tc>
              <w:tcPr>
                <w:tcW w:w="993" w:type="dxa"/>
                <w:vAlign w:val="center"/>
              </w:tcPr>
              <w:p>
                <w:pPr>
                  <w:jc w:val="center"/>
                </w:pPr>
                <w:r>
                  <w:rPr>
                    <w:rFonts w:hint="eastAsia"/>
                  </w:rPr>
                  <w:t>税后归属于少数股东</w:t>
                </w:r>
              </w:p>
            </w:tc>
          </w:sdtContent>
        </w:sdt>
        <w:tc>
          <w:tcPr>
            <w:tcW w:w="1275" w:type="dxa"/>
            <w:vMerge/>
            <w:vAlign w:val="center"/>
          </w:tcPr>
          <w:p>
            <w:pPr>
              <w:jc w:val="center"/>
            </w:pPr>
          </w:p>
        </w:tc>
      </w:tr>
      <w:tr>
        <w:tc>
          <w:tcPr>
            <w:tcW w:w="2410" w:type="dxa"/>
            <w:vAlign w:val="center"/>
          </w:tcPr>
          <w:p>
            <w:pPr>
              <w:jc w:val="both"/>
            </w:pPr>
            <w:r>
              <w:rPr>
                <w:rFonts w:ascii="宋体" w:hAnsi="宋体" w:cs="宋体" w:hint="eastAsia"/>
              </w:rPr>
              <w:t>一、不能重分类进损益的其他综合收益</w:t>
            </w:r>
          </w:p>
        </w:tc>
        <w:tc>
          <w:tcPr>
            <w:tcW w:w="1418" w:type="dxa"/>
            <w:vAlign w:val="center"/>
          </w:tcPr>
          <w:p>
            <w:pPr>
              <w:jc w:val="right"/>
              <w:rPr>
                <w:rFonts w:ascii="宋体" w:hAnsi="宋体"/>
              </w:rPr>
            </w:pPr>
            <w:r>
              <w:rPr>
                <w:rFonts w:ascii="宋体" w:hAnsi="宋体"/>
              </w:rPr>
              <w:t>24,882</w:t>
            </w:r>
          </w:p>
        </w:tc>
        <w:tc>
          <w:tcPr>
            <w:tcW w:w="1276" w:type="dxa"/>
            <w:vAlign w:val="center"/>
          </w:tcPr>
          <w:p>
            <w:pPr>
              <w:jc w:val="right"/>
              <w:rPr>
                <w:rFonts w:ascii="宋体" w:hAnsi="宋体"/>
              </w:rPr>
            </w:pPr>
            <w:r>
              <w:rPr>
                <w:rFonts w:ascii="宋体" w:hAnsi="宋体"/>
              </w:rPr>
              <w:t>-84,959</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r>
              <w:rPr>
                <w:rFonts w:ascii="宋体" w:hAnsi="宋体"/>
              </w:rPr>
              <w:t>-3,164</w:t>
            </w:r>
          </w:p>
        </w:tc>
        <w:tc>
          <w:tcPr>
            <w:tcW w:w="1275" w:type="dxa"/>
            <w:vAlign w:val="center"/>
          </w:tcPr>
          <w:p>
            <w:pPr>
              <w:jc w:val="right"/>
              <w:rPr>
                <w:rFonts w:ascii="宋体" w:hAnsi="宋体"/>
              </w:rPr>
            </w:pPr>
            <w:r>
              <w:rPr>
                <w:rFonts w:ascii="宋体" w:hAnsi="宋体"/>
              </w:rPr>
              <w:t>-41,884</w:t>
            </w:r>
          </w:p>
        </w:tc>
        <w:tc>
          <w:tcPr>
            <w:tcW w:w="993" w:type="dxa"/>
            <w:vAlign w:val="center"/>
          </w:tcPr>
          <w:p>
            <w:pPr>
              <w:jc w:val="right"/>
              <w:rPr>
                <w:rFonts w:ascii="宋体" w:hAnsi="宋体"/>
              </w:rPr>
            </w:pPr>
            <w:r>
              <w:rPr>
                <w:rFonts w:ascii="宋体" w:hAnsi="宋体"/>
              </w:rPr>
              <w:t>-39,911</w:t>
            </w:r>
          </w:p>
        </w:tc>
        <w:tc>
          <w:tcPr>
            <w:tcW w:w="1275" w:type="dxa"/>
            <w:vAlign w:val="center"/>
          </w:tcPr>
          <w:p>
            <w:pPr>
              <w:jc w:val="right"/>
              <w:rPr>
                <w:rFonts w:ascii="宋体" w:hAnsi="宋体"/>
              </w:rPr>
            </w:pPr>
            <w:r>
              <w:rPr>
                <w:rFonts w:ascii="宋体" w:hAnsi="宋体"/>
              </w:rPr>
              <w:t>-17,002</w:t>
            </w:r>
          </w:p>
        </w:tc>
      </w:tr>
      <w:tr>
        <w:tc>
          <w:tcPr>
            <w:tcW w:w="2410" w:type="dxa"/>
            <w:vAlign w:val="center"/>
          </w:tcPr>
          <w:p>
            <w:pPr>
              <w:jc w:val="both"/>
            </w:pPr>
            <w:r>
              <w:rPr>
                <w:rFonts w:ascii="宋体" w:hAnsi="宋体" w:cs="宋体" w:hint="eastAsia"/>
              </w:rPr>
              <w:lastRenderedPageBreak/>
              <w:t>1.重新计量设定受益计划变动额</w:t>
            </w:r>
          </w:p>
        </w:tc>
        <w:tc>
          <w:tcPr>
            <w:tcW w:w="1418" w:type="dxa"/>
            <w:vAlign w:val="center"/>
          </w:tcPr>
          <w:p>
            <w:pPr>
              <w:jc w:val="right"/>
              <w:rPr>
                <w:rFonts w:ascii="宋体" w:hAnsi="宋体"/>
              </w:rPr>
            </w:pPr>
            <w:r>
              <w:rPr>
                <w:rFonts w:ascii="宋体" w:hAnsi="宋体"/>
              </w:rPr>
              <w:t>-1,684</w:t>
            </w:r>
          </w:p>
        </w:tc>
        <w:tc>
          <w:tcPr>
            <w:tcW w:w="1276" w:type="dxa"/>
            <w:vAlign w:val="center"/>
          </w:tcPr>
          <w:p>
            <w:pPr>
              <w:jc w:val="right"/>
              <w:rPr>
                <w:rFonts w:ascii="宋体" w:hAnsi="宋体"/>
              </w:rPr>
            </w:pPr>
            <w:r>
              <w:rPr>
                <w:rFonts w:ascii="宋体" w:hAnsi="宋体"/>
              </w:rPr>
              <w:t>-82,735</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r>
              <w:rPr>
                <w:rFonts w:ascii="宋体" w:hAnsi="宋体"/>
              </w:rPr>
              <w:t>-3,203</w:t>
            </w:r>
          </w:p>
        </w:tc>
        <w:tc>
          <w:tcPr>
            <w:tcW w:w="1275" w:type="dxa"/>
            <w:vAlign w:val="center"/>
          </w:tcPr>
          <w:p>
            <w:pPr>
              <w:jc w:val="right"/>
              <w:rPr>
                <w:rFonts w:ascii="宋体" w:hAnsi="宋体"/>
              </w:rPr>
            </w:pPr>
            <w:r>
              <w:rPr>
                <w:rFonts w:ascii="宋体" w:hAnsi="宋体"/>
              </w:rPr>
              <w:t>-39,621</w:t>
            </w:r>
          </w:p>
        </w:tc>
        <w:tc>
          <w:tcPr>
            <w:tcW w:w="993" w:type="dxa"/>
            <w:vAlign w:val="center"/>
          </w:tcPr>
          <w:p>
            <w:pPr>
              <w:jc w:val="right"/>
              <w:rPr>
                <w:rFonts w:ascii="宋体" w:hAnsi="宋体"/>
              </w:rPr>
            </w:pPr>
            <w:r>
              <w:rPr>
                <w:rFonts w:ascii="宋体" w:hAnsi="宋体"/>
              </w:rPr>
              <w:t>-39,911</w:t>
            </w:r>
          </w:p>
        </w:tc>
        <w:tc>
          <w:tcPr>
            <w:tcW w:w="1275" w:type="dxa"/>
            <w:vAlign w:val="center"/>
          </w:tcPr>
          <w:p>
            <w:pPr>
              <w:jc w:val="right"/>
              <w:rPr>
                <w:rFonts w:ascii="宋体" w:hAnsi="宋体"/>
              </w:rPr>
            </w:pPr>
            <w:r>
              <w:rPr>
                <w:rFonts w:ascii="宋体" w:hAnsi="宋体"/>
              </w:rPr>
              <w:t>-41,305</w:t>
            </w:r>
          </w:p>
        </w:tc>
      </w:tr>
      <w:tr>
        <w:tc>
          <w:tcPr>
            <w:tcW w:w="2410" w:type="dxa"/>
            <w:vAlign w:val="center"/>
          </w:tcPr>
          <w:p>
            <w:pPr>
              <w:jc w:val="both"/>
            </w:pPr>
            <w:r>
              <w:rPr>
                <w:rFonts w:ascii="宋体" w:hAnsi="宋体" w:cs="宋体" w:hint="eastAsia"/>
              </w:rPr>
              <w:t>2.权益法下不能转损益的其他综合收益</w:t>
            </w:r>
          </w:p>
        </w:tc>
        <w:tc>
          <w:tcPr>
            <w:tcW w:w="1418" w:type="dxa"/>
            <w:vAlign w:val="center"/>
          </w:tcPr>
          <w:p>
            <w:pPr>
              <w:jc w:val="right"/>
              <w:rPr>
                <w:rFonts w:ascii="宋体" w:hAnsi="宋体"/>
              </w:rPr>
            </w:pPr>
            <w:r>
              <w:rPr>
                <w:rFonts w:ascii="宋体" w:hAnsi="宋体"/>
              </w:rPr>
              <w:t>5,884</w:t>
            </w:r>
          </w:p>
        </w:tc>
        <w:tc>
          <w:tcPr>
            <w:tcW w:w="1276" w:type="dxa"/>
            <w:vAlign w:val="center"/>
          </w:tcPr>
          <w:p>
            <w:pPr>
              <w:jc w:val="right"/>
              <w:rPr>
                <w:rFonts w:ascii="宋体" w:hAnsi="宋体"/>
              </w:rPr>
            </w:pPr>
            <w:r>
              <w:rPr>
                <w:rFonts w:ascii="宋体" w:hAnsi="宋体"/>
              </w:rPr>
              <w:t>-2,359</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-2,359</w:t>
            </w:r>
          </w:p>
        </w:tc>
        <w:tc>
          <w:tcPr>
            <w:tcW w:w="993"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3,525</w:t>
            </w:r>
          </w:p>
        </w:tc>
      </w:tr>
      <w:tr>
        <w:tc>
          <w:tcPr>
            <w:tcW w:w="2410" w:type="dxa"/>
            <w:vAlign w:val="center"/>
          </w:tcPr>
          <w:p>
            <w:pPr>
              <w:jc w:val="both"/>
            </w:pPr>
            <w:r>
              <w:rPr>
                <w:rFonts w:ascii="宋体" w:hAnsi="宋体" w:cs="宋体" w:hint="eastAsia"/>
              </w:rPr>
              <w:t>3.其他权益工具投资公允价值变动</w:t>
            </w:r>
          </w:p>
        </w:tc>
        <w:tc>
          <w:tcPr>
            <w:tcW w:w="1418" w:type="dxa"/>
            <w:vAlign w:val="center"/>
          </w:tcPr>
          <w:p>
            <w:pPr>
              <w:jc w:val="right"/>
              <w:rPr>
                <w:rFonts w:ascii="宋体" w:hAnsi="宋体"/>
              </w:rPr>
            </w:pPr>
            <w:r>
              <w:rPr>
                <w:rFonts w:ascii="宋体" w:hAnsi="宋体"/>
              </w:rPr>
              <w:t>20,682</w:t>
            </w:r>
          </w:p>
        </w:tc>
        <w:tc>
          <w:tcPr>
            <w:tcW w:w="1276" w:type="dxa"/>
            <w:vAlign w:val="center"/>
          </w:tcPr>
          <w:p>
            <w:pPr>
              <w:jc w:val="right"/>
              <w:rPr>
                <w:rFonts w:ascii="宋体" w:hAnsi="宋体"/>
              </w:rPr>
            </w:pPr>
            <w:r>
              <w:rPr>
                <w:rFonts w:ascii="宋体" w:hAnsi="宋体"/>
              </w:rPr>
              <w:t>135</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r>
              <w:rPr>
                <w:rFonts w:ascii="宋体" w:hAnsi="宋体"/>
              </w:rPr>
              <w:t>39</w:t>
            </w:r>
          </w:p>
        </w:tc>
        <w:tc>
          <w:tcPr>
            <w:tcW w:w="1275" w:type="dxa"/>
            <w:vAlign w:val="center"/>
          </w:tcPr>
          <w:p>
            <w:pPr>
              <w:jc w:val="right"/>
              <w:rPr>
                <w:rFonts w:ascii="宋体" w:hAnsi="宋体"/>
              </w:rPr>
            </w:pPr>
            <w:r>
              <w:rPr>
                <w:rFonts w:ascii="宋体" w:hAnsi="宋体"/>
              </w:rPr>
              <w:t>96</w:t>
            </w:r>
          </w:p>
        </w:tc>
        <w:tc>
          <w:tcPr>
            <w:tcW w:w="993"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20,778</w:t>
            </w:r>
          </w:p>
        </w:tc>
      </w:tr>
      <w:tr>
        <w:tc>
          <w:tcPr>
            <w:tcW w:w="2410" w:type="dxa"/>
            <w:vAlign w:val="center"/>
          </w:tcPr>
          <w:p>
            <w:pPr>
              <w:jc w:val="both"/>
            </w:pPr>
            <w:r>
              <w:rPr>
                <w:rFonts w:ascii="宋体" w:hAnsi="宋体" w:cs="宋体" w:hint="eastAsia"/>
              </w:rPr>
              <w:t>二、将重分类进损益的其他综合收益</w:t>
            </w:r>
          </w:p>
        </w:tc>
        <w:tc>
          <w:tcPr>
            <w:tcW w:w="1418" w:type="dxa"/>
            <w:vAlign w:val="center"/>
          </w:tcPr>
          <w:p>
            <w:pPr>
              <w:jc w:val="right"/>
              <w:rPr>
                <w:rFonts w:ascii="宋体" w:hAnsi="宋体"/>
              </w:rPr>
            </w:pPr>
            <w:r>
              <w:rPr>
                <w:rFonts w:ascii="宋体" w:hAnsi="宋体"/>
              </w:rPr>
              <w:t>-7,940,529</w:t>
            </w:r>
          </w:p>
        </w:tc>
        <w:tc>
          <w:tcPr>
            <w:tcW w:w="1276" w:type="dxa"/>
            <w:vAlign w:val="center"/>
          </w:tcPr>
          <w:p>
            <w:pPr>
              <w:jc w:val="right"/>
              <w:rPr>
                <w:rFonts w:ascii="宋体" w:hAnsi="宋体"/>
              </w:rPr>
            </w:pPr>
            <w:r>
              <w:rPr>
                <w:rFonts w:ascii="宋体" w:hAnsi="宋体"/>
              </w:rPr>
              <w:t>2,018,871</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r>
              <w:rPr>
                <w:rFonts w:ascii="宋体" w:hAnsi="宋体"/>
              </w:rPr>
              <w:t>70,830</w:t>
            </w:r>
          </w:p>
        </w:tc>
        <w:tc>
          <w:tcPr>
            <w:tcW w:w="1275" w:type="dxa"/>
            <w:vAlign w:val="center"/>
          </w:tcPr>
          <w:p>
            <w:pPr>
              <w:jc w:val="right"/>
              <w:rPr>
                <w:rFonts w:ascii="宋体" w:hAnsi="宋体"/>
              </w:rPr>
            </w:pPr>
            <w:r>
              <w:rPr>
                <w:rFonts w:ascii="宋体" w:hAnsi="宋体"/>
              </w:rPr>
              <w:t>1,207,785</w:t>
            </w:r>
          </w:p>
        </w:tc>
        <w:tc>
          <w:tcPr>
            <w:tcW w:w="993" w:type="dxa"/>
            <w:vAlign w:val="center"/>
          </w:tcPr>
          <w:p>
            <w:pPr>
              <w:jc w:val="right"/>
              <w:rPr>
                <w:rFonts w:ascii="宋体" w:hAnsi="宋体"/>
              </w:rPr>
            </w:pPr>
            <w:r>
              <w:rPr>
                <w:rFonts w:ascii="宋体" w:hAnsi="宋体"/>
              </w:rPr>
              <w:t>740,256</w:t>
            </w:r>
          </w:p>
        </w:tc>
        <w:tc>
          <w:tcPr>
            <w:tcW w:w="1275" w:type="dxa"/>
            <w:vAlign w:val="center"/>
          </w:tcPr>
          <w:p>
            <w:pPr>
              <w:jc w:val="right"/>
              <w:rPr>
                <w:rFonts w:ascii="宋体" w:hAnsi="宋体"/>
              </w:rPr>
            </w:pPr>
            <w:r>
              <w:rPr>
                <w:rFonts w:ascii="宋体" w:hAnsi="宋体"/>
              </w:rPr>
              <w:t>-6,732,744</w:t>
            </w:r>
          </w:p>
        </w:tc>
      </w:tr>
      <w:tr>
        <w:tc>
          <w:tcPr>
            <w:tcW w:w="2410" w:type="dxa"/>
            <w:vAlign w:val="center"/>
          </w:tcPr>
          <w:p>
            <w:pPr>
              <w:jc w:val="both"/>
            </w:pPr>
            <w:r>
              <w:rPr>
                <w:rFonts w:ascii="宋体" w:hAnsi="宋体" w:cs="宋体" w:hint="eastAsia"/>
              </w:rPr>
              <w:t>1.权益法下可转损益的其他综合收益</w:t>
            </w:r>
          </w:p>
        </w:tc>
        <w:tc>
          <w:tcPr>
            <w:tcW w:w="1418" w:type="dxa"/>
            <w:vAlign w:val="center"/>
          </w:tcPr>
          <w:p>
            <w:pPr>
              <w:jc w:val="right"/>
              <w:rPr>
                <w:rFonts w:ascii="宋体" w:hAnsi="宋体"/>
              </w:rPr>
            </w:pPr>
            <w:r>
              <w:rPr>
                <w:rFonts w:ascii="宋体" w:hAnsi="宋体"/>
              </w:rPr>
              <w:t>279,531</w:t>
            </w:r>
          </w:p>
        </w:tc>
        <w:tc>
          <w:tcPr>
            <w:tcW w:w="1276" w:type="dxa"/>
            <w:vAlign w:val="center"/>
          </w:tcPr>
          <w:p>
            <w:pPr>
              <w:jc w:val="right"/>
              <w:rPr>
                <w:rFonts w:ascii="宋体" w:hAnsi="宋体"/>
              </w:rPr>
            </w:pPr>
            <w:r>
              <w:rPr>
                <w:rFonts w:ascii="宋体" w:hAnsi="宋体"/>
              </w:rPr>
              <w:t>-137,027</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-137,027</w:t>
            </w:r>
          </w:p>
        </w:tc>
        <w:tc>
          <w:tcPr>
            <w:tcW w:w="993"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142,504</w:t>
            </w:r>
          </w:p>
        </w:tc>
      </w:tr>
      <w:tr>
        <w:tc>
          <w:tcPr>
            <w:tcW w:w="2410" w:type="dxa"/>
            <w:vAlign w:val="center"/>
          </w:tcPr>
          <w:p>
            <w:pPr>
              <w:jc w:val="both"/>
            </w:pPr>
            <w:r>
              <w:rPr>
                <w:rFonts w:ascii="宋体" w:hAnsi="宋体" w:cs="宋体" w:hint="eastAsia"/>
              </w:rPr>
              <w:t>2.其他债权投资公允价值变动</w:t>
            </w:r>
          </w:p>
        </w:tc>
        <w:tc>
          <w:tcPr>
            <w:tcW w:w="1418" w:type="dxa"/>
            <w:vAlign w:val="center"/>
          </w:tcPr>
          <w:p>
            <w:pPr>
              <w:jc w:val="right"/>
              <w:rPr>
                <w:rFonts w:ascii="宋体" w:hAnsi="宋体"/>
              </w:rPr>
            </w:pPr>
          </w:p>
        </w:tc>
        <w:tc>
          <w:tcPr>
            <w:tcW w:w="1276" w:type="dxa"/>
            <w:vAlign w:val="center"/>
          </w:tcPr>
          <w:p>
            <w:pPr>
              <w:jc w:val="right"/>
              <w:rPr>
                <w:rFonts w:ascii="宋体" w:hAnsi="宋体"/>
              </w:rPr>
            </w:pP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p>
        </w:tc>
        <w:tc>
          <w:tcPr>
            <w:tcW w:w="1275" w:type="dxa"/>
            <w:vAlign w:val="center"/>
          </w:tcPr>
          <w:p>
            <w:pPr>
              <w:jc w:val="right"/>
              <w:rPr>
                <w:rFonts w:ascii="宋体" w:hAnsi="宋体"/>
              </w:rPr>
            </w:pPr>
          </w:p>
        </w:tc>
        <w:tc>
          <w:tcPr>
            <w:tcW w:w="993" w:type="dxa"/>
            <w:vAlign w:val="center"/>
          </w:tcPr>
          <w:p>
            <w:pPr>
              <w:jc w:val="right"/>
              <w:rPr>
                <w:rFonts w:ascii="宋体" w:hAnsi="宋体"/>
              </w:rPr>
            </w:pPr>
          </w:p>
        </w:tc>
        <w:tc>
          <w:tcPr>
            <w:tcW w:w="1275" w:type="dxa"/>
            <w:vAlign w:val="center"/>
          </w:tcPr>
          <w:p>
            <w:pPr>
              <w:jc w:val="right"/>
              <w:rPr>
                <w:rFonts w:ascii="宋体" w:hAnsi="宋体"/>
              </w:rPr>
            </w:pPr>
          </w:p>
        </w:tc>
      </w:tr>
      <w:tr>
        <w:tc>
          <w:tcPr>
            <w:tcW w:w="2410" w:type="dxa"/>
            <w:vAlign w:val="center"/>
          </w:tcPr>
          <w:p>
            <w:pPr>
              <w:jc w:val="both"/>
            </w:pPr>
            <w:r>
              <w:rPr>
                <w:rFonts w:ascii="宋体" w:hAnsi="宋体" w:cs="宋体" w:hint="eastAsia"/>
              </w:rPr>
              <w:t>3.金融资产重分类计入其他综合收益的金额</w:t>
            </w:r>
          </w:p>
        </w:tc>
        <w:tc>
          <w:tcPr>
            <w:tcW w:w="1418" w:type="dxa"/>
            <w:vAlign w:val="center"/>
          </w:tcPr>
          <w:p>
            <w:pPr>
              <w:jc w:val="right"/>
              <w:rPr>
                <w:rFonts w:ascii="宋体" w:hAnsi="宋体"/>
              </w:rPr>
            </w:pPr>
            <w:r>
              <w:rPr>
                <w:rFonts w:ascii="宋体" w:hAnsi="宋体"/>
              </w:rPr>
              <w:t>2</w:t>
            </w:r>
          </w:p>
        </w:tc>
        <w:tc>
          <w:tcPr>
            <w:tcW w:w="1276" w:type="dxa"/>
            <w:vAlign w:val="center"/>
          </w:tcPr>
          <w:p>
            <w:pPr>
              <w:jc w:val="right"/>
              <w:rPr>
                <w:rFonts w:ascii="宋体" w:hAnsi="宋体"/>
              </w:rPr>
            </w:pP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p>
        </w:tc>
        <w:tc>
          <w:tcPr>
            <w:tcW w:w="1275" w:type="dxa"/>
            <w:vAlign w:val="center"/>
          </w:tcPr>
          <w:p>
            <w:pPr>
              <w:jc w:val="right"/>
              <w:rPr>
                <w:rFonts w:ascii="宋体" w:hAnsi="宋体"/>
              </w:rPr>
            </w:pPr>
          </w:p>
        </w:tc>
        <w:tc>
          <w:tcPr>
            <w:tcW w:w="993"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2</w:t>
            </w:r>
          </w:p>
        </w:tc>
      </w:tr>
      <w:tr>
        <w:tc>
          <w:tcPr>
            <w:tcW w:w="2410" w:type="dxa"/>
            <w:vAlign w:val="center"/>
          </w:tcPr>
          <w:p>
            <w:pPr>
              <w:jc w:val="both"/>
            </w:pPr>
            <w:r>
              <w:rPr>
                <w:rFonts w:ascii="宋体" w:hAnsi="宋体" w:cs="宋体" w:hint="eastAsia"/>
              </w:rPr>
              <w:t>4.其他债权投资信用减值准备</w:t>
            </w:r>
          </w:p>
        </w:tc>
        <w:tc>
          <w:tcPr>
            <w:tcW w:w="1418" w:type="dxa"/>
            <w:vAlign w:val="center"/>
          </w:tcPr>
          <w:p>
            <w:pPr>
              <w:jc w:val="right"/>
              <w:rPr>
                <w:rFonts w:ascii="宋体" w:hAnsi="宋体"/>
              </w:rPr>
            </w:pPr>
          </w:p>
        </w:tc>
        <w:tc>
          <w:tcPr>
            <w:tcW w:w="1276" w:type="dxa"/>
            <w:vAlign w:val="center"/>
          </w:tcPr>
          <w:p>
            <w:pPr>
              <w:jc w:val="right"/>
              <w:rPr>
                <w:rFonts w:ascii="宋体" w:hAnsi="宋体"/>
              </w:rPr>
            </w:pP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p>
        </w:tc>
        <w:tc>
          <w:tcPr>
            <w:tcW w:w="1275" w:type="dxa"/>
            <w:vAlign w:val="center"/>
          </w:tcPr>
          <w:p>
            <w:pPr>
              <w:jc w:val="right"/>
              <w:rPr>
                <w:rFonts w:ascii="宋体" w:hAnsi="宋体"/>
              </w:rPr>
            </w:pPr>
          </w:p>
        </w:tc>
        <w:tc>
          <w:tcPr>
            <w:tcW w:w="993" w:type="dxa"/>
            <w:vAlign w:val="center"/>
          </w:tcPr>
          <w:p>
            <w:pPr>
              <w:jc w:val="right"/>
              <w:rPr>
                <w:rFonts w:ascii="宋体" w:hAnsi="宋体"/>
              </w:rPr>
            </w:pPr>
          </w:p>
        </w:tc>
        <w:tc>
          <w:tcPr>
            <w:tcW w:w="1275" w:type="dxa"/>
            <w:vAlign w:val="center"/>
          </w:tcPr>
          <w:p>
            <w:pPr>
              <w:jc w:val="right"/>
              <w:rPr>
                <w:rFonts w:ascii="宋体" w:hAnsi="宋体"/>
              </w:rPr>
            </w:pPr>
          </w:p>
        </w:tc>
      </w:tr>
      <w:tr>
        <w:tc>
          <w:tcPr>
            <w:tcW w:w="2410" w:type="dxa"/>
            <w:vAlign w:val="center"/>
          </w:tcPr>
          <w:p>
            <w:pPr>
              <w:jc w:val="both"/>
            </w:pPr>
            <w:r>
              <w:rPr>
                <w:rFonts w:ascii="宋体" w:hAnsi="宋体" w:cs="宋体" w:hint="eastAsia"/>
              </w:rPr>
              <w:t>5.现金流量套期的有效部分</w:t>
            </w:r>
          </w:p>
        </w:tc>
        <w:tc>
          <w:tcPr>
            <w:tcW w:w="1418" w:type="dxa"/>
            <w:vAlign w:val="center"/>
          </w:tcPr>
          <w:p>
            <w:pPr>
              <w:jc w:val="right"/>
              <w:rPr>
                <w:rFonts w:ascii="宋体" w:hAnsi="宋体"/>
              </w:rPr>
            </w:pPr>
            <w:r>
              <w:rPr>
                <w:rFonts w:ascii="宋体" w:hAnsi="宋体"/>
              </w:rPr>
              <w:t>-272,739</w:t>
            </w:r>
          </w:p>
        </w:tc>
        <w:tc>
          <w:tcPr>
            <w:tcW w:w="1276" w:type="dxa"/>
            <w:vAlign w:val="center"/>
          </w:tcPr>
          <w:p>
            <w:pPr>
              <w:jc w:val="right"/>
              <w:rPr>
                <w:rFonts w:ascii="宋体" w:hAnsi="宋体"/>
              </w:rPr>
            </w:pPr>
            <w:r>
              <w:rPr>
                <w:rFonts w:ascii="宋体" w:hAnsi="宋体"/>
              </w:rPr>
              <w:t>236,100</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r>
              <w:rPr>
                <w:rFonts w:ascii="宋体" w:hAnsi="宋体"/>
              </w:rPr>
              <w:t>70,830</w:t>
            </w:r>
          </w:p>
        </w:tc>
        <w:tc>
          <w:tcPr>
            <w:tcW w:w="1275" w:type="dxa"/>
            <w:vAlign w:val="center"/>
          </w:tcPr>
          <w:p>
            <w:pPr>
              <w:jc w:val="right"/>
              <w:rPr>
                <w:rFonts w:ascii="宋体" w:hAnsi="宋体"/>
              </w:rPr>
            </w:pPr>
            <w:r>
              <w:rPr>
                <w:rFonts w:ascii="宋体" w:hAnsi="宋体"/>
              </w:rPr>
              <w:t>102,897</w:t>
            </w:r>
          </w:p>
        </w:tc>
        <w:tc>
          <w:tcPr>
            <w:tcW w:w="993" w:type="dxa"/>
            <w:vAlign w:val="center"/>
          </w:tcPr>
          <w:p>
            <w:pPr>
              <w:jc w:val="right"/>
              <w:rPr>
                <w:rFonts w:ascii="宋体" w:hAnsi="宋体"/>
              </w:rPr>
            </w:pPr>
            <w:r>
              <w:rPr>
                <w:rFonts w:ascii="宋体" w:hAnsi="宋体"/>
              </w:rPr>
              <w:t>62,373</w:t>
            </w:r>
          </w:p>
        </w:tc>
        <w:tc>
          <w:tcPr>
            <w:tcW w:w="1275" w:type="dxa"/>
            <w:vAlign w:val="center"/>
          </w:tcPr>
          <w:p>
            <w:pPr>
              <w:jc w:val="right"/>
              <w:rPr>
                <w:rFonts w:ascii="宋体" w:hAnsi="宋体"/>
              </w:rPr>
            </w:pPr>
            <w:r>
              <w:rPr>
                <w:rFonts w:ascii="宋体" w:hAnsi="宋体"/>
              </w:rPr>
              <w:t>-169,842</w:t>
            </w:r>
          </w:p>
        </w:tc>
      </w:tr>
      <w:tr>
        <w:tc>
          <w:tcPr>
            <w:tcW w:w="2410" w:type="dxa"/>
            <w:vAlign w:val="center"/>
          </w:tcPr>
          <w:p>
            <w:pPr>
              <w:jc w:val="both"/>
            </w:pPr>
            <w:r>
              <w:rPr>
                <w:rFonts w:ascii="宋体" w:hAnsi="宋体" w:cs="宋体" w:hint="eastAsia"/>
              </w:rPr>
              <w:t>6.外币财务报表折算差额</w:t>
            </w:r>
          </w:p>
        </w:tc>
        <w:tc>
          <w:tcPr>
            <w:tcW w:w="1418" w:type="dxa"/>
            <w:vAlign w:val="center"/>
          </w:tcPr>
          <w:p>
            <w:pPr>
              <w:jc w:val="right"/>
              <w:rPr>
                <w:rFonts w:ascii="宋体" w:hAnsi="宋体"/>
              </w:rPr>
            </w:pPr>
            <w:r>
              <w:rPr>
                <w:rFonts w:ascii="宋体" w:hAnsi="宋体"/>
              </w:rPr>
              <w:t>-8,215,506</w:t>
            </w:r>
          </w:p>
        </w:tc>
        <w:tc>
          <w:tcPr>
            <w:tcW w:w="1276" w:type="dxa"/>
            <w:vAlign w:val="center"/>
          </w:tcPr>
          <w:p>
            <w:pPr>
              <w:jc w:val="right"/>
              <w:rPr>
                <w:rFonts w:ascii="宋体" w:hAnsi="宋体"/>
              </w:rPr>
            </w:pPr>
            <w:r>
              <w:rPr>
                <w:rFonts w:ascii="宋体" w:hAnsi="宋体"/>
              </w:rPr>
              <w:t>1,905,498</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1,227,615</w:t>
            </w:r>
          </w:p>
        </w:tc>
        <w:tc>
          <w:tcPr>
            <w:tcW w:w="993" w:type="dxa"/>
            <w:vAlign w:val="center"/>
          </w:tcPr>
          <w:p>
            <w:pPr>
              <w:jc w:val="right"/>
              <w:rPr>
                <w:rFonts w:ascii="宋体" w:hAnsi="宋体"/>
              </w:rPr>
            </w:pPr>
            <w:r>
              <w:rPr>
                <w:rFonts w:ascii="宋体" w:hAnsi="宋体"/>
              </w:rPr>
              <w:t>677,883</w:t>
            </w:r>
          </w:p>
        </w:tc>
        <w:tc>
          <w:tcPr>
            <w:tcW w:w="1275" w:type="dxa"/>
            <w:vAlign w:val="center"/>
          </w:tcPr>
          <w:p>
            <w:pPr>
              <w:jc w:val="right"/>
              <w:rPr>
                <w:rFonts w:ascii="宋体" w:hAnsi="宋体"/>
              </w:rPr>
            </w:pPr>
            <w:r>
              <w:rPr>
                <w:rFonts w:ascii="宋体" w:hAnsi="宋体"/>
              </w:rPr>
              <w:t>-6,987,891</w:t>
            </w:r>
          </w:p>
        </w:tc>
      </w:tr>
      <w:tr>
        <w:tc>
          <w:tcPr>
            <w:tcW w:w="2410" w:type="dxa"/>
            <w:tcBorders>
              <w:bottom w:val="single" w:sz="4" w:space="0" w:color="auto"/>
            </w:tcBorders>
            <w:vAlign w:val="center"/>
          </w:tcPr>
          <w:p>
            <w:pPr>
              <w:jc w:val="both"/>
            </w:pPr>
            <w:r>
              <w:rPr>
                <w:rFonts w:ascii="宋体" w:hAnsi="宋体" w:cs="宋体" w:hint="eastAsia"/>
              </w:rPr>
              <w:t>7.自用房地产或作为存货的房地产转换为以公允价值计量的投资性房地产在转换日公允价值大于账面价值部分</w:t>
            </w:r>
          </w:p>
        </w:tc>
        <w:tc>
          <w:tcPr>
            <w:tcW w:w="1418" w:type="dxa"/>
            <w:vAlign w:val="center"/>
          </w:tcPr>
          <w:p>
            <w:pPr>
              <w:jc w:val="right"/>
              <w:rPr>
                <w:rFonts w:ascii="宋体" w:hAnsi="宋体"/>
              </w:rPr>
            </w:pPr>
            <w:r>
              <w:rPr>
                <w:rFonts w:ascii="宋体" w:hAnsi="宋体"/>
              </w:rPr>
              <w:t>268,183</w:t>
            </w:r>
          </w:p>
        </w:tc>
        <w:tc>
          <w:tcPr>
            <w:tcW w:w="1276" w:type="dxa"/>
            <w:vAlign w:val="center"/>
          </w:tcPr>
          <w:p>
            <w:pPr>
              <w:jc w:val="right"/>
              <w:rPr>
                <w:rFonts w:ascii="宋体" w:hAnsi="宋体"/>
              </w:rPr>
            </w:pPr>
            <w:r>
              <w:rPr>
                <w:rFonts w:ascii="宋体" w:hAnsi="宋体"/>
              </w:rPr>
              <w:t>14,300</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14,300</w:t>
            </w:r>
          </w:p>
        </w:tc>
        <w:tc>
          <w:tcPr>
            <w:tcW w:w="993" w:type="dxa"/>
            <w:vAlign w:val="center"/>
          </w:tcPr>
          <w:p>
            <w:pPr>
              <w:jc w:val="right"/>
              <w:rPr>
                <w:rFonts w:ascii="宋体" w:hAnsi="宋体"/>
              </w:rPr>
            </w:pPr>
          </w:p>
        </w:tc>
        <w:tc>
          <w:tcPr>
            <w:tcW w:w="1275" w:type="dxa"/>
            <w:vAlign w:val="center"/>
          </w:tcPr>
          <w:p>
            <w:pPr>
              <w:jc w:val="right"/>
              <w:rPr>
                <w:rFonts w:ascii="宋体" w:hAnsi="宋体"/>
              </w:rPr>
            </w:pPr>
            <w:r>
              <w:rPr>
                <w:rFonts w:ascii="宋体" w:hAnsi="宋体"/>
              </w:rPr>
              <w:t>282,483</w:t>
            </w:r>
          </w:p>
        </w:tc>
      </w:tr>
      <w:tr>
        <w:tc>
          <w:tcPr>
            <w:tcW w:w="2410" w:type="dxa"/>
            <w:tcBorders>
              <w:bottom w:val="single" w:sz="4" w:space="0" w:color="auto"/>
            </w:tcBorders>
            <w:vAlign w:val="center"/>
          </w:tcPr>
          <w:p>
            <w:pPr>
              <w:jc w:val="both"/>
            </w:pPr>
            <w:r>
              <w:rPr>
                <w:rFonts w:ascii="宋体" w:hAnsi="宋体" w:cs="宋体" w:hint="eastAsia"/>
              </w:rPr>
              <w:t>8.其他</w:t>
            </w:r>
          </w:p>
        </w:tc>
        <w:tc>
          <w:tcPr>
            <w:tcW w:w="1418" w:type="dxa"/>
            <w:vAlign w:val="center"/>
          </w:tcPr>
          <w:p>
            <w:pPr>
              <w:jc w:val="right"/>
              <w:rPr>
                <w:rFonts w:ascii="宋体" w:hAnsi="宋体"/>
              </w:rPr>
            </w:pPr>
          </w:p>
        </w:tc>
        <w:tc>
          <w:tcPr>
            <w:tcW w:w="1276" w:type="dxa"/>
            <w:vAlign w:val="center"/>
          </w:tcPr>
          <w:p>
            <w:pPr>
              <w:jc w:val="right"/>
              <w:rPr>
                <w:rFonts w:ascii="宋体" w:hAnsi="宋体"/>
              </w:rPr>
            </w:pP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p>
        </w:tc>
        <w:tc>
          <w:tcPr>
            <w:tcW w:w="1275" w:type="dxa"/>
            <w:vAlign w:val="center"/>
          </w:tcPr>
          <w:p>
            <w:pPr>
              <w:jc w:val="right"/>
              <w:rPr>
                <w:rFonts w:ascii="宋体" w:hAnsi="宋体"/>
              </w:rPr>
            </w:pPr>
          </w:p>
        </w:tc>
        <w:tc>
          <w:tcPr>
            <w:tcW w:w="993" w:type="dxa"/>
            <w:vAlign w:val="center"/>
          </w:tcPr>
          <w:p>
            <w:pPr>
              <w:jc w:val="right"/>
              <w:rPr>
                <w:rFonts w:ascii="宋体" w:hAnsi="宋体"/>
              </w:rPr>
            </w:pPr>
          </w:p>
        </w:tc>
        <w:tc>
          <w:tcPr>
            <w:tcW w:w="1275" w:type="dxa"/>
            <w:vAlign w:val="center"/>
          </w:tcPr>
          <w:p>
            <w:pPr>
              <w:jc w:val="right"/>
              <w:rPr>
                <w:rFonts w:ascii="宋体" w:hAnsi="宋体"/>
              </w:rPr>
            </w:pPr>
          </w:p>
        </w:tc>
      </w:tr>
      <w:tr>
        <w:tc>
          <w:tcPr>
            <w:tcW w:w="2410" w:type="dxa"/>
            <w:vAlign w:val="center"/>
          </w:tcPr>
          <w:p>
            <w:pPr>
              <w:pStyle w:val="Style217"/>
            </w:pPr>
            <w:r>
              <w:rPr>
                <w:rFonts w:hint="eastAsia"/>
              </w:rPr>
              <w:t>合计</w:t>
            </w:r>
          </w:p>
        </w:tc>
        <w:tc>
          <w:tcPr>
            <w:tcW w:w="1418" w:type="dxa"/>
            <w:vAlign w:val="center"/>
          </w:tcPr>
          <w:p>
            <w:pPr>
              <w:jc w:val="right"/>
              <w:rPr>
                <w:rFonts w:ascii="宋体" w:hAnsi="宋体"/>
              </w:rPr>
            </w:pPr>
            <w:r>
              <w:rPr>
                <w:rFonts w:ascii="宋体" w:hAnsi="宋体"/>
              </w:rPr>
              <w:t>-7,915,647</w:t>
            </w:r>
          </w:p>
        </w:tc>
        <w:tc>
          <w:tcPr>
            <w:tcW w:w="1276" w:type="dxa"/>
            <w:vAlign w:val="center"/>
          </w:tcPr>
          <w:p>
            <w:pPr>
              <w:jc w:val="right"/>
              <w:rPr>
                <w:rFonts w:ascii="宋体" w:hAnsi="宋体"/>
              </w:rPr>
            </w:pPr>
            <w:r>
              <w:rPr>
                <w:rFonts w:ascii="宋体" w:hAnsi="宋体"/>
              </w:rPr>
              <w:t>1,933,912</w:t>
            </w:r>
          </w:p>
        </w:tc>
        <w:tc>
          <w:tcPr>
            <w:tcW w:w="708" w:type="dxa"/>
            <w:vAlign w:val="center"/>
          </w:tcPr>
          <w:p>
            <w:pPr>
              <w:jc w:val="right"/>
              <w:rPr>
                <w:rFonts w:ascii="宋体" w:hAnsi="宋体"/>
              </w:rPr>
            </w:pPr>
          </w:p>
        </w:tc>
        <w:tc>
          <w:tcPr>
            <w:tcW w:w="709" w:type="dxa"/>
            <w:vAlign w:val="center"/>
          </w:tcPr>
          <w:p>
            <w:pPr>
              <w:jc w:val="right"/>
              <w:rPr>
                <w:rFonts w:ascii="宋体" w:hAnsi="宋体"/>
              </w:rPr>
            </w:pPr>
          </w:p>
        </w:tc>
        <w:tc>
          <w:tcPr>
            <w:tcW w:w="851" w:type="dxa"/>
            <w:vAlign w:val="center"/>
          </w:tcPr>
          <w:p>
            <w:pPr>
              <w:jc w:val="right"/>
              <w:rPr>
                <w:rFonts w:ascii="宋体" w:hAnsi="宋体"/>
              </w:rPr>
            </w:pPr>
            <w:r>
              <w:rPr>
                <w:rFonts w:ascii="宋体" w:hAnsi="宋体"/>
              </w:rPr>
              <w:t>67,666</w:t>
            </w:r>
          </w:p>
        </w:tc>
        <w:tc>
          <w:tcPr>
            <w:tcW w:w="1275" w:type="dxa"/>
            <w:vAlign w:val="center"/>
          </w:tcPr>
          <w:p>
            <w:pPr>
              <w:jc w:val="right"/>
              <w:rPr>
                <w:rFonts w:ascii="宋体" w:hAnsi="宋体"/>
              </w:rPr>
            </w:pPr>
            <w:r>
              <w:rPr>
                <w:rFonts w:ascii="宋体" w:hAnsi="宋体"/>
              </w:rPr>
              <w:t>1,165,901</w:t>
            </w:r>
          </w:p>
        </w:tc>
        <w:tc>
          <w:tcPr>
            <w:tcW w:w="993" w:type="dxa"/>
            <w:vAlign w:val="center"/>
          </w:tcPr>
          <w:p>
            <w:pPr>
              <w:jc w:val="right"/>
              <w:rPr>
                <w:rFonts w:ascii="宋体" w:hAnsi="宋体"/>
              </w:rPr>
            </w:pPr>
            <w:r>
              <w:rPr>
                <w:rFonts w:ascii="宋体" w:hAnsi="宋体"/>
              </w:rPr>
              <w:t>700,345</w:t>
            </w:r>
          </w:p>
        </w:tc>
        <w:tc>
          <w:tcPr>
            <w:tcW w:w="1275" w:type="dxa"/>
            <w:vAlign w:val="center"/>
          </w:tcPr>
          <w:p>
            <w:pPr>
              <w:jc w:val="right"/>
              <w:rPr>
                <w:rFonts w:ascii="宋体" w:hAnsi="宋体"/>
              </w:rPr>
            </w:pPr>
            <w:r>
              <w:rPr>
                <w:rFonts w:ascii="宋体" w:hAnsi="宋体"/>
              </w:rPr>
              <w:t>-6,749,746</w:t>
            </w:r>
          </w:p>
        </w:tc>
      </w:tr>
    </w:tbl>
    <w:p>
      <w:pPr>
        <w:pStyle w:val="Style217"/>
      </w:pPr>
    </w:p>
    <w:bookmarkEnd w:id="508"/>
    <w:p>
      <w:pPr>
        <w:pStyle w:val="Style178"/>
        <w:numPr>
          <w:ilvl w:val="0"/>
          <w:numId w:val="75"/>
        </w:numPr>
        <w:rPr>
          <w:szCs w:val="21"/>
        </w:rPr>
      </w:pPr>
      <w:r>
        <w:rPr>
          <w:szCs w:val="21"/>
        </w:rPr>
        <w:t>专项储备</w:t>
      </w:r>
    </w:p>
    <w:sdt>
      <w:sdtPr>
        <w:alias w:val="是否适用：专项储备[双击切换]"/>
        <w:tag w:val="_GBC_0e2f337ccf9a4bc6919cf02a896e57c1"/>
        <w:id w:val="-168256329"/>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9793672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 xml:space="preserve">千元  </w:t>
          </w:r>
        </w:sdtContent>
      </w:sdt>
      <w:r>
        <w:rPr>
          <w:rFonts w:ascii="宋体" w:hAnsi="宋体" w:hint="eastAsia"/>
          <w:szCs w:val="21"/>
        </w:rPr>
        <w:t>币种：</w:t>
      </w:r>
      <w:sdt>
        <w:sdtPr>
          <w:rPr>
            <w:rFonts w:ascii="宋体" w:hAnsi="宋体" w:hint="eastAsia"/>
            <w:szCs w:val="21"/>
          </w:rPr>
          <w:alias w:val="币种：财务附注：专项储备"/>
          <w:tag w:val="_GBC_0d38a2dae28a4705ad4e665e5fcad88c"/>
          <w:id w:val="-3853388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Style100"/>
        <w:tblW w:w="878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980"/>
        <w:gridCol w:w="1701"/>
        <w:gridCol w:w="1701"/>
        <w:gridCol w:w="1701"/>
        <w:gridCol w:w="1701"/>
      </w:tblGrid>
      <w:tr>
        <w:sdt>
          <w:sdtPr>
            <w:tag w:val="_PLD_1b8418d949a749fe8d001c0cc33cf61e"/>
            <w:id w:val="-265777931"/>
          </w:sdtPr>
          <w:sdtContent>
            <w:tc>
              <w:tcPr>
                <w:tcW w:w="1980" w:type="dxa"/>
                <w:vAlign w:val="center"/>
              </w:tcPr>
              <w:p>
                <w:pPr>
                  <w:jc w:val="center"/>
                </w:pPr>
                <w:r>
                  <w:rPr>
                    <w:rFonts w:hint="eastAsia"/>
                  </w:rPr>
                  <w:t>项目</w:t>
                </w:r>
              </w:p>
            </w:tc>
          </w:sdtContent>
        </w:sdt>
        <w:sdt>
          <w:sdtPr>
            <w:tag w:val="_PLD_080ff0821e57448ea6f6c5e836583c19"/>
            <w:id w:val="-50382423"/>
          </w:sdtPr>
          <w:sdtContent>
            <w:tc>
              <w:tcPr>
                <w:tcW w:w="1701" w:type="dxa"/>
                <w:vAlign w:val="center"/>
              </w:tcPr>
              <w:p>
                <w:pPr>
                  <w:jc w:val="center"/>
                </w:pPr>
                <w:r>
                  <w:rPr>
                    <w:rFonts w:hint="eastAsia"/>
                  </w:rPr>
                  <w:t>期初余额</w:t>
                </w:r>
              </w:p>
            </w:tc>
          </w:sdtContent>
        </w:sdt>
        <w:sdt>
          <w:sdtPr>
            <w:tag w:val="_PLD_99281caa76a54a77b09eef392dfa3e36"/>
            <w:id w:val="1809823117"/>
          </w:sdtPr>
          <w:sdtContent>
            <w:tc>
              <w:tcPr>
                <w:tcW w:w="1701" w:type="dxa"/>
                <w:vAlign w:val="center"/>
              </w:tcPr>
              <w:p>
                <w:pPr>
                  <w:jc w:val="center"/>
                </w:pPr>
                <w:r>
                  <w:rPr>
                    <w:rFonts w:hint="eastAsia"/>
                  </w:rPr>
                  <w:t>本期增加</w:t>
                </w:r>
              </w:p>
            </w:tc>
          </w:sdtContent>
        </w:sdt>
        <w:sdt>
          <w:sdtPr>
            <w:tag w:val="_PLD_c1f0c2bb01df4af28d10ddd8f2af79a9"/>
            <w:id w:val="1476265869"/>
          </w:sdtPr>
          <w:sdtContent>
            <w:tc>
              <w:tcPr>
                <w:tcW w:w="1701" w:type="dxa"/>
                <w:vAlign w:val="center"/>
              </w:tcPr>
              <w:p>
                <w:pPr>
                  <w:jc w:val="center"/>
                </w:pPr>
                <w:r>
                  <w:rPr>
                    <w:rFonts w:hint="eastAsia"/>
                  </w:rPr>
                  <w:t>本期减少</w:t>
                </w:r>
              </w:p>
            </w:tc>
          </w:sdtContent>
        </w:sdt>
        <w:sdt>
          <w:sdtPr>
            <w:tag w:val="_PLD_c07fab254eb14bc88273a7ed58442223"/>
            <w:id w:val="152488485"/>
          </w:sdtPr>
          <w:sdtContent>
            <w:tc>
              <w:tcPr>
                <w:tcW w:w="1701" w:type="dxa"/>
                <w:vAlign w:val="center"/>
              </w:tcPr>
              <w:p>
                <w:pPr>
                  <w:jc w:val="center"/>
                </w:pPr>
                <w:r>
                  <w:rPr>
                    <w:rFonts w:hint="eastAsia"/>
                  </w:rPr>
                  <w:t>期末余额</w:t>
                </w:r>
              </w:p>
            </w:tc>
          </w:sdtContent>
        </w:sdt>
      </w:tr>
      <w:tr>
        <w:tc>
          <w:tcPr>
            <w:tcW w:w="1980" w:type="dxa"/>
            <w:vAlign w:val="center"/>
          </w:tcPr>
          <w:p>
            <w:pPr>
              <w:pStyle w:val="Style217"/>
            </w:pPr>
            <w:r>
              <w:rPr>
                <w:rFonts w:hint="eastAsia"/>
              </w:rPr>
              <w:t>安全生产费</w:t>
            </w:r>
          </w:p>
        </w:tc>
        <w:tc>
          <w:tcPr>
            <w:tcW w:w="1701" w:type="dxa"/>
            <w:vAlign w:val="center"/>
          </w:tcPr>
          <w:p>
            <w:pPr>
              <w:jc w:val="right"/>
              <w:rPr>
                <w:rFonts w:ascii="宋体" w:hAnsi="宋体"/>
              </w:rPr>
            </w:pPr>
            <w:r>
              <w:rPr>
                <w:rFonts w:ascii="宋体" w:hAnsi="宋体"/>
              </w:rPr>
              <w:t>1,639,731</w:t>
            </w:r>
          </w:p>
        </w:tc>
        <w:tc>
          <w:tcPr>
            <w:tcW w:w="1701" w:type="dxa"/>
            <w:vAlign w:val="center"/>
          </w:tcPr>
          <w:p>
            <w:pPr>
              <w:jc w:val="right"/>
              <w:rPr>
                <w:rFonts w:ascii="宋体" w:hAnsi="宋体"/>
              </w:rPr>
            </w:pPr>
            <w:r>
              <w:rPr>
                <w:rFonts w:ascii="宋体" w:hAnsi="宋体"/>
              </w:rPr>
              <w:t>3,571,521</w:t>
            </w:r>
          </w:p>
        </w:tc>
        <w:tc>
          <w:tcPr>
            <w:tcW w:w="1701" w:type="dxa"/>
            <w:vAlign w:val="center"/>
          </w:tcPr>
          <w:p>
            <w:pPr>
              <w:jc w:val="right"/>
              <w:rPr>
                <w:rFonts w:ascii="宋体" w:hAnsi="宋体"/>
              </w:rPr>
            </w:pPr>
            <w:r>
              <w:rPr>
                <w:rFonts w:ascii="宋体" w:hAnsi="宋体"/>
              </w:rPr>
              <w:t>3,455,063</w:t>
            </w:r>
          </w:p>
        </w:tc>
        <w:tc>
          <w:tcPr>
            <w:tcW w:w="1701" w:type="dxa"/>
            <w:vAlign w:val="center"/>
          </w:tcPr>
          <w:p>
            <w:pPr>
              <w:jc w:val="right"/>
              <w:rPr>
                <w:rFonts w:ascii="宋体" w:hAnsi="宋体"/>
              </w:rPr>
            </w:pPr>
            <w:r>
              <w:rPr>
                <w:rFonts w:ascii="宋体" w:hAnsi="宋体"/>
              </w:rPr>
              <w:t>1,756,189</w:t>
            </w:r>
          </w:p>
        </w:tc>
      </w:tr>
      <w:tr>
        <w:tc>
          <w:tcPr>
            <w:tcW w:w="1980" w:type="dxa"/>
          </w:tcPr>
          <w:p>
            <w:pPr>
              <w:pStyle w:val="Style217"/>
            </w:pPr>
            <w:r>
              <w:rPr>
                <w:rFonts w:hint="eastAsia"/>
              </w:rPr>
              <w:t>改革专项发展基金</w:t>
            </w:r>
          </w:p>
        </w:tc>
        <w:tc>
          <w:tcPr>
            <w:tcW w:w="1701" w:type="dxa"/>
            <w:vAlign w:val="center"/>
          </w:tcPr>
          <w:p>
            <w:pPr>
              <w:jc w:val="right"/>
              <w:rPr>
                <w:rFonts w:ascii="宋体" w:hAnsi="宋体"/>
              </w:rPr>
            </w:pPr>
            <w:r>
              <w:rPr>
                <w:rFonts w:ascii="宋体" w:hAnsi="宋体"/>
              </w:rPr>
              <w:t>611,513</w:t>
            </w:r>
          </w:p>
        </w:tc>
        <w:tc>
          <w:tcPr>
            <w:tcW w:w="1701" w:type="dxa"/>
            <w:vAlign w:val="center"/>
          </w:tcPr>
          <w:p>
            <w:pPr>
              <w:jc w:val="right"/>
              <w:rPr>
                <w:rFonts w:ascii="宋体" w:hAnsi="宋体"/>
              </w:rPr>
            </w:pPr>
          </w:p>
        </w:tc>
        <w:tc>
          <w:tcPr>
            <w:tcW w:w="1701"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611,513</w:t>
            </w:r>
          </w:p>
        </w:tc>
      </w:tr>
      <w:tr>
        <w:tc>
          <w:tcPr>
            <w:tcW w:w="1980" w:type="dxa"/>
          </w:tcPr>
          <w:p>
            <w:pPr>
              <w:pStyle w:val="Style217"/>
            </w:pPr>
            <w:r>
              <w:rPr>
                <w:rFonts w:hint="eastAsia"/>
              </w:rPr>
              <w:t>环境治理保证金</w:t>
            </w:r>
          </w:p>
        </w:tc>
        <w:tc>
          <w:tcPr>
            <w:tcW w:w="1701" w:type="dxa"/>
            <w:vAlign w:val="center"/>
          </w:tcPr>
          <w:p>
            <w:pPr>
              <w:jc w:val="right"/>
              <w:rPr>
                <w:rFonts w:ascii="宋体" w:hAnsi="宋体"/>
              </w:rPr>
            </w:pPr>
            <w:r>
              <w:rPr>
                <w:rFonts w:ascii="宋体" w:hAnsi="宋体"/>
              </w:rPr>
              <w:t>52,341</w:t>
            </w:r>
          </w:p>
        </w:tc>
        <w:tc>
          <w:tcPr>
            <w:tcW w:w="1701" w:type="dxa"/>
            <w:vAlign w:val="center"/>
          </w:tcPr>
          <w:p>
            <w:pPr>
              <w:jc w:val="right"/>
              <w:rPr>
                <w:rFonts w:ascii="宋体" w:hAnsi="宋体"/>
              </w:rPr>
            </w:pPr>
            <w:r>
              <w:rPr>
                <w:rFonts w:ascii="宋体" w:hAnsi="宋体"/>
              </w:rPr>
              <w:t>117</w:t>
            </w:r>
          </w:p>
        </w:tc>
        <w:tc>
          <w:tcPr>
            <w:tcW w:w="1701" w:type="dxa"/>
            <w:vAlign w:val="center"/>
          </w:tcPr>
          <w:p>
            <w:pPr>
              <w:jc w:val="right"/>
              <w:rPr>
                <w:rFonts w:ascii="宋体" w:hAnsi="宋体"/>
              </w:rPr>
            </w:pPr>
            <w:r>
              <w:rPr>
                <w:rFonts w:ascii="宋体" w:hAnsi="宋体"/>
              </w:rPr>
              <w:t>11,643</w:t>
            </w:r>
          </w:p>
        </w:tc>
        <w:tc>
          <w:tcPr>
            <w:tcW w:w="1701" w:type="dxa"/>
            <w:vAlign w:val="center"/>
          </w:tcPr>
          <w:p>
            <w:pPr>
              <w:jc w:val="right"/>
              <w:rPr>
                <w:rFonts w:ascii="宋体" w:hAnsi="宋体"/>
              </w:rPr>
            </w:pPr>
            <w:r>
              <w:rPr>
                <w:rFonts w:ascii="宋体" w:hAnsi="宋体"/>
              </w:rPr>
              <w:t>40,815</w:t>
            </w:r>
          </w:p>
        </w:tc>
      </w:tr>
      <w:tr>
        <w:tc>
          <w:tcPr>
            <w:tcW w:w="1980" w:type="dxa"/>
          </w:tcPr>
          <w:p>
            <w:pPr>
              <w:pStyle w:val="Style217"/>
            </w:pPr>
            <w:r>
              <w:rPr>
                <w:rFonts w:hint="eastAsia"/>
              </w:rPr>
              <w:t>维简费</w:t>
            </w:r>
          </w:p>
        </w:tc>
        <w:tc>
          <w:tcPr>
            <w:tcW w:w="1701" w:type="dxa"/>
            <w:vAlign w:val="center"/>
          </w:tcPr>
          <w:p>
            <w:pPr>
              <w:jc w:val="right"/>
              <w:rPr>
                <w:rFonts w:ascii="宋体" w:hAnsi="宋体"/>
              </w:rPr>
            </w:pPr>
            <w:r>
              <w:rPr>
                <w:rFonts w:ascii="宋体" w:hAnsi="宋体"/>
              </w:rPr>
              <w:t>534,325</w:t>
            </w:r>
          </w:p>
        </w:tc>
        <w:tc>
          <w:tcPr>
            <w:tcW w:w="1701" w:type="dxa"/>
            <w:vAlign w:val="center"/>
          </w:tcPr>
          <w:p>
            <w:pPr>
              <w:jc w:val="right"/>
              <w:rPr>
                <w:rFonts w:ascii="宋体" w:hAnsi="宋体"/>
              </w:rPr>
            </w:pPr>
            <w:r>
              <w:rPr>
                <w:rFonts w:ascii="宋体" w:hAnsi="宋体"/>
              </w:rPr>
              <w:t>877,677</w:t>
            </w:r>
          </w:p>
        </w:tc>
        <w:tc>
          <w:tcPr>
            <w:tcW w:w="1701" w:type="dxa"/>
            <w:vAlign w:val="center"/>
          </w:tcPr>
          <w:p>
            <w:pPr>
              <w:jc w:val="right"/>
              <w:rPr>
                <w:rFonts w:ascii="宋体" w:hAnsi="宋体"/>
              </w:rPr>
            </w:pPr>
            <w:r>
              <w:rPr>
                <w:rFonts w:ascii="宋体" w:hAnsi="宋体"/>
              </w:rPr>
              <w:t>1,016,212</w:t>
            </w:r>
          </w:p>
        </w:tc>
        <w:tc>
          <w:tcPr>
            <w:tcW w:w="1701" w:type="dxa"/>
            <w:vAlign w:val="center"/>
          </w:tcPr>
          <w:p>
            <w:pPr>
              <w:jc w:val="right"/>
              <w:rPr>
                <w:rFonts w:ascii="宋体" w:hAnsi="宋体"/>
              </w:rPr>
            </w:pPr>
            <w:r>
              <w:rPr>
                <w:rFonts w:ascii="宋体" w:hAnsi="宋体"/>
              </w:rPr>
              <w:t>395,790</w:t>
            </w:r>
          </w:p>
        </w:tc>
      </w:tr>
      <w:tr>
        <w:tc>
          <w:tcPr>
            <w:tcW w:w="1980" w:type="dxa"/>
          </w:tcPr>
          <w:p>
            <w:pPr>
              <w:pStyle w:val="Style217"/>
            </w:pPr>
            <w:r>
              <w:rPr>
                <w:rFonts w:hint="eastAsia"/>
              </w:rPr>
              <w:t>转产基金</w:t>
            </w:r>
          </w:p>
        </w:tc>
        <w:tc>
          <w:tcPr>
            <w:tcW w:w="1701" w:type="dxa"/>
            <w:vAlign w:val="center"/>
          </w:tcPr>
          <w:p>
            <w:pPr>
              <w:jc w:val="right"/>
              <w:rPr>
                <w:rFonts w:ascii="宋体" w:hAnsi="宋体"/>
              </w:rPr>
            </w:pPr>
            <w:r>
              <w:rPr>
                <w:rFonts w:ascii="宋体" w:hAnsi="宋体"/>
              </w:rPr>
              <w:t>46,611</w:t>
            </w:r>
          </w:p>
        </w:tc>
        <w:tc>
          <w:tcPr>
            <w:tcW w:w="1701" w:type="dxa"/>
            <w:vAlign w:val="center"/>
          </w:tcPr>
          <w:p>
            <w:pPr>
              <w:jc w:val="right"/>
              <w:rPr>
                <w:rFonts w:ascii="宋体" w:hAnsi="宋体"/>
              </w:rPr>
            </w:pPr>
            <w:r>
              <w:rPr>
                <w:rFonts w:ascii="宋体" w:hAnsi="宋体"/>
              </w:rPr>
              <w:t>4,859</w:t>
            </w:r>
          </w:p>
        </w:tc>
        <w:tc>
          <w:tcPr>
            <w:tcW w:w="1701"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51,470</w:t>
            </w:r>
          </w:p>
        </w:tc>
      </w:tr>
      <w:tr>
        <w:tc>
          <w:tcPr>
            <w:tcW w:w="1980" w:type="dxa"/>
          </w:tcPr>
          <w:p>
            <w:pPr>
              <w:pStyle w:val="Style217"/>
            </w:pPr>
            <w:r>
              <w:rPr>
                <w:rFonts w:hint="eastAsia"/>
              </w:rPr>
              <w:t>一般风险准备</w:t>
            </w:r>
          </w:p>
        </w:tc>
        <w:tc>
          <w:tcPr>
            <w:tcW w:w="1701" w:type="dxa"/>
            <w:vAlign w:val="center"/>
          </w:tcPr>
          <w:p>
            <w:pPr>
              <w:jc w:val="right"/>
              <w:rPr>
                <w:rFonts w:ascii="宋体" w:hAnsi="宋体"/>
              </w:rPr>
            </w:pPr>
            <w:r>
              <w:rPr>
                <w:rFonts w:ascii="宋体" w:hAnsi="宋体"/>
              </w:rPr>
              <w:t>409,449</w:t>
            </w:r>
          </w:p>
        </w:tc>
        <w:tc>
          <w:tcPr>
            <w:tcW w:w="1701" w:type="dxa"/>
            <w:vAlign w:val="center"/>
          </w:tcPr>
          <w:p>
            <w:pPr>
              <w:jc w:val="right"/>
              <w:rPr>
                <w:rFonts w:ascii="宋体" w:hAnsi="宋体"/>
              </w:rPr>
            </w:pPr>
          </w:p>
        </w:tc>
        <w:tc>
          <w:tcPr>
            <w:tcW w:w="1701" w:type="dxa"/>
            <w:vAlign w:val="center"/>
          </w:tcPr>
          <w:p>
            <w:pPr>
              <w:jc w:val="right"/>
              <w:rPr>
                <w:rFonts w:ascii="宋体" w:hAnsi="宋体"/>
              </w:rPr>
            </w:pPr>
          </w:p>
        </w:tc>
        <w:tc>
          <w:tcPr>
            <w:tcW w:w="1701" w:type="dxa"/>
            <w:vAlign w:val="center"/>
          </w:tcPr>
          <w:p>
            <w:pPr>
              <w:jc w:val="right"/>
              <w:rPr>
                <w:rFonts w:ascii="宋体" w:hAnsi="宋体"/>
              </w:rPr>
            </w:pPr>
            <w:r>
              <w:rPr>
                <w:rFonts w:ascii="宋体" w:hAnsi="宋体"/>
              </w:rPr>
              <w:t>409,449</w:t>
            </w:r>
          </w:p>
        </w:tc>
      </w:tr>
      <w:tr>
        <w:tc>
          <w:tcPr>
            <w:tcW w:w="1980" w:type="dxa"/>
            <w:vAlign w:val="center"/>
          </w:tcPr>
          <w:p>
            <w:pPr>
              <w:jc w:val="center"/>
            </w:pPr>
            <w:r>
              <w:rPr>
                <w:rFonts w:hint="eastAsia"/>
              </w:rPr>
              <w:t>合计</w:t>
            </w:r>
          </w:p>
        </w:tc>
        <w:tc>
          <w:tcPr>
            <w:tcW w:w="1701" w:type="dxa"/>
            <w:vAlign w:val="center"/>
          </w:tcPr>
          <w:p>
            <w:pPr>
              <w:jc w:val="right"/>
              <w:rPr>
                <w:rFonts w:ascii="宋体" w:hAnsi="宋体"/>
              </w:rPr>
            </w:pPr>
            <w:r>
              <w:rPr>
                <w:rFonts w:ascii="宋体" w:hAnsi="宋体"/>
              </w:rPr>
              <w:t>3,293,970</w:t>
            </w:r>
          </w:p>
        </w:tc>
        <w:tc>
          <w:tcPr>
            <w:tcW w:w="1701" w:type="dxa"/>
            <w:vAlign w:val="center"/>
          </w:tcPr>
          <w:p>
            <w:pPr>
              <w:jc w:val="right"/>
              <w:rPr>
                <w:rFonts w:ascii="宋体" w:hAnsi="宋体"/>
              </w:rPr>
            </w:pPr>
            <w:r>
              <w:rPr>
                <w:rFonts w:ascii="宋体" w:hAnsi="宋体"/>
              </w:rPr>
              <w:t>4,454,174</w:t>
            </w:r>
          </w:p>
        </w:tc>
        <w:tc>
          <w:tcPr>
            <w:tcW w:w="1701" w:type="dxa"/>
            <w:vAlign w:val="center"/>
          </w:tcPr>
          <w:p>
            <w:pPr>
              <w:jc w:val="right"/>
              <w:rPr>
                <w:rFonts w:ascii="宋体" w:hAnsi="宋体"/>
              </w:rPr>
            </w:pPr>
            <w:r>
              <w:rPr>
                <w:rFonts w:ascii="宋体" w:hAnsi="宋体"/>
              </w:rPr>
              <w:t>4,482,918</w:t>
            </w:r>
          </w:p>
        </w:tc>
        <w:tc>
          <w:tcPr>
            <w:tcW w:w="1701" w:type="dxa"/>
            <w:vAlign w:val="center"/>
          </w:tcPr>
          <w:p>
            <w:pPr>
              <w:jc w:val="right"/>
              <w:rPr>
                <w:rFonts w:ascii="宋体" w:hAnsi="宋体"/>
              </w:rPr>
            </w:pPr>
            <w:r>
              <w:rPr>
                <w:rFonts w:ascii="宋体" w:hAnsi="宋体"/>
              </w:rPr>
              <w:t>3,265,226</w:t>
            </w:r>
          </w:p>
        </w:tc>
      </w:tr>
    </w:tbl>
    <w:p>
      <w:pPr>
        <w:pStyle w:val="Style217"/>
      </w:pPr>
    </w:p>
    <w:p>
      <w:pPr>
        <w:pStyle w:val="Style178"/>
        <w:numPr>
          <w:ilvl w:val="0"/>
          <w:numId w:val="75"/>
        </w:numPr>
        <w:rPr>
          <w:szCs w:val="21"/>
        </w:rPr>
      </w:pPr>
      <w:r>
        <w:rPr>
          <w:szCs w:val="21"/>
        </w:rPr>
        <w:t>盈余公积</w:t>
      </w:r>
    </w:p>
    <w:sdt>
      <w:sdtPr>
        <w:alias w:val="是否适用：盈余公积[双击切换]"/>
        <w:tag w:val="_GBC_5a507b0ba3a44a2c828e4df049852353"/>
        <w:id w:val="126364537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盈余公积"/>
          <w:tag w:val="_GBC_8ca7c8f8d04e47ff92c33109bbf55576"/>
          <w:id w:val="7152373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盈余公积"/>
          <w:tag w:val="_GBC_24d833c69b8448ca876fbf8299519039"/>
          <w:id w:val="-561782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88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71"/>
        <w:gridCol w:w="1798"/>
        <w:gridCol w:w="1803"/>
        <w:gridCol w:w="1815"/>
        <w:gridCol w:w="1803"/>
      </w:tblGrid>
      <w:tr>
        <w:sdt>
          <w:sdtPr>
            <w:tag w:val="_PLD_448cc13fae91499a9f41c6e4c1f51937"/>
            <w:id w:val="768364112"/>
          </w:sdtPr>
          <w:sdtContent>
            <w:tc>
              <w:tcPr>
                <w:tcW w:w="1671" w:type="dxa"/>
                <w:vAlign w:val="center"/>
              </w:tcPr>
              <w:p>
                <w:pPr>
                  <w:autoSpaceDE w:val="0"/>
                  <w:autoSpaceDN w:val="0"/>
                  <w:adjustRightInd w:val="0"/>
                  <w:snapToGrid w:val="0"/>
                  <w:jc w:val="center"/>
                </w:pPr>
                <w:r>
                  <w:rPr>
                    <w:rFonts w:hint="eastAsia"/>
                  </w:rPr>
                  <w:t>项目</w:t>
                </w:r>
              </w:p>
            </w:tc>
          </w:sdtContent>
        </w:sdt>
        <w:sdt>
          <w:sdtPr>
            <w:tag w:val="_PLD_112a59f6ca7b4b5f8ced860f9465eb1a"/>
            <w:id w:val="-1731607550"/>
          </w:sdtPr>
          <w:sdtContent>
            <w:tc>
              <w:tcPr>
                <w:tcW w:w="1798" w:type="dxa"/>
                <w:vAlign w:val="center"/>
              </w:tcPr>
              <w:p>
                <w:pPr>
                  <w:autoSpaceDE w:val="0"/>
                  <w:autoSpaceDN w:val="0"/>
                  <w:adjustRightInd w:val="0"/>
                  <w:snapToGrid w:val="0"/>
                  <w:jc w:val="center"/>
                </w:pPr>
                <w:r>
                  <w:rPr>
                    <w:rFonts w:hint="eastAsia"/>
                  </w:rPr>
                  <w:t>期初余额</w:t>
                </w:r>
              </w:p>
            </w:tc>
          </w:sdtContent>
        </w:sdt>
        <w:sdt>
          <w:sdtPr>
            <w:tag w:val="_PLD_a2c4f4720dd7427b93c04e32666cfd69"/>
            <w:id w:val="-583451849"/>
          </w:sdtPr>
          <w:sdtContent>
            <w:tc>
              <w:tcPr>
                <w:tcW w:w="1803" w:type="dxa"/>
                <w:vAlign w:val="center"/>
              </w:tcPr>
              <w:p>
                <w:pPr>
                  <w:autoSpaceDE w:val="0"/>
                  <w:autoSpaceDN w:val="0"/>
                  <w:adjustRightInd w:val="0"/>
                  <w:snapToGrid w:val="0"/>
                  <w:jc w:val="center"/>
                </w:pPr>
                <w:r>
                  <w:rPr>
                    <w:rFonts w:hint="eastAsia"/>
                  </w:rPr>
                  <w:t>本期增加</w:t>
                </w:r>
              </w:p>
            </w:tc>
          </w:sdtContent>
        </w:sdt>
        <w:sdt>
          <w:sdtPr>
            <w:tag w:val="_PLD_ad1876bb4d7c41eaa003da876ae9e601"/>
            <w:id w:val="283786872"/>
          </w:sdtPr>
          <w:sdtContent>
            <w:tc>
              <w:tcPr>
                <w:tcW w:w="1815" w:type="dxa"/>
                <w:vAlign w:val="center"/>
              </w:tcPr>
              <w:p>
                <w:pPr>
                  <w:autoSpaceDE w:val="0"/>
                  <w:autoSpaceDN w:val="0"/>
                  <w:adjustRightInd w:val="0"/>
                  <w:snapToGrid w:val="0"/>
                  <w:jc w:val="center"/>
                </w:pPr>
                <w:r>
                  <w:rPr>
                    <w:rFonts w:hint="eastAsia"/>
                  </w:rPr>
                  <w:t>本期减少</w:t>
                </w:r>
              </w:p>
            </w:tc>
          </w:sdtContent>
        </w:sdt>
        <w:sdt>
          <w:sdtPr>
            <w:tag w:val="_PLD_45d6cc2a2d2140619579c3f035df8d6a"/>
            <w:id w:val="-986694842"/>
          </w:sdtPr>
          <w:sdtContent>
            <w:tc>
              <w:tcPr>
                <w:tcW w:w="1803" w:type="dxa"/>
                <w:vAlign w:val="center"/>
              </w:tcPr>
              <w:p>
                <w:pPr>
                  <w:autoSpaceDE w:val="0"/>
                  <w:autoSpaceDN w:val="0"/>
                  <w:adjustRightInd w:val="0"/>
                  <w:snapToGrid w:val="0"/>
                  <w:jc w:val="center"/>
                </w:pPr>
                <w:r>
                  <w:rPr>
                    <w:rFonts w:hint="eastAsia"/>
                  </w:rPr>
                  <w:t>期末余额</w:t>
                </w:r>
              </w:p>
            </w:tc>
          </w:sdtContent>
        </w:sdt>
      </w:tr>
      <w:tr>
        <w:tc>
          <w:tcPr>
            <w:tcW w:w="1671" w:type="dxa"/>
            <w:vAlign w:val="center"/>
          </w:tcPr>
          <w:p>
            <w:pPr>
              <w:autoSpaceDE w:val="0"/>
              <w:autoSpaceDN w:val="0"/>
              <w:adjustRightInd w:val="0"/>
              <w:snapToGrid w:val="0"/>
              <w:jc w:val="both"/>
            </w:pPr>
            <w:r>
              <w:rPr>
                <w:rFonts w:hint="eastAsia"/>
              </w:rPr>
              <w:t>法定盈余公积</w:t>
            </w:r>
          </w:p>
        </w:tc>
        <w:tc>
          <w:tcPr>
            <w:tcW w:w="1798" w:type="dxa"/>
            <w:vAlign w:val="center"/>
          </w:tcPr>
          <w:p>
            <w:pPr>
              <w:autoSpaceDE w:val="0"/>
              <w:autoSpaceDN w:val="0"/>
              <w:adjustRightInd w:val="0"/>
              <w:snapToGrid w:val="0"/>
              <w:ind w:right="180"/>
              <w:jc w:val="right"/>
              <w:rPr>
                <w:rFonts w:ascii="宋体" w:hAnsi="宋体"/>
              </w:rPr>
            </w:pPr>
            <w:r>
              <w:rPr>
                <w:rFonts w:ascii="宋体" w:hAnsi="宋体"/>
              </w:rPr>
              <w:t>2,841,392</w:t>
            </w:r>
          </w:p>
        </w:tc>
        <w:tc>
          <w:tcPr>
            <w:tcW w:w="1803" w:type="dxa"/>
            <w:vAlign w:val="center"/>
          </w:tcPr>
          <w:p>
            <w:pPr>
              <w:autoSpaceDE w:val="0"/>
              <w:autoSpaceDN w:val="0"/>
              <w:adjustRightInd w:val="0"/>
              <w:snapToGrid w:val="0"/>
              <w:ind w:right="180"/>
              <w:jc w:val="right"/>
              <w:rPr>
                <w:rFonts w:ascii="宋体" w:hAnsi="宋体"/>
              </w:rPr>
            </w:pPr>
            <w:r>
              <w:rPr>
                <w:rFonts w:ascii="宋体" w:hAnsi="宋体"/>
              </w:rPr>
              <w:t>554,453</w:t>
            </w:r>
          </w:p>
        </w:tc>
        <w:tc>
          <w:tcPr>
            <w:tcW w:w="1815" w:type="dxa"/>
            <w:vAlign w:val="center"/>
          </w:tcPr>
          <w:p>
            <w:pPr>
              <w:autoSpaceDE w:val="0"/>
              <w:autoSpaceDN w:val="0"/>
              <w:adjustRightInd w:val="0"/>
              <w:snapToGrid w:val="0"/>
              <w:ind w:right="180"/>
              <w:jc w:val="right"/>
              <w:rPr>
                <w:rFonts w:ascii="宋体" w:hAnsi="宋体"/>
              </w:rPr>
            </w:pPr>
            <w:r>
              <w:rPr>
                <w:rFonts w:ascii="宋体" w:hAnsi="宋体"/>
              </w:rPr>
              <w:t>2,841,392</w:t>
            </w:r>
          </w:p>
        </w:tc>
        <w:tc>
          <w:tcPr>
            <w:tcW w:w="1803" w:type="dxa"/>
            <w:vAlign w:val="center"/>
          </w:tcPr>
          <w:p>
            <w:pPr>
              <w:autoSpaceDE w:val="0"/>
              <w:autoSpaceDN w:val="0"/>
              <w:adjustRightInd w:val="0"/>
              <w:snapToGrid w:val="0"/>
              <w:ind w:right="180"/>
              <w:jc w:val="right"/>
              <w:rPr>
                <w:rFonts w:ascii="宋体" w:hAnsi="宋体"/>
              </w:rPr>
            </w:pPr>
            <w:r>
              <w:rPr>
                <w:rFonts w:ascii="宋体" w:hAnsi="宋体"/>
              </w:rPr>
              <w:t>554,453</w:t>
            </w:r>
          </w:p>
        </w:tc>
      </w:tr>
      <w:tr>
        <w:tc>
          <w:tcPr>
            <w:tcW w:w="1671" w:type="dxa"/>
            <w:vAlign w:val="center"/>
          </w:tcPr>
          <w:p>
            <w:pPr>
              <w:autoSpaceDE w:val="0"/>
              <w:autoSpaceDN w:val="0"/>
              <w:adjustRightInd w:val="0"/>
              <w:snapToGrid w:val="0"/>
              <w:jc w:val="center"/>
            </w:pPr>
            <w:r>
              <w:rPr>
                <w:rFonts w:hint="eastAsia"/>
              </w:rPr>
              <w:t>合计</w:t>
            </w:r>
          </w:p>
        </w:tc>
        <w:tc>
          <w:tcPr>
            <w:tcW w:w="1798" w:type="dxa"/>
            <w:vAlign w:val="center"/>
          </w:tcPr>
          <w:p>
            <w:pPr>
              <w:autoSpaceDE w:val="0"/>
              <w:autoSpaceDN w:val="0"/>
              <w:adjustRightInd w:val="0"/>
              <w:snapToGrid w:val="0"/>
              <w:ind w:right="180"/>
              <w:jc w:val="right"/>
              <w:rPr>
                <w:rFonts w:ascii="宋体" w:hAnsi="宋体"/>
              </w:rPr>
            </w:pPr>
            <w:r>
              <w:rPr>
                <w:rFonts w:ascii="宋体" w:hAnsi="宋体"/>
              </w:rPr>
              <w:t>2,841,392</w:t>
            </w:r>
          </w:p>
        </w:tc>
        <w:tc>
          <w:tcPr>
            <w:tcW w:w="1803" w:type="dxa"/>
            <w:vAlign w:val="center"/>
          </w:tcPr>
          <w:p>
            <w:pPr>
              <w:autoSpaceDE w:val="0"/>
              <w:autoSpaceDN w:val="0"/>
              <w:adjustRightInd w:val="0"/>
              <w:snapToGrid w:val="0"/>
              <w:ind w:right="180"/>
              <w:jc w:val="right"/>
              <w:rPr>
                <w:rFonts w:ascii="宋体" w:hAnsi="宋体"/>
              </w:rPr>
            </w:pPr>
            <w:r>
              <w:rPr>
                <w:rFonts w:ascii="宋体" w:hAnsi="宋体"/>
              </w:rPr>
              <w:t>554,453</w:t>
            </w:r>
          </w:p>
        </w:tc>
        <w:tc>
          <w:tcPr>
            <w:tcW w:w="1815" w:type="dxa"/>
            <w:vAlign w:val="center"/>
          </w:tcPr>
          <w:p>
            <w:pPr>
              <w:autoSpaceDE w:val="0"/>
              <w:autoSpaceDN w:val="0"/>
              <w:adjustRightInd w:val="0"/>
              <w:snapToGrid w:val="0"/>
              <w:ind w:right="180"/>
              <w:jc w:val="right"/>
              <w:rPr>
                <w:rFonts w:ascii="宋体" w:hAnsi="宋体"/>
              </w:rPr>
            </w:pPr>
            <w:r>
              <w:rPr>
                <w:rFonts w:ascii="宋体" w:hAnsi="宋体"/>
              </w:rPr>
              <w:t>2,841,392</w:t>
            </w:r>
          </w:p>
        </w:tc>
        <w:tc>
          <w:tcPr>
            <w:tcW w:w="1803" w:type="dxa"/>
            <w:vAlign w:val="center"/>
          </w:tcPr>
          <w:p>
            <w:pPr>
              <w:autoSpaceDE w:val="0"/>
              <w:autoSpaceDN w:val="0"/>
              <w:adjustRightInd w:val="0"/>
              <w:snapToGrid w:val="0"/>
              <w:ind w:right="180"/>
              <w:jc w:val="right"/>
              <w:rPr>
                <w:rFonts w:ascii="宋体" w:hAnsi="宋体"/>
              </w:rPr>
            </w:pPr>
            <w:r>
              <w:rPr>
                <w:rFonts w:ascii="宋体" w:hAnsi="宋体"/>
              </w:rPr>
              <w:t>554,453</w:t>
            </w:r>
          </w:p>
        </w:tc>
      </w:tr>
    </w:tbl>
    <w:p>
      <w:pPr>
        <w:spacing w:line="360" w:lineRule="exact"/>
        <w:ind w:firstLineChars="200" w:firstLine="420"/>
        <w:rPr>
          <w:rFonts w:asciiTheme="minorEastAsia" w:eastAsiaTheme="minorEastAsia" w:hAnsiTheme="minorEastAsia"/>
        </w:rPr>
      </w:pPr>
      <w:r>
        <w:rPr>
          <w:rFonts w:asciiTheme="minorEastAsia" w:eastAsiaTheme="minorEastAsia" w:hAnsiTheme="minorEastAsia" w:hint="eastAsia"/>
        </w:rPr>
        <w:lastRenderedPageBreak/>
        <w:t>注1：本期盈余公积增加系根据母公司当期实现净利润按 10% 比例计提法定盈余公积形成；本期盈余公积减少主要因同一控制下企业合并西北矿业，按准则规定冲减盈余公积所致。</w:t>
      </w:r>
    </w:p>
    <w:p>
      <w:pPr>
        <w:autoSpaceDE w:val="0"/>
        <w:autoSpaceDN w:val="0"/>
        <w:adjustRightInd w:val="0"/>
        <w:rPr>
          <w:color w:val="000000" w:themeColor="text1"/>
        </w:rPr>
      </w:pPr>
    </w:p>
    <w:p>
      <w:pPr>
        <w:pStyle w:val="Style178"/>
        <w:numPr>
          <w:ilvl w:val="0"/>
          <w:numId w:val="75"/>
        </w:numPr>
        <w:rPr>
          <w:szCs w:val="21"/>
        </w:rPr>
      </w:pPr>
      <w:r>
        <w:rPr>
          <w:szCs w:val="21"/>
        </w:rPr>
        <w:t>未分配利润</w:t>
      </w:r>
    </w:p>
    <w:p>
      <w:pPr>
        <w:pStyle w:val="Style217"/>
      </w:pPr>
      <w:sdt>
        <w:sdtPr>
          <w:alias w:val="是否适用：未分配利润[双击切换]"/>
          <w:tag w:val="_GBC_0ccb002da9b649db91afd1ca2a9330f8"/>
          <w:id w:val="1310055525"/>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分配利润"/>
          <w:tag w:val="_GBC_fc12fabcd66949d39f6f74b747284465"/>
          <w:id w:val="19163600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未分配利润"/>
          <w:tag w:val="_GBC_7b3accd97aa744c08d773ec06b05684e"/>
          <w:id w:val="14912191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91"/>
        <w:gridCol w:w="2826"/>
        <w:gridCol w:w="2739"/>
      </w:tblGrid>
      <w:tr>
        <w:trPr>
          <w:cantSplit/>
        </w:trPr>
        <w:sdt>
          <w:sdtPr>
            <w:tag w:val="_PLD_30da0a90f08b46f090b6fee887a691bc"/>
            <w:id w:val="1178549652"/>
          </w:sdtPr>
          <w:sdtContent>
            <w:tc>
              <w:tcPr>
                <w:tcW w:w="3491" w:type="dxa"/>
                <w:vAlign w:val="center"/>
              </w:tcPr>
              <w:p>
                <w:pPr>
                  <w:jc w:val="center"/>
                </w:pPr>
                <w:r>
                  <w:rPr>
                    <w:rFonts w:hint="eastAsia"/>
                  </w:rPr>
                  <w:t>项目</w:t>
                </w:r>
              </w:p>
            </w:tc>
          </w:sdtContent>
        </w:sdt>
        <w:sdt>
          <w:sdtPr>
            <w:tag w:val="_PLD_27c0ff4064964dc5b9e335151d04b603"/>
            <w:id w:val="-1400589570"/>
          </w:sdtPr>
          <w:sdtContent>
            <w:tc>
              <w:tcPr>
                <w:tcW w:w="2826" w:type="dxa"/>
                <w:vAlign w:val="center"/>
              </w:tcPr>
              <w:p>
                <w:pPr>
                  <w:jc w:val="center"/>
                </w:pPr>
                <w:r>
                  <w:rPr>
                    <w:rFonts w:hint="eastAsia"/>
                  </w:rPr>
                  <w:t>本期</w:t>
                </w:r>
              </w:p>
            </w:tc>
          </w:sdtContent>
        </w:sdt>
        <w:sdt>
          <w:sdtPr>
            <w:tag w:val="_PLD_613460741a0147b7be8212812793694e"/>
            <w:id w:val="638842862"/>
          </w:sdtPr>
          <w:sdtContent>
            <w:tc>
              <w:tcPr>
                <w:tcW w:w="2739" w:type="dxa"/>
                <w:vAlign w:val="center"/>
              </w:tcPr>
              <w:p>
                <w:pPr>
                  <w:jc w:val="center"/>
                </w:pPr>
                <w:r>
                  <w:rPr>
                    <w:rFonts w:hint="eastAsia"/>
                  </w:rPr>
                  <w:t>上期</w:t>
                </w:r>
              </w:p>
            </w:tc>
          </w:sdtContent>
        </w:sdt>
      </w:tr>
      <w:tr>
        <w:trPr>
          <w:cantSplit/>
        </w:trPr>
        <w:tc>
          <w:tcPr>
            <w:tcW w:w="3491" w:type="dxa"/>
            <w:vAlign w:val="center"/>
          </w:tcPr>
          <w:p>
            <w:pPr>
              <w:pStyle w:val="Style217"/>
            </w:pPr>
            <w:r>
              <w:rPr>
                <w:rFonts w:hint="eastAsia"/>
              </w:rPr>
              <w:t>调整前上期末未分配利润</w:t>
            </w:r>
          </w:p>
        </w:tc>
        <w:tc>
          <w:tcPr>
            <w:tcW w:w="2826" w:type="dxa"/>
            <w:vAlign w:val="center"/>
          </w:tcPr>
          <w:p>
            <w:pPr>
              <w:ind w:right="6"/>
              <w:jc w:val="right"/>
              <w:rPr>
                <w:rFonts w:ascii="宋体" w:hAnsi="宋体"/>
              </w:rPr>
            </w:pPr>
            <w:r>
              <w:rPr>
                <w:rFonts w:ascii="宋体" w:hAnsi="宋体"/>
              </w:rPr>
              <w:t>48,718,377</w:t>
            </w:r>
          </w:p>
        </w:tc>
        <w:tc>
          <w:tcPr>
            <w:tcW w:w="2739" w:type="dxa"/>
            <w:vAlign w:val="center"/>
          </w:tcPr>
          <w:p>
            <w:pPr>
              <w:jc w:val="right"/>
              <w:rPr>
                <w:rFonts w:ascii="宋体" w:hAnsi="宋体"/>
              </w:rPr>
            </w:pPr>
            <w:r>
              <w:rPr>
                <w:rFonts w:ascii="宋体" w:hAnsi="宋体"/>
              </w:rPr>
              <w:t>50,289,076</w:t>
            </w:r>
          </w:p>
        </w:tc>
      </w:tr>
      <w:tr>
        <w:trPr>
          <w:cantSplit/>
        </w:trPr>
        <w:tc>
          <w:tcPr>
            <w:tcW w:w="3491" w:type="dxa"/>
            <w:vAlign w:val="center"/>
          </w:tcPr>
          <w:p>
            <w:pPr>
              <w:pStyle w:val="Style217"/>
            </w:pPr>
            <w:r>
              <w:rPr>
                <w:rFonts w:hint="eastAsia"/>
              </w:rPr>
              <w:t>调整期初未分配利润合计数（调增</w:t>
            </w:r>
            <w:r>
              <w:t>+</w:t>
            </w:r>
            <w:r>
              <w:rPr>
                <w:rFonts w:hint="eastAsia"/>
              </w:rPr>
              <w:t>，调减－）</w:t>
            </w:r>
          </w:p>
        </w:tc>
        <w:tc>
          <w:tcPr>
            <w:tcW w:w="2826" w:type="dxa"/>
            <w:vAlign w:val="center"/>
          </w:tcPr>
          <w:p>
            <w:pPr>
              <w:ind w:right="6"/>
              <w:jc w:val="right"/>
              <w:rPr>
                <w:rFonts w:ascii="宋体" w:hAnsi="宋体"/>
              </w:rPr>
            </w:pPr>
          </w:p>
        </w:tc>
        <w:tc>
          <w:tcPr>
            <w:tcW w:w="2739" w:type="dxa"/>
            <w:vAlign w:val="center"/>
          </w:tcPr>
          <w:p>
            <w:pPr>
              <w:ind w:right="6"/>
              <w:jc w:val="right"/>
              <w:rPr>
                <w:rFonts w:ascii="宋体" w:hAnsi="宋体"/>
              </w:rPr>
            </w:pPr>
            <w:r>
              <w:rPr>
                <w:rFonts w:ascii="宋体" w:hAnsi="宋体"/>
              </w:rPr>
              <w:t>1,025,734</w:t>
            </w:r>
          </w:p>
        </w:tc>
      </w:tr>
      <w:tr>
        <w:trPr>
          <w:cantSplit/>
        </w:trPr>
        <w:tc>
          <w:tcPr>
            <w:tcW w:w="3491" w:type="dxa"/>
            <w:vAlign w:val="center"/>
          </w:tcPr>
          <w:p>
            <w:pPr>
              <w:ind w:firstLineChars="100" w:firstLine="210"/>
            </w:pPr>
            <w:r>
              <w:rPr>
                <w:rFonts w:hint="eastAsia"/>
              </w:rPr>
              <w:t>其中：《企业会计准则》及相关新规定追溯调整</w:t>
            </w:r>
          </w:p>
        </w:tc>
        <w:tc>
          <w:tcPr>
            <w:tcW w:w="2826" w:type="dxa"/>
            <w:vAlign w:val="center"/>
          </w:tcPr>
          <w:p>
            <w:pPr>
              <w:ind w:right="6"/>
              <w:jc w:val="right"/>
              <w:rPr>
                <w:rFonts w:ascii="宋体" w:hAnsi="宋体"/>
              </w:rPr>
            </w:pPr>
          </w:p>
        </w:tc>
        <w:tc>
          <w:tcPr>
            <w:tcW w:w="2739" w:type="dxa"/>
            <w:vAlign w:val="center"/>
          </w:tcPr>
          <w:p>
            <w:pPr>
              <w:ind w:right="6"/>
              <w:jc w:val="right"/>
              <w:rPr>
                <w:rFonts w:ascii="宋体" w:hAnsi="宋体"/>
              </w:rPr>
            </w:pPr>
          </w:p>
        </w:tc>
      </w:tr>
      <w:tr>
        <w:trPr>
          <w:cantSplit/>
        </w:trPr>
        <w:tc>
          <w:tcPr>
            <w:tcW w:w="3491" w:type="dxa"/>
          </w:tcPr>
          <w:p>
            <w:pPr>
              <w:pStyle w:val="Style217"/>
            </w:pPr>
            <w:r>
              <w:rPr>
                <w:rFonts w:hint="eastAsia"/>
              </w:rPr>
              <w:t>会计政策变更</w:t>
            </w:r>
          </w:p>
        </w:tc>
        <w:tc>
          <w:tcPr>
            <w:tcW w:w="2826" w:type="dxa"/>
            <w:vAlign w:val="center"/>
          </w:tcPr>
          <w:p>
            <w:pPr>
              <w:ind w:right="6"/>
              <w:jc w:val="right"/>
              <w:rPr>
                <w:rFonts w:ascii="宋体" w:hAnsi="宋体"/>
              </w:rPr>
            </w:pPr>
          </w:p>
        </w:tc>
        <w:tc>
          <w:tcPr>
            <w:tcW w:w="2739" w:type="dxa"/>
            <w:vAlign w:val="center"/>
          </w:tcPr>
          <w:p>
            <w:pPr>
              <w:ind w:right="6"/>
              <w:jc w:val="right"/>
              <w:rPr>
                <w:rFonts w:ascii="宋体" w:hAnsi="宋体"/>
              </w:rPr>
            </w:pPr>
          </w:p>
        </w:tc>
      </w:tr>
      <w:tr>
        <w:trPr>
          <w:cantSplit/>
        </w:trPr>
        <w:tc>
          <w:tcPr>
            <w:tcW w:w="3491" w:type="dxa"/>
          </w:tcPr>
          <w:p>
            <w:pPr>
              <w:pStyle w:val="Style217"/>
            </w:pPr>
            <w:r>
              <w:rPr>
                <w:rFonts w:hint="eastAsia"/>
              </w:rPr>
              <w:t>重大前期差错更正</w:t>
            </w:r>
          </w:p>
        </w:tc>
        <w:tc>
          <w:tcPr>
            <w:tcW w:w="2826" w:type="dxa"/>
            <w:vAlign w:val="center"/>
          </w:tcPr>
          <w:p>
            <w:pPr>
              <w:ind w:right="6"/>
              <w:jc w:val="right"/>
              <w:rPr>
                <w:rFonts w:ascii="宋体" w:hAnsi="宋体"/>
              </w:rPr>
            </w:pPr>
          </w:p>
        </w:tc>
        <w:tc>
          <w:tcPr>
            <w:tcW w:w="2739" w:type="dxa"/>
            <w:vAlign w:val="center"/>
          </w:tcPr>
          <w:p>
            <w:pPr>
              <w:ind w:right="6"/>
              <w:jc w:val="right"/>
              <w:rPr>
                <w:rFonts w:ascii="宋体" w:hAnsi="宋体"/>
              </w:rPr>
            </w:pPr>
          </w:p>
        </w:tc>
      </w:tr>
      <w:tr>
        <w:trPr>
          <w:cantSplit/>
        </w:trPr>
        <w:tc>
          <w:tcPr>
            <w:tcW w:w="3491" w:type="dxa"/>
          </w:tcPr>
          <w:p>
            <w:pPr>
              <w:pStyle w:val="Style217"/>
            </w:pPr>
            <w:r>
              <w:rPr>
                <w:rFonts w:hint="eastAsia"/>
              </w:rPr>
              <w:t>同一控制合并范围变更</w:t>
            </w:r>
          </w:p>
        </w:tc>
        <w:tc>
          <w:tcPr>
            <w:tcW w:w="2826" w:type="dxa"/>
            <w:vAlign w:val="center"/>
          </w:tcPr>
          <w:p>
            <w:pPr>
              <w:ind w:right="6"/>
              <w:jc w:val="right"/>
              <w:rPr>
                <w:rFonts w:ascii="宋体" w:hAnsi="宋体"/>
              </w:rPr>
            </w:pPr>
          </w:p>
        </w:tc>
        <w:tc>
          <w:tcPr>
            <w:tcW w:w="2739" w:type="dxa"/>
            <w:vAlign w:val="center"/>
          </w:tcPr>
          <w:p>
            <w:pPr>
              <w:ind w:right="6"/>
              <w:jc w:val="right"/>
              <w:rPr>
                <w:rFonts w:ascii="宋体" w:hAnsi="宋体"/>
              </w:rPr>
            </w:pPr>
            <w:r>
              <w:rPr>
                <w:rFonts w:ascii="宋体" w:hAnsi="宋体"/>
              </w:rPr>
              <w:t>1,025,734</w:t>
            </w:r>
          </w:p>
        </w:tc>
      </w:tr>
      <w:tr>
        <w:trPr>
          <w:cantSplit/>
        </w:trPr>
        <w:tc>
          <w:tcPr>
            <w:tcW w:w="3491" w:type="dxa"/>
          </w:tcPr>
          <w:p>
            <w:pPr>
              <w:pStyle w:val="Style217"/>
            </w:pPr>
            <w:r>
              <w:rPr>
                <w:rFonts w:hint="eastAsia"/>
              </w:rPr>
              <w:t>其他调整因素</w:t>
            </w:r>
          </w:p>
        </w:tc>
        <w:tc>
          <w:tcPr>
            <w:tcW w:w="2826" w:type="dxa"/>
            <w:vAlign w:val="center"/>
          </w:tcPr>
          <w:p>
            <w:pPr>
              <w:ind w:right="6"/>
              <w:jc w:val="right"/>
              <w:rPr>
                <w:rFonts w:ascii="宋体" w:hAnsi="宋体"/>
              </w:rPr>
            </w:pPr>
          </w:p>
        </w:tc>
        <w:tc>
          <w:tcPr>
            <w:tcW w:w="2739" w:type="dxa"/>
            <w:vAlign w:val="center"/>
          </w:tcPr>
          <w:p>
            <w:pPr>
              <w:ind w:right="6"/>
              <w:jc w:val="right"/>
              <w:rPr>
                <w:rFonts w:ascii="宋体" w:hAnsi="宋体"/>
              </w:rPr>
            </w:pPr>
          </w:p>
        </w:tc>
      </w:tr>
      <w:tr>
        <w:trPr>
          <w:cantSplit/>
        </w:trPr>
        <w:tc>
          <w:tcPr>
            <w:tcW w:w="3491" w:type="dxa"/>
            <w:vAlign w:val="center"/>
          </w:tcPr>
          <w:p>
            <w:pPr>
              <w:pStyle w:val="Style217"/>
            </w:pPr>
            <w:r>
              <w:rPr>
                <w:rFonts w:hint="eastAsia"/>
              </w:rPr>
              <w:t>调整后期初未分配利润</w:t>
            </w:r>
          </w:p>
        </w:tc>
        <w:tc>
          <w:tcPr>
            <w:tcW w:w="2826" w:type="dxa"/>
            <w:vAlign w:val="center"/>
          </w:tcPr>
          <w:p>
            <w:pPr>
              <w:ind w:right="6"/>
              <w:jc w:val="right"/>
              <w:rPr>
                <w:rFonts w:ascii="宋体" w:hAnsi="宋体"/>
              </w:rPr>
            </w:pPr>
            <w:r>
              <w:rPr>
                <w:rFonts w:ascii="宋体" w:hAnsi="宋体"/>
              </w:rPr>
              <w:t>48,718,377</w:t>
            </w:r>
          </w:p>
        </w:tc>
        <w:tc>
          <w:tcPr>
            <w:tcW w:w="2739" w:type="dxa"/>
            <w:vAlign w:val="center"/>
          </w:tcPr>
          <w:p>
            <w:pPr>
              <w:ind w:right="6"/>
              <w:jc w:val="right"/>
              <w:rPr>
                <w:rFonts w:ascii="宋体" w:hAnsi="宋体"/>
              </w:rPr>
            </w:pPr>
            <w:r>
              <w:rPr>
                <w:rFonts w:ascii="宋体" w:hAnsi="宋体"/>
              </w:rPr>
              <w:t>51,314,810</w:t>
            </w:r>
          </w:p>
        </w:tc>
      </w:tr>
      <w:tr>
        <w:trPr>
          <w:cantSplit/>
        </w:trPr>
        <w:tc>
          <w:tcPr>
            <w:tcW w:w="3491" w:type="dxa"/>
            <w:vAlign w:val="center"/>
          </w:tcPr>
          <w:p>
            <w:pPr>
              <w:ind w:right="6"/>
            </w:pPr>
            <w:r>
              <w:rPr>
                <w:rFonts w:hint="eastAsia"/>
              </w:rPr>
              <w:t>加：本期归属于母公司所有者的净利润</w:t>
            </w:r>
          </w:p>
        </w:tc>
        <w:tc>
          <w:tcPr>
            <w:tcW w:w="2826" w:type="dxa"/>
            <w:vAlign w:val="center"/>
          </w:tcPr>
          <w:p>
            <w:pPr>
              <w:ind w:right="6"/>
              <w:jc w:val="right"/>
              <w:rPr>
                <w:rFonts w:ascii="宋体" w:hAnsi="宋体"/>
              </w:rPr>
            </w:pPr>
            <w:r>
              <w:rPr>
                <w:rFonts w:ascii="宋体" w:hAnsi="宋体"/>
              </w:rPr>
              <w:t>8,380,948</w:t>
            </w:r>
          </w:p>
        </w:tc>
        <w:tc>
          <w:tcPr>
            <w:tcW w:w="2739" w:type="dxa"/>
            <w:vAlign w:val="center"/>
          </w:tcPr>
          <w:p>
            <w:pPr>
              <w:ind w:right="6"/>
              <w:jc w:val="right"/>
              <w:rPr>
                <w:rFonts w:ascii="宋体" w:hAnsi="宋体"/>
              </w:rPr>
            </w:pPr>
            <w:r>
              <w:rPr>
                <w:rFonts w:ascii="宋体" w:hAnsi="宋体"/>
              </w:rPr>
              <w:t>14,862,943</w:t>
            </w:r>
          </w:p>
        </w:tc>
      </w:tr>
      <w:tr>
        <w:trPr>
          <w:cantSplit/>
        </w:trPr>
        <w:tc>
          <w:tcPr>
            <w:tcW w:w="3491" w:type="dxa"/>
            <w:vAlign w:val="center"/>
          </w:tcPr>
          <w:p>
            <w:pPr>
              <w:autoSpaceDE w:val="0"/>
              <w:autoSpaceDN w:val="0"/>
              <w:adjustRightInd w:val="0"/>
            </w:pPr>
            <w:r>
              <w:rPr>
                <w:rFonts w:hint="eastAsia"/>
              </w:rPr>
              <w:t>减：提取法定盈余公积</w:t>
            </w:r>
          </w:p>
        </w:tc>
        <w:tc>
          <w:tcPr>
            <w:tcW w:w="2826" w:type="dxa"/>
            <w:vAlign w:val="center"/>
          </w:tcPr>
          <w:p>
            <w:pPr>
              <w:jc w:val="right"/>
              <w:rPr>
                <w:rFonts w:ascii="宋体" w:hAnsi="宋体"/>
              </w:rPr>
            </w:pPr>
            <w:r>
              <w:rPr>
                <w:rFonts w:ascii="宋体" w:hAnsi="宋体"/>
              </w:rPr>
              <w:t>554,453</w:t>
            </w:r>
          </w:p>
        </w:tc>
        <w:tc>
          <w:tcPr>
            <w:tcW w:w="2739" w:type="dxa"/>
            <w:vAlign w:val="center"/>
          </w:tcPr>
          <w:p>
            <w:pPr>
              <w:ind w:right="6"/>
              <w:jc w:val="right"/>
              <w:rPr>
                <w:rFonts w:ascii="宋体" w:hAnsi="宋体"/>
              </w:rPr>
            </w:pPr>
            <w:r>
              <w:rPr>
                <w:rFonts w:ascii="宋体" w:hAnsi="宋体"/>
              </w:rPr>
              <w:t>1,177,577</w:t>
            </w:r>
          </w:p>
        </w:tc>
      </w:tr>
      <w:tr>
        <w:trPr>
          <w:cantSplit/>
        </w:trPr>
        <w:tc>
          <w:tcPr>
            <w:tcW w:w="3491" w:type="dxa"/>
            <w:vAlign w:val="center"/>
          </w:tcPr>
          <w:p>
            <w:pPr>
              <w:autoSpaceDE w:val="0"/>
              <w:autoSpaceDN w:val="0"/>
              <w:adjustRightInd w:val="0"/>
              <w:ind w:firstLine="420"/>
            </w:pPr>
            <w:r>
              <w:rPr>
                <w:rFonts w:hint="eastAsia"/>
              </w:rPr>
              <w:t>提取任意盈余公积</w:t>
            </w:r>
          </w:p>
        </w:tc>
        <w:tc>
          <w:tcPr>
            <w:tcW w:w="2826" w:type="dxa"/>
            <w:vAlign w:val="center"/>
          </w:tcPr>
          <w:p>
            <w:pPr>
              <w:jc w:val="right"/>
              <w:rPr>
                <w:rFonts w:ascii="宋体" w:hAnsi="宋体"/>
              </w:rPr>
            </w:pPr>
          </w:p>
        </w:tc>
        <w:tc>
          <w:tcPr>
            <w:tcW w:w="2739" w:type="dxa"/>
            <w:vAlign w:val="center"/>
          </w:tcPr>
          <w:p>
            <w:pPr>
              <w:ind w:right="6"/>
              <w:jc w:val="right"/>
              <w:rPr>
                <w:rFonts w:ascii="宋体" w:hAnsi="宋体"/>
              </w:rPr>
            </w:pPr>
          </w:p>
        </w:tc>
      </w:tr>
      <w:tr>
        <w:trPr>
          <w:cantSplit/>
        </w:trPr>
        <w:tc>
          <w:tcPr>
            <w:tcW w:w="3491" w:type="dxa"/>
            <w:vAlign w:val="center"/>
          </w:tcPr>
          <w:p>
            <w:pPr>
              <w:autoSpaceDE w:val="0"/>
              <w:autoSpaceDN w:val="0"/>
              <w:adjustRightInd w:val="0"/>
              <w:ind w:firstLine="420"/>
            </w:pPr>
            <w:r>
              <w:rPr>
                <w:rFonts w:hint="eastAsia"/>
              </w:rPr>
              <w:t>提取一般风险准备</w:t>
            </w:r>
          </w:p>
        </w:tc>
        <w:tc>
          <w:tcPr>
            <w:tcW w:w="2826" w:type="dxa"/>
            <w:vAlign w:val="center"/>
          </w:tcPr>
          <w:p>
            <w:pPr>
              <w:jc w:val="right"/>
              <w:rPr>
                <w:rFonts w:ascii="宋体" w:hAnsi="宋体"/>
              </w:rPr>
            </w:pPr>
          </w:p>
        </w:tc>
        <w:tc>
          <w:tcPr>
            <w:tcW w:w="2739" w:type="dxa"/>
            <w:vAlign w:val="center"/>
          </w:tcPr>
          <w:p>
            <w:pPr>
              <w:ind w:right="6"/>
              <w:jc w:val="right"/>
              <w:rPr>
                <w:rFonts w:ascii="宋体" w:hAnsi="宋体"/>
              </w:rPr>
            </w:pPr>
          </w:p>
        </w:tc>
      </w:tr>
      <w:tr>
        <w:trPr>
          <w:cantSplit/>
        </w:trPr>
        <w:tc>
          <w:tcPr>
            <w:tcW w:w="3491" w:type="dxa"/>
            <w:vAlign w:val="center"/>
          </w:tcPr>
          <w:p>
            <w:pPr>
              <w:autoSpaceDE w:val="0"/>
              <w:autoSpaceDN w:val="0"/>
              <w:adjustRightInd w:val="0"/>
              <w:ind w:firstLine="420"/>
            </w:pPr>
            <w:r>
              <w:rPr>
                <w:rFonts w:hint="eastAsia"/>
              </w:rPr>
              <w:t>应付普通股股利</w:t>
            </w:r>
          </w:p>
        </w:tc>
        <w:tc>
          <w:tcPr>
            <w:tcW w:w="2826" w:type="dxa"/>
            <w:vAlign w:val="center"/>
          </w:tcPr>
          <w:p>
            <w:pPr>
              <w:jc w:val="right"/>
              <w:rPr>
                <w:rFonts w:ascii="宋体" w:hAnsi="宋体"/>
              </w:rPr>
            </w:pPr>
            <w:r>
              <w:rPr>
                <w:rFonts w:ascii="宋体" w:hAnsi="宋体"/>
              </w:rPr>
              <w:t>7,226,986</w:t>
            </w:r>
          </w:p>
        </w:tc>
        <w:tc>
          <w:tcPr>
            <w:tcW w:w="2739" w:type="dxa"/>
            <w:vAlign w:val="center"/>
          </w:tcPr>
          <w:p>
            <w:pPr>
              <w:ind w:right="6"/>
              <w:jc w:val="right"/>
              <w:rPr>
                <w:rFonts w:ascii="宋体" w:hAnsi="宋体"/>
              </w:rPr>
            </w:pPr>
            <w:r>
              <w:rPr>
                <w:rFonts w:ascii="宋体" w:hAnsi="宋体"/>
              </w:rPr>
              <w:t>16,133,284</w:t>
            </w:r>
          </w:p>
        </w:tc>
      </w:tr>
      <w:tr>
        <w:trPr>
          <w:cantSplit/>
        </w:trPr>
        <w:tc>
          <w:tcPr>
            <w:tcW w:w="3491" w:type="dxa"/>
          </w:tcPr>
          <w:p>
            <w:pPr>
              <w:autoSpaceDE w:val="0"/>
              <w:autoSpaceDN w:val="0"/>
              <w:adjustRightInd w:val="0"/>
              <w:ind w:firstLineChars="200" w:firstLine="420"/>
            </w:pPr>
            <w:r>
              <w:rPr>
                <w:rFonts w:hint="eastAsia"/>
              </w:rPr>
              <w:t>同一控制下企业合并</w:t>
            </w:r>
          </w:p>
        </w:tc>
        <w:tc>
          <w:tcPr>
            <w:tcW w:w="2826" w:type="dxa"/>
            <w:vAlign w:val="center"/>
          </w:tcPr>
          <w:p>
            <w:pPr>
              <w:ind w:right="6"/>
              <w:jc w:val="right"/>
              <w:rPr>
                <w:rFonts w:ascii="宋体" w:hAnsi="宋体"/>
              </w:rPr>
            </w:pPr>
            <w:r>
              <w:rPr>
                <w:rFonts w:ascii="宋体" w:hAnsi="宋体"/>
              </w:rPr>
              <w:t>1,011,510</w:t>
            </w:r>
          </w:p>
        </w:tc>
        <w:tc>
          <w:tcPr>
            <w:tcW w:w="2739" w:type="dxa"/>
            <w:vAlign w:val="center"/>
          </w:tcPr>
          <w:p>
            <w:pPr>
              <w:ind w:right="6"/>
              <w:jc w:val="right"/>
              <w:rPr>
                <w:rFonts w:ascii="宋体" w:hAnsi="宋体"/>
              </w:rPr>
            </w:pPr>
          </w:p>
        </w:tc>
      </w:tr>
      <w:tr>
        <w:trPr>
          <w:cantSplit/>
        </w:trPr>
        <w:tc>
          <w:tcPr>
            <w:tcW w:w="3491" w:type="dxa"/>
          </w:tcPr>
          <w:p>
            <w:pPr>
              <w:autoSpaceDE w:val="0"/>
              <w:autoSpaceDN w:val="0"/>
              <w:adjustRightInd w:val="0"/>
              <w:ind w:firstLineChars="200" w:firstLine="420"/>
            </w:pPr>
            <w:r>
              <w:rPr>
                <w:rFonts w:hint="eastAsia"/>
              </w:rPr>
              <w:t>其他调整因素</w:t>
            </w:r>
          </w:p>
        </w:tc>
        <w:tc>
          <w:tcPr>
            <w:tcW w:w="2826" w:type="dxa"/>
            <w:vAlign w:val="center"/>
          </w:tcPr>
          <w:p>
            <w:pPr>
              <w:ind w:right="6"/>
              <w:jc w:val="right"/>
              <w:rPr>
                <w:rFonts w:ascii="宋体" w:hAnsi="宋体"/>
              </w:rPr>
            </w:pPr>
            <w:r>
              <w:rPr>
                <w:rFonts w:ascii="宋体" w:hAnsi="宋体"/>
              </w:rPr>
              <w:t>7,206</w:t>
            </w:r>
          </w:p>
        </w:tc>
        <w:tc>
          <w:tcPr>
            <w:tcW w:w="2739" w:type="dxa"/>
            <w:vAlign w:val="center"/>
          </w:tcPr>
          <w:p>
            <w:pPr>
              <w:ind w:right="6"/>
              <w:jc w:val="right"/>
              <w:rPr>
                <w:rFonts w:ascii="宋体" w:hAnsi="宋体"/>
              </w:rPr>
            </w:pPr>
            <w:r>
              <w:rPr>
                <w:rFonts w:ascii="宋体" w:hAnsi="宋体"/>
              </w:rPr>
              <w:t>148,515</w:t>
            </w:r>
          </w:p>
        </w:tc>
      </w:tr>
      <w:tr>
        <w:trPr>
          <w:cantSplit/>
        </w:trPr>
        <w:tc>
          <w:tcPr>
            <w:tcW w:w="3491" w:type="dxa"/>
            <w:vAlign w:val="center"/>
          </w:tcPr>
          <w:p>
            <w:pPr>
              <w:autoSpaceDE w:val="0"/>
              <w:autoSpaceDN w:val="0"/>
              <w:adjustRightInd w:val="0"/>
            </w:pPr>
            <w:r>
              <w:rPr>
                <w:rFonts w:hint="eastAsia"/>
              </w:rPr>
              <w:t>期末未分配利润</w:t>
            </w:r>
          </w:p>
        </w:tc>
        <w:tc>
          <w:tcPr>
            <w:tcW w:w="2826" w:type="dxa"/>
            <w:vAlign w:val="center"/>
          </w:tcPr>
          <w:p>
            <w:pPr>
              <w:jc w:val="right"/>
              <w:rPr>
                <w:rFonts w:ascii="宋体" w:hAnsi="宋体"/>
              </w:rPr>
            </w:pPr>
            <w:r>
              <w:rPr>
                <w:rFonts w:ascii="宋体" w:hAnsi="宋体"/>
              </w:rPr>
              <w:t>48,299,170</w:t>
            </w:r>
          </w:p>
        </w:tc>
        <w:tc>
          <w:tcPr>
            <w:tcW w:w="2739" w:type="dxa"/>
            <w:vAlign w:val="center"/>
          </w:tcPr>
          <w:p>
            <w:pPr>
              <w:ind w:right="6"/>
              <w:jc w:val="right"/>
              <w:rPr>
                <w:rFonts w:ascii="宋体" w:hAnsi="宋体"/>
              </w:rPr>
            </w:pPr>
            <w:r>
              <w:rPr>
                <w:rFonts w:ascii="宋体" w:hAnsi="宋体"/>
              </w:rPr>
              <w:t>48,718,377</w:t>
            </w:r>
          </w:p>
        </w:tc>
      </w:tr>
    </w:tbl>
    <w:p>
      <w:pPr>
        <w:pStyle w:val="Style217"/>
      </w:pPr>
    </w:p>
    <w:p>
      <w:pPr>
        <w:pStyle w:val="Style178"/>
        <w:numPr>
          <w:ilvl w:val="0"/>
          <w:numId w:val="75"/>
        </w:numPr>
        <w:rPr>
          <w:szCs w:val="21"/>
        </w:rPr>
      </w:pPr>
      <w:r>
        <w:rPr>
          <w:szCs w:val="21"/>
        </w:rPr>
        <w:t>营业收入和营业成本</w:t>
      </w:r>
    </w:p>
    <w:p>
      <w:pPr>
        <w:pStyle w:val="Style179"/>
        <w:numPr>
          <w:ilvl w:val="0"/>
          <w:numId w:val="110"/>
        </w:numPr>
        <w:ind w:left="426" w:hanging="426"/>
      </w:pPr>
      <w:r>
        <w:rPr>
          <w:rFonts w:hint="eastAsia"/>
        </w:rPr>
        <w:t>营业收入和营业成本情况</w:t>
      </w:r>
    </w:p>
    <w:sdt>
      <w:sdtPr>
        <w:alias w:val="是否适用：营业收入和营业成本[双击切换]"/>
        <w:tag w:val="_GBC_c0388196e3634afc823f4b5822c5937a"/>
        <w:id w:val="-103726863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bCs/>
        </w:rPr>
        <w:t>单位：</w:t>
      </w:r>
      <w:sdt>
        <w:sdtPr>
          <w:rPr>
            <w:rFonts w:hint="eastAsia"/>
            <w:bCs/>
          </w:rPr>
          <w:alias w:val="单位：财务附注：营业收入"/>
          <w:tag w:val="_GBC_65cadde8ae1e4b178e7f2737b89bb434"/>
          <w:id w:val="-16716423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千元</w:t>
          </w:r>
          <w:r>
            <w:rPr>
              <w:rFonts w:hint="eastAsia"/>
              <w:bCs/>
            </w:rPr>
            <w:t xml:space="preserve">  </w:t>
          </w:r>
        </w:sdtContent>
      </w:sdt>
      <w:r>
        <w:rPr>
          <w:rFonts w:hint="eastAsia"/>
          <w:bCs/>
        </w:rPr>
        <w:t>币种：</w:t>
      </w:r>
      <w:sdt>
        <w:sdtPr>
          <w:rPr>
            <w:rFonts w:hint="eastAsia"/>
            <w:bCs/>
          </w:rPr>
          <w:alias w:val="币种：财务附注：营业收入"/>
          <w:tag w:val="_GBC_1371c944b91f437595273e807317f64f"/>
          <w:id w:val="-20968577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889"/>
        <w:gridCol w:w="1902"/>
        <w:gridCol w:w="1900"/>
        <w:gridCol w:w="1900"/>
      </w:tblGrid>
      <w:tr>
        <w:sdt>
          <w:sdtPr>
            <w:tag w:val="_PLD_77e8683f75cd4c9e919404e1278fe9a0"/>
            <w:id w:val="1651937623"/>
          </w:sdtPr>
          <w:sdtContent>
            <w:tc>
              <w:tcPr>
                <w:tcW w:w="1456" w:type="dxa"/>
                <w:vMerge w:val="restart"/>
                <w:tcBorders>
                  <w:top w:val="single" w:sz="4" w:space="0" w:color="auto"/>
                  <w:left w:val="single" w:sz="4" w:space="0" w:color="auto"/>
                  <w:right w:val="single" w:sz="4" w:space="0" w:color="auto"/>
                </w:tcBorders>
                <w:vAlign w:val="center"/>
              </w:tcPr>
              <w:p>
                <w:pPr>
                  <w:jc w:val="center"/>
                </w:pPr>
                <w:r>
                  <w:rPr>
                    <w:rFonts w:hint="eastAsia"/>
                  </w:rPr>
                  <w:t>项目</w:t>
                </w:r>
              </w:p>
            </w:tc>
          </w:sdtContent>
        </w:sdt>
        <w:sdt>
          <w:sdtPr>
            <w:tag w:val="_PLD_e956f55a311f45a19dc3ce9396b931c9"/>
            <w:id w:val="276458391"/>
          </w:sdtPr>
          <w:sdtContent>
            <w:tc>
              <w:tcPr>
                <w:tcW w:w="3791"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本期发生额</w:t>
                </w:r>
              </w:p>
            </w:tc>
          </w:sdtContent>
        </w:sdt>
        <w:sdt>
          <w:sdtPr>
            <w:tag w:val="_PLD_d175a7df90684e2bbdccc1ba942f2760"/>
            <w:id w:val="-776103189"/>
          </w:sdtPr>
          <w:sdtContent>
            <w:tc>
              <w:tcPr>
                <w:tcW w:w="3800"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上期发生额</w:t>
                </w:r>
              </w:p>
            </w:tc>
          </w:sdtContent>
        </w:sdt>
      </w:tr>
      <w:tr>
        <w:tc>
          <w:tcPr>
            <w:tcW w:w="1456" w:type="dxa"/>
            <w:vMerge/>
            <w:tcBorders>
              <w:left w:val="single" w:sz="4" w:space="0" w:color="auto"/>
              <w:bottom w:val="single" w:sz="4" w:space="0" w:color="auto"/>
              <w:right w:val="single" w:sz="4" w:space="0" w:color="auto"/>
            </w:tcBorders>
            <w:vAlign w:val="center"/>
          </w:tcPr>
          <w:p>
            <w:pPr>
              <w:jc w:val="center"/>
            </w:pPr>
          </w:p>
        </w:tc>
        <w:sdt>
          <w:sdtPr>
            <w:tag w:val="_PLD_fe053e4bca564a1fbda44c85256ce067"/>
            <w:id w:val="-1711638369"/>
          </w:sdtPr>
          <w:sdtContent>
            <w:tc>
              <w:tcPr>
                <w:tcW w:w="188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收入</w:t>
                </w:r>
              </w:p>
            </w:tc>
          </w:sdtContent>
        </w:sdt>
        <w:sdt>
          <w:sdtPr>
            <w:tag w:val="_PLD_88be7d92d03d4168a79d4492be4a258c"/>
            <w:id w:val="-753749469"/>
          </w:sdtPr>
          <w:sdtContent>
            <w:tc>
              <w:tcPr>
                <w:tcW w:w="1902"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成本</w:t>
                </w:r>
              </w:p>
            </w:tc>
          </w:sdtContent>
        </w:sdt>
        <w:sdt>
          <w:sdtPr>
            <w:tag w:val="_PLD_5ba4682bc5644bc38c4b795c78508b1f"/>
            <w:id w:val="1521359043"/>
          </w:sdtPr>
          <w:sdtContent>
            <w:tc>
              <w:tcPr>
                <w:tcW w:w="1900"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收入</w:t>
                </w:r>
              </w:p>
            </w:tc>
          </w:sdtContent>
        </w:sdt>
        <w:sdt>
          <w:sdtPr>
            <w:tag w:val="_PLD_94a3ede4ab834e37a20364f2c6897976"/>
            <w:id w:val="1150486796"/>
          </w:sdtPr>
          <w:sdtContent>
            <w:tc>
              <w:tcPr>
                <w:tcW w:w="1900"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成本</w:t>
                </w:r>
              </w:p>
            </w:tc>
          </w:sdtContent>
        </w:sdt>
      </w:tr>
      <w:tr>
        <w:tc>
          <w:tcPr>
            <w:tcW w:w="145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主营业务</w:t>
            </w:r>
          </w:p>
        </w:tc>
        <w:tc>
          <w:tcPr>
            <w:tcW w:w="18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133,340,597</w:t>
            </w:r>
          </w:p>
        </w:tc>
        <w:tc>
          <w:tcPr>
            <w:tcW w:w="190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93,492,381</w:t>
            </w:r>
          </w:p>
        </w:tc>
        <w:tc>
          <w:tcPr>
            <w:tcW w:w="19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141,144,191</w:t>
            </w:r>
          </w:p>
        </w:tc>
        <w:tc>
          <w:tcPr>
            <w:tcW w:w="19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86,687,228</w:t>
            </w:r>
          </w:p>
        </w:tc>
      </w:tr>
      <w:tr>
        <w:tc>
          <w:tcPr>
            <w:tcW w:w="145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其他业务</w:t>
            </w:r>
          </w:p>
        </w:tc>
        <w:tc>
          <w:tcPr>
            <w:tcW w:w="18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11,592,262</w:t>
            </w:r>
          </w:p>
        </w:tc>
        <w:tc>
          <w:tcPr>
            <w:tcW w:w="190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8,916,800</w:t>
            </w:r>
          </w:p>
        </w:tc>
        <w:tc>
          <w:tcPr>
            <w:tcW w:w="19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15,527,957</w:t>
            </w:r>
          </w:p>
        </w:tc>
        <w:tc>
          <w:tcPr>
            <w:tcW w:w="19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13,673,495</w:t>
            </w:r>
          </w:p>
        </w:tc>
      </w:tr>
      <w:tr>
        <w:tc>
          <w:tcPr>
            <w:tcW w:w="145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18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144,932,859</w:t>
            </w:r>
          </w:p>
        </w:tc>
        <w:tc>
          <w:tcPr>
            <w:tcW w:w="190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102,409,181</w:t>
            </w:r>
          </w:p>
        </w:tc>
        <w:tc>
          <w:tcPr>
            <w:tcW w:w="19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156,672,148</w:t>
            </w:r>
          </w:p>
        </w:tc>
        <w:tc>
          <w:tcPr>
            <w:tcW w:w="190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100,360,723</w:t>
            </w:r>
          </w:p>
        </w:tc>
      </w:tr>
    </w:tbl>
    <w:p>
      <w:pPr>
        <w:pStyle w:val="Style217"/>
      </w:pPr>
    </w:p>
    <w:bookmarkStart w:id="509" w:name="_Hlk533756233" w:displacedByCustomXml="next"/>
    <w:sdt>
      <w:sdtPr>
        <w:rPr>
          <w:rFonts w:ascii="宋体" w:eastAsia="宋体" w:hAnsi="宋体" w:cs="宋体" w:hint="eastAsia"/>
          <w:b w:val="0"/>
          <w:bCs w:val="0"/>
          <w:kern w:val="0"/>
          <w:sz w:val="21"/>
          <w:szCs w:val="24"/>
        </w:rPr>
        <w:alias w:val="模块:合同产生的收入的情况"/>
        <w:tag w:val="_SEC_020e88e24a604d8684cb34b724e2379b"/>
        <w:id w:val="-2027548145"/>
        <w:placeholder>
          <w:docPart w:val="GBC22222222222222222222222222222"/>
        </w:placeholder>
      </w:sdtPr>
      <w:sdtEndPr>
        <w:rPr>
          <w:rFonts w:cs="Times New Roman" w:hint="default"/>
          <w:szCs w:val="20"/>
        </w:rPr>
      </w:sdtEndPr>
      <w:sdtContent>
        <w:p>
          <w:pPr>
            <w:pStyle w:val="Style179"/>
            <w:numPr>
              <w:ilvl w:val="0"/>
              <w:numId w:val="110"/>
            </w:numPr>
            <w:ind w:left="426" w:hanging="426"/>
          </w:pPr>
          <w:r>
            <w:rPr>
              <w:rFonts w:hint="eastAsia"/>
            </w:rPr>
            <w:t>营业收入、营业成本的分解信息</w:t>
          </w:r>
        </w:p>
        <w:sdt>
          <w:sdtPr>
            <w:rPr>
              <w:rFonts w:ascii="宋体" w:hAnsi="宋体"/>
              <w:szCs w:val="21"/>
            </w:rPr>
            <w:alias w:val="是否适用：营业收入、营业成本的分解信息 [双击切换]"/>
            <w:tag w:val="_GBC_9ca3964974eb4c71856442f0683fa140"/>
            <w:id w:val="1852759478"/>
            <w:placeholder>
              <w:docPart w:val="GBC22222222222222222222222222222"/>
            </w:placeholder>
          </w:sdtPr>
          <w:sdtContent>
            <w:p>
              <w:pPr>
                <w:pStyle w:val="Style189"/>
                <w:ind w:firstLineChars="0" w:firstLine="0"/>
                <w:jc w:val="left"/>
                <w:rPr>
                  <w:rFonts w:ascii="宋体" w:hAnsi="宋体"/>
                  <w:szCs w:val="21"/>
                </w:rPr>
              </w:pPr>
              <w:r>
                <w:rPr>
                  <w:rFonts w:ascii="宋体" w:hAnsi="宋体"/>
                  <w:sz w:val="21"/>
                  <w:szCs w:val="21"/>
                </w:rPr>
                <w:fldChar w:fldCharType="begin"/>
              </w:r>
              <w:r>
                <w:rPr>
                  <w:rFonts w:ascii="宋体" w:hAnsi="宋体" w:hint="eastAsia"/>
                  <w:sz w:val="21"/>
                  <w:szCs w:val="21"/>
                </w:rPr>
                <w:instrText xml:space="preserve"> MACROBUTTON  SnrToggleCheckbox √适用 </w:instrText>
              </w:r>
              <w:r>
                <w:rPr>
                  <w:rFonts w:ascii="宋体" w:hAnsi="宋体"/>
                  <w:sz w:val="21"/>
                  <w:szCs w:val="21"/>
                </w:rPr>
                <w:fldChar w:fldCharType="end"/>
              </w:r>
              <w:r>
                <w:rPr>
                  <w:rFonts w:ascii="宋体" w:hAnsi="宋体"/>
                  <w:sz w:val="21"/>
                  <w:szCs w:val="21"/>
                </w:rPr>
                <w:fldChar w:fldCharType="begin"/>
              </w:r>
              <w:r>
                <w:rPr>
                  <w:rFonts w:ascii="宋体" w:hAnsi="宋体" w:hint="eastAsia"/>
                  <w:sz w:val="21"/>
                  <w:szCs w:val="21"/>
                </w:rPr>
                <w:instrText xml:space="preserve"> MACROBUTTON  SnrToggleCheckbox □不适用 </w:instrText>
              </w:r>
              <w:r>
                <w:rPr>
                  <w:rFonts w:ascii="宋体" w:hAnsi="宋体"/>
                  <w:sz w:val="21"/>
                  <w:szCs w:val="21"/>
                </w:rPr>
                <w:fldChar w:fldCharType="end"/>
              </w:r>
            </w:p>
          </w:sdtContent>
        </w:sdt>
        <w:p>
          <w:pPr>
            <w:pStyle w:val="Style18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营业收入、营业成本的分解信息 "/>
              <w:tag w:val="_GBC_712aadfd959247489c16d4246880bfef"/>
              <w:id w:val="-3215878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 xml:space="preserve">千元  </w:t>
              </w:r>
            </w:sdtContent>
          </w:sdt>
          <w:r>
            <w:rPr>
              <w:rFonts w:ascii="宋体" w:hAnsi="宋体" w:hint="eastAsia"/>
              <w:szCs w:val="21"/>
            </w:rPr>
            <w:t>币种：</w:t>
          </w:r>
          <w:sdt>
            <w:sdtPr>
              <w:rPr>
                <w:rFonts w:ascii="宋体" w:hAnsi="宋体" w:hint="eastAsia"/>
                <w:szCs w:val="21"/>
              </w:rPr>
              <w:alias w:val="币种：营业收入、营业成本的分解信息 "/>
              <w:tag w:val="_GBC_ca9b26593dbf458b829ac632033cd724"/>
              <w:id w:val="-1613915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Style1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7"/>
            <w:gridCol w:w="2271"/>
            <w:gridCol w:w="2818"/>
          </w:tblGrid>
          <w:tr>
            <w:sdt>
              <w:sdtPr>
                <w:tag w:val="_PLD_0e9269f20e6e4b7f8a6a8c59b9077225"/>
                <w:id w:val="1071852096"/>
              </w:sdtPr>
              <w:sdtContent>
                <w:tc>
                  <w:tcPr>
                    <w:tcW w:w="3407" w:type="dxa"/>
                    <w:vMerge w:val="restart"/>
                    <w:tcBorders>
                      <w:top w:val="single" w:sz="4" w:space="0" w:color="auto"/>
                      <w:left w:val="single" w:sz="4" w:space="0" w:color="auto"/>
                      <w:right w:val="single" w:sz="4" w:space="0" w:color="auto"/>
                    </w:tcBorders>
                    <w:vAlign w:val="center"/>
                  </w:tcPr>
                  <w:p>
                    <w:pPr>
                      <w:jc w:val="center"/>
                    </w:pPr>
                    <w:r>
                      <w:rPr>
                        <w:rFonts w:hint="eastAsia"/>
                      </w:rPr>
                      <w:t>合同分类</w:t>
                    </w:r>
                  </w:p>
                </w:tc>
              </w:sdtContent>
            </w:sdt>
            <w:sdt>
              <w:sdtPr>
                <w:tag w:val="_PLD_4c617eb15d544d45ba3090cf4fb369da"/>
                <w:id w:val="612863344"/>
              </w:sdtPr>
              <w:sdtContent>
                <w:tc>
                  <w:tcPr>
                    <w:tcW w:w="5089"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sdtContent>
            </w:sdt>
          </w:tr>
          <w:tr>
            <w:tc>
              <w:tcPr>
                <w:tcW w:w="3407" w:type="dxa"/>
                <w:vMerge/>
                <w:tcBorders>
                  <w:left w:val="single" w:sz="4" w:space="0" w:color="auto"/>
                  <w:bottom w:val="single" w:sz="4" w:space="0" w:color="auto"/>
                  <w:right w:val="single" w:sz="4" w:space="0" w:color="auto"/>
                </w:tcBorders>
                <w:vAlign w:val="center"/>
              </w:tcPr>
              <w:p>
                <w:pPr>
                  <w:jc w:val="center"/>
                </w:pPr>
              </w:p>
            </w:tc>
            <w:sdt>
              <w:sdtPr>
                <w:tag w:val="_PLD_63400df9f177476bb0975376f62b78b9"/>
                <w:id w:val="1407103495"/>
              </w:sdtPr>
              <w:sdtContent>
                <w:tc>
                  <w:tcPr>
                    <w:tcW w:w="227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营业收入</w:t>
                    </w:r>
                  </w:p>
                </w:tc>
              </w:sdtContent>
            </w:sdt>
            <w:sdt>
              <w:sdtPr>
                <w:tag w:val="_PLD_ccb1ce0fea894f5892ff4f8ace575517"/>
                <w:id w:val="343980607"/>
              </w:sdtPr>
              <w:sdtContent>
                <w:tc>
                  <w:tcPr>
                    <w:tcW w:w="2818"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营业成本</w:t>
                    </w:r>
                  </w:p>
                </w:tc>
              </w:sdtContent>
            </w:sdt>
          </w:tr>
          <w:tr>
            <w:tc>
              <w:tcPr>
                <w:tcW w:w="340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业务类型</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pPr>
                <w:r>
                  <w:rPr>
                    <w:rFonts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pPr>
                <w:r>
                  <w:rPr>
                    <w:rFonts w:hint="eastAsia"/>
                  </w:rPr>
                  <w:t xml:space="preserve">　</w:t>
                </w:r>
              </w:p>
            </w:tc>
          </w:tr>
          <w:tr>
            <w:tc>
              <w:tcPr>
                <w:tcW w:w="340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其中：煤炭业务</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88,666,141</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 56,595,149 </w:t>
                </w:r>
              </w:p>
            </w:tc>
          </w:tr>
          <w:tr>
            <w:tc>
              <w:tcPr>
                <w:tcW w:w="340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煤化工、电力及热力</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27,513,006</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20,718,097</w:t>
                </w:r>
              </w:p>
            </w:tc>
          </w:tr>
          <w:tr>
            <w:tc>
              <w:tcPr>
                <w:tcW w:w="340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物流贸易</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18,352,128</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 17,815,036 </w:t>
                </w:r>
              </w:p>
            </w:tc>
          </w:tr>
          <w:tr>
            <w:tc>
              <w:tcPr>
                <w:tcW w:w="340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lastRenderedPageBreak/>
                  <w:t>贷款和融资租赁</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871,881</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454,584</w:t>
                </w:r>
              </w:p>
            </w:tc>
          </w:tr>
          <w:tr>
            <w:tc>
              <w:tcPr>
                <w:tcW w:w="340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矿用设备制造</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2,078,431</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1,519,122</w:t>
                </w:r>
              </w:p>
            </w:tc>
          </w:tr>
          <w:tr>
            <w:tc>
              <w:tcPr>
                <w:tcW w:w="340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未分配项目</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7,451,272</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5,307,193</w:t>
                </w:r>
              </w:p>
            </w:tc>
          </w:tr>
          <w:tr>
            <w:tc>
              <w:tcPr>
                <w:tcW w:w="3407" w:type="dxa"/>
                <w:tcBorders>
                  <w:top w:val="single" w:sz="4" w:space="0" w:color="auto"/>
                  <w:left w:val="single" w:sz="4" w:space="0" w:color="auto"/>
                  <w:bottom w:val="single" w:sz="4" w:space="0" w:color="auto"/>
                  <w:right w:val="single" w:sz="4" w:space="0" w:color="auto"/>
                </w:tcBorders>
                <w:vAlign w:val="center"/>
              </w:tcPr>
              <w:p>
                <w:pPr>
                  <w:ind w:firstLineChars="700" w:firstLine="1470"/>
                </w:pPr>
                <w:r>
                  <w:rPr>
                    <w:rFonts w:hint="eastAsia"/>
                  </w:rPr>
                  <w:t>合计</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144,932,859</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 102,409,181 </w:t>
                </w:r>
              </w:p>
            </w:tc>
          </w:tr>
          <w:tr>
            <w:tc>
              <w:tcPr>
                <w:tcW w:w="340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按经营地区分类</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pPr>
                <w:r>
                  <w:rPr>
                    <w:rFonts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340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其中：中国</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113,616,394</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79,230,849</w:t>
                </w:r>
              </w:p>
            </w:tc>
          </w:tr>
          <w:tr>
            <w:tc>
              <w:tcPr>
                <w:tcW w:w="340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澳洲</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30,221,599</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22,395,063</w:t>
                </w:r>
              </w:p>
            </w:tc>
          </w:tr>
          <w:tr>
            <w:tc>
              <w:tcPr>
                <w:tcW w:w="340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其他</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1,094,866</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783,269</w:t>
                </w:r>
              </w:p>
            </w:tc>
          </w:tr>
          <w:tr>
            <w:tc>
              <w:tcPr>
                <w:tcW w:w="340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27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144,932,859</w:t>
                </w:r>
              </w:p>
            </w:tc>
            <w:tc>
              <w:tcPr>
                <w:tcW w:w="28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 xml:space="preserve"> 102,409,181 </w:t>
                </w:r>
              </w:p>
            </w:tc>
          </w:tr>
        </w:tbl>
        <w:p>
          <w:pPr>
            <w:pStyle w:val="Style217"/>
          </w:pPr>
        </w:p>
        <w:p>
          <w:pPr>
            <w:pStyle w:val="Style217"/>
          </w:pPr>
          <w:r>
            <w:rPr>
              <w:rFonts w:hint="eastAsia"/>
            </w:rPr>
            <w:t>其他说明：</w:t>
          </w:r>
        </w:p>
        <w:sdt>
          <w:sdtPr>
            <w:alias w:val="是否适用：营业收入、营业成本的分解信息说明 [双击切换]"/>
            <w:tag w:val="_GBC_f134aa472e8b45f8af819092314ab743"/>
            <w:id w:val="198681536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sdtContent>
    </w:sdt>
    <w:p>
      <w:pPr>
        <w:pStyle w:val="Style179"/>
        <w:numPr>
          <w:ilvl w:val="0"/>
          <w:numId w:val="110"/>
        </w:numPr>
        <w:ind w:left="426" w:hanging="426"/>
      </w:pPr>
      <w:bookmarkStart w:id="510" w:name="_Hlk533670431"/>
      <w:bookmarkEnd w:id="509"/>
      <w:r>
        <w:rPr>
          <w:rFonts w:hint="eastAsia"/>
        </w:rPr>
        <w:t>履约义务的说明</w:t>
      </w:r>
    </w:p>
    <w:sdt>
      <w:sdtPr>
        <w:alias w:val="是否适用：履约义务的说明[双击切换]"/>
        <w:tag w:val="_GBC_2bcc2970f5df4fc982ad2497089d8292"/>
        <w:id w:val="5189784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10"/>
        </w:numPr>
        <w:ind w:left="426" w:hanging="426"/>
      </w:pPr>
      <w:bookmarkStart w:id="511" w:name="_Hlk533423938"/>
      <w:bookmarkEnd w:id="510"/>
      <w:r>
        <w:rPr>
          <w:rFonts w:hint="eastAsia"/>
        </w:rPr>
        <w:t>分摊至剩余履约义务的说明</w:t>
      </w:r>
    </w:p>
    <w:sdt>
      <w:sdtPr>
        <w:alias w:val="是否适用：分摊至剩余履约义务的说明[双击切换]"/>
        <w:tag w:val="_GBC_67defaacf38a42549a2ed747c0fdb075"/>
        <w:id w:val="162596858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Arial" w:hAnsi="Arial"/>
        </w:rPr>
      </w:pPr>
    </w:p>
    <w:bookmarkEnd w:id="511"/>
    <w:p>
      <w:pPr>
        <w:pStyle w:val="Style179"/>
        <w:numPr>
          <w:ilvl w:val="0"/>
          <w:numId w:val="110"/>
        </w:numPr>
        <w:ind w:left="426" w:hanging="426"/>
      </w:pPr>
      <w:r>
        <w:rPr>
          <w:rFonts w:hint="eastAsia"/>
        </w:rPr>
        <w:t>重大合同变更或重大交易价格调整</w:t>
      </w:r>
    </w:p>
    <w:sdt>
      <w:sdtPr>
        <w:alias w:val="是否适用：重大合同变更或重大交易价格调整[双击切换]"/>
        <w:tag w:val="_GBC_0445697eb8d6440497b15f440010cd1d"/>
        <w:id w:val="-160858117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Arial" w:hAnsi="Arial"/>
        </w:rPr>
      </w:pPr>
    </w:p>
    <w:p>
      <w:pPr>
        <w:spacing w:before="60" w:after="60"/>
      </w:pPr>
      <w:bookmarkStart w:id="512" w:name="_Hlk26364697"/>
      <w:r>
        <w:rPr>
          <w:rFonts w:hint="eastAsia"/>
        </w:rPr>
        <w:t>其他说明：</w:t>
      </w:r>
    </w:p>
    <w:p>
      <w:pPr>
        <w:pStyle w:val="Style217"/>
      </w:pPr>
      <w:sdt>
        <w:sdtPr>
          <w:alias w:val="主营业务说明"/>
          <w:tag w:val="_GBC_817222ab73384ad1a188a632c919c846"/>
          <w:id w:val="1911658253"/>
          <w:placeholder>
            <w:docPart w:val="GBC22222222222222222222222222222"/>
          </w:placeholder>
        </w:sdtPr>
        <w:sdtContent>
          <w:r>
            <w:rPr>
              <w:rFonts w:hint="eastAsia"/>
            </w:rPr>
            <w:t>-</w:t>
          </w:r>
        </w:sdtContent>
      </w:sdt>
    </w:p>
    <w:p>
      <w:pPr>
        <w:pStyle w:val="Style217"/>
      </w:pPr>
    </w:p>
    <w:bookmarkEnd w:id="512"/>
    <w:p>
      <w:pPr>
        <w:pStyle w:val="Style178"/>
        <w:numPr>
          <w:ilvl w:val="0"/>
          <w:numId w:val="75"/>
        </w:numPr>
        <w:rPr>
          <w:szCs w:val="21"/>
        </w:rPr>
      </w:pPr>
      <w:r>
        <w:rPr>
          <w:szCs w:val="21"/>
        </w:rPr>
        <w:t>税金及附加</w:t>
      </w:r>
    </w:p>
    <w:sdt>
      <w:sdtPr>
        <w:alias w:val="是否适用：税金及附加[双击切换]"/>
        <w:tag w:val="_GBC_08eb9cdd2a3940549b0f2b47081f0a3d"/>
        <w:id w:val="47496290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财务附注：税金及附加"/>
          <w:tag w:val="_GBC_6e5742d697d44a7dabc4411d4cd3c055"/>
          <w:id w:val="16892468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税金及附加"/>
          <w:tag w:val="_GBC_7ad96346369145ef9c54edaefcc18214"/>
          <w:id w:val="4591601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256"/>
        <w:gridCol w:w="2976"/>
        <w:gridCol w:w="2823"/>
      </w:tblGrid>
      <w:tr>
        <w:sdt>
          <w:sdtPr>
            <w:tag w:val="_PLD_82dcdcc171754a7b940a70d1c7daa5c1"/>
            <w:id w:val="1964615995"/>
          </w:sdtPr>
          <w:sdtContent>
            <w:tc>
              <w:tcPr>
                <w:tcW w:w="3256" w:type="dxa"/>
                <w:vAlign w:val="center"/>
              </w:tcPr>
              <w:p>
                <w:pPr>
                  <w:autoSpaceDE w:val="0"/>
                  <w:autoSpaceDN w:val="0"/>
                  <w:adjustRightInd w:val="0"/>
                  <w:snapToGrid w:val="0"/>
                  <w:spacing w:line="240" w:lineRule="atLeast"/>
                  <w:jc w:val="center"/>
                </w:pPr>
                <w:r>
                  <w:rPr>
                    <w:rFonts w:hint="eastAsia"/>
                  </w:rPr>
                  <w:t>项目</w:t>
                </w:r>
              </w:p>
            </w:tc>
          </w:sdtContent>
        </w:sdt>
        <w:sdt>
          <w:sdtPr>
            <w:tag w:val="_PLD_a015e641f9074bee9ed1ee81511407cc"/>
            <w:id w:val="-1931111786"/>
          </w:sdtPr>
          <w:sdtContent>
            <w:tc>
              <w:tcPr>
                <w:tcW w:w="2976" w:type="dxa"/>
                <w:vAlign w:val="center"/>
              </w:tcPr>
              <w:p>
                <w:pPr>
                  <w:jc w:val="center"/>
                </w:pPr>
                <w:r>
                  <w:rPr>
                    <w:rFonts w:hint="eastAsia"/>
                  </w:rPr>
                  <w:t>本期发生额</w:t>
                </w:r>
              </w:p>
            </w:tc>
          </w:sdtContent>
        </w:sdt>
        <w:sdt>
          <w:sdtPr>
            <w:tag w:val="_PLD_5e944d291c9a4b0aab9f6558226d9112"/>
            <w:id w:val="-629321673"/>
          </w:sdtPr>
          <w:sdtContent>
            <w:tc>
              <w:tcPr>
                <w:tcW w:w="2823" w:type="dxa"/>
                <w:vAlign w:val="center"/>
              </w:tcPr>
              <w:p>
                <w:pPr>
                  <w:jc w:val="center"/>
                </w:pPr>
                <w:r>
                  <w:rPr>
                    <w:rFonts w:hint="eastAsia"/>
                  </w:rPr>
                  <w:t>上期发生额</w:t>
                </w:r>
              </w:p>
            </w:tc>
          </w:sdtContent>
        </w:sdt>
      </w:tr>
      <w:tr>
        <w:tc>
          <w:tcPr>
            <w:tcW w:w="3256" w:type="dxa"/>
          </w:tcPr>
          <w:p>
            <w:pPr>
              <w:autoSpaceDE w:val="0"/>
              <w:autoSpaceDN w:val="0"/>
              <w:adjustRightInd w:val="0"/>
              <w:snapToGrid w:val="0"/>
              <w:spacing w:line="240" w:lineRule="atLeast"/>
            </w:pPr>
            <w:r>
              <w:rPr>
                <w:rFonts w:hint="eastAsia"/>
              </w:rPr>
              <w:t>资源税</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4,114,965</w:t>
            </w:r>
          </w:p>
        </w:tc>
        <w:tc>
          <w:tcPr>
            <w:tcW w:w="2823" w:type="dxa"/>
            <w:vAlign w:val="center"/>
          </w:tcPr>
          <w:p>
            <w:pPr>
              <w:jc w:val="right"/>
              <w:rPr>
                <w:rFonts w:ascii="宋体" w:hAnsi="宋体"/>
              </w:rPr>
            </w:pPr>
            <w:r>
              <w:rPr>
                <w:rFonts w:ascii="宋体" w:hAnsi="宋体" w:hint="eastAsia"/>
              </w:rPr>
              <w:t>4,566,818</w:t>
            </w:r>
          </w:p>
        </w:tc>
      </w:tr>
      <w:tr>
        <w:tc>
          <w:tcPr>
            <w:tcW w:w="3256" w:type="dxa"/>
          </w:tcPr>
          <w:p>
            <w:pPr>
              <w:autoSpaceDE w:val="0"/>
              <w:autoSpaceDN w:val="0"/>
              <w:adjustRightInd w:val="0"/>
              <w:snapToGrid w:val="0"/>
              <w:spacing w:line="240" w:lineRule="atLeast"/>
            </w:pPr>
            <w:r>
              <w:rPr>
                <w:rFonts w:hint="eastAsia"/>
              </w:rPr>
              <w:t>消费税</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547,167</w:t>
            </w:r>
          </w:p>
        </w:tc>
        <w:tc>
          <w:tcPr>
            <w:tcW w:w="2823" w:type="dxa"/>
            <w:vAlign w:val="center"/>
          </w:tcPr>
          <w:p>
            <w:pPr>
              <w:jc w:val="right"/>
              <w:rPr>
                <w:rFonts w:ascii="宋体" w:hAnsi="宋体"/>
              </w:rPr>
            </w:pPr>
            <w:r>
              <w:rPr>
                <w:rFonts w:ascii="宋体" w:hAnsi="宋体" w:hint="eastAsia"/>
              </w:rPr>
              <w:t>496,662</w:t>
            </w:r>
          </w:p>
        </w:tc>
      </w:tr>
      <w:tr>
        <w:tc>
          <w:tcPr>
            <w:tcW w:w="3256" w:type="dxa"/>
          </w:tcPr>
          <w:p>
            <w:pPr>
              <w:autoSpaceDE w:val="0"/>
              <w:autoSpaceDN w:val="0"/>
              <w:adjustRightInd w:val="0"/>
              <w:snapToGrid w:val="0"/>
              <w:spacing w:line="240" w:lineRule="atLeast"/>
            </w:pPr>
            <w:r>
              <w:rPr>
                <w:rFonts w:hint="eastAsia"/>
              </w:rPr>
              <w:t>城市维护建设税</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453,881</w:t>
            </w:r>
          </w:p>
        </w:tc>
        <w:tc>
          <w:tcPr>
            <w:tcW w:w="2823" w:type="dxa"/>
            <w:vAlign w:val="center"/>
          </w:tcPr>
          <w:p>
            <w:pPr>
              <w:jc w:val="right"/>
              <w:rPr>
                <w:rFonts w:ascii="宋体" w:hAnsi="宋体"/>
              </w:rPr>
            </w:pPr>
            <w:r>
              <w:rPr>
                <w:rFonts w:ascii="宋体" w:hAnsi="宋体" w:hint="eastAsia"/>
              </w:rPr>
              <w:t>490,486</w:t>
            </w:r>
          </w:p>
        </w:tc>
      </w:tr>
      <w:tr>
        <w:tc>
          <w:tcPr>
            <w:tcW w:w="3256" w:type="dxa"/>
          </w:tcPr>
          <w:p>
            <w:pPr>
              <w:autoSpaceDE w:val="0"/>
              <w:autoSpaceDN w:val="0"/>
              <w:adjustRightInd w:val="0"/>
              <w:snapToGrid w:val="0"/>
              <w:spacing w:line="240" w:lineRule="atLeast"/>
            </w:pPr>
            <w:r>
              <w:rPr>
                <w:rFonts w:hint="eastAsia"/>
              </w:rPr>
              <w:t>教育费附加</w:t>
            </w:r>
            <w:r>
              <w:rPr>
                <w:rFonts w:hint="eastAsia"/>
              </w:rPr>
              <w:t>(</w:t>
            </w:r>
            <w:r>
              <w:rPr>
                <w:rFonts w:hint="eastAsia"/>
              </w:rPr>
              <w:t>含地方教育费附加）</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425,314</w:t>
            </w:r>
          </w:p>
        </w:tc>
        <w:tc>
          <w:tcPr>
            <w:tcW w:w="2823" w:type="dxa"/>
            <w:vAlign w:val="center"/>
          </w:tcPr>
          <w:p>
            <w:pPr>
              <w:jc w:val="right"/>
              <w:rPr>
                <w:rFonts w:ascii="宋体" w:hAnsi="宋体"/>
              </w:rPr>
            </w:pPr>
            <w:r>
              <w:rPr>
                <w:rFonts w:ascii="宋体" w:hAnsi="宋体" w:hint="eastAsia"/>
              </w:rPr>
              <w:t>440,973</w:t>
            </w:r>
          </w:p>
        </w:tc>
      </w:tr>
      <w:tr>
        <w:tc>
          <w:tcPr>
            <w:tcW w:w="3256" w:type="dxa"/>
          </w:tcPr>
          <w:p>
            <w:pPr>
              <w:autoSpaceDE w:val="0"/>
              <w:autoSpaceDN w:val="0"/>
              <w:adjustRightInd w:val="0"/>
              <w:snapToGrid w:val="0"/>
              <w:spacing w:line="240" w:lineRule="atLeast"/>
            </w:pPr>
            <w:r>
              <w:rPr>
                <w:rFonts w:hint="eastAsia"/>
              </w:rPr>
              <w:t>土地使用税</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214,221</w:t>
            </w:r>
          </w:p>
        </w:tc>
        <w:tc>
          <w:tcPr>
            <w:tcW w:w="2823" w:type="dxa"/>
            <w:vAlign w:val="center"/>
          </w:tcPr>
          <w:p>
            <w:pPr>
              <w:jc w:val="right"/>
              <w:rPr>
                <w:rFonts w:ascii="宋体" w:hAnsi="宋体"/>
              </w:rPr>
            </w:pPr>
            <w:r>
              <w:rPr>
                <w:rFonts w:ascii="宋体" w:hAnsi="宋体" w:hint="eastAsia"/>
              </w:rPr>
              <w:t>369,647</w:t>
            </w:r>
          </w:p>
        </w:tc>
      </w:tr>
      <w:tr>
        <w:tc>
          <w:tcPr>
            <w:tcW w:w="3256" w:type="dxa"/>
          </w:tcPr>
          <w:p>
            <w:pPr>
              <w:autoSpaceDE w:val="0"/>
              <w:autoSpaceDN w:val="0"/>
              <w:adjustRightInd w:val="0"/>
              <w:snapToGrid w:val="0"/>
              <w:spacing w:line="240" w:lineRule="atLeast"/>
            </w:pPr>
            <w:r>
              <w:rPr>
                <w:rFonts w:hint="eastAsia"/>
              </w:rPr>
              <w:t>水资源税</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378,518</w:t>
            </w:r>
          </w:p>
        </w:tc>
        <w:tc>
          <w:tcPr>
            <w:tcW w:w="2823" w:type="dxa"/>
            <w:vAlign w:val="center"/>
          </w:tcPr>
          <w:p>
            <w:pPr>
              <w:jc w:val="right"/>
              <w:rPr>
                <w:rFonts w:ascii="宋体" w:hAnsi="宋体"/>
              </w:rPr>
            </w:pPr>
            <w:r>
              <w:rPr>
                <w:rFonts w:ascii="宋体" w:hAnsi="宋体" w:hint="eastAsia"/>
              </w:rPr>
              <w:t>348,452</w:t>
            </w:r>
          </w:p>
        </w:tc>
      </w:tr>
      <w:tr>
        <w:tc>
          <w:tcPr>
            <w:tcW w:w="3256" w:type="dxa"/>
          </w:tcPr>
          <w:p>
            <w:pPr>
              <w:autoSpaceDE w:val="0"/>
              <w:autoSpaceDN w:val="0"/>
              <w:adjustRightInd w:val="0"/>
              <w:snapToGrid w:val="0"/>
              <w:spacing w:line="240" w:lineRule="atLeast"/>
            </w:pPr>
            <w:r>
              <w:rPr>
                <w:rFonts w:hint="eastAsia"/>
              </w:rPr>
              <w:t>房产税</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311,485</w:t>
            </w:r>
          </w:p>
        </w:tc>
        <w:tc>
          <w:tcPr>
            <w:tcW w:w="2823" w:type="dxa"/>
            <w:vAlign w:val="center"/>
          </w:tcPr>
          <w:p>
            <w:pPr>
              <w:jc w:val="right"/>
              <w:rPr>
                <w:rFonts w:ascii="宋体" w:hAnsi="宋体"/>
              </w:rPr>
            </w:pPr>
            <w:r>
              <w:rPr>
                <w:rFonts w:ascii="宋体" w:hAnsi="宋体" w:hint="eastAsia"/>
              </w:rPr>
              <w:t>254,048</w:t>
            </w:r>
          </w:p>
        </w:tc>
      </w:tr>
      <w:tr>
        <w:tc>
          <w:tcPr>
            <w:tcW w:w="3256" w:type="dxa"/>
          </w:tcPr>
          <w:p>
            <w:pPr>
              <w:autoSpaceDE w:val="0"/>
              <w:autoSpaceDN w:val="0"/>
              <w:adjustRightInd w:val="0"/>
              <w:snapToGrid w:val="0"/>
              <w:spacing w:line="240" w:lineRule="atLeast"/>
            </w:pPr>
            <w:r>
              <w:rPr>
                <w:rFonts w:hint="eastAsia"/>
              </w:rPr>
              <w:t>印花税</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128,094</w:t>
            </w:r>
          </w:p>
        </w:tc>
        <w:tc>
          <w:tcPr>
            <w:tcW w:w="2823" w:type="dxa"/>
            <w:vAlign w:val="center"/>
          </w:tcPr>
          <w:p>
            <w:pPr>
              <w:jc w:val="right"/>
              <w:rPr>
                <w:rFonts w:ascii="宋体" w:hAnsi="宋体"/>
              </w:rPr>
            </w:pPr>
            <w:r>
              <w:rPr>
                <w:rFonts w:ascii="宋体" w:hAnsi="宋体" w:hint="eastAsia"/>
              </w:rPr>
              <w:t>132,299</w:t>
            </w:r>
          </w:p>
        </w:tc>
      </w:tr>
      <w:tr>
        <w:tc>
          <w:tcPr>
            <w:tcW w:w="3256" w:type="dxa"/>
          </w:tcPr>
          <w:p>
            <w:pPr>
              <w:autoSpaceDE w:val="0"/>
              <w:autoSpaceDN w:val="0"/>
              <w:adjustRightInd w:val="0"/>
              <w:snapToGrid w:val="0"/>
              <w:spacing w:line="240" w:lineRule="atLeast"/>
            </w:pPr>
            <w:r>
              <w:rPr>
                <w:rFonts w:hint="eastAsia"/>
              </w:rPr>
              <w:t>环境保护税</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259,146</w:t>
            </w:r>
          </w:p>
        </w:tc>
        <w:tc>
          <w:tcPr>
            <w:tcW w:w="2823" w:type="dxa"/>
            <w:vAlign w:val="center"/>
          </w:tcPr>
          <w:p>
            <w:pPr>
              <w:jc w:val="right"/>
              <w:rPr>
                <w:rFonts w:ascii="宋体" w:hAnsi="宋体"/>
              </w:rPr>
            </w:pPr>
            <w:r>
              <w:rPr>
                <w:rFonts w:ascii="宋体" w:hAnsi="宋体" w:hint="eastAsia"/>
              </w:rPr>
              <w:t>118,151</w:t>
            </w:r>
          </w:p>
        </w:tc>
      </w:tr>
      <w:tr>
        <w:tc>
          <w:tcPr>
            <w:tcW w:w="3256" w:type="dxa"/>
          </w:tcPr>
          <w:p>
            <w:pPr>
              <w:autoSpaceDE w:val="0"/>
              <w:autoSpaceDN w:val="0"/>
              <w:adjustRightInd w:val="0"/>
              <w:snapToGrid w:val="0"/>
              <w:spacing w:line="240" w:lineRule="atLeast"/>
            </w:pPr>
            <w:r>
              <w:rPr>
                <w:rFonts w:hint="eastAsia"/>
              </w:rPr>
              <w:t>水利建设基金</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32,917</w:t>
            </w:r>
          </w:p>
        </w:tc>
        <w:tc>
          <w:tcPr>
            <w:tcW w:w="2823" w:type="dxa"/>
            <w:vAlign w:val="center"/>
          </w:tcPr>
          <w:p>
            <w:pPr>
              <w:jc w:val="right"/>
              <w:rPr>
                <w:rFonts w:ascii="宋体" w:hAnsi="宋体"/>
              </w:rPr>
            </w:pPr>
            <w:r>
              <w:rPr>
                <w:rFonts w:ascii="宋体" w:hAnsi="宋体" w:hint="eastAsia"/>
              </w:rPr>
              <w:t>25,714</w:t>
            </w:r>
          </w:p>
        </w:tc>
      </w:tr>
      <w:tr>
        <w:tc>
          <w:tcPr>
            <w:tcW w:w="3256" w:type="dxa"/>
          </w:tcPr>
          <w:p>
            <w:pPr>
              <w:autoSpaceDE w:val="0"/>
              <w:autoSpaceDN w:val="0"/>
              <w:adjustRightInd w:val="0"/>
              <w:snapToGrid w:val="0"/>
              <w:spacing w:line="240" w:lineRule="atLeast"/>
            </w:pPr>
            <w:r>
              <w:rPr>
                <w:rFonts w:hint="eastAsia"/>
              </w:rPr>
              <w:t>其他</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hint="eastAsia"/>
              </w:rPr>
              <w:t>229,768</w:t>
            </w:r>
          </w:p>
        </w:tc>
        <w:tc>
          <w:tcPr>
            <w:tcW w:w="2823" w:type="dxa"/>
            <w:vAlign w:val="center"/>
          </w:tcPr>
          <w:p>
            <w:pPr>
              <w:jc w:val="right"/>
              <w:rPr>
                <w:rFonts w:ascii="宋体" w:hAnsi="宋体"/>
              </w:rPr>
            </w:pPr>
            <w:r>
              <w:rPr>
                <w:rFonts w:ascii="宋体" w:hAnsi="宋体" w:hint="eastAsia"/>
              </w:rPr>
              <w:t>239,852</w:t>
            </w:r>
          </w:p>
        </w:tc>
      </w:tr>
      <w:tr>
        <w:tc>
          <w:tcPr>
            <w:tcW w:w="3256" w:type="dxa"/>
            <w:vAlign w:val="center"/>
          </w:tcPr>
          <w:p>
            <w:pPr>
              <w:autoSpaceDE w:val="0"/>
              <w:autoSpaceDN w:val="0"/>
              <w:adjustRightInd w:val="0"/>
              <w:snapToGrid w:val="0"/>
              <w:spacing w:line="240" w:lineRule="atLeast"/>
              <w:jc w:val="center"/>
            </w:pPr>
            <w:r>
              <w:rPr>
                <w:rFonts w:hint="eastAsia"/>
              </w:rPr>
              <w:t>合计</w:t>
            </w:r>
          </w:p>
        </w:tc>
        <w:tc>
          <w:tcPr>
            <w:tcW w:w="2976" w:type="dxa"/>
            <w:vAlign w:val="center"/>
          </w:tcPr>
          <w:p>
            <w:pPr>
              <w:autoSpaceDE w:val="0"/>
              <w:autoSpaceDN w:val="0"/>
              <w:adjustRightInd w:val="0"/>
              <w:snapToGrid w:val="0"/>
              <w:spacing w:line="240" w:lineRule="atLeast"/>
              <w:jc w:val="right"/>
              <w:rPr>
                <w:rFonts w:ascii="宋体" w:hAnsi="宋体"/>
              </w:rPr>
            </w:pPr>
            <w:r>
              <w:rPr>
                <w:rFonts w:ascii="宋体" w:hAnsi="宋体"/>
              </w:rPr>
              <w:t>7,095,476</w:t>
            </w:r>
          </w:p>
        </w:tc>
        <w:tc>
          <w:tcPr>
            <w:tcW w:w="2823" w:type="dxa"/>
            <w:vAlign w:val="center"/>
          </w:tcPr>
          <w:p>
            <w:pPr>
              <w:jc w:val="right"/>
              <w:rPr>
                <w:rFonts w:ascii="宋体" w:hAnsi="宋体"/>
              </w:rPr>
            </w:pPr>
            <w:r>
              <w:rPr>
                <w:rFonts w:ascii="宋体" w:hAnsi="宋体"/>
              </w:rPr>
              <w:t>7,483,102</w:t>
            </w:r>
          </w:p>
        </w:tc>
      </w:tr>
    </w:tbl>
    <w:p>
      <w:pPr>
        <w:spacing w:before="60" w:after="60"/>
      </w:pPr>
      <w:r>
        <w:rPr>
          <w:rFonts w:hint="eastAsia"/>
        </w:rPr>
        <w:t>其他说明：</w:t>
      </w:r>
    </w:p>
    <w:sdt>
      <w:sdtPr>
        <w:rPr>
          <w:rFonts w:hint="eastAsia"/>
        </w:rPr>
        <w:alias w:val="税金及附加说明"/>
        <w:tag w:val="_GBC_d333a7e7c5ed4b7896c9db975439c1ec"/>
        <w:id w:val="-1620365253"/>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75"/>
        </w:numPr>
        <w:rPr>
          <w:szCs w:val="21"/>
        </w:rPr>
      </w:pPr>
      <w:r>
        <w:rPr>
          <w:szCs w:val="21"/>
        </w:rPr>
        <w:lastRenderedPageBreak/>
        <w:t>销售费用</w:t>
      </w:r>
    </w:p>
    <w:sdt>
      <w:sdtPr>
        <w:alias w:val="是否适用：销售费用[双击切换]"/>
        <w:tag w:val="_GBC_1a0ad35d35924f068ce1b2a2dc02a25f"/>
        <w:id w:val="-146210621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4031727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 xml:space="preserve">千元  </w:t>
          </w:r>
        </w:sdtContent>
      </w:sdt>
      <w:r>
        <w:rPr>
          <w:rFonts w:ascii="宋体" w:hAnsi="宋体" w:hint="eastAsia"/>
          <w:szCs w:val="21"/>
        </w:rPr>
        <w:t>币种：</w:t>
      </w:r>
      <w:sdt>
        <w:sdtPr>
          <w:rPr>
            <w:rFonts w:ascii="宋体" w:hAnsi="宋体" w:hint="eastAsia"/>
            <w:szCs w:val="21"/>
          </w:rPr>
          <w:alias w:val="币种：销售费用"/>
          <w:tag w:val="_GBC_57a629bddf6343a1aebbefc90d9378b0"/>
          <w:id w:val="-5974764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2859"/>
        <w:gridCol w:w="2857"/>
      </w:tblGrid>
      <w:tr>
        <w:sdt>
          <w:sdtPr>
            <w:tag w:val="_PLD_27c4bc503cfe4eafa415de62f182f2c1"/>
            <w:id w:val="20511412"/>
          </w:sdtPr>
          <w:sdtContent>
            <w:tc>
              <w:tcPr>
                <w:tcW w:w="333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105cce5212fb42a182b1fd8e309ba67c"/>
            <w:id w:val="1141467596"/>
          </w:sdtPr>
          <w:sdtContent>
            <w:tc>
              <w:tcPr>
                <w:tcW w:w="285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本期发生额</w:t>
                </w:r>
              </w:p>
            </w:tc>
          </w:sdtContent>
        </w:sdt>
        <w:sdt>
          <w:sdtPr>
            <w:tag w:val="_PLD_5f148659054c4187a80f7bdffc9e9cde"/>
            <w:id w:val="172233833"/>
          </w:sdtPr>
          <w:sdtContent>
            <w:tc>
              <w:tcPr>
                <w:tcW w:w="285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上期发生额</w:t>
                </w:r>
              </w:p>
            </w:tc>
          </w:sdtContent>
        </w:sdt>
      </w:tr>
      <w:tr>
        <w:tc>
          <w:tcPr>
            <w:tcW w:w="3331" w:type="dxa"/>
            <w:tcBorders>
              <w:top w:val="single" w:sz="4" w:space="0" w:color="auto"/>
              <w:left w:val="single" w:sz="4" w:space="0" w:color="auto"/>
              <w:bottom w:val="single" w:sz="4" w:space="0" w:color="auto"/>
              <w:right w:val="single" w:sz="4" w:space="0" w:color="auto"/>
            </w:tcBorders>
          </w:tcPr>
          <w:p>
            <w:pPr>
              <w:pStyle w:val="Style217"/>
            </w:pPr>
            <w:r>
              <w:rPr>
                <w:rFonts w:hint="eastAsia"/>
              </w:rPr>
              <w:t>开采权使用费</w:t>
            </w:r>
          </w:p>
        </w:tc>
        <w:tc>
          <w:tcPr>
            <w:tcW w:w="28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3,029,789</w:t>
            </w:r>
          </w:p>
        </w:tc>
        <w:tc>
          <w:tcPr>
            <w:tcW w:w="28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3,457,201</w:t>
            </w:r>
          </w:p>
        </w:tc>
      </w:tr>
      <w:tr>
        <w:tc>
          <w:tcPr>
            <w:tcW w:w="3331" w:type="dxa"/>
            <w:tcBorders>
              <w:top w:val="single" w:sz="4" w:space="0" w:color="auto"/>
              <w:left w:val="single" w:sz="4" w:space="0" w:color="auto"/>
              <w:bottom w:val="single" w:sz="4" w:space="0" w:color="auto"/>
              <w:right w:val="single" w:sz="4" w:space="0" w:color="auto"/>
            </w:tcBorders>
          </w:tcPr>
          <w:p>
            <w:pPr>
              <w:pStyle w:val="Style217"/>
            </w:pPr>
            <w:r>
              <w:rPr>
                <w:rFonts w:hint="eastAsia"/>
              </w:rPr>
              <w:t>职工薪酬社保及福利费</w:t>
            </w:r>
          </w:p>
        </w:tc>
        <w:tc>
          <w:tcPr>
            <w:tcW w:w="28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431,804</w:t>
            </w:r>
          </w:p>
        </w:tc>
        <w:tc>
          <w:tcPr>
            <w:tcW w:w="28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381,373</w:t>
            </w:r>
          </w:p>
        </w:tc>
      </w:tr>
      <w:tr>
        <w:tc>
          <w:tcPr>
            <w:tcW w:w="3331" w:type="dxa"/>
            <w:tcBorders>
              <w:top w:val="single" w:sz="4" w:space="0" w:color="auto"/>
              <w:left w:val="single" w:sz="4" w:space="0" w:color="auto"/>
              <w:bottom w:val="single" w:sz="4" w:space="0" w:color="auto"/>
              <w:right w:val="single" w:sz="4" w:space="0" w:color="auto"/>
            </w:tcBorders>
          </w:tcPr>
          <w:p>
            <w:pPr>
              <w:pStyle w:val="Style217"/>
            </w:pPr>
            <w:r>
              <w:rPr>
                <w:rFonts w:hint="eastAsia"/>
              </w:rPr>
              <w:t>矿业权出让收益</w:t>
            </w:r>
          </w:p>
        </w:tc>
        <w:tc>
          <w:tcPr>
            <w:tcW w:w="28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-1,705,716</w:t>
            </w:r>
          </w:p>
        </w:tc>
        <w:tc>
          <w:tcPr>
            <w:tcW w:w="28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185,527</w:t>
            </w:r>
          </w:p>
        </w:tc>
      </w:tr>
      <w:tr>
        <w:tc>
          <w:tcPr>
            <w:tcW w:w="3331" w:type="dxa"/>
            <w:tcBorders>
              <w:top w:val="single" w:sz="4" w:space="0" w:color="auto"/>
              <w:left w:val="single" w:sz="4" w:space="0" w:color="auto"/>
              <w:bottom w:val="single" w:sz="4" w:space="0" w:color="auto"/>
              <w:right w:val="single" w:sz="4" w:space="0" w:color="auto"/>
            </w:tcBorders>
          </w:tcPr>
          <w:p>
            <w:pPr>
              <w:pStyle w:val="Style217"/>
            </w:pPr>
            <w:r>
              <w:rPr>
                <w:rFonts w:hint="eastAsia"/>
              </w:rPr>
              <w:t>运输费用、煤碳港务、装卸费用</w:t>
            </w:r>
          </w:p>
        </w:tc>
        <w:tc>
          <w:tcPr>
            <w:tcW w:w="28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69,977</w:t>
            </w:r>
          </w:p>
        </w:tc>
        <w:tc>
          <w:tcPr>
            <w:tcW w:w="28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87,940</w:t>
            </w:r>
          </w:p>
        </w:tc>
      </w:tr>
      <w:tr>
        <w:tc>
          <w:tcPr>
            <w:tcW w:w="3331"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w:t>
            </w:r>
          </w:p>
        </w:tc>
        <w:tc>
          <w:tcPr>
            <w:tcW w:w="28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1,060,228</w:t>
            </w:r>
          </w:p>
        </w:tc>
        <w:tc>
          <w:tcPr>
            <w:tcW w:w="28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806,797</w:t>
            </w:r>
          </w:p>
        </w:tc>
      </w:tr>
      <w:tr>
        <w:tc>
          <w:tcPr>
            <w:tcW w:w="333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8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2,886,082</w:t>
            </w:r>
          </w:p>
        </w:tc>
        <w:tc>
          <w:tcPr>
            <w:tcW w:w="28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4,918,838</w:t>
            </w:r>
          </w:p>
        </w:tc>
      </w:tr>
    </w:tbl>
    <w:p>
      <w:pPr>
        <w:spacing w:before="60" w:after="60"/>
      </w:pPr>
      <w:r>
        <w:rPr>
          <w:rFonts w:hint="eastAsia"/>
        </w:rPr>
        <w:t>其他说明：</w:t>
      </w:r>
    </w:p>
    <w:p>
      <w:pPr>
        <w:spacing w:before="60" w:after="60"/>
        <w:ind w:firstLineChars="200" w:firstLine="420"/>
      </w:pPr>
      <w:r>
        <w:rPr>
          <w:rFonts w:ascii="宋体" w:hAnsi="宋体" w:hint="eastAsia"/>
        </w:rPr>
        <w:t>注：2023年9月，本公司完成对山东能源集团鲁西矿业有限公司（以下简称“鲁西矿业”）的收购，鲁西矿业纳入到本公司的合并范围。依据当时的政府相关政策，鲁西矿业的下属新巨龙煤矿、唐口煤业、李楼煤业三家煤矿计提矿业权出让收益总金额为17.06亿元。因政府部门发布的新政策，已经无需再缴纳上述矿业权出让收益，故当期冲回已计提的金额。</w:t>
      </w:r>
    </w:p>
    <w:p>
      <w:pPr>
        <w:pStyle w:val="Style217"/>
      </w:pPr>
    </w:p>
    <w:p>
      <w:pPr>
        <w:pStyle w:val="Style178"/>
        <w:numPr>
          <w:ilvl w:val="0"/>
          <w:numId w:val="75"/>
        </w:numPr>
        <w:rPr>
          <w:szCs w:val="21"/>
        </w:rPr>
      </w:pPr>
      <w:bookmarkStart w:id="513" w:name="_Hlk532912714"/>
      <w:bookmarkStart w:id="514" w:name="_Hlk155098459"/>
      <w:r>
        <w:rPr>
          <w:szCs w:val="21"/>
        </w:rPr>
        <w:t>管理费用</w:t>
      </w:r>
    </w:p>
    <w:sdt>
      <w:sdtPr>
        <w:alias w:val="是否适用：管理费用[双击切换]"/>
        <w:tag w:val="_GBC_b376fd9abaac4f3b8e5956b8dcd72faf"/>
        <w:id w:val="155388939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管理费用"/>
          <w:tag w:val="_GBC_73606f31bd404afb8bfe5aabe1a68278"/>
          <w:id w:val="-13263498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管理费用"/>
          <w:tag w:val="_GBC_0549259a290d43c39c63d67cdad7f80d"/>
          <w:id w:val="-7742509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604"/>
        <w:gridCol w:w="2439"/>
      </w:tblGrid>
      <w:tr>
        <w:sdt>
          <w:sdtPr>
            <w:tag w:val="_PLD_588268d9a550441d943c27cfc1105eb0"/>
            <w:id w:val="-130327515"/>
          </w:sdtPr>
          <w:sdtContent>
            <w:tc>
              <w:tcPr>
                <w:tcW w:w="40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0e4f4d04bcb2408d8a5744ac90a1f89b"/>
            <w:id w:val="1066305305"/>
          </w:sdtPr>
          <w:sdtContent>
            <w:tc>
              <w:tcPr>
                <w:tcW w:w="260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本期发生额</w:t>
                </w:r>
              </w:p>
            </w:tc>
          </w:sdtContent>
        </w:sdt>
        <w:sdt>
          <w:sdtPr>
            <w:tag w:val="_PLD_6f1ab61237164c0db56540ae1980b62c"/>
            <w:id w:val="603689001"/>
          </w:sdtPr>
          <w:sdtContent>
            <w:tc>
              <w:tcPr>
                <w:tcW w:w="243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上期发生额</w:t>
                </w:r>
              </w:p>
            </w:tc>
          </w:sdtContent>
        </w:sdt>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职工薪酬社保及福利费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6,093,029</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6,470,512</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折旧费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906,650</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1,054,419</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中介、咨询及服务费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436,726</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443,104</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股份支付</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80,636</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159,327</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差旅、办公、会议及招待费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201,014</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329,469</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摊销、租赁费等</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368,280</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521,739</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材料及修理费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225,703</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227,623</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停工损失</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68</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物业费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150,368</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155,130</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党建工作经费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83,858</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111,614</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1,282,809</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1,025,792</w:t>
            </w:r>
          </w:p>
        </w:tc>
      </w:tr>
      <w:tr>
        <w:tc>
          <w:tcPr>
            <w:tcW w:w="40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9,829,073</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10,498,797</w:t>
            </w:r>
          </w:p>
        </w:tc>
      </w:tr>
    </w:tbl>
    <w:p>
      <w:pPr>
        <w:pStyle w:val="Style217"/>
      </w:pPr>
      <w:r>
        <w:rPr>
          <w:rFonts w:hint="eastAsia"/>
        </w:rPr>
        <w:t>其他说明：</w:t>
      </w:r>
    </w:p>
    <w:sdt>
      <w:sdtPr>
        <w:alias w:val="管理费用的其他说明事项"/>
        <w:tag w:val="_GBC_9b151103b3714e6c9261d3362f24bd0a"/>
        <w:id w:val="-499273376"/>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75"/>
        </w:numPr>
        <w:rPr>
          <w:szCs w:val="21"/>
        </w:rPr>
      </w:pPr>
      <w:r>
        <w:rPr>
          <w:szCs w:val="21"/>
        </w:rPr>
        <w:t>研发费用</w:t>
      </w:r>
    </w:p>
    <w:sdt>
      <w:sdtPr>
        <w:alias w:val="是否适用：研发费用[双击切换]"/>
        <w:tag w:val="_GBC_9898510b9c0a486f9cd9779f4b72b75c"/>
        <w:id w:val="49677864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4776105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研发费用"/>
          <w:tag w:val="_GBC_fd53f958c2294dce9fb017f8207a7ff4"/>
          <w:id w:val="12579400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604"/>
        <w:gridCol w:w="2439"/>
      </w:tblGrid>
      <w:tr>
        <w:sdt>
          <w:sdtPr>
            <w:tag w:val="_PLD_70c22a459f7a4323bcf2b066e0398aee"/>
            <w:id w:val="-2086373388"/>
          </w:sdtPr>
          <w:sdtContent>
            <w:tc>
              <w:tcPr>
                <w:tcW w:w="40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76c559fcf2df4f56bfb2994739826eb3"/>
            <w:id w:val="953519440"/>
          </w:sdtPr>
          <w:sdtContent>
            <w:tc>
              <w:tcPr>
                <w:tcW w:w="260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本期发生额</w:t>
                </w:r>
              </w:p>
            </w:tc>
          </w:sdtContent>
        </w:sdt>
        <w:sdt>
          <w:sdtPr>
            <w:tag w:val="_PLD_ec7e9f373a83410d886ebef444573eb8"/>
            <w:id w:val="-1758584220"/>
          </w:sdtPr>
          <w:sdtContent>
            <w:tc>
              <w:tcPr>
                <w:tcW w:w="243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上期发生额</w:t>
                </w:r>
              </w:p>
            </w:tc>
          </w:sdtContent>
        </w:sdt>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设备材料费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1,603,282</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1,757,569</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职工薪酬</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1,124,679</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1,160,472</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折旧及摊销费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283,277</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265,663</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委外技术服务费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269,199</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129,002</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117,443</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186,293</w:t>
            </w:r>
          </w:p>
        </w:tc>
      </w:tr>
      <w:tr>
        <w:tc>
          <w:tcPr>
            <w:tcW w:w="40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3,397,880</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3,498,999</w:t>
            </w:r>
          </w:p>
        </w:tc>
      </w:tr>
    </w:tbl>
    <w:p>
      <w:pPr>
        <w:pStyle w:val="Style217"/>
      </w:pPr>
      <w:r>
        <w:rPr>
          <w:rFonts w:hint="eastAsia"/>
        </w:rPr>
        <w:t>其他说明：</w:t>
      </w:r>
    </w:p>
    <w:sdt>
      <w:sdtPr>
        <w:alias w:val="研发费用其他说明"/>
        <w:tag w:val="_GBC_da0db64d68d44b2fa6262eeadfe7c926"/>
        <w:id w:val="-1578812425"/>
        <w:placeholder>
          <w:docPart w:val="GBC22222222222222222222222222222"/>
        </w:placeholder>
      </w:sdtPr>
      <w:sdtContent>
        <w:p>
          <w:pPr>
            <w:pStyle w:val="Style217"/>
          </w:pPr>
          <w:r>
            <w:rPr>
              <w:rFonts w:hint="eastAsia"/>
            </w:rPr>
            <w:t>-</w:t>
          </w:r>
        </w:p>
      </w:sdtContent>
    </w:sdt>
    <w:p>
      <w:pPr>
        <w:pStyle w:val="Style217"/>
      </w:pPr>
    </w:p>
    <w:p>
      <w:pPr>
        <w:pStyle w:val="Style217"/>
      </w:pPr>
    </w:p>
    <w:bookmarkEnd w:id="513"/>
    <w:bookmarkEnd w:id="514"/>
    <w:p>
      <w:pPr>
        <w:pStyle w:val="Style178"/>
        <w:numPr>
          <w:ilvl w:val="0"/>
          <w:numId w:val="75"/>
        </w:numPr>
        <w:rPr>
          <w:szCs w:val="21"/>
        </w:rPr>
      </w:pPr>
      <w:r>
        <w:rPr>
          <w:szCs w:val="21"/>
        </w:rPr>
        <w:t>财务费用</w:t>
      </w:r>
    </w:p>
    <w:sdt>
      <w:sdtPr>
        <w:alias w:val="是否适用：财务费用[双击切换]"/>
        <w:tag w:val="_GBC_7e467c6faebc402ab141f588df31680d"/>
        <w:id w:val="-89827811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费用"/>
          <w:tag w:val="_GBC_adcf988d29cd43aba011ce1310eac264"/>
          <w:id w:val="-14503081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费用"/>
          <w:tag w:val="_GBC_f6066e571d54449daf358ae3037f9712"/>
          <w:id w:val="-6555341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604"/>
        <w:gridCol w:w="2439"/>
      </w:tblGrid>
      <w:tr>
        <w:sdt>
          <w:sdtPr>
            <w:tag w:val="_PLD_49977e87dd3f474489b24bbaed00293d"/>
            <w:id w:val="-1364433050"/>
          </w:sdtPr>
          <w:sdtContent>
            <w:tc>
              <w:tcPr>
                <w:tcW w:w="40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f64aa2e290ce4904a39347c56117acb7"/>
            <w:id w:val="323546555"/>
          </w:sdtPr>
          <w:sdtContent>
            <w:tc>
              <w:tcPr>
                <w:tcW w:w="260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本期发生额</w:t>
                </w:r>
              </w:p>
            </w:tc>
          </w:sdtContent>
        </w:sdt>
        <w:sdt>
          <w:sdtPr>
            <w:tag w:val="_PLD_178c78585f7e495ebd86923cb8c24338"/>
            <w:id w:val="-2124525601"/>
          </w:sdtPr>
          <w:sdtContent>
            <w:tc>
              <w:tcPr>
                <w:tcW w:w="243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上期发生额</w:t>
                </w:r>
              </w:p>
            </w:tc>
          </w:sdtContent>
        </w:sdt>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利息费用</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4,095,650</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4,407,581</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减：利息收入</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576,801</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876,353</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加：汇兑损失</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226,861</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-739,953</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加：担保支出</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21,327</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37,107</w:t>
            </w:r>
          </w:p>
        </w:tc>
      </w:tr>
      <w:tr>
        <w:tc>
          <w:tcPr>
            <w:tcW w:w="4005" w:type="dxa"/>
            <w:tcBorders>
              <w:top w:val="single" w:sz="4" w:space="0" w:color="auto"/>
              <w:left w:val="single" w:sz="4" w:space="0" w:color="auto"/>
              <w:bottom w:val="single" w:sz="4" w:space="0" w:color="auto"/>
              <w:right w:val="single" w:sz="4" w:space="0" w:color="auto"/>
            </w:tcBorders>
          </w:tcPr>
          <w:p>
            <w:pPr>
              <w:pStyle w:val="Style217"/>
            </w:pPr>
            <w:r>
              <w:rPr>
                <w:rFonts w:hint="eastAsia"/>
              </w:rPr>
              <w:t>加：其他支出</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380,942</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308,368</w:t>
            </w:r>
          </w:p>
        </w:tc>
      </w:tr>
      <w:tr>
        <w:tc>
          <w:tcPr>
            <w:tcW w:w="40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4,147,979</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3,136,750</w:t>
            </w:r>
          </w:p>
        </w:tc>
      </w:tr>
    </w:tbl>
    <w:p>
      <w:pPr>
        <w:pStyle w:val="Style217"/>
      </w:pPr>
      <w:r>
        <w:rPr>
          <w:rFonts w:hint="eastAsia"/>
        </w:rPr>
        <w:t>其他说明：</w:t>
      </w:r>
    </w:p>
    <w:sdt>
      <w:sdtPr>
        <w:alias w:val="财务费用的其他说明事项"/>
        <w:tag w:val="_GBC_ac6200ee95c7483d9ee9565f49369f9a"/>
        <w:id w:val="-2132235253"/>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75"/>
        </w:numPr>
        <w:rPr>
          <w:szCs w:val="21"/>
        </w:rPr>
      </w:pPr>
      <w:r>
        <w:rPr>
          <w:szCs w:val="21"/>
        </w:rPr>
        <w:t>其他收益</w:t>
      </w:r>
    </w:p>
    <w:sdt>
      <w:sdtPr>
        <w:rPr>
          <w:bCs/>
        </w:rPr>
        <w:alias w:val="是否适用：财务报表其他收益[双击切换]"/>
        <w:tag w:val="_GBC_24722ffac3b6474db1e1d7972d6e4a7b"/>
        <w:id w:val="-2010509535"/>
        <w:placeholder>
          <w:docPart w:val="GBC22222222222222222222222222222"/>
        </w:placeholder>
      </w:sdtPr>
      <w:sdtContent>
        <w:p>
          <w:pPr>
            <w:rPr>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p>
      <w:pPr>
        <w:pStyle w:val="Style189"/>
        <w:ind w:left="420" w:firstLineChars="0" w:firstLine="0"/>
        <w:jc w:val="right"/>
        <w:rPr>
          <w:bCs/>
        </w:rPr>
      </w:pPr>
      <w:r>
        <w:rPr>
          <w:bCs/>
        </w:rPr>
        <w:t>单位：</w:t>
      </w:r>
      <w:sdt>
        <w:sdtPr>
          <w:rPr>
            <w:bCs/>
          </w:rPr>
          <w:alias w:val="单位：财务报表其他收益明细"/>
          <w:tag w:val="_GBC_74ea52f952324be7ab2c4c494ff673ce"/>
          <w:id w:val="-11112024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千元</w:t>
          </w:r>
          <w:r>
            <w:rPr>
              <w:rFonts w:hint="eastAsia"/>
              <w:bCs/>
            </w:rPr>
            <w:t xml:space="preserve">  </w:t>
          </w:r>
        </w:sdtContent>
      </w:sdt>
      <w:r>
        <w:rPr>
          <w:bCs/>
        </w:rPr>
        <w:t>币种：</w:t>
      </w:r>
      <w:sdt>
        <w:sdtPr>
          <w:rPr>
            <w:bCs/>
          </w:rPr>
          <w:alias w:val="币种：财务报表其他收益明细"/>
          <w:tag w:val="_GBC_8360ed9b182a496c9b5d2220a414a4cb"/>
          <w:id w:val="-4282664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775"/>
        <w:gridCol w:w="3016"/>
      </w:tblGrid>
      <w:tr>
        <w:sdt>
          <w:sdtPr>
            <w:tag w:val="_PLD_7df5d6dc8fe1463b8e0d41784241e311"/>
            <w:id w:val="-879779275"/>
          </w:sdtPr>
          <w:sdtContent>
            <w:tc>
              <w:tcPr>
                <w:tcW w:w="3256" w:type="dxa"/>
                <w:vAlign w:val="center"/>
              </w:tcPr>
              <w:p>
                <w:pPr>
                  <w:widowControl w:val="0"/>
                  <w:jc w:val="center"/>
                </w:pPr>
                <w:r>
                  <w:rPr>
                    <w:rFonts w:hint="eastAsia"/>
                  </w:rPr>
                  <w:t>按性质分类</w:t>
                </w:r>
              </w:p>
            </w:tc>
          </w:sdtContent>
        </w:sdt>
        <w:sdt>
          <w:sdtPr>
            <w:tag w:val="_PLD_2c34d48a6a534080943d2d340c325c15"/>
            <w:id w:val="589517981"/>
          </w:sdtPr>
          <w:sdtContent>
            <w:tc>
              <w:tcPr>
                <w:tcW w:w="2775" w:type="dxa"/>
                <w:vAlign w:val="center"/>
              </w:tcPr>
              <w:p>
                <w:pPr>
                  <w:widowControl w:val="0"/>
                  <w:jc w:val="center"/>
                </w:pPr>
                <w:r>
                  <w:rPr>
                    <w:rFonts w:hint="eastAsia"/>
                  </w:rPr>
                  <w:t>本期发生额</w:t>
                </w:r>
              </w:p>
            </w:tc>
          </w:sdtContent>
        </w:sdt>
        <w:sdt>
          <w:sdtPr>
            <w:tag w:val="_PLD_1a2c9ed0a9704089897421e22b8696dd"/>
            <w:id w:val="1403487304"/>
          </w:sdtPr>
          <w:sdtContent>
            <w:tc>
              <w:tcPr>
                <w:tcW w:w="3016" w:type="dxa"/>
                <w:vAlign w:val="center"/>
              </w:tcPr>
              <w:p>
                <w:pPr>
                  <w:widowControl w:val="0"/>
                  <w:jc w:val="center"/>
                </w:pPr>
                <w:r>
                  <w:rPr>
                    <w:rFonts w:hint="eastAsia"/>
                  </w:rPr>
                  <w:t>上期发生额</w:t>
                </w:r>
              </w:p>
            </w:tc>
          </w:sdtContent>
        </w:sdt>
      </w:tr>
      <w:tr>
        <w:tc>
          <w:tcPr>
            <w:tcW w:w="3256" w:type="dxa"/>
          </w:tcPr>
          <w:p>
            <w:pPr>
              <w:widowControl w:val="0"/>
            </w:pPr>
            <w:r>
              <w:rPr>
                <w:rFonts w:hint="eastAsia"/>
              </w:rPr>
              <w:t>与日常经营活动相关的政府补助</w:t>
            </w:r>
          </w:p>
        </w:tc>
        <w:tc>
          <w:tcPr>
            <w:tcW w:w="2775" w:type="dxa"/>
          </w:tcPr>
          <w:p>
            <w:pPr>
              <w:widowControl w:val="0"/>
              <w:jc w:val="right"/>
              <w:rPr>
                <w:rFonts w:ascii="宋体" w:hAnsi="宋体"/>
              </w:rPr>
            </w:pPr>
            <w:r>
              <w:rPr>
                <w:rFonts w:ascii="宋体" w:hAnsi="宋体" w:hint="eastAsia"/>
              </w:rPr>
              <w:t>342,188</w:t>
            </w:r>
          </w:p>
        </w:tc>
        <w:tc>
          <w:tcPr>
            <w:tcW w:w="3016" w:type="dxa"/>
          </w:tcPr>
          <w:p>
            <w:pPr>
              <w:widowControl w:val="0"/>
              <w:jc w:val="right"/>
              <w:rPr>
                <w:rFonts w:ascii="宋体" w:hAnsi="宋体"/>
              </w:rPr>
            </w:pPr>
            <w:r>
              <w:rPr>
                <w:rFonts w:ascii="宋体" w:hAnsi="宋体" w:hint="eastAsia"/>
              </w:rPr>
              <w:t>390,338</w:t>
            </w:r>
          </w:p>
        </w:tc>
      </w:tr>
      <w:tr>
        <w:tc>
          <w:tcPr>
            <w:tcW w:w="3256" w:type="dxa"/>
            <w:vAlign w:val="center"/>
          </w:tcPr>
          <w:p>
            <w:pPr>
              <w:widowControl w:val="0"/>
              <w:jc w:val="center"/>
            </w:pPr>
            <w:r>
              <w:rPr>
                <w:rFonts w:hint="eastAsia"/>
              </w:rPr>
              <w:t>合计</w:t>
            </w:r>
          </w:p>
        </w:tc>
        <w:tc>
          <w:tcPr>
            <w:tcW w:w="2775" w:type="dxa"/>
          </w:tcPr>
          <w:p>
            <w:pPr>
              <w:widowControl w:val="0"/>
              <w:jc w:val="right"/>
              <w:rPr>
                <w:rFonts w:ascii="宋体" w:hAnsi="宋体"/>
              </w:rPr>
            </w:pPr>
            <w:r>
              <w:rPr>
                <w:rFonts w:ascii="宋体" w:hAnsi="宋体"/>
              </w:rPr>
              <w:t>342,188</w:t>
            </w:r>
          </w:p>
        </w:tc>
        <w:tc>
          <w:tcPr>
            <w:tcW w:w="3016" w:type="dxa"/>
          </w:tcPr>
          <w:p>
            <w:pPr>
              <w:widowControl w:val="0"/>
              <w:jc w:val="right"/>
              <w:rPr>
                <w:rFonts w:ascii="宋体" w:hAnsi="宋体"/>
              </w:rPr>
            </w:pPr>
            <w:r>
              <w:rPr>
                <w:rFonts w:ascii="宋体" w:hAnsi="宋体"/>
              </w:rPr>
              <w:t>390,338</w:t>
            </w:r>
          </w:p>
        </w:tc>
      </w:tr>
    </w:tbl>
    <w:p>
      <w:pPr>
        <w:pStyle w:val="Style217"/>
      </w:pPr>
      <w:r>
        <w:rPr>
          <w:rFonts w:hint="eastAsia"/>
        </w:rPr>
        <w:t>其他说明：</w:t>
      </w:r>
    </w:p>
    <w:sdt>
      <w:sdtPr>
        <w:alias w:val="财务报表其他收益其他说明"/>
        <w:tag w:val="_GBC_4b4ba73a66704c609e7c6617d0fa6694"/>
        <w:id w:val="153884158"/>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75"/>
        </w:numPr>
        <w:rPr>
          <w:szCs w:val="21"/>
        </w:rPr>
      </w:pPr>
      <w:bookmarkStart w:id="515" w:name="_Hlk11857276"/>
      <w:bookmarkStart w:id="516" w:name="_Hlk24027658"/>
      <w:bookmarkEnd w:id="515"/>
      <w:r>
        <w:rPr>
          <w:szCs w:val="21"/>
        </w:rPr>
        <w:t>投资收益</w:t>
      </w:r>
    </w:p>
    <w:sdt>
      <w:sdtPr>
        <w:alias w:val="是否适用：投资收益[双击切换]"/>
        <w:tag w:val="_GBC_f581223c46c2426aa46b9e88b6b47f4f"/>
        <w:id w:val="-1676977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b/>
        </w:rPr>
      </w:pPr>
      <w:bookmarkStart w:id="517" w:name="_Hlk10538462"/>
      <w:r>
        <w:t>单位</w:t>
      </w:r>
      <w:r>
        <w:rPr>
          <w:rFonts w:hint="eastAsia"/>
        </w:rPr>
        <w:t>：</w:t>
      </w:r>
      <w:sdt>
        <w:sdtPr>
          <w:rPr>
            <w:rFonts w:hint="eastAsia"/>
          </w:rPr>
          <w:alias w:val="单位：财务附注：会计报表中的投资收益项目增加"/>
          <w:tag w:val="_GBC_aeb04d73052c442cb4e2c86d75a8fbb5"/>
          <w:id w:val="-2338599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t>币种</w:t>
      </w:r>
      <w:r>
        <w:rPr>
          <w:rFonts w:hint="eastAsia"/>
        </w:rPr>
        <w:t>：</w:t>
      </w:r>
      <w:sdt>
        <w:sdtPr>
          <w:rPr>
            <w:rFonts w:hint="eastAsia"/>
          </w:rPr>
          <w:alias w:val="币种：财务附注：会计报表中的投资收益项目增加"/>
          <w:tag w:val="_GBC_9845e736e0054165b2ee74d48d6dd757"/>
          <w:id w:val="-12022406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692"/>
        <w:gridCol w:w="2703"/>
      </w:tblGrid>
      <w:tr>
        <w:sdt>
          <w:sdtPr>
            <w:tag w:val="_PLD_998e1ec79cfc4df397c6fa0a751f3489"/>
            <w:id w:val="1720859834"/>
          </w:sdtPr>
          <w:sdtContent>
            <w:tc>
              <w:tcPr>
                <w:tcW w:w="3652" w:type="dxa"/>
                <w:vAlign w:val="center"/>
              </w:tcPr>
              <w:p>
                <w:pPr>
                  <w:ind w:left="420" w:hanging="420"/>
                  <w:jc w:val="center"/>
                </w:pPr>
                <w:r>
                  <w:rPr>
                    <w:rFonts w:hint="eastAsia"/>
                  </w:rPr>
                  <w:t>项目</w:t>
                </w:r>
              </w:p>
            </w:tc>
          </w:sdtContent>
        </w:sdt>
        <w:sdt>
          <w:sdtPr>
            <w:tag w:val="_PLD_239208f1271348119306f77c15ab0ec0"/>
            <w:id w:val="-94718240"/>
          </w:sdtPr>
          <w:sdtContent>
            <w:tc>
              <w:tcPr>
                <w:tcW w:w="2692" w:type="dxa"/>
                <w:vAlign w:val="center"/>
              </w:tcPr>
              <w:p>
                <w:pPr>
                  <w:jc w:val="center"/>
                </w:pPr>
                <w:r>
                  <w:rPr>
                    <w:rFonts w:hint="eastAsia"/>
                  </w:rPr>
                  <w:t>本期发生额</w:t>
                </w:r>
              </w:p>
            </w:tc>
          </w:sdtContent>
        </w:sdt>
        <w:sdt>
          <w:sdtPr>
            <w:tag w:val="_PLD_c548c34a5b7b4e3eb5536d1408d6cc7b"/>
            <w:id w:val="285004697"/>
          </w:sdtPr>
          <w:sdtContent>
            <w:tc>
              <w:tcPr>
                <w:tcW w:w="2703" w:type="dxa"/>
                <w:vAlign w:val="center"/>
              </w:tcPr>
              <w:p>
                <w:pPr>
                  <w:jc w:val="center"/>
                </w:pPr>
                <w:r>
                  <w:rPr>
                    <w:rFonts w:hint="eastAsia"/>
                  </w:rPr>
                  <w:t>上期发生额</w:t>
                </w:r>
              </w:p>
            </w:tc>
          </w:sdtContent>
        </w:sdt>
      </w:tr>
      <w:tr>
        <w:tc>
          <w:tcPr>
            <w:tcW w:w="3652" w:type="dxa"/>
          </w:tcPr>
          <w:p>
            <w:pPr>
              <w:pStyle w:val="Style217"/>
            </w:pPr>
            <w:r>
              <w:rPr>
                <w:rFonts w:hint="eastAsia"/>
              </w:rPr>
              <w:t>持有交易性金融资产期间取得的投资收益</w:t>
            </w:r>
          </w:p>
        </w:tc>
        <w:tc>
          <w:tcPr>
            <w:tcW w:w="2692" w:type="dxa"/>
            <w:vAlign w:val="center"/>
          </w:tcPr>
          <w:p>
            <w:pPr>
              <w:jc w:val="right"/>
              <w:rPr>
                <w:rFonts w:ascii="宋体" w:hAnsi="宋体"/>
              </w:rPr>
            </w:pPr>
            <w:r>
              <w:rPr>
                <w:rFonts w:ascii="宋体" w:hAnsi="宋体"/>
              </w:rPr>
              <w:t>18,199</w:t>
            </w:r>
          </w:p>
        </w:tc>
        <w:tc>
          <w:tcPr>
            <w:tcW w:w="2703" w:type="dxa"/>
            <w:vAlign w:val="center"/>
          </w:tcPr>
          <w:p>
            <w:pPr>
              <w:jc w:val="right"/>
              <w:rPr>
                <w:rFonts w:ascii="宋体" w:hAnsi="宋体"/>
              </w:rPr>
            </w:pPr>
            <w:r>
              <w:rPr>
                <w:rFonts w:ascii="宋体" w:hAnsi="宋体"/>
              </w:rPr>
              <w:t>6,449</w:t>
            </w:r>
          </w:p>
        </w:tc>
      </w:tr>
      <w:tr>
        <w:tc>
          <w:tcPr>
            <w:tcW w:w="3652" w:type="dxa"/>
          </w:tcPr>
          <w:p>
            <w:pPr>
              <w:pStyle w:val="Style217"/>
            </w:pPr>
            <w:r>
              <w:rPr>
                <w:rFonts w:hint="eastAsia"/>
              </w:rPr>
              <w:t>持有其他权益工具投资期间取得的投资收益</w:t>
            </w:r>
          </w:p>
        </w:tc>
        <w:tc>
          <w:tcPr>
            <w:tcW w:w="2692" w:type="dxa"/>
            <w:vAlign w:val="center"/>
          </w:tcPr>
          <w:p>
            <w:pPr>
              <w:jc w:val="right"/>
              <w:rPr>
                <w:rFonts w:ascii="宋体" w:hAnsi="宋体"/>
              </w:rPr>
            </w:pPr>
            <w:r>
              <w:rPr>
                <w:rFonts w:ascii="宋体" w:hAnsi="宋体"/>
              </w:rPr>
              <w:t>12,876</w:t>
            </w:r>
          </w:p>
        </w:tc>
        <w:tc>
          <w:tcPr>
            <w:tcW w:w="2703" w:type="dxa"/>
            <w:vAlign w:val="center"/>
          </w:tcPr>
          <w:p>
            <w:pPr>
              <w:jc w:val="right"/>
              <w:rPr>
                <w:rFonts w:ascii="宋体" w:hAnsi="宋体"/>
              </w:rPr>
            </w:pPr>
            <w:r>
              <w:rPr>
                <w:rFonts w:ascii="宋体" w:hAnsi="宋体"/>
              </w:rPr>
              <w:t>2,263</w:t>
            </w:r>
          </w:p>
        </w:tc>
      </w:tr>
      <w:tr>
        <w:tc>
          <w:tcPr>
            <w:tcW w:w="3652" w:type="dxa"/>
          </w:tcPr>
          <w:p>
            <w:pPr>
              <w:pStyle w:val="Style217"/>
            </w:pPr>
            <w:r>
              <w:rPr>
                <w:rFonts w:hint="eastAsia"/>
              </w:rPr>
              <w:t>持有债权投资期间取得的投资收益</w:t>
            </w:r>
          </w:p>
        </w:tc>
        <w:tc>
          <w:tcPr>
            <w:tcW w:w="2692" w:type="dxa"/>
            <w:vAlign w:val="center"/>
          </w:tcPr>
          <w:p>
            <w:pPr>
              <w:jc w:val="right"/>
              <w:rPr>
                <w:rFonts w:ascii="宋体" w:hAnsi="宋体"/>
              </w:rPr>
            </w:pPr>
          </w:p>
        </w:tc>
        <w:tc>
          <w:tcPr>
            <w:tcW w:w="2703" w:type="dxa"/>
            <w:vAlign w:val="center"/>
          </w:tcPr>
          <w:p>
            <w:pPr>
              <w:jc w:val="right"/>
              <w:rPr>
                <w:rFonts w:ascii="宋体" w:hAnsi="宋体"/>
              </w:rPr>
            </w:pPr>
            <w:r>
              <w:rPr>
                <w:rFonts w:ascii="宋体" w:hAnsi="宋体"/>
              </w:rPr>
              <w:t>51,483</w:t>
            </w:r>
          </w:p>
        </w:tc>
      </w:tr>
      <w:tr>
        <w:tc>
          <w:tcPr>
            <w:tcW w:w="3652" w:type="dxa"/>
          </w:tcPr>
          <w:p>
            <w:pPr>
              <w:pStyle w:val="Style217"/>
            </w:pPr>
            <w:r>
              <w:rPr>
                <w:rFonts w:hint="eastAsia"/>
              </w:rPr>
              <w:t>处置交易性金融负债收益</w:t>
            </w:r>
          </w:p>
        </w:tc>
        <w:tc>
          <w:tcPr>
            <w:tcW w:w="2692" w:type="dxa"/>
            <w:vAlign w:val="center"/>
          </w:tcPr>
          <w:p>
            <w:pPr>
              <w:jc w:val="right"/>
              <w:rPr>
                <w:rFonts w:ascii="宋体" w:hAnsi="宋体"/>
              </w:rPr>
            </w:pPr>
          </w:p>
        </w:tc>
        <w:tc>
          <w:tcPr>
            <w:tcW w:w="2703" w:type="dxa"/>
            <w:vAlign w:val="center"/>
          </w:tcPr>
          <w:p>
            <w:pPr>
              <w:jc w:val="right"/>
              <w:rPr>
                <w:rFonts w:ascii="宋体" w:hAnsi="宋体"/>
              </w:rPr>
            </w:pPr>
            <w:r>
              <w:rPr>
                <w:rFonts w:ascii="宋体" w:hAnsi="宋体"/>
              </w:rPr>
              <w:t>20</w:t>
            </w:r>
          </w:p>
        </w:tc>
      </w:tr>
      <w:tr>
        <w:tc>
          <w:tcPr>
            <w:tcW w:w="3652" w:type="dxa"/>
          </w:tcPr>
          <w:p>
            <w:pPr>
              <w:pStyle w:val="Style217"/>
            </w:pPr>
            <w:r>
              <w:rPr>
                <w:rFonts w:hint="eastAsia"/>
              </w:rPr>
              <w:t>处置交易性金融资产取得的投资收益</w:t>
            </w:r>
          </w:p>
        </w:tc>
        <w:tc>
          <w:tcPr>
            <w:tcW w:w="2692" w:type="dxa"/>
            <w:vAlign w:val="center"/>
          </w:tcPr>
          <w:p>
            <w:pPr>
              <w:jc w:val="right"/>
              <w:rPr>
                <w:rFonts w:ascii="宋体" w:hAnsi="宋体"/>
              </w:rPr>
            </w:pPr>
            <w:r>
              <w:rPr>
                <w:rFonts w:ascii="宋体" w:hAnsi="宋体"/>
              </w:rPr>
              <w:t>32,329</w:t>
            </w:r>
          </w:p>
        </w:tc>
        <w:tc>
          <w:tcPr>
            <w:tcW w:w="2703" w:type="dxa"/>
            <w:vAlign w:val="center"/>
          </w:tcPr>
          <w:p>
            <w:pPr>
              <w:jc w:val="right"/>
              <w:rPr>
                <w:rFonts w:ascii="宋体" w:hAnsi="宋体"/>
              </w:rPr>
            </w:pPr>
            <w:r>
              <w:rPr>
                <w:rFonts w:ascii="宋体" w:hAnsi="宋体"/>
              </w:rPr>
              <w:t>11,028</w:t>
            </w:r>
          </w:p>
        </w:tc>
      </w:tr>
      <w:tr>
        <w:tc>
          <w:tcPr>
            <w:tcW w:w="3652" w:type="dxa"/>
          </w:tcPr>
          <w:p>
            <w:pPr>
              <w:pStyle w:val="Style217"/>
            </w:pPr>
            <w:r>
              <w:rPr>
                <w:rFonts w:hint="eastAsia"/>
              </w:rPr>
              <w:t>处置长期股权投资产生的投资收益</w:t>
            </w:r>
          </w:p>
        </w:tc>
        <w:tc>
          <w:tcPr>
            <w:tcW w:w="2692" w:type="dxa"/>
            <w:vAlign w:val="center"/>
          </w:tcPr>
          <w:p>
            <w:pPr>
              <w:jc w:val="right"/>
              <w:rPr>
                <w:rFonts w:ascii="宋体" w:hAnsi="宋体"/>
              </w:rPr>
            </w:pPr>
            <w:r>
              <w:rPr>
                <w:rFonts w:ascii="宋体" w:hAnsi="宋体"/>
              </w:rPr>
              <w:t>-281,410</w:t>
            </w:r>
          </w:p>
        </w:tc>
        <w:tc>
          <w:tcPr>
            <w:tcW w:w="2703" w:type="dxa"/>
            <w:vAlign w:val="center"/>
          </w:tcPr>
          <w:p>
            <w:pPr>
              <w:jc w:val="right"/>
              <w:rPr>
                <w:rFonts w:ascii="宋体" w:hAnsi="宋体"/>
              </w:rPr>
            </w:pPr>
            <w:r>
              <w:rPr>
                <w:rFonts w:ascii="宋体" w:hAnsi="宋体"/>
              </w:rPr>
              <w:t>126,796</w:t>
            </w:r>
          </w:p>
        </w:tc>
      </w:tr>
      <w:tr>
        <w:tc>
          <w:tcPr>
            <w:tcW w:w="3652" w:type="dxa"/>
          </w:tcPr>
          <w:p>
            <w:pPr>
              <w:pStyle w:val="Style217"/>
            </w:pPr>
            <w:r>
              <w:rPr>
                <w:rFonts w:hint="eastAsia"/>
              </w:rPr>
              <w:t>持有其他非流动金融资产取得的投资收益</w:t>
            </w:r>
          </w:p>
        </w:tc>
        <w:tc>
          <w:tcPr>
            <w:tcW w:w="2692" w:type="dxa"/>
            <w:vAlign w:val="center"/>
          </w:tcPr>
          <w:p>
            <w:pPr>
              <w:jc w:val="right"/>
              <w:rPr>
                <w:rFonts w:ascii="宋体" w:hAnsi="宋体"/>
              </w:rPr>
            </w:pPr>
            <w:r>
              <w:rPr>
                <w:rFonts w:ascii="宋体" w:hAnsi="宋体"/>
              </w:rPr>
              <w:t>15,686</w:t>
            </w:r>
          </w:p>
        </w:tc>
        <w:tc>
          <w:tcPr>
            <w:tcW w:w="2703" w:type="dxa"/>
            <w:vAlign w:val="center"/>
          </w:tcPr>
          <w:p>
            <w:pPr>
              <w:jc w:val="right"/>
              <w:rPr>
                <w:rFonts w:ascii="宋体" w:hAnsi="宋体"/>
              </w:rPr>
            </w:pPr>
          </w:p>
        </w:tc>
      </w:tr>
      <w:tr>
        <w:tc>
          <w:tcPr>
            <w:tcW w:w="3652" w:type="dxa"/>
          </w:tcPr>
          <w:p>
            <w:pPr>
              <w:pStyle w:val="Style217"/>
            </w:pPr>
            <w:r>
              <w:rPr>
                <w:rFonts w:hint="eastAsia"/>
              </w:rPr>
              <w:t>权益法核算的长期股权投资收益</w:t>
            </w:r>
          </w:p>
        </w:tc>
        <w:tc>
          <w:tcPr>
            <w:tcW w:w="2692" w:type="dxa"/>
            <w:vAlign w:val="center"/>
          </w:tcPr>
          <w:p>
            <w:pPr>
              <w:jc w:val="right"/>
              <w:rPr>
                <w:rFonts w:ascii="宋体" w:hAnsi="宋体"/>
              </w:rPr>
            </w:pPr>
            <w:r>
              <w:rPr>
                <w:rFonts w:ascii="宋体" w:hAnsi="宋体"/>
              </w:rPr>
              <w:t>2,426,458</w:t>
            </w:r>
          </w:p>
        </w:tc>
        <w:tc>
          <w:tcPr>
            <w:tcW w:w="2703" w:type="dxa"/>
            <w:vAlign w:val="center"/>
          </w:tcPr>
          <w:p>
            <w:pPr>
              <w:jc w:val="right"/>
              <w:rPr>
                <w:rFonts w:ascii="宋体" w:hAnsi="宋体"/>
              </w:rPr>
            </w:pPr>
            <w:r>
              <w:rPr>
                <w:rFonts w:ascii="宋体" w:hAnsi="宋体"/>
              </w:rPr>
              <w:t>2,291,749</w:t>
            </w:r>
          </w:p>
        </w:tc>
      </w:tr>
      <w:tr>
        <w:tc>
          <w:tcPr>
            <w:tcW w:w="3652" w:type="dxa"/>
          </w:tcPr>
          <w:p>
            <w:pPr>
              <w:pStyle w:val="Style217"/>
            </w:pPr>
            <w:r>
              <w:rPr>
                <w:rFonts w:hint="eastAsia"/>
              </w:rPr>
              <w:t>理财收益</w:t>
            </w:r>
          </w:p>
        </w:tc>
        <w:tc>
          <w:tcPr>
            <w:tcW w:w="2692" w:type="dxa"/>
            <w:vAlign w:val="center"/>
          </w:tcPr>
          <w:p>
            <w:pPr>
              <w:jc w:val="right"/>
              <w:rPr>
                <w:rFonts w:ascii="宋体" w:hAnsi="宋体"/>
              </w:rPr>
            </w:pPr>
            <w:r>
              <w:rPr>
                <w:rFonts w:ascii="宋体" w:hAnsi="宋体"/>
              </w:rPr>
              <w:t>11,058</w:t>
            </w:r>
          </w:p>
        </w:tc>
        <w:tc>
          <w:tcPr>
            <w:tcW w:w="2703" w:type="dxa"/>
            <w:vAlign w:val="center"/>
          </w:tcPr>
          <w:p>
            <w:pPr>
              <w:jc w:val="right"/>
              <w:rPr>
                <w:rFonts w:ascii="宋体" w:hAnsi="宋体"/>
              </w:rPr>
            </w:pPr>
            <w:r>
              <w:rPr>
                <w:rFonts w:ascii="宋体" w:hAnsi="宋体"/>
              </w:rPr>
              <w:t>311</w:t>
            </w:r>
          </w:p>
        </w:tc>
      </w:tr>
      <w:tr>
        <w:tc>
          <w:tcPr>
            <w:tcW w:w="3652" w:type="dxa"/>
          </w:tcPr>
          <w:p>
            <w:pPr>
              <w:pStyle w:val="Style217"/>
            </w:pPr>
            <w:r>
              <w:rPr>
                <w:rFonts w:hint="eastAsia"/>
              </w:rPr>
              <w:t>债务重组收益</w:t>
            </w:r>
          </w:p>
        </w:tc>
        <w:tc>
          <w:tcPr>
            <w:tcW w:w="2692" w:type="dxa"/>
            <w:vAlign w:val="center"/>
          </w:tcPr>
          <w:p>
            <w:pPr>
              <w:jc w:val="right"/>
              <w:rPr>
                <w:rFonts w:ascii="宋体" w:hAnsi="宋体"/>
              </w:rPr>
            </w:pPr>
            <w:r>
              <w:rPr>
                <w:rFonts w:ascii="宋体" w:hAnsi="宋体"/>
              </w:rPr>
              <w:t>4,998</w:t>
            </w:r>
          </w:p>
        </w:tc>
        <w:tc>
          <w:tcPr>
            <w:tcW w:w="2703" w:type="dxa"/>
            <w:vAlign w:val="center"/>
          </w:tcPr>
          <w:p>
            <w:pPr>
              <w:jc w:val="right"/>
              <w:rPr>
                <w:rFonts w:ascii="宋体" w:hAnsi="宋体"/>
              </w:rPr>
            </w:pPr>
            <w:r>
              <w:rPr>
                <w:rFonts w:ascii="宋体" w:hAnsi="宋体"/>
              </w:rPr>
              <w:t>6,216</w:t>
            </w:r>
          </w:p>
        </w:tc>
      </w:tr>
      <w:tr>
        <w:tc>
          <w:tcPr>
            <w:tcW w:w="3652" w:type="dxa"/>
          </w:tcPr>
          <w:p>
            <w:pPr>
              <w:pStyle w:val="Style217"/>
            </w:pPr>
            <w:r>
              <w:rPr>
                <w:rFonts w:hint="eastAsia"/>
              </w:rPr>
              <w:t>其他</w:t>
            </w:r>
          </w:p>
        </w:tc>
        <w:tc>
          <w:tcPr>
            <w:tcW w:w="2692" w:type="dxa"/>
            <w:vAlign w:val="center"/>
          </w:tcPr>
          <w:p>
            <w:pPr>
              <w:jc w:val="right"/>
              <w:rPr>
                <w:rFonts w:ascii="宋体" w:hAnsi="宋体"/>
              </w:rPr>
            </w:pPr>
            <w:r>
              <w:rPr>
                <w:rFonts w:ascii="宋体" w:hAnsi="宋体"/>
              </w:rPr>
              <w:t>5,162</w:t>
            </w:r>
          </w:p>
        </w:tc>
        <w:tc>
          <w:tcPr>
            <w:tcW w:w="2703" w:type="dxa"/>
            <w:vAlign w:val="center"/>
          </w:tcPr>
          <w:p>
            <w:pPr>
              <w:jc w:val="right"/>
              <w:rPr>
                <w:rFonts w:ascii="宋体" w:hAnsi="宋体"/>
              </w:rPr>
            </w:pPr>
            <w:r>
              <w:rPr>
                <w:rFonts w:ascii="宋体" w:hAnsi="宋体"/>
              </w:rPr>
              <w:t>8,609</w:t>
            </w:r>
          </w:p>
        </w:tc>
      </w:tr>
      <w:tr>
        <w:tc>
          <w:tcPr>
            <w:tcW w:w="3652" w:type="dxa"/>
            <w:vAlign w:val="center"/>
          </w:tcPr>
          <w:p>
            <w:pPr>
              <w:jc w:val="center"/>
            </w:pPr>
            <w:r>
              <w:rPr>
                <w:rFonts w:hint="eastAsia"/>
              </w:rPr>
              <w:t>合计</w:t>
            </w:r>
          </w:p>
        </w:tc>
        <w:tc>
          <w:tcPr>
            <w:tcW w:w="2692" w:type="dxa"/>
            <w:vAlign w:val="center"/>
          </w:tcPr>
          <w:p>
            <w:pPr>
              <w:jc w:val="right"/>
              <w:rPr>
                <w:rFonts w:ascii="宋体" w:hAnsi="宋体"/>
              </w:rPr>
            </w:pPr>
            <w:r>
              <w:rPr>
                <w:rFonts w:ascii="宋体" w:hAnsi="宋体"/>
              </w:rPr>
              <w:t>2,245,356</w:t>
            </w:r>
          </w:p>
        </w:tc>
        <w:tc>
          <w:tcPr>
            <w:tcW w:w="2703" w:type="dxa"/>
            <w:vAlign w:val="center"/>
          </w:tcPr>
          <w:p>
            <w:pPr>
              <w:jc w:val="right"/>
              <w:rPr>
                <w:rFonts w:ascii="宋体" w:hAnsi="宋体"/>
              </w:rPr>
            </w:pPr>
            <w:r>
              <w:rPr>
                <w:rFonts w:ascii="宋体" w:hAnsi="宋体"/>
              </w:rPr>
              <w:t>2,504,924</w:t>
            </w:r>
          </w:p>
        </w:tc>
      </w:tr>
    </w:tbl>
    <w:bookmarkEnd w:id="517"/>
    <w:p>
      <w:pPr>
        <w:spacing w:before="60" w:after="60" w:line="360" w:lineRule="exact"/>
      </w:pPr>
      <w:r>
        <w:rPr>
          <w:rFonts w:hint="eastAsia"/>
        </w:rPr>
        <w:t>其他说明：</w:t>
      </w:r>
    </w:p>
    <w:sdt>
      <w:sdtPr>
        <w:rPr>
          <w:rFonts w:hint="eastAsia"/>
        </w:rPr>
        <w:alias w:val="投资收益说明"/>
        <w:tag w:val="_GBC_4461c08be8cf4739a76957c4ebbfc521"/>
        <w:id w:val="162364502"/>
        <w:placeholder>
          <w:docPart w:val="GBC22222222222222222222222222222"/>
        </w:placeholder>
      </w:sdtPr>
      <w:sdtContent>
        <w:p>
          <w:pPr>
            <w:autoSpaceDE w:val="0"/>
            <w:autoSpaceDN w:val="0"/>
            <w:adjustRightInd w:val="0"/>
          </w:pPr>
          <w:r>
            <w:rPr>
              <w:rFonts w:hint="eastAsia"/>
            </w:rPr>
            <w:t>-</w:t>
          </w:r>
        </w:p>
      </w:sdtContent>
    </w:sdt>
    <w:p>
      <w:pPr>
        <w:autoSpaceDE w:val="0"/>
        <w:autoSpaceDN w:val="0"/>
        <w:adjustRightInd w:val="0"/>
      </w:pPr>
    </w:p>
    <w:bookmarkEnd w:id="516"/>
    <w:p>
      <w:pPr>
        <w:pStyle w:val="Style178"/>
        <w:numPr>
          <w:ilvl w:val="0"/>
          <w:numId w:val="75"/>
        </w:numPr>
        <w:rPr>
          <w:szCs w:val="21"/>
        </w:rPr>
      </w:pPr>
      <w:r>
        <w:rPr>
          <w:szCs w:val="21"/>
        </w:rPr>
        <w:lastRenderedPageBreak/>
        <w:t>净敞口套期收益</w:t>
      </w:r>
    </w:p>
    <w:sdt>
      <w:sdtPr>
        <w:alias w:val="是否适用：净敞口套期收益[双击切换]"/>
        <w:tag w:val="_GBC_0b9c0635e78547e1b23b27daf08672cd"/>
        <w:id w:val="153268016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left="420" w:firstLineChars="0" w:firstLine="0"/>
        <w:jc w:val="right"/>
      </w:pPr>
      <w:r>
        <w:rPr>
          <w:rFonts w:hint="eastAsia"/>
        </w:rPr>
        <w:t>单位：</w:t>
      </w:r>
      <w:sdt>
        <w:sdtPr>
          <w:rPr>
            <w:rFonts w:hint="eastAsia"/>
          </w:rPr>
          <w:alias w:val="单位：净敞口套期收益"/>
          <w:tag w:val="_GBC_b9a51042dd8f46db802c344cee8d2fac"/>
          <w:id w:val="1140399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净敞口套期收益"/>
          <w:tag w:val="_GBC_053083c57ca64d679668aaa18021e1f4"/>
          <w:id w:val="-220139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0"/>
        <w:gridCol w:w="2687"/>
        <w:gridCol w:w="2711"/>
      </w:tblGrid>
      <w:tr>
        <w:sdt>
          <w:sdtPr>
            <w:tag w:val="_PLD_4659ce6ef00043cdb5aed57c64e4d3fc"/>
            <w:id w:val="926920250"/>
          </w:sdtPr>
          <w:sdtContent>
            <w:tc>
              <w:tcPr>
                <w:tcW w:w="3650" w:type="dxa"/>
                <w:vAlign w:val="center"/>
              </w:tcPr>
              <w:p>
                <w:pPr>
                  <w:jc w:val="center"/>
                </w:pPr>
                <w:r>
                  <w:rPr>
                    <w:rFonts w:hint="eastAsia"/>
                  </w:rPr>
                  <w:t>项目</w:t>
                </w:r>
              </w:p>
            </w:tc>
          </w:sdtContent>
        </w:sdt>
        <w:sdt>
          <w:sdtPr>
            <w:tag w:val="_PLD_fb6e213a052848e3b3f01007a9d21c89"/>
            <w:id w:val="1305196395"/>
          </w:sdtPr>
          <w:sdtContent>
            <w:tc>
              <w:tcPr>
                <w:tcW w:w="2687" w:type="dxa"/>
                <w:vAlign w:val="center"/>
              </w:tcPr>
              <w:p>
                <w:pPr>
                  <w:jc w:val="center"/>
                </w:pPr>
                <w:r>
                  <w:rPr>
                    <w:rFonts w:hint="eastAsia"/>
                  </w:rPr>
                  <w:t>本期发生额</w:t>
                </w:r>
              </w:p>
            </w:tc>
          </w:sdtContent>
        </w:sdt>
        <w:sdt>
          <w:sdtPr>
            <w:tag w:val="_PLD_2aa9339a872f4a1a94e17383d6eed31c"/>
            <w:id w:val="-546379455"/>
          </w:sdtPr>
          <w:sdtContent>
            <w:tc>
              <w:tcPr>
                <w:tcW w:w="2711" w:type="dxa"/>
                <w:vAlign w:val="center"/>
              </w:tcPr>
              <w:p>
                <w:pPr>
                  <w:jc w:val="center"/>
                </w:pPr>
                <w:r>
                  <w:rPr>
                    <w:rFonts w:hint="eastAsia"/>
                  </w:rPr>
                  <w:t>上期发生额</w:t>
                </w:r>
              </w:p>
            </w:tc>
          </w:sdtContent>
        </w:sdt>
      </w:tr>
      <w:tr>
        <w:tc>
          <w:tcPr>
            <w:tcW w:w="3650" w:type="dxa"/>
          </w:tcPr>
          <w:p>
            <w:pPr>
              <w:pStyle w:val="Style217"/>
            </w:pPr>
            <w:r>
              <w:rPr>
                <w:rFonts w:hint="eastAsia"/>
              </w:rPr>
              <w:t>套期保值</w:t>
            </w:r>
          </w:p>
        </w:tc>
        <w:tc>
          <w:tcPr>
            <w:tcW w:w="2687" w:type="dxa"/>
            <w:vAlign w:val="center"/>
          </w:tcPr>
          <w:p>
            <w:pPr>
              <w:jc w:val="right"/>
              <w:rPr>
                <w:rFonts w:ascii="宋体" w:hAnsi="宋体"/>
              </w:rPr>
            </w:pPr>
            <w:r>
              <w:rPr>
                <w:rFonts w:ascii="宋体" w:hAnsi="宋体" w:hint="eastAsia"/>
              </w:rPr>
              <w:t>-236,100</w:t>
            </w:r>
          </w:p>
        </w:tc>
        <w:tc>
          <w:tcPr>
            <w:tcW w:w="2711" w:type="dxa"/>
            <w:vAlign w:val="center"/>
          </w:tcPr>
          <w:p>
            <w:pPr>
              <w:jc w:val="right"/>
              <w:rPr>
                <w:rFonts w:ascii="宋体" w:hAnsi="宋体"/>
              </w:rPr>
            </w:pPr>
            <w:r>
              <w:rPr>
                <w:rFonts w:ascii="宋体" w:hAnsi="宋体" w:hint="eastAsia"/>
              </w:rPr>
              <w:t>-586,825</w:t>
            </w:r>
          </w:p>
        </w:tc>
      </w:tr>
      <w:tr>
        <w:tc>
          <w:tcPr>
            <w:tcW w:w="3650" w:type="dxa"/>
            <w:vAlign w:val="center"/>
          </w:tcPr>
          <w:p>
            <w:pPr>
              <w:jc w:val="center"/>
            </w:pPr>
            <w:r>
              <w:rPr>
                <w:rFonts w:hint="eastAsia"/>
              </w:rPr>
              <w:t>合计</w:t>
            </w:r>
          </w:p>
        </w:tc>
        <w:tc>
          <w:tcPr>
            <w:tcW w:w="2687" w:type="dxa"/>
            <w:vAlign w:val="center"/>
          </w:tcPr>
          <w:p>
            <w:pPr>
              <w:jc w:val="right"/>
              <w:rPr>
                <w:rFonts w:ascii="宋体" w:hAnsi="宋体"/>
              </w:rPr>
            </w:pPr>
            <w:r>
              <w:rPr>
                <w:rFonts w:ascii="宋体" w:hAnsi="宋体"/>
              </w:rPr>
              <w:t>-236,100</w:t>
            </w:r>
          </w:p>
        </w:tc>
        <w:tc>
          <w:tcPr>
            <w:tcW w:w="2711" w:type="dxa"/>
            <w:vAlign w:val="center"/>
          </w:tcPr>
          <w:p>
            <w:pPr>
              <w:jc w:val="right"/>
              <w:rPr>
                <w:rFonts w:ascii="宋体" w:hAnsi="宋体"/>
              </w:rPr>
            </w:pPr>
            <w:r>
              <w:rPr>
                <w:rFonts w:ascii="宋体" w:hAnsi="宋体"/>
              </w:rPr>
              <w:t>-586,825</w:t>
            </w:r>
          </w:p>
        </w:tc>
      </w:tr>
    </w:tbl>
    <w:p>
      <w:pPr>
        <w:pStyle w:val="Style217"/>
      </w:pPr>
      <w:r>
        <w:rPr>
          <w:rFonts w:hint="eastAsia"/>
        </w:rPr>
        <w:t>其他</w:t>
      </w:r>
      <w:r>
        <w:t>说明</w:t>
      </w:r>
      <w:r>
        <w:rPr>
          <w:rFonts w:hint="eastAsia"/>
        </w:rPr>
        <w:t>：</w:t>
      </w:r>
    </w:p>
    <w:sdt>
      <w:sdtPr>
        <w:alias w:val="净敞口套期收益其他说明"/>
        <w:tag w:val="_GBC_3c97a91bf2c74a75b188550ae0fb3d78"/>
        <w:id w:val="-890805280"/>
        <w:placeholder>
          <w:docPart w:val="GBC22222222222222222222222222222"/>
        </w:placeholder>
      </w:sdtPr>
      <w:sdtContent>
        <w:p>
          <w:pPr>
            <w:autoSpaceDE w:val="0"/>
            <w:autoSpaceDN w:val="0"/>
            <w:adjustRightInd w:val="0"/>
          </w:pPr>
          <w:r>
            <w:rPr>
              <w:rFonts w:hint="eastAsia"/>
            </w:rPr>
            <w:t>-</w:t>
          </w:r>
        </w:p>
      </w:sdtContent>
    </w:sdt>
    <w:p>
      <w:pPr>
        <w:autoSpaceDE w:val="0"/>
        <w:autoSpaceDN w:val="0"/>
        <w:adjustRightInd w:val="0"/>
      </w:pPr>
    </w:p>
    <w:p>
      <w:pPr>
        <w:pStyle w:val="Style178"/>
        <w:numPr>
          <w:ilvl w:val="0"/>
          <w:numId w:val="75"/>
        </w:numPr>
        <w:rPr>
          <w:szCs w:val="21"/>
        </w:rPr>
      </w:pPr>
      <w:bookmarkStart w:id="518" w:name="_Hlk534895224"/>
      <w:r>
        <w:rPr>
          <w:szCs w:val="21"/>
        </w:rPr>
        <w:t>公允价值变动收益</w:t>
      </w:r>
    </w:p>
    <w:sdt>
      <w:sdtPr>
        <w:alias w:val="是否适用：公允价值变动收益[双击切换]"/>
        <w:tag w:val="_GBC_703e46a239ba45afa37afdd4dcae0cb4"/>
        <w:id w:val="-72906684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公允价值变动收益"/>
          <w:tag w:val="_GBC_c4e1118ffbdf4d6f90815a9b487cc79b"/>
          <w:id w:val="-16455771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公允价值变动收益"/>
          <w:tag w:val="_GBC_704565e01a4148fe85dcf135bb9be9b6"/>
          <w:id w:val="-954049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2825"/>
        <w:gridCol w:w="2825"/>
      </w:tblGrid>
      <w:tr>
        <w:sdt>
          <w:sdtPr>
            <w:tag w:val="_PLD_6e9a92135b46440eb6d0daa39f0ec40f"/>
            <w:id w:val="1813209614"/>
          </w:sdtPr>
          <w:sdtContent>
            <w:tc>
              <w:tcPr>
                <w:tcW w:w="339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产生公允价值变动收益的来源</w:t>
                </w:r>
              </w:p>
            </w:tc>
          </w:sdtContent>
        </w:sdt>
        <w:sdt>
          <w:sdtPr>
            <w:tag w:val="_PLD_7cd0c8223b6b499990a24553e928cba4"/>
            <w:id w:val="-118921825"/>
          </w:sdtPr>
          <w:sdtContent>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本期发生额</w:t>
                </w:r>
              </w:p>
            </w:tc>
          </w:sdtContent>
        </w:sdt>
        <w:sdt>
          <w:sdtPr>
            <w:tag w:val="_PLD_1ebddc94af9345a99e7800415f9811c7"/>
            <w:id w:val="-467747281"/>
          </w:sdtPr>
          <w:sdtContent>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上期发生额</w:t>
                </w:r>
              </w:p>
            </w:tc>
          </w:sdtContent>
        </w:sdt>
      </w:tr>
      <w:tr>
        <w:tc>
          <w:tcPr>
            <w:tcW w:w="3396" w:type="dxa"/>
            <w:tcBorders>
              <w:top w:val="single" w:sz="4" w:space="0" w:color="auto"/>
              <w:left w:val="single" w:sz="4" w:space="0" w:color="auto"/>
              <w:bottom w:val="single" w:sz="4" w:space="0" w:color="auto"/>
              <w:right w:val="single" w:sz="4" w:space="0" w:color="auto"/>
            </w:tcBorders>
          </w:tcPr>
          <w:p>
            <w:pPr>
              <w:pStyle w:val="Style217"/>
            </w:pPr>
            <w:r>
              <w:rPr>
                <w:rFonts w:hint="eastAsia"/>
              </w:rPr>
              <w:t>交易性金融资产</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-76,063</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-21,916</w:t>
            </w:r>
          </w:p>
        </w:tc>
      </w:tr>
      <w:tr>
        <w:tc>
          <w:tcPr>
            <w:tcW w:w="3396" w:type="dxa"/>
            <w:tcBorders>
              <w:top w:val="single" w:sz="4" w:space="0" w:color="auto"/>
              <w:left w:val="single" w:sz="4" w:space="0" w:color="auto"/>
              <w:bottom w:val="single" w:sz="4" w:space="0" w:color="auto"/>
              <w:right w:val="single" w:sz="4" w:space="0" w:color="auto"/>
            </w:tcBorders>
          </w:tcPr>
          <w:p>
            <w:pPr>
              <w:pStyle w:val="Style217"/>
            </w:pPr>
            <w:r>
              <w:rPr>
                <w:rFonts w:hint="eastAsia"/>
              </w:rPr>
              <w:t>投资性房地产</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-19,090</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-7,788</w:t>
            </w:r>
          </w:p>
        </w:tc>
      </w:tr>
      <w:tr>
        <w:tc>
          <w:tcPr>
            <w:tcW w:w="3396" w:type="dxa"/>
            <w:tcBorders>
              <w:top w:val="single" w:sz="4" w:space="0" w:color="auto"/>
              <w:left w:val="single" w:sz="4" w:space="0" w:color="auto"/>
              <w:bottom w:val="single" w:sz="4" w:space="0" w:color="auto"/>
              <w:right w:val="single" w:sz="4" w:space="0" w:color="auto"/>
            </w:tcBorders>
          </w:tcPr>
          <w:p>
            <w:pPr>
              <w:pStyle w:val="Style217"/>
            </w:pPr>
            <w:r>
              <w:rPr>
                <w:rFonts w:hint="eastAsia"/>
              </w:rPr>
              <w:t>交易性金融负债</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188,585</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3396"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其他非流动金融资产</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-97,454</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-27,388</w:t>
            </w:r>
          </w:p>
        </w:tc>
      </w:tr>
      <w:tr>
        <w:tc>
          <w:tcPr>
            <w:tcW w:w="339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合计</w:t>
            </w:r>
          </w:p>
        </w:tc>
        <w:tc>
          <w:tcPr>
            <w:tcW w:w="282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-4,022</w:t>
            </w:r>
          </w:p>
        </w:tc>
        <w:tc>
          <w:tcPr>
            <w:tcW w:w="282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-57,092</w:t>
            </w:r>
          </w:p>
        </w:tc>
      </w:tr>
    </w:tbl>
    <w:p>
      <w:pPr>
        <w:spacing w:before="60" w:after="60"/>
      </w:pPr>
      <w:r>
        <w:rPr>
          <w:rFonts w:hint="eastAsia"/>
        </w:rPr>
        <w:t>其他说明：</w:t>
      </w:r>
    </w:p>
    <w:sdt>
      <w:sdtPr>
        <w:rPr>
          <w:rFonts w:hint="eastAsia"/>
        </w:rPr>
        <w:alias w:val="公允价值变动收益的说明"/>
        <w:tag w:val="_GBC_2de79fa0260c440dae18401771bdd5db"/>
        <w:id w:val="-2073497194"/>
        <w:placeholder>
          <w:docPart w:val="GBC22222222222222222222222222222"/>
        </w:placeholder>
      </w:sdtPr>
      <w:sdtContent>
        <w:p>
          <w:pPr>
            <w:pStyle w:val="Style217"/>
          </w:pPr>
          <w:r>
            <w:rPr>
              <w:rFonts w:hint="eastAsia"/>
            </w:rPr>
            <w:t>-</w:t>
          </w:r>
        </w:p>
      </w:sdtContent>
    </w:sdt>
    <w:p>
      <w:pPr>
        <w:rPr>
          <w:rFonts w:cstheme="minorBidi"/>
          <w:kern w:val="2"/>
        </w:rPr>
      </w:pPr>
    </w:p>
    <w:bookmarkEnd w:id="518"/>
    <w:p>
      <w:pPr>
        <w:pStyle w:val="Style178"/>
        <w:numPr>
          <w:ilvl w:val="0"/>
          <w:numId w:val="75"/>
        </w:numPr>
        <w:rPr>
          <w:szCs w:val="21"/>
        </w:rPr>
      </w:pPr>
      <w:r>
        <w:rPr>
          <w:szCs w:val="21"/>
        </w:rPr>
        <w:t>信用减值损失</w:t>
      </w:r>
    </w:p>
    <w:sdt>
      <w:sdtPr>
        <w:alias w:val="是否适用：信用减值损失[双击切换]"/>
        <w:tag w:val="_GBC_3e1c9d9dad6c4530991d2befd4b098e3"/>
        <w:id w:val="168524496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left="420" w:firstLineChars="0" w:firstLine="0"/>
        <w:jc w:val="right"/>
      </w:pPr>
      <w:r>
        <w:rPr>
          <w:rFonts w:hint="eastAsia"/>
        </w:rPr>
        <w:t>单位：</w:t>
      </w:r>
      <w:sdt>
        <w:sdtPr>
          <w:rPr>
            <w:rFonts w:hint="eastAsia"/>
          </w:rPr>
          <w:alias w:val="单位：信用减值损失"/>
          <w:tag w:val="_GBC_64c0f12c02d44b548838a6936d90e525"/>
          <w:id w:val="-1241557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信用减值损失"/>
          <w:tag w:val="_GBC_4d6a964234bf4666a052d68fb8b9d060"/>
          <w:id w:val="-2438827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0"/>
        <w:gridCol w:w="2687"/>
        <w:gridCol w:w="2711"/>
      </w:tblGrid>
      <w:tr>
        <w:sdt>
          <w:sdtPr>
            <w:tag w:val="_PLD_32efbc222fba4f8b87e71fbd7550f57d"/>
            <w:id w:val="2028132893"/>
          </w:sdtPr>
          <w:sdtContent>
            <w:tc>
              <w:tcPr>
                <w:tcW w:w="3650" w:type="dxa"/>
                <w:vAlign w:val="center"/>
              </w:tcPr>
              <w:p>
                <w:pPr>
                  <w:jc w:val="center"/>
                </w:pPr>
                <w:r>
                  <w:rPr>
                    <w:rFonts w:hint="eastAsia"/>
                  </w:rPr>
                  <w:t>项目</w:t>
                </w:r>
              </w:p>
            </w:tc>
          </w:sdtContent>
        </w:sdt>
        <w:sdt>
          <w:sdtPr>
            <w:tag w:val="_PLD_57fc93ac35684eca9207e23d2b2d6664"/>
            <w:id w:val="37014129"/>
          </w:sdtPr>
          <w:sdtContent>
            <w:tc>
              <w:tcPr>
                <w:tcW w:w="2687" w:type="dxa"/>
                <w:vAlign w:val="center"/>
              </w:tcPr>
              <w:p>
                <w:pPr>
                  <w:jc w:val="center"/>
                </w:pPr>
                <w:r>
                  <w:rPr>
                    <w:rFonts w:hint="eastAsia"/>
                  </w:rPr>
                  <w:t>本期发生额</w:t>
                </w:r>
              </w:p>
            </w:tc>
          </w:sdtContent>
        </w:sdt>
        <w:sdt>
          <w:sdtPr>
            <w:tag w:val="_PLD_ddb6bc4a58314fb2abbbb04ed4af2419"/>
            <w:id w:val="-933592981"/>
          </w:sdtPr>
          <w:sdtContent>
            <w:tc>
              <w:tcPr>
                <w:tcW w:w="2711" w:type="dxa"/>
                <w:vAlign w:val="center"/>
              </w:tcPr>
              <w:p>
                <w:pPr>
                  <w:jc w:val="center"/>
                </w:pPr>
                <w:r>
                  <w:rPr>
                    <w:rFonts w:hint="eastAsia"/>
                  </w:rPr>
                  <w:t>上期发生额</w:t>
                </w:r>
              </w:p>
            </w:tc>
          </w:sdtContent>
        </w:sdt>
      </w:tr>
      <w:tr>
        <w:tc>
          <w:tcPr>
            <w:tcW w:w="3650" w:type="dxa"/>
          </w:tcPr>
          <w:p>
            <w:pPr>
              <w:pStyle w:val="Style217"/>
            </w:pPr>
            <w:r>
              <w:rPr>
                <w:rFonts w:hint="eastAsia"/>
              </w:rPr>
              <w:t>其他应收款坏账损失</w:t>
            </w:r>
          </w:p>
        </w:tc>
        <w:tc>
          <w:tcPr>
            <w:tcW w:w="2687" w:type="dxa"/>
            <w:vAlign w:val="center"/>
          </w:tcPr>
          <w:p>
            <w:pPr>
              <w:jc w:val="right"/>
              <w:rPr>
                <w:rFonts w:ascii="宋体" w:hAnsi="宋体"/>
              </w:rPr>
            </w:pPr>
            <w:r>
              <w:rPr>
                <w:rFonts w:ascii="宋体" w:hAnsi="宋体"/>
              </w:rPr>
              <w:t>14,757</w:t>
            </w:r>
          </w:p>
        </w:tc>
        <w:tc>
          <w:tcPr>
            <w:tcW w:w="2711" w:type="dxa"/>
            <w:vAlign w:val="center"/>
          </w:tcPr>
          <w:p>
            <w:pPr>
              <w:jc w:val="right"/>
              <w:rPr>
                <w:rFonts w:ascii="宋体" w:hAnsi="宋体"/>
              </w:rPr>
            </w:pPr>
            <w:r>
              <w:rPr>
                <w:rFonts w:ascii="宋体" w:hAnsi="宋体"/>
              </w:rPr>
              <w:t>103,236</w:t>
            </w:r>
          </w:p>
        </w:tc>
      </w:tr>
      <w:tr>
        <w:tc>
          <w:tcPr>
            <w:tcW w:w="3650" w:type="dxa"/>
          </w:tcPr>
          <w:p>
            <w:pPr>
              <w:pStyle w:val="Style217"/>
            </w:pPr>
            <w:r>
              <w:rPr>
                <w:rFonts w:hint="eastAsia"/>
              </w:rPr>
              <w:t>一年内到期的非流动资产减值损失</w:t>
            </w:r>
          </w:p>
        </w:tc>
        <w:tc>
          <w:tcPr>
            <w:tcW w:w="2687" w:type="dxa"/>
            <w:vAlign w:val="center"/>
          </w:tcPr>
          <w:p>
            <w:pPr>
              <w:jc w:val="right"/>
              <w:rPr>
                <w:rFonts w:ascii="宋体" w:hAnsi="宋体"/>
              </w:rPr>
            </w:pPr>
            <w:r>
              <w:rPr>
                <w:rFonts w:ascii="宋体" w:hAnsi="宋体"/>
              </w:rPr>
              <w:t>5,461</w:t>
            </w:r>
          </w:p>
        </w:tc>
        <w:tc>
          <w:tcPr>
            <w:tcW w:w="2711" w:type="dxa"/>
            <w:vAlign w:val="center"/>
          </w:tcPr>
          <w:p>
            <w:pPr>
              <w:jc w:val="right"/>
              <w:rPr>
                <w:rFonts w:ascii="宋体" w:hAnsi="宋体"/>
              </w:rPr>
            </w:pPr>
            <w:r>
              <w:rPr>
                <w:rFonts w:ascii="宋体" w:hAnsi="宋体"/>
              </w:rPr>
              <w:t>18,309</w:t>
            </w:r>
          </w:p>
        </w:tc>
      </w:tr>
      <w:tr>
        <w:tc>
          <w:tcPr>
            <w:tcW w:w="3650" w:type="dxa"/>
          </w:tcPr>
          <w:p>
            <w:pPr>
              <w:pStyle w:val="Style217"/>
            </w:pPr>
            <w:r>
              <w:rPr>
                <w:rFonts w:hint="eastAsia"/>
              </w:rPr>
              <w:t>应收账款坏账损失</w:t>
            </w:r>
          </w:p>
        </w:tc>
        <w:tc>
          <w:tcPr>
            <w:tcW w:w="2687" w:type="dxa"/>
            <w:vAlign w:val="center"/>
          </w:tcPr>
          <w:p>
            <w:pPr>
              <w:jc w:val="right"/>
              <w:rPr>
                <w:rFonts w:ascii="宋体" w:hAnsi="宋体"/>
              </w:rPr>
            </w:pPr>
            <w:r>
              <w:rPr>
                <w:rFonts w:ascii="宋体" w:hAnsi="宋体"/>
              </w:rPr>
              <w:t>-76,738</w:t>
            </w:r>
          </w:p>
        </w:tc>
        <w:tc>
          <w:tcPr>
            <w:tcW w:w="2711" w:type="dxa"/>
            <w:vAlign w:val="center"/>
          </w:tcPr>
          <w:p>
            <w:pPr>
              <w:jc w:val="right"/>
              <w:rPr>
                <w:rFonts w:ascii="宋体" w:hAnsi="宋体"/>
              </w:rPr>
            </w:pPr>
            <w:r>
              <w:rPr>
                <w:rFonts w:ascii="宋体" w:hAnsi="宋体"/>
              </w:rPr>
              <w:t>-404,274</w:t>
            </w:r>
          </w:p>
        </w:tc>
      </w:tr>
      <w:tr>
        <w:tc>
          <w:tcPr>
            <w:tcW w:w="3650" w:type="dxa"/>
          </w:tcPr>
          <w:p>
            <w:pPr>
              <w:pStyle w:val="Style217"/>
            </w:pPr>
            <w:r>
              <w:rPr>
                <w:rFonts w:hint="eastAsia"/>
              </w:rPr>
              <w:t>应收票据和应收款项融资坏账损失</w:t>
            </w:r>
          </w:p>
        </w:tc>
        <w:tc>
          <w:tcPr>
            <w:tcW w:w="2687" w:type="dxa"/>
            <w:vAlign w:val="center"/>
          </w:tcPr>
          <w:p>
            <w:pPr>
              <w:jc w:val="right"/>
              <w:rPr>
                <w:rFonts w:ascii="宋体" w:hAnsi="宋体"/>
              </w:rPr>
            </w:pPr>
            <w:r>
              <w:rPr>
                <w:rFonts w:ascii="宋体" w:hAnsi="宋体"/>
              </w:rPr>
              <w:t>307</w:t>
            </w:r>
          </w:p>
        </w:tc>
        <w:tc>
          <w:tcPr>
            <w:tcW w:w="2711" w:type="dxa"/>
            <w:vAlign w:val="center"/>
          </w:tcPr>
          <w:p>
            <w:pPr>
              <w:jc w:val="right"/>
              <w:rPr>
                <w:rFonts w:ascii="宋体" w:hAnsi="宋体"/>
              </w:rPr>
            </w:pPr>
            <w:r>
              <w:rPr>
                <w:rFonts w:ascii="宋体" w:hAnsi="宋体"/>
              </w:rPr>
              <w:t>-898</w:t>
            </w:r>
          </w:p>
        </w:tc>
      </w:tr>
      <w:tr>
        <w:tc>
          <w:tcPr>
            <w:tcW w:w="3650" w:type="dxa"/>
          </w:tcPr>
          <w:p>
            <w:pPr>
              <w:pStyle w:val="Style217"/>
            </w:pPr>
            <w:r>
              <w:rPr>
                <w:rFonts w:hint="eastAsia"/>
              </w:rPr>
              <w:t>长期应收款坏账损失</w:t>
            </w:r>
          </w:p>
        </w:tc>
        <w:tc>
          <w:tcPr>
            <w:tcW w:w="2687" w:type="dxa"/>
            <w:vAlign w:val="center"/>
          </w:tcPr>
          <w:p>
            <w:pPr>
              <w:jc w:val="right"/>
              <w:rPr>
                <w:rFonts w:ascii="宋体" w:hAnsi="宋体"/>
              </w:rPr>
            </w:pPr>
            <w:r>
              <w:rPr>
                <w:rFonts w:ascii="宋体" w:hAnsi="宋体"/>
              </w:rPr>
              <w:t>103,944</w:t>
            </w:r>
          </w:p>
        </w:tc>
        <w:tc>
          <w:tcPr>
            <w:tcW w:w="2711" w:type="dxa"/>
            <w:vAlign w:val="center"/>
          </w:tcPr>
          <w:p>
            <w:pPr>
              <w:jc w:val="right"/>
              <w:rPr>
                <w:rFonts w:ascii="宋体" w:hAnsi="宋体"/>
              </w:rPr>
            </w:pPr>
            <w:r>
              <w:rPr>
                <w:rFonts w:ascii="宋体" w:hAnsi="宋体"/>
              </w:rPr>
              <w:t>-213,602</w:t>
            </w:r>
          </w:p>
        </w:tc>
      </w:tr>
      <w:tr>
        <w:tc>
          <w:tcPr>
            <w:tcW w:w="3650" w:type="dxa"/>
          </w:tcPr>
          <w:p>
            <w:pPr>
              <w:pStyle w:val="Style217"/>
            </w:pPr>
            <w:r>
              <w:rPr>
                <w:rFonts w:hint="eastAsia"/>
              </w:rPr>
              <w:t>其他非流动资产减值损失</w:t>
            </w:r>
          </w:p>
        </w:tc>
        <w:tc>
          <w:tcPr>
            <w:tcW w:w="2687" w:type="dxa"/>
            <w:vAlign w:val="center"/>
          </w:tcPr>
          <w:p>
            <w:pPr>
              <w:jc w:val="right"/>
              <w:rPr>
                <w:rFonts w:ascii="宋体" w:hAnsi="宋体"/>
              </w:rPr>
            </w:pPr>
            <w:r>
              <w:rPr>
                <w:rFonts w:ascii="宋体" w:hAnsi="宋体"/>
              </w:rPr>
              <w:t>50,433</w:t>
            </w:r>
          </w:p>
        </w:tc>
        <w:tc>
          <w:tcPr>
            <w:tcW w:w="2711" w:type="dxa"/>
            <w:vAlign w:val="center"/>
          </w:tcPr>
          <w:p>
            <w:pPr>
              <w:jc w:val="right"/>
              <w:rPr>
                <w:rFonts w:ascii="宋体" w:hAnsi="宋体"/>
              </w:rPr>
            </w:pPr>
            <w:r>
              <w:rPr>
                <w:rFonts w:ascii="宋体" w:hAnsi="宋体"/>
              </w:rPr>
              <w:t>-15,374</w:t>
            </w:r>
          </w:p>
        </w:tc>
      </w:tr>
      <w:tr>
        <w:tc>
          <w:tcPr>
            <w:tcW w:w="3650" w:type="dxa"/>
          </w:tcPr>
          <w:p>
            <w:pPr>
              <w:pStyle w:val="Style217"/>
            </w:pPr>
            <w:r>
              <w:rPr>
                <w:rFonts w:hint="eastAsia"/>
              </w:rPr>
              <w:t>其他流动资产减值损失</w:t>
            </w:r>
          </w:p>
        </w:tc>
        <w:tc>
          <w:tcPr>
            <w:tcW w:w="2687" w:type="dxa"/>
            <w:vAlign w:val="center"/>
          </w:tcPr>
          <w:p>
            <w:pPr>
              <w:jc w:val="right"/>
              <w:rPr>
                <w:rFonts w:ascii="宋体" w:hAnsi="宋体"/>
              </w:rPr>
            </w:pPr>
            <w:r>
              <w:rPr>
                <w:rFonts w:ascii="宋体" w:hAnsi="宋体"/>
              </w:rPr>
              <w:t>-73,000</w:t>
            </w:r>
          </w:p>
        </w:tc>
        <w:tc>
          <w:tcPr>
            <w:tcW w:w="2711" w:type="dxa"/>
            <w:vAlign w:val="center"/>
          </w:tcPr>
          <w:p>
            <w:pPr>
              <w:jc w:val="right"/>
              <w:rPr>
                <w:rFonts w:ascii="宋体" w:hAnsi="宋体"/>
              </w:rPr>
            </w:pPr>
            <w:r>
              <w:rPr>
                <w:rFonts w:ascii="宋体" w:hAnsi="宋体"/>
              </w:rPr>
              <w:t>-79,838</w:t>
            </w:r>
          </w:p>
        </w:tc>
      </w:tr>
      <w:tr>
        <w:tc>
          <w:tcPr>
            <w:tcW w:w="3650" w:type="dxa"/>
          </w:tcPr>
          <w:p>
            <w:pPr>
              <w:pStyle w:val="Style217"/>
            </w:pPr>
            <w:r>
              <w:rPr>
                <w:rFonts w:hint="eastAsia"/>
              </w:rPr>
              <w:t>其他</w:t>
            </w:r>
          </w:p>
        </w:tc>
        <w:tc>
          <w:tcPr>
            <w:tcW w:w="2687" w:type="dxa"/>
            <w:vAlign w:val="center"/>
          </w:tcPr>
          <w:p>
            <w:pPr>
              <w:jc w:val="right"/>
              <w:rPr>
                <w:rFonts w:ascii="宋体" w:hAnsi="宋体"/>
              </w:rPr>
            </w:pPr>
            <w:r>
              <w:rPr>
                <w:rFonts w:ascii="宋体" w:hAnsi="宋体"/>
              </w:rPr>
              <w:t>-21,719</w:t>
            </w:r>
          </w:p>
        </w:tc>
        <w:tc>
          <w:tcPr>
            <w:tcW w:w="2711" w:type="dxa"/>
            <w:vAlign w:val="center"/>
          </w:tcPr>
          <w:p>
            <w:pPr>
              <w:jc w:val="right"/>
              <w:rPr>
                <w:rFonts w:ascii="宋体" w:hAnsi="宋体"/>
              </w:rPr>
            </w:pPr>
            <w:r>
              <w:rPr>
                <w:rFonts w:ascii="宋体" w:hAnsi="宋体"/>
              </w:rPr>
              <w:t>8,298</w:t>
            </w:r>
          </w:p>
        </w:tc>
      </w:tr>
      <w:tr>
        <w:tc>
          <w:tcPr>
            <w:tcW w:w="3650" w:type="dxa"/>
            <w:vAlign w:val="center"/>
          </w:tcPr>
          <w:p>
            <w:pPr>
              <w:jc w:val="center"/>
            </w:pPr>
            <w:r>
              <w:rPr>
                <w:rFonts w:hint="eastAsia"/>
              </w:rPr>
              <w:t>合计</w:t>
            </w:r>
          </w:p>
        </w:tc>
        <w:tc>
          <w:tcPr>
            <w:tcW w:w="2687" w:type="dxa"/>
            <w:vAlign w:val="center"/>
          </w:tcPr>
          <w:p>
            <w:pPr>
              <w:jc w:val="right"/>
              <w:rPr>
                <w:rFonts w:ascii="宋体" w:hAnsi="宋体"/>
              </w:rPr>
            </w:pPr>
            <w:r>
              <w:rPr>
                <w:rFonts w:ascii="宋体" w:hAnsi="宋体"/>
              </w:rPr>
              <w:t>3,445</w:t>
            </w:r>
          </w:p>
        </w:tc>
        <w:tc>
          <w:tcPr>
            <w:tcW w:w="2711" w:type="dxa"/>
            <w:vAlign w:val="center"/>
          </w:tcPr>
          <w:p>
            <w:pPr>
              <w:jc w:val="right"/>
              <w:rPr>
                <w:rFonts w:ascii="宋体" w:hAnsi="宋体"/>
              </w:rPr>
            </w:pPr>
            <w:r>
              <w:rPr>
                <w:rFonts w:ascii="宋体" w:hAnsi="宋体"/>
              </w:rPr>
              <w:t>-584,143</w:t>
            </w:r>
          </w:p>
        </w:tc>
      </w:tr>
    </w:tbl>
    <w:p>
      <w:pPr>
        <w:pStyle w:val="Style217"/>
      </w:pPr>
      <w:r>
        <w:rPr>
          <w:rFonts w:hint="eastAsia"/>
        </w:rPr>
        <w:t>其他</w:t>
      </w:r>
      <w:r>
        <w:t>说明</w:t>
      </w:r>
      <w:r>
        <w:rPr>
          <w:rFonts w:hint="eastAsia"/>
        </w:rPr>
        <w:t>：</w:t>
      </w:r>
    </w:p>
    <w:sdt>
      <w:sdtPr>
        <w:alias w:val="信用减值损失其他说明"/>
        <w:tag w:val="_GBC_c4f5a3728c354e07a647f36805e2176b"/>
        <w:id w:val="-264154713"/>
        <w:placeholder>
          <w:docPart w:val="GBC22222222222222222222222222222"/>
        </w:placeholder>
      </w:sdtPr>
      <w:sdtContent>
        <w:p>
          <w:pPr>
            <w:pStyle w:val="Style217"/>
          </w:pPr>
          <w:r>
            <w:rPr>
              <w:rFonts w:hint="eastAsia"/>
            </w:rPr>
            <w:t>-</w:t>
          </w:r>
        </w:p>
      </w:sdtContent>
    </w:sdt>
    <w:p>
      <w:pPr>
        <w:pStyle w:val="Style217"/>
      </w:pPr>
    </w:p>
    <w:p>
      <w:pPr>
        <w:rPr>
          <w:rFonts w:cstheme="minorBidi"/>
          <w:kern w:val="2"/>
        </w:rPr>
      </w:pPr>
    </w:p>
    <w:p>
      <w:pPr>
        <w:pStyle w:val="Style178"/>
        <w:numPr>
          <w:ilvl w:val="0"/>
          <w:numId w:val="75"/>
        </w:numPr>
        <w:rPr>
          <w:szCs w:val="21"/>
        </w:rPr>
      </w:pPr>
      <w:r>
        <w:rPr>
          <w:szCs w:val="21"/>
        </w:rPr>
        <w:t>资产减值损失</w:t>
      </w:r>
    </w:p>
    <w:sdt>
      <w:sdtPr>
        <w:alias w:val="是否适用：资产减值损失[双击切换]"/>
        <w:tag w:val="_GBC_8b37643fea7c43289fdaf85f79b2bcae"/>
        <w:id w:val="-112361596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资产减值损失"/>
          <w:tag w:val="_GBC_fe85f36c54dd476ea970b9d8ae08135d"/>
          <w:id w:val="19102673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资产减值损失"/>
          <w:tag w:val="_GBC_08596d3dbba143a8b694044119494ec6"/>
          <w:id w:val="5470374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268"/>
        <w:gridCol w:w="2389"/>
      </w:tblGrid>
      <w:tr>
        <w:sdt>
          <w:sdtPr>
            <w:tag w:val="_PLD_344de032f71b4e06985c561df3bcf55a"/>
            <w:id w:val="-1471978105"/>
          </w:sdtPr>
          <w:sdtContent>
            <w:tc>
              <w:tcPr>
                <w:tcW w:w="439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项目</w:t>
                </w:r>
              </w:p>
            </w:tc>
          </w:sdtContent>
        </w:sdt>
        <w:sdt>
          <w:sdtPr>
            <w:tag w:val="_PLD_9551307ec5c049a3aa84c3c7d3e61d92"/>
            <w:id w:val="1450513419"/>
          </w:sdtPr>
          <w:sdtContent>
            <w:tc>
              <w:tcPr>
                <w:tcW w:w="226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本期发生额</w:t>
                </w:r>
              </w:p>
            </w:tc>
          </w:sdtContent>
        </w:sdt>
        <w:sdt>
          <w:sdtPr>
            <w:tag w:val="_PLD_46a2a62cd1b1406f877f135b9d7e38a6"/>
            <w:id w:val="790787993"/>
          </w:sdtPr>
          <w:sdtContent>
            <w:tc>
              <w:tcPr>
                <w:tcW w:w="23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上期发生额</w:t>
                </w:r>
              </w:p>
            </w:tc>
          </w:sdtContent>
        </w:sdt>
      </w:tr>
      <w:tr>
        <w:tc>
          <w:tcPr>
            <w:tcW w:w="439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ascii="宋体" w:hAnsi="宋体" w:hint="eastAsia"/>
              </w:rPr>
              <w:t>存货跌价损失</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-58,124</w:t>
            </w:r>
          </w:p>
        </w:tc>
        <w:tc>
          <w:tcPr>
            <w:tcW w:w="23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-4,045</w:t>
            </w:r>
          </w:p>
        </w:tc>
      </w:tr>
      <w:tr>
        <w:tc>
          <w:tcPr>
            <w:tcW w:w="439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ascii="宋体" w:hAnsi="宋体" w:hint="eastAsia"/>
              </w:rPr>
              <w:t>固定资产减值损失</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3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-88,400</w:t>
            </w:r>
          </w:p>
        </w:tc>
      </w:tr>
      <w:tr>
        <w:tc>
          <w:tcPr>
            <w:tcW w:w="439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ascii="宋体" w:hAnsi="宋体" w:hint="eastAsia"/>
              </w:rPr>
              <w:t>合同资产减值损失</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-14,504</w:t>
            </w:r>
          </w:p>
        </w:tc>
        <w:tc>
          <w:tcPr>
            <w:tcW w:w="23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-4,476</w:t>
            </w:r>
          </w:p>
        </w:tc>
      </w:tr>
      <w:tr>
        <w:tc>
          <w:tcPr>
            <w:tcW w:w="439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ascii="宋体" w:hAnsi="宋体" w:hint="eastAsia"/>
              </w:rPr>
              <w:t>在建工程减值损失</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3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w:t>
            </w:r>
          </w:p>
        </w:tc>
      </w:tr>
      <w:tr>
        <w:tc>
          <w:tcPr>
            <w:tcW w:w="439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ascii="宋体" w:hAnsi="宋体" w:hint="eastAsia"/>
              </w:rPr>
              <w:t>无形资产减值损失</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3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-33,415</w:t>
            </w:r>
          </w:p>
        </w:tc>
      </w:tr>
      <w:tr>
        <w:tc>
          <w:tcPr>
            <w:tcW w:w="439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pPr>
            <w:r>
              <w:rPr>
                <w:rFonts w:ascii="宋体" w:hAnsi="宋体" w:hint="eastAsia"/>
              </w:rPr>
              <w:lastRenderedPageBreak/>
              <w:t>其他</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3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-392</w:t>
            </w:r>
          </w:p>
        </w:tc>
      </w:tr>
      <w:tr>
        <w:tc>
          <w:tcPr>
            <w:tcW w:w="439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合计</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-72,628</w:t>
            </w:r>
          </w:p>
        </w:tc>
        <w:tc>
          <w:tcPr>
            <w:tcW w:w="238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-130,733</w:t>
            </w:r>
          </w:p>
        </w:tc>
      </w:tr>
    </w:tbl>
    <w:p>
      <w:pPr>
        <w:pStyle w:val="Style217"/>
      </w:pPr>
    </w:p>
    <w:p>
      <w:pPr>
        <w:spacing w:before="60" w:after="60"/>
      </w:pPr>
      <w:r>
        <w:rPr>
          <w:rFonts w:hint="eastAsia"/>
        </w:rPr>
        <w:t>其他说明：</w:t>
      </w:r>
    </w:p>
    <w:sdt>
      <w:sdtPr>
        <w:alias w:val="资产减值损失的说明"/>
        <w:tag w:val="_GBC_1e9b73a63ce74456883b0a5fd2597461"/>
        <w:id w:val="-1983458823"/>
        <w:placeholder>
          <w:docPart w:val="GBC22222222222222222222222222222"/>
        </w:placeholder>
      </w:sdtPr>
      <w:sdtContent>
        <w:p>
          <w:pPr>
            <w:pStyle w:val="Style217"/>
          </w:pPr>
          <w:r>
            <w:rPr>
              <w:rFonts w:hint="eastAsia"/>
            </w:rPr>
            <w:t>-</w:t>
          </w:r>
        </w:p>
      </w:sdtContent>
    </w:sdt>
    <w:p>
      <w:pPr>
        <w:rPr>
          <w:rFonts w:asciiTheme="minorHAnsi" w:eastAsiaTheme="minorEastAsia" w:hAnsiTheme="minorHAnsi"/>
          <w:szCs w:val="22"/>
        </w:rPr>
      </w:pPr>
    </w:p>
    <w:p>
      <w:pPr>
        <w:rPr>
          <w:rFonts w:asciiTheme="minorHAnsi" w:eastAsiaTheme="minorEastAsia" w:hAnsiTheme="minorHAnsi"/>
          <w:szCs w:val="22"/>
        </w:rPr>
      </w:pPr>
    </w:p>
    <w:p>
      <w:pPr>
        <w:pStyle w:val="Style178"/>
        <w:numPr>
          <w:ilvl w:val="0"/>
          <w:numId w:val="75"/>
        </w:numPr>
        <w:rPr>
          <w:szCs w:val="21"/>
        </w:rPr>
      </w:pPr>
      <w:r>
        <w:rPr>
          <w:szCs w:val="21"/>
        </w:rPr>
        <w:t>资产处置收益</w:t>
      </w:r>
    </w:p>
    <w:sdt>
      <w:sdtPr>
        <w:rPr>
          <w:bCs/>
        </w:rPr>
        <w:alias w:val="是否适用：资产处置收益[双击切换]"/>
        <w:tag w:val="_GBC_b76400e6a673420c9bc522936e82c207"/>
        <w:id w:val="-1333439892"/>
        <w:placeholder>
          <w:docPart w:val="GBC22222222222222222222222222222"/>
        </w:placeholder>
      </w:sdtPr>
      <w:sdtContent>
        <w:p>
          <w:pPr>
            <w:rPr>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p>
      <w:pPr>
        <w:pStyle w:val="Style189"/>
        <w:ind w:left="420" w:firstLineChars="0" w:firstLine="0"/>
        <w:jc w:val="right"/>
        <w:rPr>
          <w:bCs/>
        </w:rPr>
      </w:pPr>
      <w:r>
        <w:rPr>
          <w:bCs/>
        </w:rPr>
        <w:t>单位：</w:t>
      </w:r>
      <w:sdt>
        <w:sdtPr>
          <w:rPr>
            <w:bCs/>
          </w:rPr>
          <w:alias w:val="单位：资产处置收益明细"/>
          <w:tag w:val="_GBC_7ec9558ba3654efb8bffe62787e178bb"/>
          <w:id w:val="13110597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千元</w:t>
          </w:r>
          <w:r>
            <w:rPr>
              <w:rFonts w:hint="eastAsia"/>
              <w:bCs/>
            </w:rPr>
            <w:t xml:space="preserve">  </w:t>
          </w:r>
        </w:sdtContent>
      </w:sdt>
      <w:r>
        <w:rPr>
          <w:bCs/>
        </w:rPr>
        <w:t>币种：</w:t>
      </w:r>
      <w:sdt>
        <w:sdtPr>
          <w:rPr>
            <w:bCs/>
          </w:rPr>
          <w:alias w:val="币种：资产处置收益明细"/>
          <w:tag w:val="_GBC_6a67bd424d2842be9fe48ecebd5d6f35"/>
          <w:id w:val="-5267083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843"/>
        <w:gridCol w:w="1964"/>
      </w:tblGrid>
      <w:tr>
        <w:sdt>
          <w:sdtPr>
            <w:tag w:val="_PLD_6aa248f59d784f95a8d1e935bd71e05e"/>
            <w:id w:val="-1771619440"/>
          </w:sdtPr>
          <w:sdtContent>
            <w:tc>
              <w:tcPr>
                <w:tcW w:w="5240" w:type="dxa"/>
                <w:vAlign w:val="center"/>
              </w:tcPr>
              <w:p>
                <w:pPr>
                  <w:widowControl w:val="0"/>
                  <w:jc w:val="center"/>
                </w:pPr>
                <w:r>
                  <w:rPr>
                    <w:rFonts w:hint="eastAsia"/>
                  </w:rPr>
                  <w:t>项目</w:t>
                </w:r>
              </w:p>
            </w:tc>
          </w:sdtContent>
        </w:sdt>
        <w:sdt>
          <w:sdtPr>
            <w:tag w:val="_PLD_130aaf0b75144f7d943c5d780cfc1b6b"/>
            <w:id w:val="1344584836"/>
          </w:sdtPr>
          <w:sdtContent>
            <w:tc>
              <w:tcPr>
                <w:tcW w:w="1843" w:type="dxa"/>
                <w:vAlign w:val="center"/>
              </w:tcPr>
              <w:p>
                <w:pPr>
                  <w:widowControl w:val="0"/>
                  <w:jc w:val="center"/>
                </w:pPr>
                <w:r>
                  <w:rPr>
                    <w:rFonts w:hint="eastAsia"/>
                  </w:rPr>
                  <w:t>本期发生额</w:t>
                </w:r>
              </w:p>
            </w:tc>
          </w:sdtContent>
        </w:sdt>
        <w:sdt>
          <w:sdtPr>
            <w:tag w:val="_PLD_482f220f08ce46dc8e769190f957eec7"/>
            <w:id w:val="-2019685674"/>
          </w:sdtPr>
          <w:sdtContent>
            <w:tc>
              <w:tcPr>
                <w:tcW w:w="1964" w:type="dxa"/>
                <w:vAlign w:val="center"/>
              </w:tcPr>
              <w:p>
                <w:pPr>
                  <w:widowControl w:val="0"/>
                  <w:jc w:val="center"/>
                </w:pPr>
                <w:r>
                  <w:rPr>
                    <w:rFonts w:hint="eastAsia"/>
                  </w:rPr>
                  <w:t>上期发生额</w:t>
                </w:r>
              </w:p>
            </w:tc>
          </w:sdtContent>
        </w:sdt>
      </w:tr>
      <w:tr>
        <w:tc>
          <w:tcPr>
            <w:tcW w:w="5240" w:type="dxa"/>
          </w:tcPr>
          <w:p>
            <w:pPr>
              <w:widowControl w:val="0"/>
            </w:pPr>
            <w:r>
              <w:rPr>
                <w:rFonts w:hint="eastAsia"/>
              </w:rPr>
              <w:t>非流动资产处置收益</w:t>
            </w:r>
          </w:p>
        </w:tc>
        <w:tc>
          <w:tcPr>
            <w:tcW w:w="1843" w:type="dxa"/>
            <w:vAlign w:val="center"/>
          </w:tcPr>
          <w:p>
            <w:pPr>
              <w:widowControl w:val="0"/>
              <w:jc w:val="right"/>
              <w:rPr>
                <w:rFonts w:ascii="宋体" w:hAnsi="宋体"/>
              </w:rPr>
            </w:pPr>
            <w:r>
              <w:rPr>
                <w:rFonts w:ascii="宋体" w:hAnsi="宋体"/>
              </w:rPr>
              <w:t>989,338</w:t>
            </w:r>
          </w:p>
        </w:tc>
        <w:tc>
          <w:tcPr>
            <w:tcW w:w="1964" w:type="dxa"/>
            <w:vAlign w:val="center"/>
          </w:tcPr>
          <w:p>
            <w:pPr>
              <w:widowControl w:val="0"/>
              <w:jc w:val="right"/>
              <w:rPr>
                <w:rFonts w:ascii="宋体" w:hAnsi="宋体"/>
              </w:rPr>
            </w:pPr>
            <w:r>
              <w:rPr>
                <w:rFonts w:ascii="宋体" w:hAnsi="宋体" w:hint="eastAsia"/>
              </w:rPr>
              <w:t>118,431</w:t>
            </w:r>
          </w:p>
        </w:tc>
      </w:tr>
      <w:tr>
        <w:tc>
          <w:tcPr>
            <w:tcW w:w="5240" w:type="dxa"/>
          </w:tcPr>
          <w:p>
            <w:pPr>
              <w:widowControl w:val="0"/>
              <w:ind w:firstLineChars="100" w:firstLine="210"/>
            </w:pPr>
            <w:r>
              <w:rPr>
                <w:rFonts w:hint="eastAsia"/>
              </w:rPr>
              <w:t>其中：固定资产处置收益</w:t>
            </w:r>
          </w:p>
        </w:tc>
        <w:tc>
          <w:tcPr>
            <w:tcW w:w="1843" w:type="dxa"/>
            <w:vAlign w:val="center"/>
          </w:tcPr>
          <w:p>
            <w:pPr>
              <w:widowControl w:val="0"/>
              <w:jc w:val="right"/>
              <w:rPr>
                <w:rFonts w:ascii="宋体" w:hAnsi="宋体"/>
              </w:rPr>
            </w:pPr>
            <w:r>
              <w:rPr>
                <w:rFonts w:ascii="宋体" w:hAnsi="宋体"/>
              </w:rPr>
              <w:t>-88,505</w:t>
            </w:r>
          </w:p>
        </w:tc>
        <w:tc>
          <w:tcPr>
            <w:tcW w:w="1964" w:type="dxa"/>
            <w:vAlign w:val="center"/>
          </w:tcPr>
          <w:p>
            <w:pPr>
              <w:widowControl w:val="0"/>
              <w:jc w:val="right"/>
              <w:rPr>
                <w:rFonts w:ascii="宋体" w:hAnsi="宋体"/>
              </w:rPr>
            </w:pPr>
            <w:r>
              <w:rPr>
                <w:rFonts w:ascii="宋体" w:hAnsi="宋体" w:hint="eastAsia"/>
              </w:rPr>
              <w:t>58,784</w:t>
            </w:r>
          </w:p>
        </w:tc>
      </w:tr>
      <w:tr>
        <w:tc>
          <w:tcPr>
            <w:tcW w:w="5240" w:type="dxa"/>
          </w:tcPr>
          <w:p>
            <w:pPr>
              <w:widowControl w:val="0"/>
              <w:ind w:firstLineChars="400" w:firstLine="840"/>
            </w:pPr>
            <w:r>
              <w:rPr>
                <w:rFonts w:hint="eastAsia"/>
              </w:rPr>
              <w:t>无形资产处置收益</w:t>
            </w:r>
          </w:p>
        </w:tc>
        <w:tc>
          <w:tcPr>
            <w:tcW w:w="1843" w:type="dxa"/>
            <w:vAlign w:val="center"/>
          </w:tcPr>
          <w:p>
            <w:pPr>
              <w:widowControl w:val="0"/>
              <w:jc w:val="right"/>
              <w:rPr>
                <w:rFonts w:ascii="宋体" w:hAnsi="宋体"/>
              </w:rPr>
            </w:pPr>
            <w:r>
              <w:rPr>
                <w:rFonts w:ascii="宋体" w:hAnsi="宋体" w:hint="eastAsia"/>
              </w:rPr>
              <w:t>1,077,563</w:t>
            </w:r>
          </w:p>
        </w:tc>
        <w:tc>
          <w:tcPr>
            <w:tcW w:w="1964" w:type="dxa"/>
            <w:vAlign w:val="center"/>
          </w:tcPr>
          <w:p>
            <w:pPr>
              <w:widowControl w:val="0"/>
              <w:jc w:val="right"/>
              <w:rPr>
                <w:rFonts w:ascii="宋体" w:hAnsi="宋体"/>
              </w:rPr>
            </w:pPr>
            <w:r>
              <w:rPr>
                <w:rFonts w:ascii="宋体" w:hAnsi="宋体" w:hint="eastAsia"/>
              </w:rPr>
              <w:t>48,035</w:t>
            </w:r>
          </w:p>
        </w:tc>
      </w:tr>
      <w:tr>
        <w:tc>
          <w:tcPr>
            <w:tcW w:w="5240" w:type="dxa"/>
          </w:tcPr>
          <w:p>
            <w:pPr>
              <w:widowControl w:val="0"/>
              <w:ind w:firstLineChars="400" w:firstLine="840"/>
            </w:pPr>
            <w:r>
              <w:rPr>
                <w:rFonts w:hint="eastAsia"/>
              </w:rPr>
              <w:t>使用权资产处置收益</w:t>
            </w:r>
          </w:p>
        </w:tc>
        <w:tc>
          <w:tcPr>
            <w:tcW w:w="1843" w:type="dxa"/>
            <w:vAlign w:val="center"/>
          </w:tcPr>
          <w:p>
            <w:pPr>
              <w:widowControl w:val="0"/>
              <w:jc w:val="right"/>
              <w:rPr>
                <w:rFonts w:ascii="宋体" w:hAnsi="宋体"/>
              </w:rPr>
            </w:pPr>
            <w:r>
              <w:rPr>
                <w:rFonts w:ascii="宋体" w:hAnsi="宋体"/>
              </w:rPr>
              <w:t>280</w:t>
            </w:r>
          </w:p>
        </w:tc>
        <w:tc>
          <w:tcPr>
            <w:tcW w:w="1964" w:type="dxa"/>
            <w:vAlign w:val="center"/>
          </w:tcPr>
          <w:p>
            <w:pPr>
              <w:widowControl w:val="0"/>
              <w:jc w:val="right"/>
              <w:rPr>
                <w:rFonts w:ascii="宋体" w:hAnsi="宋体"/>
              </w:rPr>
            </w:pPr>
            <w:r>
              <w:rPr>
                <w:rFonts w:ascii="宋体" w:hAnsi="宋体" w:hint="eastAsia"/>
              </w:rPr>
              <w:t>11,612</w:t>
            </w:r>
          </w:p>
        </w:tc>
      </w:tr>
      <w:tr>
        <w:tc>
          <w:tcPr>
            <w:tcW w:w="5240" w:type="dxa"/>
            <w:vAlign w:val="center"/>
          </w:tcPr>
          <w:p>
            <w:pPr>
              <w:widowControl w:val="0"/>
              <w:jc w:val="center"/>
            </w:pPr>
            <w:r>
              <w:rPr>
                <w:rFonts w:hint="eastAsia"/>
              </w:rPr>
              <w:t>合计</w:t>
            </w:r>
          </w:p>
        </w:tc>
        <w:tc>
          <w:tcPr>
            <w:tcW w:w="1843" w:type="dxa"/>
            <w:vAlign w:val="center"/>
          </w:tcPr>
          <w:p>
            <w:pPr>
              <w:widowControl w:val="0"/>
              <w:jc w:val="right"/>
              <w:rPr>
                <w:rFonts w:ascii="宋体" w:hAnsi="宋体"/>
              </w:rPr>
            </w:pPr>
            <w:r>
              <w:rPr>
                <w:rFonts w:ascii="宋体" w:hAnsi="宋体"/>
              </w:rPr>
              <w:t>989,338</w:t>
            </w:r>
          </w:p>
        </w:tc>
        <w:tc>
          <w:tcPr>
            <w:tcW w:w="1964" w:type="dxa"/>
            <w:vAlign w:val="center"/>
          </w:tcPr>
          <w:p>
            <w:pPr>
              <w:widowControl w:val="0"/>
              <w:jc w:val="right"/>
              <w:rPr>
                <w:rFonts w:ascii="宋体" w:hAnsi="宋体"/>
              </w:rPr>
            </w:pPr>
            <w:r>
              <w:rPr>
                <w:rFonts w:ascii="宋体" w:hAnsi="宋体"/>
              </w:rPr>
              <w:t>118,431</w:t>
            </w:r>
          </w:p>
        </w:tc>
      </w:tr>
    </w:tbl>
    <w:p>
      <w:pPr>
        <w:pStyle w:val="Style217"/>
      </w:pPr>
      <w:r>
        <w:rPr>
          <w:rFonts w:hint="eastAsia"/>
        </w:rPr>
        <w:t>其他说明：</w:t>
      </w:r>
    </w:p>
    <w:sdt>
      <w:sdtPr>
        <w:alias w:val="资产处置收益其他说明"/>
        <w:tag w:val="_GBC_a5d14cbbaa9b4b96b1c008693dadc2d6"/>
        <w:id w:val="120425067"/>
        <w:placeholder>
          <w:docPart w:val="GBC22222222222222222222222222222"/>
        </w:placeholder>
      </w:sdtPr>
      <w:sdtContent>
        <w:p>
          <w:pPr>
            <w:pStyle w:val="Style217"/>
          </w:pPr>
          <w:r>
            <w:rPr>
              <w:rFonts w:hint="eastAsia"/>
            </w:rPr>
            <w:t>-</w:t>
          </w:r>
        </w:p>
      </w:sdtContent>
    </w:sdt>
    <w:p>
      <w:pPr>
        <w:autoSpaceDE w:val="0"/>
        <w:autoSpaceDN w:val="0"/>
        <w:adjustRightInd w:val="0"/>
      </w:pPr>
    </w:p>
    <w:p>
      <w:pPr>
        <w:pStyle w:val="Style178"/>
        <w:numPr>
          <w:ilvl w:val="0"/>
          <w:numId w:val="75"/>
        </w:numPr>
        <w:rPr>
          <w:szCs w:val="21"/>
        </w:rPr>
      </w:pPr>
      <w:r>
        <w:rPr>
          <w:szCs w:val="21"/>
        </w:rPr>
        <w:t>营业外收入</w:t>
      </w:r>
    </w:p>
    <w:p>
      <w:pPr>
        <w:pStyle w:val="Style217"/>
      </w:pPr>
      <w:r>
        <w:rPr>
          <w:rFonts w:hint="eastAsia"/>
        </w:rPr>
        <w:t>营业外收入情况</w:t>
      </w:r>
    </w:p>
    <w:sdt>
      <w:sdtPr>
        <w:rPr>
          <w:rFonts w:hint="eastAsia"/>
        </w:rPr>
        <w:alias w:val="是否适用：营业外收入情况 [双击切换]"/>
        <w:tag w:val="_GBC_4aec8b65d0e744aaaddac8859ae249bc"/>
        <w:id w:val="-187430166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营业外收入"/>
          <w:tag w:val="_GBC_79d3fe1c29e746e7b2a9a9acfcc43449"/>
          <w:id w:val="18865257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营业外收入"/>
          <w:tag w:val="_GBC_4266913812da4517aa68b2f8bff79fbe"/>
          <w:id w:val="6340581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305"/>
        <w:gridCol w:w="2314"/>
        <w:gridCol w:w="2316"/>
      </w:tblGrid>
      <w:tr>
        <w:sdt>
          <w:sdtPr>
            <w:tag w:val="_PLD_1b52b1902e1443609ba6891d7076aebe"/>
            <w:id w:val="-1059481622"/>
          </w:sdtPr>
          <w:sdtContent>
            <w:tc>
              <w:tcPr>
                <w:tcW w:w="211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项目</w:t>
                </w:r>
              </w:p>
            </w:tc>
          </w:sdtContent>
        </w:sdt>
        <w:sdt>
          <w:sdtPr>
            <w:tag w:val="_PLD_9dc87bd465124a2289f545f76d28c96c"/>
            <w:id w:val="1581800037"/>
          </w:sdtPr>
          <w:sdtContent>
            <w:tc>
              <w:tcPr>
                <w:tcW w:w="230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本期发生额</w:t>
                </w:r>
              </w:p>
            </w:tc>
          </w:sdtContent>
        </w:sdt>
        <w:sdt>
          <w:sdtPr>
            <w:tag w:val="_PLD_e1b91f5db91a439083c1f9a1b7d17ef9"/>
            <w:id w:val="759106590"/>
          </w:sdtPr>
          <w:sdtContent>
            <w:tc>
              <w:tcPr>
                <w:tcW w:w="231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上期发生额</w:t>
                </w:r>
              </w:p>
            </w:tc>
          </w:sdtContent>
        </w:sdt>
        <w:sdt>
          <w:sdtPr>
            <w:tag w:val="_PLD_db1c9e08e7ea407889a350e8451d2848"/>
            <w:id w:val="382611372"/>
          </w:sdtPr>
          <w:sdtContent>
            <w:tc>
              <w:tcPr>
                <w:tcW w:w="23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color w:val="FF0000"/>
                  </w:rPr>
                </w:pPr>
                <w:r>
                  <w:rPr>
                    <w:rFonts w:hint="eastAsia"/>
                  </w:rPr>
                  <w:t>计入当期非经常性损益的金额</w:t>
                </w:r>
              </w:p>
            </w:tc>
          </w:sdtContent>
        </w:sdt>
      </w:tr>
      <w:tr>
        <w:tc>
          <w:tcPr>
            <w:tcW w:w="211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both"/>
            </w:pPr>
            <w:r>
              <w:rPr>
                <w:rFonts w:hint="eastAsia"/>
              </w:rPr>
              <w:t>政府补助</w:t>
            </w:r>
          </w:p>
        </w:tc>
        <w:tc>
          <w:tcPr>
            <w:tcW w:w="23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67,621</w:t>
            </w:r>
          </w:p>
        </w:tc>
        <w:tc>
          <w:tcPr>
            <w:tcW w:w="231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7,277</w:t>
            </w:r>
          </w:p>
        </w:tc>
        <w:tc>
          <w:tcPr>
            <w:tcW w:w="23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67,621</w:t>
            </w:r>
          </w:p>
        </w:tc>
      </w:tr>
      <w:tr>
        <w:tc>
          <w:tcPr>
            <w:tcW w:w="211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both"/>
            </w:pPr>
            <w:r>
              <w:rPr>
                <w:rFonts w:hint="eastAsia"/>
              </w:rPr>
              <w:t>资产处置款</w:t>
            </w:r>
          </w:p>
        </w:tc>
        <w:tc>
          <w:tcPr>
            <w:tcW w:w="23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69,033</w:t>
            </w:r>
          </w:p>
        </w:tc>
        <w:tc>
          <w:tcPr>
            <w:tcW w:w="231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401,346</w:t>
            </w:r>
          </w:p>
        </w:tc>
        <w:tc>
          <w:tcPr>
            <w:tcW w:w="23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69,033</w:t>
            </w:r>
          </w:p>
        </w:tc>
      </w:tr>
      <w:tr>
        <w:tc>
          <w:tcPr>
            <w:tcW w:w="2112"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both"/>
            </w:pPr>
            <w:r>
              <w:rPr>
                <w:rFonts w:hint="eastAsia"/>
              </w:rPr>
              <w:t>其他</w:t>
            </w:r>
          </w:p>
        </w:tc>
        <w:tc>
          <w:tcPr>
            <w:tcW w:w="23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331,914</w:t>
            </w:r>
          </w:p>
        </w:tc>
        <w:tc>
          <w:tcPr>
            <w:tcW w:w="231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599,041</w:t>
            </w:r>
          </w:p>
        </w:tc>
        <w:tc>
          <w:tcPr>
            <w:tcW w:w="23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331,914</w:t>
            </w:r>
          </w:p>
        </w:tc>
      </w:tr>
      <w:tr>
        <w:tc>
          <w:tcPr>
            <w:tcW w:w="2112"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30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468,568</w:t>
            </w:r>
          </w:p>
        </w:tc>
        <w:tc>
          <w:tcPr>
            <w:tcW w:w="231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1,007,664</w:t>
            </w:r>
          </w:p>
        </w:tc>
        <w:tc>
          <w:tcPr>
            <w:tcW w:w="231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468,568</w:t>
            </w:r>
          </w:p>
        </w:tc>
      </w:tr>
    </w:tbl>
    <w:p>
      <w:pPr>
        <w:pStyle w:val="Style217"/>
      </w:pPr>
    </w:p>
    <w:p>
      <w:pPr>
        <w:spacing w:before="60" w:after="60" w:line="360" w:lineRule="exact"/>
      </w:pPr>
      <w:r>
        <w:rPr>
          <w:rFonts w:hint="eastAsia"/>
        </w:rPr>
        <w:t>其他说明：</w:t>
      </w:r>
    </w:p>
    <w:sdt>
      <w:sdtPr>
        <w:alias w:val="是否适用：营业外收入说明[双击切换]"/>
        <w:tag w:val="_GBC_746f9c9c9cab4c2a87c7913a430e2392"/>
        <w:id w:val="489291415"/>
        <w:placeholder>
          <w:docPart w:val="GBC22222222222222222222222222222"/>
        </w:placeholder>
      </w:sdtPr>
      <w:sdtContent>
        <w:p>
          <w:pPr>
            <w:spacing w:before="60" w:after="60" w:line="360" w:lineRule="exac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营业外收入说明"/>
        <w:tag w:val="_GBC_025da34f568f41658c5fa2bdac45f3f2"/>
        <w:id w:val="1737752688"/>
        <w:placeholder>
          <w:docPart w:val="GBC22222222222222222222222222222"/>
        </w:placeholder>
      </w:sdtPr>
      <w:sdtContent>
        <w:p>
          <w:pPr>
            <w:pStyle w:val="Style217"/>
          </w:pPr>
          <w:r>
            <w:rPr>
              <w:rFonts w:hint="eastAsia"/>
            </w:rPr>
            <w:t>计入当期损益的政府补助</w:t>
          </w:r>
        </w:p>
        <w:tbl>
          <w:tblPr>
            <w:tblStyle w:val="Style100"/>
            <w:tblW w:w="550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863"/>
            <w:gridCol w:w="1521"/>
            <w:gridCol w:w="857"/>
            <w:gridCol w:w="591"/>
            <w:gridCol w:w="603"/>
            <w:gridCol w:w="902"/>
            <w:gridCol w:w="842"/>
            <w:gridCol w:w="694"/>
          </w:tblGrid>
          <w:tr>
            <w:trPr>
              <w:trHeight w:val="397"/>
              <w:tblHeader/>
              <w:jc w:val="center"/>
            </w:trPr>
            <w:tc>
              <w:tcPr>
                <w:tcW w:w="948" w:type="pct"/>
                <w:shd w:val="clear" w:color="auto" w:fill="auto"/>
                <w:vAlign w:val="center"/>
              </w:tcPr>
              <w:p>
                <w:pPr>
                  <w:jc w:val="center"/>
                  <w:rPr>
                    <w:rFonts w:ascii="宋体" w:hAnsi="宋体" w:cs="宋体"/>
                    <w:b/>
                    <w:bCs/>
                    <w:color w:val="000000"/>
                  </w:rPr>
                </w:pPr>
                <w:r>
                  <w:rPr>
                    <w:rFonts w:ascii="宋体" w:hAnsi="宋体" w:cs="宋体" w:hint="eastAsia"/>
                    <w:b/>
                    <w:bCs/>
                    <w:color w:val="000000"/>
                  </w:rPr>
                  <w:t>补助项目</w:t>
                </w:r>
              </w:p>
            </w:tc>
            <w:tc>
              <w:tcPr>
                <w:tcW w:w="957" w:type="pct"/>
                <w:shd w:val="clear" w:color="auto" w:fill="auto"/>
                <w:vAlign w:val="center"/>
              </w:tcPr>
              <w:p>
                <w:pPr>
                  <w:jc w:val="center"/>
                  <w:rPr>
                    <w:rFonts w:ascii="宋体" w:hAnsi="宋体" w:cs="宋体"/>
                    <w:b/>
                    <w:bCs/>
                    <w:color w:val="000000"/>
                  </w:rPr>
                </w:pPr>
                <w:r>
                  <w:rPr>
                    <w:rFonts w:ascii="宋体" w:hAnsi="宋体" w:cs="宋体" w:hint="eastAsia"/>
                    <w:b/>
                    <w:bCs/>
                    <w:color w:val="000000"/>
                  </w:rPr>
                  <w:t>发放主体</w:t>
                </w:r>
              </w:p>
            </w:tc>
            <w:tc>
              <w:tcPr>
                <w:tcW w:w="781" w:type="pct"/>
                <w:shd w:val="clear" w:color="auto" w:fill="auto"/>
                <w:vAlign w:val="center"/>
              </w:tcPr>
              <w:p>
                <w:pPr>
                  <w:jc w:val="center"/>
                  <w:rPr>
                    <w:rFonts w:ascii="宋体" w:hAnsi="宋体" w:cs="宋体"/>
                    <w:b/>
                    <w:bCs/>
                    <w:color w:val="000000"/>
                  </w:rPr>
                </w:pPr>
                <w:r>
                  <w:rPr>
                    <w:rFonts w:ascii="宋体" w:hAnsi="宋体" w:cs="宋体" w:hint="eastAsia"/>
                    <w:b/>
                    <w:bCs/>
                    <w:color w:val="000000"/>
                  </w:rPr>
                  <w:t>发放原因</w:t>
                </w:r>
              </w:p>
            </w:tc>
            <w:tc>
              <w:tcPr>
                <w:tcW w:w="441" w:type="pct"/>
                <w:shd w:val="clear" w:color="auto" w:fill="auto"/>
                <w:vAlign w:val="center"/>
              </w:tcPr>
              <w:p>
                <w:pPr>
                  <w:jc w:val="center"/>
                  <w:rPr>
                    <w:rFonts w:ascii="宋体" w:hAnsi="宋体" w:cs="宋体"/>
                    <w:b/>
                    <w:bCs/>
                    <w:color w:val="000000"/>
                  </w:rPr>
                </w:pPr>
                <w:r>
                  <w:rPr>
                    <w:rFonts w:ascii="宋体" w:hAnsi="宋体" w:cs="宋体" w:hint="eastAsia"/>
                    <w:b/>
                    <w:bCs/>
                    <w:color w:val="000000"/>
                  </w:rPr>
                  <w:t>性质类型</w:t>
                </w:r>
              </w:p>
            </w:tc>
            <w:tc>
              <w:tcPr>
                <w:tcW w:w="304" w:type="pct"/>
                <w:shd w:val="clear" w:color="auto" w:fill="auto"/>
                <w:vAlign w:val="center"/>
              </w:tcPr>
              <w:p>
                <w:pPr>
                  <w:jc w:val="center"/>
                  <w:rPr>
                    <w:rFonts w:ascii="宋体" w:hAnsi="宋体" w:cs="宋体"/>
                    <w:b/>
                    <w:bCs/>
                    <w:color w:val="000000"/>
                  </w:rPr>
                </w:pPr>
                <w:r>
                  <w:rPr>
                    <w:rFonts w:ascii="宋体" w:hAnsi="宋体" w:cs="宋体" w:hint="eastAsia"/>
                    <w:b/>
                    <w:bCs/>
                    <w:color w:val="000000"/>
                  </w:rPr>
                  <w:t>补贴是否影响当年盈亏</w:t>
                </w:r>
              </w:p>
            </w:tc>
            <w:tc>
              <w:tcPr>
                <w:tcW w:w="310" w:type="pct"/>
                <w:shd w:val="clear" w:color="auto" w:fill="auto"/>
                <w:vAlign w:val="center"/>
              </w:tcPr>
              <w:p>
                <w:pPr>
                  <w:jc w:val="center"/>
                  <w:rPr>
                    <w:rFonts w:ascii="宋体" w:hAnsi="宋体" w:cs="宋体"/>
                    <w:b/>
                    <w:bCs/>
                    <w:color w:val="000000"/>
                  </w:rPr>
                </w:pPr>
                <w:r>
                  <w:rPr>
                    <w:rFonts w:ascii="宋体" w:hAnsi="宋体" w:cs="宋体" w:hint="eastAsia"/>
                    <w:b/>
                    <w:bCs/>
                    <w:color w:val="000000"/>
                  </w:rPr>
                  <w:t>是否特殊补贴</w:t>
                </w:r>
              </w:p>
            </w:tc>
            <w:tc>
              <w:tcPr>
                <w:tcW w:w="464" w:type="pct"/>
                <w:shd w:val="clear" w:color="auto" w:fill="auto"/>
                <w:vAlign w:val="center"/>
              </w:tcPr>
              <w:p>
                <w:pPr>
                  <w:jc w:val="center"/>
                  <w:rPr>
                    <w:rFonts w:ascii="宋体" w:hAnsi="宋体" w:cs="宋体"/>
                    <w:b/>
                    <w:bCs/>
                    <w:color w:val="000000"/>
                  </w:rPr>
                </w:pPr>
                <w:r>
                  <w:rPr>
                    <w:rFonts w:ascii="宋体" w:hAnsi="宋体" w:cs="宋体" w:hint="eastAsia"/>
                    <w:b/>
                    <w:bCs/>
                    <w:color w:val="000000"/>
                  </w:rPr>
                  <w:t>本年发生金额</w:t>
                </w:r>
              </w:p>
            </w:tc>
            <w:tc>
              <w:tcPr>
                <w:tcW w:w="433" w:type="pct"/>
                <w:shd w:val="clear" w:color="auto" w:fill="auto"/>
                <w:vAlign w:val="center"/>
              </w:tcPr>
              <w:p>
                <w:pPr>
                  <w:jc w:val="center"/>
                  <w:rPr>
                    <w:rFonts w:ascii="宋体" w:hAnsi="宋体" w:cs="宋体"/>
                    <w:b/>
                    <w:bCs/>
                    <w:color w:val="000000"/>
                  </w:rPr>
                </w:pPr>
                <w:r>
                  <w:rPr>
                    <w:rFonts w:ascii="宋体" w:hAnsi="宋体" w:cs="宋体" w:hint="eastAsia"/>
                    <w:b/>
                    <w:bCs/>
                    <w:color w:val="000000"/>
                  </w:rPr>
                  <w:t>上年发生金额</w:t>
                </w:r>
              </w:p>
            </w:tc>
            <w:tc>
              <w:tcPr>
                <w:tcW w:w="357" w:type="pct"/>
                <w:shd w:val="clear" w:color="auto" w:fill="auto"/>
                <w:vAlign w:val="center"/>
              </w:tcPr>
              <w:p>
                <w:pPr>
                  <w:jc w:val="center"/>
                  <w:rPr>
                    <w:rFonts w:ascii="宋体" w:hAnsi="宋体" w:cs="宋体"/>
                    <w:b/>
                    <w:bCs/>
                    <w:color w:val="000000"/>
                  </w:rPr>
                </w:pPr>
                <w:r>
                  <w:rPr>
                    <w:rFonts w:ascii="宋体" w:hAnsi="宋体" w:cs="宋体" w:hint="eastAsia"/>
                    <w:b/>
                    <w:bCs/>
                    <w:color w:val="000000"/>
                  </w:rPr>
                  <w:t>与资产相关/与收益相关</w:t>
                </w:r>
              </w:p>
            </w:tc>
          </w:tr>
          <w:tr>
            <w:trPr>
              <w:trHeight w:val="397"/>
              <w:jc w:val="center"/>
            </w:trPr>
            <w:tc>
              <w:tcPr>
                <w:tcW w:w="948" w:type="pct"/>
                <w:shd w:val="clear" w:color="auto" w:fill="auto"/>
                <w:vAlign w:val="center"/>
              </w:tcPr>
              <w:p>
                <w:pPr>
                  <w:rPr>
                    <w:rFonts w:ascii="宋体" w:hAnsi="宋体" w:cs="宋体"/>
                    <w:color w:val="000000"/>
                  </w:rPr>
                </w:pPr>
                <w:r>
                  <w:rPr>
                    <w:rFonts w:ascii="宋体" w:hAnsi="宋体" w:cs="宋体" w:hint="eastAsia"/>
                  </w:rPr>
                  <w:t>燃料电池汽车支持整车示范应用市级奖励资金</w:t>
                </w:r>
              </w:p>
            </w:tc>
            <w:tc>
              <w:tcPr>
                <w:tcW w:w="957" w:type="pct"/>
                <w:shd w:val="clear" w:color="auto" w:fill="auto"/>
                <w:vAlign w:val="center"/>
              </w:tcPr>
              <w:p>
                <w:pPr>
                  <w:rPr>
                    <w:rFonts w:ascii="宋体" w:hAnsi="宋体" w:cs="宋体"/>
                    <w:color w:val="000000"/>
                  </w:rPr>
                </w:pPr>
                <w:r>
                  <w:rPr>
                    <w:rFonts w:ascii="宋体" w:hAnsi="宋体" w:cs="宋体" w:hint="eastAsia"/>
                  </w:rPr>
                  <w:t>伊金霍洛旗工业信息化和投资促进局</w:t>
                </w:r>
              </w:p>
            </w:tc>
            <w:tc>
              <w:tcPr>
                <w:tcW w:w="781" w:type="pct"/>
                <w:shd w:val="clear" w:color="auto" w:fill="auto"/>
                <w:vAlign w:val="center"/>
              </w:tcPr>
              <w:p>
                <w:pPr>
                  <w:rPr>
                    <w:rFonts w:ascii="宋体" w:hAnsi="宋体" w:cs="宋体"/>
                    <w:color w:val="000000"/>
                  </w:rPr>
                </w:pPr>
                <w:r>
                  <w:rPr>
                    <w:rFonts w:ascii="宋体" w:hAnsi="宋体" w:cs="宋体" w:hint="eastAsia"/>
                  </w:rPr>
                  <w:t>对于昊盛使用燃料电池汽车的奖励资金</w:t>
                </w:r>
              </w:p>
            </w:tc>
            <w:tc>
              <w:tcPr>
                <w:tcW w:w="441" w:type="pct"/>
                <w:shd w:val="clear" w:color="auto" w:fill="auto"/>
                <w:noWrap/>
                <w:vAlign w:val="center"/>
              </w:tcPr>
              <w:p>
                <w:pPr>
                  <w:rPr>
                    <w:rFonts w:ascii="宋体" w:hAnsi="宋体" w:cs="宋体"/>
                    <w:color w:val="000000"/>
                  </w:rPr>
                </w:pPr>
                <w:r>
                  <w:rPr>
                    <w:rFonts w:ascii="宋体" w:hAnsi="宋体" w:cs="宋体" w:hint="eastAsia"/>
                  </w:rPr>
                  <w:t>政府奖励资金</w:t>
                </w:r>
              </w:p>
            </w:tc>
            <w:tc>
              <w:tcPr>
                <w:tcW w:w="304" w:type="pct"/>
                <w:shd w:val="clear" w:color="auto" w:fill="auto"/>
                <w:vAlign w:val="center"/>
              </w:tcPr>
              <w:p>
                <w:pPr>
                  <w:jc w:val="center"/>
                  <w:rPr>
                    <w:rFonts w:ascii="宋体" w:hAnsi="宋体" w:cs="宋体"/>
                    <w:color w:val="000000"/>
                  </w:rPr>
                </w:pPr>
                <w:r>
                  <w:rPr>
                    <w:rFonts w:ascii="宋体" w:hAnsi="宋体" w:cs="宋体" w:hint="eastAsia"/>
                  </w:rPr>
                  <w:t>否</w:t>
                </w:r>
              </w:p>
            </w:tc>
            <w:tc>
              <w:tcPr>
                <w:tcW w:w="310" w:type="pct"/>
                <w:shd w:val="clear" w:color="auto" w:fill="auto"/>
                <w:vAlign w:val="center"/>
              </w:tcPr>
              <w:p>
                <w:pPr>
                  <w:jc w:val="center"/>
                  <w:rPr>
                    <w:rFonts w:ascii="宋体" w:hAnsi="宋体" w:cs="宋体"/>
                    <w:color w:val="000000"/>
                  </w:rPr>
                </w:pPr>
                <w:r>
                  <w:rPr>
                    <w:rFonts w:ascii="宋体" w:hAnsi="宋体" w:cs="宋体" w:hint="eastAsia"/>
                  </w:rPr>
                  <w:t>否</w:t>
                </w:r>
              </w:p>
            </w:tc>
            <w:tc>
              <w:tcPr>
                <w:tcW w:w="464" w:type="pct"/>
                <w:shd w:val="clear" w:color="auto" w:fill="auto"/>
                <w:vAlign w:val="center"/>
              </w:tcPr>
              <w:p>
                <w:pPr>
                  <w:jc w:val="right"/>
                  <w:rPr>
                    <w:rFonts w:ascii="宋体" w:hAnsi="宋体" w:cs="宋体"/>
                    <w:color w:val="000000"/>
                  </w:rPr>
                </w:pPr>
                <w:r>
                  <w:rPr>
                    <w:rFonts w:ascii="宋体" w:hAnsi="宋体" w:cs="宋体" w:hint="eastAsia"/>
                  </w:rPr>
                  <w:t>462</w:t>
                </w:r>
              </w:p>
            </w:tc>
            <w:tc>
              <w:tcPr>
                <w:tcW w:w="433" w:type="pct"/>
                <w:shd w:val="clear" w:color="auto" w:fill="auto"/>
                <w:vAlign w:val="center"/>
              </w:tcPr>
              <w:p>
                <w:pPr>
                  <w:jc w:val="right"/>
                  <w:rPr>
                    <w:rFonts w:ascii="宋体" w:hAnsi="宋体" w:cs="宋体"/>
                    <w:color w:val="000000"/>
                  </w:rPr>
                </w:pPr>
              </w:p>
            </w:tc>
            <w:tc>
              <w:tcPr>
                <w:tcW w:w="357" w:type="pct"/>
                <w:shd w:val="clear" w:color="auto" w:fill="auto"/>
                <w:noWrap/>
                <w:vAlign w:val="center"/>
              </w:tcPr>
              <w:p>
                <w:pPr>
                  <w:jc w:val="center"/>
                  <w:rPr>
                    <w:rFonts w:ascii="宋体" w:hAnsi="宋体" w:cs="宋体"/>
                    <w:color w:val="000000"/>
                  </w:rPr>
                </w:pPr>
                <w:r>
                  <w:rPr>
                    <w:rFonts w:ascii="宋体" w:hAnsi="宋体" w:cs="宋体" w:hint="eastAsia"/>
                  </w:rPr>
                  <w:t>与收益相关</w:t>
                </w:r>
              </w:p>
            </w:tc>
          </w:tr>
          <w:tr>
            <w:trPr>
              <w:trHeight w:val="397"/>
              <w:jc w:val="center"/>
            </w:trPr>
            <w:tc>
              <w:tcPr>
                <w:tcW w:w="948" w:type="pct"/>
                <w:shd w:val="clear" w:color="auto" w:fill="auto"/>
                <w:vAlign w:val="center"/>
              </w:tcPr>
              <w:p>
                <w:pPr>
                  <w:rPr>
                    <w:rFonts w:ascii="宋体" w:hAnsi="宋体" w:cs="宋体"/>
                    <w:color w:val="000000"/>
                  </w:rPr>
                </w:pPr>
                <w:r>
                  <w:rPr>
                    <w:rFonts w:ascii="宋体" w:hAnsi="宋体" w:cs="宋体" w:hint="eastAsia"/>
                  </w:rPr>
                  <w:lastRenderedPageBreak/>
                  <w:t>收中央安全生产预防和应急救援补贴</w:t>
                </w:r>
              </w:p>
            </w:tc>
            <w:tc>
              <w:tcPr>
                <w:tcW w:w="957" w:type="pct"/>
                <w:shd w:val="clear" w:color="auto" w:fill="auto"/>
                <w:vAlign w:val="center"/>
              </w:tcPr>
              <w:p>
                <w:pPr>
                  <w:rPr>
                    <w:rFonts w:ascii="宋体" w:hAnsi="宋体" w:cs="宋体"/>
                    <w:color w:val="000000"/>
                  </w:rPr>
                </w:pPr>
                <w:r>
                  <w:rPr>
                    <w:rFonts w:ascii="宋体" w:hAnsi="宋体" w:cs="宋体" w:hint="eastAsia"/>
                  </w:rPr>
                  <w:t>伊金霍洛旗能源局</w:t>
                </w:r>
              </w:p>
            </w:tc>
            <w:tc>
              <w:tcPr>
                <w:tcW w:w="781" w:type="pct"/>
                <w:shd w:val="clear" w:color="auto" w:fill="auto"/>
                <w:vAlign w:val="center"/>
              </w:tcPr>
              <w:p>
                <w:pPr>
                  <w:rPr>
                    <w:rFonts w:ascii="宋体" w:hAnsi="宋体" w:cs="宋体"/>
                    <w:color w:val="000000"/>
                  </w:rPr>
                </w:pPr>
                <w:r>
                  <w:rPr>
                    <w:rFonts w:ascii="宋体" w:hAnsi="宋体" w:cs="宋体" w:hint="eastAsia"/>
                  </w:rPr>
                  <w:t>中央发放应急补贴</w:t>
                </w:r>
              </w:p>
            </w:tc>
            <w:tc>
              <w:tcPr>
                <w:tcW w:w="441" w:type="pct"/>
                <w:shd w:val="clear" w:color="auto" w:fill="auto"/>
                <w:noWrap/>
                <w:vAlign w:val="center"/>
              </w:tcPr>
              <w:p>
                <w:pPr>
                  <w:rPr>
                    <w:rFonts w:ascii="宋体" w:hAnsi="宋体" w:cs="宋体"/>
                    <w:color w:val="000000"/>
                  </w:rPr>
                </w:pPr>
                <w:r>
                  <w:rPr>
                    <w:rFonts w:ascii="宋体" w:hAnsi="宋体" w:cs="宋体" w:hint="eastAsia"/>
                  </w:rPr>
                  <w:t>政府补贴</w:t>
                </w:r>
              </w:p>
            </w:tc>
            <w:tc>
              <w:tcPr>
                <w:tcW w:w="304" w:type="pct"/>
                <w:shd w:val="clear" w:color="auto" w:fill="auto"/>
                <w:vAlign w:val="center"/>
              </w:tcPr>
              <w:p>
                <w:pPr>
                  <w:jc w:val="center"/>
                  <w:rPr>
                    <w:rFonts w:ascii="宋体" w:hAnsi="宋体" w:cs="宋体"/>
                    <w:color w:val="000000"/>
                  </w:rPr>
                </w:pPr>
                <w:r>
                  <w:rPr>
                    <w:rFonts w:ascii="宋体" w:hAnsi="宋体" w:cs="宋体" w:hint="eastAsia"/>
                  </w:rPr>
                  <w:t>否</w:t>
                </w:r>
              </w:p>
            </w:tc>
            <w:tc>
              <w:tcPr>
                <w:tcW w:w="310" w:type="pct"/>
                <w:shd w:val="clear" w:color="auto" w:fill="auto"/>
                <w:vAlign w:val="center"/>
              </w:tcPr>
              <w:p>
                <w:pPr>
                  <w:jc w:val="center"/>
                  <w:rPr>
                    <w:rFonts w:ascii="宋体" w:hAnsi="宋体" w:cs="宋体"/>
                    <w:color w:val="000000"/>
                  </w:rPr>
                </w:pPr>
                <w:r>
                  <w:rPr>
                    <w:rFonts w:ascii="宋体" w:hAnsi="宋体" w:cs="宋体" w:hint="eastAsia"/>
                  </w:rPr>
                  <w:t>否</w:t>
                </w:r>
              </w:p>
            </w:tc>
            <w:tc>
              <w:tcPr>
                <w:tcW w:w="464" w:type="pct"/>
                <w:shd w:val="clear" w:color="auto" w:fill="auto"/>
                <w:vAlign w:val="center"/>
              </w:tcPr>
              <w:p>
                <w:pPr>
                  <w:jc w:val="right"/>
                  <w:rPr>
                    <w:rFonts w:ascii="宋体" w:hAnsi="宋体" w:cs="宋体"/>
                    <w:color w:val="000000"/>
                  </w:rPr>
                </w:pPr>
              </w:p>
            </w:tc>
            <w:tc>
              <w:tcPr>
                <w:tcW w:w="433" w:type="pct"/>
                <w:shd w:val="clear" w:color="auto" w:fill="auto"/>
                <w:vAlign w:val="center"/>
              </w:tcPr>
              <w:p>
                <w:pPr>
                  <w:jc w:val="right"/>
                  <w:rPr>
                    <w:rFonts w:ascii="宋体" w:hAnsi="宋体" w:cs="宋体"/>
                    <w:color w:val="000000"/>
                  </w:rPr>
                </w:pPr>
                <w:r>
                  <w:rPr>
                    <w:rFonts w:ascii="宋体" w:hAnsi="宋体" w:cs="宋体" w:hint="eastAsia"/>
                  </w:rPr>
                  <w:t>240</w:t>
                </w:r>
              </w:p>
            </w:tc>
            <w:tc>
              <w:tcPr>
                <w:tcW w:w="357" w:type="pct"/>
                <w:shd w:val="clear" w:color="auto" w:fill="auto"/>
                <w:noWrap/>
                <w:vAlign w:val="center"/>
              </w:tcPr>
              <w:p>
                <w:pPr>
                  <w:jc w:val="center"/>
                  <w:rPr>
                    <w:rFonts w:ascii="宋体" w:hAnsi="宋体" w:cs="宋体"/>
                    <w:color w:val="000000"/>
                  </w:rPr>
                </w:pPr>
                <w:r>
                  <w:rPr>
                    <w:rFonts w:ascii="宋体" w:hAnsi="宋体" w:cs="宋体" w:hint="eastAsia"/>
                  </w:rPr>
                  <w:t>与收益相关</w:t>
                </w:r>
              </w:p>
            </w:tc>
          </w:tr>
          <w:tr>
            <w:trPr>
              <w:trHeight w:val="397"/>
              <w:jc w:val="center"/>
            </w:trPr>
            <w:tc>
              <w:tcPr>
                <w:tcW w:w="948" w:type="pct"/>
                <w:shd w:val="clear" w:color="auto" w:fill="auto"/>
                <w:vAlign w:val="center"/>
              </w:tcPr>
              <w:p>
                <w:pPr>
                  <w:rPr>
                    <w:rFonts w:ascii="宋体" w:hAnsi="宋体" w:cs="宋体"/>
                    <w:color w:val="000000"/>
                  </w:rPr>
                </w:pPr>
                <w:r>
                  <w:rPr>
                    <w:rFonts w:ascii="宋体" w:hAnsi="宋体" w:cs="宋体" w:hint="eastAsia"/>
                  </w:rPr>
                  <w:t>2023年度递延兑付金融扶持市级资金</w:t>
                </w:r>
              </w:p>
            </w:tc>
            <w:tc>
              <w:tcPr>
                <w:tcW w:w="957" w:type="pct"/>
                <w:shd w:val="clear" w:color="auto" w:fill="auto"/>
                <w:vAlign w:val="center"/>
              </w:tcPr>
              <w:p>
                <w:pPr>
                  <w:rPr>
                    <w:rFonts w:ascii="宋体" w:hAnsi="宋体" w:cs="宋体"/>
                    <w:color w:val="000000"/>
                  </w:rPr>
                </w:pPr>
                <w:r>
                  <w:rPr>
                    <w:rFonts w:ascii="宋体" w:hAnsi="宋体" w:cs="宋体" w:hint="eastAsia"/>
                  </w:rPr>
                  <w:t>济南市历下区财政局</w:t>
                </w:r>
              </w:p>
            </w:tc>
            <w:tc>
              <w:tcPr>
                <w:tcW w:w="781" w:type="pct"/>
                <w:shd w:val="clear" w:color="auto" w:fill="auto"/>
                <w:vAlign w:val="center"/>
              </w:tcPr>
              <w:p>
                <w:pPr>
                  <w:rPr>
                    <w:rFonts w:ascii="宋体" w:hAnsi="宋体" w:cs="宋体"/>
                    <w:color w:val="000000"/>
                  </w:rPr>
                </w:pPr>
                <w:r>
                  <w:rPr>
                    <w:rFonts w:ascii="宋体" w:hAnsi="宋体" w:cs="宋体" w:hint="eastAsia"/>
                  </w:rPr>
                  <w:t>2023年因财务公司整合注册资本增加</w:t>
                </w:r>
              </w:p>
            </w:tc>
            <w:tc>
              <w:tcPr>
                <w:tcW w:w="441" w:type="pct"/>
                <w:shd w:val="clear" w:color="auto" w:fill="auto"/>
                <w:noWrap/>
                <w:vAlign w:val="center"/>
              </w:tcPr>
              <w:p>
                <w:pPr>
                  <w:rPr>
                    <w:rFonts w:ascii="宋体" w:hAnsi="宋体" w:cs="宋体"/>
                    <w:color w:val="000000"/>
                  </w:rPr>
                </w:pPr>
                <w:r>
                  <w:rPr>
                    <w:rFonts w:ascii="宋体" w:hAnsi="宋体" w:cs="宋体" w:hint="eastAsia"/>
                  </w:rPr>
                  <w:t>增资补助</w:t>
                </w:r>
              </w:p>
            </w:tc>
            <w:tc>
              <w:tcPr>
                <w:tcW w:w="304" w:type="pct"/>
                <w:shd w:val="clear" w:color="auto" w:fill="auto"/>
                <w:vAlign w:val="center"/>
              </w:tcPr>
              <w:p>
                <w:pPr>
                  <w:jc w:val="center"/>
                  <w:rPr>
                    <w:rFonts w:ascii="宋体" w:hAnsi="宋体" w:cs="宋体"/>
                    <w:color w:val="000000"/>
                  </w:rPr>
                </w:pPr>
                <w:r>
                  <w:rPr>
                    <w:rFonts w:ascii="宋体" w:hAnsi="宋体" w:cs="宋体" w:hint="eastAsia"/>
                  </w:rPr>
                  <w:t>否</w:t>
                </w:r>
              </w:p>
            </w:tc>
            <w:tc>
              <w:tcPr>
                <w:tcW w:w="310" w:type="pct"/>
                <w:shd w:val="clear" w:color="auto" w:fill="auto"/>
                <w:vAlign w:val="center"/>
              </w:tcPr>
              <w:p>
                <w:pPr>
                  <w:jc w:val="center"/>
                  <w:rPr>
                    <w:rFonts w:ascii="宋体" w:hAnsi="宋体" w:cs="宋体"/>
                    <w:color w:val="000000"/>
                  </w:rPr>
                </w:pPr>
                <w:r>
                  <w:rPr>
                    <w:rFonts w:ascii="宋体" w:hAnsi="宋体" w:cs="宋体" w:hint="eastAsia"/>
                  </w:rPr>
                  <w:t>否</w:t>
                </w:r>
              </w:p>
            </w:tc>
            <w:tc>
              <w:tcPr>
                <w:tcW w:w="464" w:type="pct"/>
                <w:shd w:val="clear" w:color="auto" w:fill="auto"/>
                <w:vAlign w:val="center"/>
              </w:tcPr>
              <w:p>
                <w:pPr>
                  <w:jc w:val="right"/>
                  <w:rPr>
                    <w:rFonts w:ascii="宋体" w:hAnsi="宋体" w:cs="宋体"/>
                    <w:color w:val="000000"/>
                  </w:rPr>
                </w:pPr>
                <w:r>
                  <w:rPr>
                    <w:rFonts w:ascii="宋体" w:hAnsi="宋体" w:cs="宋体" w:hint="eastAsia"/>
                  </w:rPr>
                  <w:t>65,000</w:t>
                </w:r>
              </w:p>
            </w:tc>
            <w:tc>
              <w:tcPr>
                <w:tcW w:w="433" w:type="pct"/>
                <w:shd w:val="clear" w:color="auto" w:fill="auto"/>
                <w:vAlign w:val="center"/>
              </w:tcPr>
              <w:p>
                <w:pPr>
                  <w:jc w:val="right"/>
                  <w:rPr>
                    <w:rFonts w:ascii="宋体" w:hAnsi="宋体" w:cs="宋体"/>
                    <w:color w:val="000000"/>
                  </w:rPr>
                </w:pPr>
              </w:p>
            </w:tc>
            <w:tc>
              <w:tcPr>
                <w:tcW w:w="357" w:type="pct"/>
                <w:shd w:val="clear" w:color="auto" w:fill="auto"/>
                <w:noWrap/>
                <w:vAlign w:val="center"/>
              </w:tcPr>
              <w:p>
                <w:pPr>
                  <w:jc w:val="center"/>
                  <w:rPr>
                    <w:rFonts w:ascii="宋体" w:hAnsi="宋体" w:cs="宋体"/>
                    <w:color w:val="000000"/>
                  </w:rPr>
                </w:pPr>
                <w:r>
                  <w:rPr>
                    <w:rFonts w:ascii="宋体" w:hAnsi="宋体" w:cs="宋体" w:hint="eastAsia"/>
                  </w:rPr>
                  <w:t>与收益相关</w:t>
                </w:r>
              </w:p>
            </w:tc>
          </w:tr>
          <w:tr>
            <w:trPr>
              <w:trHeight w:val="397"/>
              <w:jc w:val="center"/>
            </w:trPr>
            <w:tc>
              <w:tcPr>
                <w:tcW w:w="948" w:type="pct"/>
                <w:shd w:val="clear" w:color="auto" w:fill="auto"/>
                <w:vAlign w:val="center"/>
              </w:tcPr>
              <w:p>
                <w:pPr>
                  <w:rPr>
                    <w:rFonts w:ascii="宋体" w:hAnsi="宋体" w:cs="宋体"/>
                    <w:color w:val="000000"/>
                  </w:rPr>
                </w:pPr>
                <w:r>
                  <w:rPr>
                    <w:rFonts w:ascii="宋体" w:hAnsi="宋体" w:cs="宋体" w:hint="eastAsia"/>
                  </w:rPr>
                  <w:t>煤矿安全改造项目国补资金</w:t>
                </w:r>
              </w:p>
            </w:tc>
            <w:tc>
              <w:tcPr>
                <w:tcW w:w="957" w:type="pct"/>
                <w:shd w:val="clear" w:color="auto" w:fill="auto"/>
                <w:vAlign w:val="center"/>
              </w:tcPr>
              <w:p>
                <w:pPr>
                  <w:rPr>
                    <w:rFonts w:ascii="宋体" w:hAnsi="宋体" w:cs="宋体"/>
                    <w:color w:val="000000"/>
                  </w:rPr>
                </w:pPr>
                <w:r>
                  <w:rPr>
                    <w:rFonts w:ascii="宋体" w:hAnsi="宋体" w:cs="宋体" w:hint="eastAsia"/>
                  </w:rPr>
                  <w:t>山东省财政厅</w:t>
                </w:r>
              </w:p>
            </w:tc>
            <w:tc>
              <w:tcPr>
                <w:tcW w:w="781" w:type="pct"/>
                <w:shd w:val="clear" w:color="auto" w:fill="auto"/>
                <w:vAlign w:val="center"/>
              </w:tcPr>
              <w:p>
                <w:pPr>
                  <w:rPr>
                    <w:rFonts w:ascii="宋体" w:hAnsi="宋体" w:cs="宋体"/>
                    <w:color w:val="000000"/>
                  </w:rPr>
                </w:pPr>
                <w:r>
                  <w:rPr>
                    <w:rFonts w:ascii="宋体" w:hAnsi="宋体" w:cs="宋体" w:hint="eastAsia"/>
                  </w:rPr>
                  <w:t>煤矿安全改造项目资金</w:t>
                </w:r>
              </w:p>
            </w:tc>
            <w:tc>
              <w:tcPr>
                <w:tcW w:w="441" w:type="pct"/>
                <w:shd w:val="clear" w:color="auto" w:fill="auto"/>
                <w:noWrap/>
                <w:vAlign w:val="center"/>
              </w:tcPr>
              <w:p>
                <w:pPr>
                  <w:rPr>
                    <w:rFonts w:ascii="宋体" w:hAnsi="宋体" w:cs="宋体"/>
                    <w:color w:val="000000"/>
                  </w:rPr>
                </w:pPr>
                <w:r>
                  <w:rPr>
                    <w:rFonts w:ascii="宋体" w:hAnsi="宋体" w:cs="宋体" w:hint="eastAsia"/>
                  </w:rPr>
                  <w:t>政府补贴</w:t>
                </w:r>
              </w:p>
            </w:tc>
            <w:tc>
              <w:tcPr>
                <w:tcW w:w="304" w:type="pct"/>
                <w:shd w:val="clear" w:color="auto" w:fill="auto"/>
                <w:vAlign w:val="center"/>
              </w:tcPr>
              <w:p>
                <w:pPr>
                  <w:jc w:val="center"/>
                  <w:rPr>
                    <w:rFonts w:ascii="宋体" w:hAnsi="宋体" w:cs="宋体"/>
                    <w:color w:val="000000"/>
                  </w:rPr>
                </w:pPr>
                <w:r>
                  <w:rPr>
                    <w:rFonts w:ascii="宋体" w:hAnsi="宋体" w:cs="宋体" w:hint="eastAsia"/>
                  </w:rPr>
                  <w:t>否</w:t>
                </w:r>
              </w:p>
            </w:tc>
            <w:tc>
              <w:tcPr>
                <w:tcW w:w="310" w:type="pct"/>
                <w:shd w:val="clear" w:color="auto" w:fill="auto"/>
                <w:vAlign w:val="center"/>
              </w:tcPr>
              <w:p>
                <w:pPr>
                  <w:jc w:val="center"/>
                  <w:rPr>
                    <w:rFonts w:ascii="宋体" w:hAnsi="宋体" w:cs="宋体"/>
                    <w:color w:val="000000"/>
                  </w:rPr>
                </w:pPr>
                <w:r>
                  <w:rPr>
                    <w:rFonts w:ascii="宋体" w:hAnsi="宋体" w:cs="宋体" w:hint="eastAsia"/>
                  </w:rPr>
                  <w:t>否</w:t>
                </w:r>
              </w:p>
            </w:tc>
            <w:tc>
              <w:tcPr>
                <w:tcW w:w="464" w:type="pct"/>
                <w:shd w:val="clear" w:color="auto" w:fill="auto"/>
                <w:vAlign w:val="center"/>
              </w:tcPr>
              <w:p>
                <w:pPr>
                  <w:jc w:val="right"/>
                  <w:rPr>
                    <w:rFonts w:ascii="宋体" w:hAnsi="宋体" w:cs="宋体"/>
                    <w:color w:val="000000"/>
                  </w:rPr>
                </w:pPr>
              </w:p>
            </w:tc>
            <w:tc>
              <w:tcPr>
                <w:tcW w:w="433" w:type="pct"/>
                <w:shd w:val="clear" w:color="auto" w:fill="auto"/>
                <w:vAlign w:val="center"/>
              </w:tcPr>
              <w:p>
                <w:pPr>
                  <w:jc w:val="right"/>
                  <w:rPr>
                    <w:rFonts w:ascii="宋体" w:hAnsi="宋体" w:cs="宋体"/>
                    <w:color w:val="000000"/>
                  </w:rPr>
                </w:pPr>
                <w:r>
                  <w:rPr>
                    <w:rFonts w:ascii="宋体" w:hAnsi="宋体" w:cs="宋体" w:hint="eastAsia"/>
                  </w:rPr>
                  <w:t>4,330</w:t>
                </w:r>
              </w:p>
            </w:tc>
            <w:tc>
              <w:tcPr>
                <w:tcW w:w="357" w:type="pct"/>
                <w:shd w:val="clear" w:color="auto" w:fill="auto"/>
                <w:noWrap/>
                <w:vAlign w:val="center"/>
              </w:tcPr>
              <w:p>
                <w:pPr>
                  <w:jc w:val="center"/>
                  <w:rPr>
                    <w:rFonts w:ascii="宋体" w:hAnsi="宋体" w:cs="宋体"/>
                    <w:color w:val="000000"/>
                  </w:rPr>
                </w:pPr>
                <w:r>
                  <w:rPr>
                    <w:rFonts w:ascii="宋体" w:hAnsi="宋体" w:cs="宋体" w:hint="eastAsia"/>
                  </w:rPr>
                  <w:t>与收益相关</w:t>
                </w:r>
              </w:p>
            </w:tc>
          </w:tr>
          <w:tr>
            <w:trPr>
              <w:trHeight w:val="397"/>
              <w:jc w:val="center"/>
            </w:trPr>
            <w:tc>
              <w:tcPr>
                <w:tcW w:w="948" w:type="pct"/>
                <w:shd w:val="clear" w:color="auto" w:fill="auto"/>
                <w:vAlign w:val="center"/>
              </w:tcPr>
              <w:p>
                <w:pPr>
                  <w:rPr>
                    <w:rFonts w:ascii="宋体" w:hAnsi="宋体" w:cs="宋体"/>
                    <w:color w:val="000000"/>
                  </w:rPr>
                </w:pPr>
                <w:r>
                  <w:rPr>
                    <w:rFonts w:ascii="宋体" w:hAnsi="宋体" w:cs="宋体" w:hint="eastAsia"/>
                  </w:rPr>
                  <w:t>企业研究开发财政补助资金</w:t>
                </w:r>
              </w:p>
            </w:tc>
            <w:tc>
              <w:tcPr>
                <w:tcW w:w="957" w:type="pct"/>
                <w:shd w:val="clear" w:color="auto" w:fill="auto"/>
                <w:vAlign w:val="center"/>
              </w:tcPr>
              <w:p>
                <w:pPr>
                  <w:rPr>
                    <w:rFonts w:ascii="宋体" w:hAnsi="宋体" w:cs="宋体"/>
                    <w:color w:val="000000"/>
                  </w:rPr>
                </w:pPr>
                <w:r>
                  <w:rPr>
                    <w:rFonts w:ascii="宋体" w:hAnsi="宋体" w:cs="宋体" w:hint="eastAsia"/>
                  </w:rPr>
                  <w:t>山东省科学技术厅</w:t>
                </w:r>
              </w:p>
            </w:tc>
            <w:tc>
              <w:tcPr>
                <w:tcW w:w="781" w:type="pct"/>
                <w:shd w:val="clear" w:color="auto" w:fill="auto"/>
                <w:vAlign w:val="center"/>
              </w:tcPr>
              <w:p>
                <w:pPr>
                  <w:rPr>
                    <w:rFonts w:ascii="宋体" w:hAnsi="宋体" w:cs="宋体"/>
                    <w:color w:val="000000"/>
                  </w:rPr>
                </w:pPr>
                <w:r>
                  <w:rPr>
                    <w:rFonts w:ascii="宋体" w:hAnsi="宋体" w:cs="宋体" w:hint="eastAsia"/>
                  </w:rPr>
                  <w:t>企业研究开发财政补助资金</w:t>
                </w:r>
              </w:p>
            </w:tc>
            <w:tc>
              <w:tcPr>
                <w:tcW w:w="441" w:type="pct"/>
                <w:shd w:val="clear" w:color="auto" w:fill="auto"/>
                <w:vAlign w:val="center"/>
              </w:tcPr>
              <w:p>
                <w:pPr>
                  <w:rPr>
                    <w:rFonts w:ascii="宋体" w:hAnsi="宋体" w:cs="宋体"/>
                    <w:color w:val="000000"/>
                  </w:rPr>
                </w:pPr>
                <w:r>
                  <w:rPr>
                    <w:rFonts w:ascii="宋体" w:hAnsi="宋体" w:cs="宋体" w:hint="eastAsia"/>
                  </w:rPr>
                  <w:t>政府补贴</w:t>
                </w:r>
              </w:p>
            </w:tc>
            <w:tc>
              <w:tcPr>
                <w:tcW w:w="304" w:type="pct"/>
                <w:shd w:val="clear" w:color="auto" w:fill="auto"/>
                <w:vAlign w:val="center"/>
              </w:tcPr>
              <w:p>
                <w:pPr>
                  <w:jc w:val="center"/>
                  <w:rPr>
                    <w:rFonts w:ascii="宋体" w:hAnsi="宋体" w:cs="宋体"/>
                    <w:color w:val="000000"/>
                  </w:rPr>
                </w:pPr>
                <w:r>
                  <w:rPr>
                    <w:rFonts w:ascii="宋体" w:hAnsi="宋体" w:cs="宋体" w:hint="eastAsia"/>
                  </w:rPr>
                  <w:t>否</w:t>
                </w:r>
              </w:p>
            </w:tc>
            <w:tc>
              <w:tcPr>
                <w:tcW w:w="310" w:type="pct"/>
                <w:shd w:val="clear" w:color="auto" w:fill="auto"/>
                <w:vAlign w:val="center"/>
              </w:tcPr>
              <w:p>
                <w:pPr>
                  <w:jc w:val="center"/>
                  <w:rPr>
                    <w:rFonts w:ascii="宋体" w:hAnsi="宋体" w:cs="宋体"/>
                    <w:color w:val="000000"/>
                  </w:rPr>
                </w:pPr>
                <w:r>
                  <w:rPr>
                    <w:rFonts w:ascii="宋体" w:hAnsi="宋体" w:cs="宋体" w:hint="eastAsia"/>
                  </w:rPr>
                  <w:t>是</w:t>
                </w:r>
              </w:p>
            </w:tc>
            <w:tc>
              <w:tcPr>
                <w:tcW w:w="464" w:type="pct"/>
                <w:shd w:val="clear" w:color="auto" w:fill="auto"/>
                <w:vAlign w:val="center"/>
              </w:tcPr>
              <w:p>
                <w:pPr>
                  <w:jc w:val="right"/>
                  <w:rPr>
                    <w:rFonts w:ascii="宋体" w:hAnsi="宋体" w:cs="宋体"/>
                    <w:color w:val="000000"/>
                  </w:rPr>
                </w:pPr>
              </w:p>
            </w:tc>
            <w:tc>
              <w:tcPr>
                <w:tcW w:w="433" w:type="pct"/>
                <w:shd w:val="clear" w:color="auto" w:fill="auto"/>
                <w:vAlign w:val="center"/>
              </w:tcPr>
              <w:p>
                <w:pPr>
                  <w:jc w:val="right"/>
                  <w:rPr>
                    <w:rFonts w:ascii="宋体" w:hAnsi="宋体" w:cs="宋体"/>
                    <w:color w:val="000000"/>
                  </w:rPr>
                </w:pPr>
                <w:r>
                  <w:rPr>
                    <w:rFonts w:ascii="宋体" w:hAnsi="宋体" w:cs="宋体" w:hint="eastAsia"/>
                  </w:rPr>
                  <w:t>360</w:t>
                </w:r>
              </w:p>
            </w:tc>
            <w:tc>
              <w:tcPr>
                <w:tcW w:w="357" w:type="pct"/>
                <w:shd w:val="clear" w:color="auto" w:fill="auto"/>
                <w:noWrap/>
                <w:vAlign w:val="center"/>
              </w:tcPr>
              <w:p>
                <w:pPr>
                  <w:jc w:val="center"/>
                  <w:rPr>
                    <w:rFonts w:ascii="宋体" w:hAnsi="宋体" w:cs="宋体"/>
                    <w:color w:val="000000"/>
                  </w:rPr>
                </w:pPr>
                <w:r>
                  <w:rPr>
                    <w:rFonts w:ascii="宋体" w:hAnsi="宋体" w:cs="宋体" w:hint="eastAsia"/>
                  </w:rPr>
                  <w:t>与收益相关</w:t>
                </w:r>
              </w:p>
            </w:tc>
          </w:tr>
          <w:tr>
            <w:trPr>
              <w:trHeight w:val="397"/>
              <w:jc w:val="center"/>
            </w:trPr>
            <w:tc>
              <w:tcPr>
                <w:tcW w:w="948" w:type="pct"/>
                <w:shd w:val="clear" w:color="auto" w:fill="auto"/>
                <w:vAlign w:val="center"/>
              </w:tcPr>
              <w:p>
                <w:pPr>
                  <w:rPr>
                    <w:rFonts w:ascii="宋体" w:hAnsi="宋体" w:cs="宋体"/>
                    <w:color w:val="000000"/>
                  </w:rPr>
                </w:pPr>
                <w:r>
                  <w:rPr>
                    <w:rFonts w:ascii="宋体" w:hAnsi="宋体" w:cs="宋体" w:hint="eastAsia"/>
                    <w:color w:val="000000"/>
                  </w:rPr>
                  <w:t>其他</w:t>
                </w:r>
              </w:p>
            </w:tc>
            <w:tc>
              <w:tcPr>
                <w:tcW w:w="957" w:type="pct"/>
                <w:shd w:val="clear" w:color="auto" w:fill="auto"/>
                <w:vAlign w:val="center"/>
              </w:tcPr>
              <w:p>
                <w:pPr>
                  <w:rPr>
                    <w:rFonts w:ascii="宋体" w:hAnsi="宋体" w:cs="宋体"/>
                    <w:color w:val="000000"/>
                  </w:rPr>
                </w:pPr>
              </w:p>
            </w:tc>
            <w:tc>
              <w:tcPr>
                <w:tcW w:w="781" w:type="pct"/>
                <w:shd w:val="clear" w:color="auto" w:fill="auto"/>
                <w:vAlign w:val="center"/>
              </w:tcPr>
              <w:p>
                <w:pPr>
                  <w:rPr>
                    <w:rFonts w:ascii="宋体" w:hAnsi="宋体" w:cs="宋体"/>
                    <w:color w:val="000000"/>
                  </w:rPr>
                </w:pPr>
              </w:p>
            </w:tc>
            <w:tc>
              <w:tcPr>
                <w:tcW w:w="441" w:type="pct"/>
                <w:shd w:val="clear" w:color="auto" w:fill="auto"/>
                <w:vAlign w:val="center"/>
              </w:tcPr>
              <w:p>
                <w:pPr>
                  <w:rPr>
                    <w:rFonts w:ascii="宋体" w:hAnsi="宋体" w:cs="宋体"/>
                    <w:color w:val="000000"/>
                  </w:rPr>
                </w:pPr>
              </w:p>
            </w:tc>
            <w:tc>
              <w:tcPr>
                <w:tcW w:w="304" w:type="pct"/>
                <w:shd w:val="clear" w:color="auto" w:fill="auto"/>
                <w:vAlign w:val="center"/>
              </w:tcPr>
              <w:p>
                <w:pPr>
                  <w:jc w:val="center"/>
                  <w:rPr>
                    <w:rFonts w:ascii="宋体" w:hAnsi="宋体" w:cs="宋体"/>
                    <w:color w:val="000000"/>
                  </w:rPr>
                </w:pPr>
              </w:p>
            </w:tc>
            <w:tc>
              <w:tcPr>
                <w:tcW w:w="310" w:type="pct"/>
                <w:shd w:val="clear" w:color="auto" w:fill="auto"/>
                <w:vAlign w:val="center"/>
              </w:tcPr>
              <w:p>
                <w:pPr>
                  <w:jc w:val="center"/>
                  <w:rPr>
                    <w:rFonts w:ascii="宋体" w:hAnsi="宋体" w:cs="宋体"/>
                    <w:color w:val="000000"/>
                  </w:rPr>
                </w:pPr>
              </w:p>
            </w:tc>
            <w:tc>
              <w:tcPr>
                <w:tcW w:w="464" w:type="pct"/>
                <w:shd w:val="clear" w:color="auto" w:fill="auto"/>
                <w:vAlign w:val="center"/>
              </w:tcPr>
              <w:p>
                <w:pPr>
                  <w:jc w:val="right"/>
                  <w:rPr>
                    <w:rFonts w:ascii="宋体" w:hAnsi="宋体" w:cs="宋体"/>
                    <w:color w:val="000000"/>
                  </w:rPr>
                </w:pPr>
                <w:r>
                  <w:rPr>
                    <w:rFonts w:ascii="宋体" w:hAnsi="宋体" w:cs="宋体" w:hint="eastAsia"/>
                    <w:color w:val="000000"/>
                  </w:rPr>
                  <w:t>2,159</w:t>
                </w:r>
              </w:p>
            </w:tc>
            <w:tc>
              <w:tcPr>
                <w:tcW w:w="433" w:type="pct"/>
                <w:shd w:val="clear" w:color="auto" w:fill="auto"/>
                <w:vAlign w:val="center"/>
              </w:tcPr>
              <w:p>
                <w:pPr>
                  <w:jc w:val="right"/>
                  <w:rPr>
                    <w:rFonts w:ascii="宋体" w:hAnsi="宋体" w:cs="宋体"/>
                    <w:color w:val="000000"/>
                  </w:rPr>
                </w:pPr>
                <w:r>
                  <w:rPr>
                    <w:rFonts w:ascii="宋体" w:hAnsi="宋体" w:cs="宋体" w:hint="eastAsia"/>
                    <w:color w:val="000000"/>
                  </w:rPr>
                  <w:t>2,347</w:t>
                </w:r>
              </w:p>
            </w:tc>
            <w:tc>
              <w:tcPr>
                <w:tcW w:w="357" w:type="pct"/>
                <w:shd w:val="clear" w:color="auto" w:fill="auto"/>
                <w:noWrap/>
                <w:vAlign w:val="center"/>
              </w:tcPr>
              <w:p>
                <w:pPr>
                  <w:jc w:val="center"/>
                  <w:rPr>
                    <w:rFonts w:ascii="宋体" w:hAnsi="宋体" w:cs="宋体"/>
                    <w:color w:val="000000"/>
                  </w:rPr>
                </w:pPr>
                <w:r>
                  <w:rPr>
                    <w:rFonts w:ascii="宋体" w:hAnsi="宋体" w:cs="宋体" w:hint="eastAsia"/>
                  </w:rPr>
                  <w:t>与收益相关</w:t>
                </w:r>
              </w:p>
            </w:tc>
          </w:tr>
          <w:tr>
            <w:trPr>
              <w:trHeight w:val="397"/>
              <w:jc w:val="center"/>
            </w:trPr>
            <w:tc>
              <w:tcPr>
                <w:tcW w:w="948" w:type="pct"/>
                <w:shd w:val="clear" w:color="auto" w:fill="auto"/>
                <w:vAlign w:val="center"/>
              </w:tcPr>
              <w:p>
                <w:pPr>
                  <w:jc w:val="center"/>
                  <w:rPr>
                    <w:rFonts w:ascii="宋体" w:hAnsi="宋体" w:cs="宋体"/>
                    <w:color w:val="000000"/>
                  </w:rPr>
                </w:pPr>
                <w:r>
                  <w:rPr>
                    <w:rFonts w:ascii="宋体" w:hAnsi="宋体" w:cs="宋体" w:hint="eastAsia"/>
                    <w:color w:val="000000"/>
                  </w:rPr>
                  <w:t>合计</w:t>
                </w:r>
              </w:p>
            </w:tc>
            <w:tc>
              <w:tcPr>
                <w:tcW w:w="957" w:type="pct"/>
                <w:shd w:val="clear" w:color="auto" w:fill="auto"/>
                <w:vAlign w:val="center"/>
              </w:tcPr>
              <w:p>
                <w:pPr>
                  <w:jc w:val="center"/>
                  <w:rPr>
                    <w:rFonts w:ascii="宋体" w:hAnsi="宋体" w:cs="宋体"/>
                    <w:color w:val="000000"/>
                    <w:u w:val="double"/>
                  </w:rPr>
                </w:pPr>
              </w:p>
            </w:tc>
            <w:tc>
              <w:tcPr>
                <w:tcW w:w="781" w:type="pct"/>
                <w:shd w:val="clear" w:color="auto" w:fill="auto"/>
                <w:vAlign w:val="center"/>
              </w:tcPr>
              <w:p>
                <w:pPr>
                  <w:jc w:val="center"/>
                  <w:rPr>
                    <w:rFonts w:ascii="宋体" w:hAnsi="宋体" w:cs="宋体"/>
                    <w:color w:val="000000"/>
                    <w:u w:val="double"/>
                  </w:rPr>
                </w:pPr>
              </w:p>
            </w:tc>
            <w:tc>
              <w:tcPr>
                <w:tcW w:w="441" w:type="pct"/>
                <w:shd w:val="clear" w:color="auto" w:fill="auto"/>
                <w:vAlign w:val="center"/>
              </w:tcPr>
              <w:p>
                <w:pPr>
                  <w:jc w:val="center"/>
                  <w:rPr>
                    <w:rFonts w:ascii="宋体" w:hAnsi="宋体" w:cs="宋体"/>
                    <w:color w:val="000000"/>
                    <w:u w:val="double"/>
                  </w:rPr>
                </w:pPr>
              </w:p>
            </w:tc>
            <w:tc>
              <w:tcPr>
                <w:tcW w:w="304" w:type="pct"/>
                <w:shd w:val="clear" w:color="auto" w:fill="auto"/>
                <w:vAlign w:val="center"/>
              </w:tcPr>
              <w:p>
                <w:pPr>
                  <w:jc w:val="center"/>
                  <w:rPr>
                    <w:rFonts w:ascii="宋体" w:hAnsi="宋体" w:cs="宋体"/>
                    <w:color w:val="000000"/>
                    <w:u w:val="double"/>
                  </w:rPr>
                </w:pPr>
              </w:p>
            </w:tc>
            <w:tc>
              <w:tcPr>
                <w:tcW w:w="310" w:type="pct"/>
                <w:shd w:val="clear" w:color="auto" w:fill="auto"/>
                <w:vAlign w:val="center"/>
              </w:tcPr>
              <w:p>
                <w:pPr>
                  <w:jc w:val="center"/>
                  <w:rPr>
                    <w:rFonts w:ascii="宋体" w:hAnsi="宋体" w:cs="宋体"/>
                    <w:color w:val="000000"/>
                    <w:u w:val="double"/>
                  </w:rPr>
                </w:pPr>
              </w:p>
            </w:tc>
            <w:tc>
              <w:tcPr>
                <w:tcW w:w="464" w:type="pct"/>
                <w:shd w:val="clear" w:color="auto" w:fill="auto"/>
                <w:vAlign w:val="center"/>
              </w:tcPr>
              <w:p>
                <w:pPr>
                  <w:jc w:val="right"/>
                  <w:rPr>
                    <w:rFonts w:ascii="宋体" w:hAnsi="宋体" w:cs="宋体"/>
                    <w:color w:val="000000"/>
                  </w:rPr>
                </w:pPr>
                <w:r>
                  <w:rPr>
                    <w:rFonts w:ascii="宋体" w:hAnsi="宋体" w:cs="宋体" w:hint="eastAsia"/>
                  </w:rPr>
                  <w:t>67,621</w:t>
                </w:r>
              </w:p>
            </w:tc>
            <w:tc>
              <w:tcPr>
                <w:tcW w:w="433" w:type="pct"/>
                <w:shd w:val="clear" w:color="auto" w:fill="auto"/>
                <w:vAlign w:val="center"/>
              </w:tcPr>
              <w:p>
                <w:pPr>
                  <w:jc w:val="right"/>
                  <w:rPr>
                    <w:rFonts w:ascii="宋体" w:hAnsi="宋体" w:cs="宋体"/>
                    <w:color w:val="000000"/>
                  </w:rPr>
                </w:pPr>
                <w:r>
                  <w:rPr>
                    <w:rFonts w:ascii="宋体" w:hAnsi="宋体" w:cs="宋体" w:hint="eastAsia"/>
                  </w:rPr>
                  <w:t>7,277</w:t>
                </w:r>
              </w:p>
            </w:tc>
            <w:tc>
              <w:tcPr>
                <w:tcW w:w="357" w:type="pct"/>
                <w:shd w:val="clear" w:color="auto" w:fill="auto"/>
                <w:vAlign w:val="center"/>
              </w:tcPr>
              <w:p>
                <w:pPr>
                  <w:jc w:val="right"/>
                  <w:rPr>
                    <w:rFonts w:ascii="宋体" w:hAnsi="宋体" w:cs="宋体"/>
                    <w:color w:val="000000"/>
                    <w:u w:val="double"/>
                  </w:rPr>
                </w:pPr>
              </w:p>
            </w:tc>
          </w:tr>
        </w:tbl>
        <w:p>
          <w:pPr>
            <w:pStyle w:val="Style217"/>
          </w:pPr>
        </w:p>
      </w:sdtContent>
    </w:sdt>
    <w:p>
      <w:pPr>
        <w:pStyle w:val="Style217"/>
      </w:pPr>
    </w:p>
    <w:p>
      <w:pPr>
        <w:pStyle w:val="Style178"/>
        <w:numPr>
          <w:ilvl w:val="0"/>
          <w:numId w:val="75"/>
        </w:numPr>
        <w:rPr>
          <w:szCs w:val="21"/>
        </w:rPr>
      </w:pPr>
      <w:r>
        <w:rPr>
          <w:szCs w:val="21"/>
        </w:rPr>
        <w:t>营业外支出</w:t>
      </w:r>
    </w:p>
    <w:sdt>
      <w:sdtPr>
        <w:rPr>
          <w:rFonts w:hint="eastAsia"/>
        </w:rPr>
        <w:alias w:val="是否适用：营业外支出[双击切换]"/>
        <w:tag w:val="_GBC_8e8d3e6e563742f48edf759d6034f4ce"/>
        <w:id w:val="33889824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营业外支出"/>
          <w:tag w:val="_GBC_825ccc5a51fd47a4888bf19121bc88e6"/>
          <w:id w:val="12633495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营业外支出"/>
          <w:tag w:val="_GBC_0236683596bd499a92bd40e4c42dc931"/>
          <w:id w:val="12209447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2268"/>
        <w:gridCol w:w="2106"/>
      </w:tblGrid>
      <w:tr>
        <w:sdt>
          <w:sdtPr>
            <w:tag w:val="_PLD_3e5b39f95fae41609c103f36a1017c54"/>
            <w:id w:val="-586609743"/>
          </w:sdtPr>
          <w:sdtContent>
            <w:tc>
              <w:tcPr>
                <w:tcW w:w="268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项目</w:t>
                </w:r>
              </w:p>
            </w:tc>
          </w:sdtContent>
        </w:sdt>
        <w:sdt>
          <w:sdtPr>
            <w:tag w:val="_PLD_9ea5703e0d9641a1acf20638053e3dd5"/>
            <w:id w:val="-1045669247"/>
          </w:sdtPr>
          <w:sdtContent>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本期发生额</w:t>
                </w:r>
              </w:p>
            </w:tc>
          </w:sdtContent>
        </w:sdt>
        <w:sdt>
          <w:sdtPr>
            <w:tag w:val="_PLD_27cbc4bb29594bcfa61154a0d46b4d20"/>
            <w:id w:val="1397705958"/>
          </w:sdtPr>
          <w:sdtContent>
            <w:tc>
              <w:tcPr>
                <w:tcW w:w="226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上期发生额</w:t>
                </w:r>
              </w:p>
            </w:tc>
          </w:sdtContent>
        </w:sdt>
        <w:sdt>
          <w:sdtPr>
            <w:tag w:val="_PLD_cab5bf568f924fed9d087fb26b588481"/>
            <w:id w:val="1495303949"/>
          </w:sdtPr>
          <w:sdtContent>
            <w:tc>
              <w:tcPr>
                <w:tcW w:w="210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计入当期非经常性损益的金额</w:t>
                </w:r>
              </w:p>
            </w:tc>
          </w:sdtContent>
        </w:sdt>
      </w:tr>
      <w:tr>
        <w:tc>
          <w:tcPr>
            <w:tcW w:w="2689" w:type="dxa"/>
            <w:tcBorders>
              <w:top w:val="single" w:sz="4" w:space="0" w:color="auto"/>
              <w:left w:val="single" w:sz="4" w:space="0" w:color="auto"/>
              <w:bottom w:val="single" w:sz="4" w:space="0" w:color="auto"/>
              <w:right w:val="single" w:sz="4" w:space="0" w:color="auto"/>
            </w:tcBorders>
          </w:tcPr>
          <w:p>
            <w:pPr>
              <w:autoSpaceDE w:val="0"/>
              <w:autoSpaceDN w:val="0"/>
              <w:adjustRightInd w:val="0"/>
            </w:pPr>
            <w:r>
              <w:rPr>
                <w:rFonts w:hint="eastAsia"/>
              </w:rPr>
              <w:t>罚款及滞纳金</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272,725</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254,416</w:t>
            </w:r>
          </w:p>
        </w:tc>
        <w:tc>
          <w:tcPr>
            <w:tcW w:w="210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272,725</w:t>
            </w:r>
          </w:p>
        </w:tc>
      </w:tr>
      <w:tr>
        <w:tc>
          <w:tcPr>
            <w:tcW w:w="2689" w:type="dxa"/>
            <w:tcBorders>
              <w:top w:val="single" w:sz="4" w:space="0" w:color="auto"/>
              <w:left w:val="single" w:sz="4" w:space="0" w:color="auto"/>
              <w:bottom w:val="single" w:sz="4" w:space="0" w:color="auto"/>
              <w:right w:val="single" w:sz="4" w:space="0" w:color="auto"/>
            </w:tcBorders>
          </w:tcPr>
          <w:p>
            <w:pPr>
              <w:autoSpaceDE w:val="0"/>
              <w:autoSpaceDN w:val="0"/>
              <w:adjustRightInd w:val="0"/>
            </w:pPr>
            <w:r>
              <w:rPr>
                <w:rFonts w:hint="eastAsia"/>
              </w:rPr>
              <w:t>对外捐赠</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68,334</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59,114</w:t>
            </w:r>
          </w:p>
        </w:tc>
        <w:tc>
          <w:tcPr>
            <w:tcW w:w="210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68,334</w:t>
            </w:r>
          </w:p>
        </w:tc>
      </w:tr>
      <w:tr>
        <w:tc>
          <w:tcPr>
            <w:tcW w:w="2689" w:type="dxa"/>
            <w:tcBorders>
              <w:top w:val="single" w:sz="4" w:space="0" w:color="auto"/>
              <w:left w:val="single" w:sz="4" w:space="0" w:color="auto"/>
              <w:bottom w:val="single" w:sz="4" w:space="0" w:color="auto"/>
              <w:right w:val="single" w:sz="4" w:space="0" w:color="auto"/>
            </w:tcBorders>
          </w:tcPr>
          <w:p>
            <w:pPr>
              <w:autoSpaceDE w:val="0"/>
              <w:autoSpaceDN w:val="0"/>
              <w:adjustRightInd w:val="0"/>
            </w:pPr>
            <w:r>
              <w:rPr>
                <w:rFonts w:hint="eastAsia"/>
              </w:rPr>
              <w:t>非流动资产毁损报废损失</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9,942</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61,577</w:t>
            </w:r>
          </w:p>
        </w:tc>
        <w:tc>
          <w:tcPr>
            <w:tcW w:w="210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9,942</w:t>
            </w:r>
          </w:p>
        </w:tc>
      </w:tr>
      <w:tr>
        <w:tc>
          <w:tcPr>
            <w:tcW w:w="2689" w:type="dxa"/>
            <w:tcBorders>
              <w:top w:val="single" w:sz="4" w:space="0" w:color="auto"/>
              <w:left w:val="single" w:sz="4" w:space="0" w:color="auto"/>
              <w:bottom w:val="single" w:sz="4" w:space="0" w:color="auto"/>
              <w:right w:val="single" w:sz="4" w:space="0" w:color="auto"/>
            </w:tcBorders>
          </w:tcPr>
          <w:p>
            <w:pPr>
              <w:autoSpaceDE w:val="0"/>
              <w:autoSpaceDN w:val="0"/>
              <w:adjustRightInd w:val="0"/>
            </w:pPr>
            <w:r>
              <w:rPr>
                <w:rFonts w:hint="eastAsia"/>
              </w:rPr>
              <w:t>非常损失</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7,838</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4,074</w:t>
            </w:r>
          </w:p>
        </w:tc>
        <w:tc>
          <w:tcPr>
            <w:tcW w:w="210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7,838</w:t>
            </w:r>
          </w:p>
        </w:tc>
      </w:tr>
      <w:tr>
        <w:tc>
          <w:tcPr>
            <w:tcW w:w="2689" w:type="dxa"/>
            <w:tcBorders>
              <w:top w:val="single" w:sz="4" w:space="0" w:color="auto"/>
              <w:left w:val="single" w:sz="4" w:space="0" w:color="auto"/>
              <w:bottom w:val="single" w:sz="4" w:space="0" w:color="auto"/>
              <w:right w:val="single" w:sz="4" w:space="0" w:color="auto"/>
            </w:tcBorders>
          </w:tcPr>
          <w:p>
            <w:pPr>
              <w:autoSpaceDE w:val="0"/>
              <w:autoSpaceDN w:val="0"/>
              <w:adjustRightInd w:val="0"/>
            </w:pPr>
            <w:r>
              <w:rPr>
                <w:rFonts w:hint="eastAsia"/>
              </w:rPr>
              <w:t>其他</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119,446</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231,780</w:t>
            </w:r>
          </w:p>
        </w:tc>
        <w:tc>
          <w:tcPr>
            <w:tcW w:w="210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119,446</w:t>
            </w:r>
          </w:p>
        </w:tc>
      </w:tr>
      <w:tr>
        <w:tc>
          <w:tcPr>
            <w:tcW w:w="2689" w:type="dxa"/>
            <w:tcBorders>
              <w:top w:val="single" w:sz="4" w:space="0" w:color="auto"/>
              <w:left w:val="single" w:sz="4" w:space="0" w:color="auto"/>
              <w:bottom w:val="single" w:sz="4" w:space="0" w:color="auto"/>
              <w:right w:val="single" w:sz="4" w:space="0" w:color="auto"/>
            </w:tcBorders>
            <w:vAlign w:val="center"/>
          </w:tcPr>
          <w:p>
            <w:pPr>
              <w:ind w:right="6"/>
              <w:jc w:val="center"/>
            </w:pPr>
            <w:r>
              <w:rPr>
                <w:rFonts w:hint="eastAsia"/>
              </w:rPr>
              <w:t>合计</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478,285</w:t>
            </w:r>
          </w:p>
        </w:tc>
        <w:tc>
          <w:tcPr>
            <w:tcW w:w="226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610,961</w:t>
            </w:r>
          </w:p>
        </w:tc>
        <w:tc>
          <w:tcPr>
            <w:tcW w:w="210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478,285</w:t>
            </w:r>
          </w:p>
        </w:tc>
      </w:tr>
    </w:tbl>
    <w:p>
      <w:pPr>
        <w:spacing w:before="60" w:after="60"/>
      </w:pPr>
      <w:r>
        <w:rPr>
          <w:rFonts w:hint="eastAsia"/>
        </w:rPr>
        <w:t>其他说明：</w:t>
      </w:r>
    </w:p>
    <w:sdt>
      <w:sdtPr>
        <w:rPr>
          <w:rFonts w:hint="eastAsia"/>
        </w:rPr>
        <w:alias w:val="营业外支出说明"/>
        <w:tag w:val="_GBC_88ac743f9ece44c8ba4b737327409578"/>
        <w:id w:val="1262108293"/>
        <w:placeholder>
          <w:docPart w:val="GBC22222222222222222222222222222"/>
        </w:placeholder>
      </w:sdtPr>
      <w:sdtEndPr>
        <w:rPr>
          <w:rFonts w:asciiTheme="minorHAnsi" w:eastAsiaTheme="minorEastAsia" w:hAnsiTheme="minorHAnsi"/>
        </w:rPr>
      </w:sdtEndPr>
      <w:sdtContent>
        <w:p>
          <w:pPr>
            <w:pStyle w:val="Style217"/>
          </w:pPr>
          <w:r>
            <w:rPr>
              <w:rFonts w:hint="eastAsia"/>
            </w:rPr>
            <w:t>-</w:t>
          </w:r>
        </w:p>
      </w:sdtContent>
    </w:sdt>
    <w:p>
      <w:pPr>
        <w:pStyle w:val="Style217"/>
      </w:pPr>
    </w:p>
    <w:p>
      <w:pPr>
        <w:pStyle w:val="Style178"/>
        <w:numPr>
          <w:ilvl w:val="0"/>
          <w:numId w:val="75"/>
        </w:numPr>
        <w:rPr>
          <w:szCs w:val="21"/>
        </w:rPr>
      </w:pPr>
      <w:r>
        <w:rPr>
          <w:szCs w:val="21"/>
        </w:rPr>
        <w:t>所得税费用</w:t>
      </w:r>
    </w:p>
    <w:p>
      <w:pPr>
        <w:pStyle w:val="Style179"/>
      </w:pPr>
      <w:r>
        <w:rPr>
          <w:rFonts w:hint="eastAsia"/>
        </w:rPr>
        <w:t>(1).所得税费用表</w:t>
      </w:r>
    </w:p>
    <w:sdt>
      <w:sdtPr>
        <w:alias w:val="是否适用：所得税费用表[双击切换]"/>
        <w:tag w:val="_GBC_3ea18046339d457a8712506679035498"/>
        <w:id w:val="-99025542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wordWrap w:val="0"/>
        <w:jc w:val="right"/>
      </w:pPr>
      <w:r>
        <w:rPr>
          <w:rFonts w:hint="eastAsia"/>
        </w:rPr>
        <w:t>单位：</w:t>
      </w:r>
      <w:sdt>
        <w:sdtPr>
          <w:rPr>
            <w:rFonts w:hint="eastAsia"/>
          </w:rPr>
          <w:alias w:val="单位：财务附注：所得税费用"/>
          <w:tag w:val="_GBC_5e89c62734b24d50a562694dcf8d2206"/>
          <w:id w:val="-1067565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所得税费用"/>
          <w:tag w:val="_GBC_9c72c96e28344525b1836b3923556f61"/>
          <w:id w:val="4980864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214"/>
        <w:gridCol w:w="2929"/>
        <w:gridCol w:w="2913"/>
      </w:tblGrid>
      <w:tr>
        <w:trPr>
          <w:trHeight w:val="279"/>
        </w:trPr>
        <w:sdt>
          <w:sdtPr>
            <w:tag w:val="_PLD_e0d72a7f55e04c898352587240ce636b"/>
            <w:id w:val="-963499204"/>
          </w:sdtPr>
          <w:sdtContent>
            <w:tc>
              <w:tcPr>
                <w:tcW w:w="3214" w:type="dxa"/>
                <w:vAlign w:val="center"/>
              </w:tcPr>
              <w:p>
                <w:pPr>
                  <w:ind w:right="6"/>
                  <w:jc w:val="center"/>
                </w:pPr>
                <w:r>
                  <w:rPr>
                    <w:rFonts w:hint="eastAsia"/>
                  </w:rPr>
                  <w:t>项目</w:t>
                </w:r>
              </w:p>
            </w:tc>
          </w:sdtContent>
        </w:sdt>
        <w:sdt>
          <w:sdtPr>
            <w:tag w:val="_PLD_e2b12491de324856a6b2f7034aa875da"/>
            <w:id w:val="-550533136"/>
          </w:sdtPr>
          <w:sdtContent>
            <w:tc>
              <w:tcPr>
                <w:tcW w:w="2929" w:type="dxa"/>
                <w:vAlign w:val="center"/>
              </w:tcPr>
              <w:p>
                <w:pPr>
                  <w:ind w:right="6"/>
                  <w:jc w:val="center"/>
                </w:pPr>
                <w:r>
                  <w:rPr>
                    <w:rFonts w:hint="eastAsia"/>
                  </w:rPr>
                  <w:t>本期发生额</w:t>
                </w:r>
              </w:p>
            </w:tc>
          </w:sdtContent>
        </w:sdt>
        <w:sdt>
          <w:sdtPr>
            <w:tag w:val="_PLD_4b2515977b8d462088eb538637703bf1"/>
            <w:id w:val="1698432516"/>
          </w:sdtPr>
          <w:sdtContent>
            <w:tc>
              <w:tcPr>
                <w:tcW w:w="2913" w:type="dxa"/>
                <w:vAlign w:val="center"/>
              </w:tcPr>
              <w:p>
                <w:pPr>
                  <w:ind w:right="6"/>
                  <w:jc w:val="center"/>
                </w:pPr>
                <w:r>
                  <w:rPr>
                    <w:rFonts w:hint="eastAsia"/>
                  </w:rPr>
                  <w:t>上期发生额</w:t>
                </w:r>
              </w:p>
            </w:tc>
          </w:sdtContent>
        </w:sdt>
      </w:tr>
      <w:tr>
        <w:tc>
          <w:tcPr>
            <w:tcW w:w="3214" w:type="dxa"/>
            <w:vAlign w:val="center"/>
          </w:tcPr>
          <w:p>
            <w:pPr>
              <w:ind w:right="6"/>
              <w:rPr>
                <w:b/>
                <w:bCs/>
              </w:rPr>
            </w:pPr>
            <w:r>
              <w:rPr>
                <w:rFonts w:hint="eastAsia"/>
              </w:rPr>
              <w:lastRenderedPageBreak/>
              <w:t>当期所得税费用</w:t>
            </w:r>
          </w:p>
        </w:tc>
        <w:tc>
          <w:tcPr>
            <w:tcW w:w="2929" w:type="dxa"/>
            <w:vAlign w:val="center"/>
          </w:tcPr>
          <w:p>
            <w:pPr>
              <w:jc w:val="right"/>
              <w:rPr>
                <w:rFonts w:ascii="宋体" w:hAnsi="宋体"/>
              </w:rPr>
            </w:pPr>
            <w:r>
              <w:rPr>
                <w:rFonts w:ascii="宋体" w:hAnsi="宋体"/>
              </w:rPr>
              <w:t>4,599,216</w:t>
            </w:r>
          </w:p>
        </w:tc>
        <w:tc>
          <w:tcPr>
            <w:tcW w:w="2913" w:type="dxa"/>
            <w:vAlign w:val="center"/>
          </w:tcPr>
          <w:p>
            <w:pPr>
              <w:ind w:right="6"/>
              <w:jc w:val="right"/>
              <w:rPr>
                <w:rFonts w:ascii="宋体" w:hAnsi="宋体"/>
              </w:rPr>
            </w:pPr>
            <w:r>
              <w:rPr>
                <w:rFonts w:ascii="宋体" w:hAnsi="宋体"/>
              </w:rPr>
              <w:t>6,718,590</w:t>
            </w:r>
          </w:p>
        </w:tc>
      </w:tr>
      <w:tr>
        <w:tc>
          <w:tcPr>
            <w:tcW w:w="3214" w:type="dxa"/>
            <w:vAlign w:val="center"/>
          </w:tcPr>
          <w:p>
            <w:pPr>
              <w:ind w:right="6"/>
            </w:pPr>
            <w:r>
              <w:rPr>
                <w:rFonts w:hint="eastAsia"/>
              </w:rPr>
              <w:t>递延所得税费用</w:t>
            </w:r>
          </w:p>
        </w:tc>
        <w:tc>
          <w:tcPr>
            <w:tcW w:w="2929" w:type="dxa"/>
            <w:vAlign w:val="center"/>
          </w:tcPr>
          <w:p>
            <w:pPr>
              <w:jc w:val="right"/>
              <w:rPr>
                <w:rFonts w:ascii="宋体" w:hAnsi="宋体"/>
              </w:rPr>
            </w:pPr>
            <w:r>
              <w:rPr>
                <w:rFonts w:ascii="宋体" w:hAnsi="宋体"/>
              </w:rPr>
              <w:t>-399,869</w:t>
            </w:r>
          </w:p>
        </w:tc>
        <w:tc>
          <w:tcPr>
            <w:tcW w:w="2913" w:type="dxa"/>
            <w:vAlign w:val="center"/>
          </w:tcPr>
          <w:p>
            <w:pPr>
              <w:ind w:right="6"/>
              <w:jc w:val="right"/>
              <w:rPr>
                <w:rFonts w:ascii="宋体" w:hAnsi="宋体"/>
              </w:rPr>
            </w:pPr>
            <w:r>
              <w:rPr>
                <w:rFonts w:ascii="宋体" w:hAnsi="宋体"/>
              </w:rPr>
              <w:t>42,098</w:t>
            </w:r>
          </w:p>
        </w:tc>
      </w:tr>
      <w:tr>
        <w:tc>
          <w:tcPr>
            <w:tcW w:w="3214" w:type="dxa"/>
            <w:vAlign w:val="center"/>
          </w:tcPr>
          <w:p>
            <w:pPr>
              <w:ind w:right="6"/>
              <w:jc w:val="center"/>
            </w:pPr>
            <w:r>
              <w:rPr>
                <w:rFonts w:hint="eastAsia"/>
              </w:rPr>
              <w:t>合计</w:t>
            </w:r>
          </w:p>
        </w:tc>
        <w:tc>
          <w:tcPr>
            <w:tcW w:w="2929" w:type="dxa"/>
            <w:vAlign w:val="center"/>
          </w:tcPr>
          <w:p>
            <w:pPr>
              <w:ind w:right="6"/>
              <w:jc w:val="right"/>
              <w:rPr>
                <w:rFonts w:ascii="宋体" w:hAnsi="宋体"/>
              </w:rPr>
            </w:pPr>
            <w:r>
              <w:rPr>
                <w:rFonts w:ascii="宋体" w:hAnsi="宋体"/>
              </w:rPr>
              <w:t>4,199,347</w:t>
            </w:r>
          </w:p>
        </w:tc>
        <w:tc>
          <w:tcPr>
            <w:tcW w:w="2913" w:type="dxa"/>
            <w:vAlign w:val="center"/>
          </w:tcPr>
          <w:p>
            <w:pPr>
              <w:ind w:right="6"/>
              <w:jc w:val="right"/>
              <w:rPr>
                <w:rFonts w:ascii="宋体" w:hAnsi="宋体"/>
              </w:rPr>
            </w:pPr>
            <w:r>
              <w:rPr>
                <w:rFonts w:ascii="宋体" w:hAnsi="宋体"/>
              </w:rPr>
              <w:t>6,760,688</w:t>
            </w:r>
          </w:p>
        </w:tc>
      </w:tr>
    </w:tbl>
    <w:p>
      <w:pPr>
        <w:pStyle w:val="Style217"/>
      </w:pPr>
    </w:p>
    <w:p>
      <w:pPr>
        <w:pStyle w:val="Style179"/>
      </w:pPr>
      <w:r>
        <w:rPr>
          <w:rFonts w:hint="eastAsia"/>
        </w:rPr>
        <w:t>(2)会计利润与所得税费用调整过程</w:t>
      </w:r>
    </w:p>
    <w:sdt>
      <w:sdtPr>
        <w:alias w:val="是否适用：会计利润与所得税费用调整过程[双击切换]"/>
        <w:tag w:val="_GBC_add00d323e2049ad8bc932f632966661"/>
        <w:id w:val="55983095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会计利润与所得税费用调整过程"/>
          <w:tag w:val="_GBC_10825cb9bb5e445c9210ee34dc80406a"/>
          <w:id w:val="-453007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会计利润与所得税费用调整过程"/>
          <w:tag w:val="_GBC_017b69d0005b4ea99f76c547a25a6231"/>
          <w:id w:val="10564318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4382"/>
        <w:gridCol w:w="4676"/>
      </w:tblGrid>
      <w:tr>
        <w:sdt>
          <w:sdtPr>
            <w:tag w:val="_PLD_1123621c9879400694da9a8842888e14"/>
            <w:id w:val="-1601872461"/>
          </w:sdtPr>
          <w:sdtContent>
            <w:tc>
              <w:tcPr>
                <w:tcW w:w="4382"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4a270148a32846b69754961e55c75a04"/>
            <w:id w:val="99159726"/>
          </w:sdtPr>
          <w:sdtContent>
            <w:tc>
              <w:tcPr>
                <w:tcW w:w="467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本期发生额</w:t>
                </w:r>
              </w:p>
            </w:tc>
          </w:sdtContent>
        </w:sdt>
      </w:tr>
      <w:tr>
        <w:tc>
          <w:tcPr>
            <w:tcW w:w="4382" w:type="dxa"/>
            <w:tcBorders>
              <w:top w:val="single" w:sz="4" w:space="0" w:color="auto"/>
              <w:left w:val="single" w:sz="4" w:space="0" w:color="auto"/>
              <w:bottom w:val="single" w:sz="4" w:space="0" w:color="auto"/>
              <w:right w:val="single" w:sz="4" w:space="0" w:color="auto"/>
            </w:tcBorders>
            <w:vAlign w:val="center"/>
          </w:tcPr>
          <w:p>
            <w:pPr>
              <w:ind w:right="6"/>
              <w:rPr>
                <w:b/>
                <w:bCs/>
              </w:rPr>
            </w:pPr>
            <w:r>
              <w:rPr>
                <w:rFonts w:ascii="宋体" w:hAnsi="宋体" w:hint="eastAsia"/>
              </w:rPr>
              <w:t>利润总额</w:t>
            </w:r>
          </w:p>
        </w:tc>
        <w:tc>
          <w:tcPr>
            <w:tcW w:w="4676" w:type="dxa"/>
            <w:tcBorders>
              <w:top w:val="single" w:sz="4"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18,425,048</w:t>
            </w:r>
          </w:p>
        </w:tc>
      </w:tr>
      <w:tr>
        <w:tc>
          <w:tcPr>
            <w:tcW w:w="4382" w:type="dxa"/>
            <w:tcBorders>
              <w:top w:val="single" w:sz="4" w:space="0" w:color="auto"/>
              <w:left w:val="single" w:sz="4" w:space="0" w:color="auto"/>
              <w:bottom w:val="single" w:sz="4" w:space="0" w:color="auto"/>
              <w:right w:val="single" w:sz="4" w:space="0" w:color="auto"/>
            </w:tcBorders>
            <w:vAlign w:val="center"/>
          </w:tcPr>
          <w:p>
            <w:pPr>
              <w:ind w:right="6"/>
            </w:pPr>
            <w:r>
              <w:rPr>
                <w:rFonts w:ascii="宋体" w:hAnsi="宋体" w:hint="eastAsia"/>
              </w:rPr>
              <w:t>按法定[或适用]税率计算的所得税费用</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4,606,262</w:t>
            </w:r>
          </w:p>
        </w:tc>
      </w:tr>
      <w:tr>
        <w:trPr>
          <w:trHeight w:val="139"/>
        </w:trPr>
        <w:tc>
          <w:tcPr>
            <w:tcW w:w="4382" w:type="dxa"/>
            <w:tcBorders>
              <w:top w:val="single" w:sz="4" w:space="0" w:color="auto"/>
              <w:left w:val="single" w:sz="4" w:space="0" w:color="auto"/>
              <w:bottom w:val="single" w:sz="4" w:space="0" w:color="auto"/>
              <w:right w:val="single" w:sz="4" w:space="0" w:color="auto"/>
            </w:tcBorders>
            <w:vAlign w:val="center"/>
          </w:tcPr>
          <w:p>
            <w:pPr>
              <w:ind w:right="6"/>
            </w:pPr>
            <w:r>
              <w:rPr>
                <w:rFonts w:ascii="宋体" w:hAnsi="宋体" w:hint="eastAsia"/>
              </w:rPr>
              <w:t>某些子公司适用不同税率的影响</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-953,809</w:t>
            </w:r>
          </w:p>
        </w:tc>
      </w:tr>
      <w:tr>
        <w:tc>
          <w:tcPr>
            <w:tcW w:w="4382" w:type="dxa"/>
            <w:tcBorders>
              <w:top w:val="single" w:sz="4" w:space="0" w:color="auto"/>
              <w:left w:val="single" w:sz="4" w:space="0" w:color="auto"/>
              <w:bottom w:val="single" w:sz="4" w:space="0" w:color="auto"/>
              <w:right w:val="single" w:sz="4" w:space="0" w:color="auto"/>
            </w:tcBorders>
            <w:vAlign w:val="center"/>
          </w:tcPr>
          <w:p>
            <w:pPr>
              <w:ind w:right="6"/>
            </w:pPr>
            <w:r>
              <w:rPr>
                <w:rFonts w:ascii="宋体" w:hAnsi="宋体" w:hint="eastAsia"/>
              </w:rPr>
              <w:t>对以前期间当期所得税的调整</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26,656</w:t>
            </w:r>
          </w:p>
        </w:tc>
      </w:tr>
      <w:tr>
        <w:tc>
          <w:tcPr>
            <w:tcW w:w="4382" w:type="dxa"/>
            <w:tcBorders>
              <w:top w:val="single" w:sz="4" w:space="0" w:color="auto"/>
              <w:left w:val="single" w:sz="4" w:space="0" w:color="auto"/>
              <w:bottom w:val="single" w:sz="4" w:space="0" w:color="auto"/>
              <w:right w:val="single" w:sz="4" w:space="0" w:color="auto"/>
            </w:tcBorders>
            <w:vAlign w:val="center"/>
          </w:tcPr>
          <w:p>
            <w:pPr>
              <w:ind w:right="6"/>
            </w:pPr>
            <w:r>
              <w:rPr>
                <w:rFonts w:ascii="宋体" w:hAnsi="宋体" w:hint="eastAsia"/>
              </w:rPr>
              <w:t>归属于合营企业和联营企业的损益</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-299,046</w:t>
            </w:r>
          </w:p>
        </w:tc>
      </w:tr>
      <w:tr>
        <w:tc>
          <w:tcPr>
            <w:tcW w:w="4382" w:type="dxa"/>
            <w:tcBorders>
              <w:top w:val="single" w:sz="4" w:space="0" w:color="auto"/>
              <w:left w:val="single" w:sz="4" w:space="0" w:color="auto"/>
              <w:bottom w:val="single" w:sz="4" w:space="0" w:color="auto"/>
              <w:right w:val="single" w:sz="4" w:space="0" w:color="auto"/>
            </w:tcBorders>
            <w:vAlign w:val="center"/>
          </w:tcPr>
          <w:p>
            <w:pPr>
              <w:ind w:right="6"/>
            </w:pPr>
            <w:r>
              <w:rPr>
                <w:rFonts w:ascii="宋体" w:hAnsi="宋体" w:hint="eastAsia"/>
              </w:rPr>
              <w:t>无须纳税的收入</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-70,307</w:t>
            </w:r>
          </w:p>
        </w:tc>
      </w:tr>
      <w:tr>
        <w:tc>
          <w:tcPr>
            <w:tcW w:w="4382" w:type="dxa"/>
            <w:tcBorders>
              <w:top w:val="single" w:sz="4" w:space="0" w:color="auto"/>
              <w:left w:val="single" w:sz="4" w:space="0" w:color="auto"/>
              <w:bottom w:val="single" w:sz="4" w:space="0" w:color="auto"/>
              <w:right w:val="single" w:sz="4" w:space="0" w:color="auto"/>
            </w:tcBorders>
            <w:vAlign w:val="center"/>
          </w:tcPr>
          <w:p>
            <w:pPr>
              <w:ind w:right="6"/>
            </w:pPr>
            <w:r>
              <w:rPr>
                <w:rFonts w:ascii="宋体" w:hAnsi="宋体" w:hint="eastAsia"/>
              </w:rPr>
              <w:t>不可抵扣的费用</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206,366</w:t>
            </w:r>
          </w:p>
        </w:tc>
      </w:tr>
      <w:tr>
        <w:tc>
          <w:tcPr>
            <w:tcW w:w="4382" w:type="dxa"/>
            <w:tcBorders>
              <w:top w:val="single" w:sz="4" w:space="0" w:color="auto"/>
              <w:left w:val="single" w:sz="4" w:space="0" w:color="auto"/>
              <w:bottom w:val="single" w:sz="4" w:space="0" w:color="auto"/>
              <w:right w:val="single" w:sz="4" w:space="0" w:color="auto"/>
            </w:tcBorders>
            <w:vAlign w:val="center"/>
          </w:tcPr>
          <w:p>
            <w:pPr>
              <w:ind w:right="6"/>
            </w:pPr>
            <w:r>
              <w:rPr>
                <w:rFonts w:ascii="宋体" w:hAnsi="宋体" w:hint="eastAsia"/>
              </w:rPr>
              <w:t>以前年度已确认递延所得税的可抵扣暂时性差异和可抵扣亏损的影响</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-231,377</w:t>
            </w:r>
          </w:p>
        </w:tc>
      </w:tr>
      <w:tr>
        <w:tc>
          <w:tcPr>
            <w:tcW w:w="4382" w:type="dxa"/>
            <w:tcBorders>
              <w:top w:val="single" w:sz="4" w:space="0" w:color="auto"/>
              <w:left w:val="single" w:sz="4" w:space="0" w:color="auto"/>
              <w:bottom w:val="single" w:sz="4" w:space="0" w:color="auto"/>
              <w:right w:val="single" w:sz="4" w:space="0" w:color="auto"/>
            </w:tcBorders>
            <w:vAlign w:val="center"/>
          </w:tcPr>
          <w:p>
            <w:pPr>
              <w:ind w:right="6"/>
            </w:pPr>
            <w:r>
              <w:rPr>
                <w:rFonts w:ascii="宋体" w:hAnsi="宋体" w:hint="eastAsia"/>
              </w:rPr>
              <w:t>未确认的可抵扣暂时性差异和可抵扣亏损的影响</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1,072,499</w:t>
            </w:r>
          </w:p>
        </w:tc>
      </w:tr>
      <w:tr>
        <w:tc>
          <w:tcPr>
            <w:tcW w:w="4382" w:type="dxa"/>
            <w:tcBorders>
              <w:top w:val="single" w:sz="4" w:space="0" w:color="auto"/>
              <w:left w:val="single" w:sz="6" w:space="0" w:color="auto"/>
              <w:bottom w:val="single" w:sz="6" w:space="0" w:color="auto"/>
              <w:right w:val="single" w:sz="6" w:space="0" w:color="auto"/>
            </w:tcBorders>
            <w:vAlign w:val="center"/>
          </w:tcPr>
          <w:p>
            <w:pPr>
              <w:pStyle w:val="Style217"/>
            </w:pPr>
            <w:r>
              <w:rPr>
                <w:rFonts w:hint="eastAsia"/>
              </w:rPr>
              <w:t>研发费用等费用项目加计扣除</w:t>
            </w:r>
          </w:p>
        </w:tc>
        <w:tc>
          <w:tcPr>
            <w:tcW w:w="4676" w:type="dxa"/>
            <w:tcBorders>
              <w:top w:val="single" w:sz="6" w:space="0" w:color="auto"/>
              <w:left w:val="single" w:sz="6" w:space="0" w:color="auto"/>
              <w:bottom w:val="single" w:sz="6" w:space="0" w:color="auto"/>
              <w:right w:val="single" w:sz="6" w:space="0" w:color="auto"/>
            </w:tcBorders>
            <w:vAlign w:val="center"/>
          </w:tcPr>
          <w:p>
            <w:pPr>
              <w:jc w:val="right"/>
              <w:rPr>
                <w:rFonts w:ascii="宋体" w:hAnsi="宋体"/>
              </w:rPr>
            </w:pPr>
            <w:r>
              <w:rPr>
                <w:rFonts w:ascii="宋体" w:hAnsi="宋体"/>
              </w:rPr>
              <w:t>-114,216</w:t>
            </w:r>
          </w:p>
        </w:tc>
      </w:tr>
      <w:tr>
        <w:tc>
          <w:tcPr>
            <w:tcW w:w="4382" w:type="dxa"/>
            <w:tcBorders>
              <w:top w:val="single" w:sz="4" w:space="0" w:color="auto"/>
              <w:left w:val="single" w:sz="6" w:space="0" w:color="auto"/>
              <w:bottom w:val="single" w:sz="6" w:space="0" w:color="auto"/>
              <w:right w:val="single" w:sz="6" w:space="0" w:color="auto"/>
            </w:tcBorders>
            <w:vAlign w:val="center"/>
          </w:tcPr>
          <w:p>
            <w:pPr>
              <w:pStyle w:val="Style217"/>
            </w:pPr>
            <w:r>
              <w:rPr>
                <w:rFonts w:hint="eastAsia"/>
              </w:rPr>
              <w:t>其他</w:t>
            </w:r>
          </w:p>
        </w:tc>
        <w:tc>
          <w:tcPr>
            <w:tcW w:w="4676" w:type="dxa"/>
            <w:tcBorders>
              <w:top w:val="single" w:sz="6" w:space="0" w:color="auto"/>
              <w:left w:val="single" w:sz="6" w:space="0" w:color="auto"/>
              <w:bottom w:val="single" w:sz="6" w:space="0" w:color="auto"/>
              <w:right w:val="single" w:sz="6" w:space="0" w:color="auto"/>
            </w:tcBorders>
            <w:vAlign w:val="center"/>
          </w:tcPr>
          <w:p>
            <w:pPr>
              <w:jc w:val="right"/>
              <w:rPr>
                <w:rFonts w:ascii="宋体" w:hAnsi="宋体"/>
              </w:rPr>
            </w:pPr>
            <w:r>
              <w:rPr>
                <w:rFonts w:ascii="宋体" w:hAnsi="宋体"/>
              </w:rPr>
              <w:t>-43,681</w:t>
            </w:r>
          </w:p>
        </w:tc>
      </w:tr>
      <w:tr>
        <w:tc>
          <w:tcPr>
            <w:tcW w:w="4382" w:type="dxa"/>
            <w:tcBorders>
              <w:top w:val="single" w:sz="4" w:space="0" w:color="auto"/>
              <w:left w:val="single" w:sz="4" w:space="0" w:color="auto"/>
              <w:bottom w:val="single" w:sz="4" w:space="0" w:color="auto"/>
              <w:right w:val="single" w:sz="4" w:space="0" w:color="auto"/>
            </w:tcBorders>
            <w:vAlign w:val="center"/>
          </w:tcPr>
          <w:p>
            <w:pPr>
              <w:jc w:val="center"/>
            </w:pPr>
            <w:r>
              <w:rPr>
                <w:rFonts w:ascii="宋体" w:hAnsi="宋体" w:hint="eastAsia"/>
              </w:rPr>
              <w:t>所得税费用合计</w:t>
            </w:r>
          </w:p>
        </w:tc>
        <w:tc>
          <w:tcPr>
            <w:tcW w:w="4676" w:type="dxa"/>
            <w:tcBorders>
              <w:top w:val="single" w:sz="6" w:space="0" w:color="auto"/>
              <w:left w:val="single" w:sz="4" w:space="0" w:color="auto"/>
              <w:bottom w:val="single" w:sz="6" w:space="0" w:color="auto"/>
              <w:right w:val="single" w:sz="6" w:space="0" w:color="auto"/>
            </w:tcBorders>
            <w:vAlign w:val="center"/>
          </w:tcPr>
          <w:p>
            <w:pPr>
              <w:jc w:val="right"/>
              <w:rPr>
                <w:rFonts w:ascii="宋体" w:hAnsi="宋体"/>
              </w:rPr>
            </w:pPr>
            <w:r>
              <w:rPr>
                <w:rFonts w:ascii="宋体" w:hAnsi="宋体"/>
              </w:rPr>
              <w:t>4,199,347</w:t>
            </w:r>
          </w:p>
        </w:tc>
      </w:tr>
    </w:tbl>
    <w:p>
      <w:pPr>
        <w:pStyle w:val="Style217"/>
      </w:pPr>
    </w:p>
    <w:p>
      <w:pPr>
        <w:spacing w:before="60" w:after="60"/>
      </w:pPr>
      <w:r>
        <w:rPr>
          <w:rFonts w:hint="eastAsia"/>
        </w:rPr>
        <w:t>其他说明：</w:t>
      </w:r>
    </w:p>
    <w:sdt>
      <w:sdtPr>
        <w:alias w:val="是否适用：所得税费用的说明[双击切换]"/>
        <w:tag w:val="_GBC_6d867e6606c643469619e039bd83c158"/>
        <w:id w:val="-2129539175"/>
        <w:placeholder>
          <w:docPart w:val="GBC22222222222222222222222222222"/>
        </w:placeholder>
      </w:sdtPr>
      <w:sdtContent>
        <w:p>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b/>
        </w:rPr>
      </w:pPr>
    </w:p>
    <w:p>
      <w:pPr>
        <w:pStyle w:val="Style178"/>
        <w:numPr>
          <w:ilvl w:val="0"/>
          <w:numId w:val="75"/>
        </w:numPr>
        <w:rPr>
          <w:szCs w:val="21"/>
        </w:rPr>
      </w:pPr>
      <w:r>
        <w:rPr>
          <w:szCs w:val="21"/>
        </w:rPr>
        <w:t>其他综合收益</w:t>
      </w:r>
    </w:p>
    <w:sdt>
      <w:sdtPr>
        <w:alias w:val="是否适用：其他综合收益说明[双击切换]"/>
        <w:tag w:val="_GBC_055e86e99cd742699e3e89a438a26b74"/>
        <w:id w:val="-209678137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sdt>
        <w:sdtPr>
          <w:rPr>
            <w:rFonts w:hint="eastAsia"/>
          </w:rPr>
          <w:alias w:val="其他综合收益详见附注"/>
          <w:tag w:val="_GBC_88f79522b3404a9cba25ea8b611e6680"/>
          <w:id w:val="1703676323"/>
          <w:placeholder>
            <w:docPart w:val="GBC22222222222222222222222222222"/>
          </w:placeholder>
        </w:sdtPr>
        <w:sdtContent>
          <w:r>
            <w:rPr>
              <w:rFonts w:hint="eastAsia"/>
            </w:rPr>
            <w:t>详见附注“七、57、其他综合收益”</w:t>
          </w:r>
        </w:sdtContent>
      </w:sdt>
    </w:p>
    <w:p>
      <w:pPr>
        <w:pStyle w:val="Style217"/>
      </w:pPr>
    </w:p>
    <w:p>
      <w:pPr>
        <w:pStyle w:val="Style178"/>
        <w:numPr>
          <w:ilvl w:val="0"/>
          <w:numId w:val="75"/>
        </w:numPr>
        <w:rPr>
          <w:szCs w:val="21"/>
        </w:rPr>
      </w:pPr>
      <w:r>
        <w:rPr>
          <w:szCs w:val="21"/>
        </w:rPr>
        <w:t>现金流量表项目</w:t>
      </w:r>
    </w:p>
    <w:p>
      <w:pPr>
        <w:pStyle w:val="Style179"/>
        <w:numPr>
          <w:ilvl w:val="0"/>
          <w:numId w:val="111"/>
        </w:numPr>
        <w:ind w:left="426" w:hanging="426"/>
      </w:pPr>
      <w:r>
        <w:rPr>
          <w:rFonts w:hint="eastAsia"/>
        </w:rPr>
        <w:t>与经营活动有关的现金</w:t>
      </w:r>
    </w:p>
    <w:p>
      <w:pPr>
        <w:pStyle w:val="Style217"/>
      </w:pPr>
      <w:r>
        <w:rPr>
          <w:rFonts w:hint="eastAsia"/>
        </w:rPr>
        <w:t>收到的其他与经营活动有关的现金</w:t>
      </w:r>
    </w:p>
    <w:sdt>
      <w:sdtPr>
        <w:alias w:val="是否适用：收到的其他与经营活动有关的现金[双击切换]"/>
        <w:tag w:val="_GBC_27345010807c4445aa9d99ce1518a33b"/>
        <w:id w:val="-20348045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收到的其他与经营活动有关的现金"/>
          <w:tag w:val="_GBC_dda6e50e7ee34f71977565af2472b533"/>
          <w:id w:val="-12394749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收到的其他与经营活动有关的现金"/>
          <w:tag w:val="_GBC_8a91de0777534f02ab9e5a53784ea05b"/>
          <w:id w:val="21165568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830"/>
        <w:gridCol w:w="2819"/>
      </w:tblGrid>
      <w:tr>
        <w:sdt>
          <w:sdtPr>
            <w:tag w:val="_PLD_f7a5d7090c5c4e2b95d9e6f0ea383580"/>
            <w:id w:val="2020189664"/>
          </w:sdtPr>
          <w:sdtContent>
            <w:tc>
              <w:tcPr>
                <w:tcW w:w="3409" w:type="dxa"/>
                <w:vAlign w:val="center"/>
              </w:tcPr>
              <w:p>
                <w:pPr>
                  <w:autoSpaceDE w:val="0"/>
                  <w:autoSpaceDN w:val="0"/>
                  <w:adjustRightInd w:val="0"/>
                  <w:snapToGrid w:val="0"/>
                  <w:spacing w:line="240" w:lineRule="atLeast"/>
                  <w:jc w:val="center"/>
                </w:pPr>
                <w:r>
                  <w:rPr>
                    <w:rFonts w:hint="eastAsia"/>
                  </w:rPr>
                  <w:t>项目</w:t>
                </w:r>
              </w:p>
            </w:tc>
          </w:sdtContent>
        </w:sdt>
        <w:sdt>
          <w:sdtPr>
            <w:tag w:val="_PLD_6a2d5fc680f64ea980912395fdf43d18"/>
            <w:id w:val="-771083282"/>
          </w:sdtPr>
          <w:sdtContent>
            <w:tc>
              <w:tcPr>
                <w:tcW w:w="2830" w:type="dxa"/>
                <w:vAlign w:val="center"/>
              </w:tcPr>
              <w:p>
                <w:pPr>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2036083508"/>
          </w:sdtPr>
          <w:sdtContent>
            <w:tc>
              <w:tcPr>
                <w:tcW w:w="2819" w:type="dxa"/>
                <w:vAlign w:val="center"/>
              </w:tcPr>
              <w:p>
                <w:pPr>
                  <w:autoSpaceDE w:val="0"/>
                  <w:autoSpaceDN w:val="0"/>
                  <w:adjustRightInd w:val="0"/>
                  <w:snapToGrid w:val="0"/>
                  <w:spacing w:line="240" w:lineRule="atLeast"/>
                  <w:jc w:val="center"/>
                </w:pPr>
                <w:r>
                  <w:rPr>
                    <w:rFonts w:hint="eastAsia"/>
                  </w:rPr>
                  <w:t>上期发生额</w:t>
                </w:r>
              </w:p>
            </w:tc>
          </w:sdtContent>
        </w:sdt>
      </w:tr>
      <w:tr>
        <w:tc>
          <w:tcPr>
            <w:tcW w:w="3409" w:type="dxa"/>
          </w:tcPr>
          <w:p>
            <w:pPr>
              <w:autoSpaceDE w:val="0"/>
              <w:autoSpaceDN w:val="0"/>
              <w:adjustRightInd w:val="0"/>
              <w:snapToGrid w:val="0"/>
              <w:spacing w:line="240" w:lineRule="atLeast"/>
            </w:pPr>
            <w:r>
              <w:rPr>
                <w:rFonts w:hint="eastAsia"/>
              </w:rPr>
              <w:t>往来款</w:t>
            </w:r>
          </w:p>
        </w:tc>
        <w:tc>
          <w:tcPr>
            <w:tcW w:w="2830" w:type="dxa"/>
          </w:tcPr>
          <w:p>
            <w:pPr>
              <w:jc w:val="right"/>
              <w:rPr>
                <w:rFonts w:ascii="宋体" w:hAnsi="宋体"/>
              </w:rPr>
            </w:pPr>
            <w:r>
              <w:rPr>
                <w:rFonts w:ascii="宋体" w:hAnsi="宋体"/>
              </w:rPr>
              <w:t>30,527,213</w:t>
            </w:r>
          </w:p>
        </w:tc>
        <w:tc>
          <w:tcPr>
            <w:tcW w:w="2819" w:type="dxa"/>
          </w:tcPr>
          <w:p>
            <w:pPr>
              <w:jc w:val="right"/>
              <w:rPr>
                <w:rFonts w:ascii="宋体" w:hAnsi="宋体"/>
              </w:rPr>
            </w:pPr>
            <w:r>
              <w:rPr>
                <w:rFonts w:ascii="宋体" w:hAnsi="宋体" w:hint="eastAsia"/>
              </w:rPr>
              <w:t>31,520,057</w:t>
            </w:r>
          </w:p>
        </w:tc>
      </w:tr>
      <w:tr>
        <w:tc>
          <w:tcPr>
            <w:tcW w:w="3409" w:type="dxa"/>
          </w:tcPr>
          <w:p>
            <w:pPr>
              <w:autoSpaceDE w:val="0"/>
              <w:autoSpaceDN w:val="0"/>
              <w:adjustRightInd w:val="0"/>
              <w:snapToGrid w:val="0"/>
              <w:spacing w:line="240" w:lineRule="atLeast"/>
            </w:pPr>
            <w:r>
              <w:rPr>
                <w:rFonts w:hint="eastAsia"/>
              </w:rPr>
              <w:t>收回票据保证金</w:t>
            </w:r>
          </w:p>
        </w:tc>
        <w:tc>
          <w:tcPr>
            <w:tcW w:w="2830" w:type="dxa"/>
          </w:tcPr>
          <w:p>
            <w:pPr>
              <w:jc w:val="right"/>
              <w:rPr>
                <w:rFonts w:ascii="宋体" w:hAnsi="宋体"/>
              </w:rPr>
            </w:pPr>
            <w:r>
              <w:rPr>
                <w:rFonts w:ascii="宋体" w:hAnsi="宋体" w:hint="eastAsia"/>
              </w:rPr>
              <w:t>3,473,680</w:t>
            </w:r>
          </w:p>
        </w:tc>
        <w:tc>
          <w:tcPr>
            <w:tcW w:w="2819" w:type="dxa"/>
          </w:tcPr>
          <w:p>
            <w:pPr>
              <w:jc w:val="right"/>
              <w:rPr>
                <w:rFonts w:ascii="宋体" w:hAnsi="宋体"/>
              </w:rPr>
            </w:pPr>
            <w:r>
              <w:rPr>
                <w:rFonts w:ascii="宋体" w:hAnsi="宋体" w:hint="eastAsia"/>
              </w:rPr>
              <w:t>3,374,776</w:t>
            </w:r>
          </w:p>
        </w:tc>
      </w:tr>
      <w:tr>
        <w:tc>
          <w:tcPr>
            <w:tcW w:w="3409" w:type="dxa"/>
          </w:tcPr>
          <w:p>
            <w:pPr>
              <w:autoSpaceDE w:val="0"/>
              <w:autoSpaceDN w:val="0"/>
              <w:adjustRightInd w:val="0"/>
              <w:snapToGrid w:val="0"/>
              <w:spacing w:line="240" w:lineRule="atLeast"/>
            </w:pPr>
            <w:r>
              <w:rPr>
                <w:rFonts w:hint="eastAsia"/>
              </w:rPr>
              <w:t>利息收入</w:t>
            </w:r>
          </w:p>
        </w:tc>
        <w:tc>
          <w:tcPr>
            <w:tcW w:w="2830" w:type="dxa"/>
          </w:tcPr>
          <w:p>
            <w:pPr>
              <w:jc w:val="right"/>
              <w:rPr>
                <w:rFonts w:ascii="宋体" w:hAnsi="宋体"/>
              </w:rPr>
            </w:pPr>
            <w:r>
              <w:rPr>
                <w:rFonts w:ascii="宋体" w:hAnsi="宋体" w:hint="eastAsia"/>
              </w:rPr>
              <w:t>607,286</w:t>
            </w:r>
          </w:p>
        </w:tc>
        <w:tc>
          <w:tcPr>
            <w:tcW w:w="2819" w:type="dxa"/>
          </w:tcPr>
          <w:p>
            <w:pPr>
              <w:jc w:val="right"/>
              <w:rPr>
                <w:rFonts w:ascii="宋体" w:hAnsi="宋体"/>
              </w:rPr>
            </w:pPr>
            <w:r>
              <w:rPr>
                <w:rFonts w:ascii="宋体" w:hAnsi="宋体" w:hint="eastAsia"/>
              </w:rPr>
              <w:t>887,007</w:t>
            </w:r>
          </w:p>
        </w:tc>
      </w:tr>
      <w:tr>
        <w:tc>
          <w:tcPr>
            <w:tcW w:w="3409" w:type="dxa"/>
          </w:tcPr>
          <w:p>
            <w:pPr>
              <w:autoSpaceDE w:val="0"/>
              <w:autoSpaceDN w:val="0"/>
              <w:adjustRightInd w:val="0"/>
              <w:snapToGrid w:val="0"/>
              <w:spacing w:line="240" w:lineRule="atLeast"/>
            </w:pPr>
            <w:r>
              <w:rPr>
                <w:rFonts w:hint="eastAsia"/>
              </w:rPr>
              <w:t>政府补助及扶持基金收入</w:t>
            </w:r>
          </w:p>
        </w:tc>
        <w:tc>
          <w:tcPr>
            <w:tcW w:w="2830" w:type="dxa"/>
          </w:tcPr>
          <w:p>
            <w:pPr>
              <w:jc w:val="right"/>
              <w:rPr>
                <w:rFonts w:ascii="宋体" w:hAnsi="宋体"/>
              </w:rPr>
            </w:pPr>
            <w:r>
              <w:rPr>
                <w:rFonts w:ascii="宋体" w:hAnsi="宋体" w:hint="eastAsia"/>
              </w:rPr>
              <w:t>170,634</w:t>
            </w:r>
          </w:p>
        </w:tc>
        <w:tc>
          <w:tcPr>
            <w:tcW w:w="2819" w:type="dxa"/>
          </w:tcPr>
          <w:p>
            <w:pPr>
              <w:jc w:val="right"/>
              <w:rPr>
                <w:rFonts w:ascii="宋体" w:hAnsi="宋体"/>
              </w:rPr>
            </w:pPr>
            <w:r>
              <w:rPr>
                <w:rFonts w:ascii="宋体" w:hAnsi="宋体" w:hint="eastAsia"/>
              </w:rPr>
              <w:t>240,628</w:t>
            </w:r>
          </w:p>
        </w:tc>
      </w:tr>
      <w:tr>
        <w:tc>
          <w:tcPr>
            <w:tcW w:w="3409" w:type="dxa"/>
          </w:tcPr>
          <w:p>
            <w:pPr>
              <w:autoSpaceDE w:val="0"/>
              <w:autoSpaceDN w:val="0"/>
              <w:adjustRightInd w:val="0"/>
              <w:snapToGrid w:val="0"/>
              <w:spacing w:line="240" w:lineRule="atLeast"/>
            </w:pPr>
            <w:r>
              <w:rPr>
                <w:rFonts w:hint="eastAsia"/>
              </w:rPr>
              <w:t>收回环境治理保证金</w:t>
            </w:r>
          </w:p>
        </w:tc>
        <w:tc>
          <w:tcPr>
            <w:tcW w:w="2830" w:type="dxa"/>
          </w:tcPr>
          <w:p>
            <w:pPr>
              <w:jc w:val="right"/>
              <w:rPr>
                <w:rFonts w:ascii="宋体" w:hAnsi="宋体"/>
              </w:rPr>
            </w:pPr>
            <w:r>
              <w:rPr>
                <w:rFonts w:ascii="宋体" w:hAnsi="宋体" w:hint="eastAsia"/>
              </w:rPr>
              <w:t>78,775</w:t>
            </w:r>
          </w:p>
        </w:tc>
        <w:tc>
          <w:tcPr>
            <w:tcW w:w="2819" w:type="dxa"/>
          </w:tcPr>
          <w:p>
            <w:pPr>
              <w:jc w:val="right"/>
              <w:rPr>
                <w:rFonts w:ascii="宋体" w:hAnsi="宋体"/>
              </w:rPr>
            </w:pPr>
            <w:r>
              <w:rPr>
                <w:rFonts w:ascii="宋体" w:hAnsi="宋体" w:hint="eastAsia"/>
              </w:rPr>
              <w:t>193,133</w:t>
            </w:r>
          </w:p>
        </w:tc>
      </w:tr>
      <w:tr>
        <w:tc>
          <w:tcPr>
            <w:tcW w:w="3409" w:type="dxa"/>
          </w:tcPr>
          <w:p>
            <w:pPr>
              <w:autoSpaceDE w:val="0"/>
              <w:autoSpaceDN w:val="0"/>
              <w:adjustRightInd w:val="0"/>
              <w:snapToGrid w:val="0"/>
              <w:spacing w:line="240" w:lineRule="atLeast"/>
            </w:pPr>
            <w:r>
              <w:rPr>
                <w:rFonts w:hint="eastAsia"/>
              </w:rPr>
              <w:t>其他</w:t>
            </w:r>
          </w:p>
        </w:tc>
        <w:tc>
          <w:tcPr>
            <w:tcW w:w="2830" w:type="dxa"/>
          </w:tcPr>
          <w:p>
            <w:pPr>
              <w:jc w:val="right"/>
              <w:rPr>
                <w:rFonts w:ascii="宋体" w:hAnsi="宋体"/>
              </w:rPr>
            </w:pPr>
            <w:r>
              <w:rPr>
                <w:rFonts w:ascii="宋体" w:hAnsi="宋体" w:hint="eastAsia"/>
              </w:rPr>
              <w:t>7,268,576</w:t>
            </w:r>
          </w:p>
        </w:tc>
        <w:tc>
          <w:tcPr>
            <w:tcW w:w="2819" w:type="dxa"/>
          </w:tcPr>
          <w:p>
            <w:pPr>
              <w:jc w:val="right"/>
              <w:rPr>
                <w:rFonts w:ascii="宋体" w:hAnsi="宋体"/>
              </w:rPr>
            </w:pPr>
            <w:r>
              <w:rPr>
                <w:rFonts w:ascii="宋体" w:hAnsi="宋体" w:hint="eastAsia"/>
              </w:rPr>
              <w:t>3,585,601</w:t>
            </w:r>
          </w:p>
        </w:tc>
      </w:tr>
      <w:tr>
        <w:tc>
          <w:tcPr>
            <w:tcW w:w="3409" w:type="dxa"/>
            <w:vAlign w:val="center"/>
          </w:tcPr>
          <w:p>
            <w:pPr>
              <w:autoSpaceDE w:val="0"/>
              <w:autoSpaceDN w:val="0"/>
              <w:adjustRightInd w:val="0"/>
              <w:snapToGrid w:val="0"/>
              <w:spacing w:line="240" w:lineRule="atLeast"/>
              <w:jc w:val="center"/>
            </w:pPr>
            <w:r>
              <w:rPr>
                <w:rFonts w:hint="eastAsia"/>
              </w:rPr>
              <w:t>合计</w:t>
            </w:r>
          </w:p>
        </w:tc>
        <w:tc>
          <w:tcPr>
            <w:tcW w:w="2830" w:type="dxa"/>
          </w:tcPr>
          <w:p>
            <w:pPr>
              <w:jc w:val="right"/>
              <w:rPr>
                <w:rFonts w:ascii="宋体" w:hAnsi="宋体"/>
              </w:rPr>
            </w:pPr>
            <w:r>
              <w:rPr>
                <w:rFonts w:ascii="宋体" w:hAnsi="宋体"/>
              </w:rPr>
              <w:t>42,126,164</w:t>
            </w:r>
          </w:p>
        </w:tc>
        <w:tc>
          <w:tcPr>
            <w:tcW w:w="2819" w:type="dxa"/>
          </w:tcPr>
          <w:p>
            <w:pPr>
              <w:jc w:val="right"/>
              <w:rPr>
                <w:rFonts w:ascii="宋体" w:hAnsi="宋体"/>
              </w:rPr>
            </w:pPr>
            <w:r>
              <w:rPr>
                <w:rFonts w:ascii="宋体" w:hAnsi="宋体"/>
              </w:rPr>
              <w:t>39,801,202</w:t>
            </w:r>
          </w:p>
        </w:tc>
      </w:tr>
    </w:tbl>
    <w:p>
      <w:pPr>
        <w:snapToGrid w:val="0"/>
        <w:spacing w:before="60" w:after="60" w:line="240" w:lineRule="atLeast"/>
      </w:pPr>
      <w:r>
        <w:rPr>
          <w:rFonts w:hint="eastAsia"/>
        </w:rPr>
        <w:t>收到的其他与经营活动有关的现金说明：</w:t>
      </w:r>
    </w:p>
    <w:sdt>
      <w:sdtPr>
        <w:alias w:val="收到的其他与经营活动有关的现金说明"/>
        <w:tag w:val="_GBC_2e3adcc96d704a9b8dd36934b863d3d4"/>
        <w:id w:val="-882943599"/>
        <w:placeholder>
          <w:docPart w:val="GBC22222222222222222222222222222"/>
        </w:placeholder>
      </w:sdtPr>
      <w:sdtContent>
        <w:p>
          <w:pPr>
            <w:pStyle w:val="Style217"/>
          </w:pPr>
          <w:r>
            <w:rPr>
              <w:rFonts w:hint="eastAsia"/>
            </w:rPr>
            <w:t>-</w:t>
          </w:r>
        </w:p>
      </w:sdtContent>
    </w:sdt>
    <w:p>
      <w:pPr>
        <w:pStyle w:val="Style217"/>
      </w:pPr>
    </w:p>
    <w:p>
      <w:pPr>
        <w:pStyle w:val="Style217"/>
      </w:pPr>
      <w:r>
        <w:rPr>
          <w:rFonts w:hint="eastAsia"/>
        </w:rPr>
        <w:lastRenderedPageBreak/>
        <w:t>支付的其他与经营活动有关的现金</w:t>
      </w:r>
    </w:p>
    <w:sdt>
      <w:sdtPr>
        <w:alias w:val="是否适用：支付的其他与经营活动有关的现金[双击切换]"/>
        <w:tag w:val="_GBC_f4dd9812849049808cd722f0acb16a7a"/>
        <w:id w:val="165341578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支付的其他与经营活动有关的现金"/>
          <w:tag w:val="_GBC_43b6d286fa3345adb12f59f8ca6d94fd"/>
          <w:id w:val="-13777752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支付的其他与经营活动有关的现金"/>
          <w:tag w:val="_GBC_1cb95a87f7e44f1f81d520deac5b4e18"/>
          <w:id w:val="11739934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810"/>
        <w:gridCol w:w="2839"/>
      </w:tblGrid>
      <w:tr>
        <w:sdt>
          <w:sdtPr>
            <w:tag w:val="_PLD_313336294a534de9a634e32311d5592e"/>
            <w:id w:val="-1352105645"/>
          </w:sdtPr>
          <w:sdtContent>
            <w:tc>
              <w:tcPr>
                <w:tcW w:w="3409" w:type="dxa"/>
                <w:vAlign w:val="center"/>
              </w:tcPr>
              <w:p>
                <w:pPr>
                  <w:autoSpaceDE w:val="0"/>
                  <w:autoSpaceDN w:val="0"/>
                  <w:adjustRightInd w:val="0"/>
                  <w:snapToGrid w:val="0"/>
                  <w:jc w:val="center"/>
                </w:pPr>
                <w:r>
                  <w:rPr>
                    <w:rFonts w:hint="eastAsia"/>
                  </w:rPr>
                  <w:t>项目</w:t>
                </w:r>
              </w:p>
            </w:tc>
          </w:sdtContent>
        </w:sdt>
        <w:sdt>
          <w:sdtPr>
            <w:tag w:val="_PLD_254446e36934468da941d479360a4c79"/>
            <w:id w:val="-1293755831"/>
          </w:sdtPr>
          <w:sdtContent>
            <w:tc>
              <w:tcPr>
                <w:tcW w:w="2810" w:type="dxa"/>
                <w:vAlign w:val="center"/>
              </w:tcPr>
              <w:p>
                <w:pPr>
                  <w:autoSpaceDE w:val="0"/>
                  <w:autoSpaceDN w:val="0"/>
                  <w:adjustRightInd w:val="0"/>
                  <w:snapToGrid w:val="0"/>
                  <w:jc w:val="center"/>
                </w:pPr>
                <w:r>
                  <w:rPr>
                    <w:rFonts w:hint="eastAsia"/>
                  </w:rPr>
                  <w:t>本期发生额</w:t>
                </w:r>
              </w:p>
            </w:tc>
          </w:sdtContent>
        </w:sdt>
        <w:sdt>
          <w:sdtPr>
            <w:tag w:val="_PLD_7dc479c1c10240cc94f89ea3fc1d6136"/>
            <w:id w:val="2066907045"/>
          </w:sdtPr>
          <w:sdtContent>
            <w:tc>
              <w:tcPr>
                <w:tcW w:w="2839" w:type="dxa"/>
                <w:vAlign w:val="center"/>
              </w:tcPr>
              <w:p>
                <w:pPr>
                  <w:autoSpaceDE w:val="0"/>
                  <w:autoSpaceDN w:val="0"/>
                  <w:adjustRightInd w:val="0"/>
                  <w:snapToGrid w:val="0"/>
                  <w:jc w:val="center"/>
                </w:pPr>
                <w:r>
                  <w:rPr>
                    <w:rFonts w:hint="eastAsia"/>
                  </w:rPr>
                  <w:t>上期发生额</w:t>
                </w:r>
              </w:p>
            </w:tc>
          </w:sdtContent>
        </w:sdt>
      </w:tr>
      <w:tr>
        <w:tc>
          <w:tcPr>
            <w:tcW w:w="3409" w:type="dxa"/>
          </w:tcPr>
          <w:p>
            <w:pPr>
              <w:autoSpaceDE w:val="0"/>
              <w:autoSpaceDN w:val="0"/>
              <w:adjustRightInd w:val="0"/>
              <w:snapToGrid w:val="0"/>
            </w:pPr>
            <w:r>
              <w:rPr>
                <w:rFonts w:hint="eastAsia"/>
              </w:rPr>
              <w:t>销售及管理费用支付额</w:t>
            </w:r>
          </w:p>
        </w:tc>
        <w:tc>
          <w:tcPr>
            <w:tcW w:w="2810" w:type="dxa"/>
          </w:tcPr>
          <w:p>
            <w:pPr>
              <w:jc w:val="right"/>
              <w:rPr>
                <w:rFonts w:ascii="宋体" w:hAnsi="宋体"/>
              </w:rPr>
            </w:pPr>
            <w:r>
              <w:rPr>
                <w:rFonts w:ascii="宋体" w:hAnsi="宋体" w:hint="eastAsia"/>
              </w:rPr>
              <w:t>6,453,586</w:t>
            </w:r>
          </w:p>
        </w:tc>
        <w:tc>
          <w:tcPr>
            <w:tcW w:w="2839" w:type="dxa"/>
          </w:tcPr>
          <w:p>
            <w:pPr>
              <w:jc w:val="right"/>
              <w:rPr>
                <w:rFonts w:ascii="宋体" w:hAnsi="宋体"/>
              </w:rPr>
            </w:pPr>
            <w:r>
              <w:rPr>
                <w:rFonts w:ascii="宋体" w:hAnsi="宋体" w:hint="eastAsia"/>
              </w:rPr>
              <w:t>7,788,494</w:t>
            </w:r>
          </w:p>
        </w:tc>
      </w:tr>
      <w:tr>
        <w:tc>
          <w:tcPr>
            <w:tcW w:w="3409" w:type="dxa"/>
          </w:tcPr>
          <w:p>
            <w:pPr>
              <w:autoSpaceDE w:val="0"/>
              <w:autoSpaceDN w:val="0"/>
              <w:adjustRightInd w:val="0"/>
              <w:snapToGrid w:val="0"/>
            </w:pPr>
            <w:r>
              <w:rPr>
                <w:rFonts w:hint="eastAsia"/>
              </w:rPr>
              <w:t>环境治理支出</w:t>
            </w:r>
          </w:p>
        </w:tc>
        <w:tc>
          <w:tcPr>
            <w:tcW w:w="2810" w:type="dxa"/>
          </w:tcPr>
          <w:p>
            <w:pPr>
              <w:jc w:val="right"/>
              <w:rPr>
                <w:rFonts w:ascii="宋体" w:hAnsi="宋体"/>
              </w:rPr>
            </w:pPr>
            <w:r>
              <w:rPr>
                <w:rFonts w:ascii="宋体" w:hAnsi="宋体" w:hint="eastAsia"/>
              </w:rPr>
              <w:t>3,110,944</w:t>
            </w:r>
          </w:p>
        </w:tc>
        <w:tc>
          <w:tcPr>
            <w:tcW w:w="2839" w:type="dxa"/>
          </w:tcPr>
          <w:p>
            <w:pPr>
              <w:jc w:val="right"/>
              <w:rPr>
                <w:rFonts w:ascii="宋体" w:hAnsi="宋体"/>
              </w:rPr>
            </w:pPr>
            <w:r>
              <w:rPr>
                <w:rFonts w:ascii="宋体" w:hAnsi="宋体" w:hint="eastAsia"/>
              </w:rPr>
              <w:t>3,269,448</w:t>
            </w:r>
          </w:p>
        </w:tc>
      </w:tr>
      <w:tr>
        <w:tc>
          <w:tcPr>
            <w:tcW w:w="3409" w:type="dxa"/>
          </w:tcPr>
          <w:p>
            <w:pPr>
              <w:autoSpaceDE w:val="0"/>
              <w:autoSpaceDN w:val="0"/>
              <w:adjustRightInd w:val="0"/>
              <w:snapToGrid w:val="0"/>
            </w:pPr>
            <w:r>
              <w:rPr>
                <w:rFonts w:hint="eastAsia"/>
              </w:rPr>
              <w:t>往来款</w:t>
            </w:r>
          </w:p>
        </w:tc>
        <w:tc>
          <w:tcPr>
            <w:tcW w:w="2810" w:type="dxa"/>
            <w:vAlign w:val="center"/>
          </w:tcPr>
          <w:p>
            <w:pPr>
              <w:jc w:val="right"/>
              <w:rPr>
                <w:rFonts w:ascii="宋体" w:hAnsi="宋体"/>
              </w:rPr>
            </w:pPr>
            <w:r>
              <w:rPr>
                <w:rFonts w:ascii="宋体" w:hAnsi="宋体"/>
              </w:rPr>
              <w:t>36,384,102</w:t>
            </w:r>
          </w:p>
        </w:tc>
        <w:tc>
          <w:tcPr>
            <w:tcW w:w="2839" w:type="dxa"/>
          </w:tcPr>
          <w:p>
            <w:pPr>
              <w:jc w:val="right"/>
              <w:rPr>
                <w:rFonts w:ascii="宋体" w:hAnsi="宋体"/>
              </w:rPr>
            </w:pPr>
            <w:r>
              <w:rPr>
                <w:rFonts w:ascii="宋体" w:hAnsi="宋体" w:hint="eastAsia"/>
              </w:rPr>
              <w:t>31,308,381</w:t>
            </w:r>
          </w:p>
        </w:tc>
      </w:tr>
      <w:tr>
        <w:tc>
          <w:tcPr>
            <w:tcW w:w="3409" w:type="dxa"/>
          </w:tcPr>
          <w:p>
            <w:pPr>
              <w:autoSpaceDE w:val="0"/>
              <w:autoSpaceDN w:val="0"/>
              <w:adjustRightInd w:val="0"/>
              <w:snapToGrid w:val="0"/>
            </w:pPr>
            <w:r>
              <w:rPr>
                <w:rFonts w:hint="eastAsia"/>
              </w:rPr>
              <w:t>支付环境恢复治理基金</w:t>
            </w:r>
          </w:p>
        </w:tc>
        <w:tc>
          <w:tcPr>
            <w:tcW w:w="2810" w:type="dxa"/>
            <w:vAlign w:val="center"/>
          </w:tcPr>
          <w:p>
            <w:pPr>
              <w:jc w:val="right"/>
              <w:rPr>
                <w:rFonts w:ascii="宋体" w:hAnsi="宋体"/>
              </w:rPr>
            </w:pPr>
            <w:r>
              <w:rPr>
                <w:rFonts w:ascii="宋体" w:hAnsi="宋体"/>
              </w:rPr>
              <w:t>1,370,327</w:t>
            </w:r>
          </w:p>
        </w:tc>
        <w:tc>
          <w:tcPr>
            <w:tcW w:w="2839" w:type="dxa"/>
          </w:tcPr>
          <w:p>
            <w:pPr>
              <w:jc w:val="right"/>
              <w:rPr>
                <w:rFonts w:ascii="宋体" w:hAnsi="宋体"/>
              </w:rPr>
            </w:pPr>
            <w:r>
              <w:rPr>
                <w:rFonts w:ascii="宋体" w:hAnsi="宋体" w:hint="eastAsia"/>
              </w:rPr>
              <w:t>856,905</w:t>
            </w:r>
          </w:p>
        </w:tc>
      </w:tr>
      <w:tr>
        <w:tc>
          <w:tcPr>
            <w:tcW w:w="3409" w:type="dxa"/>
          </w:tcPr>
          <w:p>
            <w:pPr>
              <w:autoSpaceDE w:val="0"/>
              <w:autoSpaceDN w:val="0"/>
              <w:adjustRightInd w:val="0"/>
              <w:snapToGrid w:val="0"/>
            </w:pPr>
            <w:r>
              <w:rPr>
                <w:rFonts w:hint="eastAsia"/>
              </w:rPr>
              <w:t>支付票据保证金</w:t>
            </w:r>
          </w:p>
        </w:tc>
        <w:tc>
          <w:tcPr>
            <w:tcW w:w="2810" w:type="dxa"/>
          </w:tcPr>
          <w:p>
            <w:pPr>
              <w:jc w:val="right"/>
              <w:rPr>
                <w:rFonts w:ascii="宋体" w:hAnsi="宋体"/>
              </w:rPr>
            </w:pPr>
            <w:r>
              <w:rPr>
                <w:rFonts w:ascii="宋体" w:hAnsi="宋体" w:hint="eastAsia"/>
              </w:rPr>
              <w:t>2,929,734</w:t>
            </w:r>
          </w:p>
        </w:tc>
        <w:tc>
          <w:tcPr>
            <w:tcW w:w="2839" w:type="dxa"/>
          </w:tcPr>
          <w:p>
            <w:pPr>
              <w:jc w:val="right"/>
              <w:rPr>
                <w:rFonts w:ascii="宋体" w:hAnsi="宋体"/>
              </w:rPr>
            </w:pPr>
            <w:r>
              <w:rPr>
                <w:rFonts w:ascii="宋体" w:hAnsi="宋体" w:hint="eastAsia"/>
              </w:rPr>
              <w:t>3,216,168</w:t>
            </w:r>
          </w:p>
        </w:tc>
      </w:tr>
      <w:tr>
        <w:tc>
          <w:tcPr>
            <w:tcW w:w="3409" w:type="dxa"/>
          </w:tcPr>
          <w:p>
            <w:pPr>
              <w:autoSpaceDE w:val="0"/>
              <w:autoSpaceDN w:val="0"/>
              <w:adjustRightInd w:val="0"/>
              <w:snapToGrid w:val="0"/>
            </w:pPr>
            <w:r>
              <w:rPr>
                <w:rFonts w:hint="eastAsia"/>
              </w:rPr>
              <w:t>罚款及滞纳金</w:t>
            </w:r>
          </w:p>
        </w:tc>
        <w:tc>
          <w:tcPr>
            <w:tcW w:w="2810" w:type="dxa"/>
          </w:tcPr>
          <w:p>
            <w:pPr>
              <w:jc w:val="right"/>
              <w:rPr>
                <w:rFonts w:ascii="宋体" w:hAnsi="宋体"/>
              </w:rPr>
            </w:pPr>
            <w:r>
              <w:rPr>
                <w:rFonts w:ascii="宋体" w:hAnsi="宋体" w:hint="eastAsia"/>
              </w:rPr>
              <w:t>118,435</w:t>
            </w:r>
          </w:p>
        </w:tc>
        <w:tc>
          <w:tcPr>
            <w:tcW w:w="2839" w:type="dxa"/>
          </w:tcPr>
          <w:p>
            <w:pPr>
              <w:jc w:val="right"/>
              <w:rPr>
                <w:rFonts w:ascii="宋体" w:hAnsi="宋体"/>
              </w:rPr>
            </w:pPr>
            <w:r>
              <w:rPr>
                <w:rFonts w:ascii="宋体" w:hAnsi="宋体" w:hint="eastAsia"/>
              </w:rPr>
              <w:t>145,025</w:t>
            </w:r>
          </w:p>
        </w:tc>
      </w:tr>
      <w:tr>
        <w:tc>
          <w:tcPr>
            <w:tcW w:w="3409" w:type="dxa"/>
          </w:tcPr>
          <w:p>
            <w:pPr>
              <w:autoSpaceDE w:val="0"/>
              <w:autoSpaceDN w:val="0"/>
              <w:adjustRightInd w:val="0"/>
              <w:snapToGrid w:val="0"/>
            </w:pPr>
            <w:r>
              <w:rPr>
                <w:rFonts w:hint="eastAsia"/>
              </w:rPr>
              <w:t>捐赠支出</w:t>
            </w:r>
          </w:p>
        </w:tc>
        <w:tc>
          <w:tcPr>
            <w:tcW w:w="2810" w:type="dxa"/>
          </w:tcPr>
          <w:p>
            <w:pPr>
              <w:jc w:val="right"/>
              <w:rPr>
                <w:rFonts w:ascii="宋体" w:hAnsi="宋体"/>
              </w:rPr>
            </w:pPr>
            <w:r>
              <w:rPr>
                <w:rFonts w:ascii="宋体" w:hAnsi="宋体" w:hint="eastAsia"/>
              </w:rPr>
              <w:t>26,850</w:t>
            </w:r>
          </w:p>
        </w:tc>
        <w:tc>
          <w:tcPr>
            <w:tcW w:w="2839" w:type="dxa"/>
          </w:tcPr>
          <w:p>
            <w:pPr>
              <w:jc w:val="right"/>
              <w:rPr>
                <w:rFonts w:ascii="宋体" w:hAnsi="宋体"/>
              </w:rPr>
            </w:pPr>
            <w:r>
              <w:rPr>
                <w:rFonts w:ascii="宋体" w:hAnsi="宋体" w:hint="eastAsia"/>
              </w:rPr>
              <w:t>15,304</w:t>
            </w:r>
          </w:p>
        </w:tc>
      </w:tr>
      <w:tr>
        <w:tc>
          <w:tcPr>
            <w:tcW w:w="3409" w:type="dxa"/>
          </w:tcPr>
          <w:p>
            <w:pPr>
              <w:autoSpaceDE w:val="0"/>
              <w:autoSpaceDN w:val="0"/>
              <w:adjustRightInd w:val="0"/>
              <w:snapToGrid w:val="0"/>
            </w:pPr>
            <w:r>
              <w:rPr>
                <w:rFonts w:hint="eastAsia"/>
              </w:rPr>
              <w:t>其他</w:t>
            </w:r>
          </w:p>
        </w:tc>
        <w:tc>
          <w:tcPr>
            <w:tcW w:w="2810" w:type="dxa"/>
            <w:vAlign w:val="center"/>
          </w:tcPr>
          <w:p>
            <w:pPr>
              <w:jc w:val="right"/>
              <w:rPr>
                <w:rFonts w:ascii="宋体" w:hAnsi="宋体"/>
              </w:rPr>
            </w:pPr>
            <w:r>
              <w:rPr>
                <w:rFonts w:ascii="宋体" w:hAnsi="宋体" w:hint="eastAsia"/>
              </w:rPr>
              <w:t>4</w:t>
            </w:r>
            <w:r>
              <w:rPr>
                <w:rFonts w:ascii="宋体" w:hAnsi="宋体"/>
              </w:rPr>
              <w:t>,305,211</w:t>
            </w:r>
          </w:p>
        </w:tc>
        <w:tc>
          <w:tcPr>
            <w:tcW w:w="2839" w:type="dxa"/>
          </w:tcPr>
          <w:p>
            <w:pPr>
              <w:jc w:val="right"/>
              <w:rPr>
                <w:rFonts w:ascii="宋体" w:hAnsi="宋体"/>
              </w:rPr>
            </w:pPr>
            <w:r>
              <w:rPr>
                <w:rFonts w:ascii="宋体" w:hAnsi="宋体" w:hint="eastAsia"/>
              </w:rPr>
              <w:t>5,360,154</w:t>
            </w:r>
          </w:p>
        </w:tc>
      </w:tr>
      <w:tr>
        <w:tc>
          <w:tcPr>
            <w:tcW w:w="3409" w:type="dxa"/>
            <w:vAlign w:val="center"/>
          </w:tcPr>
          <w:p>
            <w:pPr>
              <w:autoSpaceDE w:val="0"/>
              <w:autoSpaceDN w:val="0"/>
              <w:adjustRightInd w:val="0"/>
              <w:snapToGrid w:val="0"/>
              <w:jc w:val="center"/>
            </w:pPr>
            <w:r>
              <w:rPr>
                <w:rFonts w:hint="eastAsia"/>
              </w:rPr>
              <w:t>合计</w:t>
            </w:r>
          </w:p>
        </w:tc>
        <w:tc>
          <w:tcPr>
            <w:tcW w:w="2810" w:type="dxa"/>
            <w:vAlign w:val="center"/>
          </w:tcPr>
          <w:p>
            <w:pPr>
              <w:jc w:val="right"/>
              <w:rPr>
                <w:rFonts w:ascii="宋体" w:hAnsi="宋体"/>
              </w:rPr>
            </w:pPr>
            <w:r>
              <w:rPr>
                <w:rFonts w:ascii="宋体" w:hAnsi="宋体"/>
              </w:rPr>
              <w:t>54,699,189</w:t>
            </w:r>
          </w:p>
        </w:tc>
        <w:tc>
          <w:tcPr>
            <w:tcW w:w="2839" w:type="dxa"/>
          </w:tcPr>
          <w:p>
            <w:pPr>
              <w:jc w:val="right"/>
              <w:rPr>
                <w:rFonts w:ascii="宋体" w:hAnsi="宋体"/>
              </w:rPr>
            </w:pPr>
            <w:r>
              <w:rPr>
                <w:rFonts w:ascii="宋体" w:hAnsi="宋体"/>
              </w:rPr>
              <w:t>51,959,879</w:t>
            </w:r>
          </w:p>
        </w:tc>
      </w:tr>
    </w:tbl>
    <w:p>
      <w:pPr>
        <w:spacing w:before="60" w:after="60"/>
      </w:pPr>
      <w:r>
        <w:rPr>
          <w:rFonts w:hint="eastAsia"/>
        </w:rPr>
        <w:t>支付的其他与经营活动有关的现金说明：</w:t>
      </w:r>
    </w:p>
    <w:sdt>
      <w:sdtPr>
        <w:rPr>
          <w:rFonts w:hint="eastAsia"/>
        </w:rPr>
        <w:alias w:val="支付的其他与经营活动有关的现金说明"/>
        <w:tag w:val="_GBC_0465de66d71e4a34a0d6c076baa704db"/>
        <w:id w:val="747461592"/>
        <w:placeholder>
          <w:docPart w:val="GBC22222222222222222222222222222"/>
        </w:placeholder>
      </w:sdtPr>
      <w:sdtContent>
        <w:p>
          <w:pPr>
            <w:ind w:right="5"/>
          </w:pPr>
          <w:r>
            <w:rPr>
              <w:rFonts w:hint="eastAsia"/>
            </w:rPr>
            <w:t>-</w:t>
          </w:r>
        </w:p>
      </w:sdtContent>
    </w:sdt>
    <w:p>
      <w:pPr>
        <w:pStyle w:val="Style179"/>
        <w:numPr>
          <w:ilvl w:val="0"/>
          <w:numId w:val="111"/>
        </w:numPr>
        <w:ind w:left="426" w:hanging="426"/>
      </w:pPr>
      <w:r>
        <w:rPr>
          <w:rFonts w:hint="eastAsia"/>
        </w:rPr>
        <w:t>与投资活动有关的现金</w:t>
      </w:r>
    </w:p>
    <w:p>
      <w:pPr>
        <w:pStyle w:val="Style217"/>
      </w:pPr>
      <w:r>
        <w:rPr>
          <w:rFonts w:hint="eastAsia"/>
        </w:rPr>
        <w:t>收到的重要的投资活动有关的现金</w:t>
      </w:r>
    </w:p>
    <w:sdt>
      <w:sdtPr>
        <w:alias w:val="是否适用：收到的重要的投资活动有关的现金[双击切换]"/>
        <w:tag w:val="_GBC_9196f5edd13f48c58cf11429e2524db4"/>
        <w:id w:val="-100821407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收到的重要的投资活动有关的现金"/>
          <w:tag w:val="_GBC_30082088374344d4809bf9f5b59559f9"/>
          <w:id w:val="-42734975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收到的重要的投资活动有关的现金"/>
          <w:tag w:val="_GBC_aad9cf5ff1554131b4e4b043d133db0c"/>
          <w:id w:val="-5992613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830"/>
        <w:gridCol w:w="2819"/>
      </w:tblGrid>
      <w:tr>
        <w:sdt>
          <w:sdtPr>
            <w:tag w:val="_PLD_86537d51cc694654b45c76bb3b965b60"/>
            <w:id w:val="-1767222571"/>
          </w:sdtPr>
          <w:sdtContent>
            <w:tc>
              <w:tcPr>
                <w:tcW w:w="3409" w:type="dxa"/>
                <w:vAlign w:val="center"/>
              </w:tcPr>
              <w:p>
                <w:pPr>
                  <w:autoSpaceDE w:val="0"/>
                  <w:autoSpaceDN w:val="0"/>
                  <w:adjustRightInd w:val="0"/>
                  <w:snapToGrid w:val="0"/>
                  <w:spacing w:line="240" w:lineRule="atLeast"/>
                  <w:jc w:val="center"/>
                </w:pPr>
                <w:r>
                  <w:rPr>
                    <w:rFonts w:hint="eastAsia"/>
                  </w:rPr>
                  <w:t>项目</w:t>
                </w:r>
              </w:p>
            </w:tc>
          </w:sdtContent>
        </w:sdt>
        <w:sdt>
          <w:sdtPr>
            <w:tag w:val="_PLD_8df780a4dd194dc4b58890fceac9b4d7"/>
            <w:id w:val="299813965"/>
          </w:sdtPr>
          <w:sdtContent>
            <w:tc>
              <w:tcPr>
                <w:tcW w:w="2830" w:type="dxa"/>
                <w:vAlign w:val="center"/>
              </w:tcPr>
              <w:p>
                <w:pPr>
                  <w:autoSpaceDE w:val="0"/>
                  <w:autoSpaceDN w:val="0"/>
                  <w:adjustRightInd w:val="0"/>
                  <w:snapToGrid w:val="0"/>
                  <w:spacing w:line="240" w:lineRule="atLeast"/>
                  <w:jc w:val="center"/>
                </w:pPr>
                <w:r>
                  <w:rPr>
                    <w:rFonts w:hint="eastAsia"/>
                  </w:rPr>
                  <w:t>本期发生额</w:t>
                </w:r>
              </w:p>
            </w:tc>
          </w:sdtContent>
        </w:sdt>
        <w:sdt>
          <w:sdtPr>
            <w:tag w:val="_PLD_e3e736b7d56b47b9a0860a6d7e262f11"/>
            <w:id w:val="346682739"/>
          </w:sdtPr>
          <w:sdtContent>
            <w:tc>
              <w:tcPr>
                <w:tcW w:w="2819" w:type="dxa"/>
                <w:vAlign w:val="center"/>
              </w:tcPr>
              <w:p>
                <w:pPr>
                  <w:autoSpaceDE w:val="0"/>
                  <w:autoSpaceDN w:val="0"/>
                  <w:adjustRightInd w:val="0"/>
                  <w:snapToGrid w:val="0"/>
                  <w:spacing w:line="240" w:lineRule="atLeast"/>
                  <w:jc w:val="center"/>
                </w:pPr>
                <w:r>
                  <w:rPr>
                    <w:rFonts w:hint="eastAsia"/>
                  </w:rPr>
                  <w:t>上期发生额</w:t>
                </w:r>
              </w:p>
            </w:tc>
          </w:sdtContent>
        </w:sdt>
      </w:tr>
      <w:tr>
        <w:tc>
          <w:tcPr>
            <w:tcW w:w="3409" w:type="dxa"/>
          </w:tcPr>
          <w:p>
            <w:pPr>
              <w:autoSpaceDE w:val="0"/>
              <w:autoSpaceDN w:val="0"/>
              <w:adjustRightInd w:val="0"/>
              <w:snapToGrid w:val="0"/>
              <w:spacing w:line="240" w:lineRule="atLeast"/>
            </w:pPr>
            <w:r>
              <w:rPr>
                <w:rFonts w:hint="eastAsia"/>
              </w:rPr>
              <w:t>融资租赁款</w:t>
            </w:r>
          </w:p>
        </w:tc>
        <w:tc>
          <w:tcPr>
            <w:tcW w:w="2830" w:type="dxa"/>
            <w:vAlign w:val="center"/>
          </w:tcPr>
          <w:p>
            <w:pPr>
              <w:jc w:val="right"/>
              <w:rPr>
                <w:rFonts w:ascii="宋体" w:hAnsi="宋体"/>
              </w:rPr>
            </w:pPr>
            <w:r>
              <w:rPr>
                <w:rFonts w:ascii="宋体" w:hAnsi="宋体" w:hint="eastAsia"/>
              </w:rPr>
              <w:t>2,443,235</w:t>
            </w:r>
          </w:p>
        </w:tc>
        <w:tc>
          <w:tcPr>
            <w:tcW w:w="2819" w:type="dxa"/>
            <w:vAlign w:val="center"/>
          </w:tcPr>
          <w:p>
            <w:pPr>
              <w:jc w:val="right"/>
              <w:rPr>
                <w:rFonts w:ascii="宋体" w:hAnsi="宋体"/>
              </w:rPr>
            </w:pPr>
            <w:r>
              <w:rPr>
                <w:rFonts w:ascii="宋体" w:hAnsi="宋体" w:hint="eastAsia"/>
              </w:rPr>
              <w:t>5,609,960</w:t>
            </w:r>
          </w:p>
        </w:tc>
      </w:tr>
      <w:tr>
        <w:tc>
          <w:tcPr>
            <w:tcW w:w="3409" w:type="dxa"/>
            <w:vAlign w:val="center"/>
          </w:tcPr>
          <w:p>
            <w:pPr>
              <w:autoSpaceDE w:val="0"/>
              <w:autoSpaceDN w:val="0"/>
              <w:adjustRightInd w:val="0"/>
              <w:snapToGrid w:val="0"/>
              <w:spacing w:line="240" w:lineRule="atLeast"/>
              <w:jc w:val="center"/>
            </w:pPr>
            <w:r>
              <w:rPr>
                <w:rFonts w:hint="eastAsia"/>
              </w:rPr>
              <w:t>合计</w:t>
            </w:r>
          </w:p>
        </w:tc>
        <w:tc>
          <w:tcPr>
            <w:tcW w:w="2830" w:type="dxa"/>
          </w:tcPr>
          <w:p>
            <w:pPr>
              <w:jc w:val="right"/>
              <w:rPr>
                <w:rFonts w:ascii="宋体" w:hAnsi="宋体"/>
              </w:rPr>
            </w:pPr>
            <w:r>
              <w:rPr>
                <w:rFonts w:ascii="宋体" w:hAnsi="宋体"/>
              </w:rPr>
              <w:t>2,443,235</w:t>
            </w:r>
          </w:p>
        </w:tc>
        <w:tc>
          <w:tcPr>
            <w:tcW w:w="2819" w:type="dxa"/>
          </w:tcPr>
          <w:p>
            <w:pPr>
              <w:jc w:val="right"/>
              <w:rPr>
                <w:rFonts w:ascii="宋体" w:hAnsi="宋体"/>
              </w:rPr>
            </w:pPr>
            <w:r>
              <w:rPr>
                <w:rFonts w:ascii="宋体" w:hAnsi="宋体"/>
              </w:rPr>
              <w:t>5,609,960</w:t>
            </w:r>
          </w:p>
        </w:tc>
      </w:tr>
    </w:tbl>
    <w:p>
      <w:pPr>
        <w:pStyle w:val="Style217"/>
      </w:pPr>
      <w:r>
        <w:rPr>
          <w:rFonts w:hint="eastAsia"/>
        </w:rPr>
        <w:t>收到的重要的投资活动有关的现金说明</w:t>
      </w:r>
    </w:p>
    <w:sdt>
      <w:sdtPr>
        <w:alias w:val="收到的重要的投资活动有关的现金的说明"/>
        <w:tag w:val="_GBC_c1ce510d970645309444be1bc0b45be7"/>
        <w:id w:val="-1460253233"/>
        <w:placeholder>
          <w:docPart w:val="GBC22222222222222222222222222222"/>
        </w:placeholder>
      </w:sdtPr>
      <w:sdtContent>
        <w:p>
          <w:pPr>
            <w:pStyle w:val="Style217"/>
          </w:pPr>
          <w:r>
            <w:rPr>
              <w:rFonts w:hint="eastAsia"/>
            </w:rPr>
            <w:t>-</w:t>
          </w:r>
        </w:p>
      </w:sdtContent>
    </w:sdt>
    <w:p>
      <w:pPr>
        <w:pStyle w:val="Style217"/>
      </w:pPr>
    </w:p>
    <w:p>
      <w:pPr>
        <w:pStyle w:val="Style217"/>
      </w:pPr>
      <w:r>
        <w:rPr>
          <w:rFonts w:hint="eastAsia"/>
        </w:rPr>
        <w:t>支付的重要的投资活动有关的现金</w:t>
      </w:r>
    </w:p>
    <w:sdt>
      <w:sdtPr>
        <w:alias w:val="是否适用：支付的重要的投资活动有关的现金[双击切换]"/>
        <w:tag w:val="_GBC_87278c8d34004ae4ad117e1026d10209"/>
        <w:id w:val="139670939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p>
    <w:p>
      <w:pPr>
        <w:pStyle w:val="Style217"/>
      </w:pPr>
      <w:r>
        <w:rPr>
          <w:rFonts w:hint="eastAsia"/>
        </w:rPr>
        <w:t>收到的其他与投资活动有关的现金</w:t>
      </w:r>
    </w:p>
    <w:sdt>
      <w:sdtPr>
        <w:alias w:val="是否适用：收到的其他与投资活动有关的现金[双击切换]"/>
        <w:tag w:val="_GBC_a9d11a87566b448d9e6aac9a017a8388"/>
        <w:id w:val="149406551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收到的其他与投资活动有关的现金"/>
          <w:tag w:val="_GBC_0c9cf16095dd4d5ab3121520e225b633"/>
          <w:id w:val="-18739887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r>
        <w:rPr>
          <w:rFonts w:hint="eastAsia"/>
        </w:rPr>
        <w:t>:</w:t>
      </w:r>
      <w:sdt>
        <w:sdtPr>
          <w:rPr>
            <w:rFonts w:hint="eastAsia"/>
          </w:rPr>
          <w:alias w:val="币种：财务附注：收到的其他与投资活动有关的现金"/>
          <w:tag w:val="_GBC_791e060c2d294266a3abaf8a745aad01"/>
          <w:id w:val="-19303360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915"/>
        <w:gridCol w:w="2734"/>
      </w:tblGrid>
      <w:tr>
        <w:sdt>
          <w:sdtPr>
            <w:tag w:val="_PLD_8fe69c5749494bb49faf620c5198417e"/>
            <w:id w:val="43267304"/>
          </w:sdtPr>
          <w:sdtContent>
            <w:tc>
              <w:tcPr>
                <w:tcW w:w="3409" w:type="dxa"/>
                <w:vAlign w:val="center"/>
              </w:tcPr>
              <w:p>
                <w:pPr>
                  <w:autoSpaceDE w:val="0"/>
                  <w:autoSpaceDN w:val="0"/>
                  <w:adjustRightInd w:val="0"/>
                  <w:snapToGrid w:val="0"/>
                  <w:spacing w:line="240" w:lineRule="atLeast"/>
                  <w:jc w:val="center"/>
                </w:pPr>
                <w:r>
                  <w:rPr>
                    <w:rFonts w:hint="eastAsia"/>
                  </w:rPr>
                  <w:t>项目</w:t>
                </w:r>
              </w:p>
            </w:tc>
          </w:sdtContent>
        </w:sdt>
        <w:sdt>
          <w:sdtPr>
            <w:tag w:val="_PLD_bf91a26c50244250a28701d650837068"/>
            <w:id w:val="-99033958"/>
          </w:sdtPr>
          <w:sdtContent>
            <w:tc>
              <w:tcPr>
                <w:tcW w:w="2915" w:type="dxa"/>
                <w:vAlign w:val="center"/>
              </w:tcPr>
              <w:p>
                <w:pPr>
                  <w:autoSpaceDE w:val="0"/>
                  <w:autoSpaceDN w:val="0"/>
                  <w:adjustRightInd w:val="0"/>
                  <w:snapToGrid w:val="0"/>
                  <w:spacing w:line="240" w:lineRule="atLeast"/>
                  <w:jc w:val="center"/>
                </w:pPr>
                <w:r>
                  <w:rPr>
                    <w:rFonts w:hint="eastAsia"/>
                  </w:rPr>
                  <w:t>本期发生额</w:t>
                </w:r>
              </w:p>
            </w:tc>
          </w:sdtContent>
        </w:sdt>
        <w:sdt>
          <w:sdtPr>
            <w:tag w:val="_PLD_6ba4cebdd5f34f0ebe4577174e11dd6c"/>
            <w:id w:val="1656574238"/>
          </w:sdtPr>
          <w:sdtContent>
            <w:tc>
              <w:tcPr>
                <w:tcW w:w="2734" w:type="dxa"/>
                <w:vAlign w:val="center"/>
              </w:tcPr>
              <w:p>
                <w:pPr>
                  <w:autoSpaceDE w:val="0"/>
                  <w:autoSpaceDN w:val="0"/>
                  <w:adjustRightInd w:val="0"/>
                  <w:snapToGrid w:val="0"/>
                  <w:spacing w:line="240" w:lineRule="atLeast"/>
                  <w:jc w:val="center"/>
                </w:pPr>
                <w:r>
                  <w:rPr>
                    <w:rFonts w:hint="eastAsia"/>
                  </w:rPr>
                  <w:t>上期发生额</w:t>
                </w:r>
              </w:p>
            </w:tc>
          </w:sdtContent>
        </w:sdt>
      </w:tr>
      <w:tr>
        <w:tc>
          <w:tcPr>
            <w:tcW w:w="3409" w:type="dxa"/>
          </w:tcPr>
          <w:p>
            <w:pPr>
              <w:autoSpaceDE w:val="0"/>
              <w:autoSpaceDN w:val="0"/>
              <w:adjustRightInd w:val="0"/>
              <w:snapToGrid w:val="0"/>
              <w:spacing w:line="240" w:lineRule="atLeast"/>
            </w:pPr>
            <w:r>
              <w:rPr>
                <w:rFonts w:hint="eastAsia"/>
              </w:rPr>
              <w:t>收回金融工具投资</w:t>
            </w:r>
          </w:p>
        </w:tc>
        <w:tc>
          <w:tcPr>
            <w:tcW w:w="2915" w:type="dxa"/>
            <w:vAlign w:val="center"/>
          </w:tcPr>
          <w:p>
            <w:pPr>
              <w:jc w:val="right"/>
              <w:rPr>
                <w:rFonts w:ascii="宋体" w:hAnsi="宋体"/>
              </w:rPr>
            </w:pPr>
            <w:r>
              <w:rPr>
                <w:rFonts w:ascii="宋体" w:hAnsi="宋体" w:hint="eastAsia"/>
              </w:rPr>
              <w:t>199,801</w:t>
            </w:r>
          </w:p>
        </w:tc>
        <w:tc>
          <w:tcPr>
            <w:tcW w:w="2734" w:type="dxa"/>
            <w:vAlign w:val="center"/>
          </w:tcPr>
          <w:p>
            <w:pPr>
              <w:jc w:val="right"/>
              <w:rPr>
                <w:rFonts w:ascii="宋体" w:hAnsi="宋体"/>
              </w:rPr>
            </w:pPr>
          </w:p>
        </w:tc>
      </w:tr>
      <w:tr>
        <w:tc>
          <w:tcPr>
            <w:tcW w:w="3409" w:type="dxa"/>
          </w:tcPr>
          <w:p>
            <w:pPr>
              <w:autoSpaceDE w:val="0"/>
              <w:autoSpaceDN w:val="0"/>
              <w:adjustRightInd w:val="0"/>
              <w:snapToGrid w:val="0"/>
              <w:spacing w:line="240" w:lineRule="atLeast"/>
            </w:pPr>
            <w:r>
              <w:rPr>
                <w:rFonts w:hint="eastAsia"/>
              </w:rPr>
              <w:t>关联方借款</w:t>
            </w:r>
          </w:p>
        </w:tc>
        <w:tc>
          <w:tcPr>
            <w:tcW w:w="2915" w:type="dxa"/>
            <w:vAlign w:val="center"/>
          </w:tcPr>
          <w:p>
            <w:pPr>
              <w:jc w:val="right"/>
              <w:rPr>
                <w:rFonts w:ascii="宋体" w:hAnsi="宋体"/>
              </w:rPr>
            </w:pPr>
            <w:r>
              <w:rPr>
                <w:rFonts w:ascii="宋体" w:hAnsi="宋体" w:hint="eastAsia"/>
              </w:rPr>
              <w:t>38,106</w:t>
            </w:r>
          </w:p>
        </w:tc>
        <w:tc>
          <w:tcPr>
            <w:tcW w:w="2734" w:type="dxa"/>
            <w:vAlign w:val="center"/>
          </w:tcPr>
          <w:p>
            <w:pPr>
              <w:jc w:val="right"/>
              <w:rPr>
                <w:rFonts w:ascii="宋体" w:hAnsi="宋体"/>
              </w:rPr>
            </w:pPr>
            <w:r>
              <w:rPr>
                <w:rFonts w:ascii="宋体" w:hAnsi="宋体" w:hint="eastAsia"/>
              </w:rPr>
              <w:t>854,112</w:t>
            </w:r>
          </w:p>
        </w:tc>
      </w:tr>
      <w:tr>
        <w:tc>
          <w:tcPr>
            <w:tcW w:w="3409" w:type="dxa"/>
          </w:tcPr>
          <w:p>
            <w:pPr>
              <w:autoSpaceDE w:val="0"/>
              <w:autoSpaceDN w:val="0"/>
              <w:adjustRightInd w:val="0"/>
              <w:snapToGrid w:val="0"/>
              <w:spacing w:line="240" w:lineRule="atLeast"/>
            </w:pPr>
            <w:r>
              <w:rPr>
                <w:rFonts w:hint="eastAsia"/>
              </w:rPr>
              <w:t>其他</w:t>
            </w:r>
          </w:p>
        </w:tc>
        <w:tc>
          <w:tcPr>
            <w:tcW w:w="2915" w:type="dxa"/>
            <w:vAlign w:val="center"/>
          </w:tcPr>
          <w:p>
            <w:pPr>
              <w:jc w:val="right"/>
              <w:rPr>
                <w:rFonts w:ascii="宋体" w:hAnsi="宋体"/>
              </w:rPr>
            </w:pPr>
            <w:r>
              <w:rPr>
                <w:rFonts w:ascii="宋体" w:hAnsi="宋体" w:hint="eastAsia"/>
              </w:rPr>
              <w:t>2,001,601</w:t>
            </w:r>
          </w:p>
        </w:tc>
        <w:tc>
          <w:tcPr>
            <w:tcW w:w="2734" w:type="dxa"/>
            <w:vAlign w:val="center"/>
          </w:tcPr>
          <w:p>
            <w:pPr>
              <w:jc w:val="right"/>
              <w:rPr>
                <w:rFonts w:ascii="宋体" w:hAnsi="宋体"/>
              </w:rPr>
            </w:pPr>
            <w:r>
              <w:rPr>
                <w:rFonts w:ascii="宋体" w:hAnsi="宋体" w:hint="eastAsia"/>
              </w:rPr>
              <w:t>89,276</w:t>
            </w:r>
          </w:p>
        </w:tc>
      </w:tr>
      <w:tr>
        <w:tc>
          <w:tcPr>
            <w:tcW w:w="3409" w:type="dxa"/>
            <w:vAlign w:val="center"/>
          </w:tcPr>
          <w:p>
            <w:pPr>
              <w:autoSpaceDE w:val="0"/>
              <w:autoSpaceDN w:val="0"/>
              <w:adjustRightInd w:val="0"/>
              <w:snapToGrid w:val="0"/>
              <w:spacing w:line="240" w:lineRule="atLeast"/>
              <w:jc w:val="center"/>
            </w:pPr>
            <w:r>
              <w:rPr>
                <w:rFonts w:hint="eastAsia"/>
              </w:rPr>
              <w:t>合计</w:t>
            </w:r>
          </w:p>
        </w:tc>
        <w:tc>
          <w:tcPr>
            <w:tcW w:w="2915" w:type="dxa"/>
            <w:vAlign w:val="center"/>
          </w:tcPr>
          <w:p>
            <w:pPr>
              <w:jc w:val="right"/>
              <w:rPr>
                <w:rFonts w:ascii="宋体" w:hAnsi="宋体"/>
              </w:rPr>
            </w:pPr>
            <w:r>
              <w:rPr>
                <w:rFonts w:ascii="宋体" w:hAnsi="宋体"/>
              </w:rPr>
              <w:t>2,239,508</w:t>
            </w:r>
          </w:p>
        </w:tc>
        <w:tc>
          <w:tcPr>
            <w:tcW w:w="2734" w:type="dxa"/>
            <w:vAlign w:val="center"/>
          </w:tcPr>
          <w:p>
            <w:pPr>
              <w:jc w:val="right"/>
              <w:rPr>
                <w:rFonts w:ascii="宋体" w:hAnsi="宋体"/>
              </w:rPr>
            </w:pPr>
            <w:r>
              <w:rPr>
                <w:rFonts w:ascii="宋体" w:hAnsi="宋体"/>
              </w:rPr>
              <w:t>943,388</w:t>
            </w:r>
          </w:p>
        </w:tc>
      </w:tr>
    </w:tbl>
    <w:p>
      <w:pPr>
        <w:snapToGrid w:val="0"/>
        <w:spacing w:before="60" w:after="60"/>
      </w:pPr>
      <w:r>
        <w:rPr>
          <w:rFonts w:hint="eastAsia"/>
        </w:rPr>
        <w:t>收到的其他与投资活动有关的现金说明：</w:t>
      </w:r>
    </w:p>
    <w:sdt>
      <w:sdtPr>
        <w:alias w:val="收到的其他与投资活动有关的现金说明"/>
        <w:tag w:val="_GBC_4f6584697d884cfd99a931a45c33cdac"/>
        <w:id w:val="1232196350"/>
        <w:placeholder>
          <w:docPart w:val="GBC22222222222222222222222222222"/>
        </w:placeholder>
      </w:sdtPr>
      <w:sdtContent>
        <w:p>
          <w:pPr>
            <w:snapToGrid w:val="0"/>
            <w:spacing w:line="240" w:lineRule="atLeast"/>
          </w:pPr>
          <w:r>
            <w:rPr>
              <w:rFonts w:hint="eastAsia"/>
            </w:rPr>
            <w:t>-</w:t>
          </w:r>
        </w:p>
      </w:sdtContent>
    </w:sdt>
    <w:p>
      <w:pPr>
        <w:pStyle w:val="Style217"/>
      </w:pPr>
    </w:p>
    <w:p>
      <w:pPr>
        <w:pStyle w:val="Style217"/>
      </w:pPr>
      <w:r>
        <w:rPr>
          <w:rFonts w:hint="eastAsia"/>
        </w:rPr>
        <w:t>支付的其他与投资活动有关的现金</w:t>
      </w:r>
    </w:p>
    <w:sdt>
      <w:sdtPr>
        <w:alias w:val="是否适用：支付的其他与投资活动有关的现金[双击切换]"/>
        <w:tag w:val="_GBC_c733aab18a804ecea142a329ce5180ba"/>
        <w:id w:val="-105962734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支付的其他与投资活动有关的现金"/>
          <w:tag w:val="_GBC_c9261a723e034bd4842ebc9aa57bb713"/>
          <w:id w:val="10289133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支付的其他与投资活动有关的现金"/>
          <w:tag w:val="_GBC_1ac8f59aa2ce48d0af7c6d580cad336c"/>
          <w:id w:val="9869680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916"/>
        <w:gridCol w:w="2732"/>
      </w:tblGrid>
      <w:tr>
        <w:sdt>
          <w:sdtPr>
            <w:tag w:val="_PLD_587dffb6cb394ed0abe3449c37ec4700"/>
            <w:id w:val="2008553096"/>
          </w:sdtPr>
          <w:sdtContent>
            <w:tc>
              <w:tcPr>
                <w:tcW w:w="3409" w:type="dxa"/>
                <w:vAlign w:val="center"/>
              </w:tcPr>
              <w:p>
                <w:pPr>
                  <w:autoSpaceDE w:val="0"/>
                  <w:autoSpaceDN w:val="0"/>
                  <w:adjustRightInd w:val="0"/>
                  <w:snapToGrid w:val="0"/>
                  <w:jc w:val="center"/>
                </w:pPr>
                <w:r>
                  <w:rPr>
                    <w:rFonts w:hint="eastAsia"/>
                  </w:rPr>
                  <w:t>项目</w:t>
                </w:r>
              </w:p>
            </w:tc>
          </w:sdtContent>
        </w:sdt>
        <w:sdt>
          <w:sdtPr>
            <w:tag w:val="_PLD_df7899e6c0274bae9f145af85a8eb277"/>
            <w:id w:val="-1418018324"/>
          </w:sdtPr>
          <w:sdtContent>
            <w:tc>
              <w:tcPr>
                <w:tcW w:w="2916" w:type="dxa"/>
                <w:vAlign w:val="center"/>
              </w:tcPr>
              <w:p>
                <w:pPr>
                  <w:autoSpaceDE w:val="0"/>
                  <w:autoSpaceDN w:val="0"/>
                  <w:adjustRightInd w:val="0"/>
                  <w:snapToGrid w:val="0"/>
                  <w:jc w:val="center"/>
                </w:pPr>
                <w:r>
                  <w:rPr>
                    <w:rFonts w:hint="eastAsia"/>
                  </w:rPr>
                  <w:t>本期发生额</w:t>
                </w:r>
              </w:p>
            </w:tc>
          </w:sdtContent>
        </w:sdt>
        <w:sdt>
          <w:sdtPr>
            <w:tag w:val="_PLD_f161b1c392e440818862ceb1761bb906"/>
            <w:id w:val="-790277116"/>
          </w:sdtPr>
          <w:sdtContent>
            <w:tc>
              <w:tcPr>
                <w:tcW w:w="2732" w:type="dxa"/>
                <w:vAlign w:val="center"/>
              </w:tcPr>
              <w:p>
                <w:pPr>
                  <w:autoSpaceDE w:val="0"/>
                  <w:autoSpaceDN w:val="0"/>
                  <w:adjustRightInd w:val="0"/>
                  <w:snapToGrid w:val="0"/>
                  <w:jc w:val="center"/>
                </w:pPr>
                <w:r>
                  <w:rPr>
                    <w:rFonts w:hint="eastAsia"/>
                  </w:rPr>
                  <w:t>上期发生额</w:t>
                </w:r>
              </w:p>
            </w:tc>
          </w:sdtContent>
        </w:sdt>
      </w:tr>
      <w:tr>
        <w:tc>
          <w:tcPr>
            <w:tcW w:w="3409" w:type="dxa"/>
          </w:tcPr>
          <w:p>
            <w:pPr>
              <w:autoSpaceDE w:val="0"/>
              <w:autoSpaceDN w:val="0"/>
              <w:adjustRightInd w:val="0"/>
              <w:snapToGrid w:val="0"/>
            </w:pPr>
            <w:r>
              <w:rPr>
                <w:rFonts w:hint="eastAsia"/>
              </w:rPr>
              <w:t>支付受限的定期存款</w:t>
            </w:r>
          </w:p>
        </w:tc>
        <w:tc>
          <w:tcPr>
            <w:tcW w:w="2916" w:type="dxa"/>
            <w:vAlign w:val="center"/>
          </w:tcPr>
          <w:p>
            <w:pPr>
              <w:jc w:val="right"/>
              <w:rPr>
                <w:rFonts w:ascii="宋体" w:hAnsi="宋体"/>
              </w:rPr>
            </w:pPr>
            <w:r>
              <w:rPr>
                <w:rFonts w:ascii="宋体" w:hAnsi="宋体" w:hint="eastAsia"/>
              </w:rPr>
              <w:t>420,000</w:t>
            </w:r>
          </w:p>
        </w:tc>
        <w:tc>
          <w:tcPr>
            <w:tcW w:w="2732" w:type="dxa"/>
            <w:vAlign w:val="center"/>
          </w:tcPr>
          <w:p>
            <w:pPr>
              <w:jc w:val="right"/>
              <w:rPr>
                <w:rFonts w:ascii="宋体" w:hAnsi="宋体"/>
              </w:rPr>
            </w:pPr>
            <w:r>
              <w:rPr>
                <w:rFonts w:ascii="宋体" w:hAnsi="宋体" w:hint="eastAsia"/>
              </w:rPr>
              <w:t>168,006</w:t>
            </w:r>
          </w:p>
        </w:tc>
      </w:tr>
      <w:tr>
        <w:tc>
          <w:tcPr>
            <w:tcW w:w="3409" w:type="dxa"/>
          </w:tcPr>
          <w:p>
            <w:pPr>
              <w:autoSpaceDE w:val="0"/>
              <w:autoSpaceDN w:val="0"/>
              <w:adjustRightInd w:val="0"/>
              <w:snapToGrid w:val="0"/>
            </w:pPr>
            <w:r>
              <w:rPr>
                <w:rFonts w:hint="eastAsia"/>
              </w:rPr>
              <w:t>支付保证金</w:t>
            </w:r>
          </w:p>
        </w:tc>
        <w:tc>
          <w:tcPr>
            <w:tcW w:w="2916" w:type="dxa"/>
            <w:vAlign w:val="center"/>
          </w:tcPr>
          <w:p>
            <w:pPr>
              <w:jc w:val="right"/>
              <w:rPr>
                <w:rFonts w:ascii="宋体" w:hAnsi="宋体"/>
              </w:rPr>
            </w:pPr>
            <w:r>
              <w:rPr>
                <w:rFonts w:ascii="宋体" w:hAnsi="宋体" w:hint="eastAsia"/>
              </w:rPr>
              <w:t>2,811,995</w:t>
            </w:r>
          </w:p>
        </w:tc>
        <w:tc>
          <w:tcPr>
            <w:tcW w:w="2732" w:type="dxa"/>
            <w:vAlign w:val="center"/>
          </w:tcPr>
          <w:p>
            <w:pPr>
              <w:jc w:val="right"/>
              <w:rPr>
                <w:rFonts w:ascii="宋体" w:hAnsi="宋体"/>
              </w:rPr>
            </w:pPr>
            <w:r>
              <w:rPr>
                <w:rFonts w:ascii="宋体" w:hAnsi="宋体" w:hint="eastAsia"/>
              </w:rPr>
              <w:t>48,503</w:t>
            </w:r>
          </w:p>
        </w:tc>
      </w:tr>
      <w:tr>
        <w:tc>
          <w:tcPr>
            <w:tcW w:w="3409" w:type="dxa"/>
          </w:tcPr>
          <w:p>
            <w:pPr>
              <w:autoSpaceDE w:val="0"/>
              <w:autoSpaceDN w:val="0"/>
              <w:adjustRightInd w:val="0"/>
              <w:snapToGrid w:val="0"/>
            </w:pPr>
            <w:r>
              <w:rPr>
                <w:rFonts w:hint="eastAsia"/>
              </w:rPr>
              <w:t>其他</w:t>
            </w:r>
          </w:p>
        </w:tc>
        <w:tc>
          <w:tcPr>
            <w:tcW w:w="2916" w:type="dxa"/>
            <w:vAlign w:val="center"/>
          </w:tcPr>
          <w:p>
            <w:pPr>
              <w:jc w:val="right"/>
              <w:rPr>
                <w:rFonts w:ascii="宋体" w:hAnsi="宋体"/>
              </w:rPr>
            </w:pPr>
            <w:r>
              <w:rPr>
                <w:rFonts w:ascii="宋体" w:hAnsi="宋体" w:hint="eastAsia"/>
              </w:rPr>
              <w:t>37,351</w:t>
            </w:r>
          </w:p>
        </w:tc>
        <w:tc>
          <w:tcPr>
            <w:tcW w:w="2732" w:type="dxa"/>
            <w:vAlign w:val="center"/>
          </w:tcPr>
          <w:p>
            <w:pPr>
              <w:jc w:val="right"/>
              <w:rPr>
                <w:rFonts w:ascii="宋体" w:hAnsi="宋体"/>
              </w:rPr>
            </w:pPr>
          </w:p>
        </w:tc>
      </w:tr>
      <w:tr>
        <w:tc>
          <w:tcPr>
            <w:tcW w:w="3409" w:type="dxa"/>
            <w:vAlign w:val="center"/>
          </w:tcPr>
          <w:p>
            <w:pPr>
              <w:autoSpaceDE w:val="0"/>
              <w:autoSpaceDN w:val="0"/>
              <w:adjustRightInd w:val="0"/>
              <w:snapToGrid w:val="0"/>
              <w:jc w:val="center"/>
            </w:pPr>
            <w:r>
              <w:rPr>
                <w:rFonts w:hint="eastAsia"/>
              </w:rPr>
              <w:t>合计</w:t>
            </w:r>
          </w:p>
        </w:tc>
        <w:tc>
          <w:tcPr>
            <w:tcW w:w="2916" w:type="dxa"/>
            <w:vAlign w:val="center"/>
          </w:tcPr>
          <w:p>
            <w:pPr>
              <w:jc w:val="right"/>
              <w:rPr>
                <w:rFonts w:ascii="宋体" w:hAnsi="宋体"/>
              </w:rPr>
            </w:pPr>
            <w:r>
              <w:rPr>
                <w:rFonts w:ascii="宋体" w:hAnsi="宋体"/>
              </w:rPr>
              <w:t>3,269,346</w:t>
            </w:r>
          </w:p>
        </w:tc>
        <w:tc>
          <w:tcPr>
            <w:tcW w:w="2732" w:type="dxa"/>
            <w:vAlign w:val="center"/>
          </w:tcPr>
          <w:p>
            <w:pPr>
              <w:jc w:val="right"/>
              <w:rPr>
                <w:rFonts w:ascii="宋体" w:hAnsi="宋体"/>
              </w:rPr>
            </w:pPr>
            <w:r>
              <w:rPr>
                <w:rFonts w:ascii="宋体" w:hAnsi="宋体"/>
              </w:rPr>
              <w:t>216,509</w:t>
            </w:r>
          </w:p>
        </w:tc>
      </w:tr>
    </w:tbl>
    <w:p>
      <w:pPr>
        <w:spacing w:before="60" w:after="60"/>
      </w:pPr>
      <w:r>
        <w:rPr>
          <w:rFonts w:hint="eastAsia"/>
        </w:rPr>
        <w:lastRenderedPageBreak/>
        <w:t>支付的其他与投资活动有关的现金说明：</w:t>
      </w:r>
    </w:p>
    <w:sdt>
      <w:sdtPr>
        <w:rPr>
          <w:rFonts w:hint="eastAsia"/>
        </w:rPr>
        <w:alias w:val="支付的其他与投资活动有关的现金说明"/>
        <w:tag w:val="_GBC_e94cfcc1a78341c4a50c9acc8c5c726c"/>
        <w:id w:val="2045478167"/>
        <w:placeholder>
          <w:docPart w:val="GBC22222222222222222222222222222"/>
        </w:placeholder>
      </w:sdtPr>
      <w:sdtContent>
        <w:p>
          <w:pPr>
            <w:pStyle w:val="Style217"/>
          </w:pPr>
          <w:r>
            <w:rPr>
              <w:rFonts w:hint="eastAsia"/>
            </w:rPr>
            <w:t>-</w:t>
          </w:r>
        </w:p>
      </w:sdtContent>
    </w:sdt>
    <w:p>
      <w:pPr>
        <w:pStyle w:val="Style217"/>
      </w:pPr>
    </w:p>
    <w:p>
      <w:pPr>
        <w:pStyle w:val="Style179"/>
        <w:numPr>
          <w:ilvl w:val="0"/>
          <w:numId w:val="111"/>
        </w:numPr>
        <w:ind w:left="426" w:hanging="426"/>
      </w:pPr>
      <w:r>
        <w:rPr>
          <w:rFonts w:hint="eastAsia"/>
        </w:rPr>
        <w:t>与筹资活动有关的现金</w:t>
      </w:r>
    </w:p>
    <w:p>
      <w:pPr>
        <w:pStyle w:val="Style217"/>
      </w:pPr>
      <w:r>
        <w:rPr>
          <w:rFonts w:hint="eastAsia"/>
        </w:rPr>
        <w:t>收到的其他与筹资活动有关的现金</w:t>
      </w:r>
    </w:p>
    <w:sdt>
      <w:sdtPr>
        <w:alias w:val="是否适用：收到的其他与筹资活动有关的现金[双击切换]"/>
        <w:tag w:val="_GBC_031910cf781944cf80900ffa99f7a9d7"/>
        <w:id w:val="48119898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收到的其他与筹资活动有关的现金"/>
          <w:tag w:val="_GBC_666160c9e7144e11b24beaa82a8d20a2"/>
          <w:id w:val="1601274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收到的其他与筹资活动有关的现金"/>
          <w:tag w:val="_GBC_5dbb9457a5854b088449e8b9e69e8c2e"/>
          <w:id w:val="5612225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916"/>
        <w:gridCol w:w="2732"/>
      </w:tblGrid>
      <w:tr>
        <w:sdt>
          <w:sdtPr>
            <w:tag w:val="_PLD_a77349a2c05f473b9ac20b64fc24179e"/>
            <w:id w:val="2052262766"/>
          </w:sdtPr>
          <w:sdtContent>
            <w:tc>
              <w:tcPr>
                <w:tcW w:w="3409" w:type="dxa"/>
                <w:vAlign w:val="center"/>
              </w:tcPr>
              <w:p>
                <w:pPr>
                  <w:autoSpaceDE w:val="0"/>
                  <w:autoSpaceDN w:val="0"/>
                  <w:adjustRightInd w:val="0"/>
                  <w:snapToGrid w:val="0"/>
                  <w:jc w:val="center"/>
                </w:pPr>
                <w:r>
                  <w:rPr>
                    <w:rFonts w:hint="eastAsia"/>
                  </w:rPr>
                  <w:t>项目</w:t>
                </w:r>
              </w:p>
            </w:tc>
          </w:sdtContent>
        </w:sdt>
        <w:sdt>
          <w:sdtPr>
            <w:tag w:val="_PLD_4f0ec6d40c994acb9eb5b3560f97c407"/>
            <w:id w:val="-1255430338"/>
          </w:sdtPr>
          <w:sdtContent>
            <w:tc>
              <w:tcPr>
                <w:tcW w:w="2916" w:type="dxa"/>
                <w:vAlign w:val="center"/>
              </w:tcPr>
              <w:p>
                <w:pPr>
                  <w:autoSpaceDE w:val="0"/>
                  <w:autoSpaceDN w:val="0"/>
                  <w:adjustRightInd w:val="0"/>
                  <w:snapToGrid w:val="0"/>
                  <w:jc w:val="center"/>
                </w:pPr>
                <w:r>
                  <w:rPr>
                    <w:rFonts w:hint="eastAsia"/>
                  </w:rPr>
                  <w:t>本期发生额</w:t>
                </w:r>
              </w:p>
            </w:tc>
          </w:sdtContent>
        </w:sdt>
        <w:sdt>
          <w:sdtPr>
            <w:tag w:val="_PLD_aa071ffac82040379300e6f5150e4ff7"/>
            <w:id w:val="1466702642"/>
          </w:sdtPr>
          <w:sdtContent>
            <w:tc>
              <w:tcPr>
                <w:tcW w:w="2732" w:type="dxa"/>
                <w:vAlign w:val="center"/>
              </w:tcPr>
              <w:p>
                <w:pPr>
                  <w:autoSpaceDE w:val="0"/>
                  <w:autoSpaceDN w:val="0"/>
                  <w:adjustRightInd w:val="0"/>
                  <w:snapToGrid w:val="0"/>
                  <w:jc w:val="center"/>
                </w:pPr>
                <w:r>
                  <w:rPr>
                    <w:rFonts w:hint="eastAsia"/>
                  </w:rPr>
                  <w:t>上期发生额</w:t>
                </w:r>
              </w:p>
            </w:tc>
          </w:sdtContent>
        </w:sdt>
      </w:tr>
      <w:tr>
        <w:tc>
          <w:tcPr>
            <w:tcW w:w="3409" w:type="dxa"/>
          </w:tcPr>
          <w:p>
            <w:pPr>
              <w:autoSpaceDE w:val="0"/>
              <w:autoSpaceDN w:val="0"/>
              <w:adjustRightInd w:val="0"/>
              <w:snapToGrid w:val="0"/>
            </w:pPr>
            <w:r>
              <w:rPr>
                <w:rFonts w:hint="eastAsia"/>
              </w:rPr>
              <w:t>关联方资金往来款</w:t>
            </w:r>
          </w:p>
        </w:tc>
        <w:tc>
          <w:tcPr>
            <w:tcW w:w="2916" w:type="dxa"/>
            <w:vAlign w:val="center"/>
          </w:tcPr>
          <w:p>
            <w:pPr>
              <w:jc w:val="right"/>
              <w:rPr>
                <w:rFonts w:ascii="宋体" w:hAnsi="宋体"/>
              </w:rPr>
            </w:pPr>
            <w:r>
              <w:rPr>
                <w:rFonts w:ascii="宋体" w:hAnsi="宋体" w:hint="eastAsia"/>
              </w:rPr>
              <w:t>1,000,000</w:t>
            </w:r>
          </w:p>
        </w:tc>
        <w:tc>
          <w:tcPr>
            <w:tcW w:w="2732" w:type="dxa"/>
            <w:vAlign w:val="center"/>
          </w:tcPr>
          <w:p>
            <w:pPr>
              <w:jc w:val="right"/>
              <w:rPr>
                <w:rFonts w:ascii="宋体" w:hAnsi="宋体"/>
              </w:rPr>
            </w:pPr>
            <w:r>
              <w:rPr>
                <w:rFonts w:ascii="宋体" w:hAnsi="宋体" w:hint="eastAsia"/>
              </w:rPr>
              <w:t>3,563,496</w:t>
            </w:r>
          </w:p>
        </w:tc>
      </w:tr>
      <w:tr>
        <w:tc>
          <w:tcPr>
            <w:tcW w:w="3409" w:type="dxa"/>
          </w:tcPr>
          <w:p>
            <w:pPr>
              <w:autoSpaceDE w:val="0"/>
              <w:autoSpaceDN w:val="0"/>
              <w:adjustRightInd w:val="0"/>
              <w:snapToGrid w:val="0"/>
            </w:pPr>
            <w:r>
              <w:rPr>
                <w:rFonts w:hint="eastAsia"/>
              </w:rPr>
              <w:t>售后回租</w:t>
            </w:r>
          </w:p>
        </w:tc>
        <w:tc>
          <w:tcPr>
            <w:tcW w:w="2916" w:type="dxa"/>
            <w:vAlign w:val="center"/>
          </w:tcPr>
          <w:p>
            <w:pPr>
              <w:jc w:val="right"/>
              <w:rPr>
                <w:rFonts w:ascii="宋体" w:hAnsi="宋体"/>
              </w:rPr>
            </w:pPr>
            <w:r>
              <w:rPr>
                <w:rFonts w:ascii="宋体" w:hAnsi="宋体" w:hint="eastAsia"/>
              </w:rPr>
              <w:t>91,120</w:t>
            </w:r>
          </w:p>
        </w:tc>
        <w:tc>
          <w:tcPr>
            <w:tcW w:w="2732" w:type="dxa"/>
            <w:vAlign w:val="center"/>
          </w:tcPr>
          <w:p>
            <w:pPr>
              <w:jc w:val="right"/>
              <w:rPr>
                <w:rFonts w:ascii="宋体" w:hAnsi="宋体"/>
              </w:rPr>
            </w:pPr>
            <w:r>
              <w:rPr>
                <w:rFonts w:ascii="宋体" w:hAnsi="宋体" w:hint="eastAsia"/>
              </w:rPr>
              <w:t>601,000</w:t>
            </w:r>
          </w:p>
        </w:tc>
      </w:tr>
      <w:tr>
        <w:tc>
          <w:tcPr>
            <w:tcW w:w="3409" w:type="dxa"/>
          </w:tcPr>
          <w:p>
            <w:pPr>
              <w:autoSpaceDE w:val="0"/>
              <w:autoSpaceDN w:val="0"/>
              <w:adjustRightInd w:val="0"/>
              <w:snapToGrid w:val="0"/>
            </w:pPr>
            <w:r>
              <w:rPr>
                <w:rFonts w:hint="eastAsia"/>
              </w:rPr>
              <w:t>收回法定存款保证金</w:t>
            </w:r>
          </w:p>
        </w:tc>
        <w:tc>
          <w:tcPr>
            <w:tcW w:w="2916" w:type="dxa"/>
            <w:vAlign w:val="center"/>
          </w:tcPr>
          <w:p>
            <w:pPr>
              <w:jc w:val="right"/>
              <w:rPr>
                <w:rFonts w:ascii="宋体" w:hAnsi="宋体"/>
              </w:rPr>
            </w:pPr>
          </w:p>
        </w:tc>
        <w:tc>
          <w:tcPr>
            <w:tcW w:w="2732" w:type="dxa"/>
            <w:vAlign w:val="center"/>
          </w:tcPr>
          <w:p>
            <w:pPr>
              <w:jc w:val="right"/>
              <w:rPr>
                <w:rFonts w:ascii="宋体" w:hAnsi="宋体"/>
              </w:rPr>
            </w:pPr>
            <w:r>
              <w:rPr>
                <w:rFonts w:ascii="宋体" w:hAnsi="宋体" w:hint="eastAsia"/>
              </w:rPr>
              <w:t>1,468,996</w:t>
            </w:r>
          </w:p>
        </w:tc>
      </w:tr>
      <w:tr>
        <w:tc>
          <w:tcPr>
            <w:tcW w:w="3409" w:type="dxa"/>
          </w:tcPr>
          <w:p>
            <w:pPr>
              <w:autoSpaceDE w:val="0"/>
              <w:autoSpaceDN w:val="0"/>
              <w:adjustRightInd w:val="0"/>
              <w:snapToGrid w:val="0"/>
            </w:pPr>
            <w:r>
              <w:rPr>
                <w:rFonts w:hint="eastAsia"/>
              </w:rPr>
              <w:t>其他</w:t>
            </w:r>
          </w:p>
        </w:tc>
        <w:tc>
          <w:tcPr>
            <w:tcW w:w="2916" w:type="dxa"/>
            <w:vAlign w:val="center"/>
          </w:tcPr>
          <w:p>
            <w:pPr>
              <w:jc w:val="right"/>
              <w:rPr>
                <w:rFonts w:ascii="宋体" w:hAnsi="宋体"/>
              </w:rPr>
            </w:pPr>
            <w:r>
              <w:rPr>
                <w:rFonts w:ascii="宋体" w:hAnsi="宋体" w:hint="eastAsia"/>
              </w:rPr>
              <w:t>499,170</w:t>
            </w:r>
          </w:p>
        </w:tc>
        <w:tc>
          <w:tcPr>
            <w:tcW w:w="2732" w:type="dxa"/>
            <w:vAlign w:val="center"/>
          </w:tcPr>
          <w:p>
            <w:pPr>
              <w:jc w:val="right"/>
              <w:rPr>
                <w:rFonts w:ascii="宋体" w:hAnsi="宋体"/>
              </w:rPr>
            </w:pPr>
            <w:r>
              <w:rPr>
                <w:rFonts w:ascii="宋体" w:hAnsi="宋体" w:hint="eastAsia"/>
              </w:rPr>
              <w:t>406,080</w:t>
            </w:r>
          </w:p>
        </w:tc>
      </w:tr>
      <w:tr>
        <w:tc>
          <w:tcPr>
            <w:tcW w:w="3409" w:type="dxa"/>
            <w:vAlign w:val="center"/>
          </w:tcPr>
          <w:p>
            <w:pPr>
              <w:autoSpaceDE w:val="0"/>
              <w:autoSpaceDN w:val="0"/>
              <w:adjustRightInd w:val="0"/>
              <w:snapToGrid w:val="0"/>
              <w:jc w:val="center"/>
            </w:pPr>
            <w:r>
              <w:rPr>
                <w:rFonts w:hint="eastAsia"/>
              </w:rPr>
              <w:t>合计</w:t>
            </w:r>
          </w:p>
        </w:tc>
        <w:tc>
          <w:tcPr>
            <w:tcW w:w="2916" w:type="dxa"/>
            <w:vAlign w:val="center"/>
          </w:tcPr>
          <w:p>
            <w:pPr>
              <w:jc w:val="right"/>
              <w:rPr>
                <w:rFonts w:ascii="宋体" w:hAnsi="宋体"/>
              </w:rPr>
            </w:pPr>
            <w:r>
              <w:rPr>
                <w:rFonts w:ascii="宋体" w:hAnsi="宋体"/>
              </w:rPr>
              <w:t>1,590,290</w:t>
            </w:r>
          </w:p>
        </w:tc>
        <w:tc>
          <w:tcPr>
            <w:tcW w:w="2732" w:type="dxa"/>
            <w:vAlign w:val="center"/>
          </w:tcPr>
          <w:p>
            <w:pPr>
              <w:jc w:val="right"/>
              <w:rPr>
                <w:rFonts w:ascii="宋体" w:hAnsi="宋体"/>
              </w:rPr>
            </w:pPr>
            <w:r>
              <w:rPr>
                <w:rFonts w:ascii="宋体" w:hAnsi="宋体"/>
              </w:rPr>
              <w:t>6,039,572</w:t>
            </w:r>
          </w:p>
        </w:tc>
      </w:tr>
    </w:tbl>
    <w:p>
      <w:pPr>
        <w:spacing w:before="60" w:after="60"/>
      </w:pPr>
      <w:r>
        <w:rPr>
          <w:rFonts w:hint="eastAsia"/>
        </w:rPr>
        <w:t>收到的其他与筹资活动有关的现金说明：</w:t>
      </w:r>
    </w:p>
    <w:sdt>
      <w:sdtPr>
        <w:rPr>
          <w:rFonts w:hint="eastAsia"/>
        </w:rPr>
        <w:alias w:val="收到的其他与筹资活动有关的现金说明"/>
        <w:tag w:val="_GBC_d2ec2a0599ab42678694df6c15643c4d"/>
        <w:id w:val="-1830277698"/>
        <w:placeholder>
          <w:docPart w:val="GBC22222222222222222222222222222"/>
        </w:placeholder>
      </w:sdtPr>
      <w:sdtEndPr>
        <w:rPr>
          <w:szCs w:val="22"/>
        </w:rPr>
      </w:sdtEndPr>
      <w:sdtContent>
        <w:p>
          <w:pPr>
            <w:pStyle w:val="Style217"/>
          </w:pPr>
          <w:r>
            <w:rPr>
              <w:rFonts w:hint="eastAsia"/>
            </w:rPr>
            <w:t>-</w:t>
          </w:r>
        </w:p>
      </w:sdtContent>
    </w:sdt>
    <w:p>
      <w:pPr>
        <w:pStyle w:val="Style217"/>
      </w:pPr>
    </w:p>
    <w:p>
      <w:pPr>
        <w:pStyle w:val="Style217"/>
      </w:pPr>
      <w:r>
        <w:rPr>
          <w:rFonts w:hint="eastAsia"/>
        </w:rPr>
        <w:t>支付的其他与筹资活动有关的现金</w:t>
      </w:r>
    </w:p>
    <w:sdt>
      <w:sdtPr>
        <w:alias w:val="是否适用：支付的其他与筹资活动有关的现金[双击切换]"/>
        <w:tag w:val="_GBC_fcc0d0c43a2d4fa88ca685f3e36f2f40"/>
        <w:id w:val="28416331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支付的其他与筹资活动有关的现金"/>
          <w:tag w:val="_GBC_f301b3c53ede43608ccf55c09ef288e7"/>
          <w:id w:val="-7705499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支付的其他与筹资活动有关的现金"/>
          <w:tag w:val="_GBC_462cc25e34014e2cb61c7b4f9232d7e5"/>
          <w:id w:val="-21197438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916"/>
        <w:gridCol w:w="2732"/>
      </w:tblGrid>
      <w:tr>
        <w:sdt>
          <w:sdtPr>
            <w:tag w:val="_PLD_e2db8e0335cc47fe9b6461eeb2befa7e"/>
            <w:id w:val="2143378475"/>
          </w:sdtPr>
          <w:sdtContent>
            <w:tc>
              <w:tcPr>
                <w:tcW w:w="3409" w:type="dxa"/>
                <w:vAlign w:val="center"/>
              </w:tcPr>
              <w:p>
                <w:pPr>
                  <w:autoSpaceDE w:val="0"/>
                  <w:autoSpaceDN w:val="0"/>
                  <w:adjustRightInd w:val="0"/>
                  <w:snapToGrid w:val="0"/>
                  <w:jc w:val="center"/>
                </w:pPr>
                <w:r>
                  <w:rPr>
                    <w:rFonts w:hint="eastAsia"/>
                  </w:rPr>
                  <w:t>项目</w:t>
                </w:r>
              </w:p>
            </w:tc>
          </w:sdtContent>
        </w:sdt>
        <w:sdt>
          <w:sdtPr>
            <w:tag w:val="_PLD_bb4a54a8a5be4a6691e4d59483217c64"/>
            <w:id w:val="592671570"/>
          </w:sdtPr>
          <w:sdtContent>
            <w:tc>
              <w:tcPr>
                <w:tcW w:w="2916" w:type="dxa"/>
                <w:vAlign w:val="center"/>
              </w:tcPr>
              <w:p>
                <w:pPr>
                  <w:autoSpaceDE w:val="0"/>
                  <w:autoSpaceDN w:val="0"/>
                  <w:adjustRightInd w:val="0"/>
                  <w:snapToGrid w:val="0"/>
                  <w:jc w:val="center"/>
                </w:pPr>
                <w:r>
                  <w:rPr>
                    <w:rFonts w:hint="eastAsia"/>
                  </w:rPr>
                  <w:t>本期发生额</w:t>
                </w:r>
              </w:p>
            </w:tc>
          </w:sdtContent>
        </w:sdt>
        <w:sdt>
          <w:sdtPr>
            <w:tag w:val="_PLD_a4930447bc4d450faf79f923eef8597b"/>
            <w:id w:val="1741285950"/>
          </w:sdtPr>
          <w:sdtContent>
            <w:tc>
              <w:tcPr>
                <w:tcW w:w="2732" w:type="dxa"/>
                <w:vAlign w:val="center"/>
              </w:tcPr>
              <w:p>
                <w:pPr>
                  <w:autoSpaceDE w:val="0"/>
                  <w:autoSpaceDN w:val="0"/>
                  <w:adjustRightInd w:val="0"/>
                  <w:snapToGrid w:val="0"/>
                  <w:jc w:val="center"/>
                </w:pPr>
                <w:r>
                  <w:rPr>
                    <w:rFonts w:hint="eastAsia"/>
                  </w:rPr>
                  <w:t>上期发生额</w:t>
                </w:r>
              </w:p>
            </w:tc>
          </w:sdtContent>
        </w:sdt>
      </w:tr>
      <w:tr>
        <w:tc>
          <w:tcPr>
            <w:tcW w:w="3409" w:type="dxa"/>
          </w:tcPr>
          <w:p>
            <w:pPr>
              <w:autoSpaceDE w:val="0"/>
              <w:autoSpaceDN w:val="0"/>
              <w:adjustRightInd w:val="0"/>
              <w:snapToGrid w:val="0"/>
            </w:pPr>
            <w:r>
              <w:rPr>
                <w:rFonts w:hint="eastAsia"/>
              </w:rPr>
              <w:t>同一控制下企业合并股权转让款</w:t>
            </w:r>
          </w:p>
        </w:tc>
        <w:tc>
          <w:tcPr>
            <w:tcW w:w="2916" w:type="dxa"/>
            <w:vAlign w:val="center"/>
          </w:tcPr>
          <w:p>
            <w:pPr>
              <w:jc w:val="right"/>
              <w:rPr>
                <w:rFonts w:ascii="宋体" w:hAnsi="宋体"/>
              </w:rPr>
            </w:pPr>
            <w:r>
              <w:rPr>
                <w:rFonts w:ascii="宋体" w:hAnsi="宋体"/>
              </w:rPr>
              <w:t>4,663,541</w:t>
            </w:r>
          </w:p>
        </w:tc>
        <w:tc>
          <w:tcPr>
            <w:tcW w:w="2732" w:type="dxa"/>
            <w:vAlign w:val="center"/>
          </w:tcPr>
          <w:p>
            <w:pPr>
              <w:jc w:val="right"/>
              <w:rPr>
                <w:rFonts w:ascii="宋体" w:hAnsi="宋体"/>
              </w:rPr>
            </w:pPr>
            <w:r>
              <w:rPr>
                <w:rFonts w:ascii="宋体" w:hAnsi="宋体" w:hint="eastAsia"/>
              </w:rPr>
              <w:t>10,057,794</w:t>
            </w:r>
          </w:p>
        </w:tc>
      </w:tr>
      <w:tr>
        <w:tc>
          <w:tcPr>
            <w:tcW w:w="3409" w:type="dxa"/>
          </w:tcPr>
          <w:p>
            <w:pPr>
              <w:autoSpaceDE w:val="0"/>
              <w:autoSpaceDN w:val="0"/>
              <w:adjustRightInd w:val="0"/>
              <w:snapToGrid w:val="0"/>
            </w:pPr>
            <w:r>
              <w:rPr>
                <w:rFonts w:hint="eastAsia"/>
              </w:rPr>
              <w:t>偿还永续债</w:t>
            </w:r>
          </w:p>
        </w:tc>
        <w:tc>
          <w:tcPr>
            <w:tcW w:w="2916" w:type="dxa"/>
            <w:vAlign w:val="center"/>
          </w:tcPr>
          <w:p>
            <w:pPr>
              <w:jc w:val="right"/>
              <w:rPr>
                <w:rFonts w:ascii="宋体" w:hAnsi="宋体"/>
              </w:rPr>
            </w:pPr>
            <w:r>
              <w:rPr>
                <w:rFonts w:ascii="宋体" w:hAnsi="宋体" w:hint="eastAsia"/>
              </w:rPr>
              <w:t>10,138,200</w:t>
            </w:r>
          </w:p>
        </w:tc>
        <w:tc>
          <w:tcPr>
            <w:tcW w:w="2732" w:type="dxa"/>
            <w:vAlign w:val="center"/>
          </w:tcPr>
          <w:p>
            <w:pPr>
              <w:jc w:val="right"/>
              <w:rPr>
                <w:rFonts w:ascii="宋体" w:hAnsi="宋体"/>
              </w:rPr>
            </w:pPr>
            <w:r>
              <w:rPr>
                <w:rFonts w:ascii="宋体" w:hAnsi="宋体" w:hint="eastAsia"/>
              </w:rPr>
              <w:t>6,300,000</w:t>
            </w:r>
          </w:p>
        </w:tc>
      </w:tr>
      <w:tr>
        <w:tc>
          <w:tcPr>
            <w:tcW w:w="3409" w:type="dxa"/>
          </w:tcPr>
          <w:p>
            <w:pPr>
              <w:autoSpaceDE w:val="0"/>
              <w:autoSpaceDN w:val="0"/>
              <w:adjustRightInd w:val="0"/>
              <w:snapToGrid w:val="0"/>
            </w:pPr>
            <w:r>
              <w:rPr>
                <w:rFonts w:hint="eastAsia"/>
              </w:rPr>
              <w:t>关联方资金往来款</w:t>
            </w:r>
          </w:p>
        </w:tc>
        <w:tc>
          <w:tcPr>
            <w:tcW w:w="2916" w:type="dxa"/>
            <w:vAlign w:val="center"/>
          </w:tcPr>
          <w:p>
            <w:pPr>
              <w:jc w:val="right"/>
              <w:rPr>
                <w:rFonts w:ascii="宋体" w:hAnsi="宋体"/>
              </w:rPr>
            </w:pPr>
            <w:r>
              <w:rPr>
                <w:rFonts w:ascii="宋体" w:hAnsi="宋体"/>
              </w:rPr>
              <w:t>5,086,712</w:t>
            </w:r>
          </w:p>
        </w:tc>
        <w:tc>
          <w:tcPr>
            <w:tcW w:w="2732" w:type="dxa"/>
            <w:vAlign w:val="center"/>
          </w:tcPr>
          <w:p>
            <w:pPr>
              <w:jc w:val="right"/>
              <w:rPr>
                <w:rFonts w:ascii="宋体" w:hAnsi="宋体"/>
              </w:rPr>
            </w:pPr>
            <w:r>
              <w:rPr>
                <w:rFonts w:ascii="宋体" w:hAnsi="宋体" w:hint="eastAsia"/>
              </w:rPr>
              <w:t>3,606,617</w:t>
            </w:r>
          </w:p>
        </w:tc>
      </w:tr>
      <w:tr>
        <w:tc>
          <w:tcPr>
            <w:tcW w:w="3409" w:type="dxa"/>
          </w:tcPr>
          <w:p>
            <w:pPr>
              <w:autoSpaceDE w:val="0"/>
              <w:autoSpaceDN w:val="0"/>
              <w:adjustRightInd w:val="0"/>
              <w:snapToGrid w:val="0"/>
            </w:pPr>
            <w:r>
              <w:rPr>
                <w:rFonts w:hint="eastAsia"/>
              </w:rPr>
              <w:t>支付融资租赁款</w:t>
            </w:r>
          </w:p>
        </w:tc>
        <w:tc>
          <w:tcPr>
            <w:tcW w:w="2916" w:type="dxa"/>
            <w:vAlign w:val="center"/>
          </w:tcPr>
          <w:p>
            <w:pPr>
              <w:jc w:val="right"/>
              <w:rPr>
                <w:rFonts w:ascii="宋体" w:hAnsi="宋体"/>
              </w:rPr>
            </w:pPr>
            <w:r>
              <w:rPr>
                <w:rFonts w:ascii="宋体" w:hAnsi="宋体"/>
              </w:rPr>
              <w:t>1,669,584</w:t>
            </w:r>
          </w:p>
        </w:tc>
        <w:tc>
          <w:tcPr>
            <w:tcW w:w="2732" w:type="dxa"/>
            <w:vAlign w:val="center"/>
          </w:tcPr>
          <w:p>
            <w:pPr>
              <w:jc w:val="right"/>
              <w:rPr>
                <w:rFonts w:ascii="宋体" w:hAnsi="宋体"/>
              </w:rPr>
            </w:pPr>
            <w:r>
              <w:rPr>
                <w:rFonts w:ascii="宋体" w:hAnsi="宋体" w:hint="eastAsia"/>
              </w:rPr>
              <w:t>1,297,911</w:t>
            </w:r>
          </w:p>
        </w:tc>
      </w:tr>
      <w:tr>
        <w:tc>
          <w:tcPr>
            <w:tcW w:w="3409" w:type="dxa"/>
          </w:tcPr>
          <w:p>
            <w:pPr>
              <w:autoSpaceDE w:val="0"/>
              <w:autoSpaceDN w:val="0"/>
              <w:adjustRightInd w:val="0"/>
              <w:snapToGrid w:val="0"/>
            </w:pPr>
            <w:r>
              <w:rPr>
                <w:rFonts w:hint="eastAsia"/>
              </w:rPr>
              <w:t>债券、保函等费用</w:t>
            </w:r>
          </w:p>
        </w:tc>
        <w:tc>
          <w:tcPr>
            <w:tcW w:w="2916" w:type="dxa"/>
            <w:vAlign w:val="center"/>
          </w:tcPr>
          <w:p>
            <w:pPr>
              <w:jc w:val="right"/>
              <w:rPr>
                <w:rFonts w:ascii="宋体" w:hAnsi="宋体"/>
              </w:rPr>
            </w:pPr>
            <w:r>
              <w:rPr>
                <w:rFonts w:ascii="宋体" w:hAnsi="宋体" w:hint="eastAsia"/>
              </w:rPr>
              <w:t>475,</w:t>
            </w:r>
            <w:r>
              <w:rPr>
                <w:rFonts w:ascii="宋体" w:hAnsi="宋体"/>
              </w:rPr>
              <w:t>392</w:t>
            </w:r>
          </w:p>
        </w:tc>
        <w:tc>
          <w:tcPr>
            <w:tcW w:w="2732" w:type="dxa"/>
            <w:vAlign w:val="center"/>
          </w:tcPr>
          <w:p>
            <w:pPr>
              <w:jc w:val="right"/>
              <w:rPr>
                <w:rFonts w:ascii="宋体" w:hAnsi="宋体"/>
              </w:rPr>
            </w:pPr>
            <w:r>
              <w:rPr>
                <w:rFonts w:ascii="宋体" w:hAnsi="宋体" w:hint="eastAsia"/>
              </w:rPr>
              <w:t>197,435</w:t>
            </w:r>
          </w:p>
        </w:tc>
      </w:tr>
      <w:tr>
        <w:tc>
          <w:tcPr>
            <w:tcW w:w="3409" w:type="dxa"/>
          </w:tcPr>
          <w:p>
            <w:pPr>
              <w:autoSpaceDE w:val="0"/>
              <w:autoSpaceDN w:val="0"/>
              <w:adjustRightInd w:val="0"/>
              <w:snapToGrid w:val="0"/>
            </w:pPr>
            <w:r>
              <w:rPr>
                <w:rFonts w:hint="eastAsia"/>
              </w:rPr>
              <w:t>股票回购</w:t>
            </w:r>
          </w:p>
        </w:tc>
        <w:tc>
          <w:tcPr>
            <w:tcW w:w="2916" w:type="dxa"/>
            <w:vAlign w:val="center"/>
          </w:tcPr>
          <w:p>
            <w:pPr>
              <w:jc w:val="right"/>
              <w:rPr>
                <w:rFonts w:ascii="宋体" w:hAnsi="宋体"/>
              </w:rPr>
            </w:pPr>
            <w:r>
              <w:rPr>
                <w:rFonts w:ascii="宋体" w:hAnsi="宋体" w:hint="eastAsia"/>
              </w:rPr>
              <w:t>5,443</w:t>
            </w:r>
          </w:p>
        </w:tc>
        <w:tc>
          <w:tcPr>
            <w:tcW w:w="2732" w:type="dxa"/>
            <w:vAlign w:val="center"/>
          </w:tcPr>
          <w:p>
            <w:pPr>
              <w:jc w:val="right"/>
              <w:rPr>
                <w:rFonts w:ascii="宋体" w:hAnsi="宋体"/>
              </w:rPr>
            </w:pPr>
            <w:r>
              <w:rPr>
                <w:rFonts w:ascii="宋体" w:hAnsi="宋体" w:hint="eastAsia"/>
              </w:rPr>
              <w:t>83,517</w:t>
            </w:r>
          </w:p>
        </w:tc>
      </w:tr>
      <w:tr>
        <w:tc>
          <w:tcPr>
            <w:tcW w:w="3409" w:type="dxa"/>
            <w:vAlign w:val="center"/>
          </w:tcPr>
          <w:p>
            <w:pPr>
              <w:autoSpaceDE w:val="0"/>
              <w:autoSpaceDN w:val="0"/>
              <w:adjustRightInd w:val="0"/>
              <w:snapToGrid w:val="0"/>
              <w:jc w:val="center"/>
            </w:pPr>
            <w:r>
              <w:rPr>
                <w:rFonts w:hint="eastAsia"/>
              </w:rPr>
              <w:t>合计</w:t>
            </w:r>
          </w:p>
        </w:tc>
        <w:tc>
          <w:tcPr>
            <w:tcW w:w="2916" w:type="dxa"/>
            <w:vAlign w:val="center"/>
          </w:tcPr>
          <w:p>
            <w:pPr>
              <w:jc w:val="right"/>
              <w:rPr>
                <w:rFonts w:ascii="宋体" w:hAnsi="宋体"/>
              </w:rPr>
            </w:pPr>
            <w:r>
              <w:rPr>
                <w:rFonts w:ascii="宋体" w:hAnsi="宋体"/>
              </w:rPr>
              <w:t>22,038,872</w:t>
            </w:r>
          </w:p>
        </w:tc>
        <w:tc>
          <w:tcPr>
            <w:tcW w:w="2732" w:type="dxa"/>
            <w:vAlign w:val="center"/>
          </w:tcPr>
          <w:p>
            <w:pPr>
              <w:jc w:val="right"/>
              <w:rPr>
                <w:rFonts w:ascii="宋体" w:hAnsi="宋体"/>
              </w:rPr>
            </w:pPr>
            <w:r>
              <w:rPr>
                <w:rFonts w:ascii="宋体" w:hAnsi="宋体"/>
              </w:rPr>
              <w:t>21,543,274</w:t>
            </w:r>
          </w:p>
        </w:tc>
      </w:tr>
    </w:tbl>
    <w:p>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154834114"/>
        <w:placeholder>
          <w:docPart w:val="GBC22222222222222222222222222222"/>
        </w:placeholder>
      </w:sdtPr>
      <w:sdtContent>
        <w:p>
          <w:pPr>
            <w:ind w:right="5"/>
            <w:rPr>
              <w:rFonts w:asciiTheme="minorHAnsi" w:hAnsiTheme="minorHAnsi" w:cstheme="minorBidi"/>
              <w:kern w:val="2"/>
              <w:szCs w:val="22"/>
            </w:rPr>
          </w:pPr>
          <w:r>
            <w:rPr>
              <w:rFonts w:hint="eastAsia"/>
            </w:rPr>
            <w:t>-</w:t>
          </w:r>
        </w:p>
      </w:sdtContent>
    </w:sdt>
    <w:p>
      <w:pPr>
        <w:ind w:right="5"/>
      </w:pPr>
    </w:p>
    <w:p>
      <w:pPr>
        <w:ind w:right="5"/>
      </w:pPr>
      <w:r>
        <w:rPr>
          <w:rFonts w:hint="eastAsia"/>
        </w:rPr>
        <w:t>筹资活动产生的各项负债变动情况</w:t>
      </w:r>
    </w:p>
    <w:sdt>
      <w:sdtPr>
        <w:alias w:val="是否适用：筹资活动产生的各项负债变动情况[双击切换]"/>
        <w:tag w:val="_GBC_6935418490e145edaf7010b5534b8d6c"/>
        <w:id w:val="74615882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11"/>
        </w:numPr>
        <w:ind w:left="426" w:hanging="426"/>
      </w:pPr>
      <w:r>
        <w:rPr>
          <w:rFonts w:hint="eastAsia"/>
        </w:rPr>
        <w:t>以净额列报现金流量的说明</w:t>
      </w:r>
    </w:p>
    <w:sdt>
      <w:sdtPr>
        <w:alias w:val="是否适用：以净额列报现金流量的说明[双击切换]"/>
        <w:tag w:val="_GBC_3444590230dd455c82f347bceb8bbf05"/>
        <w:id w:val="55181982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11"/>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103333939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right="5"/>
        <w:rPr>
          <w:rFonts w:ascii="Calibri" w:hAnsi="Calibri"/>
          <w:kern w:val="2"/>
          <w:szCs w:val="22"/>
        </w:rPr>
      </w:pPr>
    </w:p>
    <w:p>
      <w:pPr>
        <w:pStyle w:val="Style178"/>
        <w:numPr>
          <w:ilvl w:val="0"/>
          <w:numId w:val="75"/>
        </w:numPr>
        <w:rPr>
          <w:szCs w:val="21"/>
        </w:rPr>
      </w:pPr>
      <w:r>
        <w:rPr>
          <w:szCs w:val="21"/>
        </w:rPr>
        <w:t>现金流量表补充资料</w:t>
      </w:r>
    </w:p>
    <w:p>
      <w:pPr>
        <w:pStyle w:val="Style179"/>
        <w:numPr>
          <w:ilvl w:val="0"/>
          <w:numId w:val="112"/>
        </w:numPr>
      </w:pPr>
      <w:r>
        <w:rPr>
          <w:rFonts w:hint="eastAsia"/>
        </w:rPr>
        <w:t>现金流量表补充资料</w:t>
      </w:r>
    </w:p>
    <w:sdt>
      <w:sdtPr>
        <w:rPr>
          <w:rFonts w:hint="eastAsia"/>
        </w:rPr>
        <w:alias w:val="是否适用：现金流量表补充资料[双击切换]"/>
        <w:tag w:val="_GBC_f77ea662869c431fa9c3cd98fccb529c"/>
        <w:id w:val="87813137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现金流量表补充资料"/>
          <w:tag w:val="_GBC_816fc4f2c97b4b12911114202247ee82"/>
          <w:id w:val="-10238605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现金流量表补充资料"/>
          <w:tag w:val="_GBC_d5067beb6bda4f61b5520807661734bf"/>
          <w:id w:val="18133677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82"/>
        <w:gridCol w:w="2799"/>
        <w:gridCol w:w="2768"/>
      </w:tblGrid>
      <w:tr>
        <w:sdt>
          <w:sdtPr>
            <w:tag w:val="_PLD_39bfd38318b44efe9fa609ad19a8685a"/>
            <w:id w:val="1407497620"/>
          </w:sdtPr>
          <w:sdtContent>
            <w:tc>
              <w:tcPr>
                <w:tcW w:w="3482" w:type="dxa"/>
                <w:tcBorders>
                  <w:top w:val="single" w:sz="4" w:space="0" w:color="auto"/>
                  <w:left w:val="single" w:sz="4" w:space="0" w:color="auto"/>
                  <w:bottom w:val="single" w:sz="4" w:space="0" w:color="auto"/>
                  <w:right w:val="single" w:sz="4" w:space="0" w:color="auto"/>
                </w:tcBorders>
                <w:vAlign w:val="center"/>
              </w:tcPr>
              <w:p>
                <w:pPr>
                  <w:jc w:val="center"/>
                  <w:rPr>
                    <w:bCs/>
                  </w:rPr>
                </w:pPr>
                <w:r>
                  <w:rPr>
                    <w:rFonts w:hint="eastAsia"/>
                    <w:bCs/>
                  </w:rPr>
                  <w:t>补充资料</w:t>
                </w:r>
              </w:p>
            </w:tc>
          </w:sdtContent>
        </w:sdt>
        <w:sdt>
          <w:sdtPr>
            <w:tag w:val="_PLD_8ef3863737f6403496cc160c411b0b03"/>
            <w:id w:val="1301502342"/>
          </w:sdtPr>
          <w:sdtContent>
            <w:tc>
              <w:tcPr>
                <w:tcW w:w="279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本期金额</w:t>
                </w:r>
              </w:p>
            </w:tc>
          </w:sdtContent>
        </w:sdt>
        <w:sdt>
          <w:sdtPr>
            <w:tag w:val="_PLD_73eb01f791e44a84b1edbc96aa42b3f3"/>
            <w:id w:val="-1097557139"/>
          </w:sdtPr>
          <w:sdtContent>
            <w:tc>
              <w:tcPr>
                <w:tcW w:w="2768"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上期金额</w:t>
                </w:r>
              </w:p>
            </w:tc>
          </w:sdtContent>
        </w:sdt>
      </w:tr>
      <w:tr>
        <w:sdt>
          <w:sdtPr>
            <w:tag w:val="_PLD_c6db035658bd4a67bcf46ade47da315d"/>
            <w:id w:val="338823425"/>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pPr>
                  <w:jc w:val="both"/>
                  <w:rPr>
                    <w:b/>
                  </w:rPr>
                </w:pPr>
                <w:r>
                  <w:rPr>
                    <w:b/>
                    <w:bCs/>
                  </w:rPr>
                  <w:t>1</w:t>
                </w:r>
                <w:r>
                  <w:rPr>
                    <w:rFonts w:hint="eastAsia"/>
                    <w:b/>
                    <w:bCs/>
                  </w:rPr>
                  <w:t>．将净利润调节为经营活动现金流量：</w:t>
                </w:r>
              </w:p>
            </w:tc>
          </w:sdtContent>
        </w:sdt>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净利润</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14,225,701</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22,065,854</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加：资产减值损失</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72,628</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130,733</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信用减值准备</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-3,445</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584,143</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固定资产折旧</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13,968,47</w:t>
            </w:r>
            <w:r>
              <w:rPr>
                <w:rFonts w:ascii="宋体" w:hAnsi="宋体" w:hint="eastAsia"/>
              </w:rPr>
              <w:t>9</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13,961,392</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使用权资产折旧</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246,493</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249,812</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无形资产摊销</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2,5</w:t>
            </w:r>
            <w:r>
              <w:rPr>
                <w:rFonts w:ascii="宋体" w:hAnsi="宋体" w:hint="eastAsia"/>
              </w:rPr>
              <w:t>50</w:t>
            </w:r>
            <w:r>
              <w:rPr>
                <w:rFonts w:ascii="宋体" w:hAnsi="宋体"/>
              </w:rPr>
              <w:t>,</w:t>
            </w:r>
            <w:r>
              <w:rPr>
                <w:rFonts w:ascii="宋体" w:hAnsi="宋体" w:hint="eastAsia"/>
              </w:rPr>
              <w:t>373</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2,765,759</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长期待摊费用摊销</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504,382</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511,920</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股份支付</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84,459</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159,327</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专项储备</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-28,744</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-522,464</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处置固定资产、无形资产和其他长期资产的损失（收益以“-”填列）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-989,338</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94,386</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固定资产报废损失（收益以“-”填列）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-58,284</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62,917</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公允价值变动损益（收益以“-”填列）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4,022</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57,092</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净敞口套期收益（收益以"-"填列）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236,100</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586,825</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财务费用（收益以“-”填列）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4,343,837</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3,716,632</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投资损失（收益以“-”填列）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-2,245,356</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-2,504,924</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收购利得（收益以“-”填列）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-134,675</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递延所得税资产的减少（增加以“-”填列）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110,022</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415,704</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递延所得税负债的增加（减少以“-”填列）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-306,328</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-230,212</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存货的减少（增加以“-”填列）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239,527</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16,582</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经营性应收项目的减少（增加以“-”填列）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-9,792,346</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-6,356,208</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经营性应付项目的增加（减少以“-”填列）</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-3,6</w:t>
            </w:r>
            <w:r>
              <w:rPr>
                <w:rFonts w:ascii="宋体" w:hAnsi="宋体" w:hint="eastAsia"/>
              </w:rPr>
              <w:t>77</w:t>
            </w:r>
            <w:r>
              <w:rPr>
                <w:rFonts w:ascii="宋体" w:hAnsi="宋体"/>
              </w:rPr>
              <w:t>,</w:t>
            </w:r>
            <w:r>
              <w:rPr>
                <w:rFonts w:ascii="宋体" w:hAnsi="宋体" w:hint="eastAsia"/>
              </w:rPr>
              <w:t>388</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-9,793,449</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其他</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14,866</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经营活动产生的现金流量净额</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19,484,794</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25,852,012</w:t>
            </w:r>
          </w:p>
        </w:tc>
      </w:tr>
      <w:tr>
        <w:sdt>
          <w:sdtPr>
            <w:tag w:val="_PLD_4b9bf22c7a64477db916821f6ee032d7"/>
            <w:id w:val="-1394505375"/>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pPr>
                  <w:pStyle w:val="Style217"/>
                </w:pPr>
                <w:r>
                  <w:t>2</w:t>
                </w:r>
                <w:r>
                  <w:rPr>
                    <w:rFonts w:hint="eastAsia"/>
                  </w:rPr>
                  <w:t>．不涉及现金收支的重大投资和筹资活动：</w:t>
                </w:r>
              </w:p>
            </w:tc>
          </w:sdtContent>
        </w:sdt>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债务转为资本</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pPr>
          </w:p>
        </w:tc>
        <w:tc>
          <w:tcPr>
            <w:tcW w:w="2768" w:type="dxa"/>
            <w:tcBorders>
              <w:top w:val="outset" w:sz="4" w:space="0" w:color="auto"/>
              <w:left w:val="outset" w:sz="4" w:space="0" w:color="auto"/>
              <w:bottom w:val="outset" w:sz="4" w:space="0" w:color="auto"/>
              <w:right w:val="outset" w:sz="4" w:space="0" w:color="auto"/>
            </w:tcBorders>
            <w:vAlign w:val="center"/>
          </w:tcPr>
          <w:p>
            <w:pPr>
              <w:jc w:val="right"/>
            </w:pP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一年内到期的可转换公司债券</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pPr>
          </w:p>
        </w:tc>
        <w:tc>
          <w:tcPr>
            <w:tcW w:w="2768" w:type="dxa"/>
            <w:tcBorders>
              <w:top w:val="outset" w:sz="4" w:space="0" w:color="auto"/>
              <w:left w:val="outset" w:sz="4" w:space="0" w:color="auto"/>
              <w:bottom w:val="outset" w:sz="4" w:space="0" w:color="auto"/>
              <w:right w:val="outset" w:sz="4" w:space="0" w:color="auto"/>
            </w:tcBorders>
            <w:vAlign w:val="center"/>
          </w:tcPr>
          <w:p>
            <w:pPr>
              <w:jc w:val="right"/>
            </w:pP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融资租入固定资产</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pPr>
          </w:p>
        </w:tc>
        <w:tc>
          <w:tcPr>
            <w:tcW w:w="2768" w:type="dxa"/>
            <w:tcBorders>
              <w:top w:val="outset" w:sz="4" w:space="0" w:color="auto"/>
              <w:left w:val="outset" w:sz="4" w:space="0" w:color="auto"/>
              <w:bottom w:val="outset" w:sz="4" w:space="0" w:color="auto"/>
              <w:right w:val="outset" w:sz="4" w:space="0" w:color="auto"/>
            </w:tcBorders>
            <w:vAlign w:val="center"/>
          </w:tcPr>
          <w:p>
            <w:pPr>
              <w:jc w:val="right"/>
            </w:pPr>
          </w:p>
        </w:tc>
      </w:tr>
      <w:tr>
        <w:sdt>
          <w:sdtPr>
            <w:tag w:val="_PLD_b32f2ba3b4a94101978cc22144b58749"/>
            <w:id w:val="-1625224425"/>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pPr>
                  <w:pStyle w:val="Style217"/>
                </w:pPr>
                <w:r>
                  <w:t>3</w:t>
                </w:r>
                <w:r>
                  <w:rPr>
                    <w:rFonts w:hint="eastAsia"/>
                  </w:rPr>
                  <w:t>．现金及现金等价物净变动情况：</w:t>
                </w:r>
              </w:p>
            </w:tc>
          </w:sdtContent>
        </w:sdt>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现金的期末余额</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26,676,555</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r>
              <w:rPr>
                <w:rFonts w:ascii="宋体" w:hAnsi="宋体"/>
              </w:rPr>
              <w:t>31,485,290</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减：现金的期初余额</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bCs/>
              </w:rPr>
            </w:pPr>
            <w:r>
              <w:rPr>
                <w:rFonts w:ascii="宋体" w:hAnsi="宋体"/>
              </w:rPr>
              <w:t>31,485,290</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bCs/>
              </w:rPr>
            </w:pPr>
            <w:r>
              <w:rPr>
                <w:rFonts w:ascii="宋体" w:hAnsi="宋体"/>
              </w:rPr>
              <w:t>30,948,414</w:t>
            </w: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加：现金等价物的期末余额</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rPr>
            </w:pP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减：现金等价物的期初余额</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bCs/>
              </w:rPr>
            </w:pP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bCs/>
              </w:rPr>
            </w:pPr>
          </w:p>
        </w:tc>
      </w:tr>
      <w:tr>
        <w:tc>
          <w:tcPr>
            <w:tcW w:w="348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现金及现金等价物净增加额</w:t>
            </w:r>
          </w:p>
        </w:tc>
        <w:tc>
          <w:tcPr>
            <w:tcW w:w="2799" w:type="dxa"/>
            <w:tcBorders>
              <w:top w:val="outset" w:sz="4" w:space="0" w:color="auto"/>
              <w:left w:val="single" w:sz="4" w:space="0" w:color="auto"/>
              <w:bottom w:val="outset" w:sz="4" w:space="0" w:color="auto"/>
              <w:right w:val="outset" w:sz="4" w:space="0" w:color="auto"/>
            </w:tcBorders>
            <w:vAlign w:val="center"/>
          </w:tcPr>
          <w:p>
            <w:pPr>
              <w:jc w:val="right"/>
              <w:rPr>
                <w:rFonts w:ascii="宋体" w:hAnsi="宋体"/>
              </w:rPr>
            </w:pPr>
            <w:r>
              <w:rPr>
                <w:rFonts w:ascii="宋体" w:hAnsi="宋体"/>
              </w:rPr>
              <w:t>-4,808,735</w:t>
            </w:r>
          </w:p>
        </w:tc>
        <w:tc>
          <w:tcPr>
            <w:tcW w:w="2768" w:type="dxa"/>
            <w:tcBorders>
              <w:top w:val="outset" w:sz="4" w:space="0" w:color="auto"/>
              <w:left w:val="outset" w:sz="4" w:space="0" w:color="auto"/>
              <w:bottom w:val="outset" w:sz="4" w:space="0" w:color="auto"/>
              <w:right w:val="outset" w:sz="4" w:space="0" w:color="auto"/>
            </w:tcBorders>
            <w:vAlign w:val="center"/>
          </w:tcPr>
          <w:p>
            <w:pPr>
              <w:jc w:val="right"/>
              <w:rPr>
                <w:rFonts w:ascii="宋体" w:hAnsi="宋体"/>
                <w:bCs/>
              </w:rPr>
            </w:pPr>
            <w:r>
              <w:rPr>
                <w:rFonts w:ascii="宋体" w:hAnsi="宋体"/>
              </w:rPr>
              <w:t>536,876</w:t>
            </w:r>
          </w:p>
        </w:tc>
      </w:tr>
    </w:tbl>
    <w:p>
      <w:pPr>
        <w:pStyle w:val="Style217"/>
      </w:pPr>
    </w:p>
    <w:p>
      <w:pPr>
        <w:pStyle w:val="Style179"/>
        <w:numPr>
          <w:ilvl w:val="0"/>
          <w:numId w:val="112"/>
        </w:numPr>
      </w:pPr>
      <w:r>
        <w:rPr>
          <w:rFonts w:hint="eastAsia"/>
        </w:rPr>
        <w:t>本期支付的取得子公司的现金净额</w:t>
      </w:r>
    </w:p>
    <w:p>
      <w:pPr>
        <w:pStyle w:val="Style217"/>
      </w:pPr>
      <w:sdt>
        <w:sdtPr>
          <w:alias w:val="是否适用：本期支付的取得子公司的现金净额[双击切换]"/>
          <w:tag w:val="_GBC_e15d87c710624e119515f4697cba951d"/>
          <w:id w:val="-1060707199"/>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本期支付的取得子公司的现金净额"/>
          <w:tag w:val="_GBC_ffdd39ac3ba74021a8ea429c83fb3d31"/>
          <w:id w:val="-18591081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本期支付的取得子公司的现金净额"/>
          <w:tag w:val="_GBC_8939e31a9b3a42d6b242f3e24ffe177b"/>
          <w:id w:val="-11682544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6"/>
        <w:gridCol w:w="3132"/>
      </w:tblGrid>
      <w:tr>
        <w:trPr>
          <w:jc w:val="center"/>
        </w:trPr>
        <w:tc>
          <w:tcPr>
            <w:tcW w:w="5916" w:type="dxa"/>
            <w:vAlign w:val="center"/>
          </w:tcPr>
          <w:p>
            <w:pPr>
              <w:jc w:val="center"/>
              <w:rPr>
                <w:rFonts w:cs="Arial"/>
                <w:bCs/>
                <w:lang w:val="en-GB"/>
              </w:rPr>
            </w:pPr>
            <w:r>
              <w:rPr>
                <w:rFonts w:ascii="宋体" w:hAnsi="宋体" w:cs="宋体" w:hint="eastAsia"/>
                <w:bCs/>
              </w:rPr>
              <w:t>项目</w:t>
            </w:r>
          </w:p>
        </w:tc>
        <w:sdt>
          <w:sdtPr>
            <w:tag w:val="_PLD_9261b40344794232960d7225b47eb28c"/>
            <w:id w:val="385306330"/>
          </w:sdtPr>
          <w:sdtContent>
            <w:tc>
              <w:tcPr>
                <w:tcW w:w="3132" w:type="dxa"/>
                <w:vAlign w:val="center"/>
              </w:tcPr>
              <w:p>
                <w:pPr>
                  <w:jc w:val="center"/>
                  <w:rPr>
                    <w:rFonts w:cs="Arial"/>
                  </w:rPr>
                </w:pPr>
                <w:r>
                  <w:rPr>
                    <w:rFonts w:cs="Arial" w:hint="eastAsia"/>
                  </w:rPr>
                  <w:t>金额</w:t>
                </w:r>
              </w:p>
            </w:tc>
          </w:sdtContent>
        </w:sdt>
      </w:tr>
      <w:tr>
        <w:trPr>
          <w:jc w:val="center"/>
        </w:trPr>
        <w:tc>
          <w:tcPr>
            <w:tcW w:w="5916" w:type="dxa"/>
            <w:vAlign w:val="center"/>
          </w:tcPr>
          <w:p>
            <w:pPr>
              <w:rPr>
                <w:rFonts w:cs="Arial"/>
              </w:rPr>
            </w:pPr>
            <w:r>
              <w:rPr>
                <w:rFonts w:cs="Arial" w:hint="eastAsia"/>
                <w:lang w:val="en-GB"/>
              </w:rPr>
              <w:t>本期发生的企业合并于本期支付的现金或现金等价物</w:t>
            </w:r>
          </w:p>
        </w:tc>
        <w:tc>
          <w:tcPr>
            <w:tcW w:w="3132" w:type="dxa"/>
            <w:vAlign w:val="center"/>
          </w:tcPr>
          <w:p>
            <w:pPr>
              <w:jc w:val="right"/>
              <w:rPr>
                <w:rFonts w:ascii="宋体" w:hAnsi="宋体" w:cs="Arial"/>
              </w:rPr>
            </w:pPr>
            <w:r>
              <w:rPr>
                <w:rFonts w:ascii="宋体" w:hAnsi="宋体"/>
              </w:rPr>
              <w:t>342,539</w:t>
            </w:r>
          </w:p>
        </w:tc>
      </w:tr>
      <w:tr>
        <w:trPr>
          <w:jc w:val="center"/>
        </w:trPr>
        <w:tc>
          <w:tcPr>
            <w:tcW w:w="5916" w:type="dxa"/>
          </w:tcPr>
          <w:p>
            <w:pPr>
              <w:rPr>
                <w:rFonts w:cs="Arial"/>
                <w:lang w:val="en-GB"/>
              </w:rPr>
            </w:pPr>
            <w:r>
              <w:rPr>
                <w:rFonts w:hint="eastAsia"/>
              </w:rPr>
              <w:t>其中：兖矿能源（霍林郭勒）有限公司</w:t>
            </w:r>
          </w:p>
        </w:tc>
        <w:tc>
          <w:tcPr>
            <w:tcW w:w="3132" w:type="dxa"/>
            <w:vAlign w:val="center"/>
          </w:tcPr>
          <w:p>
            <w:pPr>
              <w:jc w:val="right"/>
              <w:rPr>
                <w:rFonts w:ascii="宋体" w:hAnsi="宋体" w:cs="Arial"/>
              </w:rPr>
            </w:pPr>
            <w:r>
              <w:rPr>
                <w:rFonts w:ascii="宋体" w:hAnsi="宋体"/>
              </w:rPr>
              <w:t>23,818</w:t>
            </w:r>
          </w:p>
        </w:tc>
      </w:tr>
      <w:tr>
        <w:trPr>
          <w:jc w:val="center"/>
        </w:trPr>
        <w:tc>
          <w:tcPr>
            <w:tcW w:w="5916" w:type="dxa"/>
          </w:tcPr>
          <w:p>
            <w:pPr>
              <w:ind w:firstLineChars="300" w:firstLine="630"/>
              <w:rPr>
                <w:rFonts w:ascii="宋体" w:hAnsi="宋体" w:cs="Arial"/>
                <w:lang w:val="en-GB"/>
              </w:rPr>
            </w:pPr>
            <w:r>
              <w:rPr>
                <w:rFonts w:ascii="宋体" w:hAnsi="宋体"/>
              </w:rPr>
              <w:lastRenderedPageBreak/>
              <w:t>CFH</w:t>
            </w:r>
            <w:r>
              <w:rPr>
                <w:rFonts w:ascii="宋体" w:hAnsi="宋体" w:hint="eastAsia"/>
              </w:rPr>
              <w:t xml:space="preserve"> </w:t>
            </w:r>
            <w:r>
              <w:rPr>
                <w:rFonts w:ascii="宋体" w:hAnsi="宋体"/>
              </w:rPr>
              <w:t>GmbH</w:t>
            </w:r>
          </w:p>
        </w:tc>
        <w:tc>
          <w:tcPr>
            <w:tcW w:w="3132" w:type="dxa"/>
            <w:vAlign w:val="center"/>
          </w:tcPr>
          <w:p>
            <w:pPr>
              <w:jc w:val="right"/>
              <w:rPr>
                <w:rFonts w:ascii="宋体" w:hAnsi="宋体" w:cs="Arial"/>
              </w:rPr>
            </w:pPr>
            <w:r>
              <w:rPr>
                <w:rFonts w:ascii="宋体" w:hAnsi="宋体"/>
              </w:rPr>
              <w:t>318,721</w:t>
            </w:r>
          </w:p>
        </w:tc>
      </w:tr>
      <w:tr>
        <w:trPr>
          <w:jc w:val="center"/>
        </w:trPr>
        <w:tc>
          <w:tcPr>
            <w:tcW w:w="5916" w:type="dxa"/>
            <w:vAlign w:val="center"/>
          </w:tcPr>
          <w:p>
            <w:pPr>
              <w:rPr>
                <w:rFonts w:cs="Arial"/>
              </w:rPr>
            </w:pPr>
            <w:r>
              <w:rPr>
                <w:rFonts w:cs="Arial" w:hint="eastAsia"/>
                <w:lang w:val="en-GB"/>
              </w:rPr>
              <w:t>减：购买日子公司持有的现金及现金等价物</w:t>
            </w:r>
          </w:p>
        </w:tc>
        <w:tc>
          <w:tcPr>
            <w:tcW w:w="3132" w:type="dxa"/>
            <w:vAlign w:val="center"/>
          </w:tcPr>
          <w:p>
            <w:pPr>
              <w:jc w:val="right"/>
              <w:rPr>
                <w:rFonts w:ascii="宋体" w:hAnsi="宋体" w:cs="Arial"/>
              </w:rPr>
            </w:pPr>
            <w:r>
              <w:rPr>
                <w:rFonts w:ascii="宋体" w:hAnsi="宋体"/>
              </w:rPr>
              <w:t>92,636</w:t>
            </w:r>
          </w:p>
        </w:tc>
      </w:tr>
      <w:tr>
        <w:trPr>
          <w:jc w:val="center"/>
        </w:trPr>
        <w:tc>
          <w:tcPr>
            <w:tcW w:w="5916" w:type="dxa"/>
          </w:tcPr>
          <w:p>
            <w:pPr>
              <w:rPr>
                <w:rFonts w:ascii="宋体" w:hAnsi="宋体" w:cs="Arial"/>
                <w:lang w:val="en-GB"/>
              </w:rPr>
            </w:pPr>
            <w:r>
              <w:rPr>
                <w:rFonts w:ascii="宋体" w:hAnsi="宋体" w:hint="eastAsia"/>
              </w:rPr>
              <w:t>其中：兖矿能源（霍林郭勒）有限公司</w:t>
            </w:r>
          </w:p>
        </w:tc>
        <w:tc>
          <w:tcPr>
            <w:tcW w:w="3132" w:type="dxa"/>
            <w:vAlign w:val="center"/>
          </w:tcPr>
          <w:p>
            <w:pPr>
              <w:jc w:val="right"/>
              <w:rPr>
                <w:rFonts w:ascii="宋体" w:hAnsi="宋体" w:cs="Arial"/>
              </w:rPr>
            </w:pPr>
            <w:r>
              <w:rPr>
                <w:rFonts w:ascii="宋体" w:hAnsi="宋体"/>
              </w:rPr>
              <w:t>2</w:t>
            </w:r>
          </w:p>
        </w:tc>
      </w:tr>
      <w:tr>
        <w:trPr>
          <w:jc w:val="center"/>
        </w:trPr>
        <w:tc>
          <w:tcPr>
            <w:tcW w:w="5916" w:type="dxa"/>
          </w:tcPr>
          <w:p>
            <w:pPr>
              <w:ind w:firstLineChars="300" w:firstLine="630"/>
              <w:rPr>
                <w:rFonts w:ascii="宋体" w:hAnsi="宋体" w:cs="Arial"/>
                <w:lang w:val="en-GB"/>
              </w:rPr>
            </w:pPr>
            <w:r>
              <w:rPr>
                <w:rFonts w:ascii="宋体" w:hAnsi="宋体"/>
              </w:rPr>
              <w:t>CFH</w:t>
            </w:r>
            <w:r>
              <w:rPr>
                <w:rFonts w:ascii="宋体" w:hAnsi="宋体" w:hint="eastAsia"/>
              </w:rPr>
              <w:t xml:space="preserve"> </w:t>
            </w:r>
            <w:r>
              <w:rPr>
                <w:rFonts w:ascii="宋体" w:hAnsi="宋体"/>
              </w:rPr>
              <w:t>GmbH</w:t>
            </w:r>
          </w:p>
        </w:tc>
        <w:tc>
          <w:tcPr>
            <w:tcW w:w="3132" w:type="dxa"/>
            <w:vAlign w:val="center"/>
          </w:tcPr>
          <w:p>
            <w:pPr>
              <w:jc w:val="right"/>
              <w:rPr>
                <w:rFonts w:ascii="宋体" w:hAnsi="宋体" w:cs="Arial"/>
              </w:rPr>
            </w:pPr>
            <w:r>
              <w:rPr>
                <w:rFonts w:ascii="宋体" w:hAnsi="宋体"/>
              </w:rPr>
              <w:t>92,634</w:t>
            </w:r>
          </w:p>
        </w:tc>
      </w:tr>
      <w:tr>
        <w:trPr>
          <w:jc w:val="center"/>
        </w:trPr>
        <w:tc>
          <w:tcPr>
            <w:tcW w:w="5916" w:type="dxa"/>
            <w:vAlign w:val="center"/>
          </w:tcPr>
          <w:p>
            <w:pPr>
              <w:rPr>
                <w:rFonts w:cs="Arial"/>
                <w:lang w:val="en-GB"/>
              </w:rPr>
            </w:pPr>
            <w:r>
              <w:rPr>
                <w:rFonts w:cs="Arial" w:hint="eastAsia"/>
                <w:lang w:val="en-GB"/>
              </w:rPr>
              <w:t>加：以前期间发生的企业合并于本期支付的现金或现金等价物</w:t>
            </w:r>
          </w:p>
        </w:tc>
        <w:tc>
          <w:tcPr>
            <w:tcW w:w="3132" w:type="dxa"/>
            <w:vAlign w:val="center"/>
          </w:tcPr>
          <w:p>
            <w:pPr>
              <w:jc w:val="right"/>
              <w:rPr>
                <w:rFonts w:ascii="宋体" w:hAnsi="宋体" w:cs="Arial"/>
              </w:rPr>
            </w:pPr>
          </w:p>
        </w:tc>
      </w:tr>
      <w:tr>
        <w:trPr>
          <w:jc w:val="center"/>
        </w:trPr>
        <w:tc>
          <w:tcPr>
            <w:tcW w:w="5916" w:type="dxa"/>
          </w:tcPr>
          <w:p>
            <w:pPr>
              <w:rPr>
                <w:rFonts w:ascii="宋体" w:hAnsi="宋体" w:cs="Arial"/>
                <w:lang w:val="en-GB"/>
              </w:rPr>
            </w:pPr>
            <w:r>
              <w:rPr>
                <w:rFonts w:ascii="宋体" w:hAnsi="宋体" w:hint="eastAsia"/>
              </w:rPr>
              <w:t>其中：兖矿能源（霍林郭勒）有限公司</w:t>
            </w:r>
          </w:p>
        </w:tc>
        <w:tc>
          <w:tcPr>
            <w:tcW w:w="3132" w:type="dxa"/>
            <w:vAlign w:val="center"/>
          </w:tcPr>
          <w:p>
            <w:pPr>
              <w:jc w:val="right"/>
              <w:rPr>
                <w:rFonts w:ascii="宋体" w:hAnsi="宋体" w:cs="Arial"/>
              </w:rPr>
            </w:pPr>
          </w:p>
        </w:tc>
      </w:tr>
      <w:tr>
        <w:trPr>
          <w:jc w:val="center"/>
        </w:trPr>
        <w:tc>
          <w:tcPr>
            <w:tcW w:w="5916" w:type="dxa"/>
          </w:tcPr>
          <w:p>
            <w:pPr>
              <w:ind w:firstLineChars="300" w:firstLine="630"/>
              <w:rPr>
                <w:rFonts w:ascii="宋体" w:hAnsi="宋体" w:cs="Arial"/>
                <w:lang w:val="en-GB"/>
              </w:rPr>
            </w:pPr>
            <w:r>
              <w:rPr>
                <w:rFonts w:ascii="宋体" w:hAnsi="宋体"/>
              </w:rPr>
              <w:t>CFH</w:t>
            </w:r>
            <w:r>
              <w:rPr>
                <w:rFonts w:ascii="宋体" w:hAnsi="宋体" w:hint="eastAsia"/>
              </w:rPr>
              <w:t xml:space="preserve"> </w:t>
            </w:r>
            <w:r>
              <w:rPr>
                <w:rFonts w:ascii="宋体" w:hAnsi="宋体"/>
              </w:rPr>
              <w:t>GmbH</w:t>
            </w:r>
          </w:p>
        </w:tc>
        <w:tc>
          <w:tcPr>
            <w:tcW w:w="3132" w:type="dxa"/>
            <w:vAlign w:val="center"/>
          </w:tcPr>
          <w:p>
            <w:pPr>
              <w:jc w:val="right"/>
              <w:rPr>
                <w:rFonts w:ascii="宋体" w:hAnsi="宋体" w:cs="Arial"/>
              </w:rPr>
            </w:pPr>
          </w:p>
        </w:tc>
      </w:tr>
      <w:tr>
        <w:trPr>
          <w:jc w:val="center"/>
        </w:trPr>
        <w:tc>
          <w:tcPr>
            <w:tcW w:w="5916" w:type="dxa"/>
            <w:vAlign w:val="center"/>
          </w:tcPr>
          <w:p>
            <w:pPr>
              <w:rPr>
                <w:rFonts w:cs="Arial"/>
              </w:rPr>
            </w:pPr>
            <w:r>
              <w:rPr>
                <w:rFonts w:hint="eastAsia"/>
              </w:rPr>
              <w:t>取得子公司支付的现金净额</w:t>
            </w:r>
          </w:p>
        </w:tc>
        <w:tc>
          <w:tcPr>
            <w:tcW w:w="3132" w:type="dxa"/>
            <w:vAlign w:val="center"/>
          </w:tcPr>
          <w:p>
            <w:pPr>
              <w:jc w:val="right"/>
              <w:rPr>
                <w:rFonts w:ascii="宋体" w:hAnsi="宋体" w:cs="Arial"/>
              </w:rPr>
            </w:pPr>
            <w:r>
              <w:rPr>
                <w:rFonts w:ascii="宋体" w:hAnsi="宋体"/>
              </w:rPr>
              <w:t>249,903</w:t>
            </w:r>
          </w:p>
        </w:tc>
      </w:tr>
    </w:tbl>
    <w:p>
      <w:pPr>
        <w:pStyle w:val="Style217"/>
      </w:pPr>
      <w:r>
        <w:rPr>
          <w:rFonts w:hint="eastAsia"/>
        </w:rPr>
        <w:t>其他说明：</w:t>
      </w:r>
    </w:p>
    <w:sdt>
      <w:sdtPr>
        <w:rPr>
          <w:rFonts w:hint="eastAsia"/>
        </w:rPr>
        <w:alias w:val="取得子公司支付的现金净额的其他说明"/>
        <w:tag w:val="_GBC_3ba42e9ac649479ba86b884f2c719f8b"/>
        <w:id w:val="1653253171"/>
        <w:placeholder>
          <w:docPart w:val="GBC22222222222222222222222222222"/>
        </w:placeholder>
      </w:sdtPr>
      <w:sdtContent>
        <w:p>
          <w:pPr>
            <w:pStyle w:val="Style217"/>
          </w:pPr>
          <w:r>
            <w:rPr>
              <w:rFonts w:hint="eastAsia"/>
            </w:rPr>
            <w:t>-</w:t>
          </w:r>
        </w:p>
      </w:sdtContent>
    </w:sdt>
    <w:p>
      <w:pPr>
        <w:pStyle w:val="Style217"/>
      </w:pPr>
    </w:p>
    <w:p>
      <w:pPr>
        <w:pStyle w:val="Style179"/>
        <w:numPr>
          <w:ilvl w:val="0"/>
          <w:numId w:val="112"/>
        </w:numPr>
      </w:pPr>
      <w:r>
        <w:rPr>
          <w:rFonts w:hint="eastAsia"/>
        </w:rPr>
        <w:t>本期收到的处置子公司的现金净额</w:t>
      </w:r>
    </w:p>
    <w:p>
      <w:pPr>
        <w:pStyle w:val="Style217"/>
      </w:pPr>
      <w:sdt>
        <w:sdtPr>
          <w:alias w:val="是否适用：本期收到的处置子公司的现金净额[双击切换]"/>
          <w:tag w:val="_GBC_34f955c7fd1f404b9df6ccd09e080d38"/>
          <w:id w:val="-1795742156"/>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本期收到的处置子公司的现金净额"/>
          <w:tag w:val="_GBC_5f26998b58aa46cabc7759aabebc8555"/>
          <w:id w:val="-6669357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本期收到的处置子公司的现金净额"/>
          <w:tag w:val="_GBC_d9b6c619288044be933ca1f1900c4442"/>
          <w:id w:val="-7945273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3"/>
        <w:gridCol w:w="3145"/>
      </w:tblGrid>
      <w:tr>
        <w:trPr>
          <w:jc w:val="center"/>
        </w:trPr>
        <w:tc>
          <w:tcPr>
            <w:tcW w:w="5903" w:type="dxa"/>
            <w:vAlign w:val="center"/>
          </w:tcPr>
          <w:p>
            <w:pPr>
              <w:jc w:val="center"/>
              <w:rPr>
                <w:rFonts w:cs="Arial"/>
                <w:lang w:val="en-GB"/>
              </w:rPr>
            </w:pPr>
            <w:r>
              <w:rPr>
                <w:rFonts w:cs="Arial" w:hint="eastAsia"/>
                <w:lang w:val="en-GB"/>
              </w:rPr>
              <w:t>项目</w:t>
            </w:r>
          </w:p>
        </w:tc>
        <w:sdt>
          <w:sdtPr>
            <w:tag w:val="_PLD_651c90dc7f9f46fe9e08c830cf988f2b"/>
            <w:id w:val="-976522542"/>
          </w:sdtPr>
          <w:sdtContent>
            <w:tc>
              <w:tcPr>
                <w:tcW w:w="3145" w:type="dxa"/>
                <w:vAlign w:val="center"/>
              </w:tcPr>
              <w:p>
                <w:pPr>
                  <w:jc w:val="center"/>
                  <w:rPr>
                    <w:rFonts w:cs="Arial"/>
                  </w:rPr>
                </w:pPr>
                <w:r>
                  <w:rPr>
                    <w:rFonts w:cs="Arial" w:hint="eastAsia"/>
                  </w:rPr>
                  <w:t>金额</w:t>
                </w:r>
              </w:p>
            </w:tc>
          </w:sdtContent>
        </w:sdt>
      </w:tr>
      <w:tr>
        <w:trPr>
          <w:jc w:val="center"/>
        </w:trPr>
        <w:tc>
          <w:tcPr>
            <w:tcW w:w="5903" w:type="dxa"/>
            <w:vAlign w:val="center"/>
          </w:tcPr>
          <w:p>
            <w:pPr>
              <w:rPr>
                <w:rFonts w:cs="Arial"/>
              </w:rPr>
            </w:pPr>
            <w:r>
              <w:rPr>
                <w:rFonts w:cs="Arial" w:hint="eastAsia"/>
                <w:lang w:val="en-GB"/>
              </w:rPr>
              <w:t>本期处置子公司于本期收到的现金或现金等价物</w:t>
            </w:r>
          </w:p>
        </w:tc>
        <w:tc>
          <w:tcPr>
            <w:tcW w:w="3145" w:type="dxa"/>
            <w:vAlign w:val="center"/>
          </w:tcPr>
          <w:p>
            <w:pPr>
              <w:jc w:val="right"/>
              <w:rPr>
                <w:rFonts w:ascii="宋体" w:hAnsi="宋体" w:cs="Arial"/>
              </w:rPr>
            </w:pPr>
            <w:r>
              <w:rPr>
                <w:rFonts w:ascii="宋体" w:hAnsi="宋体"/>
              </w:rPr>
              <w:t>54</w:t>
            </w:r>
          </w:p>
        </w:tc>
      </w:tr>
      <w:tr>
        <w:trPr>
          <w:jc w:val="center"/>
        </w:trPr>
        <w:tc>
          <w:tcPr>
            <w:tcW w:w="5903" w:type="dxa"/>
          </w:tcPr>
          <w:p>
            <w:pPr>
              <w:rPr>
                <w:rFonts w:cs="Arial"/>
                <w:lang w:val="en-GB"/>
              </w:rPr>
            </w:pPr>
            <w:r>
              <w:rPr>
                <w:rFonts w:hint="eastAsia"/>
              </w:rPr>
              <w:t>其中：山东兖煤日照港储配煤有限公司</w:t>
            </w:r>
          </w:p>
        </w:tc>
        <w:tc>
          <w:tcPr>
            <w:tcW w:w="3145" w:type="dxa"/>
            <w:vAlign w:val="center"/>
          </w:tcPr>
          <w:p>
            <w:pPr>
              <w:jc w:val="right"/>
              <w:rPr>
                <w:rFonts w:ascii="宋体" w:hAnsi="宋体" w:cs="Arial"/>
              </w:rPr>
            </w:pPr>
          </w:p>
        </w:tc>
      </w:tr>
      <w:tr>
        <w:trPr>
          <w:jc w:val="center"/>
        </w:trPr>
        <w:tc>
          <w:tcPr>
            <w:tcW w:w="5903" w:type="dxa"/>
          </w:tcPr>
          <w:p>
            <w:pPr>
              <w:ind w:firstLineChars="300" w:firstLine="630"/>
              <w:rPr>
                <w:rFonts w:cs="Arial"/>
                <w:lang w:val="en-GB"/>
              </w:rPr>
            </w:pPr>
            <w:r>
              <w:rPr>
                <w:rFonts w:hint="eastAsia"/>
              </w:rPr>
              <w:t>山东中鼎云联科技有限公司</w:t>
            </w:r>
          </w:p>
        </w:tc>
        <w:tc>
          <w:tcPr>
            <w:tcW w:w="3145" w:type="dxa"/>
            <w:vAlign w:val="center"/>
          </w:tcPr>
          <w:p>
            <w:pPr>
              <w:jc w:val="right"/>
              <w:rPr>
                <w:rFonts w:ascii="宋体" w:hAnsi="宋体" w:cs="Arial"/>
              </w:rPr>
            </w:pPr>
            <w:r>
              <w:rPr>
                <w:rFonts w:ascii="宋体" w:hAnsi="宋体"/>
              </w:rPr>
              <w:t>54</w:t>
            </w:r>
          </w:p>
        </w:tc>
      </w:tr>
      <w:tr>
        <w:trPr>
          <w:jc w:val="center"/>
        </w:trPr>
        <w:tc>
          <w:tcPr>
            <w:tcW w:w="5903" w:type="dxa"/>
          </w:tcPr>
          <w:p>
            <w:pPr>
              <w:ind w:firstLineChars="300" w:firstLine="630"/>
              <w:rPr>
                <w:rFonts w:cs="Arial"/>
                <w:lang w:val="en-GB"/>
              </w:rPr>
            </w:pPr>
            <w:r>
              <w:rPr>
                <w:rFonts w:hint="eastAsia"/>
              </w:rPr>
              <w:t>兖州东方机电有限公司</w:t>
            </w:r>
          </w:p>
        </w:tc>
        <w:tc>
          <w:tcPr>
            <w:tcW w:w="3145" w:type="dxa"/>
            <w:vAlign w:val="center"/>
          </w:tcPr>
          <w:p>
            <w:pPr>
              <w:jc w:val="right"/>
              <w:rPr>
                <w:rFonts w:ascii="宋体" w:hAnsi="宋体" w:cs="Arial"/>
              </w:rPr>
            </w:pPr>
          </w:p>
        </w:tc>
      </w:tr>
      <w:tr>
        <w:trPr>
          <w:jc w:val="center"/>
        </w:trPr>
        <w:tc>
          <w:tcPr>
            <w:tcW w:w="5903" w:type="dxa"/>
            <w:vAlign w:val="center"/>
          </w:tcPr>
          <w:p>
            <w:pPr>
              <w:rPr>
                <w:rFonts w:cs="Arial"/>
              </w:rPr>
            </w:pPr>
            <w:r>
              <w:rPr>
                <w:rFonts w:cs="Arial" w:hint="eastAsia"/>
                <w:lang w:val="en-GB"/>
              </w:rPr>
              <w:t>减：丧失控制权日子公司持有的现金及现金等价物</w:t>
            </w:r>
          </w:p>
        </w:tc>
        <w:tc>
          <w:tcPr>
            <w:tcW w:w="3145" w:type="dxa"/>
            <w:vAlign w:val="center"/>
          </w:tcPr>
          <w:p>
            <w:pPr>
              <w:jc w:val="right"/>
              <w:rPr>
                <w:rFonts w:ascii="宋体" w:hAnsi="宋体" w:cs="Arial"/>
              </w:rPr>
            </w:pPr>
            <w:r>
              <w:rPr>
                <w:rFonts w:ascii="宋体" w:hAnsi="宋体"/>
              </w:rPr>
              <w:t>35,738</w:t>
            </w:r>
          </w:p>
        </w:tc>
      </w:tr>
      <w:tr>
        <w:trPr>
          <w:jc w:val="center"/>
        </w:trPr>
        <w:tc>
          <w:tcPr>
            <w:tcW w:w="5903" w:type="dxa"/>
          </w:tcPr>
          <w:p>
            <w:pPr>
              <w:rPr>
                <w:rFonts w:cs="Arial"/>
                <w:lang w:val="en-GB"/>
              </w:rPr>
            </w:pPr>
            <w:r>
              <w:rPr>
                <w:rFonts w:hint="eastAsia"/>
              </w:rPr>
              <w:t>其中：山东兖煤日照港储配煤有限公司</w:t>
            </w:r>
          </w:p>
        </w:tc>
        <w:tc>
          <w:tcPr>
            <w:tcW w:w="3145" w:type="dxa"/>
            <w:vAlign w:val="center"/>
          </w:tcPr>
          <w:p>
            <w:pPr>
              <w:jc w:val="right"/>
              <w:rPr>
                <w:rFonts w:ascii="宋体" w:hAnsi="宋体" w:cs="Arial"/>
              </w:rPr>
            </w:pPr>
            <w:r>
              <w:rPr>
                <w:rFonts w:ascii="宋体" w:hAnsi="宋体"/>
              </w:rPr>
              <w:t>2,147</w:t>
            </w:r>
          </w:p>
        </w:tc>
      </w:tr>
      <w:tr>
        <w:trPr>
          <w:jc w:val="center"/>
        </w:trPr>
        <w:tc>
          <w:tcPr>
            <w:tcW w:w="5903" w:type="dxa"/>
          </w:tcPr>
          <w:p>
            <w:pPr>
              <w:ind w:firstLineChars="300" w:firstLine="630"/>
              <w:rPr>
                <w:rFonts w:cs="Arial"/>
                <w:lang w:val="en-GB"/>
              </w:rPr>
            </w:pPr>
            <w:r>
              <w:rPr>
                <w:rFonts w:hint="eastAsia"/>
              </w:rPr>
              <w:t>山东中鼎云联科技有限公司</w:t>
            </w:r>
          </w:p>
        </w:tc>
        <w:tc>
          <w:tcPr>
            <w:tcW w:w="3145" w:type="dxa"/>
            <w:vAlign w:val="center"/>
          </w:tcPr>
          <w:p>
            <w:pPr>
              <w:jc w:val="right"/>
              <w:rPr>
                <w:rFonts w:ascii="宋体" w:hAnsi="宋体" w:cs="Arial"/>
              </w:rPr>
            </w:pPr>
          </w:p>
        </w:tc>
      </w:tr>
      <w:tr>
        <w:trPr>
          <w:jc w:val="center"/>
        </w:trPr>
        <w:tc>
          <w:tcPr>
            <w:tcW w:w="5903" w:type="dxa"/>
          </w:tcPr>
          <w:p>
            <w:pPr>
              <w:ind w:firstLineChars="300" w:firstLine="630"/>
              <w:rPr>
                <w:rFonts w:cs="Arial"/>
                <w:lang w:val="en-GB"/>
              </w:rPr>
            </w:pPr>
            <w:r>
              <w:rPr>
                <w:rFonts w:hint="eastAsia"/>
              </w:rPr>
              <w:t>兖州东方机电有限公司</w:t>
            </w:r>
          </w:p>
        </w:tc>
        <w:tc>
          <w:tcPr>
            <w:tcW w:w="3145" w:type="dxa"/>
            <w:vAlign w:val="center"/>
          </w:tcPr>
          <w:p>
            <w:pPr>
              <w:jc w:val="right"/>
              <w:rPr>
                <w:rFonts w:ascii="宋体" w:hAnsi="宋体" w:cs="Arial"/>
              </w:rPr>
            </w:pPr>
            <w:r>
              <w:rPr>
                <w:rFonts w:ascii="宋体" w:hAnsi="宋体"/>
              </w:rPr>
              <w:t>33,591</w:t>
            </w:r>
          </w:p>
        </w:tc>
      </w:tr>
      <w:tr>
        <w:trPr>
          <w:jc w:val="center"/>
        </w:trPr>
        <w:tc>
          <w:tcPr>
            <w:tcW w:w="5903" w:type="dxa"/>
            <w:vAlign w:val="center"/>
          </w:tcPr>
          <w:p>
            <w:pPr>
              <w:rPr>
                <w:rFonts w:cs="Arial"/>
                <w:lang w:val="en-GB"/>
              </w:rPr>
            </w:pPr>
            <w:r>
              <w:rPr>
                <w:rFonts w:ascii="宋体" w:hAnsi="宋体" w:cs="宋体" w:hint="eastAsia"/>
              </w:rPr>
              <w:t>加：以前期间处置子公司并于本期收到的现金或现金等价物</w:t>
            </w:r>
          </w:p>
        </w:tc>
        <w:tc>
          <w:tcPr>
            <w:tcW w:w="3145" w:type="dxa"/>
            <w:vAlign w:val="center"/>
          </w:tcPr>
          <w:p>
            <w:pPr>
              <w:jc w:val="right"/>
              <w:rPr>
                <w:rFonts w:ascii="宋体" w:hAnsi="宋体" w:cs="Arial"/>
              </w:rPr>
            </w:pPr>
          </w:p>
        </w:tc>
      </w:tr>
      <w:tr>
        <w:trPr>
          <w:jc w:val="center"/>
        </w:trPr>
        <w:tc>
          <w:tcPr>
            <w:tcW w:w="5903" w:type="dxa"/>
          </w:tcPr>
          <w:p>
            <w:pPr>
              <w:rPr>
                <w:rFonts w:cs="Arial"/>
                <w:lang w:val="en-GB"/>
              </w:rPr>
            </w:pPr>
            <w:r>
              <w:rPr>
                <w:rFonts w:hint="eastAsia"/>
              </w:rPr>
              <w:t>其中：山东兖煤日照港储配煤有限公司</w:t>
            </w:r>
          </w:p>
        </w:tc>
        <w:tc>
          <w:tcPr>
            <w:tcW w:w="3145" w:type="dxa"/>
            <w:vAlign w:val="center"/>
          </w:tcPr>
          <w:p>
            <w:pPr>
              <w:jc w:val="right"/>
              <w:rPr>
                <w:rFonts w:ascii="宋体" w:hAnsi="宋体" w:cs="Arial"/>
              </w:rPr>
            </w:pPr>
          </w:p>
        </w:tc>
      </w:tr>
      <w:tr>
        <w:trPr>
          <w:jc w:val="center"/>
        </w:trPr>
        <w:tc>
          <w:tcPr>
            <w:tcW w:w="5903" w:type="dxa"/>
          </w:tcPr>
          <w:p>
            <w:pPr>
              <w:ind w:firstLineChars="300" w:firstLine="630"/>
              <w:rPr>
                <w:rFonts w:cs="Arial"/>
                <w:lang w:val="en-GB"/>
              </w:rPr>
            </w:pPr>
            <w:r>
              <w:rPr>
                <w:rFonts w:hint="eastAsia"/>
              </w:rPr>
              <w:t>山东中鼎云联科技有限公司</w:t>
            </w:r>
          </w:p>
        </w:tc>
        <w:tc>
          <w:tcPr>
            <w:tcW w:w="3145" w:type="dxa"/>
            <w:vAlign w:val="center"/>
          </w:tcPr>
          <w:p>
            <w:pPr>
              <w:jc w:val="right"/>
              <w:rPr>
                <w:rFonts w:ascii="宋体" w:hAnsi="宋体" w:cs="Arial"/>
              </w:rPr>
            </w:pPr>
          </w:p>
        </w:tc>
      </w:tr>
      <w:tr>
        <w:trPr>
          <w:jc w:val="center"/>
        </w:trPr>
        <w:tc>
          <w:tcPr>
            <w:tcW w:w="5903" w:type="dxa"/>
          </w:tcPr>
          <w:p>
            <w:pPr>
              <w:ind w:firstLineChars="300" w:firstLine="630"/>
              <w:rPr>
                <w:rFonts w:cs="Arial"/>
                <w:lang w:val="en-GB"/>
              </w:rPr>
            </w:pPr>
            <w:r>
              <w:rPr>
                <w:rFonts w:hint="eastAsia"/>
              </w:rPr>
              <w:t>兖州东方机电有限公司</w:t>
            </w:r>
          </w:p>
        </w:tc>
        <w:tc>
          <w:tcPr>
            <w:tcW w:w="3145" w:type="dxa"/>
            <w:vAlign w:val="center"/>
          </w:tcPr>
          <w:p>
            <w:pPr>
              <w:jc w:val="right"/>
              <w:rPr>
                <w:rFonts w:ascii="宋体" w:hAnsi="宋体" w:cs="Arial"/>
              </w:rPr>
            </w:pPr>
          </w:p>
        </w:tc>
      </w:tr>
      <w:tr>
        <w:trPr>
          <w:jc w:val="center"/>
        </w:trPr>
        <w:tc>
          <w:tcPr>
            <w:tcW w:w="5903" w:type="dxa"/>
            <w:vAlign w:val="center"/>
          </w:tcPr>
          <w:p>
            <w:pPr>
              <w:rPr>
                <w:rFonts w:cs="Arial"/>
              </w:rPr>
            </w:pPr>
            <w:r>
              <w:rPr>
                <w:rFonts w:cs="Arial" w:hint="eastAsia"/>
                <w:lang w:val="en-GB"/>
              </w:rPr>
              <w:t>处置子公司收到的现金净额</w:t>
            </w:r>
          </w:p>
        </w:tc>
        <w:tc>
          <w:tcPr>
            <w:tcW w:w="3145" w:type="dxa"/>
            <w:vAlign w:val="center"/>
          </w:tcPr>
          <w:p>
            <w:pPr>
              <w:jc w:val="right"/>
              <w:rPr>
                <w:rFonts w:ascii="宋体" w:hAnsi="宋体" w:cs="Arial"/>
              </w:rPr>
            </w:pPr>
            <w:r>
              <w:rPr>
                <w:rFonts w:ascii="宋体" w:hAnsi="宋体"/>
              </w:rPr>
              <w:t>-35,684</w:t>
            </w:r>
          </w:p>
        </w:tc>
      </w:tr>
    </w:tbl>
    <w:p>
      <w:pPr>
        <w:pStyle w:val="Style217"/>
      </w:pPr>
      <w:r>
        <w:rPr>
          <w:rFonts w:hint="eastAsia"/>
        </w:rPr>
        <w:t>其他说明：</w:t>
      </w:r>
    </w:p>
    <w:sdt>
      <w:sdtPr>
        <w:alias w:val="处置子公司收到的现金净额的其他说明"/>
        <w:tag w:val="_GBC_79d0ae0ff143419097b60fe3b94ac455"/>
        <w:id w:val="1235737111"/>
        <w:placeholder>
          <w:docPart w:val="GBC22222222222222222222222222222"/>
        </w:placeholder>
      </w:sdtPr>
      <w:sdtContent>
        <w:p>
          <w:pPr>
            <w:pStyle w:val="Style217"/>
          </w:pPr>
          <w:r>
            <w:rPr>
              <w:rFonts w:hint="eastAsia"/>
            </w:rPr>
            <w:t>-</w:t>
          </w:r>
        </w:p>
      </w:sdtContent>
    </w:sdt>
    <w:p>
      <w:pPr>
        <w:pStyle w:val="Style217"/>
      </w:pPr>
    </w:p>
    <w:p>
      <w:pPr>
        <w:pStyle w:val="Style179"/>
        <w:numPr>
          <w:ilvl w:val="0"/>
          <w:numId w:val="112"/>
        </w:numPr>
      </w:pPr>
      <w:bookmarkStart w:id="519" w:name="_Hlk152667287"/>
      <w:r>
        <w:rPr>
          <w:rFonts w:hint="eastAsia"/>
        </w:rPr>
        <w:t>现金和现金等价物的构成</w:t>
      </w:r>
    </w:p>
    <w:sdt>
      <w:sdtPr>
        <w:alias w:val="是否适用：现金和现金等价物的构成[双击切换]"/>
        <w:tag w:val="_GBC_e0555d7e87b94189b1eb8131088a70ab"/>
        <w:id w:val="8103116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财务附注：现金和现金等价物的构成"/>
          <w:tag w:val="_GBC_1e304caf56fc443fa3c4a1d772d34293"/>
          <w:id w:val="148943195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财务附注：现金和现金等价物的构成"/>
          <w:tag w:val="_GBC_d3515d75fc184b1e9585a67f7cb04faa"/>
          <w:id w:val="348839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3"/>
        <w:gridCol w:w="2921"/>
        <w:gridCol w:w="2734"/>
      </w:tblGrid>
      <w:tr>
        <w:trPr>
          <w:trHeight w:val="285"/>
        </w:trPr>
        <w:sdt>
          <w:sdtPr>
            <w:tag w:val="_PLD_7ae145dd51fc48d4a76bb239061b0a6e"/>
            <w:id w:val="-1372995087"/>
          </w:sdtPr>
          <w:sdtContent>
            <w:tc>
              <w:tcPr>
                <w:tcW w:w="3393" w:type="dxa"/>
                <w:tcBorders>
                  <w:bottom w:val="single" w:sz="4" w:space="0" w:color="auto"/>
                </w:tcBorders>
                <w:vAlign w:val="center"/>
              </w:tcPr>
              <w:p>
                <w:pPr>
                  <w:ind w:leftChars="-51" w:left="-107"/>
                  <w:jc w:val="center"/>
                </w:pPr>
                <w:r>
                  <w:rPr>
                    <w:rFonts w:hint="eastAsia"/>
                  </w:rPr>
                  <w:t>项目</w:t>
                </w:r>
              </w:p>
            </w:tc>
          </w:sdtContent>
        </w:sdt>
        <w:sdt>
          <w:sdtPr>
            <w:tag w:val="_PLD_426ac24378064f8ab324e59db3ac5d98"/>
            <w:id w:val="-1593691444"/>
          </w:sdtPr>
          <w:sdtContent>
            <w:tc>
              <w:tcPr>
                <w:tcW w:w="2921" w:type="dxa"/>
                <w:vAlign w:val="center"/>
              </w:tcPr>
              <w:p>
                <w:pPr>
                  <w:jc w:val="center"/>
                </w:pPr>
                <w:r>
                  <w:rPr>
                    <w:rFonts w:hint="eastAsia"/>
                  </w:rPr>
                  <w:t>期末余额</w:t>
                </w:r>
              </w:p>
            </w:tc>
          </w:sdtContent>
        </w:sdt>
        <w:sdt>
          <w:sdtPr>
            <w:tag w:val="_PLD_d8d41db246514c0dbfacfe0f48eeceac"/>
            <w:id w:val="467874399"/>
          </w:sdtPr>
          <w:sdtContent>
            <w:tc>
              <w:tcPr>
                <w:tcW w:w="2734" w:type="dxa"/>
                <w:vAlign w:val="center"/>
              </w:tcPr>
              <w:p>
                <w:pPr>
                  <w:jc w:val="center"/>
                </w:pPr>
                <w:r>
                  <w:rPr>
                    <w:rFonts w:hint="eastAsia"/>
                  </w:rPr>
                  <w:t>期初余额</w:t>
                </w:r>
              </w:p>
            </w:tc>
          </w:sdtContent>
        </w:sdt>
      </w:tr>
      <w:tr>
        <w:trPr>
          <w:trHeight w:val="285"/>
        </w:trPr>
        <w:tc>
          <w:tcPr>
            <w:tcW w:w="3393" w:type="dxa"/>
            <w:vAlign w:val="center"/>
          </w:tcPr>
          <w:p>
            <w:pPr>
              <w:pStyle w:val="Style217"/>
            </w:pPr>
            <w:r>
              <w:rPr>
                <w:rFonts w:hint="eastAsia"/>
              </w:rPr>
              <w:t>一、现金</w:t>
            </w:r>
          </w:p>
        </w:tc>
        <w:tc>
          <w:tcPr>
            <w:tcW w:w="2921" w:type="dxa"/>
            <w:vAlign w:val="center"/>
          </w:tcPr>
          <w:p>
            <w:pPr>
              <w:jc w:val="right"/>
              <w:rPr>
                <w:rFonts w:ascii="宋体" w:hAnsi="宋体"/>
              </w:rPr>
            </w:pPr>
            <w:r>
              <w:rPr>
                <w:rFonts w:ascii="宋体" w:hAnsi="宋体"/>
              </w:rPr>
              <w:t>26,676,555</w:t>
            </w:r>
          </w:p>
        </w:tc>
        <w:tc>
          <w:tcPr>
            <w:tcW w:w="2734" w:type="dxa"/>
            <w:vAlign w:val="center"/>
          </w:tcPr>
          <w:p>
            <w:pPr>
              <w:jc w:val="right"/>
              <w:rPr>
                <w:rFonts w:ascii="宋体" w:hAnsi="宋体"/>
              </w:rPr>
            </w:pPr>
            <w:r>
              <w:rPr>
                <w:rFonts w:ascii="宋体" w:hAnsi="宋体"/>
              </w:rPr>
              <w:t>31,485,290</w:t>
            </w:r>
          </w:p>
        </w:tc>
      </w:tr>
      <w:tr>
        <w:trPr>
          <w:trHeight w:val="285"/>
        </w:trPr>
        <w:tc>
          <w:tcPr>
            <w:tcW w:w="3393" w:type="dxa"/>
            <w:vAlign w:val="center"/>
          </w:tcPr>
          <w:p>
            <w:pPr>
              <w:pStyle w:val="Style217"/>
            </w:pPr>
            <w:r>
              <w:rPr>
                <w:rFonts w:hint="eastAsia"/>
              </w:rPr>
              <w:t>其中：库存现金</w:t>
            </w:r>
          </w:p>
        </w:tc>
        <w:tc>
          <w:tcPr>
            <w:tcW w:w="2921" w:type="dxa"/>
            <w:vAlign w:val="center"/>
          </w:tcPr>
          <w:p>
            <w:pPr>
              <w:jc w:val="right"/>
              <w:rPr>
                <w:rFonts w:ascii="宋体" w:hAnsi="宋体"/>
              </w:rPr>
            </w:pPr>
            <w:r>
              <w:rPr>
                <w:rFonts w:ascii="宋体" w:hAnsi="宋体"/>
              </w:rPr>
              <w:t>144</w:t>
            </w:r>
          </w:p>
        </w:tc>
        <w:tc>
          <w:tcPr>
            <w:tcW w:w="2734" w:type="dxa"/>
            <w:vAlign w:val="center"/>
          </w:tcPr>
          <w:p>
            <w:pPr>
              <w:jc w:val="right"/>
              <w:rPr>
                <w:rFonts w:ascii="宋体" w:hAnsi="宋体"/>
              </w:rPr>
            </w:pPr>
            <w:r>
              <w:rPr>
                <w:rFonts w:ascii="宋体" w:hAnsi="宋体"/>
              </w:rPr>
              <w:t>204</w:t>
            </w:r>
          </w:p>
        </w:tc>
      </w:tr>
      <w:tr>
        <w:trPr>
          <w:trHeight w:val="285"/>
        </w:trPr>
        <w:tc>
          <w:tcPr>
            <w:tcW w:w="3393" w:type="dxa"/>
            <w:vAlign w:val="center"/>
          </w:tcPr>
          <w:p>
            <w:pPr>
              <w:pStyle w:val="Style217"/>
            </w:pPr>
            <w:r>
              <w:rPr>
                <w:rFonts w:hint="eastAsia"/>
              </w:rPr>
              <w:t xml:space="preserve">　　可随时用于支付的银行存款</w:t>
            </w:r>
          </w:p>
        </w:tc>
        <w:tc>
          <w:tcPr>
            <w:tcW w:w="2921" w:type="dxa"/>
            <w:vAlign w:val="center"/>
          </w:tcPr>
          <w:p>
            <w:pPr>
              <w:jc w:val="right"/>
              <w:rPr>
                <w:rFonts w:ascii="宋体" w:hAnsi="宋体"/>
              </w:rPr>
            </w:pPr>
            <w:r>
              <w:rPr>
                <w:rFonts w:ascii="宋体" w:hAnsi="宋体"/>
              </w:rPr>
              <w:t>26,676,411</w:t>
            </w:r>
          </w:p>
        </w:tc>
        <w:tc>
          <w:tcPr>
            <w:tcW w:w="2734" w:type="dxa"/>
            <w:vAlign w:val="center"/>
          </w:tcPr>
          <w:p>
            <w:pPr>
              <w:jc w:val="right"/>
              <w:rPr>
                <w:rFonts w:ascii="宋体" w:hAnsi="宋体"/>
              </w:rPr>
            </w:pPr>
            <w:r>
              <w:rPr>
                <w:rFonts w:ascii="宋体" w:hAnsi="宋体"/>
              </w:rPr>
              <w:t>31,485,086</w:t>
            </w:r>
          </w:p>
        </w:tc>
      </w:tr>
      <w:tr>
        <w:trPr>
          <w:trHeight w:val="285"/>
        </w:trPr>
        <w:tc>
          <w:tcPr>
            <w:tcW w:w="3393" w:type="dxa"/>
            <w:vAlign w:val="center"/>
          </w:tcPr>
          <w:p>
            <w:pPr>
              <w:pStyle w:val="Style217"/>
            </w:pPr>
            <w:r>
              <w:rPr>
                <w:rFonts w:hint="eastAsia"/>
              </w:rPr>
              <w:t>二、现金等价物</w:t>
            </w:r>
          </w:p>
        </w:tc>
        <w:tc>
          <w:tcPr>
            <w:tcW w:w="2921" w:type="dxa"/>
            <w:vAlign w:val="center"/>
          </w:tcPr>
          <w:p>
            <w:pPr>
              <w:jc w:val="right"/>
              <w:rPr>
                <w:rFonts w:ascii="宋体" w:hAnsi="宋体"/>
              </w:rPr>
            </w:pPr>
          </w:p>
        </w:tc>
        <w:tc>
          <w:tcPr>
            <w:tcW w:w="2734" w:type="dxa"/>
            <w:vAlign w:val="center"/>
          </w:tcPr>
          <w:p>
            <w:pPr>
              <w:jc w:val="right"/>
              <w:rPr>
                <w:rFonts w:ascii="宋体" w:hAnsi="宋体"/>
              </w:rPr>
            </w:pPr>
          </w:p>
        </w:tc>
      </w:tr>
      <w:tr>
        <w:trPr>
          <w:trHeight w:val="285"/>
        </w:trPr>
        <w:tc>
          <w:tcPr>
            <w:tcW w:w="3393" w:type="dxa"/>
            <w:vAlign w:val="center"/>
          </w:tcPr>
          <w:p>
            <w:pPr>
              <w:pStyle w:val="Style217"/>
            </w:pPr>
            <w:r>
              <w:rPr>
                <w:rFonts w:hint="eastAsia"/>
              </w:rPr>
              <w:t>三、期末现金及现金等价物余额</w:t>
            </w:r>
          </w:p>
        </w:tc>
        <w:tc>
          <w:tcPr>
            <w:tcW w:w="2921" w:type="dxa"/>
            <w:vAlign w:val="center"/>
          </w:tcPr>
          <w:p>
            <w:pPr>
              <w:jc w:val="right"/>
              <w:rPr>
                <w:rFonts w:ascii="宋体" w:hAnsi="宋体"/>
              </w:rPr>
            </w:pPr>
            <w:r>
              <w:rPr>
                <w:rFonts w:ascii="宋体" w:hAnsi="宋体"/>
              </w:rPr>
              <w:t>26,676,555</w:t>
            </w:r>
          </w:p>
        </w:tc>
        <w:tc>
          <w:tcPr>
            <w:tcW w:w="2734" w:type="dxa"/>
            <w:vAlign w:val="center"/>
          </w:tcPr>
          <w:p>
            <w:pPr>
              <w:jc w:val="right"/>
              <w:rPr>
                <w:rFonts w:ascii="宋体" w:hAnsi="宋体"/>
              </w:rPr>
            </w:pPr>
            <w:r>
              <w:rPr>
                <w:rFonts w:ascii="宋体" w:hAnsi="宋体"/>
              </w:rPr>
              <w:t>31,485,290</w:t>
            </w:r>
          </w:p>
        </w:tc>
      </w:tr>
    </w:tbl>
    <w:p>
      <w:pPr>
        <w:spacing w:before="60" w:after="60"/>
      </w:pPr>
    </w:p>
    <w:p>
      <w:pPr>
        <w:pStyle w:val="Style179"/>
        <w:numPr>
          <w:ilvl w:val="0"/>
          <w:numId w:val="112"/>
        </w:numPr>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134839299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12"/>
        </w:numPr>
      </w:pPr>
      <w:r>
        <w:rPr>
          <w:rFonts w:hint="eastAsia"/>
        </w:rPr>
        <w:t>不属于现金及现金等价物的货币资金</w:t>
      </w:r>
    </w:p>
    <w:sdt>
      <w:sdtPr>
        <w:alias w:val="是否适用：不属于现金及现金等价物的货币资金[双击切换]"/>
        <w:tag w:val="_GBC_a99c932c933e4271bbb13783f71a0a6a"/>
        <w:id w:val="-9663562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b/>
        </w:rPr>
      </w:pPr>
      <w:r>
        <w:rPr>
          <w:rFonts w:hint="eastAsia"/>
        </w:rPr>
        <w:lastRenderedPageBreak/>
        <w:t>单位：</w:t>
      </w:r>
      <w:sdt>
        <w:sdtPr>
          <w:rPr>
            <w:rFonts w:hint="eastAsia"/>
          </w:rPr>
          <w:alias w:val="单位：不属于现金及现金等价物的货币资金"/>
          <w:tag w:val="_GBC_311192fb7d0840a69edd7ce6fa2157eb"/>
          <w:id w:val="196677538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不属于现金及现金等价物的货币资金"/>
          <w:tag w:val="_GBC_cde2361bbc3b437fb26c333fda8ecd42"/>
          <w:id w:val="-2932979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985"/>
        <w:gridCol w:w="1814"/>
        <w:gridCol w:w="2843"/>
      </w:tblGrid>
      <w:tr>
        <w:trPr>
          <w:trHeight w:val="196"/>
        </w:trPr>
        <w:sdt>
          <w:sdtPr>
            <w:tag w:val="_PLD_d9c8cb09365d46d38034e5ade953a094"/>
            <w:id w:val="-1096863630"/>
          </w:sdtPr>
          <w:sdtContent>
            <w:tc>
              <w:tcPr>
                <w:tcW w:w="2405" w:type="dxa"/>
                <w:tcBorders>
                  <w:bottom w:val="single" w:sz="4" w:space="0" w:color="auto"/>
                </w:tcBorders>
                <w:vAlign w:val="center"/>
              </w:tcPr>
              <w:p>
                <w:pPr>
                  <w:ind w:leftChars="-51" w:left="-107"/>
                  <w:jc w:val="center"/>
                </w:pPr>
                <w:r>
                  <w:rPr>
                    <w:rFonts w:hint="eastAsia"/>
                  </w:rPr>
                  <w:t>项目</w:t>
                </w:r>
              </w:p>
            </w:tc>
          </w:sdtContent>
        </w:sdt>
        <w:tc>
          <w:tcPr>
            <w:tcW w:w="1985" w:type="dxa"/>
            <w:vAlign w:val="center"/>
          </w:tcPr>
          <w:p>
            <w:pPr>
              <w:jc w:val="center"/>
              <w:rPr>
                <w:bCs/>
              </w:rPr>
            </w:pPr>
            <w:r>
              <w:rPr>
                <w:rFonts w:ascii="宋体" w:hAnsi="宋体" w:cs="宋体" w:hint="eastAsia"/>
                <w:bCs/>
              </w:rPr>
              <w:t>本期金额</w:t>
            </w:r>
          </w:p>
        </w:tc>
        <w:tc>
          <w:tcPr>
            <w:tcW w:w="1814" w:type="dxa"/>
            <w:vAlign w:val="center"/>
          </w:tcPr>
          <w:p>
            <w:pPr>
              <w:jc w:val="center"/>
              <w:rPr>
                <w:bCs/>
              </w:rPr>
            </w:pPr>
            <w:r>
              <w:rPr>
                <w:rFonts w:ascii="宋体" w:hAnsi="宋体" w:cs="宋体" w:hint="eastAsia"/>
                <w:bCs/>
              </w:rPr>
              <w:t>上期金额</w:t>
            </w:r>
          </w:p>
        </w:tc>
        <w:sdt>
          <w:sdtPr>
            <w:tag w:val="_PLD_69b726c74b0048fda47c0fa56f9e1a5e"/>
            <w:id w:val="-557551724"/>
          </w:sdtPr>
          <w:sdtContent>
            <w:tc>
              <w:tcPr>
                <w:tcW w:w="2843" w:type="dxa"/>
                <w:vAlign w:val="center"/>
              </w:tcPr>
              <w:p>
                <w:pPr>
                  <w:jc w:val="center"/>
                </w:pPr>
                <w:r>
                  <w:rPr>
                    <w:rFonts w:hint="eastAsia"/>
                  </w:rPr>
                  <w:t>理由</w:t>
                </w:r>
              </w:p>
            </w:tc>
          </w:sdtContent>
        </w:sdt>
      </w:tr>
      <w:tr>
        <w:trPr>
          <w:trHeight w:val="121"/>
        </w:trPr>
        <w:tc>
          <w:tcPr>
            <w:tcW w:w="2405" w:type="dxa"/>
          </w:tcPr>
          <w:p>
            <w:pPr>
              <w:pStyle w:val="Style217"/>
            </w:pPr>
            <w:r>
              <w:rPr>
                <w:rFonts w:hint="eastAsia"/>
              </w:rPr>
              <w:t>票据及信用证保证金</w:t>
            </w:r>
          </w:p>
        </w:tc>
        <w:tc>
          <w:tcPr>
            <w:tcW w:w="1985" w:type="dxa"/>
          </w:tcPr>
          <w:p>
            <w:pPr>
              <w:jc w:val="right"/>
              <w:rPr>
                <w:rFonts w:ascii="宋体" w:hAnsi="宋体"/>
              </w:rPr>
            </w:pPr>
            <w:r>
              <w:rPr>
                <w:rFonts w:ascii="宋体" w:hAnsi="宋体" w:hint="eastAsia"/>
              </w:rPr>
              <w:t>3,170,035</w:t>
            </w:r>
          </w:p>
        </w:tc>
        <w:tc>
          <w:tcPr>
            <w:tcW w:w="1814" w:type="dxa"/>
          </w:tcPr>
          <w:p>
            <w:pPr>
              <w:jc w:val="right"/>
              <w:rPr>
                <w:rFonts w:ascii="宋体" w:hAnsi="宋体"/>
              </w:rPr>
            </w:pPr>
            <w:r>
              <w:rPr>
                <w:rFonts w:ascii="宋体" w:hAnsi="宋体" w:hint="eastAsia"/>
              </w:rPr>
              <w:t>3,459,211</w:t>
            </w:r>
          </w:p>
        </w:tc>
        <w:tc>
          <w:tcPr>
            <w:tcW w:w="2843" w:type="dxa"/>
          </w:tcPr>
          <w:p>
            <w:pPr>
              <w:pStyle w:val="Style217"/>
            </w:pPr>
            <w:r>
              <w:rPr>
                <w:rFonts w:hint="eastAsia"/>
              </w:rPr>
              <w:t>票据及信用证保证金</w:t>
            </w:r>
          </w:p>
        </w:tc>
      </w:tr>
      <w:tr>
        <w:trPr>
          <w:trHeight w:val="121"/>
        </w:trPr>
        <w:tc>
          <w:tcPr>
            <w:tcW w:w="2405" w:type="dxa"/>
          </w:tcPr>
          <w:p>
            <w:pPr>
              <w:pStyle w:val="Style217"/>
            </w:pPr>
            <w:r>
              <w:rPr>
                <w:rFonts w:hint="eastAsia"/>
              </w:rPr>
              <w:t>环境恢复治理基金</w:t>
            </w:r>
          </w:p>
        </w:tc>
        <w:tc>
          <w:tcPr>
            <w:tcW w:w="1985" w:type="dxa"/>
          </w:tcPr>
          <w:p>
            <w:pPr>
              <w:jc w:val="right"/>
              <w:rPr>
                <w:rFonts w:ascii="宋体" w:hAnsi="宋体"/>
              </w:rPr>
            </w:pPr>
            <w:r>
              <w:rPr>
                <w:rFonts w:ascii="宋体" w:hAnsi="宋体" w:hint="eastAsia"/>
              </w:rPr>
              <w:t>5,495,680</w:t>
            </w:r>
          </w:p>
        </w:tc>
        <w:tc>
          <w:tcPr>
            <w:tcW w:w="1814" w:type="dxa"/>
          </w:tcPr>
          <w:p>
            <w:pPr>
              <w:jc w:val="right"/>
              <w:rPr>
                <w:rFonts w:ascii="宋体" w:hAnsi="宋体"/>
              </w:rPr>
            </w:pPr>
            <w:r>
              <w:rPr>
                <w:rFonts w:ascii="宋体" w:hAnsi="宋体" w:hint="eastAsia"/>
              </w:rPr>
              <w:t>4,761,678</w:t>
            </w:r>
          </w:p>
        </w:tc>
        <w:tc>
          <w:tcPr>
            <w:tcW w:w="2843" w:type="dxa"/>
          </w:tcPr>
          <w:p>
            <w:pPr>
              <w:pStyle w:val="Style217"/>
            </w:pPr>
            <w:r>
              <w:rPr>
                <w:rFonts w:hint="eastAsia"/>
              </w:rPr>
              <w:t>环境恢复治理基金</w:t>
            </w:r>
          </w:p>
        </w:tc>
      </w:tr>
      <w:tr>
        <w:trPr>
          <w:trHeight w:val="121"/>
        </w:trPr>
        <w:tc>
          <w:tcPr>
            <w:tcW w:w="2405" w:type="dxa"/>
          </w:tcPr>
          <w:p>
            <w:pPr>
              <w:pStyle w:val="Style217"/>
            </w:pPr>
            <w:r>
              <w:rPr>
                <w:rFonts w:hint="eastAsia"/>
              </w:rPr>
              <w:t>法定存款保证金</w:t>
            </w:r>
          </w:p>
        </w:tc>
        <w:tc>
          <w:tcPr>
            <w:tcW w:w="1985" w:type="dxa"/>
          </w:tcPr>
          <w:p>
            <w:pPr>
              <w:jc w:val="right"/>
              <w:rPr>
                <w:rFonts w:ascii="宋体" w:hAnsi="宋体"/>
              </w:rPr>
            </w:pPr>
            <w:r>
              <w:rPr>
                <w:rFonts w:ascii="宋体" w:hAnsi="宋体" w:hint="eastAsia"/>
              </w:rPr>
              <w:t>1,575,697</w:t>
            </w:r>
          </w:p>
        </w:tc>
        <w:tc>
          <w:tcPr>
            <w:tcW w:w="1814" w:type="dxa"/>
          </w:tcPr>
          <w:p>
            <w:pPr>
              <w:jc w:val="right"/>
              <w:rPr>
                <w:rFonts w:ascii="宋体" w:hAnsi="宋体"/>
              </w:rPr>
            </w:pPr>
            <w:r>
              <w:rPr>
                <w:rFonts w:ascii="宋体" w:hAnsi="宋体" w:hint="eastAsia"/>
              </w:rPr>
              <w:t>1,232,669</w:t>
            </w:r>
          </w:p>
        </w:tc>
        <w:tc>
          <w:tcPr>
            <w:tcW w:w="2843" w:type="dxa"/>
          </w:tcPr>
          <w:p>
            <w:pPr>
              <w:pStyle w:val="Style217"/>
            </w:pPr>
            <w:r>
              <w:rPr>
                <w:rFonts w:hint="eastAsia"/>
              </w:rPr>
              <w:t>法定存款保证金</w:t>
            </w:r>
          </w:p>
        </w:tc>
      </w:tr>
      <w:tr>
        <w:trPr>
          <w:trHeight w:val="121"/>
        </w:trPr>
        <w:tc>
          <w:tcPr>
            <w:tcW w:w="2405" w:type="dxa"/>
          </w:tcPr>
          <w:p>
            <w:pPr>
              <w:pStyle w:val="Style217"/>
            </w:pPr>
            <w:r>
              <w:rPr>
                <w:rFonts w:hint="eastAsia"/>
              </w:rPr>
              <w:t>冻结资金</w:t>
            </w:r>
          </w:p>
        </w:tc>
        <w:tc>
          <w:tcPr>
            <w:tcW w:w="1985" w:type="dxa"/>
          </w:tcPr>
          <w:p>
            <w:pPr>
              <w:jc w:val="right"/>
              <w:rPr>
                <w:rFonts w:ascii="宋体" w:hAnsi="宋体"/>
              </w:rPr>
            </w:pPr>
            <w:r>
              <w:rPr>
                <w:rFonts w:ascii="宋体" w:hAnsi="宋体" w:hint="eastAsia"/>
              </w:rPr>
              <w:t>31,996</w:t>
            </w:r>
          </w:p>
        </w:tc>
        <w:tc>
          <w:tcPr>
            <w:tcW w:w="1814" w:type="dxa"/>
          </w:tcPr>
          <w:p>
            <w:pPr>
              <w:jc w:val="right"/>
              <w:rPr>
                <w:rFonts w:ascii="宋体" w:hAnsi="宋体"/>
              </w:rPr>
            </w:pPr>
            <w:r>
              <w:rPr>
                <w:rFonts w:ascii="宋体" w:hAnsi="宋体" w:hint="eastAsia"/>
              </w:rPr>
              <w:t>16,504</w:t>
            </w:r>
          </w:p>
        </w:tc>
        <w:tc>
          <w:tcPr>
            <w:tcW w:w="2843" w:type="dxa"/>
          </w:tcPr>
          <w:p>
            <w:pPr>
              <w:pStyle w:val="Style217"/>
            </w:pPr>
            <w:r>
              <w:rPr>
                <w:rFonts w:hint="eastAsia"/>
              </w:rPr>
              <w:t>冻结资金</w:t>
            </w:r>
          </w:p>
        </w:tc>
      </w:tr>
      <w:tr>
        <w:trPr>
          <w:trHeight w:val="121"/>
        </w:trPr>
        <w:tc>
          <w:tcPr>
            <w:tcW w:w="2405" w:type="dxa"/>
          </w:tcPr>
          <w:p>
            <w:pPr>
              <w:pStyle w:val="Style217"/>
            </w:pPr>
            <w:r>
              <w:rPr>
                <w:rFonts w:hint="eastAsia"/>
              </w:rPr>
              <w:t>质押的定期存款</w:t>
            </w:r>
          </w:p>
        </w:tc>
        <w:tc>
          <w:tcPr>
            <w:tcW w:w="1985" w:type="dxa"/>
          </w:tcPr>
          <w:p>
            <w:pPr>
              <w:jc w:val="right"/>
              <w:rPr>
                <w:rFonts w:ascii="宋体" w:hAnsi="宋体"/>
              </w:rPr>
            </w:pPr>
            <w:r>
              <w:rPr>
                <w:rFonts w:ascii="宋体" w:hAnsi="宋体" w:hint="eastAsia"/>
              </w:rPr>
              <w:t>3,340</w:t>
            </w:r>
          </w:p>
        </w:tc>
        <w:tc>
          <w:tcPr>
            <w:tcW w:w="1814" w:type="dxa"/>
          </w:tcPr>
          <w:p>
            <w:pPr>
              <w:jc w:val="right"/>
              <w:rPr>
                <w:rFonts w:ascii="宋体" w:hAnsi="宋体"/>
              </w:rPr>
            </w:pPr>
            <w:r>
              <w:rPr>
                <w:rFonts w:ascii="宋体" w:hAnsi="宋体" w:hint="eastAsia"/>
              </w:rPr>
              <w:t>14,720</w:t>
            </w:r>
          </w:p>
        </w:tc>
        <w:tc>
          <w:tcPr>
            <w:tcW w:w="2843" w:type="dxa"/>
          </w:tcPr>
          <w:p>
            <w:pPr>
              <w:pStyle w:val="Style217"/>
            </w:pPr>
            <w:r>
              <w:rPr>
                <w:rFonts w:hint="eastAsia"/>
              </w:rPr>
              <w:t>质押的定期存款</w:t>
            </w:r>
          </w:p>
        </w:tc>
      </w:tr>
      <w:tr>
        <w:trPr>
          <w:trHeight w:val="121"/>
        </w:trPr>
        <w:tc>
          <w:tcPr>
            <w:tcW w:w="2405" w:type="dxa"/>
          </w:tcPr>
          <w:p>
            <w:pPr>
              <w:pStyle w:val="Style217"/>
            </w:pPr>
            <w:r>
              <w:rPr>
                <w:rFonts w:hint="eastAsia"/>
              </w:rPr>
              <w:t>其他保证金</w:t>
            </w:r>
          </w:p>
        </w:tc>
        <w:tc>
          <w:tcPr>
            <w:tcW w:w="1985" w:type="dxa"/>
          </w:tcPr>
          <w:p>
            <w:pPr>
              <w:jc w:val="right"/>
              <w:rPr>
                <w:rFonts w:ascii="宋体" w:hAnsi="宋体"/>
              </w:rPr>
            </w:pPr>
            <w:r>
              <w:rPr>
                <w:rFonts w:ascii="宋体" w:hAnsi="宋体"/>
              </w:rPr>
              <w:t>474,722</w:t>
            </w:r>
          </w:p>
        </w:tc>
        <w:tc>
          <w:tcPr>
            <w:tcW w:w="1814" w:type="dxa"/>
            <w:vAlign w:val="center"/>
          </w:tcPr>
          <w:p>
            <w:pPr>
              <w:jc w:val="right"/>
              <w:rPr>
                <w:rFonts w:ascii="宋体" w:hAnsi="宋体"/>
              </w:rPr>
            </w:pPr>
            <w:r>
              <w:rPr>
                <w:rFonts w:ascii="宋体" w:hAnsi="宋体"/>
              </w:rPr>
              <w:t>108,519</w:t>
            </w:r>
          </w:p>
        </w:tc>
        <w:tc>
          <w:tcPr>
            <w:tcW w:w="2843" w:type="dxa"/>
          </w:tcPr>
          <w:p>
            <w:pPr>
              <w:pStyle w:val="Style217"/>
            </w:pPr>
            <w:r>
              <w:rPr>
                <w:rFonts w:hint="eastAsia"/>
              </w:rPr>
              <w:t>其他保证金</w:t>
            </w:r>
          </w:p>
        </w:tc>
      </w:tr>
      <w:tr>
        <w:trPr>
          <w:trHeight w:val="125"/>
        </w:trPr>
        <w:tc>
          <w:tcPr>
            <w:tcW w:w="2405" w:type="dxa"/>
            <w:vAlign w:val="center"/>
          </w:tcPr>
          <w:p>
            <w:pPr>
              <w:jc w:val="center"/>
            </w:pPr>
            <w:r>
              <w:t>合计</w:t>
            </w:r>
          </w:p>
        </w:tc>
        <w:tc>
          <w:tcPr>
            <w:tcW w:w="1985" w:type="dxa"/>
            <w:vAlign w:val="center"/>
          </w:tcPr>
          <w:p>
            <w:pPr>
              <w:jc w:val="right"/>
              <w:rPr>
                <w:rFonts w:ascii="宋体" w:hAnsi="宋体"/>
              </w:rPr>
            </w:pPr>
            <w:r>
              <w:rPr>
                <w:rFonts w:ascii="宋体" w:hAnsi="宋体"/>
              </w:rPr>
              <w:t>10,751,470</w:t>
            </w:r>
          </w:p>
        </w:tc>
        <w:tc>
          <w:tcPr>
            <w:tcW w:w="1814" w:type="dxa"/>
            <w:vAlign w:val="center"/>
          </w:tcPr>
          <w:p>
            <w:pPr>
              <w:jc w:val="right"/>
              <w:rPr>
                <w:rFonts w:ascii="宋体" w:hAnsi="宋体"/>
              </w:rPr>
            </w:pPr>
            <w:r>
              <w:rPr>
                <w:rFonts w:ascii="宋体" w:hAnsi="宋体"/>
              </w:rPr>
              <w:t>9,593,301</w:t>
            </w:r>
          </w:p>
        </w:tc>
        <w:tc>
          <w:tcPr>
            <w:tcW w:w="2843" w:type="dxa"/>
            <w:vAlign w:val="center"/>
          </w:tcPr>
          <w:p>
            <w:pPr>
              <w:jc w:val="center"/>
            </w:pPr>
            <w:r>
              <w:rPr>
                <w:rFonts w:hint="eastAsia"/>
              </w:rPr>
              <w:t>/</w:t>
            </w:r>
          </w:p>
        </w:tc>
      </w:tr>
    </w:tbl>
    <w:p>
      <w:pPr>
        <w:spacing w:before="60" w:after="60"/>
      </w:pPr>
    </w:p>
    <w:p>
      <w:pPr>
        <w:spacing w:before="60" w:after="60"/>
      </w:pPr>
      <w:r>
        <w:rPr>
          <w:rFonts w:hint="eastAsia"/>
        </w:rPr>
        <w:t>其他说明：</w:t>
      </w:r>
    </w:p>
    <w:sdt>
      <w:sdtPr>
        <w:alias w:val="是否适用：现金流量表补充资料的说明[双击切换]"/>
        <w:tag w:val="_GBC_73894bf4981b4beaae2551b205a2e7cc"/>
        <w:id w:val="-588470791"/>
        <w:placeholder>
          <w:docPart w:val="GBC22222222222222222222222222222"/>
        </w:placeholder>
      </w:sdtPr>
      <w:sdtContent>
        <w:p>
          <w:pPr>
            <w:spacing w:before="60" w:after="60"/>
            <w:rPr>
              <w:szCs w:val="22"/>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bookmarkEnd w:id="519"/>
    <w:p>
      <w:pPr>
        <w:pStyle w:val="Style178"/>
        <w:numPr>
          <w:ilvl w:val="0"/>
          <w:numId w:val="75"/>
        </w:numPr>
        <w:rPr>
          <w:szCs w:val="21"/>
        </w:rPr>
      </w:pPr>
      <w:r>
        <w:rPr>
          <w:szCs w:val="21"/>
        </w:rPr>
        <w:t>所有者权益变动表项目注释</w:t>
      </w:r>
    </w:p>
    <w:p>
      <w:pPr>
        <w:pStyle w:val="Style217"/>
      </w:pPr>
      <w:r>
        <w:rPr>
          <w:rFonts w:hint="eastAsia"/>
        </w:rPr>
        <w:t>说明对上年期末余额进行调整的“其他”项目名称及调整金额等事项：</w:t>
      </w:r>
    </w:p>
    <w:sdt>
      <w:sdtPr>
        <w:alias w:val="是否适用：所有者权益变动表项目注释[双击切换]"/>
        <w:tag w:val="_GBC_fca039532a374a3e9daa81c75d491b1f"/>
        <w:id w:val="-173338335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75"/>
        </w:numPr>
        <w:rPr>
          <w:szCs w:val="21"/>
        </w:rPr>
      </w:pPr>
      <w:r>
        <w:rPr>
          <w:szCs w:val="21"/>
        </w:rPr>
        <w:t>外币货币性项目</w:t>
      </w:r>
    </w:p>
    <w:p>
      <w:pPr>
        <w:pStyle w:val="Style179"/>
        <w:numPr>
          <w:ilvl w:val="0"/>
          <w:numId w:val="113"/>
        </w:numPr>
        <w:ind w:left="426" w:hanging="426"/>
        <w:rPr>
          <w:rFonts w:ascii="宋体" w:hAnsi="宋体"/>
          <w:b w:val="0"/>
          <w:szCs w:val="21"/>
        </w:rPr>
      </w:pPr>
      <w:r>
        <w:rPr>
          <w:rStyle w:val="Style103"/>
          <w:rFonts w:ascii="宋体" w:hAnsi="宋体" w:hint="eastAsia"/>
          <w:b/>
          <w:szCs w:val="21"/>
        </w:rPr>
        <w:t>外币货币性项目</w:t>
      </w:r>
    </w:p>
    <w:sdt>
      <w:sdtPr>
        <w:alias w:val="是否适用：外币货币性项目[双击切换]"/>
        <w:tag w:val="_GBC_6b0f646811a94c228ba6be3453047191"/>
        <w:id w:val="-143890973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6704508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千元</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2048"/>
        <w:gridCol w:w="2057"/>
        <w:gridCol w:w="2045"/>
      </w:tblGrid>
      <w:tr>
        <w:sdt>
          <w:sdtPr>
            <w:tag w:val="_PLD_a5c3516dfa974dea983fcf6d3a5e4272"/>
            <w:id w:val="1675609718"/>
          </w:sdtPr>
          <w:sdtContent>
            <w:tc>
              <w:tcPr>
                <w:tcW w:w="289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c677b8fd217342e7b28e98a1c8e497e9"/>
            <w:id w:val="-68727347"/>
          </w:sdtPr>
          <w:sdtContent>
            <w:tc>
              <w:tcPr>
                <w:tcW w:w="2048"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期末外币余额</w:t>
                </w:r>
              </w:p>
            </w:tc>
          </w:sdtContent>
        </w:sdt>
        <w:sdt>
          <w:sdtPr>
            <w:tag w:val="_PLD_e0e88022a2754ae991eb4bb1a9caae4f"/>
            <w:id w:val="173533613"/>
          </w:sdtPr>
          <w:sdtContent>
            <w:tc>
              <w:tcPr>
                <w:tcW w:w="205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折算汇率</w:t>
                </w:r>
              </w:p>
            </w:tc>
          </w:sdtContent>
        </w:sdt>
        <w:sdt>
          <w:sdtPr>
            <w:tag w:val="_PLD_a1542d7b69a444ef9e91ceaf4a96f49d"/>
            <w:id w:val="30626311"/>
          </w:sdtPr>
          <w:sdtContent>
            <w:tc>
              <w:tcPr>
                <w:tcW w:w="204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期末折算人民币</w:t>
                </w:r>
              </w:p>
              <w:p>
                <w:pPr>
                  <w:jc w:val="center"/>
                </w:pPr>
                <w:r>
                  <w:rPr>
                    <w:rFonts w:hint="eastAsia"/>
                  </w:rPr>
                  <w:t>余额</w:t>
                </w:r>
              </w:p>
            </w:tc>
          </w:sdtContent>
        </w:sdt>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货币资金</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其中：</w:t>
            </w:r>
            <w:sdt>
              <w:sdtPr>
                <w:alias w:val="以外币核算的币种明细-币种名称"/>
                <w:tag w:val="_GBC_b9ad493c07994625bf872e807197c998"/>
                <w:id w:val="80913911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537,95</w:t>
            </w:r>
            <w:r>
              <w:rPr>
                <w:rFonts w:ascii="宋体" w:hAnsi="宋体" w:hint="eastAsia"/>
              </w:rPr>
              <w:t>1</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7.0288</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3,781,1</w:t>
            </w:r>
            <w:r>
              <w:rPr>
                <w:rFonts w:ascii="宋体" w:hAnsi="宋体" w:hint="eastAsia"/>
              </w:rPr>
              <w:t>50</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 xml:space="preserve">　　　</w:t>
            </w:r>
            <w:sdt>
              <w:sdtPr>
                <w:alias w:val="以外币核算的币种明细-币种名称"/>
                <w:tag w:val="_GBC_b9ad493c07994625bf872e807197c998"/>
                <w:id w:val="-120254761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澳元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1,692,002</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7,932,444</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 xml:space="preserve">　　　</w:t>
            </w:r>
            <w:sdt>
              <w:sdtPr>
                <w:alias w:val="以外币核算的币种明细-币种名称"/>
                <w:tag w:val="_GBC_b9ad493c07994625bf872e807197c998"/>
                <w:id w:val="185607303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180,440</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0.9032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162,973</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 xml:space="preserve">　　　</w:t>
            </w:r>
            <w:sdt>
              <w:sdtPr>
                <w:rPr>
                  <w:rFonts w:hint="eastAsia"/>
                </w:rPr>
                <w:alias w:val="以外币核算的币种明细-币种名称"/>
                <w:tag w:val="_GBC_b9ad493c07994625bf872e807197c998"/>
                <w:id w:val="-66000021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rP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1,873</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15,425</w:t>
            </w:r>
          </w:p>
        </w:tc>
      </w:tr>
      <w:tr>
        <w:tc>
          <w:tcPr>
            <w:tcW w:w="2897" w:type="dxa"/>
            <w:tcBorders>
              <w:top w:val="single" w:sz="4" w:space="0" w:color="auto"/>
              <w:left w:val="single" w:sz="4" w:space="0" w:color="auto"/>
              <w:bottom w:val="single" w:sz="4" w:space="0" w:color="auto"/>
              <w:right w:val="single" w:sz="4" w:space="0" w:color="auto"/>
            </w:tcBorders>
            <w:vAlign w:val="center"/>
          </w:tcPr>
          <w:p>
            <w:pPr>
              <w:ind w:firstLineChars="300" w:firstLine="630"/>
            </w:pPr>
            <w:r>
              <w:rPr>
                <w:rFonts w:hint="eastAsia"/>
              </w:rPr>
              <w:t>加元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337</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5.1142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1,723</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应收账款</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其中：</w:t>
            </w:r>
            <w:sdt>
              <w:sdtPr>
                <w:alias w:val="以外币核算的币种明细-币种名称"/>
                <w:tag w:val="_GBC_b9ad493c07994625bf872e807197c998"/>
                <w:id w:val="56229273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37,862</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7.0288</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266,124</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 xml:space="preserve">　　　</w:t>
            </w:r>
            <w:sdt>
              <w:sdtPr>
                <w:alias w:val="以外币核算的币种明细-币种名称"/>
                <w:tag w:val="_GBC_b9ad493c07994625bf872e807197c998"/>
                <w:id w:val="83233590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101,970</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839,774</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 xml:space="preserve">　　　</w:t>
            </w:r>
            <w:sdt>
              <w:sdtPr>
                <w:alias w:val="以外币核算的币种明细-币种名称"/>
                <w:tag w:val="_GBC_b9ad493c07994625bf872e807197c998"/>
                <w:id w:val="101048872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澳元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438,061</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2,053,718</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其他应收款</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其中：美元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36,727</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7.0288</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258,147</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澳元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36,925</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173,112</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港币</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988,320</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0.9032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892,651</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欧元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3,939</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32,440</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加元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5.1142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41</w:t>
            </w: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其他流动资产</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其中：欧元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9,145</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75,314</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澳元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30,877</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144,758</w:t>
            </w: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长期应收款</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其中：澳元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3,231</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15,148</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欧元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6,135</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50,525</w:t>
            </w: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其他非流动资产</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lastRenderedPageBreak/>
              <w:t>其中：欧元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158</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1,301</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澳元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101,552</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476,096</w:t>
            </w: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应付账款</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其中：美元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116</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7.0288</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815</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澳元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958,465</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4,493,476</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欧元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36,016</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296,610</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加元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267</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5.1142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1,365</w:t>
            </w: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其他应付款</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其中：美元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33,125</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7.0288</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232,829</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欧元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7,610</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62,672</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澳元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1,657</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7,768</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港币</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10,681,674</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0.9032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9,647,688</w:t>
            </w: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短期借款</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其中：欧元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12,036</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99,122</w:t>
            </w: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一年内到期的非流动负债</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其中：澳元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217,746</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1,020,837</w:t>
            </w:r>
          </w:p>
        </w:tc>
      </w:tr>
      <w:tr>
        <w:tc>
          <w:tcPr>
            <w:tcW w:w="2897" w:type="dxa"/>
            <w:tcBorders>
              <w:top w:val="single" w:sz="4" w:space="0" w:color="auto"/>
              <w:left w:val="single" w:sz="4" w:space="0" w:color="auto"/>
              <w:bottom w:val="single" w:sz="4" w:space="0" w:color="auto"/>
              <w:right w:val="single" w:sz="4" w:space="0" w:color="auto"/>
            </w:tcBorders>
          </w:tcPr>
          <w:p>
            <w:pPr>
              <w:ind w:firstLineChars="300" w:firstLine="630"/>
            </w:pPr>
            <w:r>
              <w:rPr>
                <w:rFonts w:hint="eastAsia"/>
              </w:rPr>
              <w:t>欧元</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875</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7,206</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长期借款</w:t>
            </w:r>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其中：</w:t>
            </w:r>
            <w:sdt>
              <w:sdtPr>
                <w:alias w:val="以外币核算的币种明细-币种名称"/>
                <w:tag w:val="_GBC_b9ad493c07994625bf872e807197c998"/>
                <w:id w:val="128461261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12,852</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8.2355</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105,843</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 xml:space="preserve">　　　</w:t>
            </w:r>
            <w:sdt>
              <w:sdtPr>
                <w:alias w:val="以外币核算的币种明细-币种名称"/>
                <w:tag w:val="_GBC_b9ad493c07994625bf872e807197c998"/>
                <w:id w:val="-69732054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澳元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36,222</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4.6882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169,816</w:t>
            </w:r>
          </w:p>
        </w:tc>
      </w:tr>
      <w:tr>
        <w:tc>
          <w:tcPr>
            <w:tcW w:w="2897" w:type="dxa"/>
            <w:tcBorders>
              <w:top w:val="single" w:sz="4" w:space="0" w:color="auto"/>
              <w:left w:val="single" w:sz="4" w:space="0" w:color="auto"/>
              <w:bottom w:val="single" w:sz="4" w:space="0" w:color="auto"/>
              <w:right w:val="single" w:sz="4" w:space="0" w:color="auto"/>
            </w:tcBorders>
            <w:vAlign w:val="center"/>
          </w:tcPr>
          <w:p>
            <w:pPr>
              <w:pStyle w:val="Style217"/>
            </w:pPr>
            <w:r>
              <w:t xml:space="preserve">　　　</w:t>
            </w:r>
            <w:sdt>
              <w:sdtPr>
                <w:alias w:val="以外币核算的币种明细-币种名称"/>
                <w:tag w:val="_GBC_b9ad493c07994625bf872e807197c998"/>
                <w:id w:val="-194228470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505,837</w:t>
            </w:r>
          </w:p>
        </w:tc>
        <w:tc>
          <w:tcPr>
            <w:tcW w:w="205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0.9032</w:t>
            </w:r>
          </w:p>
        </w:tc>
        <w:tc>
          <w:tcPr>
            <w:tcW w:w="204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456,872</w:t>
            </w:r>
          </w:p>
        </w:tc>
      </w:tr>
    </w:tbl>
    <w:p>
      <w:pPr>
        <w:spacing w:before="60" w:after="60"/>
      </w:pPr>
      <w:r>
        <w:rPr>
          <w:rFonts w:hint="eastAsia"/>
        </w:rPr>
        <w:t>其他说明：</w:t>
      </w:r>
    </w:p>
    <w:sdt>
      <w:sdtPr>
        <w:alias w:val="外币货币性项目的其他说明"/>
        <w:tag w:val="_GBC_293dd519b8b44c699246ad508c51bbfd"/>
        <w:id w:val="1123045328"/>
        <w:placeholder>
          <w:docPart w:val="GBC22222222222222222222222222222"/>
        </w:placeholder>
      </w:sdtPr>
      <w:sdtContent>
        <w:p>
          <w:pPr>
            <w:pStyle w:val="Style217"/>
          </w:pPr>
          <w:r>
            <w:rPr>
              <w:rFonts w:hint="eastAsia"/>
            </w:rPr>
            <w:t>-</w:t>
          </w:r>
        </w:p>
      </w:sdtContent>
    </w:sdt>
    <w:p>
      <w:pPr>
        <w:pStyle w:val="Style217"/>
      </w:pPr>
    </w:p>
    <w:p>
      <w:pPr>
        <w:pStyle w:val="Style179"/>
        <w:numPr>
          <w:ilvl w:val="0"/>
          <w:numId w:val="113"/>
        </w:numPr>
        <w:ind w:left="426" w:hanging="426"/>
        <w:rPr>
          <w:rFonts w:ascii="宋体" w:hAnsi="宋体"/>
          <w:b w:val="0"/>
          <w:szCs w:val="21"/>
        </w:rPr>
      </w:pPr>
      <w:r>
        <w:rPr>
          <w:rStyle w:val="Style103"/>
          <w:rFonts w:ascii="宋体" w:hAnsi="宋体" w:hint="eastAsia"/>
          <w:b/>
          <w:szCs w:val="21"/>
        </w:rPr>
        <w:t>境外经营实体说明，包括对于重要的境外经营实体，应披露其境外主要经营地、记账本位币及选择依据，记账本位币发生变化的还应披露原因</w:t>
      </w:r>
    </w:p>
    <w:p>
      <w:pPr>
        <w:pStyle w:val="Style217"/>
      </w:pPr>
      <w:sdt>
        <w:sdtPr>
          <w:alias w:val="是否适用：境外经营实体主要报表项目的折算汇率[双击切换]"/>
          <w:tag w:val="_GBC_c433d39e245c4fb79cd5170717bb5b9c"/>
          <w:id w:val="646475019"/>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sdt>
      <w:sdtPr>
        <w:alias w:val="境外经营实体主要报表项目的折算汇率"/>
        <w:tag w:val="_GBC_24ad08f8e8ec4d4db3f0bf80f7306c7e"/>
        <w:id w:val="-1890172893"/>
        <w:placeholder>
          <w:docPart w:val="GBC22222222222222222222222222222"/>
        </w:placeholder>
      </w:sdtPr>
      <w:sdtContent>
        <w:p>
          <w:pPr>
            <w:pStyle w:val="Style217"/>
          </w:pP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2"/>
          </w:tblGrid>
          <w:tr>
            <w:trPr>
              <w:trHeight w:val="397"/>
              <w:tblHeader/>
              <w:jc w:val="center"/>
            </w:trPr>
            <w:tc>
              <w:tcPr>
                <w:tcW w:w="2500" w:type="pct"/>
                <w:shd w:val="clear" w:color="auto" w:fill="auto"/>
                <w:vAlign w:val="center"/>
              </w:tcPr>
              <w:p>
                <w:pPr>
                  <w:jc w:val="center"/>
                  <w:rPr>
                    <w:rFonts w:ascii="宋体" w:hAnsi="宋体" w:cs="宋体"/>
                    <w:b/>
                    <w:bCs/>
                    <w:color w:val="000000"/>
                  </w:rPr>
                </w:pPr>
                <w:r>
                  <w:rPr>
                    <w:rFonts w:ascii="宋体" w:hAnsi="宋体" w:cs="宋体" w:hint="eastAsia"/>
                    <w:b/>
                    <w:bCs/>
                    <w:color w:val="000000"/>
                  </w:rPr>
                  <w:t>子公司名称</w:t>
                </w:r>
              </w:p>
            </w:tc>
            <w:tc>
              <w:tcPr>
                <w:tcW w:w="2500" w:type="pct"/>
                <w:shd w:val="clear" w:color="auto" w:fill="auto"/>
                <w:vAlign w:val="center"/>
              </w:tcPr>
              <w:p>
                <w:pPr>
                  <w:jc w:val="center"/>
                  <w:rPr>
                    <w:rFonts w:ascii="宋体" w:hAnsi="宋体" w:cs="宋体"/>
                    <w:b/>
                    <w:bCs/>
                    <w:color w:val="000000"/>
                  </w:rPr>
                </w:pPr>
                <w:r>
                  <w:rPr>
                    <w:rFonts w:ascii="宋体" w:hAnsi="宋体" w:cs="宋体" w:hint="eastAsia"/>
                    <w:b/>
                    <w:bCs/>
                    <w:color w:val="000000"/>
                  </w:rPr>
                  <w:t>记账本位币</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兖州煤业澳大利亚有限公司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格罗斯特煤炭有限公司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兖煤澳大利亚资源有限公司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兖煤澳大利亚配煤销售有限公司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兖煤矿业服务有限公司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联合煤炭工业有限公司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兖煤澳洲莫拉本私有有限公司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沃特岗矿业有限公司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兖煤保险股份有限公司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兖煤国际（控股）有限公司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港币</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兖煤国际技术开发有限公司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港币</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兖煤国际资源开发有限公司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港币</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lastRenderedPageBreak/>
                  <w:t>兖煤卢森堡资源有限公司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美元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亚森纳（控股）有限公司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汤佛（控股）有限公司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rPr>
                  <w:t>维尔皮纳（控股）有限公司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rPr>
                  <w:t>普力马（控股）有限公司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兖煤能源有限公司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兖煤技术发展（控股）有限公司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澳元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兖矿瑞丰（香港）有限公司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港币</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中垠（香港）有限公司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港币</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SMTScharfAG(沙尔夫股份公司)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SMTScharfGmbH</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SerelektronikGmbH</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SMTScharfPolskaSp.z.o.o.</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SMTScharfAfrica(Pty.)Ltd</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SMTScharfSudamericaSpA</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RDHMiningEquipment</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OOOSMTScharf</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OOOSMTScharfService</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CFH GmbH</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欧元</w:t>
                </w:r>
              </w:p>
            </w:tc>
          </w:tr>
          <w:tr>
            <w:trPr>
              <w:trHeight w:val="397"/>
              <w:jc w:val="center"/>
            </w:trPr>
            <w:tc>
              <w:tcPr>
                <w:tcW w:w="2500" w:type="pct"/>
                <w:shd w:val="clear" w:color="auto" w:fill="auto"/>
                <w:noWrap/>
                <w:vAlign w:val="center"/>
              </w:tcPr>
              <w:p>
                <w:pPr>
                  <w:rPr>
                    <w:rFonts w:ascii="宋体" w:hAnsi="宋体" w:cs="宋体"/>
                    <w:color w:val="000000"/>
                  </w:rPr>
                </w:pPr>
                <w:r>
                  <w:rPr>
                    <w:rFonts w:ascii="宋体" w:hAnsi="宋体" w:cs="宋体" w:hint="eastAsia"/>
                  </w:rPr>
                  <w:t>兖煤加拿大资源有限公司</w:t>
                </w:r>
              </w:p>
            </w:tc>
            <w:tc>
              <w:tcPr>
                <w:tcW w:w="2500" w:type="pct"/>
                <w:shd w:val="clear" w:color="auto" w:fill="auto"/>
                <w:noWrap/>
                <w:vAlign w:val="center"/>
              </w:tcPr>
              <w:p>
                <w:pPr>
                  <w:jc w:val="center"/>
                  <w:rPr>
                    <w:rFonts w:ascii="宋体" w:hAnsi="宋体" w:cs="宋体"/>
                    <w:color w:val="000000"/>
                  </w:rPr>
                </w:pPr>
                <w:r>
                  <w:rPr>
                    <w:rFonts w:ascii="宋体" w:hAnsi="宋体" w:cs="宋体" w:hint="eastAsia"/>
                  </w:rPr>
                  <w:t>加元</w:t>
                </w:r>
              </w:p>
            </w:tc>
          </w:tr>
        </w:tbl>
        <w:p>
          <w:pPr>
            <w:pStyle w:val="Style217"/>
          </w:pPr>
        </w:p>
      </w:sdtContent>
    </w:sdt>
    <w:p>
      <w:pPr>
        <w:pStyle w:val="Style217"/>
      </w:pPr>
    </w:p>
    <w:p>
      <w:pPr>
        <w:pStyle w:val="Style178"/>
        <w:numPr>
          <w:ilvl w:val="0"/>
          <w:numId w:val="75"/>
        </w:numPr>
        <w:rPr>
          <w:szCs w:val="21"/>
        </w:rPr>
      </w:pPr>
      <w:r>
        <w:rPr>
          <w:szCs w:val="21"/>
        </w:rPr>
        <w:t>租赁</w:t>
      </w:r>
    </w:p>
    <w:p>
      <w:pPr>
        <w:pStyle w:val="Style179"/>
        <w:numPr>
          <w:ilvl w:val="0"/>
          <w:numId w:val="114"/>
        </w:numPr>
        <w:ind w:left="0" w:firstLine="0"/>
      </w:pPr>
      <w:r>
        <w:t>作为承租人</w:t>
      </w:r>
    </w:p>
    <w:sdt>
      <w:sdtPr>
        <w:alias w:val="是否适用：作为承租人[双击切换]"/>
        <w:tag w:val="_GBC_fe311ebf6010457c8817199183148161"/>
        <w:id w:val="-101361217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p>
    <w:p>
      <w:pPr>
        <w:pStyle w:val="Style179"/>
        <w:numPr>
          <w:ilvl w:val="0"/>
          <w:numId w:val="114"/>
        </w:numPr>
        <w:ind w:left="0" w:firstLine="0"/>
      </w:pPr>
      <w:r>
        <w:t>作为出租人</w:t>
      </w:r>
    </w:p>
    <w:p>
      <w:pPr>
        <w:pStyle w:val="Style217"/>
      </w:pPr>
      <w:r>
        <w:t>作为出租人的经营</w:t>
      </w:r>
      <w:r>
        <w:rPr>
          <w:rFonts w:hint="eastAsia"/>
        </w:rPr>
        <w:t>租赁</w:t>
      </w:r>
    </w:p>
    <w:sdt>
      <w:sdtPr>
        <w:rPr>
          <w:rFonts w:hint="eastAsia"/>
        </w:rPr>
        <w:alias w:val="是否适用：作为出租人的经营租赁[双击切换]"/>
        <w:tag w:val="_GBC_d5cd3a4b291f4a089f0080385207b552"/>
        <w:id w:val="-124172004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b/>
        </w:rPr>
      </w:pPr>
    </w:p>
    <w:p>
      <w:pPr>
        <w:pStyle w:val="Style217"/>
      </w:pPr>
      <w:r>
        <w:t>作为出租人的融资租赁</w:t>
      </w:r>
    </w:p>
    <w:sdt>
      <w:sdtPr>
        <w:alias w:val="是否适用：作为出租人的融资租赁[双击切换]"/>
        <w:tag w:val="_GBC_a96fee2f2d7c4192a3a8f10ae08d73cc"/>
        <w:id w:val="197486898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b/>
        </w:rPr>
      </w:pPr>
    </w:p>
    <w:p>
      <w:pPr>
        <w:pStyle w:val="Style217"/>
      </w:pPr>
      <w:r>
        <w:t>未折现租赁收款额与租赁投资净额的调节表</w:t>
      </w:r>
    </w:p>
    <w:sdt>
      <w:sdtPr>
        <w:alias w:val="是否适用：未折现租赁收款额与租赁投资净额的调节表?[双击切换]"/>
        <w:tag w:val="_GBC_4a108274280e49bd8dc1cba49cff5159"/>
        <w:id w:val="-50520770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b/>
        </w:rPr>
      </w:pPr>
    </w:p>
    <w:p>
      <w:pPr>
        <w:pStyle w:val="Style217"/>
      </w:pPr>
      <w:r>
        <w:lastRenderedPageBreak/>
        <w:t>未来五年</w:t>
      </w:r>
      <w:r>
        <w:rPr>
          <w:rFonts w:hint="eastAsia"/>
        </w:rPr>
        <w:t>未</w:t>
      </w:r>
      <w:r>
        <w:t>折现租赁收款额</w:t>
      </w:r>
    </w:p>
    <w:sdt>
      <w:sdtPr>
        <w:alias w:val="是否适用：未来五年未折现租赁收款额[双击切换]"/>
        <w:tag w:val="_GBC_60c95c043b424e188bd225c67d071e24"/>
        <w:id w:val="157477659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b/>
        </w:rPr>
      </w:pPr>
    </w:p>
    <w:p>
      <w:pPr>
        <w:pStyle w:val="Style179"/>
        <w:numPr>
          <w:ilvl w:val="0"/>
          <w:numId w:val="114"/>
        </w:numPr>
        <w:ind w:left="0" w:firstLine="0"/>
      </w:pPr>
      <w:r>
        <w:t>作为生产商或经销商确认融资租赁销售损益</w:t>
      </w:r>
    </w:p>
    <w:sdt>
      <w:sdtPr>
        <w:alias w:val="是否适用：作为生产商或经销商确认融资租赁销售损益[双击切换]"/>
        <w:tag w:val="_GBC_595c7ca108a34d50bffdd3e765cca466"/>
        <w:id w:val="115310778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租赁其他说明"/>
        <w:tag w:val="_GBC_c4951ce943a04c5e965df092a40963b7"/>
        <w:id w:val="1633208151"/>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75"/>
        </w:numPr>
        <w:rPr>
          <w:szCs w:val="21"/>
        </w:rPr>
      </w:pPr>
      <w:bookmarkStart w:id="520" w:name="_Hlk182485828"/>
      <w:r>
        <w:rPr>
          <w:szCs w:val="21"/>
        </w:rPr>
        <w:t>数据资源</w:t>
      </w:r>
    </w:p>
    <w:sdt>
      <w:sdtPr>
        <w:rPr>
          <w:color w:val="000000" w:themeColor="text1"/>
        </w:rPr>
        <w:alias w:val="是否适用：附注数据资源需要说明的事项[双击切换]"/>
        <w:tag w:val="_GBC_a8e8280e20f44ceba7092d703f59659a"/>
        <w:id w:val="-877383905"/>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rPr>
          <w:color w:val="000000" w:themeColor="text1"/>
        </w:rPr>
      </w:pPr>
    </w:p>
    <w:bookmarkEnd w:id="520"/>
    <w:p>
      <w:pPr>
        <w:pStyle w:val="Style178"/>
        <w:numPr>
          <w:ilvl w:val="0"/>
          <w:numId w:val="75"/>
        </w:numPr>
        <w:rPr>
          <w:szCs w:val="21"/>
        </w:rPr>
      </w:pPr>
      <w:r>
        <w:rPr>
          <w:szCs w:val="21"/>
        </w:rPr>
        <w:t>其他</w:t>
      </w:r>
    </w:p>
    <w:sdt>
      <w:sdtPr>
        <w:alias w:val="是否适用：合并财务报表项目注释其他需要说明的事项[双击切换]"/>
        <w:tag w:val="_GBC_67815da71293483fad0e823098235edb"/>
        <w:id w:val="33604430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rPr>
      </w:pPr>
      <w:bookmarkStart w:id="521" w:name="_Hlk40108415"/>
      <w:r>
        <w:rPr>
          <w:rFonts w:hint="eastAsia"/>
        </w:rPr>
        <w:t>研发支出</w:t>
      </w:r>
    </w:p>
    <w:p>
      <w:pPr>
        <w:pStyle w:val="Style178"/>
        <w:numPr>
          <w:ilvl w:val="0"/>
          <w:numId w:val="115"/>
        </w:numPr>
      </w:pPr>
      <w:r>
        <w:rPr>
          <w:rFonts w:hint="eastAsia"/>
        </w:rPr>
        <w:t>按费用性质列示</w:t>
      </w:r>
    </w:p>
    <w:sdt>
      <w:sdtPr>
        <w:alias w:val="是否适用：研发费用[双击切换]"/>
        <w:tag w:val="_GBC_04b52b9f74d642ed996cff71b3380562"/>
        <w:id w:val="41181825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6140278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研发费用"/>
          <w:tag w:val="_GBC_572bef247e4247e09454933a69c36e65"/>
          <w:id w:val="-17733904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604"/>
        <w:gridCol w:w="2439"/>
      </w:tblGrid>
      <w:tr>
        <w:sdt>
          <w:sdtPr>
            <w:tag w:val="_PLD_373a371c2fc74073850def05593a1e6b"/>
            <w:id w:val="1142151710"/>
          </w:sdtPr>
          <w:sdtContent>
            <w:tc>
              <w:tcPr>
                <w:tcW w:w="40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tag w:val="_PLD_6822cfd6a9f74188bf87ee408083b254"/>
            <w:id w:val="574638026"/>
          </w:sdtPr>
          <w:sdtContent>
            <w:tc>
              <w:tcPr>
                <w:tcW w:w="260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本期发生额</w:t>
                </w:r>
              </w:p>
            </w:tc>
          </w:sdtContent>
        </w:sdt>
        <w:sdt>
          <w:sdtPr>
            <w:tag w:val="_PLD_9179c21572a24986aa54bad16a61a225"/>
            <w:id w:val="1903636577"/>
          </w:sdtPr>
          <w:sdtContent>
            <w:tc>
              <w:tcPr>
                <w:tcW w:w="243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上期发生额</w:t>
                </w:r>
              </w:p>
            </w:tc>
          </w:sdtContent>
        </w:sdt>
      </w:tr>
      <w:tr>
        <w:tc>
          <w:tcPr>
            <w:tcW w:w="400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设备材料费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1,603,282</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1,757,569</w:t>
            </w:r>
          </w:p>
        </w:tc>
      </w:tr>
      <w:tr>
        <w:tc>
          <w:tcPr>
            <w:tcW w:w="400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职工薪酬</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1,124,679</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1,160,472</w:t>
            </w:r>
          </w:p>
        </w:tc>
      </w:tr>
      <w:tr>
        <w:tc>
          <w:tcPr>
            <w:tcW w:w="400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折旧及摊销费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283,277</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265,663</w:t>
            </w:r>
          </w:p>
        </w:tc>
      </w:tr>
      <w:tr>
        <w:tc>
          <w:tcPr>
            <w:tcW w:w="400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委外技术服务费</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269,199</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129,002</w:t>
            </w:r>
          </w:p>
        </w:tc>
      </w:tr>
      <w:tr>
        <w:tc>
          <w:tcPr>
            <w:tcW w:w="400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其他</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117,443</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186,293</w:t>
            </w:r>
          </w:p>
        </w:tc>
      </w:tr>
      <w:tr>
        <w:tc>
          <w:tcPr>
            <w:tcW w:w="400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3,397,880</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3,498,999</w:t>
            </w:r>
          </w:p>
        </w:tc>
      </w:tr>
      <w:tr>
        <w:tc>
          <w:tcPr>
            <w:tcW w:w="4005"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其中：费用化研发支出</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3,397,880</w:t>
            </w:r>
          </w:p>
        </w:tc>
        <w:tc>
          <w:tcPr>
            <w:tcW w:w="243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3,498,999</w:t>
            </w:r>
          </w:p>
        </w:tc>
      </w:tr>
      <w:tr>
        <w:tc>
          <w:tcPr>
            <w:tcW w:w="4005" w:type="dxa"/>
            <w:tcBorders>
              <w:top w:val="single" w:sz="4" w:space="0" w:color="auto"/>
              <w:left w:val="single" w:sz="4" w:space="0" w:color="auto"/>
              <w:bottom w:val="single" w:sz="4" w:space="0" w:color="auto"/>
              <w:right w:val="single" w:sz="4" w:space="0" w:color="auto"/>
            </w:tcBorders>
            <w:vAlign w:val="center"/>
          </w:tcPr>
          <w:p>
            <w:pPr>
              <w:ind w:firstLineChars="300" w:firstLine="630"/>
            </w:pPr>
            <w:r>
              <w:rPr>
                <w:rFonts w:hint="eastAsia"/>
              </w:rPr>
              <w:t>资本化研发支出</w:t>
            </w:r>
          </w:p>
        </w:tc>
        <w:tc>
          <w:tcPr>
            <w:tcW w:w="2604" w:type="dxa"/>
            <w:tcBorders>
              <w:top w:val="single" w:sz="4" w:space="0" w:color="auto"/>
              <w:left w:val="single" w:sz="4" w:space="0" w:color="auto"/>
              <w:bottom w:val="single" w:sz="4" w:space="0" w:color="auto"/>
              <w:right w:val="single" w:sz="4" w:space="0" w:color="auto"/>
            </w:tcBorders>
            <w:vAlign w:val="center"/>
          </w:tcPr>
          <w:p>
            <w:pPr>
              <w:jc w:val="right"/>
            </w:pPr>
          </w:p>
        </w:tc>
        <w:tc>
          <w:tcPr>
            <w:tcW w:w="2439" w:type="dxa"/>
            <w:tcBorders>
              <w:top w:val="single" w:sz="4" w:space="0" w:color="auto"/>
              <w:left w:val="single" w:sz="4" w:space="0" w:color="auto"/>
              <w:bottom w:val="single" w:sz="4" w:space="0" w:color="auto"/>
              <w:right w:val="single" w:sz="4" w:space="0" w:color="auto"/>
            </w:tcBorders>
            <w:vAlign w:val="center"/>
          </w:tcPr>
          <w:p>
            <w:pPr>
              <w:jc w:val="right"/>
            </w:pPr>
          </w:p>
        </w:tc>
      </w:tr>
    </w:tbl>
    <w:p>
      <w:pPr>
        <w:pStyle w:val="Style217"/>
      </w:pPr>
      <w:r>
        <w:rPr>
          <w:rFonts w:hint="eastAsia"/>
        </w:rPr>
        <w:t>其他说明：</w:t>
      </w:r>
    </w:p>
    <w:sdt>
      <w:sdtPr>
        <w:alias w:val="研发支出按费用性质列示的其他说明"/>
        <w:tag w:val="_GBC_832f0bcbd22345ddb2d8bda2e55f93da"/>
        <w:id w:val="966318618"/>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115"/>
        </w:numPr>
      </w:pPr>
      <w:bookmarkStart w:id="522" w:name="_Hlk153266294"/>
      <w:bookmarkEnd w:id="521"/>
      <w:r>
        <w:rPr>
          <w:rFonts w:hint="eastAsia"/>
        </w:rPr>
        <w:t>符合资本化条件的研发项目开发支出</w:t>
      </w:r>
    </w:p>
    <w:sdt>
      <w:sdtPr>
        <w:alias w:val="是否适用：开发支出[双击切换]"/>
        <w:tag w:val="_GBC_173f2bb3b2db483e82638801b8b2955b"/>
        <w:id w:val="-206200487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522"/>
    <w:p>
      <w:pPr>
        <w:pStyle w:val="Style217"/>
      </w:pPr>
      <w:r>
        <w:t>重要的资本化研发项目</w:t>
      </w:r>
    </w:p>
    <w:sdt>
      <w:sdtPr>
        <w:alias w:val="是否适用：重要的资本化研发项目[双击切换]"/>
        <w:tag w:val="_GBC_d1b90c9364924f2791f75c6b9a12139f"/>
        <w:id w:val="-179628524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t>开发支出减值准备</w:t>
      </w:r>
    </w:p>
    <w:sdt>
      <w:sdtPr>
        <w:alias w:val="是否适用：开发支出减值准备[双击切换]"/>
        <w:tag w:val="_GBC_54eb6a513e574cfa85e9b90a1588b10f"/>
        <w:id w:val="9630188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符合资本化条件的研发项目开发支出的其他说明"/>
        <w:tag w:val="_GBC_3c7da8ec7a3a443ba6a37565a5e99433"/>
        <w:id w:val="-1652294831"/>
        <w:placeholder>
          <w:docPart w:val="GBC22222222222222222222222222222"/>
        </w:placeholder>
      </w:sdtPr>
      <w:sdtContent>
        <w:p>
          <w:pPr>
            <w:pStyle w:val="Style217"/>
          </w:pPr>
          <w:r>
            <w:rPr>
              <w:rFonts w:hint="eastAsia"/>
            </w:rPr>
            <w:t>-</w:t>
          </w:r>
        </w:p>
        <w:p>
          <w:pPr>
            <w:pStyle w:val="Style217"/>
          </w:pPr>
        </w:p>
      </w:sdtContent>
    </w:sdt>
    <w:p>
      <w:pPr>
        <w:pStyle w:val="Style178"/>
        <w:numPr>
          <w:ilvl w:val="0"/>
          <w:numId w:val="115"/>
        </w:numPr>
      </w:pPr>
      <w:r>
        <w:rPr>
          <w:rFonts w:hint="eastAsia"/>
        </w:rPr>
        <w:t>重要的外购在研项目</w:t>
      </w:r>
    </w:p>
    <w:sdt>
      <w:sdtPr>
        <w:alias w:val="是否适用：重要的外购在研项目[双击切换]"/>
        <w:tag w:val="_GBC_8385c2c52dfe44b6b2522468b8800584"/>
        <w:id w:val="-136181697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rPr>
      </w:pPr>
      <w:r>
        <w:rPr>
          <w:rFonts w:hint="eastAsia"/>
        </w:rPr>
        <w:t>合并范围的变更</w:t>
      </w:r>
    </w:p>
    <w:p>
      <w:pPr>
        <w:pStyle w:val="Style178"/>
        <w:numPr>
          <w:ilvl w:val="0"/>
          <w:numId w:val="116"/>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99254515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79"/>
        <w:numPr>
          <w:ilvl w:val="0"/>
          <w:numId w:val="117"/>
        </w:numPr>
        <w:ind w:left="426" w:hanging="426"/>
        <w:rPr>
          <w:rStyle w:val="Style103"/>
          <w:rFonts w:ascii="宋体" w:hAnsi="宋体"/>
          <w:b/>
          <w:szCs w:val="21"/>
        </w:rPr>
      </w:pPr>
      <w:r>
        <w:rPr>
          <w:rStyle w:val="Style103"/>
          <w:rFonts w:ascii="宋体" w:hAnsi="宋体" w:hint="eastAsia"/>
          <w:b/>
          <w:szCs w:val="21"/>
        </w:rPr>
        <w:t>本</w:t>
      </w:r>
      <w:bookmarkStart w:id="523" w:name="_Hlk225413970"/>
      <w:r>
        <w:rPr>
          <w:rStyle w:val="Style103"/>
          <w:rFonts w:ascii="宋体" w:hAnsi="宋体" w:hint="eastAsia"/>
          <w:b/>
          <w:szCs w:val="21"/>
        </w:rPr>
        <w:t>期发生的非同一控制下企业合</w:t>
      </w:r>
      <w:bookmarkEnd w:id="523"/>
      <w:r>
        <w:rPr>
          <w:rStyle w:val="Style103"/>
          <w:rFonts w:ascii="宋体" w:hAnsi="宋体" w:hint="eastAsia"/>
          <w:b/>
          <w:szCs w:val="21"/>
        </w:rPr>
        <w:t>并交易</w:t>
      </w:r>
    </w:p>
    <w:sdt>
      <w:sdtPr>
        <w:alias w:val="是否适用：本期发生的非同一控制下企业合并[双击切换]"/>
        <w:tag w:val="_GBC_01020b54a2124714b02e7c09b7def8bd"/>
        <w:id w:val="39671460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非同一控制下企业合并取得的子公司"/>
          <w:tag w:val="_GBC_fcde16a13e0e4a4796343f753c84803d"/>
          <w:id w:val="-8707632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非同一控制下企业合并取得的子公司"/>
          <w:tag w:val="_GBC_198f79b078c64e2b8192c9334f9181eb"/>
          <w:id w:val="280812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105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77"/>
        <w:gridCol w:w="992"/>
        <w:gridCol w:w="1134"/>
        <w:gridCol w:w="1276"/>
        <w:gridCol w:w="1417"/>
        <w:gridCol w:w="1276"/>
        <w:gridCol w:w="1134"/>
        <w:gridCol w:w="851"/>
        <w:gridCol w:w="850"/>
      </w:tblGrid>
      <w:tr>
        <w:trPr>
          <w:trHeight w:val="954"/>
        </w:trPr>
        <w:sdt>
          <w:sdtPr>
            <w:rPr>
              <w:rFonts w:ascii="宋体" w:hAnsi="宋体"/>
            </w:rPr>
            <w:tag w:val="_PLD_47313b226bb241edbbfe476519f517de"/>
            <w:id w:val="1946421988"/>
          </w:sdtPr>
          <w:sdtContent>
            <w:tc>
              <w:tcPr>
                <w:tcW w:w="850" w:type="dxa"/>
                <w:vAlign w:val="center"/>
              </w:tcPr>
              <w:p>
                <w:pPr>
                  <w:jc w:val="center"/>
                  <w:rPr>
                    <w:rFonts w:ascii="宋体" w:hAnsi="宋体" w:cs="Arial"/>
                  </w:rPr>
                </w:pPr>
                <w:r>
                  <w:rPr>
                    <w:rFonts w:ascii="宋体" w:hAnsi="宋体" w:cs="Arial" w:hint="eastAsia"/>
                    <w:lang w:val="en-GB"/>
                  </w:rPr>
                  <w:t>被购买方名称</w:t>
                </w:r>
              </w:p>
            </w:tc>
          </w:sdtContent>
        </w:sdt>
        <w:sdt>
          <w:sdtPr>
            <w:rPr>
              <w:rFonts w:ascii="宋体" w:hAnsi="宋体"/>
            </w:rPr>
            <w:tag w:val="_PLD_dc0c99da28ce4b13a6cd7fe82fe8e3c8"/>
            <w:id w:val="156344849"/>
          </w:sdtPr>
          <w:sdtContent>
            <w:tc>
              <w:tcPr>
                <w:tcW w:w="1277" w:type="dxa"/>
                <w:vAlign w:val="center"/>
              </w:tcPr>
              <w:p>
                <w:pPr>
                  <w:jc w:val="center"/>
                  <w:rPr>
                    <w:rFonts w:ascii="宋体" w:hAnsi="宋体" w:cs="Arial"/>
                    <w:color w:val="000000"/>
                    <w:lang w:val="en-GB"/>
                  </w:rPr>
                </w:pPr>
                <w:r>
                  <w:rPr>
                    <w:rFonts w:ascii="宋体" w:hAnsi="宋体" w:cs="Arial" w:hint="eastAsia"/>
                    <w:color w:val="000000"/>
                    <w:lang w:val="en-GB"/>
                  </w:rPr>
                  <w:t>股权取得时点</w:t>
                </w:r>
              </w:p>
            </w:tc>
          </w:sdtContent>
        </w:sdt>
        <w:sdt>
          <w:sdtPr>
            <w:rPr>
              <w:rFonts w:ascii="宋体" w:hAnsi="宋体"/>
            </w:rPr>
            <w:tag w:val="_PLD_e44e3f75dbdd4f3eba8921a4dd00a4f7"/>
            <w:id w:val="-666550360"/>
          </w:sdtPr>
          <w:sdtContent>
            <w:tc>
              <w:tcPr>
                <w:tcW w:w="992" w:type="dxa"/>
                <w:vAlign w:val="center"/>
              </w:tcPr>
              <w:p>
                <w:pPr>
                  <w:jc w:val="center"/>
                  <w:rPr>
                    <w:rFonts w:ascii="宋体" w:hAnsi="宋体" w:cs="Arial"/>
                    <w:color w:val="000000"/>
                    <w:lang w:val="en-GB"/>
                  </w:rPr>
                </w:pPr>
                <w:r>
                  <w:rPr>
                    <w:rFonts w:ascii="宋体" w:hAnsi="宋体" w:cs="Arial" w:hint="eastAsia"/>
                    <w:color w:val="000000"/>
                    <w:lang w:val="en-GB"/>
                  </w:rPr>
                  <w:t>股权取得成本</w:t>
                </w:r>
              </w:p>
            </w:tc>
          </w:sdtContent>
        </w:sdt>
        <w:sdt>
          <w:sdtPr>
            <w:rPr>
              <w:rFonts w:ascii="宋体" w:hAnsi="宋体"/>
            </w:rPr>
            <w:tag w:val="_PLD_53f68901c1b44908bfe90cc7ea5fa67a"/>
            <w:id w:val="1664584531"/>
          </w:sdtPr>
          <w:sdtContent>
            <w:tc>
              <w:tcPr>
                <w:tcW w:w="1134" w:type="dxa"/>
                <w:vAlign w:val="center"/>
              </w:tcPr>
              <w:p>
                <w:pPr>
                  <w:jc w:val="center"/>
                  <w:rPr>
                    <w:rFonts w:ascii="宋体" w:hAnsi="宋体" w:cs="Arial"/>
                    <w:color w:val="000000"/>
                    <w:lang w:val="en-GB"/>
                  </w:rPr>
                </w:pPr>
                <w:r>
                  <w:rPr>
                    <w:rFonts w:ascii="宋体" w:hAnsi="宋体" w:cs="Arial" w:hint="eastAsia"/>
                    <w:color w:val="000000"/>
                    <w:lang w:val="en-GB"/>
                  </w:rPr>
                  <w:t>股权取得比例</w:t>
                </w:r>
              </w:p>
              <w:p>
                <w:pPr>
                  <w:jc w:val="center"/>
                  <w:rPr>
                    <w:rFonts w:ascii="宋体" w:hAnsi="宋体" w:cs="Arial"/>
                    <w:color w:val="000000"/>
                    <w:lang w:val="en-GB"/>
                  </w:rPr>
                </w:pPr>
                <w:r>
                  <w:rPr>
                    <w:rFonts w:ascii="宋体" w:hAnsi="宋体" w:cs="Arial" w:hint="eastAsia"/>
                    <w:color w:val="000000"/>
                    <w:lang w:val="en-GB"/>
                  </w:rPr>
                  <w:t>（%）</w:t>
                </w:r>
              </w:p>
            </w:tc>
          </w:sdtContent>
        </w:sdt>
        <w:sdt>
          <w:sdtPr>
            <w:rPr>
              <w:rFonts w:ascii="宋体" w:hAnsi="宋体"/>
            </w:rPr>
            <w:tag w:val="_PLD_a7601514f0744f1198842ff0f479013e"/>
            <w:id w:val="1101226056"/>
          </w:sdtPr>
          <w:sdtContent>
            <w:tc>
              <w:tcPr>
                <w:tcW w:w="1276" w:type="dxa"/>
                <w:vAlign w:val="center"/>
              </w:tcPr>
              <w:p>
                <w:pPr>
                  <w:jc w:val="center"/>
                  <w:rPr>
                    <w:rFonts w:ascii="宋体" w:hAnsi="宋体" w:cs="Arial"/>
                    <w:color w:val="000000"/>
                    <w:lang w:val="en-GB"/>
                  </w:rPr>
                </w:pPr>
                <w:r>
                  <w:rPr>
                    <w:rFonts w:ascii="宋体" w:hAnsi="宋体" w:cs="Arial" w:hint="eastAsia"/>
                    <w:color w:val="000000"/>
                    <w:lang w:val="en-GB"/>
                  </w:rPr>
                  <w:t>股权取得方式</w:t>
                </w:r>
              </w:p>
            </w:tc>
          </w:sdtContent>
        </w:sdt>
        <w:sdt>
          <w:sdtPr>
            <w:rPr>
              <w:rFonts w:ascii="宋体" w:hAnsi="宋体"/>
            </w:rPr>
            <w:tag w:val="_PLD_dcc7459c3ddf44309e84789d53d1b6ae"/>
            <w:id w:val="243377115"/>
          </w:sdtPr>
          <w:sdtContent>
            <w:tc>
              <w:tcPr>
                <w:tcW w:w="1417" w:type="dxa"/>
                <w:vAlign w:val="center"/>
              </w:tcPr>
              <w:p>
                <w:pPr>
                  <w:jc w:val="center"/>
                  <w:rPr>
                    <w:rFonts w:ascii="宋体" w:hAnsi="宋体" w:cs="Arial"/>
                    <w:lang w:val="en-GB"/>
                  </w:rPr>
                </w:pPr>
                <w:r>
                  <w:rPr>
                    <w:rFonts w:ascii="宋体" w:hAnsi="宋体" w:cs="Arial" w:hint="eastAsia"/>
                    <w:lang w:val="en-GB"/>
                  </w:rPr>
                  <w:t>购买日</w:t>
                </w:r>
              </w:p>
            </w:tc>
          </w:sdtContent>
        </w:sdt>
        <w:sdt>
          <w:sdtPr>
            <w:rPr>
              <w:rFonts w:ascii="宋体" w:hAnsi="宋体"/>
            </w:rPr>
            <w:tag w:val="_PLD_673b9f68d29e4ec48e46975a55ae150c"/>
            <w:id w:val="1718699108"/>
          </w:sdtPr>
          <w:sdtContent>
            <w:tc>
              <w:tcPr>
                <w:tcW w:w="1276" w:type="dxa"/>
                <w:vAlign w:val="center"/>
              </w:tcPr>
              <w:p>
                <w:pPr>
                  <w:jc w:val="center"/>
                  <w:rPr>
                    <w:rFonts w:ascii="宋体" w:hAnsi="宋体" w:cs="Arial"/>
                    <w:lang w:val="en-GB"/>
                  </w:rPr>
                </w:pPr>
                <w:r>
                  <w:rPr>
                    <w:rFonts w:ascii="宋体" w:hAnsi="宋体" w:cs="Arial" w:hint="eastAsia"/>
                    <w:lang w:val="en-GB"/>
                  </w:rPr>
                  <w:t>购买日的确定依据</w:t>
                </w:r>
              </w:p>
            </w:tc>
          </w:sdtContent>
        </w:sdt>
        <w:sdt>
          <w:sdtPr>
            <w:rPr>
              <w:rFonts w:ascii="宋体" w:hAnsi="宋体"/>
            </w:rPr>
            <w:tag w:val="_PLD_c79473461a2d498b8407f26b5d7e7e7c"/>
            <w:id w:val="-162704007"/>
          </w:sdtPr>
          <w:sdtContent>
            <w:tc>
              <w:tcPr>
                <w:tcW w:w="1134" w:type="dxa"/>
                <w:vAlign w:val="center"/>
              </w:tcPr>
              <w:p>
                <w:pPr>
                  <w:jc w:val="center"/>
                  <w:rPr>
                    <w:rFonts w:ascii="宋体" w:hAnsi="宋体" w:cs="Arial"/>
                  </w:rPr>
                </w:pPr>
                <w:r>
                  <w:rPr>
                    <w:rFonts w:ascii="宋体" w:hAnsi="宋体" w:cs="Arial" w:hint="eastAsia"/>
                    <w:lang w:val="en-GB"/>
                  </w:rPr>
                  <w:t>购买日至期末被购买方的收入</w:t>
                </w:r>
              </w:p>
            </w:tc>
          </w:sdtContent>
        </w:sdt>
        <w:sdt>
          <w:sdtPr>
            <w:rPr>
              <w:rFonts w:ascii="宋体" w:hAnsi="宋体"/>
            </w:rPr>
            <w:tag w:val="_PLD_0ee18331d2744bf9afac56c02c88540b"/>
            <w:id w:val="1610077742"/>
          </w:sdtPr>
          <w:sdtContent>
            <w:tc>
              <w:tcPr>
                <w:tcW w:w="851" w:type="dxa"/>
                <w:vAlign w:val="center"/>
              </w:tcPr>
              <w:p>
                <w:pPr>
                  <w:jc w:val="center"/>
                  <w:rPr>
                    <w:rFonts w:ascii="宋体" w:hAnsi="宋体" w:cs="Arial"/>
                  </w:rPr>
                </w:pPr>
                <w:r>
                  <w:rPr>
                    <w:rFonts w:ascii="宋体" w:hAnsi="宋体" w:cs="Arial" w:hint="eastAsia"/>
                    <w:lang w:val="en-GB"/>
                  </w:rPr>
                  <w:t>购买日至期末被购买方的净利润</w:t>
                </w:r>
              </w:p>
            </w:tc>
          </w:sdtContent>
        </w:sdt>
        <w:tc>
          <w:tcPr>
            <w:tcW w:w="850" w:type="dxa"/>
            <w:vAlign w:val="center"/>
          </w:tcPr>
          <w:sdt>
            <w:sdtPr>
              <w:rPr>
                <w:rFonts w:ascii="宋体" w:hAnsi="宋体"/>
              </w:rPr>
              <w:tag w:val="_PLD_0ec24f77e57847489546e07fba073290"/>
              <w:id w:val="96761937"/>
            </w:sdtPr>
            <w:sdtContent>
              <w:p>
                <w:pPr>
                  <w:jc w:val="center"/>
                  <w:rPr>
                    <w:rFonts w:ascii="宋体" w:hAnsi="宋体"/>
                  </w:rPr>
                </w:pPr>
                <w:r>
                  <w:rPr>
                    <w:rFonts w:ascii="宋体" w:hAnsi="宋体" w:cs="Arial" w:hint="eastAsia"/>
                    <w:lang w:val="en-GB"/>
                  </w:rPr>
                  <w:t>购买日至期末被购买方的现金流量</w:t>
                </w:r>
              </w:p>
            </w:sdtContent>
          </w:sdt>
        </w:tc>
      </w:tr>
      <w:tr>
        <w:trPr>
          <w:trHeight w:val="293"/>
        </w:trPr>
        <w:tc>
          <w:tcPr>
            <w:tcW w:w="850" w:type="dxa"/>
            <w:vAlign w:val="center"/>
          </w:tcPr>
          <w:p>
            <w:pPr>
              <w:jc w:val="both"/>
              <w:rPr>
                <w:rFonts w:ascii="宋体" w:hAnsi="宋体"/>
              </w:rPr>
            </w:pPr>
            <w:r>
              <w:rPr>
                <w:rFonts w:ascii="宋体" w:hAnsi="宋体" w:hint="eastAsia"/>
              </w:rPr>
              <w:t>兖矿能源（霍林郭勒）有限公司</w:t>
            </w:r>
          </w:p>
        </w:tc>
        <w:tc>
          <w:tcPr>
            <w:tcW w:w="1277" w:type="dxa"/>
            <w:vAlign w:val="center"/>
          </w:tcPr>
          <w:p>
            <w:pPr>
              <w:jc w:val="center"/>
              <w:rPr>
                <w:rFonts w:ascii="宋体" w:hAnsi="宋体"/>
              </w:rPr>
            </w:pPr>
            <w:r>
              <w:rPr>
                <w:rFonts w:ascii="宋体" w:hAnsi="宋体" w:hint="eastAsia"/>
              </w:rPr>
              <w:t>2025年1月31日</w:t>
            </w:r>
          </w:p>
        </w:tc>
        <w:tc>
          <w:tcPr>
            <w:tcW w:w="992" w:type="dxa"/>
            <w:vAlign w:val="center"/>
          </w:tcPr>
          <w:p>
            <w:pPr>
              <w:jc w:val="right"/>
              <w:rPr>
                <w:rFonts w:ascii="宋体" w:hAnsi="宋体"/>
              </w:rPr>
            </w:pPr>
            <w:r>
              <w:rPr>
                <w:rFonts w:ascii="宋体" w:hAnsi="宋体" w:hint="eastAsia"/>
              </w:rPr>
              <w:t>44,234</w:t>
            </w:r>
          </w:p>
        </w:tc>
        <w:tc>
          <w:tcPr>
            <w:tcW w:w="1134" w:type="dxa"/>
            <w:vAlign w:val="center"/>
          </w:tcPr>
          <w:p>
            <w:pPr>
              <w:jc w:val="right"/>
              <w:rPr>
                <w:rFonts w:ascii="宋体" w:hAnsi="宋体"/>
              </w:rPr>
            </w:pPr>
            <w:r>
              <w:rPr>
                <w:rFonts w:ascii="宋体" w:hAnsi="宋体" w:hint="eastAsia"/>
              </w:rPr>
              <w:t>65.00%</w:t>
            </w:r>
          </w:p>
        </w:tc>
        <w:tc>
          <w:tcPr>
            <w:tcW w:w="1276" w:type="dxa"/>
            <w:vAlign w:val="center"/>
          </w:tcPr>
          <w:p>
            <w:pPr>
              <w:jc w:val="center"/>
              <w:rPr>
                <w:rFonts w:ascii="宋体" w:hAnsi="宋体"/>
              </w:rPr>
            </w:pPr>
            <w:r>
              <w:rPr>
                <w:rFonts w:ascii="宋体" w:hAnsi="宋体" w:hint="eastAsia"/>
              </w:rPr>
              <w:t>现金收购</w:t>
            </w:r>
          </w:p>
        </w:tc>
        <w:tc>
          <w:tcPr>
            <w:tcW w:w="1417" w:type="dxa"/>
            <w:vAlign w:val="center"/>
          </w:tcPr>
          <w:p>
            <w:pPr>
              <w:jc w:val="center"/>
              <w:rPr>
                <w:rFonts w:ascii="宋体" w:hAnsi="宋体"/>
              </w:rPr>
            </w:pPr>
            <w:r>
              <w:rPr>
                <w:rFonts w:ascii="宋体" w:hAnsi="宋体" w:hint="eastAsia"/>
              </w:rPr>
              <w:t>2025年1月31日</w:t>
            </w:r>
          </w:p>
        </w:tc>
        <w:tc>
          <w:tcPr>
            <w:tcW w:w="1276" w:type="dxa"/>
            <w:vAlign w:val="center"/>
          </w:tcPr>
          <w:p>
            <w:pPr>
              <w:jc w:val="right"/>
              <w:rPr>
                <w:rFonts w:ascii="宋体" w:hAnsi="宋体"/>
              </w:rPr>
            </w:pPr>
            <w:r>
              <w:rPr>
                <w:rFonts w:ascii="宋体" w:hAnsi="宋体" w:hint="eastAsia"/>
              </w:rPr>
              <w:t>控制权转移</w:t>
            </w:r>
          </w:p>
        </w:tc>
        <w:tc>
          <w:tcPr>
            <w:tcW w:w="1134" w:type="dxa"/>
            <w:vAlign w:val="center"/>
          </w:tcPr>
          <w:p>
            <w:pPr>
              <w:jc w:val="right"/>
              <w:rPr>
                <w:rFonts w:ascii="宋体" w:hAnsi="宋体"/>
              </w:rPr>
            </w:pPr>
          </w:p>
        </w:tc>
        <w:tc>
          <w:tcPr>
            <w:tcW w:w="851" w:type="dxa"/>
            <w:vAlign w:val="center"/>
          </w:tcPr>
          <w:p>
            <w:pPr>
              <w:jc w:val="right"/>
              <w:rPr>
                <w:rFonts w:ascii="宋体" w:hAnsi="宋体"/>
              </w:rPr>
            </w:pPr>
            <w:r>
              <w:rPr>
                <w:rFonts w:ascii="宋体" w:hAnsi="宋体" w:hint="eastAsia"/>
              </w:rPr>
              <w:t>8</w:t>
            </w:r>
          </w:p>
        </w:tc>
        <w:tc>
          <w:tcPr>
            <w:tcW w:w="850" w:type="dxa"/>
            <w:vAlign w:val="center"/>
          </w:tcPr>
          <w:p>
            <w:pPr>
              <w:jc w:val="right"/>
              <w:rPr>
                <w:rFonts w:ascii="宋体" w:hAnsi="宋体"/>
              </w:rPr>
            </w:pPr>
            <w:r>
              <w:rPr>
                <w:rFonts w:ascii="宋体" w:hAnsi="宋体" w:hint="eastAsia"/>
              </w:rPr>
              <w:t>-1</w:t>
            </w:r>
          </w:p>
        </w:tc>
      </w:tr>
      <w:tr>
        <w:trPr>
          <w:trHeight w:val="293"/>
        </w:trPr>
        <w:tc>
          <w:tcPr>
            <w:tcW w:w="850" w:type="dxa"/>
            <w:vAlign w:val="center"/>
          </w:tcPr>
          <w:p>
            <w:pPr>
              <w:jc w:val="both"/>
              <w:rPr>
                <w:rFonts w:ascii="宋体" w:hAnsi="宋体"/>
              </w:rPr>
            </w:pPr>
            <w:r>
              <w:rPr>
                <w:rFonts w:ascii="宋体" w:hAnsi="宋体" w:hint="eastAsia"/>
              </w:rPr>
              <w:t>CFH GmbH</w:t>
            </w:r>
          </w:p>
        </w:tc>
        <w:tc>
          <w:tcPr>
            <w:tcW w:w="1277" w:type="dxa"/>
            <w:vAlign w:val="center"/>
          </w:tcPr>
          <w:p>
            <w:pPr>
              <w:jc w:val="center"/>
              <w:rPr>
                <w:rFonts w:ascii="宋体" w:hAnsi="宋体"/>
              </w:rPr>
            </w:pPr>
            <w:r>
              <w:rPr>
                <w:rFonts w:ascii="宋体" w:hAnsi="宋体" w:hint="eastAsia"/>
              </w:rPr>
              <w:t>2025年8月8日</w:t>
            </w:r>
          </w:p>
        </w:tc>
        <w:tc>
          <w:tcPr>
            <w:tcW w:w="992" w:type="dxa"/>
            <w:vAlign w:val="center"/>
          </w:tcPr>
          <w:p>
            <w:pPr>
              <w:jc w:val="right"/>
              <w:rPr>
                <w:rFonts w:ascii="宋体" w:hAnsi="宋体"/>
              </w:rPr>
            </w:pPr>
            <w:r>
              <w:rPr>
                <w:rFonts w:ascii="宋体" w:hAnsi="宋体"/>
              </w:rPr>
              <w:t>316,282</w:t>
            </w:r>
          </w:p>
        </w:tc>
        <w:tc>
          <w:tcPr>
            <w:tcW w:w="1134" w:type="dxa"/>
            <w:vAlign w:val="center"/>
          </w:tcPr>
          <w:p>
            <w:pPr>
              <w:jc w:val="right"/>
              <w:rPr>
                <w:rFonts w:ascii="宋体" w:hAnsi="宋体"/>
              </w:rPr>
            </w:pPr>
            <w:r>
              <w:rPr>
                <w:rFonts w:ascii="宋体" w:hAnsi="宋体" w:hint="eastAsia"/>
              </w:rPr>
              <w:t>51.00%</w:t>
            </w:r>
          </w:p>
        </w:tc>
        <w:tc>
          <w:tcPr>
            <w:tcW w:w="1276" w:type="dxa"/>
            <w:vAlign w:val="center"/>
          </w:tcPr>
          <w:p>
            <w:pPr>
              <w:jc w:val="center"/>
              <w:rPr>
                <w:rFonts w:ascii="宋体" w:hAnsi="宋体"/>
              </w:rPr>
            </w:pPr>
            <w:r>
              <w:rPr>
                <w:rFonts w:ascii="宋体" w:hAnsi="宋体" w:hint="eastAsia"/>
              </w:rPr>
              <w:t>现金收购</w:t>
            </w:r>
          </w:p>
        </w:tc>
        <w:tc>
          <w:tcPr>
            <w:tcW w:w="1417" w:type="dxa"/>
            <w:vAlign w:val="center"/>
          </w:tcPr>
          <w:p>
            <w:pPr>
              <w:jc w:val="center"/>
              <w:rPr>
                <w:rFonts w:ascii="宋体" w:hAnsi="宋体"/>
              </w:rPr>
            </w:pPr>
            <w:r>
              <w:rPr>
                <w:rFonts w:ascii="宋体" w:hAnsi="宋体" w:hint="eastAsia"/>
              </w:rPr>
              <w:t>2025年8月8日</w:t>
            </w:r>
          </w:p>
        </w:tc>
        <w:tc>
          <w:tcPr>
            <w:tcW w:w="1276" w:type="dxa"/>
            <w:vAlign w:val="center"/>
          </w:tcPr>
          <w:p>
            <w:pPr>
              <w:jc w:val="right"/>
              <w:rPr>
                <w:rFonts w:ascii="宋体" w:hAnsi="宋体"/>
              </w:rPr>
            </w:pPr>
            <w:r>
              <w:rPr>
                <w:rFonts w:ascii="宋体" w:hAnsi="宋体" w:hint="eastAsia"/>
              </w:rPr>
              <w:t>控制权转移</w:t>
            </w:r>
          </w:p>
        </w:tc>
        <w:tc>
          <w:tcPr>
            <w:tcW w:w="1134" w:type="dxa"/>
            <w:vAlign w:val="center"/>
          </w:tcPr>
          <w:p>
            <w:pPr>
              <w:jc w:val="right"/>
              <w:rPr>
                <w:rFonts w:ascii="宋体" w:hAnsi="宋体"/>
              </w:rPr>
            </w:pPr>
            <w:r>
              <w:rPr>
                <w:rFonts w:ascii="宋体" w:hAnsi="宋体" w:hint="eastAsia"/>
              </w:rPr>
              <w:t>254,754</w:t>
            </w:r>
          </w:p>
        </w:tc>
        <w:tc>
          <w:tcPr>
            <w:tcW w:w="851" w:type="dxa"/>
            <w:vAlign w:val="center"/>
          </w:tcPr>
          <w:p>
            <w:pPr>
              <w:jc w:val="right"/>
              <w:rPr>
                <w:rFonts w:ascii="宋体" w:hAnsi="宋体"/>
              </w:rPr>
            </w:pPr>
            <w:r>
              <w:rPr>
                <w:rFonts w:ascii="宋体" w:hAnsi="宋体" w:hint="eastAsia"/>
              </w:rPr>
              <w:t>28,346</w:t>
            </w:r>
          </w:p>
        </w:tc>
        <w:tc>
          <w:tcPr>
            <w:tcW w:w="850" w:type="dxa"/>
            <w:vAlign w:val="center"/>
          </w:tcPr>
          <w:p>
            <w:pPr>
              <w:jc w:val="right"/>
              <w:rPr>
                <w:rFonts w:ascii="宋体" w:hAnsi="宋体"/>
              </w:rPr>
            </w:pPr>
            <w:r>
              <w:rPr>
                <w:rFonts w:ascii="宋体" w:hAnsi="宋体" w:hint="eastAsia"/>
              </w:rPr>
              <w:t>-3,249</w:t>
            </w:r>
          </w:p>
        </w:tc>
      </w:tr>
    </w:tbl>
    <w:p>
      <w:pPr>
        <w:spacing w:before="60" w:after="60"/>
        <w:rPr>
          <w:rFonts w:cs="Arial"/>
        </w:rPr>
      </w:pPr>
      <w:r>
        <w:rPr>
          <w:rFonts w:cs="Arial" w:hint="eastAsia"/>
        </w:rPr>
        <w:t>其他说明：</w:t>
      </w:r>
    </w:p>
    <w:sdt>
      <w:sdtPr>
        <w:rPr>
          <w:rFonts w:cs="Arial"/>
        </w:rPr>
        <w:alias w:val="本期发生的非同一控制下企业合并的其他说明"/>
        <w:tag w:val="_GBC_6b3f90f4df0b435581b233b2972fa84c"/>
        <w:id w:val="504937168"/>
        <w:placeholder>
          <w:docPart w:val="GBC22222222222222222222222222222"/>
        </w:placeholder>
      </w:sdtPr>
      <w:sdtContent>
        <w:p>
          <w:pPr>
            <w:rPr>
              <w:rFonts w:cs="Arial"/>
            </w:rPr>
          </w:pPr>
          <w:r>
            <w:rPr>
              <w:rFonts w:cs="Arial" w:hint="eastAsia"/>
            </w:rPr>
            <w:t>-</w:t>
          </w:r>
        </w:p>
      </w:sdtContent>
    </w:sdt>
    <w:p>
      <w:pPr>
        <w:rPr>
          <w:rFonts w:cs="Arial"/>
        </w:rPr>
      </w:pPr>
    </w:p>
    <w:p>
      <w:pPr>
        <w:pStyle w:val="Style179"/>
        <w:numPr>
          <w:ilvl w:val="0"/>
          <w:numId w:val="117"/>
        </w:numPr>
        <w:ind w:left="426" w:hanging="426"/>
        <w:rPr>
          <w:rStyle w:val="Style103"/>
          <w:rFonts w:ascii="宋体" w:hAnsi="宋体"/>
          <w:b/>
          <w:szCs w:val="21"/>
        </w:rPr>
      </w:pPr>
      <w:r>
        <w:rPr>
          <w:rStyle w:val="Style103"/>
          <w:rFonts w:ascii="宋体" w:hAnsi="宋体" w:hint="eastAsia"/>
          <w:b/>
          <w:szCs w:val="21"/>
        </w:rPr>
        <w:t>合并成本及商誉</w:t>
      </w:r>
    </w:p>
    <w:sdt>
      <w:sdtPr>
        <w:alias w:val="是否适用：合并成本及商誉[双击切换]"/>
        <w:tag w:val="_GBC_a60bf29a08f34ad38e2b707d1dc7dd55"/>
        <w:id w:val="43996662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合并成本及商誉"/>
          <w:tag w:val="_GBC_55f78e089abe4703bf6af0398e8e5fc3"/>
          <w:id w:val="14401840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合并成本及商誉"/>
          <w:tag w:val="_GBC_d846b24ae9324e33823f301c0e2106ce"/>
          <w:id w:val="17005116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90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1"/>
        <w:gridCol w:w="2293"/>
        <w:gridCol w:w="2170"/>
      </w:tblGrid>
      <w:tr>
        <w:trPr>
          <w:trHeight w:val="522"/>
          <w:jc w:val="center"/>
        </w:trPr>
        <w:sdt>
          <w:sdtPr>
            <w:tag w:val="_PLD_3aa63ccb0e1b4e55ac7882126c0cf058"/>
            <w:id w:val="2045241898"/>
          </w:sdtPr>
          <w:sdtContent>
            <w:tc>
              <w:tcPr>
                <w:tcW w:w="5441" w:type="dxa"/>
                <w:vAlign w:val="center"/>
              </w:tcPr>
              <w:p>
                <w:pPr>
                  <w:jc w:val="center"/>
                  <w:rPr>
                    <w:rFonts w:cs="Arial"/>
                  </w:rPr>
                </w:pPr>
                <w:r>
                  <w:rPr>
                    <w:rFonts w:cs="Arial" w:hint="eastAsia"/>
                    <w:lang w:val="en-GB"/>
                  </w:rPr>
                  <w:t>项目</w:t>
                </w:r>
              </w:p>
            </w:tc>
          </w:sdtContent>
        </w:sdt>
        <w:sdt>
          <w:sdtPr>
            <w:rPr>
              <w:rFonts w:ascii="宋体" w:hAnsi="宋体"/>
            </w:rPr>
            <w:alias w:val="非同一控制下企业合并成本及商誉明细-公司名称"/>
            <w:tag w:val="_GBC_9bef51a4e9fc4de3a3b167b11e31a267"/>
            <w:id w:val="-884488765"/>
          </w:sdtPr>
          <w:sdtContent>
            <w:tc>
              <w:tcPr>
                <w:tcW w:w="2293" w:type="dxa"/>
                <w:vAlign w:val="center"/>
              </w:tcPr>
              <w:p>
                <w:pPr>
                  <w:jc w:val="center"/>
                  <w:rPr>
                    <w:rFonts w:ascii="宋体" w:hAnsi="宋体"/>
                  </w:rPr>
                </w:pPr>
                <w:r>
                  <w:rPr>
                    <w:rFonts w:ascii="宋体" w:hAnsi="宋体" w:hint="eastAsia"/>
                  </w:rPr>
                  <w:t>兖矿能源（霍林郭勒）有限公司</w:t>
                </w:r>
              </w:p>
            </w:tc>
          </w:sdtContent>
        </w:sdt>
        <w:sdt>
          <w:sdtPr>
            <w:rPr>
              <w:rFonts w:ascii="宋体" w:hAnsi="宋体"/>
            </w:rPr>
            <w:alias w:val="非同一控制下企业合并成本及商誉明细-公司名称"/>
            <w:tag w:val="_GBC_9bef51a4e9fc4de3a3b167b11e31a267"/>
            <w:id w:val="905105081"/>
          </w:sdtPr>
          <w:sdtContent>
            <w:tc>
              <w:tcPr>
                <w:tcW w:w="2170" w:type="dxa"/>
                <w:vAlign w:val="center"/>
              </w:tcPr>
              <w:p>
                <w:pPr>
                  <w:jc w:val="center"/>
                  <w:rPr>
                    <w:rFonts w:ascii="宋体" w:hAnsi="宋体"/>
                  </w:rPr>
                </w:pPr>
                <w:r>
                  <w:rPr>
                    <w:rFonts w:ascii="宋体" w:hAnsi="宋体"/>
                  </w:rPr>
                  <w:t>CFH</w:t>
                </w:r>
                <w:r>
                  <w:rPr>
                    <w:rFonts w:ascii="宋体" w:hAnsi="宋体" w:hint="eastAsia"/>
                  </w:rPr>
                  <w:t xml:space="preserve"> </w:t>
                </w:r>
                <w:r>
                  <w:rPr>
                    <w:rFonts w:ascii="宋体" w:hAnsi="宋体"/>
                  </w:rPr>
                  <w:t>GmbH</w:t>
                </w:r>
              </w:p>
            </w:tc>
          </w:sdtContent>
        </w:sdt>
      </w:tr>
      <w:tr>
        <w:trPr>
          <w:trHeight w:val="266"/>
          <w:jc w:val="center"/>
        </w:trPr>
        <w:tc>
          <w:tcPr>
            <w:tcW w:w="5441" w:type="dxa"/>
            <w:vAlign w:val="center"/>
          </w:tcPr>
          <w:p>
            <w:pPr>
              <w:rPr>
                <w:rFonts w:cs="Arial"/>
                <w:color w:val="000000"/>
              </w:rPr>
            </w:pPr>
            <w:r>
              <w:rPr>
                <w:rFonts w:cs="Arial" w:hint="eastAsia"/>
                <w:color w:val="000000"/>
              </w:rPr>
              <w:t>合并成本</w:t>
            </w:r>
          </w:p>
        </w:tc>
        <w:tc>
          <w:tcPr>
            <w:tcW w:w="2293" w:type="dxa"/>
            <w:vAlign w:val="center"/>
          </w:tcPr>
          <w:p>
            <w:pPr>
              <w:jc w:val="right"/>
              <w:rPr>
                <w:rFonts w:ascii="宋体" w:hAnsi="宋体"/>
              </w:rPr>
            </w:pPr>
          </w:p>
        </w:tc>
        <w:tc>
          <w:tcPr>
            <w:tcW w:w="2170" w:type="dxa"/>
          </w:tcPr>
          <w:p>
            <w:pPr>
              <w:jc w:val="right"/>
              <w:rPr>
                <w:rFonts w:ascii="宋体" w:hAnsi="宋体"/>
              </w:rPr>
            </w:pPr>
          </w:p>
        </w:tc>
      </w:tr>
      <w:tr>
        <w:trPr>
          <w:trHeight w:val="266"/>
          <w:jc w:val="center"/>
        </w:trPr>
        <w:tc>
          <w:tcPr>
            <w:tcW w:w="5441" w:type="dxa"/>
            <w:vAlign w:val="center"/>
          </w:tcPr>
          <w:p>
            <w:pPr>
              <w:rPr>
                <w:rFonts w:cs="Arial"/>
                <w:color w:val="000000"/>
              </w:rPr>
            </w:pPr>
            <w:r>
              <w:rPr>
                <w:rFonts w:cs="Arial"/>
                <w:color w:val="000000"/>
              </w:rPr>
              <w:t>--</w:t>
            </w:r>
            <w:r>
              <w:rPr>
                <w:rFonts w:cs="Arial" w:hint="eastAsia"/>
                <w:color w:val="000000"/>
                <w:lang w:val="en-GB"/>
              </w:rPr>
              <w:t>现金</w:t>
            </w:r>
          </w:p>
        </w:tc>
        <w:tc>
          <w:tcPr>
            <w:tcW w:w="2293" w:type="dxa"/>
            <w:vAlign w:val="center"/>
          </w:tcPr>
          <w:p>
            <w:pPr>
              <w:jc w:val="right"/>
              <w:rPr>
                <w:rFonts w:ascii="宋体" w:hAnsi="宋体"/>
              </w:rPr>
            </w:pPr>
            <w:r>
              <w:rPr>
                <w:rFonts w:ascii="宋体" w:hAnsi="宋体" w:hint="eastAsia"/>
              </w:rPr>
              <w:t>23,818</w:t>
            </w:r>
          </w:p>
        </w:tc>
        <w:tc>
          <w:tcPr>
            <w:tcW w:w="2170" w:type="dxa"/>
          </w:tcPr>
          <w:p>
            <w:pPr>
              <w:jc w:val="right"/>
              <w:rPr>
                <w:rFonts w:ascii="宋体" w:hAnsi="宋体"/>
              </w:rPr>
            </w:pPr>
            <w:r>
              <w:rPr>
                <w:rFonts w:ascii="宋体" w:hAnsi="宋体"/>
              </w:rPr>
              <w:t>316,282</w:t>
            </w:r>
          </w:p>
        </w:tc>
      </w:tr>
      <w:tr>
        <w:trPr>
          <w:trHeight w:val="256"/>
          <w:jc w:val="center"/>
        </w:trPr>
        <w:tc>
          <w:tcPr>
            <w:tcW w:w="5441" w:type="dxa"/>
            <w:vAlign w:val="center"/>
          </w:tcPr>
          <w:p>
            <w:pPr>
              <w:rPr>
                <w:rFonts w:cs="Arial"/>
                <w:color w:val="000000"/>
              </w:rPr>
            </w:pPr>
            <w:r>
              <w:rPr>
                <w:rFonts w:cs="Arial"/>
                <w:color w:val="000000"/>
              </w:rPr>
              <w:t>--</w:t>
            </w:r>
            <w:r>
              <w:rPr>
                <w:rFonts w:cs="Arial" w:hint="eastAsia"/>
                <w:color w:val="000000"/>
                <w:lang w:val="en-GB"/>
              </w:rPr>
              <w:t>或有对价的公允价值</w:t>
            </w:r>
          </w:p>
        </w:tc>
        <w:tc>
          <w:tcPr>
            <w:tcW w:w="2293" w:type="dxa"/>
            <w:vAlign w:val="center"/>
          </w:tcPr>
          <w:p>
            <w:pPr>
              <w:jc w:val="right"/>
              <w:rPr>
                <w:rFonts w:ascii="宋体" w:hAnsi="宋体"/>
              </w:rPr>
            </w:pPr>
          </w:p>
        </w:tc>
        <w:tc>
          <w:tcPr>
            <w:tcW w:w="2170" w:type="dxa"/>
          </w:tcPr>
          <w:p>
            <w:pPr>
              <w:jc w:val="right"/>
              <w:rPr>
                <w:rFonts w:ascii="宋体" w:hAnsi="宋体"/>
              </w:rPr>
            </w:pPr>
          </w:p>
        </w:tc>
      </w:tr>
      <w:tr>
        <w:trPr>
          <w:trHeight w:val="266"/>
          <w:jc w:val="center"/>
        </w:trPr>
        <w:tc>
          <w:tcPr>
            <w:tcW w:w="5441" w:type="dxa"/>
            <w:vAlign w:val="center"/>
          </w:tcPr>
          <w:p>
            <w:pPr>
              <w:rPr>
                <w:rFonts w:cs="Arial"/>
                <w:color w:val="000000"/>
              </w:rPr>
            </w:pPr>
            <w:r>
              <w:rPr>
                <w:rFonts w:cs="Arial"/>
                <w:color w:val="000000"/>
              </w:rPr>
              <w:t>--</w:t>
            </w:r>
            <w:r>
              <w:rPr>
                <w:rFonts w:cs="Arial" w:hint="eastAsia"/>
                <w:color w:val="000000"/>
                <w:lang w:val="en-GB"/>
              </w:rPr>
              <w:t>购买日之前持有的股权于购买日的公允价值</w:t>
            </w:r>
          </w:p>
        </w:tc>
        <w:tc>
          <w:tcPr>
            <w:tcW w:w="2293" w:type="dxa"/>
            <w:vAlign w:val="center"/>
          </w:tcPr>
          <w:p>
            <w:pPr>
              <w:jc w:val="right"/>
              <w:rPr>
                <w:rFonts w:ascii="宋体" w:hAnsi="宋体"/>
              </w:rPr>
            </w:pPr>
            <w:r>
              <w:rPr>
                <w:rFonts w:ascii="宋体" w:hAnsi="宋体" w:hint="eastAsia"/>
              </w:rPr>
              <w:t>20,416</w:t>
            </w:r>
          </w:p>
        </w:tc>
        <w:tc>
          <w:tcPr>
            <w:tcW w:w="2170" w:type="dxa"/>
          </w:tcPr>
          <w:p>
            <w:pPr>
              <w:jc w:val="right"/>
              <w:rPr>
                <w:rFonts w:ascii="宋体" w:hAnsi="宋体"/>
              </w:rPr>
            </w:pPr>
          </w:p>
        </w:tc>
      </w:tr>
      <w:tr>
        <w:trPr>
          <w:trHeight w:val="266"/>
          <w:jc w:val="center"/>
        </w:trPr>
        <w:tc>
          <w:tcPr>
            <w:tcW w:w="5441" w:type="dxa"/>
            <w:vAlign w:val="center"/>
          </w:tcPr>
          <w:p>
            <w:pPr>
              <w:rPr>
                <w:rFonts w:cs="Arial"/>
                <w:color w:val="000000"/>
              </w:rPr>
            </w:pPr>
            <w:r>
              <w:rPr>
                <w:rFonts w:cs="Arial" w:hint="eastAsia"/>
                <w:color w:val="000000"/>
                <w:lang w:val="en-GB"/>
              </w:rPr>
              <w:t>合并成本合计</w:t>
            </w:r>
          </w:p>
        </w:tc>
        <w:tc>
          <w:tcPr>
            <w:tcW w:w="2293" w:type="dxa"/>
            <w:vAlign w:val="center"/>
          </w:tcPr>
          <w:p>
            <w:pPr>
              <w:jc w:val="right"/>
              <w:rPr>
                <w:rFonts w:ascii="宋体" w:hAnsi="宋体"/>
              </w:rPr>
            </w:pPr>
            <w:r>
              <w:rPr>
                <w:rFonts w:ascii="宋体" w:hAnsi="宋体" w:hint="eastAsia"/>
              </w:rPr>
              <w:t>44,234</w:t>
            </w:r>
          </w:p>
        </w:tc>
        <w:tc>
          <w:tcPr>
            <w:tcW w:w="2170" w:type="dxa"/>
          </w:tcPr>
          <w:p>
            <w:pPr>
              <w:jc w:val="right"/>
              <w:rPr>
                <w:rFonts w:ascii="宋体" w:hAnsi="宋体"/>
              </w:rPr>
            </w:pPr>
            <w:r>
              <w:rPr>
                <w:rFonts w:ascii="宋体" w:hAnsi="宋体"/>
              </w:rPr>
              <w:t>316,282</w:t>
            </w:r>
          </w:p>
        </w:tc>
      </w:tr>
      <w:tr>
        <w:trPr>
          <w:trHeight w:val="256"/>
          <w:jc w:val="center"/>
        </w:trPr>
        <w:tc>
          <w:tcPr>
            <w:tcW w:w="5441" w:type="dxa"/>
            <w:vAlign w:val="center"/>
          </w:tcPr>
          <w:p>
            <w:pPr>
              <w:rPr>
                <w:rFonts w:cs="Arial"/>
                <w:color w:val="000000"/>
              </w:rPr>
            </w:pPr>
            <w:r>
              <w:rPr>
                <w:rFonts w:cs="Arial" w:hint="eastAsia"/>
                <w:color w:val="000000"/>
                <w:lang w:val="en-GB"/>
              </w:rPr>
              <w:t>减：取得的可辨认净资产公允价值份额</w:t>
            </w:r>
          </w:p>
        </w:tc>
        <w:tc>
          <w:tcPr>
            <w:tcW w:w="2293" w:type="dxa"/>
            <w:vAlign w:val="center"/>
          </w:tcPr>
          <w:p>
            <w:pPr>
              <w:jc w:val="right"/>
              <w:rPr>
                <w:rFonts w:ascii="宋体" w:hAnsi="宋体"/>
              </w:rPr>
            </w:pPr>
            <w:r>
              <w:rPr>
                <w:rFonts w:ascii="宋体" w:hAnsi="宋体" w:hint="eastAsia"/>
              </w:rPr>
              <w:t>54,160</w:t>
            </w:r>
          </w:p>
        </w:tc>
        <w:tc>
          <w:tcPr>
            <w:tcW w:w="2170" w:type="dxa"/>
          </w:tcPr>
          <w:p>
            <w:pPr>
              <w:jc w:val="right"/>
              <w:rPr>
                <w:rFonts w:ascii="宋体" w:hAnsi="宋体"/>
              </w:rPr>
            </w:pPr>
            <w:r>
              <w:rPr>
                <w:rFonts w:ascii="宋体" w:hAnsi="宋体"/>
              </w:rPr>
              <w:t>263,285</w:t>
            </w:r>
          </w:p>
        </w:tc>
      </w:tr>
      <w:tr>
        <w:trPr>
          <w:trHeight w:val="266"/>
          <w:jc w:val="center"/>
        </w:trPr>
        <w:tc>
          <w:tcPr>
            <w:tcW w:w="5441" w:type="dxa"/>
            <w:vAlign w:val="center"/>
          </w:tcPr>
          <w:p>
            <w:pPr>
              <w:rPr>
                <w:rFonts w:cs="Arial"/>
                <w:color w:val="000000"/>
              </w:rPr>
            </w:pPr>
            <w:r>
              <w:rPr>
                <w:rFonts w:cs="Arial" w:hint="eastAsia"/>
                <w:color w:val="000000"/>
                <w:lang w:val="en-GB"/>
              </w:rPr>
              <w:t>商誉</w:t>
            </w:r>
            <w:r>
              <w:rPr>
                <w:rFonts w:cs="Arial"/>
                <w:color w:val="000000"/>
              </w:rPr>
              <w:t>/</w:t>
            </w:r>
            <w:r>
              <w:rPr>
                <w:rFonts w:cs="Arial" w:hint="eastAsia"/>
                <w:color w:val="000000"/>
                <w:lang w:val="en-GB"/>
              </w:rPr>
              <w:t>合并成本小于取得的可辨认净资产公允价值份额的金额</w:t>
            </w:r>
          </w:p>
        </w:tc>
        <w:tc>
          <w:tcPr>
            <w:tcW w:w="2293" w:type="dxa"/>
            <w:vAlign w:val="center"/>
          </w:tcPr>
          <w:p>
            <w:pPr>
              <w:jc w:val="right"/>
              <w:rPr>
                <w:rFonts w:ascii="宋体" w:hAnsi="宋体"/>
              </w:rPr>
            </w:pPr>
            <w:r>
              <w:rPr>
                <w:rFonts w:ascii="宋体" w:hAnsi="宋体" w:hint="eastAsia"/>
              </w:rPr>
              <w:t>-9,926</w:t>
            </w:r>
          </w:p>
        </w:tc>
        <w:tc>
          <w:tcPr>
            <w:tcW w:w="2170" w:type="dxa"/>
            <w:vAlign w:val="center"/>
          </w:tcPr>
          <w:p>
            <w:pPr>
              <w:jc w:val="right"/>
              <w:rPr>
                <w:rFonts w:ascii="宋体" w:hAnsi="宋体"/>
              </w:rPr>
            </w:pPr>
            <w:r>
              <w:rPr>
                <w:rFonts w:ascii="宋体" w:hAnsi="宋体"/>
              </w:rPr>
              <w:t>52,997</w:t>
            </w:r>
          </w:p>
        </w:tc>
      </w:tr>
    </w:tbl>
    <w:p>
      <w:pPr>
        <w:pStyle w:val="Style93"/>
      </w:pPr>
    </w:p>
    <w:p>
      <w:pPr>
        <w:rPr>
          <w:rFonts w:cs="Arial"/>
        </w:rPr>
      </w:pPr>
      <w:r>
        <w:rPr>
          <w:rFonts w:cs="Arial" w:hint="eastAsia"/>
        </w:rPr>
        <w:t>合并成本公允价值的确定方法：</w:t>
      </w:r>
    </w:p>
    <w:sdt>
      <w:sdtPr>
        <w:alias w:val="是否适用：合并成本公允价值的确定方法[双击切换]"/>
        <w:tag w:val="_GBC_9d4e8f99f2ba4edfa428f0d421da5aa8"/>
        <w:id w:val="-210033306"/>
        <w:placeholder>
          <w:docPart w:val="GBC22222222222222222222222222222"/>
        </w:placeholder>
      </w:sdtPr>
      <w:sdtContent>
        <w:p>
          <w:pPr>
            <w:rPr>
              <w:rFonts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cs="Arial"/>
        </w:rPr>
      </w:pPr>
    </w:p>
    <w:p>
      <w:pPr>
        <w:rPr>
          <w:rFonts w:cs="Arial"/>
        </w:rPr>
      </w:pPr>
      <w:r>
        <w:rPr>
          <w:rFonts w:cs="Arial" w:hint="eastAsia"/>
        </w:rPr>
        <w:t>业绩承诺的完成情况：</w:t>
      </w:r>
    </w:p>
    <w:sdt>
      <w:sdtPr>
        <w:alias w:val="是否适用：披露业绩承诺的完成情况[双击切换]"/>
        <w:tag w:val="_GBC_36cca5d937644cbf81864500e0f0d2ff"/>
        <w:id w:val="13253765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cs="Arial"/>
        </w:rPr>
      </w:pPr>
    </w:p>
    <w:p>
      <w:pPr>
        <w:rPr>
          <w:rFonts w:cs="Arial"/>
        </w:rPr>
      </w:pPr>
      <w:r>
        <w:rPr>
          <w:rFonts w:cs="Arial" w:hint="eastAsia"/>
        </w:rPr>
        <w:t>大额商誉形成的主要原因：</w:t>
      </w:r>
    </w:p>
    <w:sdt>
      <w:sdtPr>
        <w:rPr>
          <w:rFonts w:cs="Arial" w:hint="eastAsia"/>
        </w:rPr>
        <w:alias w:val="是否适用：大额商誉形成的主要原因[双击切换]"/>
        <w:tag w:val="_GBC_a84ea95e6f3942f7ac1b4dc99331dd7d"/>
        <w:id w:val="1978102995"/>
        <w:placeholder>
          <w:docPart w:val="GBC22222222222222222222222222222"/>
        </w:placeholder>
      </w:sdtPr>
      <w:sdtContent>
        <w:p>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pPr>
        <w:rPr>
          <w:rFonts w:cs="Arial"/>
        </w:rPr>
      </w:pPr>
    </w:p>
    <w:p>
      <w:pPr>
        <w:spacing w:before="60" w:after="60"/>
        <w:rPr>
          <w:rFonts w:cs="Arial"/>
        </w:rPr>
      </w:pPr>
      <w:r>
        <w:rPr>
          <w:rFonts w:cs="Arial" w:hint="eastAsia"/>
        </w:rPr>
        <w:t>其他说明：</w:t>
      </w:r>
    </w:p>
    <w:sdt>
      <w:sdtPr>
        <w:rPr>
          <w:rFonts w:cs="Arial"/>
        </w:rPr>
        <w:alias w:val="非同一控制下企业合并成本及商誉的其他说明"/>
        <w:tag w:val="_GBC_baef62477ba445dc85866da38c001d52"/>
        <w:id w:val="178940285"/>
        <w:placeholder>
          <w:docPart w:val="GBC22222222222222222222222222222"/>
        </w:placeholder>
      </w:sdtPr>
      <w:sdtContent>
        <w:p>
          <w:pPr>
            <w:rPr>
              <w:rFonts w:cs="Arial"/>
            </w:rPr>
          </w:pPr>
          <w:r>
            <w:rPr>
              <w:rFonts w:cs="Arial" w:hint="eastAsia"/>
            </w:rPr>
            <w:t>-</w:t>
          </w:r>
        </w:p>
      </w:sdtContent>
    </w:sdt>
    <w:p>
      <w:pPr>
        <w:rPr>
          <w:rFonts w:cs="Arial"/>
        </w:rPr>
      </w:pPr>
    </w:p>
    <w:p>
      <w:pPr>
        <w:pStyle w:val="Style179"/>
        <w:numPr>
          <w:ilvl w:val="0"/>
          <w:numId w:val="117"/>
        </w:numPr>
        <w:ind w:left="426" w:hanging="426"/>
        <w:rPr>
          <w:rStyle w:val="Style103"/>
          <w:rFonts w:ascii="宋体" w:hAnsi="宋体"/>
          <w:b/>
          <w:szCs w:val="21"/>
        </w:rPr>
      </w:pPr>
      <w:r>
        <w:rPr>
          <w:rStyle w:val="Style103"/>
          <w:rFonts w:ascii="宋体" w:hAnsi="宋体" w:hint="eastAsia"/>
          <w:b/>
          <w:szCs w:val="21"/>
        </w:rPr>
        <w:t>被购买方于购买日可辨认资产、负债</w:t>
      </w:r>
    </w:p>
    <w:sdt>
      <w:sdtPr>
        <w:alias w:val="是否适用：被购买方于购买日可辨认资产、负债[双击切换]"/>
        <w:tag w:val="_GBC_35c89f63b29241e89ece385e44435f24"/>
        <w:id w:val="1004557109"/>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18216181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cs="Arial" w:hint="eastAsia"/>
              <w:szCs w:val="21"/>
            </w:rPr>
            <w:t xml:space="preserve">千元  </w:t>
          </w:r>
        </w:sdtContent>
      </w:sdt>
      <w:r>
        <w:rPr>
          <w:rFonts w:ascii="宋体" w:hAnsi="宋体" w:cs="Arial" w:hint="eastAsia"/>
          <w:szCs w:val="21"/>
        </w:rPr>
        <w:t>币种：</w:t>
      </w:r>
      <w:sdt>
        <w:sdtPr>
          <w:rPr>
            <w:rFonts w:ascii="宋体" w:hAnsi="宋体" w:cs="Arial" w:hint="eastAsia"/>
            <w:szCs w:val="21"/>
          </w:rPr>
          <w:alias w:val="币种：财务附注：被购买方于购买日可辨认资产、负债"/>
          <w:tag w:val="_GBC_8b006f972f524278a1e83cdcd98648d1"/>
          <w:id w:val="-20941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cs="Arial" w:hint="eastAsia"/>
              <w:szCs w:val="21"/>
            </w:rPr>
            <w:t>人民币</w:t>
          </w:r>
        </w:sdtContent>
      </w:sdt>
    </w:p>
    <w:tbl>
      <w:tblPr>
        <w:tblStyle w:val="Style100"/>
        <w:tblW w:w="90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1559"/>
        <w:gridCol w:w="1984"/>
        <w:gridCol w:w="1682"/>
      </w:tblGrid>
      <w:tr>
        <w:trPr>
          <w:jc w:val="center"/>
        </w:trPr>
        <w:tc>
          <w:tcPr>
            <w:tcW w:w="1980" w:type="dxa"/>
            <w:vMerge w:val="restart"/>
            <w:vAlign w:val="center"/>
          </w:tcPr>
          <w:p>
            <w:pPr>
              <w:jc w:val="center"/>
              <w:rPr>
                <w:rFonts w:cs="Arial"/>
              </w:rPr>
            </w:pPr>
            <w:r>
              <w:rPr>
                <w:rFonts w:cs="Arial" w:hint="eastAsia"/>
              </w:rPr>
              <w:t>项目</w:t>
            </w:r>
          </w:p>
        </w:tc>
        <w:sdt>
          <w:sdtPr>
            <w:rPr>
              <w:rFonts w:cs="Arial" w:hint="eastAsia"/>
              <w:lang w:val="en-GB"/>
            </w:rPr>
            <w:alias w:val="被购买方于购买日可辨认资产、负债明细-公司名称"/>
            <w:tag w:val="_GBC_c2e90753741a4e2ea682899e8216ea23"/>
            <w:id w:val="1583101423"/>
          </w:sdtPr>
          <w:sdtContent>
            <w:tc>
              <w:tcPr>
                <w:tcW w:w="3402" w:type="dxa"/>
                <w:gridSpan w:val="2"/>
                <w:vAlign w:val="center"/>
              </w:tcPr>
              <w:p>
                <w:pPr>
                  <w:jc w:val="center"/>
                  <w:rPr>
                    <w:rFonts w:cs="Arial"/>
                    <w:lang w:val="en-GB"/>
                  </w:rPr>
                </w:pPr>
                <w:r>
                  <w:rPr>
                    <w:rFonts w:cs="Arial" w:hint="eastAsia"/>
                    <w:lang w:val="en-GB"/>
                  </w:rPr>
                  <w:t>兖矿能源（霍林郭勒）有限公司</w:t>
                </w:r>
              </w:p>
            </w:tc>
          </w:sdtContent>
        </w:sdt>
        <w:sdt>
          <w:sdtPr>
            <w:rPr>
              <w:rFonts w:cs="Arial" w:hint="eastAsia"/>
              <w:lang w:val="en-GB"/>
            </w:rPr>
            <w:alias w:val="被购买方于购买日可辨认资产、负债明细-公司名称"/>
            <w:tag w:val="_GBC_c2e90753741a4e2ea682899e8216ea23"/>
            <w:id w:val="1729878439"/>
          </w:sdtPr>
          <w:sdtContent>
            <w:tc>
              <w:tcPr>
                <w:tcW w:w="3666" w:type="dxa"/>
                <w:gridSpan w:val="2"/>
                <w:vAlign w:val="center"/>
              </w:tcPr>
              <w:p>
                <w:pPr>
                  <w:jc w:val="center"/>
                  <w:rPr>
                    <w:rFonts w:cs="Arial"/>
                    <w:lang w:val="en-GB"/>
                  </w:rPr>
                </w:pPr>
                <w:r>
                  <w:rPr>
                    <w:rFonts w:cs="Arial"/>
                    <w:lang w:val="en-GB"/>
                  </w:rPr>
                  <w:t>CFH</w:t>
                </w:r>
                <w:r>
                  <w:rPr>
                    <w:rFonts w:cs="Arial" w:hint="eastAsia"/>
                    <w:lang w:val="en-GB"/>
                  </w:rPr>
                  <w:t xml:space="preserve"> </w:t>
                </w:r>
                <w:r>
                  <w:rPr>
                    <w:rFonts w:cs="Arial"/>
                    <w:lang w:val="en-GB"/>
                  </w:rPr>
                  <w:t>GmbH</w:t>
                </w:r>
              </w:p>
            </w:tc>
          </w:sdtContent>
        </w:sdt>
      </w:tr>
      <w:tr>
        <w:trPr>
          <w:trHeight w:hRule="exact" w:val="291"/>
          <w:jc w:val="center"/>
        </w:trPr>
        <w:tc>
          <w:tcPr>
            <w:tcW w:w="1980" w:type="dxa"/>
            <w:vMerge/>
            <w:vAlign w:val="center"/>
          </w:tcPr>
          <w:p>
            <w:pPr>
              <w:jc w:val="center"/>
              <w:rPr>
                <w:rFonts w:cs="Arial"/>
              </w:rPr>
            </w:pPr>
          </w:p>
        </w:tc>
        <w:tc>
          <w:tcPr>
            <w:tcW w:w="1843" w:type="dxa"/>
            <w:vAlign w:val="center"/>
          </w:tcPr>
          <w:p>
            <w:pPr>
              <w:jc w:val="center"/>
              <w:rPr>
                <w:rFonts w:cs="Arial"/>
              </w:rPr>
            </w:pPr>
            <w:r>
              <w:rPr>
                <w:rFonts w:ascii="宋体" w:hAnsi="宋体" w:cs="宋体" w:hint="eastAsia"/>
              </w:rPr>
              <w:t>购买日公允价值</w:t>
            </w:r>
          </w:p>
        </w:tc>
        <w:tc>
          <w:tcPr>
            <w:tcW w:w="1559" w:type="dxa"/>
            <w:vAlign w:val="center"/>
          </w:tcPr>
          <w:p>
            <w:pPr>
              <w:jc w:val="center"/>
              <w:rPr>
                <w:rFonts w:cs="Arial"/>
                <w:lang w:val="en-GB"/>
              </w:rPr>
            </w:pPr>
            <w:r>
              <w:rPr>
                <w:rFonts w:ascii="宋体" w:hAnsi="宋体" w:cs="宋体" w:hint="eastAsia"/>
              </w:rPr>
              <w:t>购买日账面价值</w:t>
            </w:r>
          </w:p>
        </w:tc>
        <w:tc>
          <w:tcPr>
            <w:tcW w:w="1984" w:type="dxa"/>
            <w:vAlign w:val="center"/>
          </w:tcPr>
          <w:p>
            <w:pPr>
              <w:jc w:val="center"/>
              <w:rPr>
                <w:rFonts w:cs="Arial"/>
              </w:rPr>
            </w:pPr>
            <w:r>
              <w:rPr>
                <w:rFonts w:ascii="宋体" w:hAnsi="宋体" w:cs="宋体" w:hint="eastAsia"/>
              </w:rPr>
              <w:t>购买日公允价值</w:t>
            </w:r>
          </w:p>
        </w:tc>
        <w:tc>
          <w:tcPr>
            <w:tcW w:w="1682" w:type="dxa"/>
            <w:vAlign w:val="center"/>
          </w:tcPr>
          <w:p>
            <w:pPr>
              <w:jc w:val="center"/>
              <w:rPr>
                <w:rFonts w:cs="Arial"/>
                <w:lang w:val="en-GB"/>
              </w:rPr>
            </w:pPr>
            <w:r>
              <w:rPr>
                <w:rFonts w:ascii="宋体" w:hAnsi="宋体" w:cs="宋体" w:hint="eastAsia"/>
              </w:rPr>
              <w:t>购买日账面价值</w:t>
            </w:r>
          </w:p>
        </w:tc>
      </w:tr>
      <w:tr>
        <w:trPr>
          <w:jc w:val="center"/>
        </w:trPr>
        <w:tc>
          <w:tcPr>
            <w:tcW w:w="1980" w:type="dxa"/>
            <w:vAlign w:val="center"/>
          </w:tcPr>
          <w:p>
            <w:pPr>
              <w:rPr>
                <w:rFonts w:cs="Arial"/>
              </w:rPr>
            </w:pPr>
            <w:r>
              <w:rPr>
                <w:rFonts w:cs="Arial" w:hint="eastAsia"/>
                <w:lang w:val="en-GB"/>
              </w:rPr>
              <w:t>资产：</w:t>
            </w:r>
          </w:p>
        </w:tc>
        <w:tc>
          <w:tcPr>
            <w:tcW w:w="1843" w:type="dxa"/>
            <w:vAlign w:val="center"/>
          </w:tcPr>
          <w:p>
            <w:pPr>
              <w:jc w:val="right"/>
              <w:rPr>
                <w:rFonts w:ascii="宋体" w:hAnsi="宋体" w:cs="Arial"/>
              </w:rPr>
            </w:pPr>
            <w:r>
              <w:rPr>
                <w:rFonts w:ascii="宋体" w:hAnsi="宋体"/>
              </w:rPr>
              <w:t>170,444</w:t>
            </w:r>
          </w:p>
        </w:tc>
        <w:tc>
          <w:tcPr>
            <w:tcW w:w="1559" w:type="dxa"/>
            <w:vAlign w:val="center"/>
          </w:tcPr>
          <w:p>
            <w:pPr>
              <w:jc w:val="right"/>
              <w:rPr>
                <w:rFonts w:ascii="宋体" w:hAnsi="宋体"/>
              </w:rPr>
            </w:pPr>
            <w:r>
              <w:rPr>
                <w:rFonts w:ascii="宋体" w:hAnsi="宋体"/>
              </w:rPr>
              <w:t>160,178</w:t>
            </w:r>
          </w:p>
        </w:tc>
        <w:tc>
          <w:tcPr>
            <w:tcW w:w="1984" w:type="dxa"/>
          </w:tcPr>
          <w:p>
            <w:pPr>
              <w:jc w:val="right"/>
              <w:rPr>
                <w:rFonts w:ascii="宋体" w:hAnsi="宋体" w:cs="Arial"/>
              </w:rPr>
            </w:pPr>
            <w:r>
              <w:rPr>
                <w:rFonts w:ascii="宋体" w:hAnsi="宋体" w:cs="宋体"/>
              </w:rPr>
              <w:t>1,128,553</w:t>
            </w:r>
          </w:p>
        </w:tc>
        <w:tc>
          <w:tcPr>
            <w:tcW w:w="1682" w:type="dxa"/>
          </w:tcPr>
          <w:p>
            <w:pPr>
              <w:jc w:val="right"/>
              <w:rPr>
                <w:rFonts w:ascii="宋体" w:hAnsi="宋体"/>
              </w:rPr>
            </w:pPr>
            <w:r>
              <w:rPr>
                <w:rFonts w:ascii="宋体" w:hAnsi="宋体" w:cs="宋体"/>
              </w:rPr>
              <w:t>1,077,516</w:t>
            </w:r>
          </w:p>
        </w:tc>
      </w:tr>
      <w:tr>
        <w:trPr>
          <w:jc w:val="center"/>
        </w:trPr>
        <w:tc>
          <w:tcPr>
            <w:tcW w:w="1980" w:type="dxa"/>
            <w:vAlign w:val="center"/>
          </w:tcPr>
          <w:p>
            <w:pPr>
              <w:rPr>
                <w:rFonts w:cs="Arial"/>
                <w:lang w:val="en-GB"/>
              </w:rPr>
            </w:pPr>
            <w:r>
              <w:rPr>
                <w:rFonts w:cs="Arial" w:hint="eastAsia"/>
                <w:lang w:val="en-GB"/>
              </w:rPr>
              <w:t>货币资金</w:t>
            </w:r>
          </w:p>
        </w:tc>
        <w:tc>
          <w:tcPr>
            <w:tcW w:w="1843" w:type="dxa"/>
            <w:vAlign w:val="center"/>
          </w:tcPr>
          <w:p>
            <w:pPr>
              <w:spacing w:line="276" w:lineRule="auto"/>
              <w:jc w:val="right"/>
              <w:rPr>
                <w:rFonts w:ascii="宋体" w:hAnsi="宋体" w:cs="Arial"/>
              </w:rPr>
            </w:pPr>
            <w:r>
              <w:rPr>
                <w:rFonts w:ascii="宋体" w:hAnsi="宋体"/>
              </w:rPr>
              <w:t>2</w:t>
            </w:r>
          </w:p>
        </w:tc>
        <w:tc>
          <w:tcPr>
            <w:tcW w:w="1559" w:type="dxa"/>
            <w:vAlign w:val="center"/>
          </w:tcPr>
          <w:p>
            <w:pPr>
              <w:spacing w:line="276" w:lineRule="auto"/>
              <w:jc w:val="right"/>
              <w:rPr>
                <w:rFonts w:ascii="宋体" w:hAnsi="宋体" w:cs="Arial"/>
              </w:rPr>
            </w:pPr>
            <w:r>
              <w:rPr>
                <w:rFonts w:ascii="宋体" w:hAnsi="宋体"/>
              </w:rPr>
              <w:t>2</w:t>
            </w:r>
          </w:p>
        </w:tc>
        <w:tc>
          <w:tcPr>
            <w:tcW w:w="1984" w:type="dxa"/>
          </w:tcPr>
          <w:p>
            <w:pPr>
              <w:spacing w:line="276" w:lineRule="auto"/>
              <w:jc w:val="right"/>
              <w:rPr>
                <w:rFonts w:ascii="宋体" w:hAnsi="宋体" w:cs="Arial"/>
              </w:rPr>
            </w:pPr>
            <w:r>
              <w:rPr>
                <w:rFonts w:ascii="宋体" w:hAnsi="宋体" w:cs="宋体"/>
              </w:rPr>
              <w:t>92,635</w:t>
            </w:r>
          </w:p>
        </w:tc>
        <w:tc>
          <w:tcPr>
            <w:tcW w:w="1682" w:type="dxa"/>
          </w:tcPr>
          <w:p>
            <w:pPr>
              <w:spacing w:line="276" w:lineRule="auto"/>
              <w:jc w:val="right"/>
              <w:rPr>
                <w:rFonts w:ascii="宋体" w:hAnsi="宋体" w:cs="Arial"/>
              </w:rPr>
            </w:pPr>
            <w:r>
              <w:rPr>
                <w:rFonts w:ascii="宋体" w:hAnsi="宋体" w:cs="宋体"/>
              </w:rPr>
              <w:t>92,635</w:t>
            </w:r>
          </w:p>
        </w:tc>
      </w:tr>
      <w:tr>
        <w:trPr>
          <w:jc w:val="center"/>
        </w:trPr>
        <w:sdt>
          <w:sdtPr>
            <w:rPr>
              <w:rFonts w:cs="Arial"/>
            </w:rPr>
            <w:alias w:val="被购买方于购买日可辨认资产科目名称"/>
            <w:tag w:val="_GBC_d2e291f5fdc74202b74f40186358eef4"/>
            <w:id w:val="1468094302"/>
          </w:sdtPr>
          <w:sdtContent>
            <w:tc>
              <w:tcPr>
                <w:tcW w:w="1980" w:type="dxa"/>
                <w:vAlign w:val="center"/>
              </w:tcPr>
              <w:p>
                <w:pPr>
                  <w:rPr>
                    <w:rFonts w:cs="Arial"/>
                  </w:rPr>
                </w:pPr>
                <w:r>
                  <w:rPr>
                    <w:rFonts w:cs="Arial" w:hint="eastAsia"/>
                  </w:rPr>
                  <w:t>交易性金融资产</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sdt>
          <w:sdtPr>
            <w:rPr>
              <w:rFonts w:cs="Arial"/>
            </w:rPr>
            <w:alias w:val="被购买方于购买日可辨认资产科目名称"/>
            <w:tag w:val="_GBC_d2e291f5fdc74202b74f40186358eef4"/>
            <w:id w:val="-70814137"/>
          </w:sdtPr>
          <w:sdtContent>
            <w:tc>
              <w:tcPr>
                <w:tcW w:w="1980" w:type="dxa"/>
                <w:vAlign w:val="center"/>
              </w:tcPr>
              <w:p>
                <w:pPr>
                  <w:rPr>
                    <w:rFonts w:cs="Arial"/>
                  </w:rPr>
                </w:pPr>
                <w:r>
                  <w:rPr>
                    <w:rFonts w:cs="Arial" w:hint="eastAsia"/>
                  </w:rPr>
                  <w:t>应收票据</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56,514</w:t>
            </w:r>
          </w:p>
        </w:tc>
        <w:tc>
          <w:tcPr>
            <w:tcW w:w="1682" w:type="dxa"/>
          </w:tcPr>
          <w:p>
            <w:pPr>
              <w:jc w:val="right"/>
              <w:rPr>
                <w:rFonts w:ascii="宋体" w:hAnsi="宋体"/>
              </w:rPr>
            </w:pPr>
            <w:r>
              <w:rPr>
                <w:rFonts w:ascii="宋体" w:hAnsi="宋体" w:cs="宋体"/>
              </w:rPr>
              <w:t>56,514</w:t>
            </w:r>
          </w:p>
        </w:tc>
      </w:tr>
      <w:tr>
        <w:trPr>
          <w:jc w:val="center"/>
        </w:trPr>
        <w:sdt>
          <w:sdtPr>
            <w:rPr>
              <w:rFonts w:cs="Arial"/>
            </w:rPr>
            <w:alias w:val="被购买方于购买日可辨认资产科目名称"/>
            <w:tag w:val="_GBC_d2e291f5fdc74202b74f40186358eef4"/>
            <w:id w:val="-861506463"/>
          </w:sdtPr>
          <w:sdtContent>
            <w:tc>
              <w:tcPr>
                <w:tcW w:w="1980" w:type="dxa"/>
                <w:vAlign w:val="center"/>
              </w:tcPr>
              <w:p>
                <w:pPr>
                  <w:rPr>
                    <w:rFonts w:cs="Arial"/>
                  </w:rPr>
                </w:pPr>
                <w:r>
                  <w:rPr>
                    <w:rFonts w:cs="Arial" w:hint="eastAsia"/>
                  </w:rPr>
                  <w:t>应收账款</w:t>
                </w:r>
              </w:p>
            </w:tc>
          </w:sdtContent>
        </w:sdt>
        <w:tc>
          <w:tcPr>
            <w:tcW w:w="1843" w:type="dxa"/>
            <w:vAlign w:val="center"/>
          </w:tcPr>
          <w:p>
            <w:pPr>
              <w:jc w:val="right"/>
              <w:rPr>
                <w:rFonts w:ascii="宋体" w:hAnsi="宋体" w:cs="Arial"/>
              </w:rPr>
            </w:pPr>
            <w:r>
              <w:rPr>
                <w:rFonts w:ascii="宋体" w:hAnsi="宋体"/>
              </w:rPr>
              <w:t>743</w:t>
            </w:r>
          </w:p>
        </w:tc>
        <w:tc>
          <w:tcPr>
            <w:tcW w:w="1559" w:type="dxa"/>
            <w:vAlign w:val="center"/>
          </w:tcPr>
          <w:p>
            <w:pPr>
              <w:jc w:val="right"/>
              <w:rPr>
                <w:rFonts w:ascii="宋体" w:hAnsi="宋体"/>
              </w:rPr>
            </w:pPr>
            <w:r>
              <w:rPr>
                <w:rFonts w:ascii="宋体" w:hAnsi="宋体"/>
              </w:rPr>
              <w:t>743</w:t>
            </w:r>
          </w:p>
        </w:tc>
        <w:tc>
          <w:tcPr>
            <w:tcW w:w="1984" w:type="dxa"/>
          </w:tcPr>
          <w:p>
            <w:pPr>
              <w:jc w:val="right"/>
              <w:rPr>
                <w:rFonts w:ascii="宋体" w:hAnsi="宋体" w:cs="Arial"/>
              </w:rPr>
            </w:pPr>
            <w:r>
              <w:rPr>
                <w:rFonts w:ascii="宋体" w:hAnsi="宋体" w:cs="宋体"/>
              </w:rPr>
              <w:t>317,583</w:t>
            </w:r>
          </w:p>
        </w:tc>
        <w:tc>
          <w:tcPr>
            <w:tcW w:w="1682" w:type="dxa"/>
          </w:tcPr>
          <w:p>
            <w:pPr>
              <w:jc w:val="right"/>
              <w:rPr>
                <w:rFonts w:ascii="宋体" w:hAnsi="宋体"/>
              </w:rPr>
            </w:pPr>
            <w:r>
              <w:rPr>
                <w:rFonts w:ascii="宋体" w:hAnsi="宋体" w:cs="宋体"/>
              </w:rPr>
              <w:t>317,583</w:t>
            </w:r>
          </w:p>
        </w:tc>
      </w:tr>
      <w:tr>
        <w:trPr>
          <w:jc w:val="center"/>
        </w:trPr>
        <w:sdt>
          <w:sdtPr>
            <w:rPr>
              <w:rFonts w:cs="Arial"/>
            </w:rPr>
            <w:alias w:val="被购买方于购买日可辨认资产科目名称"/>
            <w:tag w:val="_GBC_d2e291f5fdc74202b74f40186358eef4"/>
            <w:id w:val="-130485324"/>
          </w:sdtPr>
          <w:sdtEndPr>
            <w:rPr>
              <w:rFonts w:hint="eastAsia"/>
            </w:rPr>
          </w:sdtEndPr>
          <w:sdtContent>
            <w:tc>
              <w:tcPr>
                <w:tcW w:w="1980" w:type="dxa"/>
                <w:vAlign w:val="center"/>
              </w:tcPr>
              <w:p>
                <w:pPr>
                  <w:rPr>
                    <w:rFonts w:cs="Arial"/>
                  </w:rPr>
                </w:pPr>
                <w:r>
                  <w:rPr>
                    <w:rFonts w:cs="Arial" w:hint="eastAsia"/>
                  </w:rPr>
                  <w:t>应收款项融资</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sdt>
          <w:sdtPr>
            <w:rPr>
              <w:rFonts w:cs="Arial"/>
            </w:rPr>
            <w:alias w:val="被购买方于购买日可辨认资产科目名称"/>
            <w:tag w:val="_GBC_d2e291f5fdc74202b74f40186358eef4"/>
            <w:id w:val="-1119840861"/>
          </w:sdtPr>
          <w:sdtContent>
            <w:tc>
              <w:tcPr>
                <w:tcW w:w="1980" w:type="dxa"/>
                <w:vAlign w:val="center"/>
              </w:tcPr>
              <w:p>
                <w:pPr>
                  <w:rPr>
                    <w:rFonts w:cs="Arial"/>
                  </w:rPr>
                </w:pPr>
                <w:r>
                  <w:rPr>
                    <w:rFonts w:cs="Arial" w:hint="eastAsia"/>
                  </w:rPr>
                  <w:t>预付账款</w:t>
                </w:r>
              </w:p>
            </w:tc>
          </w:sdtContent>
        </w:sdt>
        <w:tc>
          <w:tcPr>
            <w:tcW w:w="1843" w:type="dxa"/>
            <w:vAlign w:val="center"/>
          </w:tcPr>
          <w:p>
            <w:pPr>
              <w:jc w:val="right"/>
              <w:rPr>
                <w:rFonts w:ascii="宋体" w:hAnsi="宋体" w:cs="Arial"/>
              </w:rPr>
            </w:pPr>
            <w:r>
              <w:rPr>
                <w:rFonts w:ascii="宋体" w:hAnsi="宋体"/>
              </w:rPr>
              <w:t>18,076</w:t>
            </w:r>
          </w:p>
        </w:tc>
        <w:tc>
          <w:tcPr>
            <w:tcW w:w="1559" w:type="dxa"/>
            <w:vAlign w:val="center"/>
          </w:tcPr>
          <w:p>
            <w:pPr>
              <w:jc w:val="right"/>
              <w:rPr>
                <w:rFonts w:ascii="宋体" w:hAnsi="宋体"/>
              </w:rPr>
            </w:pPr>
            <w:r>
              <w:rPr>
                <w:rFonts w:ascii="宋体" w:hAnsi="宋体"/>
              </w:rPr>
              <w:t>18,076</w:t>
            </w:r>
          </w:p>
        </w:tc>
        <w:tc>
          <w:tcPr>
            <w:tcW w:w="1984" w:type="dxa"/>
          </w:tcPr>
          <w:p>
            <w:pPr>
              <w:jc w:val="right"/>
              <w:rPr>
                <w:rFonts w:ascii="宋体" w:hAnsi="宋体" w:cs="Arial"/>
              </w:rPr>
            </w:pPr>
            <w:r>
              <w:rPr>
                <w:rFonts w:ascii="宋体" w:hAnsi="宋体" w:cs="宋体"/>
              </w:rPr>
              <w:t>29,169</w:t>
            </w:r>
          </w:p>
        </w:tc>
        <w:tc>
          <w:tcPr>
            <w:tcW w:w="1682" w:type="dxa"/>
          </w:tcPr>
          <w:p>
            <w:pPr>
              <w:jc w:val="right"/>
              <w:rPr>
                <w:rFonts w:ascii="宋体" w:hAnsi="宋体"/>
              </w:rPr>
            </w:pPr>
            <w:r>
              <w:rPr>
                <w:rFonts w:ascii="宋体" w:hAnsi="宋体" w:cs="宋体"/>
              </w:rPr>
              <w:t>29,169</w:t>
            </w:r>
          </w:p>
        </w:tc>
      </w:tr>
      <w:tr>
        <w:trPr>
          <w:jc w:val="center"/>
        </w:trPr>
        <w:sdt>
          <w:sdtPr>
            <w:rPr>
              <w:rFonts w:cs="Arial"/>
            </w:rPr>
            <w:alias w:val="被购买方于购买日可辨认资产科目名称"/>
            <w:tag w:val="_GBC_d2e291f5fdc74202b74f40186358eef4"/>
            <w:id w:val="-268005403"/>
          </w:sdtPr>
          <w:sdtContent>
            <w:tc>
              <w:tcPr>
                <w:tcW w:w="1980" w:type="dxa"/>
                <w:vAlign w:val="center"/>
              </w:tcPr>
              <w:p>
                <w:pPr>
                  <w:rPr>
                    <w:rFonts w:cs="Arial"/>
                  </w:rPr>
                </w:pPr>
                <w:r>
                  <w:rPr>
                    <w:rFonts w:cs="Arial" w:hint="eastAsia"/>
                  </w:rPr>
                  <w:t>其他应收款</w:t>
                </w:r>
              </w:p>
            </w:tc>
          </w:sdtContent>
        </w:sdt>
        <w:tc>
          <w:tcPr>
            <w:tcW w:w="1843" w:type="dxa"/>
            <w:vAlign w:val="center"/>
          </w:tcPr>
          <w:p>
            <w:pPr>
              <w:jc w:val="right"/>
              <w:rPr>
                <w:rFonts w:ascii="宋体" w:hAnsi="宋体" w:cs="Arial"/>
              </w:rPr>
            </w:pPr>
            <w:r>
              <w:rPr>
                <w:rFonts w:ascii="宋体" w:hAnsi="宋体"/>
              </w:rPr>
              <w:t>2,447</w:t>
            </w:r>
          </w:p>
        </w:tc>
        <w:tc>
          <w:tcPr>
            <w:tcW w:w="1559" w:type="dxa"/>
            <w:vAlign w:val="center"/>
          </w:tcPr>
          <w:p>
            <w:pPr>
              <w:jc w:val="right"/>
              <w:rPr>
                <w:rFonts w:ascii="宋体" w:hAnsi="宋体"/>
              </w:rPr>
            </w:pPr>
            <w:r>
              <w:rPr>
                <w:rFonts w:ascii="宋体" w:hAnsi="宋体"/>
              </w:rPr>
              <w:t>2,447</w:t>
            </w:r>
          </w:p>
        </w:tc>
        <w:tc>
          <w:tcPr>
            <w:tcW w:w="1984" w:type="dxa"/>
          </w:tcPr>
          <w:p>
            <w:pPr>
              <w:jc w:val="right"/>
              <w:rPr>
                <w:rFonts w:ascii="宋体" w:hAnsi="宋体" w:cs="Arial"/>
              </w:rPr>
            </w:pPr>
            <w:r>
              <w:rPr>
                <w:rFonts w:ascii="宋体" w:hAnsi="宋体" w:cs="宋体"/>
              </w:rPr>
              <w:t>35,227</w:t>
            </w:r>
          </w:p>
        </w:tc>
        <w:tc>
          <w:tcPr>
            <w:tcW w:w="1682" w:type="dxa"/>
          </w:tcPr>
          <w:p>
            <w:pPr>
              <w:jc w:val="right"/>
              <w:rPr>
                <w:rFonts w:ascii="宋体" w:hAnsi="宋体"/>
              </w:rPr>
            </w:pPr>
            <w:r>
              <w:rPr>
                <w:rFonts w:ascii="宋体" w:hAnsi="宋体" w:cs="宋体"/>
              </w:rPr>
              <w:t>35,227</w:t>
            </w:r>
          </w:p>
        </w:tc>
      </w:tr>
      <w:tr>
        <w:trPr>
          <w:jc w:val="center"/>
        </w:trPr>
        <w:sdt>
          <w:sdtPr>
            <w:rPr>
              <w:rFonts w:cs="Arial"/>
            </w:rPr>
            <w:alias w:val="被购买方于购买日可辨认资产科目名称"/>
            <w:tag w:val="_GBC_d2e291f5fdc74202b74f40186358eef4"/>
            <w:id w:val="-1424567778"/>
          </w:sdtPr>
          <w:sdtContent>
            <w:tc>
              <w:tcPr>
                <w:tcW w:w="1980" w:type="dxa"/>
                <w:vAlign w:val="center"/>
              </w:tcPr>
              <w:p>
                <w:pPr>
                  <w:rPr>
                    <w:rFonts w:cs="Arial"/>
                  </w:rPr>
                </w:pPr>
                <w:r>
                  <w:rPr>
                    <w:rFonts w:cs="Arial" w:hint="eastAsia"/>
                  </w:rPr>
                  <w:t>存货</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204,186</w:t>
            </w:r>
          </w:p>
        </w:tc>
        <w:tc>
          <w:tcPr>
            <w:tcW w:w="1682" w:type="dxa"/>
          </w:tcPr>
          <w:p>
            <w:pPr>
              <w:jc w:val="right"/>
              <w:rPr>
                <w:rFonts w:ascii="宋体" w:hAnsi="宋体"/>
              </w:rPr>
            </w:pPr>
            <w:r>
              <w:rPr>
                <w:rFonts w:ascii="宋体" w:hAnsi="宋体" w:cs="宋体"/>
              </w:rPr>
              <w:t>204,186</w:t>
            </w:r>
          </w:p>
        </w:tc>
      </w:tr>
      <w:tr>
        <w:trPr>
          <w:jc w:val="center"/>
        </w:trPr>
        <w:sdt>
          <w:sdtPr>
            <w:rPr>
              <w:rFonts w:cs="Arial"/>
            </w:rPr>
            <w:alias w:val="被购买方于购买日可辨认资产科目名称"/>
            <w:tag w:val="_GBC_d2e291f5fdc74202b74f40186358eef4"/>
            <w:id w:val="699213617"/>
          </w:sdtPr>
          <w:sdtContent>
            <w:tc>
              <w:tcPr>
                <w:tcW w:w="1980" w:type="dxa"/>
                <w:vAlign w:val="center"/>
              </w:tcPr>
              <w:p>
                <w:pPr>
                  <w:rPr>
                    <w:rFonts w:cs="Arial"/>
                  </w:rPr>
                </w:pPr>
                <w:r>
                  <w:rPr>
                    <w:rFonts w:cs="Arial" w:hint="eastAsia"/>
                  </w:rPr>
                  <w:t>合同资产</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sdt>
          <w:sdtPr>
            <w:rPr>
              <w:rFonts w:cs="Arial"/>
            </w:rPr>
            <w:alias w:val="被购买方于购买日可辨认资产科目名称"/>
            <w:tag w:val="_GBC_d2e291f5fdc74202b74f40186358eef4"/>
            <w:id w:val="-986085396"/>
          </w:sdtPr>
          <w:sdtContent>
            <w:tc>
              <w:tcPr>
                <w:tcW w:w="1980" w:type="dxa"/>
                <w:vAlign w:val="center"/>
              </w:tcPr>
              <w:p>
                <w:pPr>
                  <w:rPr>
                    <w:rFonts w:cs="Arial"/>
                  </w:rPr>
                </w:pPr>
                <w:r>
                  <w:rPr>
                    <w:rFonts w:cs="Arial" w:hint="eastAsia"/>
                  </w:rPr>
                  <w:t>其他流动资产</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59,781</w:t>
            </w:r>
          </w:p>
        </w:tc>
        <w:tc>
          <w:tcPr>
            <w:tcW w:w="1682" w:type="dxa"/>
          </w:tcPr>
          <w:p>
            <w:pPr>
              <w:jc w:val="right"/>
              <w:rPr>
                <w:rFonts w:ascii="宋体" w:hAnsi="宋体"/>
              </w:rPr>
            </w:pPr>
            <w:r>
              <w:rPr>
                <w:rFonts w:ascii="宋体" w:hAnsi="宋体" w:cs="宋体"/>
              </w:rPr>
              <w:t>59,781</w:t>
            </w:r>
          </w:p>
        </w:tc>
      </w:tr>
      <w:tr>
        <w:trPr>
          <w:jc w:val="center"/>
        </w:trPr>
        <w:sdt>
          <w:sdtPr>
            <w:rPr>
              <w:rFonts w:cs="Arial"/>
            </w:rPr>
            <w:alias w:val="被购买方于购买日可辨认资产科目名称"/>
            <w:tag w:val="_GBC_d2e291f5fdc74202b74f40186358eef4"/>
            <w:id w:val="-663631344"/>
          </w:sdtPr>
          <w:sdtContent>
            <w:tc>
              <w:tcPr>
                <w:tcW w:w="1980" w:type="dxa"/>
                <w:vAlign w:val="center"/>
              </w:tcPr>
              <w:p>
                <w:pPr>
                  <w:rPr>
                    <w:rFonts w:cs="Arial"/>
                  </w:rPr>
                </w:pPr>
                <w:r>
                  <w:rPr>
                    <w:rFonts w:cs="Arial" w:hint="eastAsia"/>
                  </w:rPr>
                  <w:t>长期应收款</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58,204</w:t>
            </w:r>
          </w:p>
        </w:tc>
        <w:tc>
          <w:tcPr>
            <w:tcW w:w="1682" w:type="dxa"/>
          </w:tcPr>
          <w:p>
            <w:pPr>
              <w:jc w:val="right"/>
              <w:rPr>
                <w:rFonts w:ascii="宋体" w:hAnsi="宋体"/>
              </w:rPr>
            </w:pPr>
            <w:r>
              <w:rPr>
                <w:rFonts w:ascii="宋体" w:hAnsi="宋体" w:cs="宋体"/>
              </w:rPr>
              <w:t>58,204</w:t>
            </w:r>
          </w:p>
        </w:tc>
      </w:tr>
      <w:tr>
        <w:trPr>
          <w:jc w:val="center"/>
        </w:trPr>
        <w:sdt>
          <w:sdtPr>
            <w:rPr>
              <w:rFonts w:cs="Arial"/>
            </w:rPr>
            <w:alias w:val="被购买方于购买日可辨认资产科目名称"/>
            <w:tag w:val="_GBC_d2e291f5fdc74202b74f40186358eef4"/>
            <w:id w:val="577798568"/>
          </w:sdtPr>
          <w:sdtContent>
            <w:tc>
              <w:tcPr>
                <w:tcW w:w="1980" w:type="dxa"/>
                <w:vAlign w:val="center"/>
              </w:tcPr>
              <w:p>
                <w:pPr>
                  <w:rPr>
                    <w:rFonts w:cs="Arial"/>
                  </w:rPr>
                </w:pPr>
                <w:r>
                  <w:rPr>
                    <w:rFonts w:cs="Arial" w:hint="eastAsia"/>
                  </w:rPr>
                  <w:t>长期股权投资</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2,490</w:t>
            </w:r>
          </w:p>
        </w:tc>
        <w:tc>
          <w:tcPr>
            <w:tcW w:w="1682" w:type="dxa"/>
          </w:tcPr>
          <w:p>
            <w:pPr>
              <w:jc w:val="right"/>
              <w:rPr>
                <w:rFonts w:ascii="宋体" w:hAnsi="宋体"/>
              </w:rPr>
            </w:pPr>
            <w:r>
              <w:rPr>
                <w:rFonts w:ascii="宋体" w:hAnsi="宋体" w:cs="宋体"/>
              </w:rPr>
              <w:t>2,490</w:t>
            </w:r>
          </w:p>
        </w:tc>
      </w:tr>
      <w:tr>
        <w:trPr>
          <w:jc w:val="center"/>
        </w:trPr>
        <w:sdt>
          <w:sdtPr>
            <w:rPr>
              <w:rFonts w:cs="Arial"/>
            </w:rPr>
            <w:alias w:val="被购买方于购买日可辨认资产科目名称"/>
            <w:tag w:val="_GBC_d2e291f5fdc74202b74f40186358eef4"/>
            <w:id w:val="1932394782"/>
          </w:sdtPr>
          <w:sdtContent>
            <w:tc>
              <w:tcPr>
                <w:tcW w:w="1980" w:type="dxa"/>
                <w:vAlign w:val="center"/>
              </w:tcPr>
              <w:p>
                <w:pPr>
                  <w:rPr>
                    <w:rFonts w:cs="Arial"/>
                  </w:rPr>
                </w:pPr>
                <w:r>
                  <w:rPr>
                    <w:rFonts w:cs="Arial" w:hint="eastAsia"/>
                  </w:rPr>
                  <w:t>其他权益工具投资</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341</w:t>
            </w:r>
          </w:p>
        </w:tc>
        <w:tc>
          <w:tcPr>
            <w:tcW w:w="1682" w:type="dxa"/>
          </w:tcPr>
          <w:p>
            <w:pPr>
              <w:jc w:val="right"/>
              <w:rPr>
                <w:rFonts w:ascii="宋体" w:hAnsi="宋体"/>
              </w:rPr>
            </w:pPr>
            <w:r>
              <w:rPr>
                <w:rFonts w:ascii="宋体" w:hAnsi="宋体" w:cs="宋体"/>
              </w:rPr>
              <w:t>341</w:t>
            </w:r>
          </w:p>
        </w:tc>
      </w:tr>
      <w:tr>
        <w:trPr>
          <w:jc w:val="center"/>
        </w:trPr>
        <w:sdt>
          <w:sdtPr>
            <w:rPr>
              <w:rFonts w:cs="Arial"/>
            </w:rPr>
            <w:alias w:val="被购买方于购买日可辨认资产科目名称"/>
            <w:tag w:val="_GBC_d2e291f5fdc74202b74f40186358eef4"/>
            <w:id w:val="308760422"/>
          </w:sdtPr>
          <w:sdtContent>
            <w:tc>
              <w:tcPr>
                <w:tcW w:w="1980" w:type="dxa"/>
                <w:vAlign w:val="center"/>
              </w:tcPr>
              <w:p>
                <w:pPr>
                  <w:rPr>
                    <w:rFonts w:cs="Arial"/>
                  </w:rPr>
                </w:pPr>
                <w:r>
                  <w:rPr>
                    <w:rFonts w:cs="Arial" w:hint="eastAsia"/>
                  </w:rPr>
                  <w:t>投资性房地产</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tc>
          <w:tcPr>
            <w:tcW w:w="1980" w:type="dxa"/>
            <w:vAlign w:val="center"/>
          </w:tcPr>
          <w:p>
            <w:pPr>
              <w:rPr>
                <w:rFonts w:cs="Arial"/>
                <w:lang w:val="en-GB"/>
              </w:rPr>
            </w:pPr>
            <w:r>
              <w:rPr>
                <w:rFonts w:cs="Arial" w:hint="eastAsia"/>
                <w:lang w:val="en-GB"/>
              </w:rPr>
              <w:t>固定资产</w:t>
            </w:r>
          </w:p>
        </w:tc>
        <w:tc>
          <w:tcPr>
            <w:tcW w:w="1843" w:type="dxa"/>
            <w:vAlign w:val="center"/>
          </w:tcPr>
          <w:p>
            <w:pPr>
              <w:spacing w:line="276" w:lineRule="auto"/>
              <w:jc w:val="right"/>
              <w:rPr>
                <w:rFonts w:ascii="宋体" w:hAnsi="宋体" w:cs="Arial"/>
              </w:rPr>
            </w:pPr>
            <w:r>
              <w:rPr>
                <w:rFonts w:ascii="宋体" w:hAnsi="宋体"/>
              </w:rPr>
              <w:t>4,796</w:t>
            </w:r>
          </w:p>
        </w:tc>
        <w:tc>
          <w:tcPr>
            <w:tcW w:w="1559" w:type="dxa"/>
            <w:vAlign w:val="center"/>
          </w:tcPr>
          <w:p>
            <w:pPr>
              <w:spacing w:line="276" w:lineRule="auto"/>
              <w:jc w:val="right"/>
              <w:rPr>
                <w:rFonts w:ascii="宋体" w:hAnsi="宋体" w:cs="Arial"/>
              </w:rPr>
            </w:pPr>
            <w:r>
              <w:rPr>
                <w:rFonts w:ascii="宋体" w:hAnsi="宋体"/>
              </w:rPr>
              <w:t>14</w:t>
            </w:r>
          </w:p>
        </w:tc>
        <w:tc>
          <w:tcPr>
            <w:tcW w:w="1984" w:type="dxa"/>
          </w:tcPr>
          <w:p>
            <w:pPr>
              <w:spacing w:line="276" w:lineRule="auto"/>
              <w:jc w:val="right"/>
              <w:rPr>
                <w:rFonts w:ascii="宋体" w:hAnsi="宋体" w:cs="Arial"/>
              </w:rPr>
            </w:pPr>
            <w:r>
              <w:rPr>
                <w:rFonts w:ascii="宋体" w:hAnsi="宋体" w:cs="宋体"/>
              </w:rPr>
              <w:t>227,283</w:t>
            </w:r>
          </w:p>
        </w:tc>
        <w:tc>
          <w:tcPr>
            <w:tcW w:w="1682" w:type="dxa"/>
          </w:tcPr>
          <w:p>
            <w:pPr>
              <w:spacing w:line="276" w:lineRule="auto"/>
              <w:jc w:val="right"/>
              <w:rPr>
                <w:rFonts w:ascii="宋体" w:hAnsi="宋体" w:cs="Arial"/>
              </w:rPr>
            </w:pPr>
            <w:r>
              <w:rPr>
                <w:rFonts w:ascii="宋体" w:hAnsi="宋体" w:cs="宋体"/>
              </w:rPr>
              <w:t>198,352</w:t>
            </w:r>
          </w:p>
        </w:tc>
      </w:tr>
      <w:tr>
        <w:trPr>
          <w:jc w:val="center"/>
        </w:trPr>
        <w:sdt>
          <w:sdtPr>
            <w:rPr>
              <w:rFonts w:cs="Arial"/>
            </w:rPr>
            <w:alias w:val="被购买方于购买日可辨认资产科目名称"/>
            <w:tag w:val="_GBC_d2e291f5fdc74202b74f40186358eef4"/>
            <w:id w:val="1493990552"/>
          </w:sdtPr>
          <w:sdtContent>
            <w:tc>
              <w:tcPr>
                <w:tcW w:w="1980" w:type="dxa"/>
                <w:vAlign w:val="center"/>
              </w:tcPr>
              <w:p>
                <w:pPr>
                  <w:rPr>
                    <w:rFonts w:cs="Arial"/>
                  </w:rPr>
                </w:pPr>
                <w:r>
                  <w:rPr>
                    <w:rFonts w:cs="Arial" w:hint="eastAsia"/>
                  </w:rPr>
                  <w:t>在建工程</w:t>
                </w:r>
              </w:p>
            </w:tc>
          </w:sdtContent>
        </w:sdt>
        <w:tc>
          <w:tcPr>
            <w:tcW w:w="1843" w:type="dxa"/>
            <w:vAlign w:val="center"/>
          </w:tcPr>
          <w:p>
            <w:pPr>
              <w:jc w:val="right"/>
              <w:rPr>
                <w:rFonts w:ascii="宋体" w:hAnsi="宋体" w:cs="Arial"/>
              </w:rPr>
            </w:pPr>
            <w:r>
              <w:rPr>
                <w:rFonts w:ascii="宋体" w:hAnsi="宋体"/>
              </w:rPr>
              <w:t>67,508</w:t>
            </w:r>
          </w:p>
        </w:tc>
        <w:tc>
          <w:tcPr>
            <w:tcW w:w="1559" w:type="dxa"/>
            <w:vAlign w:val="center"/>
          </w:tcPr>
          <w:p>
            <w:pPr>
              <w:jc w:val="right"/>
              <w:rPr>
                <w:rFonts w:ascii="宋体" w:hAnsi="宋体"/>
              </w:rPr>
            </w:pPr>
            <w:r>
              <w:rPr>
                <w:rFonts w:ascii="宋体" w:hAnsi="宋体"/>
              </w:rPr>
              <w:t>67,508</w:t>
            </w:r>
          </w:p>
        </w:tc>
        <w:tc>
          <w:tcPr>
            <w:tcW w:w="1984" w:type="dxa"/>
          </w:tcPr>
          <w:p>
            <w:pPr>
              <w:jc w:val="right"/>
              <w:rPr>
                <w:rFonts w:ascii="宋体" w:hAnsi="宋体" w:cs="Arial"/>
              </w:rPr>
            </w:pPr>
            <w:r>
              <w:rPr>
                <w:rFonts w:ascii="宋体" w:hAnsi="宋体" w:cs="宋体"/>
              </w:rPr>
              <w:t>11,318</w:t>
            </w:r>
          </w:p>
        </w:tc>
        <w:tc>
          <w:tcPr>
            <w:tcW w:w="1682" w:type="dxa"/>
          </w:tcPr>
          <w:p>
            <w:pPr>
              <w:jc w:val="right"/>
              <w:rPr>
                <w:rFonts w:ascii="宋体" w:hAnsi="宋体"/>
              </w:rPr>
            </w:pPr>
            <w:r>
              <w:rPr>
                <w:rFonts w:ascii="宋体" w:hAnsi="宋体" w:cs="宋体"/>
              </w:rPr>
              <w:t>11,308</w:t>
            </w:r>
          </w:p>
        </w:tc>
      </w:tr>
      <w:tr>
        <w:trPr>
          <w:jc w:val="center"/>
        </w:trPr>
        <w:sdt>
          <w:sdtPr>
            <w:rPr>
              <w:rFonts w:cs="Arial"/>
            </w:rPr>
            <w:alias w:val="被购买方于购买日可辨认资产科目名称"/>
            <w:tag w:val="_GBC_d2e291f5fdc74202b74f40186358eef4"/>
            <w:id w:val="588042673"/>
          </w:sdtPr>
          <w:sdtContent>
            <w:tc>
              <w:tcPr>
                <w:tcW w:w="1980" w:type="dxa"/>
                <w:vAlign w:val="center"/>
              </w:tcPr>
              <w:p>
                <w:pPr>
                  <w:rPr>
                    <w:rFonts w:cs="Arial"/>
                  </w:rPr>
                </w:pPr>
                <w:r>
                  <w:rPr>
                    <w:rFonts w:cs="Arial" w:hint="eastAsia"/>
                  </w:rPr>
                  <w:t>使用权资产</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spacing w:line="276" w:lineRule="auto"/>
              <w:jc w:val="right"/>
              <w:rPr>
                <w:rFonts w:ascii="宋体" w:hAnsi="宋体"/>
              </w:rPr>
            </w:pPr>
            <w:r>
              <w:rPr>
                <w:rFonts w:ascii="宋体" w:hAnsi="宋体" w:cs="宋体"/>
              </w:rPr>
              <w:t>9,908</w:t>
            </w:r>
          </w:p>
        </w:tc>
        <w:tc>
          <w:tcPr>
            <w:tcW w:w="1682" w:type="dxa"/>
          </w:tcPr>
          <w:p>
            <w:pPr>
              <w:spacing w:line="276" w:lineRule="auto"/>
              <w:jc w:val="right"/>
              <w:rPr>
                <w:rFonts w:ascii="宋体" w:hAnsi="宋体"/>
              </w:rPr>
            </w:pPr>
            <w:r>
              <w:rPr>
                <w:rFonts w:ascii="宋体" w:hAnsi="宋体" w:cs="宋体"/>
              </w:rPr>
              <w:t>9,908</w:t>
            </w:r>
          </w:p>
        </w:tc>
      </w:tr>
      <w:tr>
        <w:trPr>
          <w:jc w:val="center"/>
        </w:trPr>
        <w:tc>
          <w:tcPr>
            <w:tcW w:w="1980" w:type="dxa"/>
            <w:vAlign w:val="center"/>
          </w:tcPr>
          <w:p>
            <w:pPr>
              <w:rPr>
                <w:rFonts w:cs="Arial"/>
                <w:lang w:val="en-GB"/>
              </w:rPr>
            </w:pPr>
            <w:r>
              <w:rPr>
                <w:rFonts w:cs="Arial" w:hint="eastAsia"/>
                <w:lang w:val="en-GB"/>
              </w:rPr>
              <w:t>无形资产</w:t>
            </w:r>
          </w:p>
        </w:tc>
        <w:tc>
          <w:tcPr>
            <w:tcW w:w="1843" w:type="dxa"/>
            <w:vAlign w:val="center"/>
          </w:tcPr>
          <w:p>
            <w:pPr>
              <w:spacing w:line="276" w:lineRule="auto"/>
              <w:jc w:val="right"/>
              <w:rPr>
                <w:rFonts w:ascii="宋体" w:hAnsi="宋体" w:cs="Arial"/>
              </w:rPr>
            </w:pPr>
            <w:r>
              <w:rPr>
                <w:rFonts w:ascii="宋体" w:hAnsi="宋体"/>
              </w:rPr>
              <w:t>76,051</w:t>
            </w:r>
          </w:p>
        </w:tc>
        <w:tc>
          <w:tcPr>
            <w:tcW w:w="1559" w:type="dxa"/>
            <w:vAlign w:val="center"/>
          </w:tcPr>
          <w:p>
            <w:pPr>
              <w:spacing w:line="276" w:lineRule="auto"/>
              <w:jc w:val="right"/>
              <w:rPr>
                <w:rFonts w:ascii="宋体" w:hAnsi="宋体" w:cs="Arial"/>
              </w:rPr>
            </w:pPr>
            <w:r>
              <w:rPr>
                <w:rFonts w:ascii="宋体" w:hAnsi="宋体"/>
              </w:rPr>
              <w:t>70,567</w:t>
            </w:r>
          </w:p>
        </w:tc>
        <w:tc>
          <w:tcPr>
            <w:tcW w:w="1984" w:type="dxa"/>
          </w:tcPr>
          <w:p>
            <w:pPr>
              <w:spacing w:line="276" w:lineRule="auto"/>
              <w:jc w:val="right"/>
              <w:rPr>
                <w:rFonts w:ascii="宋体" w:hAnsi="宋体"/>
              </w:rPr>
            </w:pPr>
            <w:r>
              <w:rPr>
                <w:rFonts w:ascii="宋体" w:hAnsi="宋体" w:cs="宋体"/>
              </w:rPr>
              <w:t>23,750</w:t>
            </w:r>
          </w:p>
        </w:tc>
        <w:tc>
          <w:tcPr>
            <w:tcW w:w="1682" w:type="dxa"/>
          </w:tcPr>
          <w:p>
            <w:pPr>
              <w:spacing w:line="276" w:lineRule="auto"/>
              <w:jc w:val="right"/>
              <w:rPr>
                <w:rFonts w:ascii="宋体" w:hAnsi="宋体"/>
              </w:rPr>
            </w:pPr>
            <w:r>
              <w:rPr>
                <w:rFonts w:ascii="宋体" w:hAnsi="宋体" w:cs="宋体"/>
              </w:rPr>
              <w:t>1,413</w:t>
            </w:r>
          </w:p>
        </w:tc>
      </w:tr>
      <w:tr>
        <w:trPr>
          <w:jc w:val="center"/>
        </w:trPr>
        <w:sdt>
          <w:sdtPr>
            <w:rPr>
              <w:rFonts w:cs="Arial"/>
            </w:rPr>
            <w:alias w:val="被购买方于购买日可辨认资产科目名称"/>
            <w:tag w:val="_GBC_d2e291f5fdc74202b74f40186358eef4"/>
            <w:id w:val="-580514633"/>
          </w:sdtPr>
          <w:sdtContent>
            <w:tc>
              <w:tcPr>
                <w:tcW w:w="1980" w:type="dxa"/>
                <w:vAlign w:val="center"/>
              </w:tcPr>
              <w:p>
                <w:pPr>
                  <w:rPr>
                    <w:rFonts w:cs="Arial"/>
                  </w:rPr>
                </w:pPr>
                <w:r>
                  <w:rPr>
                    <w:rFonts w:cs="Arial" w:hint="eastAsia"/>
                  </w:rPr>
                  <w:t>商誉</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r>
              <w:rPr>
                <w:rFonts w:ascii="宋体" w:hAnsi="宋体" w:cs="宋体"/>
              </w:rPr>
              <w:t>241</w:t>
            </w:r>
          </w:p>
        </w:tc>
      </w:tr>
      <w:tr>
        <w:trPr>
          <w:jc w:val="center"/>
        </w:trPr>
        <w:sdt>
          <w:sdtPr>
            <w:rPr>
              <w:rFonts w:cs="Arial"/>
            </w:rPr>
            <w:alias w:val="被购买方于购买日可辨认资产科目名称"/>
            <w:tag w:val="_GBC_d2e291f5fdc74202b74f40186358eef4"/>
            <w:id w:val="566695577"/>
          </w:sdtPr>
          <w:sdtContent>
            <w:tc>
              <w:tcPr>
                <w:tcW w:w="1980" w:type="dxa"/>
                <w:vAlign w:val="center"/>
              </w:tcPr>
              <w:p>
                <w:pPr>
                  <w:rPr>
                    <w:rFonts w:cs="Arial"/>
                  </w:rPr>
                </w:pPr>
                <w:r>
                  <w:rPr>
                    <w:rFonts w:cs="Arial" w:hint="eastAsia"/>
                  </w:rPr>
                  <w:t>长期待摊费用</w:t>
                </w:r>
              </w:p>
            </w:tc>
          </w:sdtContent>
        </w:sdt>
        <w:tc>
          <w:tcPr>
            <w:tcW w:w="1843" w:type="dxa"/>
            <w:vAlign w:val="center"/>
          </w:tcPr>
          <w:p>
            <w:pPr>
              <w:jc w:val="right"/>
              <w:rPr>
                <w:rFonts w:ascii="宋体" w:hAnsi="宋体" w:cs="Arial"/>
              </w:rPr>
            </w:pPr>
            <w:r>
              <w:rPr>
                <w:rFonts w:ascii="宋体" w:hAnsi="宋体"/>
              </w:rPr>
              <w:t>821</w:t>
            </w:r>
          </w:p>
        </w:tc>
        <w:tc>
          <w:tcPr>
            <w:tcW w:w="1559" w:type="dxa"/>
            <w:vAlign w:val="center"/>
          </w:tcPr>
          <w:p>
            <w:pPr>
              <w:jc w:val="right"/>
              <w:rPr>
                <w:rFonts w:ascii="宋体" w:hAnsi="宋体"/>
              </w:rPr>
            </w:pPr>
            <w:r>
              <w:rPr>
                <w:rFonts w:ascii="宋体" w:hAnsi="宋体"/>
              </w:rPr>
              <w:t>821</w:t>
            </w: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sdt>
          <w:sdtPr>
            <w:rPr>
              <w:rFonts w:cs="Arial"/>
            </w:rPr>
            <w:alias w:val="被购买方于购买日可辨认资产科目名称"/>
            <w:tag w:val="_GBC_d2e291f5fdc74202b74f40186358eef4"/>
            <w:id w:val="715703137"/>
          </w:sdtPr>
          <w:sdtContent>
            <w:tc>
              <w:tcPr>
                <w:tcW w:w="1980" w:type="dxa"/>
                <w:vAlign w:val="center"/>
              </w:tcPr>
              <w:p>
                <w:pPr>
                  <w:rPr>
                    <w:rFonts w:cs="Arial"/>
                  </w:rPr>
                </w:pPr>
                <w:r>
                  <w:rPr>
                    <w:rFonts w:cs="Arial" w:hint="eastAsia"/>
                  </w:rPr>
                  <w:t>递延所得税资产</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164</w:t>
            </w:r>
          </w:p>
        </w:tc>
        <w:tc>
          <w:tcPr>
            <w:tcW w:w="1682" w:type="dxa"/>
          </w:tcPr>
          <w:p>
            <w:pPr>
              <w:jc w:val="right"/>
              <w:rPr>
                <w:rFonts w:ascii="宋体" w:hAnsi="宋体"/>
              </w:rPr>
            </w:pPr>
            <w:r>
              <w:rPr>
                <w:rFonts w:ascii="宋体" w:hAnsi="宋体" w:cs="宋体"/>
              </w:rPr>
              <w:t>164</w:t>
            </w:r>
          </w:p>
        </w:tc>
      </w:tr>
      <w:tr>
        <w:trPr>
          <w:jc w:val="center"/>
        </w:trPr>
        <w:sdt>
          <w:sdtPr>
            <w:rPr>
              <w:rFonts w:cs="Arial"/>
            </w:rPr>
            <w:alias w:val="被购买方于购买日可辨认资产科目名称"/>
            <w:tag w:val="_GBC_d2e291f5fdc74202b74f40186358eef4"/>
            <w:id w:val="-644195537"/>
          </w:sdtPr>
          <w:sdtContent>
            <w:tc>
              <w:tcPr>
                <w:tcW w:w="1980" w:type="dxa"/>
                <w:vAlign w:val="center"/>
              </w:tcPr>
              <w:p>
                <w:pPr>
                  <w:rPr>
                    <w:rFonts w:cs="Arial"/>
                  </w:rPr>
                </w:pPr>
                <w:r>
                  <w:rPr>
                    <w:rFonts w:cs="Arial" w:hint="eastAsia"/>
                  </w:rPr>
                  <w:t>其他非流动资产</w:t>
                </w:r>
              </w:p>
            </w:tc>
          </w:sdtContent>
        </w:sdt>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tc>
          <w:tcPr>
            <w:tcW w:w="1980" w:type="dxa"/>
            <w:vAlign w:val="center"/>
          </w:tcPr>
          <w:p>
            <w:pPr>
              <w:rPr>
                <w:rFonts w:cs="Arial"/>
                <w:lang w:val="en-GB"/>
              </w:rPr>
            </w:pPr>
            <w:r>
              <w:rPr>
                <w:rFonts w:cs="Arial" w:hint="eastAsia"/>
                <w:lang w:val="en-GB"/>
              </w:rPr>
              <w:t>负债：</w:t>
            </w:r>
          </w:p>
        </w:tc>
        <w:tc>
          <w:tcPr>
            <w:tcW w:w="1843" w:type="dxa"/>
            <w:vAlign w:val="center"/>
          </w:tcPr>
          <w:p>
            <w:pPr>
              <w:jc w:val="right"/>
              <w:rPr>
                <w:rFonts w:ascii="宋体" w:hAnsi="宋体" w:cs="Arial"/>
              </w:rPr>
            </w:pPr>
            <w:r>
              <w:rPr>
                <w:rFonts w:ascii="宋体" w:hAnsi="宋体"/>
              </w:rPr>
              <w:t>87,120</w:t>
            </w:r>
          </w:p>
        </w:tc>
        <w:tc>
          <w:tcPr>
            <w:tcW w:w="1559" w:type="dxa"/>
            <w:vAlign w:val="center"/>
          </w:tcPr>
          <w:p>
            <w:pPr>
              <w:jc w:val="right"/>
              <w:rPr>
                <w:rFonts w:ascii="宋体" w:hAnsi="宋体"/>
              </w:rPr>
            </w:pPr>
            <w:r>
              <w:rPr>
                <w:rFonts w:ascii="宋体" w:hAnsi="宋体"/>
              </w:rPr>
              <w:t>84,553</w:t>
            </w:r>
          </w:p>
        </w:tc>
        <w:tc>
          <w:tcPr>
            <w:tcW w:w="1984" w:type="dxa"/>
          </w:tcPr>
          <w:p>
            <w:pPr>
              <w:jc w:val="right"/>
              <w:rPr>
                <w:rFonts w:ascii="宋体" w:hAnsi="宋体" w:cs="Arial"/>
              </w:rPr>
            </w:pPr>
            <w:r>
              <w:rPr>
                <w:rFonts w:ascii="宋体" w:hAnsi="宋体" w:cs="宋体"/>
              </w:rPr>
              <w:t>538,772</w:t>
            </w:r>
          </w:p>
        </w:tc>
        <w:tc>
          <w:tcPr>
            <w:tcW w:w="1682" w:type="dxa"/>
          </w:tcPr>
          <w:p>
            <w:pPr>
              <w:jc w:val="right"/>
              <w:rPr>
                <w:rFonts w:ascii="宋体" w:hAnsi="宋体"/>
              </w:rPr>
            </w:pPr>
            <w:r>
              <w:rPr>
                <w:rFonts w:ascii="宋体" w:hAnsi="宋体" w:cs="宋体"/>
              </w:rPr>
              <w:t>523,461</w:t>
            </w:r>
          </w:p>
        </w:tc>
      </w:tr>
      <w:tr>
        <w:trPr>
          <w:jc w:val="center"/>
        </w:trPr>
        <w:tc>
          <w:tcPr>
            <w:tcW w:w="1980" w:type="dxa"/>
            <w:vAlign w:val="center"/>
          </w:tcPr>
          <w:p>
            <w:pPr>
              <w:rPr>
                <w:rFonts w:cs="Arial"/>
              </w:rPr>
            </w:pPr>
            <w:r>
              <w:rPr>
                <w:rFonts w:cs="Arial" w:hint="eastAsia"/>
              </w:rPr>
              <w:t>短期借款</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spacing w:line="276" w:lineRule="auto"/>
              <w:jc w:val="right"/>
              <w:rPr>
                <w:rFonts w:ascii="宋体" w:hAnsi="宋体" w:cs="Arial"/>
              </w:rPr>
            </w:pPr>
            <w:r>
              <w:rPr>
                <w:rFonts w:ascii="宋体" w:hAnsi="宋体" w:cs="宋体"/>
              </w:rPr>
              <w:t>49,299</w:t>
            </w:r>
          </w:p>
        </w:tc>
        <w:tc>
          <w:tcPr>
            <w:tcW w:w="1682" w:type="dxa"/>
          </w:tcPr>
          <w:p>
            <w:pPr>
              <w:spacing w:line="276" w:lineRule="auto"/>
              <w:jc w:val="right"/>
              <w:rPr>
                <w:rFonts w:ascii="宋体" w:hAnsi="宋体" w:cs="Arial"/>
              </w:rPr>
            </w:pPr>
            <w:r>
              <w:rPr>
                <w:rFonts w:ascii="宋体" w:hAnsi="宋体" w:cs="宋体"/>
              </w:rPr>
              <w:t>49,299</w:t>
            </w:r>
          </w:p>
        </w:tc>
      </w:tr>
      <w:tr>
        <w:trPr>
          <w:jc w:val="center"/>
        </w:trPr>
        <w:tc>
          <w:tcPr>
            <w:tcW w:w="1980" w:type="dxa"/>
            <w:vAlign w:val="center"/>
          </w:tcPr>
          <w:p>
            <w:pPr>
              <w:rPr>
                <w:rFonts w:cs="Arial"/>
              </w:rPr>
            </w:pPr>
            <w:r>
              <w:rPr>
                <w:rFonts w:cs="Arial" w:hint="eastAsia"/>
              </w:rPr>
              <w:t>应付票据</w:t>
            </w:r>
          </w:p>
        </w:tc>
        <w:tc>
          <w:tcPr>
            <w:tcW w:w="1843" w:type="dxa"/>
            <w:vAlign w:val="center"/>
          </w:tcPr>
          <w:p>
            <w:pPr>
              <w:spacing w:line="276" w:lineRule="auto"/>
              <w:jc w:val="right"/>
              <w:rPr>
                <w:rFonts w:ascii="宋体" w:hAnsi="宋体" w:cs="Arial"/>
              </w:rPr>
            </w:pPr>
          </w:p>
        </w:tc>
        <w:tc>
          <w:tcPr>
            <w:tcW w:w="1559" w:type="dxa"/>
            <w:vAlign w:val="center"/>
          </w:tcPr>
          <w:p>
            <w:pPr>
              <w:spacing w:line="276" w:lineRule="auto"/>
              <w:jc w:val="right"/>
              <w:rPr>
                <w:rFonts w:ascii="宋体" w:hAnsi="宋体" w:cs="Arial"/>
              </w:rPr>
            </w:pPr>
          </w:p>
        </w:tc>
        <w:tc>
          <w:tcPr>
            <w:tcW w:w="1984" w:type="dxa"/>
          </w:tcPr>
          <w:p>
            <w:pPr>
              <w:spacing w:line="276" w:lineRule="auto"/>
              <w:jc w:val="right"/>
              <w:rPr>
                <w:rFonts w:ascii="宋体" w:hAnsi="宋体" w:cs="Arial"/>
              </w:rPr>
            </w:pPr>
          </w:p>
        </w:tc>
        <w:tc>
          <w:tcPr>
            <w:tcW w:w="1682" w:type="dxa"/>
          </w:tcPr>
          <w:p>
            <w:pPr>
              <w:spacing w:line="276" w:lineRule="auto"/>
              <w:jc w:val="right"/>
              <w:rPr>
                <w:rFonts w:ascii="宋体" w:hAnsi="宋体" w:cs="Arial"/>
              </w:rPr>
            </w:pPr>
          </w:p>
        </w:tc>
      </w:tr>
      <w:tr>
        <w:trPr>
          <w:jc w:val="center"/>
        </w:trPr>
        <w:tc>
          <w:tcPr>
            <w:tcW w:w="1980" w:type="dxa"/>
            <w:vAlign w:val="center"/>
          </w:tcPr>
          <w:p>
            <w:pPr>
              <w:rPr>
                <w:rFonts w:cs="Arial"/>
              </w:rPr>
            </w:pPr>
            <w:r>
              <w:rPr>
                <w:rFonts w:cs="Arial" w:hint="eastAsia"/>
              </w:rPr>
              <w:t>应付款项</w:t>
            </w:r>
          </w:p>
        </w:tc>
        <w:tc>
          <w:tcPr>
            <w:tcW w:w="1843" w:type="dxa"/>
            <w:vAlign w:val="center"/>
          </w:tcPr>
          <w:p>
            <w:pPr>
              <w:spacing w:line="276" w:lineRule="auto"/>
              <w:jc w:val="right"/>
              <w:rPr>
                <w:rFonts w:ascii="宋体" w:hAnsi="宋体" w:cs="Arial"/>
              </w:rPr>
            </w:pPr>
            <w:r>
              <w:rPr>
                <w:rFonts w:ascii="宋体" w:hAnsi="宋体"/>
              </w:rPr>
              <w:t>7,547</w:t>
            </w:r>
          </w:p>
        </w:tc>
        <w:tc>
          <w:tcPr>
            <w:tcW w:w="1559" w:type="dxa"/>
            <w:vAlign w:val="center"/>
          </w:tcPr>
          <w:p>
            <w:pPr>
              <w:spacing w:line="276" w:lineRule="auto"/>
              <w:jc w:val="right"/>
              <w:rPr>
                <w:rFonts w:ascii="宋体" w:hAnsi="宋体" w:cs="Arial"/>
              </w:rPr>
            </w:pPr>
            <w:r>
              <w:rPr>
                <w:rFonts w:ascii="宋体" w:hAnsi="宋体"/>
              </w:rPr>
              <w:t>7,547</w:t>
            </w:r>
          </w:p>
        </w:tc>
        <w:tc>
          <w:tcPr>
            <w:tcW w:w="1984" w:type="dxa"/>
          </w:tcPr>
          <w:p>
            <w:pPr>
              <w:spacing w:line="276" w:lineRule="auto"/>
              <w:jc w:val="right"/>
              <w:rPr>
                <w:rFonts w:ascii="宋体" w:hAnsi="宋体" w:cs="Arial"/>
              </w:rPr>
            </w:pPr>
            <w:r>
              <w:rPr>
                <w:rFonts w:ascii="宋体" w:hAnsi="宋体" w:cs="宋体"/>
              </w:rPr>
              <w:t>148,604</w:t>
            </w:r>
          </w:p>
        </w:tc>
        <w:tc>
          <w:tcPr>
            <w:tcW w:w="1682" w:type="dxa"/>
          </w:tcPr>
          <w:p>
            <w:pPr>
              <w:spacing w:line="276" w:lineRule="auto"/>
              <w:jc w:val="right"/>
              <w:rPr>
                <w:rFonts w:ascii="宋体" w:hAnsi="宋体" w:cs="Arial"/>
              </w:rPr>
            </w:pPr>
            <w:r>
              <w:rPr>
                <w:rFonts w:ascii="宋体" w:hAnsi="宋体" w:cs="宋体"/>
              </w:rPr>
              <w:t>148,604</w:t>
            </w:r>
          </w:p>
        </w:tc>
      </w:tr>
      <w:tr>
        <w:trPr>
          <w:jc w:val="center"/>
        </w:trPr>
        <w:tc>
          <w:tcPr>
            <w:tcW w:w="1980" w:type="dxa"/>
          </w:tcPr>
          <w:p>
            <w:pPr>
              <w:rPr>
                <w:rFonts w:cs="Arial"/>
              </w:rPr>
            </w:pPr>
            <w:r>
              <w:rPr>
                <w:rFonts w:hint="eastAsia"/>
              </w:rPr>
              <w:t>预收款项</w:t>
            </w:r>
          </w:p>
        </w:tc>
        <w:tc>
          <w:tcPr>
            <w:tcW w:w="1843" w:type="dxa"/>
            <w:vAlign w:val="center"/>
          </w:tcPr>
          <w:p>
            <w:pPr>
              <w:spacing w:line="276" w:lineRule="auto"/>
              <w:jc w:val="right"/>
              <w:rPr>
                <w:rFonts w:ascii="宋体" w:hAnsi="宋体" w:cs="Arial"/>
              </w:rPr>
            </w:pPr>
          </w:p>
        </w:tc>
        <w:tc>
          <w:tcPr>
            <w:tcW w:w="1559" w:type="dxa"/>
            <w:vAlign w:val="center"/>
          </w:tcPr>
          <w:p>
            <w:pPr>
              <w:spacing w:line="276" w:lineRule="auto"/>
              <w:jc w:val="right"/>
              <w:rPr>
                <w:rFonts w:ascii="宋体" w:hAnsi="宋体" w:cs="Arial"/>
              </w:rPr>
            </w:pPr>
          </w:p>
        </w:tc>
        <w:tc>
          <w:tcPr>
            <w:tcW w:w="1984" w:type="dxa"/>
          </w:tcPr>
          <w:p>
            <w:pPr>
              <w:spacing w:line="276" w:lineRule="auto"/>
              <w:jc w:val="right"/>
              <w:rPr>
                <w:rFonts w:ascii="宋体" w:hAnsi="宋体" w:cs="Arial"/>
              </w:rPr>
            </w:pPr>
          </w:p>
        </w:tc>
        <w:tc>
          <w:tcPr>
            <w:tcW w:w="1682" w:type="dxa"/>
          </w:tcPr>
          <w:p>
            <w:pPr>
              <w:spacing w:line="276" w:lineRule="auto"/>
              <w:jc w:val="right"/>
              <w:rPr>
                <w:rFonts w:ascii="宋体" w:hAnsi="宋体" w:cs="Arial"/>
              </w:rPr>
            </w:pPr>
          </w:p>
        </w:tc>
      </w:tr>
      <w:tr>
        <w:trPr>
          <w:jc w:val="center"/>
        </w:trPr>
        <w:tc>
          <w:tcPr>
            <w:tcW w:w="1980" w:type="dxa"/>
          </w:tcPr>
          <w:p>
            <w:pPr>
              <w:rPr>
                <w:rFonts w:cs="Arial"/>
              </w:rPr>
            </w:pPr>
            <w:r>
              <w:rPr>
                <w:rFonts w:hint="eastAsia"/>
              </w:rPr>
              <w:t>合同负债</w:t>
            </w:r>
          </w:p>
        </w:tc>
        <w:tc>
          <w:tcPr>
            <w:tcW w:w="1843" w:type="dxa"/>
            <w:vAlign w:val="center"/>
          </w:tcPr>
          <w:p>
            <w:pPr>
              <w:spacing w:line="276" w:lineRule="auto"/>
              <w:jc w:val="right"/>
              <w:rPr>
                <w:rFonts w:ascii="宋体" w:hAnsi="宋体" w:cs="Arial"/>
              </w:rPr>
            </w:pPr>
          </w:p>
        </w:tc>
        <w:tc>
          <w:tcPr>
            <w:tcW w:w="1559" w:type="dxa"/>
            <w:vAlign w:val="center"/>
          </w:tcPr>
          <w:p>
            <w:pPr>
              <w:spacing w:line="276" w:lineRule="auto"/>
              <w:jc w:val="right"/>
              <w:rPr>
                <w:rFonts w:ascii="宋体" w:hAnsi="宋体" w:cs="Arial"/>
              </w:rPr>
            </w:pPr>
          </w:p>
        </w:tc>
        <w:tc>
          <w:tcPr>
            <w:tcW w:w="1984" w:type="dxa"/>
          </w:tcPr>
          <w:p>
            <w:pPr>
              <w:spacing w:line="276" w:lineRule="auto"/>
              <w:jc w:val="right"/>
              <w:rPr>
                <w:rFonts w:ascii="宋体" w:hAnsi="宋体" w:cs="Arial"/>
              </w:rPr>
            </w:pPr>
            <w:r>
              <w:rPr>
                <w:rFonts w:ascii="宋体" w:hAnsi="宋体" w:cs="宋体"/>
              </w:rPr>
              <w:t>66,622</w:t>
            </w:r>
          </w:p>
        </w:tc>
        <w:tc>
          <w:tcPr>
            <w:tcW w:w="1682" w:type="dxa"/>
          </w:tcPr>
          <w:p>
            <w:pPr>
              <w:spacing w:line="276" w:lineRule="auto"/>
              <w:jc w:val="right"/>
              <w:rPr>
                <w:rFonts w:ascii="宋体" w:hAnsi="宋体" w:cs="Arial"/>
              </w:rPr>
            </w:pPr>
            <w:r>
              <w:rPr>
                <w:rFonts w:ascii="宋体" w:hAnsi="宋体" w:cs="宋体"/>
              </w:rPr>
              <w:t>66,622</w:t>
            </w:r>
          </w:p>
        </w:tc>
      </w:tr>
      <w:tr>
        <w:trPr>
          <w:jc w:val="center"/>
        </w:trPr>
        <w:tc>
          <w:tcPr>
            <w:tcW w:w="1980" w:type="dxa"/>
          </w:tcPr>
          <w:p>
            <w:pPr>
              <w:rPr>
                <w:rFonts w:cs="Arial"/>
              </w:rPr>
            </w:pPr>
            <w:r>
              <w:rPr>
                <w:rFonts w:hint="eastAsia"/>
              </w:rPr>
              <w:t>应付职工薪酬</w:t>
            </w:r>
          </w:p>
        </w:tc>
        <w:tc>
          <w:tcPr>
            <w:tcW w:w="1843" w:type="dxa"/>
            <w:vAlign w:val="center"/>
          </w:tcPr>
          <w:p>
            <w:pPr>
              <w:spacing w:line="276" w:lineRule="auto"/>
              <w:jc w:val="right"/>
              <w:rPr>
                <w:rFonts w:ascii="宋体" w:hAnsi="宋体" w:cs="Arial"/>
              </w:rPr>
            </w:pPr>
            <w:r>
              <w:rPr>
                <w:rFonts w:ascii="宋体" w:hAnsi="宋体"/>
              </w:rPr>
              <w:t>5,606</w:t>
            </w:r>
          </w:p>
        </w:tc>
        <w:tc>
          <w:tcPr>
            <w:tcW w:w="1559" w:type="dxa"/>
            <w:vAlign w:val="center"/>
          </w:tcPr>
          <w:p>
            <w:pPr>
              <w:spacing w:line="276" w:lineRule="auto"/>
              <w:jc w:val="right"/>
              <w:rPr>
                <w:rFonts w:ascii="宋体" w:hAnsi="宋体" w:cs="Arial"/>
              </w:rPr>
            </w:pPr>
            <w:r>
              <w:rPr>
                <w:rFonts w:ascii="宋体" w:hAnsi="宋体"/>
              </w:rPr>
              <w:t>5,606</w:t>
            </w:r>
          </w:p>
        </w:tc>
        <w:tc>
          <w:tcPr>
            <w:tcW w:w="1984" w:type="dxa"/>
          </w:tcPr>
          <w:p>
            <w:pPr>
              <w:spacing w:line="276" w:lineRule="auto"/>
              <w:jc w:val="right"/>
              <w:rPr>
                <w:rFonts w:ascii="宋体" w:hAnsi="宋体" w:cs="Arial"/>
              </w:rPr>
            </w:pPr>
            <w:r>
              <w:rPr>
                <w:rFonts w:ascii="宋体" w:hAnsi="宋体" w:cs="宋体"/>
              </w:rPr>
              <w:t>15,925</w:t>
            </w:r>
          </w:p>
        </w:tc>
        <w:tc>
          <w:tcPr>
            <w:tcW w:w="1682" w:type="dxa"/>
          </w:tcPr>
          <w:p>
            <w:pPr>
              <w:spacing w:line="276" w:lineRule="auto"/>
              <w:jc w:val="right"/>
              <w:rPr>
                <w:rFonts w:ascii="宋体" w:hAnsi="宋体" w:cs="Arial"/>
              </w:rPr>
            </w:pPr>
            <w:r>
              <w:rPr>
                <w:rFonts w:ascii="宋体" w:hAnsi="宋体" w:cs="宋体"/>
              </w:rPr>
              <w:t>15,925</w:t>
            </w:r>
          </w:p>
        </w:tc>
      </w:tr>
      <w:tr>
        <w:trPr>
          <w:jc w:val="center"/>
        </w:trPr>
        <w:tc>
          <w:tcPr>
            <w:tcW w:w="1980" w:type="dxa"/>
          </w:tcPr>
          <w:p>
            <w:pPr>
              <w:rPr>
                <w:rFonts w:cs="Arial"/>
              </w:rPr>
            </w:pPr>
            <w:r>
              <w:rPr>
                <w:rFonts w:hint="eastAsia"/>
              </w:rPr>
              <w:t>应交税费</w:t>
            </w:r>
          </w:p>
        </w:tc>
        <w:tc>
          <w:tcPr>
            <w:tcW w:w="1843" w:type="dxa"/>
            <w:vAlign w:val="center"/>
          </w:tcPr>
          <w:p>
            <w:pPr>
              <w:spacing w:line="276" w:lineRule="auto"/>
              <w:jc w:val="right"/>
              <w:rPr>
                <w:rFonts w:ascii="宋体" w:hAnsi="宋体" w:cs="Arial"/>
              </w:rPr>
            </w:pPr>
            <w:r>
              <w:rPr>
                <w:rFonts w:ascii="宋体" w:hAnsi="宋体"/>
              </w:rPr>
              <w:t>2,785</w:t>
            </w:r>
          </w:p>
        </w:tc>
        <w:tc>
          <w:tcPr>
            <w:tcW w:w="1559" w:type="dxa"/>
            <w:vAlign w:val="center"/>
          </w:tcPr>
          <w:p>
            <w:pPr>
              <w:spacing w:line="276" w:lineRule="auto"/>
              <w:jc w:val="right"/>
              <w:rPr>
                <w:rFonts w:ascii="宋体" w:hAnsi="宋体" w:cs="Arial"/>
              </w:rPr>
            </w:pPr>
            <w:r>
              <w:rPr>
                <w:rFonts w:ascii="宋体" w:hAnsi="宋体"/>
              </w:rPr>
              <w:t>2,785</w:t>
            </w:r>
          </w:p>
        </w:tc>
        <w:tc>
          <w:tcPr>
            <w:tcW w:w="1984" w:type="dxa"/>
          </w:tcPr>
          <w:p>
            <w:pPr>
              <w:spacing w:line="276" w:lineRule="auto"/>
              <w:jc w:val="right"/>
              <w:rPr>
                <w:rFonts w:ascii="宋体" w:hAnsi="宋体" w:cs="Arial"/>
              </w:rPr>
            </w:pPr>
            <w:r>
              <w:rPr>
                <w:rFonts w:ascii="宋体" w:hAnsi="宋体" w:cs="宋体"/>
              </w:rPr>
              <w:t>63,199</w:t>
            </w:r>
          </w:p>
        </w:tc>
        <w:tc>
          <w:tcPr>
            <w:tcW w:w="1682" w:type="dxa"/>
          </w:tcPr>
          <w:p>
            <w:pPr>
              <w:spacing w:line="276" w:lineRule="auto"/>
              <w:jc w:val="right"/>
              <w:rPr>
                <w:rFonts w:ascii="宋体" w:hAnsi="宋体" w:cs="Arial"/>
              </w:rPr>
            </w:pPr>
            <w:r>
              <w:rPr>
                <w:rFonts w:ascii="宋体" w:hAnsi="宋体" w:cs="宋体"/>
              </w:rPr>
              <w:t>63,199</w:t>
            </w:r>
          </w:p>
        </w:tc>
      </w:tr>
      <w:tr>
        <w:trPr>
          <w:jc w:val="center"/>
        </w:trPr>
        <w:tc>
          <w:tcPr>
            <w:tcW w:w="1980" w:type="dxa"/>
          </w:tcPr>
          <w:p>
            <w:pPr>
              <w:rPr>
                <w:rFonts w:cs="Arial"/>
              </w:rPr>
            </w:pPr>
            <w:r>
              <w:rPr>
                <w:rFonts w:hint="eastAsia"/>
              </w:rPr>
              <w:t>其他应付款</w:t>
            </w:r>
          </w:p>
        </w:tc>
        <w:tc>
          <w:tcPr>
            <w:tcW w:w="1843" w:type="dxa"/>
            <w:vAlign w:val="center"/>
          </w:tcPr>
          <w:p>
            <w:pPr>
              <w:jc w:val="right"/>
              <w:rPr>
                <w:rFonts w:ascii="宋体" w:hAnsi="宋体" w:cs="Arial"/>
              </w:rPr>
            </w:pPr>
            <w:r>
              <w:rPr>
                <w:rFonts w:ascii="宋体" w:hAnsi="宋体"/>
              </w:rPr>
              <w:t>68,615</w:t>
            </w:r>
          </w:p>
        </w:tc>
        <w:tc>
          <w:tcPr>
            <w:tcW w:w="1559" w:type="dxa"/>
            <w:vAlign w:val="center"/>
          </w:tcPr>
          <w:p>
            <w:pPr>
              <w:jc w:val="right"/>
              <w:rPr>
                <w:rFonts w:ascii="宋体" w:hAnsi="宋体"/>
              </w:rPr>
            </w:pPr>
            <w:r>
              <w:rPr>
                <w:rFonts w:ascii="宋体" w:hAnsi="宋体"/>
              </w:rPr>
              <w:t>68,615</w:t>
            </w:r>
          </w:p>
        </w:tc>
        <w:tc>
          <w:tcPr>
            <w:tcW w:w="1984" w:type="dxa"/>
          </w:tcPr>
          <w:p>
            <w:pPr>
              <w:jc w:val="right"/>
              <w:rPr>
                <w:rFonts w:ascii="宋体" w:hAnsi="宋体" w:cs="Arial"/>
              </w:rPr>
            </w:pPr>
            <w:r>
              <w:rPr>
                <w:rFonts w:ascii="宋体" w:hAnsi="宋体" w:cs="宋体"/>
              </w:rPr>
              <w:t>44,785</w:t>
            </w:r>
          </w:p>
        </w:tc>
        <w:tc>
          <w:tcPr>
            <w:tcW w:w="1682" w:type="dxa"/>
          </w:tcPr>
          <w:p>
            <w:pPr>
              <w:jc w:val="right"/>
              <w:rPr>
                <w:rFonts w:ascii="宋体" w:hAnsi="宋体"/>
              </w:rPr>
            </w:pPr>
            <w:r>
              <w:rPr>
                <w:rFonts w:ascii="宋体" w:hAnsi="宋体" w:cs="宋体"/>
              </w:rPr>
              <w:t>44,785</w:t>
            </w:r>
          </w:p>
        </w:tc>
      </w:tr>
      <w:tr>
        <w:trPr>
          <w:jc w:val="center"/>
        </w:trPr>
        <w:tc>
          <w:tcPr>
            <w:tcW w:w="1980" w:type="dxa"/>
          </w:tcPr>
          <w:p>
            <w:pPr>
              <w:rPr>
                <w:rFonts w:cs="Arial"/>
              </w:rPr>
            </w:pPr>
            <w:r>
              <w:rPr>
                <w:rFonts w:hint="eastAsia"/>
              </w:rPr>
              <w:t>一年内到期的非流动负债</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tc>
          <w:tcPr>
            <w:tcW w:w="1980" w:type="dxa"/>
          </w:tcPr>
          <w:p>
            <w:pPr>
              <w:rPr>
                <w:rFonts w:cs="Arial"/>
              </w:rPr>
            </w:pPr>
            <w:r>
              <w:rPr>
                <w:rFonts w:hint="eastAsia"/>
              </w:rPr>
              <w:t>其他流动负债</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5</w:t>
            </w:r>
          </w:p>
        </w:tc>
        <w:tc>
          <w:tcPr>
            <w:tcW w:w="1682" w:type="dxa"/>
          </w:tcPr>
          <w:p>
            <w:pPr>
              <w:jc w:val="right"/>
              <w:rPr>
                <w:rFonts w:ascii="宋体" w:hAnsi="宋体"/>
              </w:rPr>
            </w:pPr>
            <w:r>
              <w:rPr>
                <w:rFonts w:ascii="宋体" w:hAnsi="宋体" w:cs="宋体"/>
              </w:rPr>
              <w:t>5</w:t>
            </w:r>
          </w:p>
        </w:tc>
      </w:tr>
      <w:tr>
        <w:trPr>
          <w:jc w:val="center"/>
        </w:trPr>
        <w:tc>
          <w:tcPr>
            <w:tcW w:w="1980" w:type="dxa"/>
          </w:tcPr>
          <w:p>
            <w:pPr>
              <w:rPr>
                <w:rFonts w:cs="Arial"/>
              </w:rPr>
            </w:pPr>
            <w:r>
              <w:rPr>
                <w:rFonts w:hint="eastAsia"/>
              </w:rPr>
              <w:t>长期借款</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65,278</w:t>
            </w:r>
          </w:p>
        </w:tc>
        <w:tc>
          <w:tcPr>
            <w:tcW w:w="1682" w:type="dxa"/>
          </w:tcPr>
          <w:p>
            <w:pPr>
              <w:jc w:val="right"/>
              <w:rPr>
                <w:rFonts w:ascii="宋体" w:hAnsi="宋体"/>
              </w:rPr>
            </w:pPr>
            <w:r>
              <w:rPr>
                <w:rFonts w:ascii="宋体" w:hAnsi="宋体" w:cs="宋体"/>
              </w:rPr>
              <w:t>65,278</w:t>
            </w:r>
          </w:p>
        </w:tc>
      </w:tr>
      <w:tr>
        <w:trPr>
          <w:jc w:val="center"/>
        </w:trPr>
        <w:tc>
          <w:tcPr>
            <w:tcW w:w="1980" w:type="dxa"/>
          </w:tcPr>
          <w:p>
            <w:pPr>
              <w:rPr>
                <w:rFonts w:cs="Arial"/>
              </w:rPr>
            </w:pPr>
            <w:r>
              <w:rPr>
                <w:rFonts w:hint="eastAsia"/>
              </w:rPr>
              <w:t>应付债券</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tc>
          <w:tcPr>
            <w:tcW w:w="1980" w:type="dxa"/>
          </w:tcPr>
          <w:p>
            <w:pPr>
              <w:rPr>
                <w:rFonts w:cs="Arial"/>
              </w:rPr>
            </w:pPr>
            <w:r>
              <w:rPr>
                <w:rFonts w:hint="eastAsia"/>
              </w:rPr>
              <w:t>租赁负债</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14,273</w:t>
            </w:r>
          </w:p>
        </w:tc>
        <w:tc>
          <w:tcPr>
            <w:tcW w:w="1682" w:type="dxa"/>
          </w:tcPr>
          <w:p>
            <w:pPr>
              <w:jc w:val="right"/>
              <w:rPr>
                <w:rFonts w:ascii="宋体" w:hAnsi="宋体"/>
              </w:rPr>
            </w:pPr>
            <w:r>
              <w:rPr>
                <w:rFonts w:ascii="宋体" w:hAnsi="宋体" w:cs="宋体"/>
              </w:rPr>
              <w:t>14,273</w:t>
            </w:r>
          </w:p>
        </w:tc>
      </w:tr>
      <w:tr>
        <w:trPr>
          <w:jc w:val="center"/>
        </w:trPr>
        <w:tc>
          <w:tcPr>
            <w:tcW w:w="1980" w:type="dxa"/>
          </w:tcPr>
          <w:p>
            <w:pPr>
              <w:rPr>
                <w:rFonts w:cs="Arial"/>
              </w:rPr>
            </w:pPr>
            <w:r>
              <w:rPr>
                <w:rFonts w:hint="eastAsia"/>
              </w:rPr>
              <w:t>长期应付款</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tc>
          <w:tcPr>
            <w:tcW w:w="1980" w:type="dxa"/>
          </w:tcPr>
          <w:p>
            <w:pPr>
              <w:rPr>
                <w:rFonts w:cs="Arial"/>
              </w:rPr>
            </w:pPr>
            <w:r>
              <w:rPr>
                <w:rFonts w:hint="eastAsia"/>
              </w:rPr>
              <w:t>长期应付职工薪酬</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p>
        </w:tc>
        <w:tc>
          <w:tcPr>
            <w:tcW w:w="1682" w:type="dxa"/>
          </w:tcPr>
          <w:p>
            <w:pPr>
              <w:jc w:val="right"/>
              <w:rPr>
                <w:rFonts w:ascii="宋体" w:hAnsi="宋体"/>
              </w:rPr>
            </w:pPr>
          </w:p>
        </w:tc>
      </w:tr>
      <w:tr>
        <w:trPr>
          <w:jc w:val="center"/>
        </w:trPr>
        <w:tc>
          <w:tcPr>
            <w:tcW w:w="1980" w:type="dxa"/>
          </w:tcPr>
          <w:p>
            <w:pPr>
              <w:rPr>
                <w:rFonts w:cs="Arial"/>
              </w:rPr>
            </w:pPr>
            <w:r>
              <w:rPr>
                <w:rFonts w:hint="eastAsia"/>
              </w:rPr>
              <w:t>预计负债</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40,053</w:t>
            </w:r>
          </w:p>
        </w:tc>
        <w:tc>
          <w:tcPr>
            <w:tcW w:w="1682" w:type="dxa"/>
          </w:tcPr>
          <w:p>
            <w:pPr>
              <w:jc w:val="right"/>
              <w:rPr>
                <w:rFonts w:ascii="宋体" w:hAnsi="宋体"/>
              </w:rPr>
            </w:pPr>
            <w:r>
              <w:rPr>
                <w:rFonts w:ascii="宋体" w:hAnsi="宋体" w:cs="宋体"/>
              </w:rPr>
              <w:t>40,053</w:t>
            </w:r>
          </w:p>
        </w:tc>
      </w:tr>
      <w:tr>
        <w:trPr>
          <w:jc w:val="center"/>
        </w:trPr>
        <w:tc>
          <w:tcPr>
            <w:tcW w:w="1980" w:type="dxa"/>
          </w:tcPr>
          <w:p>
            <w:pPr>
              <w:rPr>
                <w:rFonts w:cs="Arial"/>
              </w:rPr>
            </w:pPr>
            <w:r>
              <w:rPr>
                <w:rFonts w:hint="eastAsia"/>
              </w:rPr>
              <w:lastRenderedPageBreak/>
              <w:t>递延收益</w:t>
            </w:r>
          </w:p>
        </w:tc>
        <w:tc>
          <w:tcPr>
            <w:tcW w:w="1843" w:type="dxa"/>
            <w:vAlign w:val="center"/>
          </w:tcPr>
          <w:p>
            <w:pPr>
              <w:jc w:val="right"/>
              <w:rPr>
                <w:rFonts w:ascii="宋体" w:hAnsi="宋体" w:cs="Arial"/>
              </w:rPr>
            </w:pP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2,040</w:t>
            </w:r>
          </w:p>
        </w:tc>
        <w:tc>
          <w:tcPr>
            <w:tcW w:w="1682" w:type="dxa"/>
          </w:tcPr>
          <w:p>
            <w:pPr>
              <w:jc w:val="right"/>
              <w:rPr>
                <w:rFonts w:ascii="宋体" w:hAnsi="宋体"/>
              </w:rPr>
            </w:pPr>
            <w:r>
              <w:rPr>
                <w:rFonts w:ascii="宋体" w:hAnsi="宋体" w:cs="宋体"/>
              </w:rPr>
              <w:t>2,040</w:t>
            </w:r>
          </w:p>
        </w:tc>
      </w:tr>
      <w:tr>
        <w:trPr>
          <w:jc w:val="center"/>
        </w:trPr>
        <w:tc>
          <w:tcPr>
            <w:tcW w:w="1980" w:type="dxa"/>
          </w:tcPr>
          <w:p>
            <w:pPr>
              <w:rPr>
                <w:rFonts w:cs="Arial"/>
              </w:rPr>
            </w:pPr>
            <w:r>
              <w:rPr>
                <w:rFonts w:hint="eastAsia"/>
              </w:rPr>
              <w:t>递延所得税负债</w:t>
            </w:r>
          </w:p>
        </w:tc>
        <w:tc>
          <w:tcPr>
            <w:tcW w:w="1843" w:type="dxa"/>
            <w:vAlign w:val="center"/>
          </w:tcPr>
          <w:p>
            <w:pPr>
              <w:jc w:val="right"/>
              <w:rPr>
                <w:rFonts w:ascii="宋体" w:hAnsi="宋体" w:cs="Arial"/>
              </w:rPr>
            </w:pPr>
            <w:r>
              <w:rPr>
                <w:rFonts w:ascii="宋体" w:hAnsi="宋体"/>
              </w:rPr>
              <w:t>2,567</w:t>
            </w:r>
          </w:p>
        </w:tc>
        <w:tc>
          <w:tcPr>
            <w:tcW w:w="1559" w:type="dxa"/>
            <w:vAlign w:val="center"/>
          </w:tcPr>
          <w:p>
            <w:pPr>
              <w:jc w:val="right"/>
              <w:rPr>
                <w:rFonts w:ascii="宋体" w:hAnsi="宋体"/>
              </w:rPr>
            </w:pPr>
          </w:p>
        </w:tc>
        <w:tc>
          <w:tcPr>
            <w:tcW w:w="1984" w:type="dxa"/>
          </w:tcPr>
          <w:p>
            <w:pPr>
              <w:jc w:val="right"/>
              <w:rPr>
                <w:rFonts w:ascii="宋体" w:hAnsi="宋体" w:cs="Arial"/>
              </w:rPr>
            </w:pPr>
            <w:r>
              <w:rPr>
                <w:rFonts w:ascii="宋体" w:hAnsi="宋体" w:cs="宋体"/>
              </w:rPr>
              <w:t>28,689</w:t>
            </w:r>
          </w:p>
        </w:tc>
        <w:tc>
          <w:tcPr>
            <w:tcW w:w="1682" w:type="dxa"/>
          </w:tcPr>
          <w:p>
            <w:pPr>
              <w:jc w:val="right"/>
              <w:rPr>
                <w:rFonts w:ascii="宋体" w:hAnsi="宋体"/>
              </w:rPr>
            </w:pPr>
            <w:r>
              <w:rPr>
                <w:rFonts w:ascii="宋体" w:hAnsi="宋体" w:cs="宋体"/>
              </w:rPr>
              <w:t>13,378</w:t>
            </w:r>
          </w:p>
        </w:tc>
      </w:tr>
      <w:tr>
        <w:trPr>
          <w:jc w:val="center"/>
        </w:trPr>
        <w:tc>
          <w:tcPr>
            <w:tcW w:w="1980" w:type="dxa"/>
            <w:vAlign w:val="center"/>
          </w:tcPr>
          <w:p>
            <w:pPr>
              <w:ind w:left="3"/>
              <w:rPr>
                <w:rFonts w:cs="Arial"/>
              </w:rPr>
            </w:pPr>
            <w:r>
              <w:rPr>
                <w:rFonts w:cs="Arial" w:hint="eastAsia"/>
                <w:lang w:val="en-GB"/>
              </w:rPr>
              <w:t>净资产</w:t>
            </w:r>
          </w:p>
        </w:tc>
        <w:tc>
          <w:tcPr>
            <w:tcW w:w="1843" w:type="dxa"/>
            <w:vAlign w:val="center"/>
          </w:tcPr>
          <w:p>
            <w:pPr>
              <w:jc w:val="right"/>
              <w:rPr>
                <w:rFonts w:ascii="宋体" w:hAnsi="宋体" w:cs="Arial"/>
              </w:rPr>
            </w:pPr>
            <w:r>
              <w:rPr>
                <w:rFonts w:ascii="宋体" w:hAnsi="宋体"/>
              </w:rPr>
              <w:t>83,324</w:t>
            </w:r>
          </w:p>
        </w:tc>
        <w:tc>
          <w:tcPr>
            <w:tcW w:w="1559" w:type="dxa"/>
            <w:vAlign w:val="center"/>
          </w:tcPr>
          <w:p>
            <w:pPr>
              <w:jc w:val="right"/>
              <w:rPr>
                <w:rFonts w:ascii="宋体" w:hAnsi="宋体"/>
              </w:rPr>
            </w:pPr>
            <w:r>
              <w:rPr>
                <w:rFonts w:ascii="宋体" w:hAnsi="宋体"/>
              </w:rPr>
              <w:t>75,625</w:t>
            </w:r>
          </w:p>
        </w:tc>
        <w:tc>
          <w:tcPr>
            <w:tcW w:w="1984" w:type="dxa"/>
          </w:tcPr>
          <w:p>
            <w:pPr>
              <w:jc w:val="right"/>
              <w:rPr>
                <w:rFonts w:ascii="宋体" w:hAnsi="宋体" w:cs="Arial"/>
              </w:rPr>
            </w:pPr>
            <w:r>
              <w:rPr>
                <w:rFonts w:ascii="宋体" w:hAnsi="宋体" w:cs="宋体"/>
              </w:rPr>
              <w:t>589,781</w:t>
            </w:r>
          </w:p>
        </w:tc>
        <w:tc>
          <w:tcPr>
            <w:tcW w:w="1682" w:type="dxa"/>
          </w:tcPr>
          <w:p>
            <w:pPr>
              <w:jc w:val="right"/>
              <w:rPr>
                <w:rFonts w:ascii="宋体" w:hAnsi="宋体"/>
              </w:rPr>
            </w:pPr>
            <w:r>
              <w:rPr>
                <w:rFonts w:ascii="宋体" w:hAnsi="宋体" w:cs="宋体"/>
              </w:rPr>
              <w:t>554,055</w:t>
            </w:r>
          </w:p>
        </w:tc>
      </w:tr>
      <w:tr>
        <w:trPr>
          <w:jc w:val="center"/>
        </w:trPr>
        <w:tc>
          <w:tcPr>
            <w:tcW w:w="1980" w:type="dxa"/>
            <w:vAlign w:val="center"/>
          </w:tcPr>
          <w:p>
            <w:pPr>
              <w:ind w:left="3"/>
              <w:rPr>
                <w:rFonts w:cs="Arial"/>
              </w:rPr>
            </w:pPr>
            <w:r>
              <w:rPr>
                <w:rFonts w:cs="Arial" w:hint="eastAsia"/>
                <w:lang w:val="en-GB"/>
              </w:rPr>
              <w:t>减：少数股东权益</w:t>
            </w:r>
          </w:p>
        </w:tc>
        <w:tc>
          <w:tcPr>
            <w:tcW w:w="1843" w:type="dxa"/>
            <w:vAlign w:val="center"/>
          </w:tcPr>
          <w:p>
            <w:pPr>
              <w:jc w:val="right"/>
              <w:rPr>
                <w:rFonts w:ascii="宋体" w:hAnsi="宋体" w:cs="Arial"/>
              </w:rPr>
            </w:pPr>
            <w:r>
              <w:rPr>
                <w:rFonts w:ascii="宋体" w:hAnsi="宋体"/>
              </w:rPr>
              <w:t>29,164</w:t>
            </w:r>
          </w:p>
        </w:tc>
        <w:tc>
          <w:tcPr>
            <w:tcW w:w="1559" w:type="dxa"/>
            <w:vAlign w:val="center"/>
          </w:tcPr>
          <w:p>
            <w:pPr>
              <w:jc w:val="right"/>
              <w:rPr>
                <w:rFonts w:ascii="宋体" w:hAnsi="宋体"/>
              </w:rPr>
            </w:pPr>
            <w:r>
              <w:rPr>
                <w:rFonts w:ascii="宋体" w:hAnsi="宋体"/>
              </w:rPr>
              <w:t>26,468</w:t>
            </w:r>
          </w:p>
        </w:tc>
        <w:tc>
          <w:tcPr>
            <w:tcW w:w="1984" w:type="dxa"/>
          </w:tcPr>
          <w:p>
            <w:pPr>
              <w:jc w:val="right"/>
              <w:rPr>
                <w:rFonts w:ascii="宋体" w:hAnsi="宋体" w:cs="Arial"/>
              </w:rPr>
            </w:pPr>
            <w:r>
              <w:rPr>
                <w:rFonts w:ascii="宋体" w:hAnsi="宋体" w:cs="宋体"/>
              </w:rPr>
              <w:t>326,496</w:t>
            </w:r>
          </w:p>
        </w:tc>
        <w:tc>
          <w:tcPr>
            <w:tcW w:w="1682" w:type="dxa"/>
          </w:tcPr>
          <w:p>
            <w:pPr>
              <w:jc w:val="right"/>
              <w:rPr>
                <w:rFonts w:ascii="宋体" w:hAnsi="宋体"/>
              </w:rPr>
            </w:pPr>
            <w:r>
              <w:rPr>
                <w:rFonts w:ascii="宋体" w:hAnsi="宋体" w:cs="宋体"/>
              </w:rPr>
              <w:t>308,990</w:t>
            </w:r>
          </w:p>
        </w:tc>
      </w:tr>
      <w:tr>
        <w:trPr>
          <w:jc w:val="center"/>
        </w:trPr>
        <w:tc>
          <w:tcPr>
            <w:tcW w:w="1980" w:type="dxa"/>
            <w:vAlign w:val="center"/>
          </w:tcPr>
          <w:p>
            <w:pPr>
              <w:ind w:left="3"/>
              <w:rPr>
                <w:rFonts w:cs="Arial"/>
              </w:rPr>
            </w:pPr>
            <w:r>
              <w:rPr>
                <w:rFonts w:cs="Arial" w:hint="eastAsia"/>
                <w:lang w:val="en-GB"/>
              </w:rPr>
              <w:t>取得的净资产</w:t>
            </w:r>
          </w:p>
        </w:tc>
        <w:tc>
          <w:tcPr>
            <w:tcW w:w="1843" w:type="dxa"/>
            <w:vAlign w:val="center"/>
          </w:tcPr>
          <w:p>
            <w:pPr>
              <w:jc w:val="right"/>
              <w:rPr>
                <w:rFonts w:ascii="宋体" w:hAnsi="宋体" w:cs="Arial"/>
              </w:rPr>
            </w:pPr>
            <w:r>
              <w:rPr>
                <w:rFonts w:ascii="宋体" w:hAnsi="宋体"/>
              </w:rPr>
              <w:t>54,160</w:t>
            </w:r>
          </w:p>
        </w:tc>
        <w:tc>
          <w:tcPr>
            <w:tcW w:w="1559" w:type="dxa"/>
            <w:vAlign w:val="center"/>
          </w:tcPr>
          <w:p>
            <w:pPr>
              <w:jc w:val="right"/>
              <w:rPr>
                <w:rFonts w:ascii="宋体" w:hAnsi="宋体"/>
              </w:rPr>
            </w:pPr>
            <w:r>
              <w:rPr>
                <w:rFonts w:ascii="宋体" w:hAnsi="宋体"/>
              </w:rPr>
              <w:t>49,157</w:t>
            </w:r>
          </w:p>
        </w:tc>
        <w:tc>
          <w:tcPr>
            <w:tcW w:w="1984" w:type="dxa"/>
          </w:tcPr>
          <w:p>
            <w:pPr>
              <w:jc w:val="right"/>
              <w:rPr>
                <w:rFonts w:ascii="宋体" w:hAnsi="宋体" w:cs="Arial"/>
              </w:rPr>
            </w:pPr>
            <w:r>
              <w:rPr>
                <w:rFonts w:ascii="宋体" w:hAnsi="宋体" w:cs="宋体"/>
              </w:rPr>
              <w:t>263,285</w:t>
            </w:r>
          </w:p>
        </w:tc>
        <w:tc>
          <w:tcPr>
            <w:tcW w:w="1682" w:type="dxa"/>
          </w:tcPr>
          <w:p>
            <w:pPr>
              <w:jc w:val="right"/>
              <w:rPr>
                <w:rFonts w:ascii="宋体" w:hAnsi="宋体"/>
              </w:rPr>
            </w:pPr>
            <w:r>
              <w:rPr>
                <w:rFonts w:ascii="宋体" w:hAnsi="宋体" w:cs="宋体"/>
              </w:rPr>
              <w:t>245,065</w:t>
            </w:r>
          </w:p>
        </w:tc>
      </w:tr>
    </w:tbl>
    <w:p>
      <w:pPr>
        <w:pStyle w:val="Style217"/>
      </w:pPr>
    </w:p>
    <w:p>
      <w:pPr>
        <w:spacing w:before="60" w:after="60"/>
        <w:rPr>
          <w:rFonts w:cs="Arial"/>
        </w:rPr>
      </w:pPr>
      <w:r>
        <w:rPr>
          <w:rFonts w:cs="Arial" w:hint="eastAsia"/>
        </w:rPr>
        <w:t>可辨认资产、负债公允价值的确定方法：</w:t>
      </w:r>
    </w:p>
    <w:sdt>
      <w:sdtPr>
        <w:rPr>
          <w:rFonts w:cs="Arial" w:hint="eastAsia"/>
        </w:rPr>
        <w:alias w:val="可辨认资产、负债公允价值的确定方法"/>
        <w:tag w:val="_GBC_697ae60f164648909c69949688877efc"/>
        <w:id w:val="1735653619"/>
        <w:placeholder>
          <w:docPart w:val="GBC22222222222222222222222222222"/>
        </w:placeholder>
      </w:sdtPr>
      <w:sdtContent>
        <w:p>
          <w:pPr>
            <w:spacing w:before="60" w:after="60"/>
            <w:rPr>
              <w:rFonts w:cs="Arial"/>
            </w:rPr>
          </w:pPr>
          <w:r>
            <w:rPr>
              <w:rFonts w:cs="Arial" w:hint="eastAsia"/>
            </w:rPr>
            <w:t>-</w:t>
          </w:r>
        </w:p>
      </w:sdtContent>
    </w:sdt>
    <w:p>
      <w:pPr>
        <w:spacing w:before="60" w:after="60"/>
        <w:rPr>
          <w:rFonts w:cs="Arial"/>
        </w:rPr>
      </w:pPr>
      <w:r>
        <w:rPr>
          <w:rFonts w:cs="Arial" w:hint="eastAsia"/>
        </w:rPr>
        <w:t>企业合并中承担的被购买方的或有负债：</w:t>
      </w:r>
    </w:p>
    <w:sdt>
      <w:sdtPr>
        <w:rPr>
          <w:rFonts w:cs="Arial"/>
        </w:rPr>
        <w:alias w:val="企业合并中承担的被购买方的或有负债"/>
        <w:tag w:val="_GBC_2ee9245667e3468088cff37a16c9031b"/>
        <w:id w:val="-247497361"/>
        <w:placeholder>
          <w:docPart w:val="GBC22222222222222222222222222222"/>
        </w:placeholder>
      </w:sdtPr>
      <w:sdtContent>
        <w:p>
          <w:pPr>
            <w:rPr>
              <w:rFonts w:cs="Arial"/>
            </w:rPr>
          </w:pPr>
          <w:r>
            <w:rPr>
              <w:rFonts w:cs="Arial" w:hint="eastAsia"/>
            </w:rPr>
            <w:t>-</w:t>
          </w:r>
        </w:p>
      </w:sdtContent>
    </w:sdt>
    <w:p>
      <w:pPr>
        <w:spacing w:before="60" w:after="60"/>
        <w:rPr>
          <w:rFonts w:cs="Arial"/>
        </w:rPr>
      </w:pPr>
      <w:r>
        <w:rPr>
          <w:rFonts w:cs="Arial" w:hint="eastAsia"/>
        </w:rPr>
        <w:t>其他说明：</w:t>
      </w:r>
    </w:p>
    <w:sdt>
      <w:sdtPr>
        <w:rPr>
          <w:rFonts w:cs="Arial"/>
        </w:rPr>
        <w:alias w:val="被购买方于购买日可辨认资产、负债的其他说明"/>
        <w:tag w:val="_GBC_12892ed0e2ce45268d99770060164a31"/>
        <w:id w:val="1987054067"/>
        <w:placeholder>
          <w:docPart w:val="GBC22222222222222222222222222222"/>
        </w:placeholder>
      </w:sdtPr>
      <w:sdtContent>
        <w:p>
          <w:pPr>
            <w:rPr>
              <w:rFonts w:cs="Arial"/>
            </w:rPr>
          </w:pPr>
          <w:r>
            <w:rPr>
              <w:rFonts w:cs="Arial" w:hint="eastAsia"/>
            </w:rPr>
            <w:t>-</w:t>
          </w:r>
        </w:p>
      </w:sdtContent>
    </w:sdt>
    <w:p>
      <w:pPr>
        <w:pStyle w:val="Style217"/>
      </w:pPr>
    </w:p>
    <w:p>
      <w:pPr>
        <w:pStyle w:val="Style179"/>
        <w:numPr>
          <w:ilvl w:val="0"/>
          <w:numId w:val="117"/>
        </w:numPr>
        <w:ind w:left="426" w:hanging="426"/>
        <w:rPr>
          <w:rStyle w:val="Style103"/>
          <w:rFonts w:ascii="宋体" w:hAnsi="宋体"/>
          <w:b/>
          <w:szCs w:val="21"/>
        </w:rPr>
      </w:pPr>
      <w:r>
        <w:rPr>
          <w:rStyle w:val="Style103"/>
          <w:rFonts w:ascii="宋体" w:hAnsi="宋体" w:hint="eastAsia"/>
          <w:b/>
          <w:szCs w:val="21"/>
        </w:rPr>
        <w:t>购买日之前持有的股权按照公允价值重新计量产生的利得或损失</w:t>
      </w:r>
    </w:p>
    <w:p>
      <w:pPr>
        <w:rPr>
          <w:rFonts w:ascii="Calibri" w:hAnsi="Calibri"/>
          <w:kern w:val="2"/>
          <w:szCs w:val="22"/>
        </w:rPr>
      </w:pPr>
      <w:r>
        <w:rPr>
          <w:rFonts w:hint="eastAsia"/>
        </w:rPr>
        <w:t>是否存在通过多次交易分步实现企业合并且在报告期内取得控制权的交易</w:t>
      </w:r>
    </w:p>
    <w:p>
      <w:pPr>
        <w:rPr>
          <w:rFonts w:cs="Arial"/>
        </w:rPr>
      </w:pPr>
      <w:sdt>
        <w:sdtPr>
          <w:alias w:val="是否存在通过多次交易分步实现企业合并且在本报告期取得控制权的情形[双击切换]"/>
          <w:tag w:val="_GBC_f16c6a756bf64379a37d1a5a881514ea"/>
          <w:id w:val="-310558872"/>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pPr>
        <w:rPr>
          <w:rFonts w:cs="Arial"/>
        </w:rPr>
      </w:pPr>
    </w:p>
    <w:p>
      <w:pPr>
        <w:rPr>
          <w:rFonts w:cs="Arial"/>
        </w:rPr>
      </w:pPr>
    </w:p>
    <w:p>
      <w:pPr>
        <w:pStyle w:val="Style179"/>
        <w:numPr>
          <w:ilvl w:val="0"/>
          <w:numId w:val="117"/>
        </w:numPr>
        <w:ind w:left="426" w:hanging="426"/>
        <w:rPr>
          <w:rStyle w:val="Style103"/>
          <w:rFonts w:ascii="宋体" w:hAnsi="宋体"/>
          <w:b/>
          <w:szCs w:val="21"/>
        </w:rPr>
      </w:pPr>
      <w:r>
        <w:rPr>
          <w:rStyle w:val="Style103"/>
          <w:rFonts w:ascii="宋体" w:hAnsi="宋体" w:hint="eastAsia"/>
          <w:b/>
          <w:szCs w:val="21"/>
        </w:rPr>
        <w:t>购买日或合并当期期末无法合理确定合并对价或被购买方可辨认资产、负债公允价值的相关说明</w:t>
      </w:r>
    </w:p>
    <w:sdt>
      <w:sdtPr>
        <w:rPr>
          <w:rFonts w:cs="Arial" w:hint="eastAsia"/>
        </w:rPr>
        <w:alias w:val="是否适用：购买日或合并当期期末无法合理确定合并对价或被购买方可辨认资产、负债公允价值的相关说明[双击切换]"/>
        <w:tag w:val="_GBC_356c94258e3a4bd7bb489882bf311bd0"/>
        <w:id w:val="-923564593"/>
        <w:placeholder>
          <w:docPart w:val="GBC22222222222222222222222222222"/>
        </w:placeholder>
      </w:sdtPr>
      <w:sdtContent>
        <w:p>
          <w:pPr>
            <w:rPr>
              <w:rFonts w:cs="Arial"/>
              <w:b/>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pPr>
        <w:rPr>
          <w:rFonts w:cs="Arial"/>
        </w:rPr>
      </w:pPr>
    </w:p>
    <w:p>
      <w:pPr>
        <w:pStyle w:val="Style179"/>
        <w:numPr>
          <w:ilvl w:val="0"/>
          <w:numId w:val="117"/>
        </w:numPr>
        <w:ind w:left="426" w:hanging="426"/>
        <w:rPr>
          <w:rStyle w:val="Style103"/>
          <w:rFonts w:ascii="宋体" w:hAnsi="宋体"/>
          <w:b/>
          <w:szCs w:val="21"/>
        </w:rPr>
      </w:pPr>
      <w:r>
        <w:rPr>
          <w:rStyle w:val="Style103"/>
          <w:rFonts w:ascii="宋体" w:hAnsi="宋体" w:hint="eastAsia"/>
          <w:b/>
          <w:szCs w:val="21"/>
        </w:rPr>
        <w:t>其他说明</w:t>
      </w:r>
    </w:p>
    <w:sdt>
      <w:sdtPr>
        <w:rPr>
          <w:rFonts w:hint="eastAsia"/>
        </w:rPr>
        <w:alias w:val="是否适用：非同一控制下企业合并其他需要说明的事项[双击切换]"/>
        <w:tag w:val="_GBC_34e320a5c7264ae9995be47f5972ed90"/>
        <w:id w:val="-1364984594"/>
        <w:placeholder>
          <w:docPart w:val="GBC22222222222222222222222222222"/>
        </w:placeholder>
      </w:sdtPr>
      <w:sdtContent>
        <w:p>
          <w:pPr>
            <w:rPr>
              <w:rFonts w:cstheme="minorBidi"/>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8"/>
        <w:numPr>
          <w:ilvl w:val="0"/>
          <w:numId w:val="116"/>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428112819"/>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79"/>
      </w:pPr>
      <w:r>
        <w:rPr>
          <w:rFonts w:hint="eastAsia"/>
        </w:rPr>
        <w:t>(1).本期发生的同一控制下企业合并</w:t>
      </w:r>
    </w:p>
    <w:sdt>
      <w:sdtPr>
        <w:alias w:val="是否适用：本期发生的同一控制下企业合并[双击切换]"/>
        <w:tag w:val="_GBC_50aeb159f0be4e099170131affd5d1bc"/>
        <w:id w:val="198982770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b/>
        </w:rPr>
      </w:pPr>
      <w:r>
        <w:rPr>
          <w:rFonts w:hint="eastAsia"/>
        </w:rPr>
        <w:t>单位：</w:t>
      </w:r>
      <w:sdt>
        <w:sdtPr>
          <w:rPr>
            <w:rFonts w:hint="eastAsia"/>
          </w:rPr>
          <w:alias w:val="单位：发生的同一控制下企业合并"/>
          <w:tag w:val="_GBC_6c807af61b7c4d1dad8dbcd9238f2985"/>
          <w:id w:val="-1466723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发生的同一控制下企业合并"/>
          <w:tag w:val="_GBC_d0e9edec9a044027a7e3968e6e6224ea"/>
          <w:id w:val="16817001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1057"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866"/>
        <w:gridCol w:w="1134"/>
        <w:gridCol w:w="993"/>
        <w:gridCol w:w="850"/>
        <w:gridCol w:w="1276"/>
        <w:gridCol w:w="1134"/>
        <w:gridCol w:w="1276"/>
        <w:gridCol w:w="1275"/>
      </w:tblGrid>
      <w:tr>
        <w:trPr>
          <w:trHeight w:val="1113"/>
        </w:trPr>
        <w:sdt>
          <w:sdtPr>
            <w:tag w:val="_PLD_cf4cad5fd924471dbbecdf354d5ad2e3"/>
            <w:id w:val="1342276837"/>
          </w:sdtPr>
          <w:sdtContent>
            <w:tc>
              <w:tcPr>
                <w:tcW w:w="2253" w:type="dxa"/>
                <w:vAlign w:val="center"/>
              </w:tcPr>
              <w:p>
                <w:pPr>
                  <w:jc w:val="center"/>
                </w:pPr>
                <w:r>
                  <w:rPr>
                    <w:rFonts w:hint="eastAsia"/>
                  </w:rPr>
                  <w:t>被合并方名称</w:t>
                </w:r>
              </w:p>
            </w:tc>
          </w:sdtContent>
        </w:sdt>
        <w:sdt>
          <w:sdtPr>
            <w:tag w:val="_PLD_ea6ca5b536474fc18ca1201904cdab3b"/>
            <w:id w:val="-1684197750"/>
          </w:sdtPr>
          <w:sdtContent>
            <w:tc>
              <w:tcPr>
                <w:tcW w:w="866" w:type="dxa"/>
                <w:vAlign w:val="center"/>
              </w:tcPr>
              <w:p>
                <w:pPr>
                  <w:jc w:val="center"/>
                </w:pPr>
                <w:r>
                  <w:rPr>
                    <w:rFonts w:hint="eastAsia"/>
                  </w:rPr>
                  <w:t>企业合并中取得的权益比例</w:t>
                </w:r>
              </w:p>
            </w:tc>
          </w:sdtContent>
        </w:sdt>
        <w:sdt>
          <w:sdtPr>
            <w:tag w:val="_PLD_3f424227b77145b18d7b5c46cc9dfab8"/>
            <w:id w:val="-1358115578"/>
          </w:sdtPr>
          <w:sdtContent>
            <w:tc>
              <w:tcPr>
                <w:tcW w:w="1134" w:type="dxa"/>
                <w:vAlign w:val="center"/>
              </w:tcPr>
              <w:p>
                <w:pPr>
                  <w:jc w:val="center"/>
                </w:pPr>
                <w:r>
                  <w:rPr>
                    <w:rFonts w:hint="eastAsia"/>
                  </w:rPr>
                  <w:t>构成同一控制下企业合并的依据</w:t>
                </w:r>
              </w:p>
            </w:tc>
          </w:sdtContent>
        </w:sdt>
        <w:sdt>
          <w:sdtPr>
            <w:tag w:val="_PLD_e8fd59ee75374533bfc1d1ff5c5dd604"/>
            <w:id w:val="-1228757419"/>
          </w:sdtPr>
          <w:sdtContent>
            <w:tc>
              <w:tcPr>
                <w:tcW w:w="993" w:type="dxa"/>
                <w:vAlign w:val="center"/>
              </w:tcPr>
              <w:p>
                <w:pPr>
                  <w:jc w:val="center"/>
                </w:pPr>
                <w:r>
                  <w:rPr>
                    <w:rFonts w:hint="eastAsia"/>
                  </w:rPr>
                  <w:t>合并日</w:t>
                </w:r>
              </w:p>
            </w:tc>
          </w:sdtContent>
        </w:sdt>
        <w:sdt>
          <w:sdtPr>
            <w:tag w:val="_PLD_0e812ed2b27d40c2bc820568242609ea"/>
            <w:id w:val="1944492462"/>
          </w:sdtPr>
          <w:sdtContent>
            <w:tc>
              <w:tcPr>
                <w:tcW w:w="850" w:type="dxa"/>
                <w:vAlign w:val="center"/>
              </w:tcPr>
              <w:p>
                <w:pPr>
                  <w:jc w:val="center"/>
                </w:pPr>
                <w:r>
                  <w:rPr>
                    <w:rFonts w:hint="eastAsia"/>
                  </w:rPr>
                  <w:t>合并日的确定依据</w:t>
                </w:r>
              </w:p>
            </w:tc>
          </w:sdtContent>
        </w:sdt>
        <w:sdt>
          <w:sdtPr>
            <w:tag w:val="_PLD_d625705be55e4fdd9e867728c1965db0"/>
            <w:id w:val="375119775"/>
          </w:sdtPr>
          <w:sdtContent>
            <w:tc>
              <w:tcPr>
                <w:tcW w:w="1276" w:type="dxa"/>
                <w:vAlign w:val="center"/>
              </w:tcPr>
              <w:p>
                <w:pPr>
                  <w:jc w:val="center"/>
                </w:pPr>
                <w:r>
                  <w:rPr>
                    <w:rFonts w:hint="eastAsia"/>
                  </w:rPr>
                  <w:t>合并当期期初至合并日被合并方的收入</w:t>
                </w:r>
              </w:p>
            </w:tc>
          </w:sdtContent>
        </w:sdt>
        <w:sdt>
          <w:sdtPr>
            <w:tag w:val="_PLD_03b7d7d580ac4e22b699e2e17f8f3009"/>
            <w:id w:val="1335724960"/>
          </w:sdtPr>
          <w:sdtContent>
            <w:tc>
              <w:tcPr>
                <w:tcW w:w="1134" w:type="dxa"/>
                <w:vAlign w:val="center"/>
              </w:tcPr>
              <w:p>
                <w:pPr>
                  <w:jc w:val="center"/>
                </w:pPr>
                <w:r>
                  <w:rPr>
                    <w:rFonts w:hint="eastAsia"/>
                  </w:rPr>
                  <w:t>合并当期期初至合并日被合并方的净利润</w:t>
                </w:r>
              </w:p>
            </w:tc>
          </w:sdtContent>
        </w:sdt>
        <w:sdt>
          <w:sdtPr>
            <w:tag w:val="_PLD_a1bf6594ef214561a400037e9b2c868d"/>
            <w:id w:val="-433517444"/>
          </w:sdtPr>
          <w:sdtContent>
            <w:tc>
              <w:tcPr>
                <w:tcW w:w="1276" w:type="dxa"/>
                <w:vAlign w:val="center"/>
              </w:tcPr>
              <w:p>
                <w:pPr>
                  <w:jc w:val="center"/>
                </w:pPr>
                <w:r>
                  <w:rPr>
                    <w:rFonts w:hint="eastAsia"/>
                  </w:rPr>
                  <w:t>比较期间被合并方的收入</w:t>
                </w:r>
              </w:p>
            </w:tc>
          </w:sdtContent>
        </w:sdt>
        <w:sdt>
          <w:sdtPr>
            <w:tag w:val="_PLD_c3156d36b4534057acbc9a11456c7f76"/>
            <w:id w:val="790016002"/>
          </w:sdtPr>
          <w:sdtContent>
            <w:tc>
              <w:tcPr>
                <w:tcW w:w="1275" w:type="dxa"/>
                <w:vAlign w:val="center"/>
              </w:tcPr>
              <w:p>
                <w:pPr>
                  <w:jc w:val="center"/>
                </w:pPr>
                <w:r>
                  <w:rPr>
                    <w:rFonts w:hint="eastAsia"/>
                  </w:rPr>
                  <w:t>比较期间被合并方的净利润</w:t>
                </w:r>
              </w:p>
            </w:tc>
          </w:sdtContent>
        </w:sdt>
      </w:tr>
      <w:tr>
        <w:trPr>
          <w:trHeight w:val="301"/>
        </w:trPr>
        <w:tc>
          <w:tcPr>
            <w:tcW w:w="2253" w:type="dxa"/>
            <w:vAlign w:val="center"/>
          </w:tcPr>
          <w:p>
            <w:pPr>
              <w:jc w:val="both"/>
              <w:rPr>
                <w:rFonts w:ascii="宋体" w:hAnsi="宋体"/>
              </w:rPr>
            </w:pPr>
            <w:r>
              <w:rPr>
                <w:rFonts w:ascii="宋体" w:hAnsi="宋体" w:hint="eastAsia"/>
              </w:rPr>
              <w:t>山东能源集团西北矿业有限公司</w:t>
            </w:r>
          </w:p>
        </w:tc>
        <w:tc>
          <w:tcPr>
            <w:tcW w:w="866" w:type="dxa"/>
            <w:vAlign w:val="center"/>
          </w:tcPr>
          <w:p>
            <w:pPr>
              <w:jc w:val="right"/>
              <w:rPr>
                <w:rFonts w:ascii="宋体" w:hAnsi="宋体"/>
              </w:rPr>
            </w:pPr>
            <w:r>
              <w:rPr>
                <w:rFonts w:ascii="宋体" w:hAnsi="宋体" w:hint="eastAsia"/>
              </w:rPr>
              <w:t>51%</w:t>
            </w:r>
          </w:p>
        </w:tc>
        <w:tc>
          <w:tcPr>
            <w:tcW w:w="1134" w:type="dxa"/>
            <w:vAlign w:val="center"/>
          </w:tcPr>
          <w:p>
            <w:pPr>
              <w:jc w:val="center"/>
              <w:rPr>
                <w:rFonts w:ascii="宋体" w:hAnsi="宋体"/>
              </w:rPr>
            </w:pPr>
            <w:r>
              <w:rPr>
                <w:rFonts w:ascii="宋体" w:hAnsi="宋体" w:hint="eastAsia"/>
              </w:rPr>
              <w:t>最终控制人为山东能源集团有限公司</w:t>
            </w:r>
          </w:p>
        </w:tc>
        <w:tc>
          <w:tcPr>
            <w:tcW w:w="993" w:type="dxa"/>
            <w:vAlign w:val="center"/>
          </w:tcPr>
          <w:p>
            <w:pPr>
              <w:jc w:val="center"/>
              <w:rPr>
                <w:rFonts w:ascii="宋体" w:hAnsi="宋体"/>
              </w:rPr>
            </w:pPr>
            <w:r>
              <w:rPr>
                <w:rFonts w:ascii="宋体" w:hAnsi="宋体" w:hint="eastAsia"/>
              </w:rPr>
              <w:t>2025年7月11日</w:t>
            </w:r>
          </w:p>
        </w:tc>
        <w:tc>
          <w:tcPr>
            <w:tcW w:w="850" w:type="dxa"/>
            <w:vAlign w:val="center"/>
          </w:tcPr>
          <w:p>
            <w:pPr>
              <w:jc w:val="center"/>
              <w:rPr>
                <w:rFonts w:ascii="宋体" w:hAnsi="宋体"/>
              </w:rPr>
            </w:pPr>
            <w:r>
              <w:rPr>
                <w:rFonts w:ascii="宋体" w:hAnsi="宋体" w:hint="eastAsia"/>
              </w:rPr>
              <w:t>控制权的转移</w:t>
            </w:r>
          </w:p>
        </w:tc>
        <w:tc>
          <w:tcPr>
            <w:tcW w:w="1276" w:type="dxa"/>
            <w:vAlign w:val="center"/>
          </w:tcPr>
          <w:p>
            <w:pPr>
              <w:jc w:val="right"/>
              <w:rPr>
                <w:rFonts w:ascii="宋体" w:hAnsi="宋体"/>
              </w:rPr>
            </w:pPr>
            <w:r>
              <w:rPr>
                <w:rFonts w:ascii="宋体" w:hAnsi="宋体" w:cs="宋体" w:hint="eastAsia"/>
              </w:rPr>
              <w:t>7,366,448</w:t>
            </w:r>
          </w:p>
        </w:tc>
        <w:tc>
          <w:tcPr>
            <w:tcW w:w="1134" w:type="dxa"/>
            <w:vAlign w:val="center"/>
          </w:tcPr>
          <w:p>
            <w:pPr>
              <w:jc w:val="right"/>
              <w:rPr>
                <w:rFonts w:ascii="宋体" w:hAnsi="宋体"/>
              </w:rPr>
            </w:pPr>
            <w:r>
              <w:rPr>
                <w:rFonts w:ascii="宋体" w:hAnsi="宋体" w:cs="宋体" w:hint="eastAsia"/>
              </w:rPr>
              <w:t>569,979</w:t>
            </w:r>
          </w:p>
        </w:tc>
        <w:tc>
          <w:tcPr>
            <w:tcW w:w="1276" w:type="dxa"/>
            <w:vAlign w:val="center"/>
          </w:tcPr>
          <w:p>
            <w:pPr>
              <w:jc w:val="right"/>
              <w:rPr>
                <w:rFonts w:ascii="宋体" w:hAnsi="宋体" w:cs="宋体"/>
              </w:rPr>
            </w:pPr>
            <w:r>
              <w:rPr>
                <w:rFonts w:ascii="宋体" w:hAnsi="宋体" w:cs="宋体"/>
              </w:rPr>
              <w:t>17,407,033</w:t>
            </w:r>
          </w:p>
        </w:tc>
        <w:tc>
          <w:tcPr>
            <w:tcW w:w="1275" w:type="dxa"/>
            <w:vAlign w:val="center"/>
          </w:tcPr>
          <w:p>
            <w:pPr>
              <w:jc w:val="right"/>
              <w:rPr>
                <w:rFonts w:ascii="宋体" w:hAnsi="宋体" w:cs="宋体"/>
              </w:rPr>
            </w:pPr>
            <w:r>
              <w:rPr>
                <w:rFonts w:ascii="宋体" w:hAnsi="宋体" w:cs="宋体"/>
              </w:rPr>
              <w:t>1,113,117</w:t>
            </w:r>
          </w:p>
        </w:tc>
      </w:tr>
      <w:tr>
        <w:trPr>
          <w:trHeight w:val="301"/>
        </w:trPr>
        <w:tc>
          <w:tcPr>
            <w:tcW w:w="2253" w:type="dxa"/>
            <w:vAlign w:val="center"/>
          </w:tcPr>
          <w:p>
            <w:pPr>
              <w:jc w:val="both"/>
              <w:rPr>
                <w:rFonts w:ascii="宋体" w:hAnsi="宋体"/>
              </w:rPr>
            </w:pPr>
            <w:r>
              <w:rPr>
                <w:rFonts w:ascii="宋体" w:hAnsi="宋体" w:hint="eastAsia"/>
              </w:rPr>
              <w:t>兖矿售电有限公司</w:t>
            </w:r>
          </w:p>
        </w:tc>
        <w:tc>
          <w:tcPr>
            <w:tcW w:w="866" w:type="dxa"/>
            <w:vAlign w:val="center"/>
          </w:tcPr>
          <w:p>
            <w:pPr>
              <w:jc w:val="right"/>
              <w:rPr>
                <w:rFonts w:ascii="宋体" w:hAnsi="宋体"/>
              </w:rPr>
            </w:pPr>
            <w:r>
              <w:rPr>
                <w:rFonts w:ascii="宋体" w:hAnsi="宋体" w:hint="eastAsia"/>
              </w:rPr>
              <w:t>66%</w:t>
            </w:r>
          </w:p>
        </w:tc>
        <w:tc>
          <w:tcPr>
            <w:tcW w:w="1134" w:type="dxa"/>
            <w:vAlign w:val="center"/>
          </w:tcPr>
          <w:p>
            <w:pPr>
              <w:jc w:val="center"/>
              <w:rPr>
                <w:rFonts w:ascii="宋体" w:hAnsi="宋体"/>
              </w:rPr>
            </w:pPr>
            <w:r>
              <w:rPr>
                <w:rFonts w:ascii="宋体" w:hAnsi="宋体" w:hint="eastAsia"/>
              </w:rPr>
              <w:t>最终控制人为山东能源集团有限公司</w:t>
            </w:r>
          </w:p>
        </w:tc>
        <w:tc>
          <w:tcPr>
            <w:tcW w:w="993" w:type="dxa"/>
            <w:vAlign w:val="center"/>
          </w:tcPr>
          <w:p>
            <w:pPr>
              <w:jc w:val="center"/>
              <w:rPr>
                <w:rFonts w:ascii="宋体" w:hAnsi="宋体"/>
              </w:rPr>
            </w:pPr>
            <w:r>
              <w:rPr>
                <w:rFonts w:ascii="宋体" w:hAnsi="宋体" w:hint="eastAsia"/>
              </w:rPr>
              <w:t>2025年10月27日</w:t>
            </w:r>
          </w:p>
        </w:tc>
        <w:tc>
          <w:tcPr>
            <w:tcW w:w="850" w:type="dxa"/>
            <w:vAlign w:val="center"/>
          </w:tcPr>
          <w:p>
            <w:pPr>
              <w:jc w:val="center"/>
              <w:rPr>
                <w:rFonts w:ascii="宋体" w:hAnsi="宋体"/>
              </w:rPr>
            </w:pPr>
            <w:r>
              <w:rPr>
                <w:rFonts w:ascii="宋体" w:hAnsi="宋体" w:hint="eastAsia"/>
              </w:rPr>
              <w:t>控制权的转移</w:t>
            </w:r>
          </w:p>
        </w:tc>
        <w:tc>
          <w:tcPr>
            <w:tcW w:w="1276" w:type="dxa"/>
            <w:vAlign w:val="center"/>
          </w:tcPr>
          <w:p>
            <w:pPr>
              <w:jc w:val="right"/>
              <w:rPr>
                <w:rFonts w:ascii="宋体" w:hAnsi="宋体"/>
              </w:rPr>
            </w:pPr>
            <w:r>
              <w:rPr>
                <w:rFonts w:ascii="宋体" w:hAnsi="宋体" w:cs="宋体"/>
              </w:rPr>
              <w:t>44,706</w:t>
            </w:r>
          </w:p>
        </w:tc>
        <w:tc>
          <w:tcPr>
            <w:tcW w:w="1134" w:type="dxa"/>
            <w:vAlign w:val="center"/>
          </w:tcPr>
          <w:p>
            <w:pPr>
              <w:jc w:val="right"/>
              <w:rPr>
                <w:rFonts w:ascii="宋体" w:hAnsi="宋体"/>
              </w:rPr>
            </w:pPr>
            <w:r>
              <w:rPr>
                <w:rFonts w:ascii="宋体" w:hAnsi="宋体" w:cs="宋体"/>
              </w:rPr>
              <w:t>10,764</w:t>
            </w:r>
          </w:p>
        </w:tc>
        <w:tc>
          <w:tcPr>
            <w:tcW w:w="1276" w:type="dxa"/>
            <w:vAlign w:val="center"/>
          </w:tcPr>
          <w:p>
            <w:pPr>
              <w:jc w:val="right"/>
              <w:rPr>
                <w:rFonts w:ascii="宋体" w:hAnsi="宋体" w:cs="宋体"/>
              </w:rPr>
            </w:pPr>
            <w:r>
              <w:rPr>
                <w:rFonts w:ascii="宋体" w:hAnsi="宋体" w:cs="宋体"/>
              </w:rPr>
              <w:t>49,232</w:t>
            </w:r>
          </w:p>
        </w:tc>
        <w:tc>
          <w:tcPr>
            <w:tcW w:w="1275" w:type="dxa"/>
            <w:vAlign w:val="center"/>
          </w:tcPr>
          <w:p>
            <w:pPr>
              <w:jc w:val="right"/>
              <w:rPr>
                <w:rFonts w:ascii="宋体" w:hAnsi="宋体" w:cs="宋体"/>
              </w:rPr>
            </w:pPr>
            <w:r>
              <w:rPr>
                <w:rFonts w:ascii="宋体" w:hAnsi="宋体" w:cs="宋体"/>
              </w:rPr>
              <w:t xml:space="preserve"> 11,522 </w:t>
            </w:r>
          </w:p>
        </w:tc>
      </w:tr>
      <w:tr>
        <w:trPr>
          <w:trHeight w:val="301"/>
        </w:trPr>
        <w:tc>
          <w:tcPr>
            <w:tcW w:w="2253" w:type="dxa"/>
            <w:vAlign w:val="center"/>
          </w:tcPr>
          <w:p>
            <w:pPr>
              <w:jc w:val="both"/>
              <w:rPr>
                <w:rFonts w:ascii="宋体" w:hAnsi="宋体"/>
              </w:rPr>
            </w:pPr>
            <w:r>
              <w:rPr>
                <w:rFonts w:ascii="宋体" w:hAnsi="宋体" w:hint="eastAsia"/>
              </w:rPr>
              <w:lastRenderedPageBreak/>
              <w:t>兖矿东华装备制造（泰安）有限公司</w:t>
            </w:r>
          </w:p>
        </w:tc>
        <w:tc>
          <w:tcPr>
            <w:tcW w:w="866" w:type="dxa"/>
            <w:vAlign w:val="center"/>
          </w:tcPr>
          <w:p>
            <w:pPr>
              <w:jc w:val="right"/>
              <w:rPr>
                <w:rFonts w:ascii="宋体" w:hAnsi="宋体"/>
              </w:rPr>
            </w:pPr>
            <w:r>
              <w:rPr>
                <w:rFonts w:ascii="宋体" w:hAnsi="宋体" w:hint="eastAsia"/>
              </w:rPr>
              <w:t>100%</w:t>
            </w:r>
          </w:p>
        </w:tc>
        <w:tc>
          <w:tcPr>
            <w:tcW w:w="1134" w:type="dxa"/>
            <w:vAlign w:val="center"/>
          </w:tcPr>
          <w:p>
            <w:pPr>
              <w:jc w:val="center"/>
              <w:rPr>
                <w:rFonts w:ascii="宋体" w:hAnsi="宋体"/>
              </w:rPr>
            </w:pPr>
            <w:r>
              <w:rPr>
                <w:rFonts w:ascii="宋体" w:hAnsi="宋体" w:hint="eastAsia"/>
              </w:rPr>
              <w:t>最终控制人为山东能源集团有限公司</w:t>
            </w:r>
          </w:p>
        </w:tc>
        <w:tc>
          <w:tcPr>
            <w:tcW w:w="993" w:type="dxa"/>
            <w:vAlign w:val="center"/>
          </w:tcPr>
          <w:p>
            <w:pPr>
              <w:jc w:val="center"/>
              <w:rPr>
                <w:rFonts w:ascii="宋体" w:hAnsi="宋体"/>
              </w:rPr>
            </w:pPr>
            <w:r>
              <w:rPr>
                <w:rFonts w:ascii="宋体" w:hAnsi="宋体" w:hint="eastAsia"/>
              </w:rPr>
              <w:t>2025年12月25日</w:t>
            </w:r>
          </w:p>
        </w:tc>
        <w:tc>
          <w:tcPr>
            <w:tcW w:w="850" w:type="dxa"/>
            <w:vAlign w:val="center"/>
          </w:tcPr>
          <w:p>
            <w:pPr>
              <w:jc w:val="center"/>
              <w:rPr>
                <w:rFonts w:ascii="宋体" w:hAnsi="宋体"/>
              </w:rPr>
            </w:pPr>
            <w:r>
              <w:rPr>
                <w:rFonts w:ascii="宋体" w:hAnsi="宋体" w:hint="eastAsia"/>
              </w:rPr>
              <w:t>控制权的转移</w:t>
            </w:r>
          </w:p>
        </w:tc>
        <w:tc>
          <w:tcPr>
            <w:tcW w:w="1276" w:type="dxa"/>
            <w:vAlign w:val="center"/>
          </w:tcPr>
          <w:p>
            <w:pPr>
              <w:jc w:val="right"/>
              <w:rPr>
                <w:rFonts w:ascii="宋体" w:hAnsi="宋体"/>
              </w:rPr>
            </w:pPr>
            <w:r>
              <w:rPr>
                <w:rFonts w:ascii="宋体" w:hAnsi="宋体" w:cs="宋体" w:hint="eastAsia"/>
              </w:rPr>
              <w:t>1,008,742</w:t>
            </w:r>
          </w:p>
        </w:tc>
        <w:tc>
          <w:tcPr>
            <w:tcW w:w="1134" w:type="dxa"/>
            <w:vAlign w:val="center"/>
          </w:tcPr>
          <w:p>
            <w:pPr>
              <w:jc w:val="right"/>
              <w:rPr>
                <w:rFonts w:ascii="宋体" w:hAnsi="宋体"/>
              </w:rPr>
            </w:pPr>
            <w:r>
              <w:rPr>
                <w:rFonts w:ascii="宋体" w:hAnsi="宋体" w:cs="宋体" w:hint="eastAsia"/>
              </w:rPr>
              <w:t>1,494</w:t>
            </w:r>
          </w:p>
        </w:tc>
        <w:tc>
          <w:tcPr>
            <w:tcW w:w="1276" w:type="dxa"/>
            <w:vAlign w:val="center"/>
          </w:tcPr>
          <w:p>
            <w:pPr>
              <w:jc w:val="right"/>
              <w:rPr>
                <w:rFonts w:ascii="宋体" w:hAnsi="宋体" w:cs="宋体"/>
              </w:rPr>
            </w:pPr>
            <w:r>
              <w:rPr>
                <w:rFonts w:ascii="宋体" w:hAnsi="宋体" w:cs="宋体"/>
              </w:rPr>
              <w:t>550,745</w:t>
            </w:r>
          </w:p>
        </w:tc>
        <w:tc>
          <w:tcPr>
            <w:tcW w:w="1275" w:type="dxa"/>
            <w:vAlign w:val="center"/>
          </w:tcPr>
          <w:p>
            <w:pPr>
              <w:jc w:val="right"/>
              <w:rPr>
                <w:rFonts w:ascii="宋体" w:hAnsi="宋体" w:cs="宋体"/>
              </w:rPr>
            </w:pPr>
            <w:r>
              <w:rPr>
                <w:rFonts w:ascii="宋体" w:hAnsi="宋体" w:cs="宋体"/>
              </w:rPr>
              <w:t>11,805</w:t>
            </w:r>
          </w:p>
        </w:tc>
      </w:tr>
      <w:tr>
        <w:trPr>
          <w:trHeight w:val="301"/>
        </w:trPr>
        <w:tc>
          <w:tcPr>
            <w:tcW w:w="2253" w:type="dxa"/>
            <w:vAlign w:val="center"/>
          </w:tcPr>
          <w:p>
            <w:pPr>
              <w:jc w:val="center"/>
              <w:rPr>
                <w:rFonts w:ascii="宋体" w:hAnsi="宋体"/>
              </w:rPr>
            </w:pPr>
            <w:r>
              <w:rPr>
                <w:rFonts w:ascii="宋体" w:hAnsi="宋体" w:hint="eastAsia"/>
              </w:rPr>
              <w:t>合计</w:t>
            </w:r>
          </w:p>
        </w:tc>
        <w:tc>
          <w:tcPr>
            <w:tcW w:w="866" w:type="dxa"/>
            <w:vAlign w:val="center"/>
          </w:tcPr>
          <w:p>
            <w:pPr>
              <w:jc w:val="right"/>
              <w:rPr>
                <w:rFonts w:ascii="宋体" w:hAnsi="宋体"/>
              </w:rPr>
            </w:pPr>
          </w:p>
        </w:tc>
        <w:tc>
          <w:tcPr>
            <w:tcW w:w="1134" w:type="dxa"/>
            <w:vAlign w:val="center"/>
          </w:tcPr>
          <w:p>
            <w:pPr>
              <w:jc w:val="center"/>
              <w:rPr>
                <w:rFonts w:ascii="宋体" w:hAnsi="宋体"/>
              </w:rPr>
            </w:pPr>
          </w:p>
        </w:tc>
        <w:tc>
          <w:tcPr>
            <w:tcW w:w="993" w:type="dxa"/>
            <w:vAlign w:val="center"/>
          </w:tcPr>
          <w:p>
            <w:pPr>
              <w:jc w:val="center"/>
              <w:rPr>
                <w:rFonts w:ascii="宋体" w:hAnsi="宋体"/>
              </w:rPr>
            </w:pPr>
          </w:p>
        </w:tc>
        <w:tc>
          <w:tcPr>
            <w:tcW w:w="850" w:type="dxa"/>
            <w:vAlign w:val="center"/>
          </w:tcPr>
          <w:p>
            <w:pPr>
              <w:jc w:val="center"/>
              <w:rPr>
                <w:rFonts w:ascii="宋体" w:hAnsi="宋体"/>
              </w:rPr>
            </w:pPr>
          </w:p>
        </w:tc>
        <w:tc>
          <w:tcPr>
            <w:tcW w:w="1276" w:type="dxa"/>
          </w:tcPr>
          <w:p>
            <w:pPr>
              <w:jc w:val="right"/>
              <w:rPr>
                <w:rFonts w:ascii="宋体" w:hAnsi="宋体"/>
              </w:rPr>
            </w:pPr>
            <w:r>
              <w:rPr>
                <w:rFonts w:ascii="宋体" w:hAnsi="宋体"/>
              </w:rPr>
              <w:t>8,419,896</w:t>
            </w:r>
          </w:p>
        </w:tc>
        <w:tc>
          <w:tcPr>
            <w:tcW w:w="1134" w:type="dxa"/>
          </w:tcPr>
          <w:p>
            <w:pPr>
              <w:jc w:val="right"/>
              <w:rPr>
                <w:rFonts w:ascii="宋体" w:hAnsi="宋体"/>
              </w:rPr>
            </w:pPr>
            <w:r>
              <w:rPr>
                <w:rFonts w:ascii="宋体" w:hAnsi="宋体"/>
              </w:rPr>
              <w:t>582,237</w:t>
            </w:r>
          </w:p>
        </w:tc>
        <w:tc>
          <w:tcPr>
            <w:tcW w:w="1276" w:type="dxa"/>
            <w:vAlign w:val="center"/>
          </w:tcPr>
          <w:p>
            <w:pPr>
              <w:jc w:val="right"/>
              <w:rPr>
                <w:rFonts w:ascii="宋体" w:hAnsi="宋体" w:cs="宋体"/>
              </w:rPr>
            </w:pPr>
            <w:r>
              <w:rPr>
                <w:rFonts w:ascii="宋体" w:hAnsi="宋体" w:cs="宋体"/>
              </w:rPr>
              <w:t>18,007,010</w:t>
            </w:r>
          </w:p>
        </w:tc>
        <w:tc>
          <w:tcPr>
            <w:tcW w:w="1275" w:type="dxa"/>
            <w:vAlign w:val="center"/>
          </w:tcPr>
          <w:p>
            <w:pPr>
              <w:jc w:val="right"/>
              <w:rPr>
                <w:rFonts w:ascii="宋体" w:hAnsi="宋体" w:cs="宋体"/>
              </w:rPr>
            </w:pPr>
            <w:r>
              <w:rPr>
                <w:rFonts w:ascii="宋体" w:hAnsi="宋体" w:cs="宋体"/>
              </w:rPr>
              <w:t>1,136,444</w:t>
            </w:r>
          </w:p>
        </w:tc>
      </w:tr>
    </w:tbl>
    <w:p>
      <w:pPr>
        <w:rPr>
          <w:rFonts w:cs="Arial"/>
        </w:rPr>
      </w:pPr>
      <w:r>
        <w:rPr>
          <w:rFonts w:cs="Arial" w:hint="eastAsia"/>
        </w:rPr>
        <w:t>其他说明：</w:t>
      </w:r>
    </w:p>
    <w:sdt>
      <w:sdtPr>
        <w:rPr>
          <w:rFonts w:cs="Arial" w:hint="eastAsia"/>
        </w:rPr>
        <w:alias w:val="同一控制下企业合并的说明"/>
        <w:tag w:val="_GBC_3d0e2445398c402e9aceb9c78febb4fc"/>
        <w:id w:val="-1536873569"/>
        <w:placeholder>
          <w:docPart w:val="GBC22222222222222222222222222222"/>
        </w:placeholder>
      </w:sdtPr>
      <w:sdtContent>
        <w:p>
          <w:pPr>
            <w:rPr>
              <w:rFonts w:cs="Arial"/>
            </w:rPr>
          </w:pPr>
          <w:r>
            <w:rPr>
              <w:rFonts w:cs="Arial" w:hint="eastAsia"/>
            </w:rPr>
            <w:t>-</w:t>
          </w:r>
        </w:p>
      </w:sdtContent>
    </w:sdt>
    <w:p>
      <w:pPr>
        <w:pStyle w:val="Style217"/>
      </w:pPr>
    </w:p>
    <w:p>
      <w:pPr>
        <w:pStyle w:val="Style179"/>
      </w:pPr>
      <w:r>
        <w:rPr>
          <w:rFonts w:hint="eastAsia"/>
        </w:rPr>
        <w:t>(2).合并成本</w:t>
      </w:r>
    </w:p>
    <w:sdt>
      <w:sdtPr>
        <w:alias w:val="是否适用：合并成本[双击切换]"/>
        <w:tag w:val="_GBC_5a2f1a0aa219473a9ea30bef3c2b1ffb"/>
        <w:id w:val="-130461281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合并成本"/>
          <w:tag w:val="_GBC_357520090212412ea44dcf12e5071db1"/>
          <w:id w:val="1968276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合并成本"/>
          <w:tag w:val="_GBC_bf160fe83cf848c7bc9823481e0c4b39"/>
          <w:id w:val="16018417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06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2969"/>
        <w:gridCol w:w="2512"/>
        <w:gridCol w:w="2387"/>
      </w:tblGrid>
      <w:tr>
        <w:trPr>
          <w:jc w:val="center"/>
        </w:trPr>
        <w:sdt>
          <w:sdtPr>
            <w:tag w:val="_PLD_3861184c57a746659a54c9c232ed66d0"/>
            <w:id w:val="-1826117665"/>
          </w:sdtPr>
          <w:sdtContent>
            <w:tc>
              <w:tcPr>
                <w:tcW w:w="2813" w:type="dxa"/>
                <w:vAlign w:val="center"/>
              </w:tcPr>
              <w:p>
                <w:pPr>
                  <w:rPr>
                    <w:rFonts w:cs="Arial"/>
                  </w:rPr>
                </w:pPr>
                <w:r>
                  <w:rPr>
                    <w:rFonts w:cs="Arial" w:hint="eastAsia"/>
                    <w:lang w:val="en-GB"/>
                  </w:rPr>
                  <w:t>项目</w:t>
                </w:r>
              </w:p>
            </w:tc>
          </w:sdtContent>
        </w:sdt>
        <w:sdt>
          <w:sdtPr>
            <w:alias w:val="同一控制下企业合并成本明细-公司名称"/>
            <w:tag w:val="_GBC_d09ee04f3f7d4790be8d5ece4cb0b451"/>
            <w:id w:val="2137976059"/>
          </w:sdtPr>
          <w:sdtContent>
            <w:tc>
              <w:tcPr>
                <w:tcW w:w="2969" w:type="dxa"/>
                <w:vAlign w:val="center"/>
              </w:tcPr>
              <w:p>
                <w:pPr>
                  <w:pStyle w:val="Style217"/>
                </w:pPr>
                <w:r>
                  <w:rPr>
                    <w:rFonts w:hint="eastAsia"/>
                  </w:rPr>
                  <w:t>山东能源集团西北矿业有限公司</w:t>
                </w:r>
              </w:p>
            </w:tc>
          </w:sdtContent>
        </w:sdt>
        <w:sdt>
          <w:sdtPr>
            <w:alias w:val="同一控制下企业合并成本明细-公司名称"/>
            <w:tag w:val="_GBC_d09ee04f3f7d4790be8d5ece4cb0b451"/>
            <w:id w:val="-1087221056"/>
          </w:sdtPr>
          <w:sdtContent>
            <w:tc>
              <w:tcPr>
                <w:tcW w:w="2512" w:type="dxa"/>
                <w:vAlign w:val="center"/>
              </w:tcPr>
              <w:p>
                <w:pPr>
                  <w:pStyle w:val="Style217"/>
                </w:pPr>
                <w:r>
                  <w:rPr>
                    <w:rFonts w:hint="eastAsia"/>
                  </w:rPr>
                  <w:t>兖矿售电有限公司</w:t>
                </w:r>
              </w:p>
            </w:tc>
          </w:sdtContent>
        </w:sdt>
        <w:sdt>
          <w:sdtPr>
            <w:alias w:val="同一控制下企业合并成本明细-公司名称"/>
            <w:tag w:val="_GBC_d09ee04f3f7d4790be8d5ece4cb0b451"/>
            <w:id w:val="-192146190"/>
          </w:sdtPr>
          <w:sdtContent>
            <w:tc>
              <w:tcPr>
                <w:tcW w:w="2387" w:type="dxa"/>
                <w:vAlign w:val="center"/>
              </w:tcPr>
              <w:p>
                <w:pPr>
                  <w:pStyle w:val="Style217"/>
                </w:pPr>
                <w:r>
                  <w:rPr>
                    <w:rFonts w:hint="eastAsia"/>
                  </w:rPr>
                  <w:t>兖矿东华装备制造（泰安）有限公司</w:t>
                </w:r>
              </w:p>
            </w:tc>
          </w:sdtContent>
        </w:sdt>
      </w:tr>
      <w:tr>
        <w:trPr>
          <w:jc w:val="center"/>
        </w:trPr>
        <w:tc>
          <w:tcPr>
            <w:tcW w:w="2813" w:type="dxa"/>
            <w:vAlign w:val="center"/>
          </w:tcPr>
          <w:p>
            <w:pPr>
              <w:pStyle w:val="Style217"/>
            </w:pPr>
            <w:r>
              <w:rPr>
                <w:rFonts w:hint="eastAsia"/>
              </w:rPr>
              <w:t>合并成本</w:t>
            </w:r>
          </w:p>
        </w:tc>
        <w:tc>
          <w:tcPr>
            <w:tcW w:w="2969" w:type="dxa"/>
            <w:vAlign w:val="center"/>
          </w:tcPr>
          <w:p>
            <w:pPr>
              <w:jc w:val="right"/>
              <w:rPr>
                <w:rFonts w:ascii="宋体" w:hAnsi="宋体"/>
              </w:rPr>
            </w:pPr>
            <w:r>
              <w:rPr>
                <w:rFonts w:ascii="宋体" w:hAnsi="宋体"/>
              </w:rPr>
              <w:t>6,358,428</w:t>
            </w:r>
          </w:p>
        </w:tc>
        <w:tc>
          <w:tcPr>
            <w:tcW w:w="2512" w:type="dxa"/>
            <w:vAlign w:val="center"/>
          </w:tcPr>
          <w:p>
            <w:pPr>
              <w:jc w:val="right"/>
              <w:rPr>
                <w:rFonts w:ascii="宋体" w:hAnsi="宋体"/>
              </w:rPr>
            </w:pPr>
            <w:r>
              <w:rPr>
                <w:rFonts w:ascii="宋体" w:hAnsi="宋体"/>
              </w:rPr>
              <w:t>253,624</w:t>
            </w:r>
          </w:p>
        </w:tc>
        <w:tc>
          <w:tcPr>
            <w:tcW w:w="2387" w:type="dxa"/>
            <w:vAlign w:val="center"/>
          </w:tcPr>
          <w:p>
            <w:pPr>
              <w:jc w:val="right"/>
              <w:rPr>
                <w:rFonts w:ascii="宋体" w:hAnsi="宋体"/>
              </w:rPr>
            </w:pPr>
            <w:r>
              <w:rPr>
                <w:rFonts w:ascii="宋体" w:hAnsi="宋体"/>
              </w:rPr>
              <w:t>344,847</w:t>
            </w:r>
          </w:p>
        </w:tc>
      </w:tr>
      <w:tr>
        <w:trPr>
          <w:jc w:val="center"/>
        </w:trPr>
        <w:tc>
          <w:tcPr>
            <w:tcW w:w="2813" w:type="dxa"/>
            <w:vAlign w:val="center"/>
          </w:tcPr>
          <w:p>
            <w:pPr>
              <w:ind w:firstLineChars="300" w:firstLine="630"/>
              <w:rPr>
                <w:rFonts w:cs="Arial"/>
                <w:color w:val="000000"/>
              </w:rPr>
            </w:pPr>
            <w:r>
              <w:rPr>
                <w:rFonts w:cs="Arial"/>
                <w:color w:val="000000"/>
              </w:rPr>
              <w:t>--</w:t>
            </w:r>
            <w:r>
              <w:rPr>
                <w:rFonts w:cs="Arial" w:hint="eastAsia"/>
                <w:color w:val="000000"/>
                <w:lang w:val="en-GB"/>
              </w:rPr>
              <w:t>现金</w:t>
            </w:r>
          </w:p>
        </w:tc>
        <w:tc>
          <w:tcPr>
            <w:tcW w:w="2969" w:type="dxa"/>
            <w:vAlign w:val="center"/>
          </w:tcPr>
          <w:p>
            <w:pPr>
              <w:jc w:val="right"/>
              <w:rPr>
                <w:rFonts w:ascii="宋体" w:hAnsi="宋体"/>
              </w:rPr>
            </w:pPr>
            <w:r>
              <w:rPr>
                <w:rFonts w:ascii="宋体" w:hAnsi="宋体"/>
              </w:rPr>
              <w:t>6,358,428</w:t>
            </w:r>
          </w:p>
        </w:tc>
        <w:tc>
          <w:tcPr>
            <w:tcW w:w="2512" w:type="dxa"/>
            <w:vAlign w:val="center"/>
          </w:tcPr>
          <w:p>
            <w:pPr>
              <w:jc w:val="right"/>
              <w:rPr>
                <w:rFonts w:ascii="宋体" w:hAnsi="宋体"/>
              </w:rPr>
            </w:pPr>
            <w:r>
              <w:rPr>
                <w:rFonts w:ascii="宋体" w:hAnsi="宋体"/>
              </w:rPr>
              <w:t>253,624</w:t>
            </w:r>
          </w:p>
        </w:tc>
        <w:tc>
          <w:tcPr>
            <w:tcW w:w="2387" w:type="dxa"/>
            <w:vAlign w:val="center"/>
          </w:tcPr>
          <w:p>
            <w:pPr>
              <w:jc w:val="right"/>
              <w:rPr>
                <w:rFonts w:ascii="宋体" w:hAnsi="宋体"/>
              </w:rPr>
            </w:pPr>
            <w:r>
              <w:rPr>
                <w:rFonts w:ascii="宋体" w:hAnsi="宋体"/>
              </w:rPr>
              <w:t>344,847</w:t>
            </w:r>
          </w:p>
        </w:tc>
      </w:tr>
    </w:tbl>
    <w:p>
      <w:pPr>
        <w:pStyle w:val="Style217"/>
      </w:pPr>
    </w:p>
    <w:p>
      <w:pPr>
        <w:rPr>
          <w:rFonts w:cs="Arial"/>
        </w:rPr>
      </w:pPr>
      <w:r>
        <w:rPr>
          <w:rFonts w:cs="Arial" w:hint="eastAsia"/>
        </w:rPr>
        <w:t>或有对价及其变动的说明：</w:t>
      </w:r>
    </w:p>
    <w:sdt>
      <w:sdtPr>
        <w:rPr>
          <w:rFonts w:cs="Arial"/>
        </w:rPr>
        <w:alias w:val="或有对价及其变动的说明"/>
        <w:tag w:val="_GBC_3d4ae752611c42a4a312dd4d84f71540"/>
        <w:id w:val="-431978999"/>
        <w:placeholder>
          <w:docPart w:val="GBC22222222222222222222222222222"/>
        </w:placeholder>
      </w:sdtPr>
      <w:sdtContent>
        <w:p>
          <w:pPr>
            <w:rPr>
              <w:rFonts w:cs="Arial"/>
            </w:rPr>
          </w:pPr>
          <w:r>
            <w:rPr>
              <w:rFonts w:cs="Arial" w:hint="eastAsia"/>
            </w:rPr>
            <w:t>-</w:t>
          </w:r>
        </w:p>
      </w:sdtContent>
    </w:sdt>
    <w:p>
      <w:pPr>
        <w:rPr>
          <w:rFonts w:cs="Arial"/>
        </w:rPr>
      </w:pPr>
    </w:p>
    <w:p>
      <w:pPr>
        <w:rPr>
          <w:rFonts w:cs="Arial"/>
        </w:rPr>
      </w:pPr>
      <w:r>
        <w:rPr>
          <w:rFonts w:cs="Arial" w:hint="eastAsia"/>
        </w:rPr>
        <w:t>其他说明：</w:t>
      </w:r>
    </w:p>
    <w:sdt>
      <w:sdtPr>
        <w:rPr>
          <w:rFonts w:cs="Arial"/>
        </w:rPr>
        <w:alias w:val="同一控制下企业合并成本的说明"/>
        <w:tag w:val="_GBC_db33048648eb484a8f6e8967e081eb8a"/>
        <w:id w:val="1707609612"/>
        <w:placeholder>
          <w:docPart w:val="GBC22222222222222222222222222222"/>
        </w:placeholder>
      </w:sdtPr>
      <w:sdtContent>
        <w:p>
          <w:pPr>
            <w:rPr>
              <w:rFonts w:cs="Arial"/>
            </w:rPr>
          </w:pPr>
          <w:r>
            <w:rPr>
              <w:rFonts w:cs="Arial" w:hint="eastAsia"/>
            </w:rPr>
            <w:t>-</w:t>
          </w:r>
        </w:p>
      </w:sdtContent>
    </w:sdt>
    <w:p>
      <w:pPr>
        <w:rPr>
          <w:rFonts w:cs="Arial"/>
        </w:rPr>
      </w:pPr>
    </w:p>
    <w:p>
      <w:pPr>
        <w:pStyle w:val="Style179"/>
      </w:pPr>
      <w:r>
        <w:rPr>
          <w:rFonts w:hint="eastAsia"/>
        </w:rPr>
        <w:t>(3).合并日被合并方资产、负债的账面价值</w:t>
      </w:r>
    </w:p>
    <w:sdt>
      <w:sdtPr>
        <w:alias w:val="是否适用：合并日被合并方资产、负债的账面价值[双击切换]"/>
        <w:tag w:val="_GBC_5dec2961a29c4f7dba84a8d8fd453dab"/>
        <w:id w:val="87474337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合并日被合并方资产、负债的账面价值"/>
          <w:tag w:val="_GBC_40ecb31d91524802888565cf5e740942"/>
          <w:id w:val="-5160772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合并日被合并方资产、负债的账面价值"/>
          <w:tag w:val="_GBC_10e87b9f74f84d0e9a09bd5eed205468"/>
          <w:id w:val="-4458560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049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559"/>
        <w:gridCol w:w="1276"/>
        <w:gridCol w:w="1276"/>
        <w:gridCol w:w="1417"/>
        <w:gridCol w:w="1281"/>
      </w:tblGrid>
      <w:tr>
        <w:trPr>
          <w:jc w:val="center"/>
        </w:trPr>
        <w:tc>
          <w:tcPr>
            <w:tcW w:w="2122" w:type="dxa"/>
            <w:vMerge w:val="restart"/>
            <w:vAlign w:val="center"/>
          </w:tcPr>
          <w:p>
            <w:pPr>
              <w:jc w:val="center"/>
              <w:rPr>
                <w:rFonts w:cs="Arial"/>
              </w:rPr>
            </w:pPr>
            <w:r>
              <w:rPr>
                <w:rFonts w:cs="Arial" w:hint="eastAsia"/>
              </w:rPr>
              <w:t>项目</w:t>
            </w:r>
          </w:p>
        </w:tc>
        <w:sdt>
          <w:sdtPr>
            <w:rPr>
              <w:rFonts w:cs="Arial" w:hint="eastAsia"/>
              <w:lang w:val="en-GB"/>
            </w:rPr>
            <w:alias w:val="被合并方的资产、负债明细-公司名称"/>
            <w:tag w:val="_GBC_e9b1593733f643f9a2c837eefae98a8d"/>
            <w:id w:val="-1020542860"/>
          </w:sdtPr>
          <w:sdtContent>
            <w:tc>
              <w:tcPr>
                <w:tcW w:w="3118" w:type="dxa"/>
                <w:gridSpan w:val="2"/>
                <w:vAlign w:val="center"/>
              </w:tcPr>
              <w:p>
                <w:pPr>
                  <w:jc w:val="center"/>
                  <w:rPr>
                    <w:rFonts w:cs="Arial"/>
                    <w:lang w:val="en-GB"/>
                  </w:rPr>
                </w:pPr>
                <w:r>
                  <w:rPr>
                    <w:rFonts w:cs="Arial" w:hint="eastAsia"/>
                    <w:lang w:val="en-GB"/>
                  </w:rPr>
                  <w:t>山东能源集团西北矿业有限公司</w:t>
                </w:r>
              </w:p>
            </w:tc>
          </w:sdtContent>
        </w:sdt>
        <w:sdt>
          <w:sdtPr>
            <w:rPr>
              <w:rFonts w:cs="Arial" w:hint="eastAsia"/>
              <w:lang w:val="en-GB"/>
            </w:rPr>
            <w:alias w:val="被合并方的资产、负债明细-公司名称"/>
            <w:tag w:val="_GBC_e9b1593733f643f9a2c837eefae98a8d"/>
            <w:id w:val="2105306317"/>
          </w:sdtPr>
          <w:sdtContent>
            <w:tc>
              <w:tcPr>
                <w:tcW w:w="2552" w:type="dxa"/>
                <w:gridSpan w:val="2"/>
                <w:vAlign w:val="center"/>
              </w:tcPr>
              <w:p>
                <w:pPr>
                  <w:jc w:val="center"/>
                  <w:rPr>
                    <w:rFonts w:cs="Arial"/>
                    <w:lang w:val="en-GB"/>
                  </w:rPr>
                </w:pPr>
                <w:r>
                  <w:rPr>
                    <w:rFonts w:cs="Arial" w:hint="eastAsia"/>
                    <w:lang w:val="en-GB"/>
                  </w:rPr>
                  <w:t>兖矿售电有限公司</w:t>
                </w:r>
              </w:p>
            </w:tc>
          </w:sdtContent>
        </w:sdt>
        <w:sdt>
          <w:sdtPr>
            <w:rPr>
              <w:rFonts w:cs="Arial" w:hint="eastAsia"/>
              <w:lang w:val="en-GB"/>
            </w:rPr>
            <w:alias w:val="被合并方的资产、负债明细-公司名称"/>
            <w:tag w:val="_GBC_e9b1593733f643f9a2c837eefae98a8d"/>
            <w:id w:val="1859397046"/>
          </w:sdtPr>
          <w:sdtContent>
            <w:tc>
              <w:tcPr>
                <w:tcW w:w="2698" w:type="dxa"/>
                <w:gridSpan w:val="2"/>
                <w:vAlign w:val="center"/>
              </w:tcPr>
              <w:p>
                <w:pPr>
                  <w:jc w:val="center"/>
                  <w:rPr>
                    <w:rFonts w:cs="Arial"/>
                    <w:lang w:val="en-GB"/>
                  </w:rPr>
                </w:pPr>
                <w:r>
                  <w:rPr>
                    <w:rFonts w:cs="Arial" w:hint="eastAsia"/>
                    <w:lang w:val="en-GB"/>
                  </w:rPr>
                  <w:t>兖矿东华装备制造（泰安）有限公司</w:t>
                </w:r>
              </w:p>
            </w:tc>
          </w:sdtContent>
        </w:sdt>
      </w:tr>
      <w:tr>
        <w:trPr>
          <w:jc w:val="center"/>
        </w:trPr>
        <w:tc>
          <w:tcPr>
            <w:tcW w:w="2122" w:type="dxa"/>
            <w:vMerge/>
            <w:vAlign w:val="center"/>
          </w:tcPr>
          <w:p>
            <w:pPr>
              <w:rPr>
                <w:rFonts w:cs="Arial"/>
              </w:rPr>
            </w:pPr>
          </w:p>
        </w:tc>
        <w:sdt>
          <w:sdtPr>
            <w:tag w:val="_PLD_bee6c3563d97418a99a2ebc03e19e7e6"/>
            <w:id w:val="40572065"/>
          </w:sdtPr>
          <w:sdtContent>
            <w:tc>
              <w:tcPr>
                <w:tcW w:w="1559" w:type="dxa"/>
                <w:vAlign w:val="center"/>
              </w:tcPr>
              <w:p>
                <w:pPr>
                  <w:jc w:val="center"/>
                  <w:rPr>
                    <w:rFonts w:cs="Arial"/>
                  </w:rPr>
                </w:pPr>
                <w:r>
                  <w:rPr>
                    <w:rFonts w:cs="Arial" w:hint="eastAsia"/>
                    <w:lang w:val="en-GB"/>
                  </w:rPr>
                  <w:t>合并日</w:t>
                </w:r>
              </w:p>
            </w:tc>
          </w:sdtContent>
        </w:sdt>
        <w:sdt>
          <w:sdtPr>
            <w:tag w:val="_PLD_d6af255a88be4e5e82a7e5c33e295842"/>
            <w:id w:val="-1376466865"/>
          </w:sdtPr>
          <w:sdtContent>
            <w:tc>
              <w:tcPr>
                <w:tcW w:w="1559" w:type="dxa"/>
                <w:vAlign w:val="center"/>
              </w:tcPr>
              <w:p>
                <w:pPr>
                  <w:jc w:val="center"/>
                  <w:rPr>
                    <w:rFonts w:cs="Arial"/>
                    <w:lang w:val="en-GB"/>
                  </w:rPr>
                </w:pPr>
                <w:r>
                  <w:rPr>
                    <w:rFonts w:cs="Arial" w:hint="eastAsia"/>
                    <w:lang w:val="en-GB"/>
                  </w:rPr>
                  <w:t>上期期末</w:t>
                </w:r>
              </w:p>
            </w:tc>
          </w:sdtContent>
        </w:sdt>
        <w:sdt>
          <w:sdtPr>
            <w:tag w:val="_PLD_bee6c3563d97418a99a2ebc03e19e7e6"/>
            <w:id w:val="-147286844"/>
          </w:sdtPr>
          <w:sdtContent>
            <w:tc>
              <w:tcPr>
                <w:tcW w:w="1276" w:type="dxa"/>
                <w:vAlign w:val="center"/>
              </w:tcPr>
              <w:p>
                <w:pPr>
                  <w:jc w:val="center"/>
                  <w:rPr>
                    <w:rFonts w:cs="Arial"/>
                  </w:rPr>
                </w:pPr>
                <w:r>
                  <w:rPr>
                    <w:rFonts w:cs="Arial" w:hint="eastAsia"/>
                    <w:lang w:val="en-GB"/>
                  </w:rPr>
                  <w:t>合并日</w:t>
                </w:r>
              </w:p>
            </w:tc>
          </w:sdtContent>
        </w:sdt>
        <w:sdt>
          <w:sdtPr>
            <w:tag w:val="_PLD_d6af255a88be4e5e82a7e5c33e295842"/>
            <w:id w:val="-2134783193"/>
          </w:sdtPr>
          <w:sdtContent>
            <w:tc>
              <w:tcPr>
                <w:tcW w:w="1276" w:type="dxa"/>
                <w:vAlign w:val="center"/>
              </w:tcPr>
              <w:p>
                <w:pPr>
                  <w:jc w:val="center"/>
                  <w:rPr>
                    <w:rFonts w:cs="Arial"/>
                    <w:lang w:val="en-GB"/>
                  </w:rPr>
                </w:pPr>
                <w:r>
                  <w:rPr>
                    <w:rFonts w:cs="Arial" w:hint="eastAsia"/>
                    <w:lang w:val="en-GB"/>
                  </w:rPr>
                  <w:t>上期期末</w:t>
                </w:r>
              </w:p>
            </w:tc>
          </w:sdtContent>
        </w:sdt>
        <w:sdt>
          <w:sdtPr>
            <w:tag w:val="_PLD_bee6c3563d97418a99a2ebc03e19e7e6"/>
            <w:id w:val="151029968"/>
          </w:sdtPr>
          <w:sdtContent>
            <w:tc>
              <w:tcPr>
                <w:tcW w:w="1417" w:type="dxa"/>
                <w:vAlign w:val="center"/>
              </w:tcPr>
              <w:p>
                <w:pPr>
                  <w:jc w:val="center"/>
                  <w:rPr>
                    <w:rFonts w:cs="Arial"/>
                  </w:rPr>
                </w:pPr>
                <w:r>
                  <w:rPr>
                    <w:rFonts w:cs="Arial" w:hint="eastAsia"/>
                    <w:lang w:val="en-GB"/>
                  </w:rPr>
                  <w:t>合并日</w:t>
                </w:r>
              </w:p>
            </w:tc>
          </w:sdtContent>
        </w:sdt>
        <w:sdt>
          <w:sdtPr>
            <w:tag w:val="_PLD_d6af255a88be4e5e82a7e5c33e295842"/>
            <w:id w:val="-323129080"/>
          </w:sdtPr>
          <w:sdtContent>
            <w:tc>
              <w:tcPr>
                <w:tcW w:w="1281" w:type="dxa"/>
                <w:vAlign w:val="center"/>
              </w:tcPr>
              <w:p>
                <w:pPr>
                  <w:jc w:val="center"/>
                  <w:rPr>
                    <w:rFonts w:cs="Arial"/>
                    <w:lang w:val="en-GB"/>
                  </w:rPr>
                </w:pPr>
                <w:r>
                  <w:rPr>
                    <w:rFonts w:cs="Arial" w:hint="eastAsia"/>
                    <w:lang w:val="en-GB"/>
                  </w:rPr>
                  <w:t>上期期末</w:t>
                </w:r>
              </w:p>
            </w:tc>
          </w:sdtContent>
        </w:sdt>
      </w:tr>
      <w:tr>
        <w:trPr>
          <w:jc w:val="center"/>
        </w:trPr>
        <w:tc>
          <w:tcPr>
            <w:tcW w:w="2122" w:type="dxa"/>
            <w:vAlign w:val="center"/>
          </w:tcPr>
          <w:p>
            <w:pPr>
              <w:rPr>
                <w:rFonts w:cs="Arial"/>
                <w:color w:val="000000"/>
              </w:rPr>
            </w:pPr>
            <w:r>
              <w:rPr>
                <w:rFonts w:cs="Arial" w:hint="eastAsia"/>
                <w:color w:val="000000"/>
                <w:lang w:val="en-GB"/>
              </w:rPr>
              <w:t>资产</w:t>
            </w:r>
            <w:r>
              <w:rPr>
                <w:rFonts w:cs="Arial" w:hint="eastAsia"/>
                <w:color w:val="000000"/>
                <w:lang w:val="en-GB"/>
              </w:rPr>
              <w:t>:</w:t>
            </w:r>
          </w:p>
        </w:tc>
        <w:tc>
          <w:tcPr>
            <w:tcW w:w="1559" w:type="dxa"/>
            <w:vAlign w:val="center"/>
          </w:tcPr>
          <w:p>
            <w:pPr>
              <w:jc w:val="right"/>
              <w:rPr>
                <w:rFonts w:ascii="宋体" w:hAnsi="宋体" w:cs="Arial"/>
              </w:rPr>
            </w:pPr>
            <w:r>
              <w:rPr>
                <w:rFonts w:ascii="宋体" w:hAnsi="宋体"/>
              </w:rPr>
              <w:t>52,783,959</w:t>
            </w:r>
          </w:p>
        </w:tc>
        <w:tc>
          <w:tcPr>
            <w:tcW w:w="1559" w:type="dxa"/>
            <w:vAlign w:val="center"/>
          </w:tcPr>
          <w:p>
            <w:pPr>
              <w:jc w:val="right"/>
              <w:rPr>
                <w:rFonts w:ascii="宋体" w:hAnsi="宋体" w:cs="Arial"/>
              </w:rPr>
            </w:pPr>
            <w:r>
              <w:rPr>
                <w:rFonts w:ascii="宋体" w:hAnsi="宋体"/>
              </w:rPr>
              <w:t>53,786,006</w:t>
            </w:r>
          </w:p>
        </w:tc>
        <w:tc>
          <w:tcPr>
            <w:tcW w:w="1276" w:type="dxa"/>
          </w:tcPr>
          <w:p>
            <w:pPr>
              <w:jc w:val="right"/>
              <w:rPr>
                <w:rFonts w:ascii="宋体" w:hAnsi="宋体" w:cs="Arial"/>
              </w:rPr>
            </w:pPr>
            <w:r>
              <w:rPr>
                <w:rFonts w:ascii="宋体" w:hAnsi="宋体" w:cs="宋体"/>
              </w:rPr>
              <w:t xml:space="preserve">410,668 </w:t>
            </w:r>
          </w:p>
        </w:tc>
        <w:tc>
          <w:tcPr>
            <w:tcW w:w="1276" w:type="dxa"/>
          </w:tcPr>
          <w:p>
            <w:pPr>
              <w:jc w:val="right"/>
              <w:rPr>
                <w:rFonts w:ascii="宋体" w:hAnsi="宋体" w:cs="Arial"/>
              </w:rPr>
            </w:pPr>
            <w:r>
              <w:rPr>
                <w:rFonts w:ascii="宋体" w:hAnsi="宋体" w:cs="宋体"/>
              </w:rPr>
              <w:t xml:space="preserve">149,760 </w:t>
            </w:r>
          </w:p>
        </w:tc>
        <w:tc>
          <w:tcPr>
            <w:tcW w:w="1417" w:type="dxa"/>
            <w:vAlign w:val="center"/>
          </w:tcPr>
          <w:p>
            <w:pPr>
              <w:jc w:val="right"/>
              <w:rPr>
                <w:rFonts w:ascii="宋体" w:hAnsi="宋体" w:cs="Arial"/>
              </w:rPr>
            </w:pPr>
            <w:r>
              <w:rPr>
                <w:rFonts w:ascii="宋体" w:hAnsi="宋体"/>
              </w:rPr>
              <w:t>1,540,719</w:t>
            </w:r>
          </w:p>
        </w:tc>
        <w:tc>
          <w:tcPr>
            <w:tcW w:w="1281" w:type="dxa"/>
            <w:vAlign w:val="center"/>
          </w:tcPr>
          <w:p>
            <w:pPr>
              <w:jc w:val="right"/>
              <w:rPr>
                <w:rFonts w:ascii="宋体" w:hAnsi="宋体" w:cs="Arial"/>
              </w:rPr>
            </w:pPr>
            <w:r>
              <w:rPr>
                <w:rFonts w:ascii="宋体" w:hAnsi="宋体"/>
              </w:rPr>
              <w:t>1,004,470</w:t>
            </w:r>
          </w:p>
        </w:tc>
      </w:tr>
      <w:tr>
        <w:trPr>
          <w:jc w:val="center"/>
        </w:trPr>
        <w:tc>
          <w:tcPr>
            <w:tcW w:w="2122" w:type="dxa"/>
            <w:vAlign w:val="center"/>
          </w:tcPr>
          <w:p>
            <w:pPr>
              <w:rPr>
                <w:rFonts w:cs="Arial"/>
              </w:rPr>
            </w:pPr>
            <w:r>
              <w:rPr>
                <w:rFonts w:cs="Arial" w:hint="eastAsia"/>
              </w:rPr>
              <w:t>货币资金</w:t>
            </w:r>
          </w:p>
        </w:tc>
        <w:tc>
          <w:tcPr>
            <w:tcW w:w="1559" w:type="dxa"/>
            <w:vAlign w:val="center"/>
          </w:tcPr>
          <w:p>
            <w:pPr>
              <w:spacing w:line="276" w:lineRule="auto"/>
              <w:jc w:val="right"/>
              <w:rPr>
                <w:rFonts w:ascii="宋体" w:hAnsi="宋体" w:cs="Arial"/>
              </w:rPr>
            </w:pPr>
            <w:r>
              <w:rPr>
                <w:rFonts w:ascii="宋体" w:hAnsi="宋体"/>
              </w:rPr>
              <w:t>3,409,527</w:t>
            </w:r>
          </w:p>
        </w:tc>
        <w:tc>
          <w:tcPr>
            <w:tcW w:w="1559" w:type="dxa"/>
            <w:vAlign w:val="center"/>
          </w:tcPr>
          <w:p>
            <w:pPr>
              <w:spacing w:line="276" w:lineRule="auto"/>
              <w:jc w:val="right"/>
              <w:rPr>
                <w:rFonts w:ascii="宋体" w:hAnsi="宋体" w:cs="Arial"/>
              </w:rPr>
            </w:pPr>
            <w:r>
              <w:rPr>
                <w:rFonts w:ascii="宋体" w:hAnsi="宋体"/>
              </w:rPr>
              <w:t>3,677,712</w:t>
            </w:r>
          </w:p>
        </w:tc>
        <w:tc>
          <w:tcPr>
            <w:tcW w:w="1276" w:type="dxa"/>
          </w:tcPr>
          <w:p>
            <w:pPr>
              <w:spacing w:line="276" w:lineRule="auto"/>
              <w:jc w:val="right"/>
              <w:rPr>
                <w:rFonts w:ascii="宋体" w:hAnsi="宋体" w:cs="Arial"/>
              </w:rPr>
            </w:pPr>
            <w:r>
              <w:rPr>
                <w:rFonts w:ascii="宋体" w:hAnsi="宋体" w:cs="宋体"/>
              </w:rPr>
              <w:t xml:space="preserve">404,727 </w:t>
            </w:r>
          </w:p>
        </w:tc>
        <w:tc>
          <w:tcPr>
            <w:tcW w:w="1276" w:type="dxa"/>
          </w:tcPr>
          <w:p>
            <w:pPr>
              <w:spacing w:line="276" w:lineRule="auto"/>
              <w:jc w:val="right"/>
              <w:rPr>
                <w:rFonts w:ascii="宋体" w:hAnsi="宋体" w:cs="Arial"/>
              </w:rPr>
            </w:pPr>
            <w:r>
              <w:rPr>
                <w:rFonts w:ascii="宋体" w:hAnsi="宋体" w:cs="宋体"/>
              </w:rPr>
              <w:t xml:space="preserve">143,396 </w:t>
            </w:r>
          </w:p>
        </w:tc>
        <w:tc>
          <w:tcPr>
            <w:tcW w:w="1417" w:type="dxa"/>
            <w:vAlign w:val="center"/>
          </w:tcPr>
          <w:p>
            <w:pPr>
              <w:spacing w:line="276" w:lineRule="auto"/>
              <w:jc w:val="right"/>
              <w:rPr>
                <w:rFonts w:ascii="宋体" w:hAnsi="宋体" w:cs="Arial"/>
              </w:rPr>
            </w:pPr>
            <w:r>
              <w:rPr>
                <w:rFonts w:ascii="宋体" w:hAnsi="宋体"/>
              </w:rPr>
              <w:t>15,772</w:t>
            </w:r>
          </w:p>
        </w:tc>
        <w:tc>
          <w:tcPr>
            <w:tcW w:w="1281" w:type="dxa"/>
            <w:vAlign w:val="center"/>
          </w:tcPr>
          <w:p>
            <w:pPr>
              <w:spacing w:line="276" w:lineRule="auto"/>
              <w:jc w:val="right"/>
              <w:rPr>
                <w:rFonts w:ascii="宋体" w:hAnsi="宋体" w:cs="Arial"/>
              </w:rPr>
            </w:pPr>
            <w:r>
              <w:rPr>
                <w:rFonts w:ascii="宋体" w:hAnsi="宋体"/>
              </w:rPr>
              <w:t>9,141</w:t>
            </w:r>
          </w:p>
        </w:tc>
      </w:tr>
      <w:tr>
        <w:trPr>
          <w:jc w:val="center"/>
        </w:trPr>
        <w:tc>
          <w:tcPr>
            <w:tcW w:w="2122" w:type="dxa"/>
            <w:vAlign w:val="center"/>
          </w:tcPr>
          <w:p>
            <w:pPr>
              <w:rPr>
                <w:rFonts w:cs="Arial"/>
              </w:rPr>
            </w:pPr>
            <w:r>
              <w:rPr>
                <w:rFonts w:cs="Arial" w:hint="eastAsia"/>
              </w:rPr>
              <w:t>应收票据</w:t>
            </w:r>
          </w:p>
        </w:tc>
        <w:tc>
          <w:tcPr>
            <w:tcW w:w="1559" w:type="dxa"/>
            <w:vAlign w:val="center"/>
          </w:tcPr>
          <w:p>
            <w:pPr>
              <w:jc w:val="right"/>
              <w:rPr>
                <w:rFonts w:ascii="宋体" w:hAnsi="宋体" w:cs="Arial"/>
              </w:rPr>
            </w:pPr>
            <w:r>
              <w:rPr>
                <w:rFonts w:ascii="宋体" w:hAnsi="宋体"/>
              </w:rPr>
              <w:t>474,098</w:t>
            </w:r>
          </w:p>
        </w:tc>
        <w:tc>
          <w:tcPr>
            <w:tcW w:w="1559" w:type="dxa"/>
            <w:vAlign w:val="center"/>
          </w:tcPr>
          <w:p>
            <w:pPr>
              <w:jc w:val="right"/>
              <w:rPr>
                <w:rFonts w:ascii="宋体" w:hAnsi="宋体" w:cs="Arial"/>
              </w:rPr>
            </w:pPr>
            <w:r>
              <w:rPr>
                <w:rFonts w:ascii="宋体" w:hAnsi="宋体"/>
              </w:rPr>
              <w:t>187,015</w:t>
            </w:r>
          </w:p>
        </w:tc>
        <w:tc>
          <w:tcPr>
            <w:tcW w:w="1276" w:type="dxa"/>
          </w:tcPr>
          <w:p>
            <w:pPr>
              <w:spacing w:line="276" w:lineRule="auto"/>
              <w:jc w:val="right"/>
              <w:rPr>
                <w:rFonts w:ascii="宋体" w:hAnsi="宋体" w:cs="Arial"/>
              </w:rPr>
            </w:pP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r>
              <w:rPr>
                <w:rFonts w:ascii="宋体" w:hAnsi="宋体"/>
              </w:rPr>
              <w:t>15,050</w:t>
            </w:r>
          </w:p>
        </w:tc>
        <w:tc>
          <w:tcPr>
            <w:tcW w:w="1281" w:type="dxa"/>
            <w:vAlign w:val="center"/>
          </w:tcPr>
          <w:p>
            <w:pPr>
              <w:spacing w:line="276" w:lineRule="auto"/>
              <w:jc w:val="right"/>
              <w:rPr>
                <w:rFonts w:ascii="宋体" w:hAnsi="宋体" w:cs="Arial"/>
              </w:rPr>
            </w:pPr>
            <w:r>
              <w:rPr>
                <w:rFonts w:ascii="宋体" w:hAnsi="宋体"/>
              </w:rPr>
              <w:t>34,864</w:t>
            </w:r>
          </w:p>
        </w:tc>
      </w:tr>
      <w:tr>
        <w:trPr>
          <w:trHeight w:val="133"/>
          <w:jc w:val="center"/>
        </w:trPr>
        <w:tc>
          <w:tcPr>
            <w:tcW w:w="2122" w:type="dxa"/>
            <w:vAlign w:val="center"/>
          </w:tcPr>
          <w:p>
            <w:pPr>
              <w:rPr>
                <w:rFonts w:cs="Arial"/>
              </w:rPr>
            </w:pPr>
            <w:r>
              <w:rPr>
                <w:rFonts w:cs="Arial" w:hint="eastAsia"/>
              </w:rPr>
              <w:t>应收账款</w:t>
            </w:r>
          </w:p>
        </w:tc>
        <w:tc>
          <w:tcPr>
            <w:tcW w:w="1559" w:type="dxa"/>
            <w:vAlign w:val="center"/>
          </w:tcPr>
          <w:p>
            <w:pPr>
              <w:spacing w:line="276" w:lineRule="auto"/>
              <w:jc w:val="right"/>
              <w:rPr>
                <w:rFonts w:ascii="宋体" w:hAnsi="宋体" w:cs="Arial"/>
              </w:rPr>
            </w:pPr>
            <w:r>
              <w:rPr>
                <w:rFonts w:ascii="宋体" w:hAnsi="宋体"/>
              </w:rPr>
              <w:t>255,601</w:t>
            </w:r>
          </w:p>
        </w:tc>
        <w:tc>
          <w:tcPr>
            <w:tcW w:w="1559" w:type="dxa"/>
            <w:vAlign w:val="center"/>
          </w:tcPr>
          <w:p>
            <w:pPr>
              <w:spacing w:line="276" w:lineRule="auto"/>
              <w:jc w:val="right"/>
              <w:rPr>
                <w:rFonts w:ascii="宋体" w:hAnsi="宋体" w:cs="Arial"/>
              </w:rPr>
            </w:pPr>
            <w:r>
              <w:rPr>
                <w:rFonts w:ascii="宋体" w:hAnsi="宋体"/>
              </w:rPr>
              <w:t>278,824</w:t>
            </w:r>
          </w:p>
        </w:tc>
        <w:tc>
          <w:tcPr>
            <w:tcW w:w="1276" w:type="dxa"/>
          </w:tcPr>
          <w:p>
            <w:pPr>
              <w:spacing w:line="276" w:lineRule="auto"/>
              <w:jc w:val="right"/>
              <w:rPr>
                <w:rFonts w:ascii="宋体" w:hAnsi="宋体" w:cs="Arial"/>
              </w:rPr>
            </w:pPr>
            <w:r>
              <w:rPr>
                <w:rFonts w:ascii="宋体" w:hAnsi="宋体" w:cs="宋体"/>
              </w:rPr>
              <w:t>570</w:t>
            </w: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r>
              <w:rPr>
                <w:rFonts w:ascii="宋体" w:hAnsi="宋体"/>
              </w:rPr>
              <w:t>556,307</w:t>
            </w:r>
          </w:p>
        </w:tc>
        <w:tc>
          <w:tcPr>
            <w:tcW w:w="1281" w:type="dxa"/>
            <w:vAlign w:val="center"/>
          </w:tcPr>
          <w:p>
            <w:pPr>
              <w:spacing w:line="276" w:lineRule="auto"/>
              <w:jc w:val="right"/>
              <w:rPr>
                <w:rFonts w:ascii="宋体" w:hAnsi="宋体" w:cs="Arial"/>
              </w:rPr>
            </w:pPr>
            <w:r>
              <w:rPr>
                <w:rFonts w:ascii="宋体" w:hAnsi="宋体"/>
              </w:rPr>
              <w:t>469,379</w:t>
            </w:r>
          </w:p>
        </w:tc>
      </w:tr>
      <w:tr>
        <w:trPr>
          <w:trHeight w:val="133"/>
          <w:jc w:val="center"/>
        </w:trPr>
        <w:tc>
          <w:tcPr>
            <w:tcW w:w="2122" w:type="dxa"/>
            <w:vAlign w:val="center"/>
          </w:tcPr>
          <w:p>
            <w:pPr>
              <w:rPr>
                <w:rFonts w:cs="Arial"/>
              </w:rPr>
            </w:pPr>
            <w:r>
              <w:rPr>
                <w:rFonts w:cs="Arial" w:hint="eastAsia"/>
              </w:rPr>
              <w:t>应收款项融资</w:t>
            </w:r>
          </w:p>
        </w:tc>
        <w:tc>
          <w:tcPr>
            <w:tcW w:w="1559" w:type="dxa"/>
            <w:vAlign w:val="center"/>
          </w:tcPr>
          <w:p>
            <w:pPr>
              <w:spacing w:line="276" w:lineRule="auto"/>
              <w:jc w:val="right"/>
              <w:rPr>
                <w:rFonts w:ascii="宋体" w:hAnsi="宋体" w:cs="Arial"/>
              </w:rPr>
            </w:pPr>
            <w:r>
              <w:rPr>
                <w:rFonts w:ascii="宋体" w:hAnsi="宋体"/>
              </w:rPr>
              <w:t>87,801</w:t>
            </w:r>
          </w:p>
        </w:tc>
        <w:tc>
          <w:tcPr>
            <w:tcW w:w="1559" w:type="dxa"/>
            <w:vAlign w:val="center"/>
          </w:tcPr>
          <w:p>
            <w:pPr>
              <w:spacing w:line="276" w:lineRule="auto"/>
              <w:jc w:val="right"/>
              <w:rPr>
                <w:rFonts w:ascii="宋体" w:hAnsi="宋体" w:cs="Arial"/>
              </w:rPr>
            </w:pPr>
            <w:r>
              <w:rPr>
                <w:rFonts w:ascii="宋体" w:hAnsi="宋体"/>
              </w:rPr>
              <w:t>63,625</w:t>
            </w:r>
          </w:p>
        </w:tc>
        <w:tc>
          <w:tcPr>
            <w:tcW w:w="1276" w:type="dxa"/>
          </w:tcPr>
          <w:p>
            <w:pPr>
              <w:spacing w:line="276" w:lineRule="auto"/>
              <w:jc w:val="right"/>
              <w:rPr>
                <w:rFonts w:ascii="宋体" w:hAnsi="宋体" w:cs="Arial"/>
              </w:rPr>
            </w:pP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r>
              <w:rPr>
                <w:rFonts w:ascii="宋体" w:hAnsi="宋体"/>
              </w:rPr>
              <w:t>9,100</w:t>
            </w:r>
          </w:p>
        </w:tc>
        <w:tc>
          <w:tcPr>
            <w:tcW w:w="1281" w:type="dxa"/>
            <w:vAlign w:val="center"/>
          </w:tcPr>
          <w:p>
            <w:pPr>
              <w:spacing w:line="276" w:lineRule="auto"/>
              <w:jc w:val="right"/>
              <w:rPr>
                <w:rFonts w:ascii="宋体" w:hAnsi="宋体" w:cs="Arial"/>
              </w:rPr>
            </w:pPr>
          </w:p>
        </w:tc>
      </w:tr>
      <w:tr>
        <w:trPr>
          <w:trHeight w:val="133"/>
          <w:jc w:val="center"/>
        </w:trPr>
        <w:tc>
          <w:tcPr>
            <w:tcW w:w="2122" w:type="dxa"/>
          </w:tcPr>
          <w:p>
            <w:pPr>
              <w:rPr>
                <w:rFonts w:cs="Arial"/>
              </w:rPr>
            </w:pPr>
            <w:r>
              <w:rPr>
                <w:rFonts w:hint="eastAsia"/>
              </w:rPr>
              <w:t>预付款项</w:t>
            </w:r>
          </w:p>
        </w:tc>
        <w:tc>
          <w:tcPr>
            <w:tcW w:w="1559" w:type="dxa"/>
            <w:vAlign w:val="center"/>
          </w:tcPr>
          <w:p>
            <w:pPr>
              <w:spacing w:line="276" w:lineRule="auto"/>
              <w:jc w:val="right"/>
              <w:rPr>
                <w:rFonts w:ascii="宋体" w:hAnsi="宋体" w:cs="Arial"/>
              </w:rPr>
            </w:pPr>
            <w:r>
              <w:rPr>
                <w:rFonts w:ascii="宋体" w:hAnsi="宋体"/>
              </w:rPr>
              <w:t>78,986</w:t>
            </w:r>
          </w:p>
        </w:tc>
        <w:tc>
          <w:tcPr>
            <w:tcW w:w="1559" w:type="dxa"/>
            <w:vAlign w:val="center"/>
          </w:tcPr>
          <w:p>
            <w:pPr>
              <w:spacing w:line="276" w:lineRule="auto"/>
              <w:jc w:val="right"/>
              <w:rPr>
                <w:rFonts w:ascii="宋体" w:hAnsi="宋体" w:cs="Arial"/>
              </w:rPr>
            </w:pPr>
            <w:r>
              <w:rPr>
                <w:rFonts w:ascii="宋体" w:hAnsi="宋体"/>
              </w:rPr>
              <w:t>36,488</w:t>
            </w:r>
          </w:p>
        </w:tc>
        <w:tc>
          <w:tcPr>
            <w:tcW w:w="1276" w:type="dxa"/>
          </w:tcPr>
          <w:p>
            <w:pPr>
              <w:spacing w:line="276" w:lineRule="auto"/>
              <w:jc w:val="right"/>
              <w:rPr>
                <w:rFonts w:ascii="宋体" w:hAnsi="宋体" w:cs="Arial"/>
              </w:rPr>
            </w:pPr>
            <w:r>
              <w:rPr>
                <w:rFonts w:ascii="宋体" w:hAnsi="宋体" w:cs="宋体"/>
              </w:rPr>
              <w:t>18</w:t>
            </w: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r>
              <w:rPr>
                <w:rFonts w:ascii="宋体" w:hAnsi="宋体"/>
              </w:rPr>
              <w:t>1,768</w:t>
            </w:r>
          </w:p>
        </w:tc>
        <w:tc>
          <w:tcPr>
            <w:tcW w:w="1281" w:type="dxa"/>
            <w:vAlign w:val="center"/>
          </w:tcPr>
          <w:p>
            <w:pPr>
              <w:spacing w:line="276" w:lineRule="auto"/>
              <w:jc w:val="right"/>
              <w:rPr>
                <w:rFonts w:ascii="宋体" w:hAnsi="宋体" w:cs="Arial"/>
              </w:rPr>
            </w:pPr>
            <w:r>
              <w:rPr>
                <w:rFonts w:ascii="宋体" w:hAnsi="宋体"/>
              </w:rPr>
              <w:t>2,216</w:t>
            </w:r>
          </w:p>
        </w:tc>
      </w:tr>
      <w:tr>
        <w:trPr>
          <w:trHeight w:val="133"/>
          <w:jc w:val="center"/>
        </w:trPr>
        <w:tc>
          <w:tcPr>
            <w:tcW w:w="2122" w:type="dxa"/>
          </w:tcPr>
          <w:p>
            <w:pPr>
              <w:rPr>
                <w:rFonts w:cs="Arial"/>
              </w:rPr>
            </w:pPr>
            <w:r>
              <w:rPr>
                <w:rFonts w:hint="eastAsia"/>
              </w:rPr>
              <w:t>其他应收款</w:t>
            </w:r>
          </w:p>
        </w:tc>
        <w:tc>
          <w:tcPr>
            <w:tcW w:w="1559" w:type="dxa"/>
            <w:vAlign w:val="center"/>
          </w:tcPr>
          <w:p>
            <w:pPr>
              <w:spacing w:line="276" w:lineRule="auto"/>
              <w:jc w:val="right"/>
              <w:rPr>
                <w:rFonts w:ascii="宋体" w:hAnsi="宋体" w:cs="Arial"/>
              </w:rPr>
            </w:pPr>
            <w:r>
              <w:rPr>
                <w:rFonts w:ascii="宋体" w:hAnsi="宋体"/>
              </w:rPr>
              <w:t>332,666</w:t>
            </w:r>
          </w:p>
        </w:tc>
        <w:tc>
          <w:tcPr>
            <w:tcW w:w="1559" w:type="dxa"/>
            <w:vAlign w:val="center"/>
          </w:tcPr>
          <w:p>
            <w:pPr>
              <w:spacing w:line="276" w:lineRule="auto"/>
              <w:jc w:val="right"/>
              <w:rPr>
                <w:rFonts w:ascii="宋体" w:hAnsi="宋体" w:cs="Arial"/>
              </w:rPr>
            </w:pPr>
            <w:r>
              <w:rPr>
                <w:rFonts w:ascii="宋体" w:hAnsi="宋体"/>
              </w:rPr>
              <w:t>512,220</w:t>
            </w:r>
          </w:p>
        </w:tc>
        <w:tc>
          <w:tcPr>
            <w:tcW w:w="1276" w:type="dxa"/>
          </w:tcPr>
          <w:p>
            <w:pPr>
              <w:spacing w:line="276" w:lineRule="auto"/>
              <w:jc w:val="right"/>
              <w:rPr>
                <w:rFonts w:ascii="宋体" w:hAnsi="宋体" w:cs="Arial"/>
              </w:rPr>
            </w:pPr>
            <w:r>
              <w:rPr>
                <w:rFonts w:ascii="宋体" w:hAnsi="宋体" w:cs="宋体"/>
              </w:rPr>
              <w:t xml:space="preserve">55 </w:t>
            </w:r>
          </w:p>
        </w:tc>
        <w:tc>
          <w:tcPr>
            <w:tcW w:w="1276" w:type="dxa"/>
          </w:tcPr>
          <w:p>
            <w:pPr>
              <w:spacing w:line="276" w:lineRule="auto"/>
              <w:jc w:val="right"/>
              <w:rPr>
                <w:rFonts w:ascii="宋体" w:hAnsi="宋体" w:cs="Arial"/>
              </w:rPr>
            </w:pPr>
            <w:r>
              <w:rPr>
                <w:rFonts w:ascii="宋体" w:hAnsi="宋体" w:cs="宋体"/>
              </w:rPr>
              <w:t xml:space="preserve">1 </w:t>
            </w:r>
          </w:p>
        </w:tc>
        <w:tc>
          <w:tcPr>
            <w:tcW w:w="1417" w:type="dxa"/>
            <w:vAlign w:val="center"/>
          </w:tcPr>
          <w:p>
            <w:pPr>
              <w:spacing w:line="276" w:lineRule="auto"/>
              <w:jc w:val="right"/>
              <w:rPr>
                <w:rFonts w:ascii="宋体" w:hAnsi="宋体" w:cs="Arial"/>
              </w:rPr>
            </w:pPr>
            <w:r>
              <w:rPr>
                <w:rFonts w:ascii="宋体" w:hAnsi="宋体"/>
              </w:rPr>
              <w:t>692</w:t>
            </w:r>
          </w:p>
        </w:tc>
        <w:tc>
          <w:tcPr>
            <w:tcW w:w="1281" w:type="dxa"/>
            <w:vAlign w:val="center"/>
          </w:tcPr>
          <w:p>
            <w:pPr>
              <w:spacing w:line="276" w:lineRule="auto"/>
              <w:jc w:val="right"/>
              <w:rPr>
                <w:rFonts w:ascii="宋体" w:hAnsi="宋体" w:cs="Arial"/>
              </w:rPr>
            </w:pPr>
            <w:r>
              <w:rPr>
                <w:rFonts w:ascii="宋体" w:hAnsi="宋体"/>
              </w:rPr>
              <w:t>493</w:t>
            </w:r>
          </w:p>
        </w:tc>
      </w:tr>
      <w:tr>
        <w:trPr>
          <w:trHeight w:val="65"/>
          <w:jc w:val="center"/>
        </w:trPr>
        <w:tc>
          <w:tcPr>
            <w:tcW w:w="2122" w:type="dxa"/>
            <w:vAlign w:val="center"/>
          </w:tcPr>
          <w:p>
            <w:pPr>
              <w:rPr>
                <w:rFonts w:cs="Arial"/>
              </w:rPr>
            </w:pPr>
            <w:r>
              <w:rPr>
                <w:rFonts w:cs="Arial" w:hint="eastAsia"/>
              </w:rPr>
              <w:t>存货</w:t>
            </w:r>
          </w:p>
        </w:tc>
        <w:tc>
          <w:tcPr>
            <w:tcW w:w="1559" w:type="dxa"/>
            <w:vAlign w:val="center"/>
          </w:tcPr>
          <w:p>
            <w:pPr>
              <w:spacing w:line="276" w:lineRule="auto"/>
              <w:jc w:val="right"/>
              <w:rPr>
                <w:rFonts w:ascii="宋体" w:hAnsi="宋体" w:cs="Arial"/>
              </w:rPr>
            </w:pPr>
            <w:r>
              <w:rPr>
                <w:rFonts w:ascii="宋体" w:hAnsi="宋体"/>
              </w:rPr>
              <w:t>173,632</w:t>
            </w:r>
          </w:p>
        </w:tc>
        <w:tc>
          <w:tcPr>
            <w:tcW w:w="1559" w:type="dxa"/>
            <w:vAlign w:val="center"/>
          </w:tcPr>
          <w:p>
            <w:pPr>
              <w:spacing w:line="276" w:lineRule="auto"/>
              <w:jc w:val="right"/>
              <w:rPr>
                <w:rFonts w:ascii="宋体" w:hAnsi="宋体" w:cs="Arial"/>
              </w:rPr>
            </w:pPr>
            <w:r>
              <w:rPr>
                <w:rFonts w:ascii="宋体" w:hAnsi="宋体"/>
              </w:rPr>
              <w:t>150,804</w:t>
            </w:r>
          </w:p>
        </w:tc>
        <w:tc>
          <w:tcPr>
            <w:tcW w:w="1276" w:type="dxa"/>
          </w:tcPr>
          <w:p>
            <w:pPr>
              <w:spacing w:line="276" w:lineRule="auto"/>
              <w:jc w:val="right"/>
              <w:rPr>
                <w:rFonts w:ascii="宋体" w:hAnsi="宋体" w:cs="Arial"/>
              </w:rPr>
            </w:pP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r>
              <w:rPr>
                <w:rFonts w:ascii="宋体" w:hAnsi="宋体"/>
              </w:rPr>
              <w:t>28,996</w:t>
            </w:r>
          </w:p>
        </w:tc>
        <w:tc>
          <w:tcPr>
            <w:tcW w:w="1281" w:type="dxa"/>
            <w:vAlign w:val="center"/>
          </w:tcPr>
          <w:p>
            <w:pPr>
              <w:spacing w:line="276" w:lineRule="auto"/>
              <w:jc w:val="right"/>
              <w:rPr>
                <w:rFonts w:ascii="宋体" w:hAnsi="宋体" w:cs="Arial"/>
              </w:rPr>
            </w:pPr>
            <w:r>
              <w:rPr>
                <w:rFonts w:ascii="宋体" w:hAnsi="宋体"/>
              </w:rPr>
              <w:t>92,920</w:t>
            </w:r>
          </w:p>
        </w:tc>
      </w:tr>
      <w:tr>
        <w:trPr>
          <w:jc w:val="center"/>
        </w:trPr>
        <w:tc>
          <w:tcPr>
            <w:tcW w:w="2122" w:type="dxa"/>
          </w:tcPr>
          <w:p>
            <w:pPr>
              <w:rPr>
                <w:rFonts w:cs="Arial"/>
              </w:rPr>
            </w:pPr>
            <w:r>
              <w:rPr>
                <w:rFonts w:hint="eastAsia"/>
              </w:rPr>
              <w:t>合同资产</w:t>
            </w:r>
          </w:p>
        </w:tc>
        <w:tc>
          <w:tcPr>
            <w:tcW w:w="1559" w:type="dxa"/>
            <w:vAlign w:val="center"/>
          </w:tcPr>
          <w:p>
            <w:pPr>
              <w:jc w:val="right"/>
              <w:rPr>
                <w:rFonts w:ascii="宋体" w:hAnsi="宋体" w:cs="Arial"/>
              </w:rPr>
            </w:pPr>
          </w:p>
        </w:tc>
        <w:tc>
          <w:tcPr>
            <w:tcW w:w="1559" w:type="dxa"/>
            <w:vAlign w:val="center"/>
          </w:tcPr>
          <w:p>
            <w:pPr>
              <w:jc w:val="right"/>
              <w:rPr>
                <w:rFonts w:ascii="宋体" w:hAnsi="宋体" w:cs="Arial"/>
              </w:rPr>
            </w:pPr>
          </w:p>
        </w:tc>
        <w:tc>
          <w:tcPr>
            <w:tcW w:w="1276" w:type="dxa"/>
          </w:tcPr>
          <w:p>
            <w:pPr>
              <w:spacing w:line="276" w:lineRule="auto"/>
              <w:jc w:val="right"/>
              <w:rPr>
                <w:rFonts w:ascii="宋体" w:hAnsi="宋体" w:cs="Arial"/>
              </w:rPr>
            </w:pP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p>
        </w:tc>
        <w:tc>
          <w:tcPr>
            <w:tcW w:w="1281" w:type="dxa"/>
            <w:vAlign w:val="center"/>
          </w:tcPr>
          <w:p>
            <w:pPr>
              <w:spacing w:line="276" w:lineRule="auto"/>
              <w:jc w:val="right"/>
              <w:rPr>
                <w:rFonts w:ascii="宋体" w:hAnsi="宋体" w:cs="Arial"/>
              </w:rPr>
            </w:pPr>
          </w:p>
        </w:tc>
      </w:tr>
      <w:tr>
        <w:trPr>
          <w:jc w:val="center"/>
        </w:trPr>
        <w:tc>
          <w:tcPr>
            <w:tcW w:w="2122" w:type="dxa"/>
          </w:tcPr>
          <w:p>
            <w:pPr>
              <w:rPr>
                <w:rFonts w:cs="Arial"/>
              </w:rPr>
            </w:pPr>
            <w:r>
              <w:rPr>
                <w:rFonts w:hint="eastAsia"/>
              </w:rPr>
              <w:t>其他流动资产</w:t>
            </w:r>
          </w:p>
        </w:tc>
        <w:tc>
          <w:tcPr>
            <w:tcW w:w="1559" w:type="dxa"/>
            <w:vAlign w:val="center"/>
          </w:tcPr>
          <w:p>
            <w:pPr>
              <w:jc w:val="right"/>
              <w:rPr>
                <w:rFonts w:ascii="宋体" w:hAnsi="宋体" w:cs="Arial"/>
              </w:rPr>
            </w:pPr>
            <w:r>
              <w:rPr>
                <w:rFonts w:ascii="宋体" w:hAnsi="宋体"/>
              </w:rPr>
              <w:t>357,239</w:t>
            </w:r>
          </w:p>
        </w:tc>
        <w:tc>
          <w:tcPr>
            <w:tcW w:w="1559" w:type="dxa"/>
            <w:vAlign w:val="center"/>
          </w:tcPr>
          <w:p>
            <w:pPr>
              <w:jc w:val="right"/>
              <w:rPr>
                <w:rFonts w:ascii="宋体" w:hAnsi="宋体" w:cs="Arial"/>
              </w:rPr>
            </w:pPr>
            <w:r>
              <w:rPr>
                <w:rFonts w:ascii="宋体" w:hAnsi="宋体"/>
              </w:rPr>
              <w:t>355,648</w:t>
            </w:r>
          </w:p>
        </w:tc>
        <w:tc>
          <w:tcPr>
            <w:tcW w:w="1276" w:type="dxa"/>
          </w:tcPr>
          <w:p>
            <w:pPr>
              <w:jc w:val="right"/>
              <w:rPr>
                <w:rFonts w:ascii="宋体" w:hAnsi="宋体" w:cs="Arial"/>
              </w:rPr>
            </w:pPr>
            <w:r>
              <w:rPr>
                <w:rFonts w:ascii="宋体" w:hAnsi="宋体" w:cs="宋体"/>
              </w:rPr>
              <w:t>170</w:t>
            </w:r>
          </w:p>
        </w:tc>
        <w:tc>
          <w:tcPr>
            <w:tcW w:w="1276" w:type="dxa"/>
          </w:tcPr>
          <w:p>
            <w:pPr>
              <w:jc w:val="right"/>
              <w:rPr>
                <w:rFonts w:ascii="宋体" w:hAnsi="宋体" w:cs="Arial"/>
              </w:rPr>
            </w:pPr>
          </w:p>
        </w:tc>
        <w:tc>
          <w:tcPr>
            <w:tcW w:w="1417" w:type="dxa"/>
            <w:vAlign w:val="center"/>
          </w:tcPr>
          <w:p>
            <w:pPr>
              <w:jc w:val="right"/>
              <w:rPr>
                <w:rFonts w:ascii="宋体" w:hAnsi="宋体" w:cs="Arial"/>
              </w:rPr>
            </w:pPr>
            <w:r>
              <w:rPr>
                <w:rFonts w:ascii="宋体" w:hAnsi="宋体"/>
              </w:rPr>
              <w:t>4,306</w:t>
            </w:r>
          </w:p>
        </w:tc>
        <w:tc>
          <w:tcPr>
            <w:tcW w:w="1281" w:type="dxa"/>
            <w:vAlign w:val="center"/>
          </w:tcPr>
          <w:p>
            <w:pPr>
              <w:jc w:val="right"/>
              <w:rPr>
                <w:rFonts w:ascii="宋体" w:hAnsi="宋体" w:cs="Arial"/>
              </w:rPr>
            </w:pPr>
            <w:r>
              <w:rPr>
                <w:rFonts w:ascii="宋体" w:hAnsi="宋体"/>
              </w:rPr>
              <w:t>20,486</w:t>
            </w:r>
          </w:p>
        </w:tc>
      </w:tr>
      <w:tr>
        <w:trPr>
          <w:jc w:val="center"/>
        </w:trPr>
        <w:tc>
          <w:tcPr>
            <w:tcW w:w="2122" w:type="dxa"/>
          </w:tcPr>
          <w:p>
            <w:pPr>
              <w:pStyle w:val="Style217"/>
            </w:pPr>
            <w:r>
              <w:rPr>
                <w:rFonts w:hint="eastAsia"/>
              </w:rPr>
              <w:t>长期应收款</w:t>
            </w:r>
          </w:p>
        </w:tc>
        <w:tc>
          <w:tcPr>
            <w:tcW w:w="1559" w:type="dxa"/>
            <w:vAlign w:val="center"/>
          </w:tcPr>
          <w:p>
            <w:pPr>
              <w:jc w:val="right"/>
              <w:rPr>
                <w:rFonts w:ascii="宋体" w:hAnsi="宋体" w:cs="Arial"/>
              </w:rPr>
            </w:pPr>
          </w:p>
        </w:tc>
        <w:tc>
          <w:tcPr>
            <w:tcW w:w="1559" w:type="dxa"/>
            <w:vAlign w:val="center"/>
          </w:tcPr>
          <w:p>
            <w:pPr>
              <w:jc w:val="right"/>
              <w:rPr>
                <w:rFonts w:ascii="宋体" w:hAnsi="宋体" w:cs="Arial"/>
              </w:rPr>
            </w:pP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pStyle w:val="Style217"/>
            </w:pPr>
            <w:r>
              <w:rPr>
                <w:rFonts w:hint="eastAsia"/>
              </w:rPr>
              <w:t>长期股权投资</w:t>
            </w:r>
          </w:p>
        </w:tc>
        <w:tc>
          <w:tcPr>
            <w:tcW w:w="1559" w:type="dxa"/>
            <w:vAlign w:val="center"/>
          </w:tcPr>
          <w:p>
            <w:pPr>
              <w:jc w:val="right"/>
              <w:rPr>
                <w:rFonts w:ascii="宋体" w:hAnsi="宋体" w:cs="Arial"/>
              </w:rPr>
            </w:pPr>
            <w:r>
              <w:rPr>
                <w:rFonts w:ascii="宋体" w:hAnsi="宋体"/>
              </w:rPr>
              <w:t>54,784</w:t>
            </w:r>
          </w:p>
        </w:tc>
        <w:tc>
          <w:tcPr>
            <w:tcW w:w="1559" w:type="dxa"/>
            <w:vAlign w:val="center"/>
          </w:tcPr>
          <w:p>
            <w:pPr>
              <w:jc w:val="right"/>
              <w:rPr>
                <w:rFonts w:ascii="宋体" w:hAnsi="宋体" w:cs="Arial"/>
              </w:rPr>
            </w:pPr>
            <w:r>
              <w:rPr>
                <w:rFonts w:ascii="宋体" w:hAnsi="宋体"/>
              </w:rPr>
              <w:t>53,543</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pStyle w:val="Style217"/>
            </w:pPr>
            <w:r>
              <w:rPr>
                <w:rFonts w:hint="eastAsia"/>
              </w:rPr>
              <w:t>其他权益工具投资</w:t>
            </w:r>
          </w:p>
        </w:tc>
        <w:tc>
          <w:tcPr>
            <w:tcW w:w="1559" w:type="dxa"/>
            <w:vAlign w:val="center"/>
          </w:tcPr>
          <w:p>
            <w:pPr>
              <w:jc w:val="right"/>
              <w:rPr>
                <w:rFonts w:ascii="宋体" w:hAnsi="宋体" w:cs="Arial"/>
              </w:rPr>
            </w:pPr>
            <w:r>
              <w:rPr>
                <w:rFonts w:ascii="宋体" w:hAnsi="宋体"/>
              </w:rPr>
              <w:t>413,324</w:t>
            </w:r>
          </w:p>
        </w:tc>
        <w:tc>
          <w:tcPr>
            <w:tcW w:w="1559" w:type="dxa"/>
            <w:vAlign w:val="center"/>
          </w:tcPr>
          <w:p>
            <w:pPr>
              <w:jc w:val="right"/>
              <w:rPr>
                <w:rFonts w:ascii="宋体" w:hAnsi="宋体" w:cs="Arial"/>
              </w:rPr>
            </w:pPr>
            <w:r>
              <w:rPr>
                <w:rFonts w:ascii="宋体" w:hAnsi="宋体"/>
              </w:rPr>
              <w:t>412,655</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vAlign w:val="center"/>
          </w:tcPr>
          <w:p>
            <w:pPr>
              <w:rPr>
                <w:rFonts w:cs="Arial"/>
              </w:rPr>
            </w:pPr>
            <w:r>
              <w:rPr>
                <w:rFonts w:cs="Arial" w:hint="eastAsia"/>
              </w:rPr>
              <w:t>固定资产</w:t>
            </w:r>
          </w:p>
        </w:tc>
        <w:tc>
          <w:tcPr>
            <w:tcW w:w="1559" w:type="dxa"/>
            <w:vAlign w:val="center"/>
          </w:tcPr>
          <w:p>
            <w:pPr>
              <w:spacing w:line="276" w:lineRule="auto"/>
              <w:jc w:val="right"/>
              <w:rPr>
                <w:rFonts w:ascii="宋体" w:hAnsi="宋体" w:cs="Arial"/>
              </w:rPr>
            </w:pPr>
            <w:r>
              <w:rPr>
                <w:rFonts w:ascii="宋体" w:hAnsi="宋体"/>
              </w:rPr>
              <w:t>18,781,920</w:t>
            </w:r>
          </w:p>
        </w:tc>
        <w:tc>
          <w:tcPr>
            <w:tcW w:w="1559" w:type="dxa"/>
            <w:vAlign w:val="center"/>
          </w:tcPr>
          <w:p>
            <w:pPr>
              <w:spacing w:line="276" w:lineRule="auto"/>
              <w:jc w:val="right"/>
              <w:rPr>
                <w:rFonts w:ascii="宋体" w:hAnsi="宋体" w:cs="Arial"/>
              </w:rPr>
            </w:pPr>
            <w:r>
              <w:rPr>
                <w:rFonts w:ascii="宋体" w:hAnsi="宋体"/>
              </w:rPr>
              <w:t>19,572,023</w:t>
            </w:r>
          </w:p>
        </w:tc>
        <w:tc>
          <w:tcPr>
            <w:tcW w:w="1276" w:type="dxa"/>
          </w:tcPr>
          <w:p>
            <w:pPr>
              <w:spacing w:line="276" w:lineRule="auto"/>
              <w:jc w:val="right"/>
              <w:rPr>
                <w:rFonts w:ascii="宋体" w:hAnsi="宋体" w:cs="Arial"/>
              </w:rPr>
            </w:pPr>
            <w:r>
              <w:rPr>
                <w:rFonts w:ascii="宋体" w:hAnsi="宋体" w:cs="宋体"/>
              </w:rPr>
              <w:t xml:space="preserve">5,128 </w:t>
            </w:r>
          </w:p>
        </w:tc>
        <w:tc>
          <w:tcPr>
            <w:tcW w:w="1276" w:type="dxa"/>
          </w:tcPr>
          <w:p>
            <w:pPr>
              <w:spacing w:line="276" w:lineRule="auto"/>
              <w:jc w:val="right"/>
              <w:rPr>
                <w:rFonts w:ascii="宋体" w:hAnsi="宋体" w:cs="Arial"/>
              </w:rPr>
            </w:pPr>
            <w:r>
              <w:rPr>
                <w:rFonts w:ascii="宋体" w:hAnsi="宋体" w:cs="宋体"/>
              </w:rPr>
              <w:t xml:space="preserve">6,363 </w:t>
            </w:r>
          </w:p>
        </w:tc>
        <w:tc>
          <w:tcPr>
            <w:tcW w:w="1417" w:type="dxa"/>
            <w:vAlign w:val="center"/>
          </w:tcPr>
          <w:p>
            <w:pPr>
              <w:spacing w:line="276" w:lineRule="auto"/>
              <w:jc w:val="right"/>
              <w:rPr>
                <w:rFonts w:ascii="宋体" w:hAnsi="宋体" w:cs="Arial"/>
              </w:rPr>
            </w:pPr>
            <w:r>
              <w:rPr>
                <w:rFonts w:ascii="宋体" w:hAnsi="宋体"/>
              </w:rPr>
              <w:t>764,298</w:t>
            </w:r>
          </w:p>
        </w:tc>
        <w:tc>
          <w:tcPr>
            <w:tcW w:w="1281" w:type="dxa"/>
            <w:vAlign w:val="center"/>
          </w:tcPr>
          <w:p>
            <w:pPr>
              <w:spacing w:line="276" w:lineRule="auto"/>
              <w:jc w:val="right"/>
              <w:rPr>
                <w:rFonts w:ascii="宋体" w:hAnsi="宋体" w:cs="Arial"/>
              </w:rPr>
            </w:pPr>
            <w:r>
              <w:rPr>
                <w:rFonts w:ascii="宋体" w:hAnsi="宋体"/>
              </w:rPr>
              <w:t>374,969</w:t>
            </w:r>
          </w:p>
        </w:tc>
      </w:tr>
      <w:tr>
        <w:trPr>
          <w:jc w:val="center"/>
        </w:trPr>
        <w:tc>
          <w:tcPr>
            <w:tcW w:w="2122" w:type="dxa"/>
            <w:vAlign w:val="center"/>
          </w:tcPr>
          <w:p>
            <w:pPr>
              <w:rPr>
                <w:rFonts w:cs="Arial"/>
              </w:rPr>
            </w:pPr>
            <w:r>
              <w:rPr>
                <w:rFonts w:cs="Arial" w:hint="eastAsia"/>
              </w:rPr>
              <w:t>在建工程</w:t>
            </w:r>
          </w:p>
        </w:tc>
        <w:tc>
          <w:tcPr>
            <w:tcW w:w="1559" w:type="dxa"/>
            <w:vAlign w:val="center"/>
          </w:tcPr>
          <w:p>
            <w:pPr>
              <w:jc w:val="right"/>
              <w:rPr>
                <w:rFonts w:ascii="宋体" w:hAnsi="宋体" w:cs="Arial"/>
              </w:rPr>
            </w:pPr>
            <w:r>
              <w:rPr>
                <w:rFonts w:ascii="宋体" w:hAnsi="宋体"/>
              </w:rPr>
              <w:t>2,745,069</w:t>
            </w:r>
          </w:p>
        </w:tc>
        <w:tc>
          <w:tcPr>
            <w:tcW w:w="1559" w:type="dxa"/>
            <w:vAlign w:val="center"/>
          </w:tcPr>
          <w:p>
            <w:pPr>
              <w:jc w:val="right"/>
              <w:rPr>
                <w:rFonts w:ascii="宋体" w:hAnsi="宋体" w:cs="Arial"/>
              </w:rPr>
            </w:pPr>
            <w:r>
              <w:rPr>
                <w:rFonts w:ascii="宋体" w:hAnsi="宋体"/>
              </w:rPr>
              <w:t>2,339,336</w:t>
            </w:r>
          </w:p>
        </w:tc>
        <w:tc>
          <w:tcPr>
            <w:tcW w:w="1276" w:type="dxa"/>
          </w:tcPr>
          <w:p>
            <w:pPr>
              <w:spacing w:line="276" w:lineRule="auto"/>
              <w:jc w:val="right"/>
              <w:rPr>
                <w:rFonts w:ascii="宋体" w:hAnsi="宋体" w:cs="Arial"/>
              </w:rPr>
            </w:pP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p>
        </w:tc>
        <w:tc>
          <w:tcPr>
            <w:tcW w:w="1281" w:type="dxa"/>
            <w:vAlign w:val="center"/>
          </w:tcPr>
          <w:p>
            <w:pPr>
              <w:spacing w:line="276" w:lineRule="auto"/>
              <w:jc w:val="right"/>
              <w:rPr>
                <w:rFonts w:ascii="宋体" w:hAnsi="宋体" w:cs="Arial"/>
              </w:rPr>
            </w:pPr>
          </w:p>
        </w:tc>
      </w:tr>
      <w:tr>
        <w:trPr>
          <w:jc w:val="center"/>
        </w:trPr>
        <w:tc>
          <w:tcPr>
            <w:tcW w:w="2122" w:type="dxa"/>
            <w:vAlign w:val="center"/>
          </w:tcPr>
          <w:p>
            <w:pPr>
              <w:rPr>
                <w:rFonts w:cs="Arial"/>
              </w:rPr>
            </w:pPr>
            <w:r>
              <w:rPr>
                <w:rFonts w:cs="Arial" w:hint="eastAsia"/>
              </w:rPr>
              <w:t>使用权资产</w:t>
            </w:r>
          </w:p>
        </w:tc>
        <w:tc>
          <w:tcPr>
            <w:tcW w:w="1559" w:type="dxa"/>
            <w:vAlign w:val="center"/>
          </w:tcPr>
          <w:p>
            <w:pPr>
              <w:jc w:val="right"/>
              <w:rPr>
                <w:rFonts w:ascii="宋体" w:hAnsi="宋体" w:cs="Arial"/>
              </w:rPr>
            </w:pPr>
            <w:r>
              <w:rPr>
                <w:rFonts w:ascii="宋体" w:hAnsi="宋体"/>
              </w:rPr>
              <w:t>70,265</w:t>
            </w:r>
          </w:p>
        </w:tc>
        <w:tc>
          <w:tcPr>
            <w:tcW w:w="1559" w:type="dxa"/>
            <w:vAlign w:val="center"/>
          </w:tcPr>
          <w:p>
            <w:pPr>
              <w:jc w:val="right"/>
              <w:rPr>
                <w:rFonts w:ascii="宋体" w:hAnsi="宋体" w:cs="Arial"/>
              </w:rPr>
            </w:pPr>
            <w:r>
              <w:rPr>
                <w:rFonts w:ascii="宋体" w:hAnsi="宋体"/>
              </w:rPr>
              <w:t>42,760</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trHeight w:val="65"/>
          <w:jc w:val="center"/>
        </w:trPr>
        <w:tc>
          <w:tcPr>
            <w:tcW w:w="2122" w:type="dxa"/>
            <w:vAlign w:val="center"/>
          </w:tcPr>
          <w:p>
            <w:pPr>
              <w:rPr>
                <w:rFonts w:cs="Arial"/>
              </w:rPr>
            </w:pPr>
            <w:r>
              <w:rPr>
                <w:rFonts w:cs="Arial" w:hint="eastAsia"/>
              </w:rPr>
              <w:t>无形资产</w:t>
            </w:r>
          </w:p>
        </w:tc>
        <w:tc>
          <w:tcPr>
            <w:tcW w:w="1559" w:type="dxa"/>
            <w:vAlign w:val="center"/>
          </w:tcPr>
          <w:p>
            <w:pPr>
              <w:spacing w:line="276" w:lineRule="auto"/>
              <w:jc w:val="right"/>
              <w:rPr>
                <w:rFonts w:ascii="宋体" w:hAnsi="宋体" w:cs="Arial"/>
              </w:rPr>
            </w:pPr>
            <w:r>
              <w:rPr>
                <w:rFonts w:ascii="宋体" w:hAnsi="宋体"/>
              </w:rPr>
              <w:t>22,293,638</w:t>
            </w:r>
          </w:p>
        </w:tc>
        <w:tc>
          <w:tcPr>
            <w:tcW w:w="1559" w:type="dxa"/>
            <w:vAlign w:val="center"/>
          </w:tcPr>
          <w:p>
            <w:pPr>
              <w:spacing w:line="276" w:lineRule="auto"/>
              <w:jc w:val="right"/>
              <w:rPr>
                <w:rFonts w:ascii="宋体" w:hAnsi="宋体" w:cs="Arial"/>
              </w:rPr>
            </w:pPr>
            <w:r>
              <w:rPr>
                <w:rFonts w:ascii="宋体" w:hAnsi="宋体"/>
              </w:rPr>
              <w:t>22,408,252</w:t>
            </w:r>
          </w:p>
        </w:tc>
        <w:tc>
          <w:tcPr>
            <w:tcW w:w="1276" w:type="dxa"/>
          </w:tcPr>
          <w:p>
            <w:pPr>
              <w:spacing w:line="276" w:lineRule="auto"/>
              <w:jc w:val="right"/>
              <w:rPr>
                <w:rFonts w:ascii="宋体" w:hAnsi="宋体" w:cs="Arial"/>
              </w:rPr>
            </w:pP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r>
              <w:rPr>
                <w:rFonts w:ascii="宋体" w:hAnsi="宋体"/>
              </w:rPr>
              <w:t>144,428</w:t>
            </w:r>
          </w:p>
        </w:tc>
        <w:tc>
          <w:tcPr>
            <w:tcW w:w="1281" w:type="dxa"/>
            <w:vAlign w:val="center"/>
          </w:tcPr>
          <w:p>
            <w:pPr>
              <w:spacing w:line="276" w:lineRule="auto"/>
              <w:jc w:val="right"/>
              <w:rPr>
                <w:rFonts w:ascii="宋体" w:hAnsi="宋体" w:cs="Arial"/>
              </w:rPr>
            </w:pPr>
          </w:p>
        </w:tc>
      </w:tr>
      <w:tr>
        <w:trPr>
          <w:jc w:val="center"/>
        </w:trPr>
        <w:tc>
          <w:tcPr>
            <w:tcW w:w="2122" w:type="dxa"/>
          </w:tcPr>
          <w:p>
            <w:pPr>
              <w:rPr>
                <w:rFonts w:cs="Arial"/>
              </w:rPr>
            </w:pPr>
            <w:r>
              <w:rPr>
                <w:rFonts w:hint="eastAsia"/>
              </w:rPr>
              <w:t>商誉</w:t>
            </w:r>
          </w:p>
        </w:tc>
        <w:tc>
          <w:tcPr>
            <w:tcW w:w="1559" w:type="dxa"/>
            <w:vAlign w:val="center"/>
          </w:tcPr>
          <w:p>
            <w:pPr>
              <w:jc w:val="right"/>
              <w:rPr>
                <w:rFonts w:ascii="宋体" w:hAnsi="宋体" w:cs="Arial"/>
              </w:rPr>
            </w:pPr>
            <w:r>
              <w:rPr>
                <w:rFonts w:ascii="宋体" w:hAnsi="宋体"/>
              </w:rPr>
              <w:t>532,698</w:t>
            </w:r>
          </w:p>
        </w:tc>
        <w:tc>
          <w:tcPr>
            <w:tcW w:w="1559" w:type="dxa"/>
            <w:vAlign w:val="center"/>
          </w:tcPr>
          <w:p>
            <w:pPr>
              <w:jc w:val="right"/>
              <w:rPr>
                <w:rFonts w:ascii="宋体" w:hAnsi="宋体" w:cs="Arial"/>
              </w:rPr>
            </w:pPr>
            <w:r>
              <w:rPr>
                <w:rFonts w:ascii="宋体" w:hAnsi="宋体"/>
              </w:rPr>
              <w:t>532,698</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color w:val="000000"/>
              </w:rPr>
            </w:pPr>
            <w:r>
              <w:rPr>
                <w:rFonts w:hint="eastAsia"/>
              </w:rPr>
              <w:t>长期待摊费用</w:t>
            </w:r>
          </w:p>
        </w:tc>
        <w:tc>
          <w:tcPr>
            <w:tcW w:w="1559" w:type="dxa"/>
            <w:vAlign w:val="center"/>
          </w:tcPr>
          <w:p>
            <w:pPr>
              <w:jc w:val="right"/>
              <w:rPr>
                <w:rFonts w:ascii="宋体" w:hAnsi="宋体" w:cs="Arial"/>
              </w:rPr>
            </w:pPr>
            <w:r>
              <w:rPr>
                <w:rFonts w:ascii="宋体" w:hAnsi="宋体"/>
              </w:rPr>
              <w:t>567,659</w:t>
            </w:r>
          </w:p>
        </w:tc>
        <w:tc>
          <w:tcPr>
            <w:tcW w:w="1559" w:type="dxa"/>
            <w:vAlign w:val="center"/>
          </w:tcPr>
          <w:p>
            <w:pPr>
              <w:jc w:val="right"/>
              <w:rPr>
                <w:rFonts w:ascii="宋体" w:hAnsi="宋体" w:cs="Arial"/>
              </w:rPr>
            </w:pPr>
            <w:r>
              <w:rPr>
                <w:rFonts w:ascii="宋体" w:hAnsi="宋体"/>
              </w:rPr>
              <w:t>501,830</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lastRenderedPageBreak/>
              <w:t>递延所得税资产</w:t>
            </w:r>
          </w:p>
        </w:tc>
        <w:tc>
          <w:tcPr>
            <w:tcW w:w="1559" w:type="dxa"/>
            <w:vAlign w:val="center"/>
          </w:tcPr>
          <w:p>
            <w:pPr>
              <w:jc w:val="right"/>
              <w:rPr>
                <w:rFonts w:ascii="宋体" w:hAnsi="宋体" w:cs="Arial"/>
              </w:rPr>
            </w:pPr>
            <w:r>
              <w:rPr>
                <w:rFonts w:ascii="宋体" w:hAnsi="宋体"/>
              </w:rPr>
              <w:t>730,461</w:t>
            </w:r>
          </w:p>
        </w:tc>
        <w:tc>
          <w:tcPr>
            <w:tcW w:w="1559" w:type="dxa"/>
            <w:vAlign w:val="center"/>
          </w:tcPr>
          <w:p>
            <w:pPr>
              <w:jc w:val="right"/>
              <w:rPr>
                <w:rFonts w:ascii="宋体" w:hAnsi="宋体" w:cs="Arial"/>
              </w:rPr>
            </w:pPr>
            <w:r>
              <w:rPr>
                <w:rFonts w:ascii="宋体" w:hAnsi="宋体"/>
              </w:rPr>
              <w:t>705,657</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r>
              <w:rPr>
                <w:rFonts w:ascii="宋体" w:hAnsi="宋体"/>
              </w:rPr>
              <w:t>2</w:t>
            </w:r>
          </w:p>
        </w:tc>
        <w:tc>
          <w:tcPr>
            <w:tcW w:w="1281" w:type="dxa"/>
            <w:vAlign w:val="center"/>
          </w:tcPr>
          <w:p>
            <w:pPr>
              <w:jc w:val="right"/>
              <w:rPr>
                <w:rFonts w:ascii="宋体" w:hAnsi="宋体" w:cs="Arial"/>
              </w:rPr>
            </w:pPr>
            <w:r>
              <w:rPr>
                <w:rFonts w:ascii="宋体" w:hAnsi="宋体"/>
              </w:rPr>
              <w:t>2</w:t>
            </w:r>
          </w:p>
        </w:tc>
      </w:tr>
      <w:tr>
        <w:trPr>
          <w:jc w:val="center"/>
        </w:trPr>
        <w:tc>
          <w:tcPr>
            <w:tcW w:w="2122" w:type="dxa"/>
          </w:tcPr>
          <w:p>
            <w:pPr>
              <w:rPr>
                <w:rFonts w:cs="Arial"/>
              </w:rPr>
            </w:pPr>
            <w:r>
              <w:rPr>
                <w:rFonts w:hint="eastAsia"/>
              </w:rPr>
              <w:t>其他非流动资产</w:t>
            </w:r>
          </w:p>
        </w:tc>
        <w:tc>
          <w:tcPr>
            <w:tcW w:w="1559" w:type="dxa"/>
            <w:vAlign w:val="center"/>
          </w:tcPr>
          <w:p>
            <w:pPr>
              <w:jc w:val="right"/>
              <w:rPr>
                <w:rFonts w:ascii="宋体" w:hAnsi="宋体" w:cs="Arial"/>
              </w:rPr>
            </w:pPr>
            <w:r>
              <w:rPr>
                <w:rFonts w:ascii="宋体" w:hAnsi="宋体"/>
              </w:rPr>
              <w:t>1,424,591</w:t>
            </w:r>
          </w:p>
        </w:tc>
        <w:tc>
          <w:tcPr>
            <w:tcW w:w="1559" w:type="dxa"/>
            <w:vAlign w:val="center"/>
          </w:tcPr>
          <w:p>
            <w:pPr>
              <w:jc w:val="right"/>
              <w:rPr>
                <w:rFonts w:ascii="宋体" w:hAnsi="宋体" w:cs="Arial"/>
              </w:rPr>
            </w:pPr>
            <w:r>
              <w:rPr>
                <w:rFonts w:ascii="宋体" w:hAnsi="宋体"/>
              </w:rPr>
              <w:t>1,954,916</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vAlign w:val="center"/>
          </w:tcPr>
          <w:p>
            <w:pPr>
              <w:rPr>
                <w:rFonts w:cs="Arial"/>
                <w:color w:val="000000"/>
              </w:rPr>
            </w:pPr>
            <w:r>
              <w:rPr>
                <w:rFonts w:cs="Arial" w:hint="eastAsia"/>
                <w:color w:val="000000"/>
                <w:lang w:val="en-GB"/>
              </w:rPr>
              <w:t>负债</w:t>
            </w:r>
            <w:r>
              <w:rPr>
                <w:rFonts w:cs="Arial" w:hint="eastAsia"/>
                <w:color w:val="000000"/>
                <w:lang w:val="en-GB"/>
              </w:rPr>
              <w:t>:</w:t>
            </w:r>
          </w:p>
        </w:tc>
        <w:tc>
          <w:tcPr>
            <w:tcW w:w="1559" w:type="dxa"/>
            <w:vAlign w:val="center"/>
          </w:tcPr>
          <w:p>
            <w:pPr>
              <w:jc w:val="right"/>
              <w:rPr>
                <w:rFonts w:ascii="宋体" w:hAnsi="宋体" w:cs="Arial"/>
              </w:rPr>
            </w:pPr>
            <w:r>
              <w:rPr>
                <w:rFonts w:ascii="宋体" w:hAnsi="宋体"/>
              </w:rPr>
              <w:t>43,442,847</w:t>
            </w:r>
          </w:p>
        </w:tc>
        <w:tc>
          <w:tcPr>
            <w:tcW w:w="1559" w:type="dxa"/>
            <w:vAlign w:val="center"/>
          </w:tcPr>
          <w:p>
            <w:pPr>
              <w:jc w:val="right"/>
              <w:rPr>
                <w:rFonts w:ascii="宋体" w:hAnsi="宋体" w:cs="Arial"/>
              </w:rPr>
            </w:pPr>
            <w:r>
              <w:rPr>
                <w:rFonts w:ascii="宋体" w:hAnsi="宋体"/>
              </w:rPr>
              <w:t>37,596,545</w:t>
            </w:r>
          </w:p>
        </w:tc>
        <w:tc>
          <w:tcPr>
            <w:tcW w:w="1276" w:type="dxa"/>
          </w:tcPr>
          <w:p>
            <w:pPr>
              <w:jc w:val="right"/>
              <w:rPr>
                <w:rFonts w:ascii="宋体" w:hAnsi="宋体" w:cs="Arial"/>
              </w:rPr>
            </w:pPr>
            <w:r>
              <w:rPr>
                <w:rFonts w:ascii="宋体" w:hAnsi="宋体" w:cs="宋体"/>
              </w:rPr>
              <w:t xml:space="preserve">888 </w:t>
            </w:r>
          </w:p>
        </w:tc>
        <w:tc>
          <w:tcPr>
            <w:tcW w:w="1276" w:type="dxa"/>
          </w:tcPr>
          <w:p>
            <w:pPr>
              <w:jc w:val="right"/>
              <w:rPr>
                <w:rFonts w:ascii="宋体" w:hAnsi="宋体" w:cs="Arial"/>
              </w:rPr>
            </w:pPr>
            <w:r>
              <w:rPr>
                <w:rFonts w:ascii="宋体" w:hAnsi="宋体" w:cs="宋体"/>
              </w:rPr>
              <w:t xml:space="preserve">4,369 </w:t>
            </w:r>
          </w:p>
        </w:tc>
        <w:tc>
          <w:tcPr>
            <w:tcW w:w="1417" w:type="dxa"/>
            <w:vAlign w:val="center"/>
          </w:tcPr>
          <w:p>
            <w:pPr>
              <w:jc w:val="right"/>
              <w:rPr>
                <w:rFonts w:ascii="宋体" w:hAnsi="宋体" w:cs="Arial"/>
              </w:rPr>
            </w:pPr>
            <w:r>
              <w:rPr>
                <w:rFonts w:ascii="宋体" w:hAnsi="宋体"/>
              </w:rPr>
              <w:t>1,226,985</w:t>
            </w:r>
          </w:p>
        </w:tc>
        <w:tc>
          <w:tcPr>
            <w:tcW w:w="1281" w:type="dxa"/>
            <w:vAlign w:val="center"/>
          </w:tcPr>
          <w:p>
            <w:pPr>
              <w:jc w:val="right"/>
              <w:rPr>
                <w:rFonts w:ascii="宋体" w:hAnsi="宋体" w:cs="Arial"/>
              </w:rPr>
            </w:pPr>
            <w:r>
              <w:rPr>
                <w:rFonts w:ascii="宋体" w:hAnsi="宋体"/>
              </w:rPr>
              <w:t>692,387</w:t>
            </w:r>
          </w:p>
        </w:tc>
      </w:tr>
      <w:tr>
        <w:trPr>
          <w:jc w:val="center"/>
        </w:trPr>
        <w:tc>
          <w:tcPr>
            <w:tcW w:w="2122" w:type="dxa"/>
            <w:vAlign w:val="center"/>
          </w:tcPr>
          <w:p>
            <w:pPr>
              <w:rPr>
                <w:rFonts w:cs="Arial"/>
                <w:color w:val="000000"/>
                <w:lang w:val="en-GB"/>
              </w:rPr>
            </w:pPr>
            <w:r>
              <w:rPr>
                <w:rFonts w:cs="Arial" w:hint="eastAsia"/>
                <w:color w:val="000000"/>
                <w:lang w:val="en-GB"/>
              </w:rPr>
              <w:t>短期借款</w:t>
            </w:r>
          </w:p>
        </w:tc>
        <w:tc>
          <w:tcPr>
            <w:tcW w:w="1559" w:type="dxa"/>
            <w:vAlign w:val="center"/>
          </w:tcPr>
          <w:p>
            <w:pPr>
              <w:spacing w:line="276" w:lineRule="auto"/>
              <w:jc w:val="right"/>
              <w:rPr>
                <w:rFonts w:ascii="宋体" w:hAnsi="宋体" w:cs="Arial"/>
              </w:rPr>
            </w:pPr>
            <w:r>
              <w:rPr>
                <w:rFonts w:ascii="宋体" w:hAnsi="宋体"/>
              </w:rPr>
              <w:t>4,681,134</w:t>
            </w:r>
          </w:p>
        </w:tc>
        <w:tc>
          <w:tcPr>
            <w:tcW w:w="1559" w:type="dxa"/>
            <w:vAlign w:val="center"/>
          </w:tcPr>
          <w:p>
            <w:pPr>
              <w:spacing w:line="276" w:lineRule="auto"/>
              <w:jc w:val="right"/>
              <w:rPr>
                <w:rFonts w:ascii="宋体" w:hAnsi="宋体" w:cs="Arial"/>
              </w:rPr>
            </w:pPr>
            <w:r>
              <w:rPr>
                <w:rFonts w:ascii="宋体" w:hAnsi="宋体"/>
              </w:rPr>
              <w:t>1,199,623</w:t>
            </w:r>
          </w:p>
        </w:tc>
        <w:tc>
          <w:tcPr>
            <w:tcW w:w="1276" w:type="dxa"/>
          </w:tcPr>
          <w:p>
            <w:pPr>
              <w:spacing w:line="276" w:lineRule="auto"/>
              <w:jc w:val="right"/>
              <w:rPr>
                <w:rFonts w:ascii="宋体" w:hAnsi="宋体" w:cs="Arial"/>
              </w:rPr>
            </w:pP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p>
        </w:tc>
        <w:tc>
          <w:tcPr>
            <w:tcW w:w="1281" w:type="dxa"/>
            <w:vAlign w:val="center"/>
          </w:tcPr>
          <w:p>
            <w:pPr>
              <w:spacing w:line="276" w:lineRule="auto"/>
              <w:jc w:val="right"/>
              <w:rPr>
                <w:rFonts w:ascii="宋体" w:hAnsi="宋体" w:cs="Arial"/>
              </w:rPr>
            </w:pPr>
          </w:p>
        </w:tc>
      </w:tr>
      <w:tr>
        <w:trPr>
          <w:jc w:val="center"/>
        </w:trPr>
        <w:tc>
          <w:tcPr>
            <w:tcW w:w="2122" w:type="dxa"/>
            <w:vAlign w:val="center"/>
          </w:tcPr>
          <w:p>
            <w:pPr>
              <w:rPr>
                <w:rFonts w:cs="Arial"/>
                <w:color w:val="000000"/>
                <w:lang w:val="en-GB"/>
              </w:rPr>
            </w:pPr>
            <w:r>
              <w:rPr>
                <w:rFonts w:cs="Arial" w:hint="eastAsia"/>
                <w:color w:val="000000"/>
                <w:lang w:val="en-GB"/>
              </w:rPr>
              <w:t>应付票据</w:t>
            </w:r>
          </w:p>
        </w:tc>
        <w:tc>
          <w:tcPr>
            <w:tcW w:w="1559" w:type="dxa"/>
            <w:vAlign w:val="center"/>
          </w:tcPr>
          <w:p>
            <w:pPr>
              <w:spacing w:line="276" w:lineRule="auto"/>
              <w:jc w:val="right"/>
              <w:rPr>
                <w:rFonts w:ascii="宋体" w:hAnsi="宋体" w:cs="Arial"/>
              </w:rPr>
            </w:pPr>
            <w:r>
              <w:rPr>
                <w:rFonts w:ascii="宋体" w:hAnsi="宋体"/>
              </w:rPr>
              <w:t>1,326,665</w:t>
            </w:r>
          </w:p>
        </w:tc>
        <w:tc>
          <w:tcPr>
            <w:tcW w:w="1559" w:type="dxa"/>
            <w:vAlign w:val="center"/>
          </w:tcPr>
          <w:p>
            <w:pPr>
              <w:spacing w:line="276" w:lineRule="auto"/>
              <w:jc w:val="right"/>
              <w:rPr>
                <w:rFonts w:ascii="宋体" w:hAnsi="宋体" w:cs="Arial"/>
              </w:rPr>
            </w:pPr>
            <w:r>
              <w:rPr>
                <w:rFonts w:ascii="宋体" w:hAnsi="宋体"/>
              </w:rPr>
              <w:t>1,238,560</w:t>
            </w:r>
          </w:p>
        </w:tc>
        <w:tc>
          <w:tcPr>
            <w:tcW w:w="1276" w:type="dxa"/>
          </w:tcPr>
          <w:p>
            <w:pPr>
              <w:spacing w:line="276" w:lineRule="auto"/>
              <w:jc w:val="right"/>
              <w:rPr>
                <w:rFonts w:ascii="宋体" w:hAnsi="宋体" w:cs="Arial"/>
              </w:rPr>
            </w:pPr>
          </w:p>
        </w:tc>
        <w:tc>
          <w:tcPr>
            <w:tcW w:w="1276" w:type="dxa"/>
          </w:tcPr>
          <w:p>
            <w:pPr>
              <w:spacing w:line="276" w:lineRule="auto"/>
              <w:jc w:val="right"/>
              <w:rPr>
                <w:rFonts w:ascii="宋体" w:hAnsi="宋体" w:cs="Arial"/>
              </w:rPr>
            </w:pPr>
          </w:p>
        </w:tc>
        <w:tc>
          <w:tcPr>
            <w:tcW w:w="1417" w:type="dxa"/>
            <w:vAlign w:val="center"/>
          </w:tcPr>
          <w:p>
            <w:pPr>
              <w:spacing w:line="276" w:lineRule="auto"/>
              <w:jc w:val="right"/>
              <w:rPr>
                <w:rFonts w:ascii="宋体" w:hAnsi="宋体" w:cs="Arial"/>
              </w:rPr>
            </w:pPr>
            <w:r>
              <w:rPr>
                <w:rFonts w:ascii="宋体" w:hAnsi="宋体"/>
              </w:rPr>
              <w:t>85,000</w:t>
            </w:r>
          </w:p>
        </w:tc>
        <w:tc>
          <w:tcPr>
            <w:tcW w:w="1281" w:type="dxa"/>
            <w:vAlign w:val="center"/>
          </w:tcPr>
          <w:p>
            <w:pPr>
              <w:spacing w:line="276" w:lineRule="auto"/>
              <w:jc w:val="right"/>
              <w:rPr>
                <w:rFonts w:ascii="宋体" w:hAnsi="宋体" w:cs="Arial"/>
              </w:rPr>
            </w:pPr>
            <w:r>
              <w:rPr>
                <w:rFonts w:ascii="宋体" w:hAnsi="宋体"/>
              </w:rPr>
              <w:t>12,767</w:t>
            </w:r>
          </w:p>
        </w:tc>
      </w:tr>
      <w:tr>
        <w:trPr>
          <w:jc w:val="center"/>
        </w:trPr>
        <w:tc>
          <w:tcPr>
            <w:tcW w:w="2122" w:type="dxa"/>
            <w:vAlign w:val="center"/>
          </w:tcPr>
          <w:p>
            <w:pPr>
              <w:rPr>
                <w:rFonts w:cs="Arial"/>
              </w:rPr>
            </w:pPr>
            <w:r>
              <w:rPr>
                <w:rFonts w:cs="Arial" w:hint="eastAsia"/>
              </w:rPr>
              <w:t>应付账款</w:t>
            </w:r>
          </w:p>
        </w:tc>
        <w:tc>
          <w:tcPr>
            <w:tcW w:w="1559" w:type="dxa"/>
            <w:vAlign w:val="center"/>
          </w:tcPr>
          <w:p>
            <w:pPr>
              <w:jc w:val="right"/>
              <w:rPr>
                <w:rFonts w:ascii="宋体" w:hAnsi="宋体" w:cs="Arial"/>
              </w:rPr>
            </w:pPr>
            <w:r>
              <w:rPr>
                <w:rFonts w:ascii="宋体" w:hAnsi="宋体"/>
              </w:rPr>
              <w:t>4,238,611</w:t>
            </w:r>
          </w:p>
        </w:tc>
        <w:tc>
          <w:tcPr>
            <w:tcW w:w="1559" w:type="dxa"/>
            <w:vAlign w:val="center"/>
          </w:tcPr>
          <w:p>
            <w:pPr>
              <w:jc w:val="right"/>
              <w:rPr>
                <w:rFonts w:ascii="宋体" w:hAnsi="宋体" w:cs="Arial"/>
              </w:rPr>
            </w:pPr>
            <w:r>
              <w:rPr>
                <w:rFonts w:ascii="宋体" w:hAnsi="宋体"/>
              </w:rPr>
              <w:t>5,631,707</w:t>
            </w:r>
          </w:p>
        </w:tc>
        <w:tc>
          <w:tcPr>
            <w:tcW w:w="1276" w:type="dxa"/>
          </w:tcPr>
          <w:p>
            <w:pPr>
              <w:spacing w:line="276" w:lineRule="auto"/>
              <w:jc w:val="right"/>
              <w:rPr>
                <w:rFonts w:ascii="宋体" w:hAnsi="宋体" w:cs="Arial"/>
              </w:rPr>
            </w:pPr>
            <w:r>
              <w:rPr>
                <w:rFonts w:ascii="宋体" w:hAnsi="宋体" w:cs="宋体"/>
              </w:rPr>
              <w:t xml:space="preserve">371 </w:t>
            </w:r>
          </w:p>
        </w:tc>
        <w:tc>
          <w:tcPr>
            <w:tcW w:w="1276" w:type="dxa"/>
          </w:tcPr>
          <w:p>
            <w:pPr>
              <w:spacing w:line="276" w:lineRule="auto"/>
              <w:jc w:val="right"/>
              <w:rPr>
                <w:rFonts w:ascii="宋体" w:hAnsi="宋体" w:cs="Arial"/>
              </w:rPr>
            </w:pPr>
            <w:r>
              <w:rPr>
                <w:rFonts w:ascii="宋体" w:hAnsi="宋体" w:cs="宋体"/>
              </w:rPr>
              <w:t xml:space="preserve">3,285 </w:t>
            </w:r>
          </w:p>
        </w:tc>
        <w:tc>
          <w:tcPr>
            <w:tcW w:w="1417" w:type="dxa"/>
            <w:vAlign w:val="center"/>
          </w:tcPr>
          <w:p>
            <w:pPr>
              <w:spacing w:line="276" w:lineRule="auto"/>
              <w:jc w:val="right"/>
              <w:rPr>
                <w:rFonts w:ascii="宋体" w:hAnsi="宋体" w:cs="Arial"/>
              </w:rPr>
            </w:pPr>
            <w:r>
              <w:rPr>
                <w:rFonts w:ascii="宋体" w:hAnsi="宋体"/>
              </w:rPr>
              <w:t>428,812</w:t>
            </w:r>
          </w:p>
        </w:tc>
        <w:tc>
          <w:tcPr>
            <w:tcW w:w="1281" w:type="dxa"/>
            <w:vAlign w:val="center"/>
          </w:tcPr>
          <w:p>
            <w:pPr>
              <w:spacing w:line="276" w:lineRule="auto"/>
              <w:jc w:val="right"/>
              <w:rPr>
                <w:rFonts w:ascii="宋体" w:hAnsi="宋体" w:cs="Arial"/>
              </w:rPr>
            </w:pPr>
            <w:r>
              <w:rPr>
                <w:rFonts w:ascii="宋体" w:hAnsi="宋体"/>
              </w:rPr>
              <w:t>634,426</w:t>
            </w:r>
          </w:p>
        </w:tc>
      </w:tr>
      <w:tr>
        <w:trPr>
          <w:jc w:val="center"/>
        </w:trPr>
        <w:tc>
          <w:tcPr>
            <w:tcW w:w="2122" w:type="dxa"/>
          </w:tcPr>
          <w:p>
            <w:pPr>
              <w:rPr>
                <w:rFonts w:cs="Arial"/>
              </w:rPr>
            </w:pPr>
            <w:r>
              <w:rPr>
                <w:rFonts w:hint="eastAsia"/>
              </w:rPr>
              <w:t>预收款项</w:t>
            </w:r>
          </w:p>
        </w:tc>
        <w:tc>
          <w:tcPr>
            <w:tcW w:w="1559" w:type="dxa"/>
            <w:vAlign w:val="center"/>
          </w:tcPr>
          <w:p>
            <w:pPr>
              <w:jc w:val="right"/>
              <w:rPr>
                <w:rFonts w:ascii="宋体" w:hAnsi="宋体" w:cs="Arial"/>
              </w:rPr>
            </w:pPr>
            <w:r>
              <w:rPr>
                <w:rFonts w:ascii="宋体" w:hAnsi="宋体"/>
              </w:rPr>
              <w:t>1,463</w:t>
            </w:r>
          </w:p>
        </w:tc>
        <w:tc>
          <w:tcPr>
            <w:tcW w:w="1559" w:type="dxa"/>
            <w:vAlign w:val="center"/>
          </w:tcPr>
          <w:p>
            <w:pPr>
              <w:jc w:val="right"/>
              <w:rPr>
                <w:rFonts w:ascii="宋体" w:hAnsi="宋体" w:cs="Arial"/>
              </w:rPr>
            </w:pPr>
            <w:r>
              <w:rPr>
                <w:rFonts w:ascii="宋体" w:hAnsi="宋体"/>
              </w:rPr>
              <w:t>1,534</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color w:val="000000"/>
              </w:rPr>
            </w:pPr>
            <w:r>
              <w:rPr>
                <w:rFonts w:hint="eastAsia"/>
              </w:rPr>
              <w:t>合同负债</w:t>
            </w:r>
          </w:p>
        </w:tc>
        <w:tc>
          <w:tcPr>
            <w:tcW w:w="1559" w:type="dxa"/>
            <w:vAlign w:val="center"/>
          </w:tcPr>
          <w:p>
            <w:pPr>
              <w:jc w:val="right"/>
              <w:rPr>
                <w:rFonts w:ascii="宋体" w:hAnsi="宋体" w:cs="Arial"/>
              </w:rPr>
            </w:pPr>
            <w:r>
              <w:rPr>
                <w:rFonts w:ascii="宋体" w:hAnsi="宋体"/>
              </w:rPr>
              <w:t>365,122</w:t>
            </w:r>
          </w:p>
        </w:tc>
        <w:tc>
          <w:tcPr>
            <w:tcW w:w="1559" w:type="dxa"/>
            <w:vAlign w:val="center"/>
          </w:tcPr>
          <w:p>
            <w:pPr>
              <w:jc w:val="right"/>
              <w:rPr>
                <w:rFonts w:ascii="宋体" w:hAnsi="宋体" w:cs="Arial"/>
              </w:rPr>
            </w:pPr>
            <w:r>
              <w:rPr>
                <w:rFonts w:ascii="宋体" w:hAnsi="宋体"/>
              </w:rPr>
              <w:t>398,309</w:t>
            </w:r>
          </w:p>
        </w:tc>
        <w:tc>
          <w:tcPr>
            <w:tcW w:w="1276" w:type="dxa"/>
          </w:tcPr>
          <w:p>
            <w:pPr>
              <w:jc w:val="right"/>
              <w:rPr>
                <w:rFonts w:ascii="宋体" w:hAnsi="宋体" w:cs="Arial"/>
              </w:rPr>
            </w:pPr>
            <w:r>
              <w:rPr>
                <w:rFonts w:ascii="宋体" w:hAnsi="宋体" w:cs="宋体"/>
              </w:rPr>
              <w:t>309</w:t>
            </w:r>
          </w:p>
        </w:tc>
        <w:tc>
          <w:tcPr>
            <w:tcW w:w="1276" w:type="dxa"/>
          </w:tcPr>
          <w:p>
            <w:pPr>
              <w:jc w:val="right"/>
              <w:rPr>
                <w:rFonts w:ascii="宋体" w:hAnsi="宋体" w:cs="Arial"/>
              </w:rPr>
            </w:pPr>
          </w:p>
        </w:tc>
        <w:tc>
          <w:tcPr>
            <w:tcW w:w="1417" w:type="dxa"/>
            <w:vAlign w:val="center"/>
          </w:tcPr>
          <w:p>
            <w:pPr>
              <w:jc w:val="right"/>
              <w:rPr>
                <w:rFonts w:ascii="宋体" w:hAnsi="宋体" w:cs="Arial"/>
              </w:rPr>
            </w:pPr>
            <w:r>
              <w:rPr>
                <w:rFonts w:ascii="宋体" w:hAnsi="宋体"/>
              </w:rPr>
              <w:t>1</w:t>
            </w:r>
          </w:p>
        </w:tc>
        <w:tc>
          <w:tcPr>
            <w:tcW w:w="1281" w:type="dxa"/>
            <w:vAlign w:val="center"/>
          </w:tcPr>
          <w:p>
            <w:pPr>
              <w:jc w:val="right"/>
              <w:rPr>
                <w:rFonts w:ascii="宋体" w:hAnsi="宋体" w:cs="Arial"/>
              </w:rPr>
            </w:pPr>
            <w:r>
              <w:rPr>
                <w:rFonts w:ascii="宋体" w:hAnsi="宋体"/>
              </w:rPr>
              <w:t>1,099</w:t>
            </w:r>
          </w:p>
        </w:tc>
      </w:tr>
      <w:tr>
        <w:trPr>
          <w:jc w:val="center"/>
        </w:trPr>
        <w:tc>
          <w:tcPr>
            <w:tcW w:w="2122" w:type="dxa"/>
          </w:tcPr>
          <w:p>
            <w:pPr>
              <w:rPr>
                <w:rFonts w:cs="Arial"/>
              </w:rPr>
            </w:pPr>
            <w:r>
              <w:rPr>
                <w:rFonts w:hint="eastAsia"/>
              </w:rPr>
              <w:t>应付职工薪酬</w:t>
            </w:r>
          </w:p>
        </w:tc>
        <w:tc>
          <w:tcPr>
            <w:tcW w:w="1559" w:type="dxa"/>
            <w:vAlign w:val="center"/>
          </w:tcPr>
          <w:p>
            <w:pPr>
              <w:jc w:val="right"/>
              <w:rPr>
                <w:rFonts w:ascii="宋体" w:hAnsi="宋体" w:cs="Arial"/>
              </w:rPr>
            </w:pPr>
            <w:r>
              <w:rPr>
                <w:rFonts w:ascii="宋体" w:hAnsi="宋体"/>
              </w:rPr>
              <w:t>554,185</w:t>
            </w:r>
          </w:p>
        </w:tc>
        <w:tc>
          <w:tcPr>
            <w:tcW w:w="1559" w:type="dxa"/>
            <w:vAlign w:val="center"/>
          </w:tcPr>
          <w:p>
            <w:pPr>
              <w:jc w:val="right"/>
              <w:rPr>
                <w:rFonts w:ascii="宋体" w:hAnsi="宋体" w:cs="Arial"/>
              </w:rPr>
            </w:pPr>
            <w:r>
              <w:rPr>
                <w:rFonts w:ascii="宋体" w:hAnsi="宋体"/>
              </w:rPr>
              <w:t>831,189</w:t>
            </w:r>
          </w:p>
        </w:tc>
        <w:tc>
          <w:tcPr>
            <w:tcW w:w="1276" w:type="dxa"/>
          </w:tcPr>
          <w:p>
            <w:pPr>
              <w:jc w:val="right"/>
              <w:rPr>
                <w:rFonts w:ascii="宋体" w:hAnsi="宋体" w:cs="Arial"/>
              </w:rPr>
            </w:pPr>
            <w:r>
              <w:rPr>
                <w:rFonts w:ascii="宋体" w:hAnsi="宋体" w:cs="宋体"/>
              </w:rPr>
              <w:t xml:space="preserve">168 </w:t>
            </w:r>
          </w:p>
        </w:tc>
        <w:tc>
          <w:tcPr>
            <w:tcW w:w="1276" w:type="dxa"/>
          </w:tcPr>
          <w:p>
            <w:pPr>
              <w:jc w:val="right"/>
              <w:rPr>
                <w:rFonts w:ascii="宋体" w:hAnsi="宋体" w:cs="Arial"/>
              </w:rPr>
            </w:pPr>
            <w:r>
              <w:rPr>
                <w:rFonts w:ascii="宋体" w:hAnsi="宋体" w:cs="宋体"/>
              </w:rPr>
              <w:t xml:space="preserve">123 </w:t>
            </w:r>
          </w:p>
        </w:tc>
        <w:tc>
          <w:tcPr>
            <w:tcW w:w="1417" w:type="dxa"/>
            <w:vAlign w:val="center"/>
          </w:tcPr>
          <w:p>
            <w:pPr>
              <w:jc w:val="right"/>
              <w:rPr>
                <w:rFonts w:ascii="宋体" w:hAnsi="宋体" w:cs="Arial"/>
              </w:rPr>
            </w:pPr>
            <w:r>
              <w:rPr>
                <w:rFonts w:ascii="宋体" w:hAnsi="宋体"/>
              </w:rPr>
              <w:t>13,363</w:t>
            </w:r>
          </w:p>
        </w:tc>
        <w:tc>
          <w:tcPr>
            <w:tcW w:w="1281" w:type="dxa"/>
            <w:vAlign w:val="center"/>
          </w:tcPr>
          <w:p>
            <w:pPr>
              <w:jc w:val="right"/>
              <w:rPr>
                <w:rFonts w:ascii="宋体" w:hAnsi="宋体" w:cs="Arial"/>
              </w:rPr>
            </w:pPr>
            <w:r>
              <w:rPr>
                <w:rFonts w:ascii="宋体" w:hAnsi="宋体"/>
              </w:rPr>
              <w:t>12,511</w:t>
            </w:r>
          </w:p>
        </w:tc>
      </w:tr>
      <w:tr>
        <w:trPr>
          <w:jc w:val="center"/>
        </w:trPr>
        <w:tc>
          <w:tcPr>
            <w:tcW w:w="2122" w:type="dxa"/>
          </w:tcPr>
          <w:p>
            <w:pPr>
              <w:rPr>
                <w:rFonts w:cs="Arial"/>
              </w:rPr>
            </w:pPr>
            <w:r>
              <w:rPr>
                <w:rFonts w:hint="eastAsia"/>
              </w:rPr>
              <w:t>应交税费</w:t>
            </w:r>
          </w:p>
        </w:tc>
        <w:tc>
          <w:tcPr>
            <w:tcW w:w="1559" w:type="dxa"/>
            <w:vAlign w:val="center"/>
          </w:tcPr>
          <w:p>
            <w:pPr>
              <w:jc w:val="right"/>
              <w:rPr>
                <w:rFonts w:ascii="宋体" w:hAnsi="宋体" w:cs="Arial"/>
              </w:rPr>
            </w:pPr>
            <w:r>
              <w:rPr>
                <w:rFonts w:ascii="宋体" w:hAnsi="宋体"/>
              </w:rPr>
              <w:t>455,278</w:t>
            </w:r>
          </w:p>
        </w:tc>
        <w:tc>
          <w:tcPr>
            <w:tcW w:w="1559" w:type="dxa"/>
            <w:vAlign w:val="center"/>
          </w:tcPr>
          <w:p>
            <w:pPr>
              <w:jc w:val="right"/>
              <w:rPr>
                <w:rFonts w:ascii="宋体" w:hAnsi="宋体" w:cs="Arial"/>
              </w:rPr>
            </w:pPr>
            <w:r>
              <w:rPr>
                <w:rFonts w:ascii="宋体" w:hAnsi="宋体"/>
              </w:rPr>
              <w:t>423,561</w:t>
            </w:r>
          </w:p>
        </w:tc>
        <w:tc>
          <w:tcPr>
            <w:tcW w:w="1276" w:type="dxa"/>
          </w:tcPr>
          <w:p>
            <w:pPr>
              <w:jc w:val="right"/>
              <w:rPr>
                <w:rFonts w:ascii="宋体" w:hAnsi="宋体" w:cs="Arial"/>
              </w:rPr>
            </w:pPr>
          </w:p>
        </w:tc>
        <w:tc>
          <w:tcPr>
            <w:tcW w:w="1276" w:type="dxa"/>
          </w:tcPr>
          <w:p>
            <w:pPr>
              <w:jc w:val="right"/>
              <w:rPr>
                <w:rFonts w:ascii="宋体" w:hAnsi="宋体" w:cs="Arial"/>
              </w:rPr>
            </w:pPr>
            <w:r>
              <w:rPr>
                <w:rFonts w:ascii="宋体" w:hAnsi="宋体" w:cs="宋体"/>
              </w:rPr>
              <w:t>912</w:t>
            </w:r>
          </w:p>
        </w:tc>
        <w:tc>
          <w:tcPr>
            <w:tcW w:w="1417" w:type="dxa"/>
            <w:vAlign w:val="center"/>
          </w:tcPr>
          <w:p>
            <w:pPr>
              <w:jc w:val="right"/>
              <w:rPr>
                <w:rFonts w:ascii="宋体" w:hAnsi="宋体" w:cs="Arial"/>
              </w:rPr>
            </w:pPr>
            <w:r>
              <w:rPr>
                <w:rFonts w:ascii="宋体" w:hAnsi="宋体"/>
              </w:rPr>
              <w:t>2,415</w:t>
            </w:r>
          </w:p>
        </w:tc>
        <w:tc>
          <w:tcPr>
            <w:tcW w:w="1281" w:type="dxa"/>
            <w:vAlign w:val="center"/>
          </w:tcPr>
          <w:p>
            <w:pPr>
              <w:jc w:val="right"/>
              <w:rPr>
                <w:rFonts w:ascii="宋体" w:hAnsi="宋体" w:cs="Arial"/>
              </w:rPr>
            </w:pPr>
            <w:r>
              <w:rPr>
                <w:rFonts w:ascii="宋体" w:hAnsi="宋体"/>
              </w:rPr>
              <w:t>338</w:t>
            </w:r>
          </w:p>
        </w:tc>
      </w:tr>
      <w:tr>
        <w:trPr>
          <w:jc w:val="center"/>
        </w:trPr>
        <w:tc>
          <w:tcPr>
            <w:tcW w:w="2122" w:type="dxa"/>
          </w:tcPr>
          <w:p>
            <w:pPr>
              <w:rPr>
                <w:rFonts w:cs="Arial"/>
              </w:rPr>
            </w:pPr>
            <w:r>
              <w:rPr>
                <w:rFonts w:hint="eastAsia"/>
              </w:rPr>
              <w:t>其他应付款</w:t>
            </w:r>
          </w:p>
        </w:tc>
        <w:tc>
          <w:tcPr>
            <w:tcW w:w="1559" w:type="dxa"/>
            <w:vAlign w:val="center"/>
          </w:tcPr>
          <w:p>
            <w:pPr>
              <w:jc w:val="right"/>
              <w:rPr>
                <w:rFonts w:ascii="宋体" w:hAnsi="宋体" w:cs="Arial"/>
              </w:rPr>
            </w:pPr>
            <w:r>
              <w:rPr>
                <w:rFonts w:ascii="宋体" w:hAnsi="宋体"/>
              </w:rPr>
              <w:t>10,508,397</w:t>
            </w:r>
          </w:p>
        </w:tc>
        <w:tc>
          <w:tcPr>
            <w:tcW w:w="1559" w:type="dxa"/>
            <w:vAlign w:val="center"/>
          </w:tcPr>
          <w:p>
            <w:pPr>
              <w:jc w:val="right"/>
              <w:rPr>
                <w:rFonts w:ascii="宋体" w:hAnsi="宋体" w:cs="Arial"/>
              </w:rPr>
            </w:pPr>
            <w:r>
              <w:rPr>
                <w:rFonts w:ascii="宋体" w:hAnsi="宋体"/>
              </w:rPr>
              <w:t>6,705,446</w:t>
            </w:r>
          </w:p>
        </w:tc>
        <w:tc>
          <w:tcPr>
            <w:tcW w:w="1276" w:type="dxa"/>
          </w:tcPr>
          <w:p>
            <w:pPr>
              <w:jc w:val="right"/>
              <w:rPr>
                <w:rFonts w:ascii="宋体" w:hAnsi="宋体" w:cs="Arial"/>
              </w:rPr>
            </w:pPr>
          </w:p>
        </w:tc>
        <w:tc>
          <w:tcPr>
            <w:tcW w:w="1276" w:type="dxa"/>
          </w:tcPr>
          <w:p>
            <w:pPr>
              <w:jc w:val="right"/>
              <w:rPr>
                <w:rFonts w:ascii="宋体" w:hAnsi="宋体" w:cs="Arial"/>
              </w:rPr>
            </w:pPr>
            <w:r>
              <w:rPr>
                <w:rFonts w:ascii="宋体" w:hAnsi="宋体" w:cs="宋体"/>
              </w:rPr>
              <w:t>49</w:t>
            </w:r>
          </w:p>
        </w:tc>
        <w:tc>
          <w:tcPr>
            <w:tcW w:w="1417" w:type="dxa"/>
            <w:vAlign w:val="center"/>
          </w:tcPr>
          <w:p>
            <w:pPr>
              <w:jc w:val="right"/>
              <w:rPr>
                <w:rFonts w:ascii="宋体" w:hAnsi="宋体" w:cs="Arial"/>
              </w:rPr>
            </w:pPr>
            <w:r>
              <w:rPr>
                <w:rFonts w:ascii="宋体" w:hAnsi="宋体"/>
              </w:rPr>
              <w:t>556,338</w:t>
            </w:r>
          </w:p>
        </w:tc>
        <w:tc>
          <w:tcPr>
            <w:tcW w:w="1281" w:type="dxa"/>
            <w:vAlign w:val="center"/>
          </w:tcPr>
          <w:p>
            <w:pPr>
              <w:jc w:val="right"/>
              <w:rPr>
                <w:rFonts w:ascii="宋体" w:hAnsi="宋体" w:cs="Arial"/>
              </w:rPr>
            </w:pPr>
            <w:r>
              <w:rPr>
                <w:rFonts w:ascii="宋体" w:hAnsi="宋体"/>
              </w:rPr>
              <w:t>31,103</w:t>
            </w:r>
          </w:p>
        </w:tc>
      </w:tr>
      <w:tr>
        <w:trPr>
          <w:jc w:val="center"/>
        </w:trPr>
        <w:tc>
          <w:tcPr>
            <w:tcW w:w="2122" w:type="dxa"/>
          </w:tcPr>
          <w:p>
            <w:pPr>
              <w:rPr>
                <w:rFonts w:cs="Arial"/>
              </w:rPr>
            </w:pPr>
            <w:r>
              <w:rPr>
                <w:rFonts w:hint="eastAsia"/>
              </w:rPr>
              <w:t>一年内到期的非流动负债</w:t>
            </w:r>
          </w:p>
        </w:tc>
        <w:tc>
          <w:tcPr>
            <w:tcW w:w="1559" w:type="dxa"/>
            <w:vAlign w:val="center"/>
          </w:tcPr>
          <w:p>
            <w:pPr>
              <w:jc w:val="right"/>
              <w:rPr>
                <w:rFonts w:ascii="宋体" w:hAnsi="宋体" w:cs="Arial"/>
              </w:rPr>
            </w:pPr>
            <w:r>
              <w:rPr>
                <w:rFonts w:ascii="宋体" w:hAnsi="宋体"/>
              </w:rPr>
              <w:t>1,578,276</w:t>
            </w:r>
          </w:p>
        </w:tc>
        <w:tc>
          <w:tcPr>
            <w:tcW w:w="1559" w:type="dxa"/>
            <w:vAlign w:val="center"/>
          </w:tcPr>
          <w:p>
            <w:pPr>
              <w:jc w:val="right"/>
              <w:rPr>
                <w:rFonts w:ascii="宋体" w:hAnsi="宋体" w:cs="Arial"/>
              </w:rPr>
            </w:pPr>
            <w:r>
              <w:rPr>
                <w:rFonts w:ascii="宋体" w:hAnsi="宋体"/>
              </w:rPr>
              <w:t>1,754,531</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其他流动负债</w:t>
            </w:r>
          </w:p>
        </w:tc>
        <w:tc>
          <w:tcPr>
            <w:tcW w:w="1559" w:type="dxa"/>
            <w:vAlign w:val="center"/>
          </w:tcPr>
          <w:p>
            <w:pPr>
              <w:jc w:val="right"/>
              <w:rPr>
                <w:rFonts w:ascii="宋体" w:hAnsi="宋体" w:cs="Arial"/>
              </w:rPr>
            </w:pPr>
            <w:r>
              <w:rPr>
                <w:rFonts w:ascii="宋体" w:hAnsi="宋体"/>
              </w:rPr>
              <w:t>315,871</w:t>
            </w:r>
          </w:p>
        </w:tc>
        <w:tc>
          <w:tcPr>
            <w:tcW w:w="1559" w:type="dxa"/>
            <w:vAlign w:val="center"/>
          </w:tcPr>
          <w:p>
            <w:pPr>
              <w:jc w:val="right"/>
              <w:rPr>
                <w:rFonts w:ascii="宋体" w:hAnsi="宋体" w:cs="Arial"/>
              </w:rPr>
            </w:pPr>
            <w:r>
              <w:rPr>
                <w:rFonts w:ascii="宋体" w:hAnsi="宋体"/>
              </w:rPr>
              <w:t>199,817</w:t>
            </w:r>
          </w:p>
        </w:tc>
        <w:tc>
          <w:tcPr>
            <w:tcW w:w="1276" w:type="dxa"/>
          </w:tcPr>
          <w:p>
            <w:pPr>
              <w:jc w:val="right"/>
              <w:rPr>
                <w:rFonts w:ascii="宋体" w:hAnsi="宋体" w:cs="Arial"/>
              </w:rPr>
            </w:pPr>
            <w:r>
              <w:rPr>
                <w:rFonts w:ascii="宋体" w:hAnsi="宋体" w:cs="宋体"/>
              </w:rPr>
              <w:t>40</w:t>
            </w: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r>
              <w:rPr>
                <w:rFonts w:ascii="宋体" w:hAnsi="宋体"/>
              </w:rPr>
              <w:t>143</w:t>
            </w:r>
          </w:p>
        </w:tc>
      </w:tr>
      <w:tr>
        <w:trPr>
          <w:jc w:val="center"/>
        </w:trPr>
        <w:tc>
          <w:tcPr>
            <w:tcW w:w="2122" w:type="dxa"/>
          </w:tcPr>
          <w:p>
            <w:pPr>
              <w:rPr>
                <w:rFonts w:cs="Arial"/>
              </w:rPr>
            </w:pPr>
            <w:r>
              <w:rPr>
                <w:rFonts w:hint="eastAsia"/>
              </w:rPr>
              <w:t>长期借款</w:t>
            </w:r>
          </w:p>
        </w:tc>
        <w:tc>
          <w:tcPr>
            <w:tcW w:w="1559" w:type="dxa"/>
            <w:vAlign w:val="center"/>
          </w:tcPr>
          <w:p>
            <w:pPr>
              <w:jc w:val="right"/>
              <w:rPr>
                <w:rFonts w:ascii="宋体" w:hAnsi="宋体" w:cs="Arial"/>
              </w:rPr>
            </w:pPr>
            <w:r>
              <w:rPr>
                <w:rFonts w:ascii="宋体" w:hAnsi="宋体"/>
              </w:rPr>
              <w:t>8,636,673</w:t>
            </w:r>
          </w:p>
        </w:tc>
        <w:tc>
          <w:tcPr>
            <w:tcW w:w="1559" w:type="dxa"/>
            <w:vAlign w:val="center"/>
          </w:tcPr>
          <w:p>
            <w:pPr>
              <w:jc w:val="right"/>
              <w:rPr>
                <w:rFonts w:ascii="宋体" w:hAnsi="宋体" w:cs="Arial"/>
              </w:rPr>
            </w:pPr>
            <w:r>
              <w:rPr>
                <w:rFonts w:ascii="宋体" w:hAnsi="宋体"/>
              </w:rPr>
              <w:t>7,959,540</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租赁负债</w:t>
            </w:r>
          </w:p>
        </w:tc>
        <w:tc>
          <w:tcPr>
            <w:tcW w:w="1559" w:type="dxa"/>
            <w:vAlign w:val="center"/>
          </w:tcPr>
          <w:p>
            <w:pPr>
              <w:jc w:val="right"/>
              <w:rPr>
                <w:rFonts w:ascii="宋体" w:hAnsi="宋体" w:cs="Arial"/>
              </w:rPr>
            </w:pPr>
            <w:r>
              <w:rPr>
                <w:rFonts w:ascii="宋体" w:hAnsi="宋体"/>
              </w:rPr>
              <w:t>2,323</w:t>
            </w:r>
          </w:p>
        </w:tc>
        <w:tc>
          <w:tcPr>
            <w:tcW w:w="1559" w:type="dxa"/>
            <w:vAlign w:val="center"/>
          </w:tcPr>
          <w:p>
            <w:pPr>
              <w:jc w:val="right"/>
              <w:rPr>
                <w:rFonts w:ascii="宋体" w:hAnsi="宋体" w:cs="Arial"/>
              </w:rPr>
            </w:pPr>
            <w:r>
              <w:rPr>
                <w:rFonts w:ascii="宋体" w:hAnsi="宋体"/>
              </w:rPr>
              <w:t>43,580</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长期应付款</w:t>
            </w:r>
          </w:p>
        </w:tc>
        <w:tc>
          <w:tcPr>
            <w:tcW w:w="1559" w:type="dxa"/>
            <w:vAlign w:val="center"/>
          </w:tcPr>
          <w:p>
            <w:pPr>
              <w:jc w:val="right"/>
              <w:rPr>
                <w:rFonts w:ascii="宋体" w:hAnsi="宋体" w:cs="Arial"/>
              </w:rPr>
            </w:pPr>
            <w:r>
              <w:rPr>
                <w:rFonts w:ascii="宋体" w:hAnsi="宋体"/>
              </w:rPr>
              <w:t>2,604,401</w:t>
            </w:r>
          </w:p>
        </w:tc>
        <w:tc>
          <w:tcPr>
            <w:tcW w:w="1559" w:type="dxa"/>
            <w:vAlign w:val="center"/>
          </w:tcPr>
          <w:p>
            <w:pPr>
              <w:jc w:val="right"/>
              <w:rPr>
                <w:rFonts w:ascii="宋体" w:hAnsi="宋体" w:cs="Arial"/>
              </w:rPr>
            </w:pPr>
            <w:r>
              <w:rPr>
                <w:rFonts w:ascii="宋体" w:hAnsi="宋体"/>
              </w:rPr>
              <w:t>2,801,272</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r>
              <w:rPr>
                <w:rFonts w:ascii="宋体" w:hAnsi="宋体"/>
              </w:rPr>
              <w:t>141,056</w:t>
            </w: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长期应付职工薪酬</w:t>
            </w:r>
          </w:p>
        </w:tc>
        <w:tc>
          <w:tcPr>
            <w:tcW w:w="1559" w:type="dxa"/>
            <w:vAlign w:val="center"/>
          </w:tcPr>
          <w:p>
            <w:pPr>
              <w:jc w:val="right"/>
              <w:rPr>
                <w:rFonts w:ascii="宋体" w:hAnsi="宋体" w:cs="Arial"/>
              </w:rPr>
            </w:pPr>
            <w:r>
              <w:rPr>
                <w:rFonts w:ascii="宋体" w:hAnsi="宋体"/>
              </w:rPr>
              <w:t>6,743,022</w:t>
            </w:r>
          </w:p>
        </w:tc>
        <w:tc>
          <w:tcPr>
            <w:tcW w:w="1559" w:type="dxa"/>
            <w:vAlign w:val="center"/>
          </w:tcPr>
          <w:p>
            <w:pPr>
              <w:jc w:val="right"/>
              <w:rPr>
                <w:rFonts w:ascii="宋体" w:hAnsi="宋体" w:cs="Arial"/>
              </w:rPr>
            </w:pPr>
            <w:r>
              <w:rPr>
                <w:rFonts w:ascii="宋体" w:hAnsi="宋体"/>
              </w:rPr>
              <w:t>6,955,850</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预计负债</w:t>
            </w:r>
          </w:p>
        </w:tc>
        <w:tc>
          <w:tcPr>
            <w:tcW w:w="1559" w:type="dxa"/>
            <w:vAlign w:val="center"/>
          </w:tcPr>
          <w:p>
            <w:pPr>
              <w:jc w:val="right"/>
              <w:rPr>
                <w:rFonts w:ascii="宋体" w:hAnsi="宋体" w:cs="Arial"/>
              </w:rPr>
            </w:pPr>
            <w:r>
              <w:rPr>
                <w:rFonts w:ascii="宋体" w:hAnsi="宋体"/>
              </w:rPr>
              <w:t>15,334</w:t>
            </w:r>
          </w:p>
        </w:tc>
        <w:tc>
          <w:tcPr>
            <w:tcW w:w="1559" w:type="dxa"/>
            <w:vAlign w:val="center"/>
          </w:tcPr>
          <w:p>
            <w:pPr>
              <w:jc w:val="right"/>
              <w:rPr>
                <w:rFonts w:ascii="宋体" w:hAnsi="宋体" w:cs="Arial"/>
              </w:rPr>
            </w:pPr>
            <w:r>
              <w:rPr>
                <w:rFonts w:ascii="宋体" w:hAnsi="宋体"/>
              </w:rPr>
              <w:t>15,334</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递延收益</w:t>
            </w:r>
          </w:p>
        </w:tc>
        <w:tc>
          <w:tcPr>
            <w:tcW w:w="1559" w:type="dxa"/>
            <w:vAlign w:val="center"/>
          </w:tcPr>
          <w:p>
            <w:pPr>
              <w:jc w:val="right"/>
              <w:rPr>
                <w:rFonts w:ascii="宋体" w:hAnsi="宋体" w:cs="Arial"/>
              </w:rPr>
            </w:pPr>
            <w:r>
              <w:rPr>
                <w:rFonts w:ascii="宋体" w:hAnsi="宋体"/>
              </w:rPr>
              <w:t>25,536</w:t>
            </w:r>
          </w:p>
        </w:tc>
        <w:tc>
          <w:tcPr>
            <w:tcW w:w="1559" w:type="dxa"/>
            <w:vAlign w:val="center"/>
          </w:tcPr>
          <w:p>
            <w:pPr>
              <w:jc w:val="right"/>
              <w:rPr>
                <w:rFonts w:ascii="宋体" w:hAnsi="宋体" w:cs="Arial"/>
              </w:rPr>
            </w:pPr>
            <w:r>
              <w:rPr>
                <w:rFonts w:ascii="宋体" w:hAnsi="宋体"/>
              </w:rPr>
              <w:t>28,900</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递延所得税负债</w:t>
            </w:r>
          </w:p>
        </w:tc>
        <w:tc>
          <w:tcPr>
            <w:tcW w:w="1559" w:type="dxa"/>
            <w:vAlign w:val="center"/>
          </w:tcPr>
          <w:p>
            <w:pPr>
              <w:jc w:val="right"/>
              <w:rPr>
                <w:rFonts w:ascii="宋体" w:hAnsi="宋体" w:cs="Arial"/>
              </w:rPr>
            </w:pPr>
            <w:r>
              <w:rPr>
                <w:rFonts w:ascii="宋体" w:hAnsi="宋体"/>
              </w:rPr>
              <w:t>1,390,143</w:t>
            </w:r>
          </w:p>
        </w:tc>
        <w:tc>
          <w:tcPr>
            <w:tcW w:w="1559" w:type="dxa"/>
            <w:vAlign w:val="center"/>
          </w:tcPr>
          <w:p>
            <w:pPr>
              <w:jc w:val="right"/>
              <w:rPr>
                <w:rFonts w:ascii="宋体" w:hAnsi="宋体" w:cs="Arial"/>
              </w:rPr>
            </w:pPr>
            <w:r>
              <w:rPr>
                <w:rFonts w:ascii="宋体" w:hAnsi="宋体"/>
              </w:rPr>
              <w:t>1,407,379</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其他非流动负债</w:t>
            </w:r>
          </w:p>
        </w:tc>
        <w:tc>
          <w:tcPr>
            <w:tcW w:w="1559" w:type="dxa"/>
            <w:vAlign w:val="center"/>
          </w:tcPr>
          <w:p>
            <w:pPr>
              <w:jc w:val="right"/>
              <w:rPr>
                <w:rFonts w:ascii="宋体" w:hAnsi="宋体" w:cs="Arial"/>
              </w:rPr>
            </w:pPr>
            <w:r>
              <w:rPr>
                <w:rFonts w:ascii="宋体" w:hAnsi="宋体"/>
              </w:rPr>
              <w:t>413</w:t>
            </w:r>
          </w:p>
        </w:tc>
        <w:tc>
          <w:tcPr>
            <w:tcW w:w="1559" w:type="dxa"/>
            <w:vAlign w:val="center"/>
          </w:tcPr>
          <w:p>
            <w:pPr>
              <w:jc w:val="right"/>
              <w:rPr>
                <w:rFonts w:ascii="宋体" w:hAnsi="宋体" w:cs="Arial"/>
              </w:rPr>
            </w:pPr>
            <w:r>
              <w:rPr>
                <w:rFonts w:ascii="宋体" w:hAnsi="宋体"/>
              </w:rPr>
              <w:t>413</w:t>
            </w:r>
          </w:p>
        </w:tc>
        <w:tc>
          <w:tcPr>
            <w:tcW w:w="1276" w:type="dxa"/>
          </w:tcPr>
          <w:p>
            <w:pPr>
              <w:jc w:val="right"/>
              <w:rPr>
                <w:rFonts w:ascii="宋体" w:hAnsi="宋体" w:cs="Arial"/>
              </w:rPr>
            </w:pPr>
          </w:p>
        </w:tc>
        <w:tc>
          <w:tcPr>
            <w:tcW w:w="1276" w:type="dxa"/>
          </w:tcPr>
          <w:p>
            <w:pPr>
              <w:jc w:val="right"/>
              <w:rPr>
                <w:rFonts w:ascii="宋体" w:hAnsi="宋体" w:cs="Arial"/>
              </w:rPr>
            </w:pP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净资产</w:t>
            </w:r>
          </w:p>
        </w:tc>
        <w:tc>
          <w:tcPr>
            <w:tcW w:w="1559" w:type="dxa"/>
            <w:vAlign w:val="center"/>
          </w:tcPr>
          <w:p>
            <w:pPr>
              <w:jc w:val="right"/>
              <w:rPr>
                <w:rFonts w:ascii="宋体" w:hAnsi="宋体" w:cs="Arial"/>
              </w:rPr>
            </w:pPr>
            <w:r>
              <w:rPr>
                <w:rFonts w:ascii="宋体" w:hAnsi="宋体"/>
              </w:rPr>
              <w:t>9,341,112</w:t>
            </w:r>
          </w:p>
        </w:tc>
        <w:tc>
          <w:tcPr>
            <w:tcW w:w="1559" w:type="dxa"/>
            <w:vAlign w:val="center"/>
          </w:tcPr>
          <w:p>
            <w:pPr>
              <w:jc w:val="right"/>
              <w:rPr>
                <w:rFonts w:ascii="宋体" w:hAnsi="宋体" w:cs="Arial"/>
              </w:rPr>
            </w:pPr>
            <w:r>
              <w:rPr>
                <w:rFonts w:ascii="宋体" w:hAnsi="宋体"/>
              </w:rPr>
              <w:t>16,189,461</w:t>
            </w:r>
          </w:p>
        </w:tc>
        <w:tc>
          <w:tcPr>
            <w:tcW w:w="1276" w:type="dxa"/>
          </w:tcPr>
          <w:p>
            <w:pPr>
              <w:jc w:val="right"/>
              <w:rPr>
                <w:rFonts w:ascii="宋体" w:hAnsi="宋体" w:cs="Arial"/>
              </w:rPr>
            </w:pPr>
            <w:r>
              <w:rPr>
                <w:rFonts w:ascii="宋体" w:hAnsi="宋体" w:cs="宋体"/>
              </w:rPr>
              <w:t xml:space="preserve">409,780 </w:t>
            </w:r>
          </w:p>
        </w:tc>
        <w:tc>
          <w:tcPr>
            <w:tcW w:w="1276" w:type="dxa"/>
          </w:tcPr>
          <w:p>
            <w:pPr>
              <w:jc w:val="right"/>
              <w:rPr>
                <w:rFonts w:ascii="宋体" w:hAnsi="宋体" w:cs="Arial"/>
              </w:rPr>
            </w:pPr>
            <w:r>
              <w:rPr>
                <w:rFonts w:ascii="宋体" w:hAnsi="宋体" w:cs="宋体"/>
              </w:rPr>
              <w:t xml:space="preserve">145,391 </w:t>
            </w:r>
          </w:p>
        </w:tc>
        <w:tc>
          <w:tcPr>
            <w:tcW w:w="1417" w:type="dxa"/>
            <w:vAlign w:val="center"/>
          </w:tcPr>
          <w:p>
            <w:pPr>
              <w:jc w:val="right"/>
              <w:rPr>
                <w:rFonts w:ascii="宋体" w:hAnsi="宋体" w:cs="Arial"/>
              </w:rPr>
            </w:pPr>
            <w:r>
              <w:rPr>
                <w:rFonts w:ascii="宋体" w:hAnsi="宋体"/>
              </w:rPr>
              <w:t>313,734</w:t>
            </w:r>
          </w:p>
        </w:tc>
        <w:tc>
          <w:tcPr>
            <w:tcW w:w="1281" w:type="dxa"/>
            <w:vAlign w:val="center"/>
          </w:tcPr>
          <w:p>
            <w:pPr>
              <w:jc w:val="right"/>
              <w:rPr>
                <w:rFonts w:ascii="宋体" w:hAnsi="宋体" w:cs="Arial"/>
              </w:rPr>
            </w:pPr>
            <w:r>
              <w:rPr>
                <w:rFonts w:ascii="宋体" w:hAnsi="宋体"/>
              </w:rPr>
              <w:t>312,083</w:t>
            </w:r>
          </w:p>
        </w:tc>
      </w:tr>
      <w:tr>
        <w:trPr>
          <w:jc w:val="center"/>
        </w:trPr>
        <w:tc>
          <w:tcPr>
            <w:tcW w:w="2122" w:type="dxa"/>
          </w:tcPr>
          <w:p>
            <w:pPr>
              <w:rPr>
                <w:rFonts w:cs="Arial"/>
              </w:rPr>
            </w:pPr>
            <w:r>
              <w:rPr>
                <w:rFonts w:hint="eastAsia"/>
              </w:rPr>
              <w:t>减：少数股东权益</w:t>
            </w:r>
          </w:p>
        </w:tc>
        <w:tc>
          <w:tcPr>
            <w:tcW w:w="1559" w:type="dxa"/>
          </w:tcPr>
          <w:p>
            <w:pPr>
              <w:jc w:val="right"/>
              <w:rPr>
                <w:rFonts w:ascii="宋体" w:hAnsi="宋体" w:cs="Arial"/>
              </w:rPr>
            </w:pPr>
            <w:r>
              <w:rPr>
                <w:rFonts w:ascii="宋体" w:hAnsi="宋体" w:cs="宋体" w:hint="eastAsia"/>
              </w:rPr>
              <w:t>7</w:t>
            </w:r>
            <w:r>
              <w:rPr>
                <w:rFonts w:ascii="宋体" w:hAnsi="宋体" w:cs="宋体"/>
              </w:rPr>
              <w:t>,</w:t>
            </w:r>
            <w:r>
              <w:rPr>
                <w:rFonts w:ascii="宋体" w:hAnsi="宋体" w:cs="宋体" w:hint="eastAsia"/>
              </w:rPr>
              <w:t>734</w:t>
            </w:r>
            <w:r>
              <w:rPr>
                <w:rFonts w:ascii="宋体" w:hAnsi="宋体" w:cs="宋体"/>
              </w:rPr>
              <w:t>,</w:t>
            </w:r>
            <w:r>
              <w:rPr>
                <w:rFonts w:ascii="宋体" w:hAnsi="宋体" w:cs="宋体" w:hint="eastAsia"/>
              </w:rPr>
              <w:t>662</w:t>
            </w:r>
          </w:p>
        </w:tc>
        <w:tc>
          <w:tcPr>
            <w:tcW w:w="1559" w:type="dxa"/>
          </w:tcPr>
          <w:p>
            <w:pPr>
              <w:jc w:val="right"/>
              <w:rPr>
                <w:rFonts w:ascii="宋体" w:hAnsi="宋体" w:cs="Arial"/>
              </w:rPr>
            </w:pPr>
            <w:r>
              <w:rPr>
                <w:rFonts w:ascii="宋体" w:hAnsi="宋体" w:cs="宋体"/>
              </w:rPr>
              <w:t>11,288,495</w:t>
            </w:r>
          </w:p>
        </w:tc>
        <w:tc>
          <w:tcPr>
            <w:tcW w:w="1276" w:type="dxa"/>
          </w:tcPr>
          <w:p>
            <w:pPr>
              <w:jc w:val="right"/>
              <w:rPr>
                <w:rFonts w:ascii="宋体" w:hAnsi="宋体" w:cs="Arial"/>
              </w:rPr>
            </w:pPr>
            <w:r>
              <w:rPr>
                <w:rFonts w:ascii="宋体" w:hAnsi="宋体" w:cs="宋体"/>
              </w:rPr>
              <w:t xml:space="preserve">139,325 </w:t>
            </w:r>
          </w:p>
        </w:tc>
        <w:tc>
          <w:tcPr>
            <w:tcW w:w="1276" w:type="dxa"/>
          </w:tcPr>
          <w:p>
            <w:pPr>
              <w:jc w:val="right"/>
              <w:rPr>
                <w:rFonts w:ascii="宋体" w:hAnsi="宋体" w:cs="Arial"/>
              </w:rPr>
            </w:pPr>
            <w:r>
              <w:rPr>
                <w:rFonts w:ascii="宋体" w:hAnsi="宋体" w:cs="宋体"/>
              </w:rPr>
              <w:t xml:space="preserve">49,432 </w:t>
            </w:r>
          </w:p>
        </w:tc>
        <w:tc>
          <w:tcPr>
            <w:tcW w:w="1417" w:type="dxa"/>
            <w:vAlign w:val="center"/>
          </w:tcPr>
          <w:p>
            <w:pPr>
              <w:jc w:val="right"/>
              <w:rPr>
                <w:rFonts w:ascii="宋体" w:hAnsi="宋体" w:cs="Arial"/>
              </w:rPr>
            </w:pPr>
          </w:p>
        </w:tc>
        <w:tc>
          <w:tcPr>
            <w:tcW w:w="1281" w:type="dxa"/>
            <w:vAlign w:val="center"/>
          </w:tcPr>
          <w:p>
            <w:pPr>
              <w:jc w:val="right"/>
              <w:rPr>
                <w:rFonts w:ascii="宋体" w:hAnsi="宋体" w:cs="Arial"/>
              </w:rPr>
            </w:pPr>
          </w:p>
        </w:tc>
      </w:tr>
      <w:tr>
        <w:trPr>
          <w:jc w:val="center"/>
        </w:trPr>
        <w:tc>
          <w:tcPr>
            <w:tcW w:w="2122" w:type="dxa"/>
          </w:tcPr>
          <w:p>
            <w:pPr>
              <w:rPr>
                <w:rFonts w:cs="Arial"/>
              </w:rPr>
            </w:pPr>
            <w:r>
              <w:rPr>
                <w:rFonts w:hint="eastAsia"/>
              </w:rPr>
              <w:t>取得的净资产</w:t>
            </w:r>
          </w:p>
        </w:tc>
        <w:tc>
          <w:tcPr>
            <w:tcW w:w="1559" w:type="dxa"/>
          </w:tcPr>
          <w:p>
            <w:pPr>
              <w:jc w:val="right"/>
              <w:rPr>
                <w:rFonts w:ascii="宋体" w:hAnsi="宋体" w:cs="Arial"/>
              </w:rPr>
            </w:pPr>
            <w:r>
              <w:rPr>
                <w:rFonts w:ascii="宋体" w:hAnsi="宋体" w:cs="宋体"/>
              </w:rPr>
              <w:t>1,606,450</w:t>
            </w:r>
          </w:p>
        </w:tc>
        <w:tc>
          <w:tcPr>
            <w:tcW w:w="1559" w:type="dxa"/>
          </w:tcPr>
          <w:p>
            <w:pPr>
              <w:jc w:val="right"/>
              <w:rPr>
                <w:rFonts w:ascii="宋体" w:hAnsi="宋体" w:cs="Arial"/>
              </w:rPr>
            </w:pPr>
            <w:r>
              <w:rPr>
                <w:rFonts w:ascii="宋体" w:hAnsi="宋体" w:cs="宋体"/>
              </w:rPr>
              <w:t>4,900,966</w:t>
            </w:r>
          </w:p>
        </w:tc>
        <w:tc>
          <w:tcPr>
            <w:tcW w:w="1276" w:type="dxa"/>
          </w:tcPr>
          <w:p>
            <w:pPr>
              <w:jc w:val="right"/>
              <w:rPr>
                <w:rFonts w:ascii="宋体" w:hAnsi="宋体" w:cs="Arial"/>
              </w:rPr>
            </w:pPr>
            <w:r>
              <w:rPr>
                <w:rFonts w:ascii="宋体" w:hAnsi="宋体" w:cs="宋体"/>
              </w:rPr>
              <w:t xml:space="preserve">270,455 </w:t>
            </w:r>
          </w:p>
        </w:tc>
        <w:tc>
          <w:tcPr>
            <w:tcW w:w="1276" w:type="dxa"/>
          </w:tcPr>
          <w:p>
            <w:pPr>
              <w:jc w:val="right"/>
              <w:rPr>
                <w:rFonts w:ascii="宋体" w:hAnsi="宋体" w:cs="Arial"/>
              </w:rPr>
            </w:pPr>
            <w:r>
              <w:rPr>
                <w:rFonts w:ascii="宋体" w:hAnsi="宋体" w:cs="宋体"/>
              </w:rPr>
              <w:t xml:space="preserve">95,959 </w:t>
            </w:r>
          </w:p>
        </w:tc>
        <w:tc>
          <w:tcPr>
            <w:tcW w:w="1417" w:type="dxa"/>
            <w:vAlign w:val="center"/>
          </w:tcPr>
          <w:p>
            <w:pPr>
              <w:jc w:val="right"/>
              <w:rPr>
                <w:rFonts w:ascii="宋体" w:hAnsi="宋体" w:cs="Arial"/>
              </w:rPr>
            </w:pPr>
            <w:r>
              <w:rPr>
                <w:rFonts w:ascii="宋体" w:hAnsi="宋体"/>
              </w:rPr>
              <w:t>313,734</w:t>
            </w:r>
          </w:p>
        </w:tc>
        <w:tc>
          <w:tcPr>
            <w:tcW w:w="1281" w:type="dxa"/>
            <w:vAlign w:val="center"/>
          </w:tcPr>
          <w:p>
            <w:pPr>
              <w:jc w:val="right"/>
              <w:rPr>
                <w:rFonts w:ascii="宋体" w:hAnsi="宋体" w:cs="Arial"/>
              </w:rPr>
            </w:pPr>
            <w:r>
              <w:rPr>
                <w:rFonts w:ascii="宋体" w:hAnsi="宋体"/>
              </w:rPr>
              <w:t>312,083</w:t>
            </w:r>
          </w:p>
        </w:tc>
      </w:tr>
    </w:tbl>
    <w:p>
      <w:pPr>
        <w:pStyle w:val="Style217"/>
      </w:pPr>
    </w:p>
    <w:p>
      <w:pPr>
        <w:rPr>
          <w:rFonts w:cs="Arial"/>
        </w:rPr>
      </w:pPr>
      <w:r>
        <w:rPr>
          <w:rFonts w:cs="Arial" w:hint="eastAsia"/>
        </w:rPr>
        <w:t>企业合并中承担的被合并方的或有负债：</w:t>
      </w:r>
    </w:p>
    <w:sdt>
      <w:sdtPr>
        <w:rPr>
          <w:rFonts w:cs="Arial"/>
        </w:rPr>
        <w:alias w:val="企业合并中承担的被合并方的或有负债"/>
        <w:tag w:val="_GBC_1c86a5391c3b4cb380960d316ff372fe"/>
        <w:id w:val="-1979143061"/>
        <w:placeholder>
          <w:docPart w:val="GBC22222222222222222222222222222"/>
        </w:placeholder>
      </w:sdtPr>
      <w:sdtContent>
        <w:p>
          <w:pPr>
            <w:rPr>
              <w:rFonts w:cs="Arial"/>
            </w:rPr>
          </w:pPr>
          <w:r>
            <w:rPr>
              <w:rFonts w:cs="Arial" w:hint="eastAsia"/>
            </w:rPr>
            <w:t>-</w:t>
          </w:r>
        </w:p>
      </w:sdtContent>
    </w:sdt>
    <w:p>
      <w:pPr>
        <w:rPr>
          <w:rFonts w:cs="Arial"/>
        </w:rPr>
      </w:pPr>
    </w:p>
    <w:p>
      <w:pPr>
        <w:rPr>
          <w:rFonts w:cs="Arial"/>
        </w:rPr>
      </w:pPr>
      <w:r>
        <w:rPr>
          <w:rFonts w:cs="Arial" w:hint="eastAsia"/>
        </w:rPr>
        <w:t>其他说明：</w:t>
      </w:r>
    </w:p>
    <w:p>
      <w:pPr>
        <w:rPr>
          <w:rFonts w:cs="Arial"/>
        </w:rPr>
      </w:pPr>
      <w:sdt>
        <w:sdtPr>
          <w:rPr>
            <w:rFonts w:cs="Arial"/>
          </w:rPr>
          <w:alias w:val="被合并方的资产、负债的说明"/>
          <w:tag w:val="_GBC_a5a71573b5aa4c7fa78cb0423d690d33"/>
          <w:id w:val="-340470459"/>
          <w:placeholder>
            <w:docPart w:val="GBC22222222222222222222222222222"/>
          </w:placeholder>
        </w:sdtPr>
        <w:sdtContent>
          <w:r>
            <w:rPr>
              <w:rFonts w:cs="Arial" w:hint="eastAsia"/>
            </w:rPr>
            <w:t>-</w:t>
          </w:r>
        </w:sdtContent>
      </w:sdt>
    </w:p>
    <w:p>
      <w:pPr>
        <w:pStyle w:val="Style178"/>
        <w:numPr>
          <w:ilvl w:val="0"/>
          <w:numId w:val="116"/>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826870896"/>
        <w:placeholder>
          <w:docPart w:val="GBC22222222222222222222222222222"/>
        </w:placeholder>
      </w:sdtPr>
      <w:sdtContent>
        <w:p>
          <w:pPr>
            <w:rPr>
              <w:rFonts w:cs="Arial"/>
              <w:lang w:val="en-GB"/>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cs="Arial"/>
        </w:rPr>
      </w:pPr>
    </w:p>
    <w:p>
      <w:pPr>
        <w:pStyle w:val="Style178"/>
        <w:numPr>
          <w:ilvl w:val="0"/>
          <w:numId w:val="116"/>
        </w:numPr>
        <w:rPr>
          <w:rFonts w:ascii="宋体" w:hAnsi="宋体" w:cs="Arial"/>
          <w:szCs w:val="21"/>
        </w:rPr>
      </w:pPr>
      <w:r>
        <w:rPr>
          <w:rFonts w:ascii="宋体" w:hAnsi="宋体" w:cs="Arial" w:hint="eastAsia"/>
          <w:szCs w:val="21"/>
        </w:rPr>
        <w:t>处置子公司</w:t>
      </w:r>
    </w:p>
    <w:p>
      <w:pPr>
        <w:pStyle w:val="Style217"/>
      </w:pPr>
      <w:r>
        <w:rPr>
          <w:rFonts w:hint="eastAsia"/>
        </w:rPr>
        <w:t>本期是否存在</w:t>
      </w:r>
      <w:r>
        <w:t>丧失</w:t>
      </w:r>
      <w:r>
        <w:rPr>
          <w:rFonts w:hint="eastAsia"/>
        </w:rPr>
        <w:t>子公司</w:t>
      </w:r>
      <w:r>
        <w:t>控制权</w:t>
      </w:r>
      <w:r>
        <w:rPr>
          <w:rFonts w:hint="eastAsia"/>
        </w:rPr>
        <w:t>的交易或事项</w:t>
      </w:r>
    </w:p>
    <w:sdt>
      <w:sdtPr>
        <w:rPr>
          <w:rFonts w:cs="Arial" w:hint="eastAsia"/>
        </w:rPr>
        <w:alias w:val="是否存在单次交易处置对子公司投资即丧失控制权的情形[双击切换]"/>
        <w:tag w:val="_GBC_34b271ee01844be4a0580269d95adcf3"/>
        <w:id w:val="1560291934"/>
        <w:placeholder>
          <w:docPart w:val="GBC22222222222222222222222222222"/>
        </w:placeholder>
      </w:sdtPr>
      <w:sdtContent>
        <w:p>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pPr>
        <w:pStyle w:val="Style217"/>
      </w:pPr>
    </w:p>
    <w:p>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1351252563"/>
        <w:placeholder>
          <w:docPart w:val="GBC22222222222222222222222222222"/>
        </w:placeholder>
      </w:sdtPr>
      <w:sdtContent>
        <w:p>
          <w:pPr>
            <w:rPr>
              <w:color w:val="000000"/>
            </w:rPr>
          </w:pPr>
          <w:r>
            <w:rPr>
              <w:rFonts w:ascii="宋体" w:hAnsi="宋体" w:cs="Arial"/>
              <w:color w:val="000000"/>
            </w:rPr>
            <w:fldChar w:fldCharType="begin"/>
          </w:r>
          <w:r>
            <w:rPr>
              <w:rFonts w:ascii="宋体" w:hAnsi="宋体" w:cs="Arial" w:hint="eastAsia"/>
              <w:color w:val="000000"/>
            </w:rPr>
            <w:instrText xml:space="preserve">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pPr>
        <w:pStyle w:val="Style187"/>
        <w:rPr>
          <w:color w:val="000000"/>
        </w:rPr>
      </w:pPr>
    </w:p>
    <w:p>
      <w:pPr>
        <w:rPr>
          <w:rFonts w:cs="Arial"/>
        </w:rPr>
      </w:pPr>
      <w:bookmarkStart w:id="524" w:name="_Hlk153549147"/>
      <w:r>
        <w:rPr>
          <w:rFonts w:cs="Arial" w:hint="eastAsia"/>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1579440409"/>
        <w:placeholder>
          <w:docPart w:val="GBC22222222222222222222222222222"/>
        </w:placeholder>
      </w:sdtPr>
      <w:sdtContent>
        <w:p>
          <w:pPr>
            <w:pStyle w:val="Style187"/>
          </w:pPr>
          <w:r>
            <w:rPr>
              <w:rFonts w:ascii="宋体" w:hAnsi="宋体"/>
              <w:color w:val="000000"/>
              <w:sz w:val="21"/>
            </w:rPr>
            <w:fldChar w:fldCharType="begin"/>
          </w:r>
          <w:r>
            <w:rPr>
              <w:rFonts w:ascii="宋体" w:hAnsi="宋体" w:hint="eastAsia"/>
              <w:color w:val="000000"/>
              <w:sz w:val="21"/>
            </w:rPr>
            <w:instrText xml:space="preserve">MACROBUTTON  SnrToggleCheckbox □适用 </w:instrText>
          </w:r>
          <w:r>
            <w:rPr>
              <w:rFonts w:ascii="宋体" w:hAnsi="宋体"/>
              <w:color w:val="000000"/>
              <w:sz w:val="21"/>
            </w:rPr>
            <w:fldChar w:fldCharType="end"/>
          </w:r>
          <w:r>
            <w:rPr>
              <w:rFonts w:ascii="宋体" w:hAnsi="宋体"/>
              <w:color w:val="000000"/>
              <w:sz w:val="21"/>
            </w:rPr>
            <w:fldChar w:fldCharType="begin"/>
          </w:r>
          <w:r>
            <w:rPr>
              <w:rFonts w:ascii="宋体" w:hAnsi="宋体" w:hint="eastAsia"/>
              <w:color w:val="000000"/>
              <w:sz w:val="21"/>
            </w:rPr>
            <w:instrText xml:space="preserve"> MACROBUTTON  SnrToggleCheckbox √不适用 </w:instrText>
          </w:r>
          <w:r>
            <w:rPr>
              <w:rFonts w:ascii="宋体" w:hAnsi="宋体"/>
              <w:color w:val="000000"/>
              <w:sz w:val="21"/>
            </w:rPr>
            <w:fldChar w:fldCharType="end"/>
          </w:r>
        </w:p>
      </w:sdtContent>
    </w:sdt>
    <w:p>
      <w:pPr>
        <w:pStyle w:val="Style217"/>
      </w:pPr>
    </w:p>
    <w:bookmarkEnd w:id="524"/>
    <w:p>
      <w:pPr>
        <w:rPr>
          <w:rFonts w:cs="Arial"/>
          <w:color w:val="000000"/>
        </w:rPr>
      </w:pPr>
      <w:r>
        <w:rPr>
          <w:rFonts w:cs="Arial" w:hint="eastAsia"/>
          <w:color w:val="000000"/>
        </w:rPr>
        <w:t>其他说明：</w:t>
      </w:r>
    </w:p>
    <w:sdt>
      <w:sdtPr>
        <w:rPr>
          <w:rFonts w:cs="Arial"/>
          <w:color w:val="000000"/>
        </w:rPr>
        <w:alias w:val="是否适用：是否存在通过多次交易分步处置对子公司投资且在本期丧失控制权的情形的说明[双击切换]"/>
        <w:tag w:val="_GBC_c934ae55b23744bba8048538d6771d0e"/>
        <w:id w:val="1399780110"/>
        <w:placeholder>
          <w:docPart w:val="GBC22222222222222222222222222222"/>
        </w:placeholder>
      </w:sdtPr>
      <w:sdtContent>
        <w:p>
          <w:pPr>
            <w:rPr>
              <w:rFonts w:ascii="Calibri" w:hAnsi="Calibri" w:cs="Arial"/>
              <w:color w:val="000000"/>
            </w:rPr>
          </w:pPr>
          <w:r>
            <w:rPr>
              <w:rFonts w:ascii="宋体" w:hAnsi="宋体" w:cs="Arial"/>
              <w:color w:val="000000"/>
            </w:rPr>
            <w:fldChar w:fldCharType="begin"/>
          </w:r>
          <w:r>
            <w:rPr>
              <w:rFonts w:ascii="宋体" w:hAnsi="宋体" w:cs="Arial" w:hint="eastAsia"/>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pPr>
        <w:rPr>
          <w:rFonts w:ascii="Calibri" w:hAnsi="Calibri" w:cs="Arial"/>
          <w:color w:val="000000"/>
        </w:rPr>
      </w:pPr>
    </w:p>
    <w:p>
      <w:pPr>
        <w:pStyle w:val="Style178"/>
        <w:numPr>
          <w:ilvl w:val="0"/>
          <w:numId w:val="116"/>
        </w:numPr>
        <w:rPr>
          <w:rFonts w:ascii="宋体" w:hAnsi="宋体" w:cs="Arial"/>
          <w:szCs w:val="21"/>
        </w:rPr>
      </w:pPr>
      <w:r>
        <w:rPr>
          <w:rFonts w:ascii="宋体" w:hAnsi="宋体" w:cs="Arial" w:hint="eastAsia"/>
          <w:szCs w:val="21"/>
        </w:rPr>
        <w:lastRenderedPageBreak/>
        <w:t>其他原因的合并范围变动</w:t>
      </w:r>
    </w:p>
    <w:p>
      <w:pPr>
        <w:pStyle w:val="Style217"/>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52579763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Start w:id="525" w:name="_Hlk224640401" w:displacedByCustomXml="next"/>
    <w:sdt>
      <w:sdtPr>
        <w:rPr>
          <w:rFonts w:ascii="Times New Roman" w:hAnsi="Times New Roman" w:cs="Arial"/>
          <w:color w:val="000000"/>
          <w:kern w:val="0"/>
          <w:sz w:val="21"/>
          <w:szCs w:val="21"/>
          <w14:ligatures w14:val="none"/>
        </w:rPr>
        <w:alias w:val="其他原因的合并范围变动"/>
        <w:tag w:val="_GBC_3146fc6fdcf14cec8af7bcae81e1ef18"/>
        <w:id w:val="1692255549"/>
        <w:placeholder>
          <w:docPart w:val="GBC22222222222222222222222222222"/>
        </w:placeholder>
      </w:sdtPr>
      <w:sdtEndPr>
        <w:rPr>
          <w:rFonts w:asciiTheme="minorHAnsi" w:eastAsiaTheme="minorEastAsia"/>
        </w:rPr>
      </w:sdtEndPr>
      <w:sdtContent>
        <w:p>
          <w:pPr>
            <w:pStyle w:val="Style209"/>
            <w:ind w:firstLineChars="100" w:firstLine="210"/>
            <w:rPr>
              <w:rFonts w:hAnsi="宋体"/>
              <w:szCs w:val="21"/>
            </w:rPr>
          </w:pPr>
          <w:r>
            <w:rPr>
              <w:rFonts w:ascii="Times New Roman" w:hAnsi="Times New Roman" w:cs="Arial" w:hint="eastAsia"/>
              <w:color w:val="000000"/>
              <w:kern w:val="0"/>
              <w:szCs w:val="21"/>
              <w14:ligatures w14:val="none"/>
            </w:rPr>
            <w:t>（</w:t>
          </w:r>
          <w:r>
            <w:rPr>
              <w:rFonts w:ascii="Times New Roman" w:hAnsi="Times New Roman" w:cs="Arial" w:hint="eastAsia"/>
              <w:color w:val="000000"/>
              <w:kern w:val="0"/>
              <w:szCs w:val="21"/>
              <w14:ligatures w14:val="none"/>
            </w:rPr>
            <w:t>1</w:t>
          </w:r>
          <w:r>
            <w:rPr>
              <w:rFonts w:ascii="Times New Roman" w:hAnsi="Times New Roman" w:cs="Arial" w:hint="eastAsia"/>
              <w:color w:val="000000"/>
              <w:kern w:val="0"/>
              <w:szCs w:val="21"/>
              <w14:ligatures w14:val="none"/>
            </w:rPr>
            <w:t>）</w:t>
          </w:r>
          <w:r>
            <w:rPr>
              <w:rFonts w:hAnsi="宋体" w:hint="eastAsia"/>
              <w:szCs w:val="21"/>
            </w:rPr>
            <w:t>减少子公司</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52|0|desc|||0|1"/>
          </w:tblPr>
          <w:tblGrid>
            <w:gridCol w:w="4176"/>
            <w:gridCol w:w="2322"/>
            <w:gridCol w:w="2325"/>
          </w:tblGrid>
          <w:tr>
            <w:trPr>
              <w:trHeight w:val="397"/>
              <w:tblHeader/>
              <w:jc w:val="center"/>
            </w:trPr>
            <w:tc>
              <w:tcPr>
                <w:tcW w:w="1795" w:type="pct"/>
                <w:shd w:val="clear" w:color="auto" w:fill="auto"/>
                <w:vAlign w:val="center"/>
              </w:tcPr>
              <w:p>
                <w:pPr>
                  <w:jc w:val="center"/>
                  <w:rPr>
                    <w:rFonts w:ascii="宋体" w:hAnsi="宋体"/>
                    <w:b/>
                    <w:bCs/>
                    <w:color w:val="000000"/>
                  </w:rPr>
                </w:pPr>
                <w:r>
                  <w:rPr>
                    <w:rFonts w:ascii="宋体" w:hAnsi="宋体" w:hint="eastAsia"/>
                    <w:b/>
                    <w:bCs/>
                    <w:color w:val="000000"/>
                  </w:rPr>
                  <w:t>公司名称</w:t>
                </w:r>
              </w:p>
            </w:tc>
            <w:tc>
              <w:tcPr>
                <w:tcW w:w="1602" w:type="pct"/>
                <w:shd w:val="clear" w:color="auto" w:fill="auto"/>
                <w:vAlign w:val="center"/>
              </w:tcPr>
              <w:p>
                <w:pPr>
                  <w:jc w:val="center"/>
                  <w:rPr>
                    <w:rFonts w:ascii="宋体" w:hAnsi="宋体"/>
                    <w:b/>
                    <w:bCs/>
                    <w:color w:val="000000"/>
                  </w:rPr>
                </w:pPr>
                <w:r>
                  <w:rPr>
                    <w:rFonts w:ascii="宋体" w:hAnsi="宋体" w:hint="eastAsia"/>
                    <w:b/>
                    <w:bCs/>
                    <w:color w:val="000000"/>
                  </w:rPr>
                  <w:t>原持股比例（%）</w:t>
                </w:r>
              </w:p>
            </w:tc>
            <w:tc>
              <w:tcPr>
                <w:tcW w:w="1603" w:type="pct"/>
                <w:shd w:val="clear" w:color="auto" w:fill="auto"/>
                <w:vAlign w:val="center"/>
              </w:tcPr>
              <w:p>
                <w:pPr>
                  <w:jc w:val="center"/>
                  <w:rPr>
                    <w:rFonts w:ascii="宋体" w:hAnsi="宋体"/>
                    <w:b/>
                    <w:bCs/>
                    <w:color w:val="000000"/>
                  </w:rPr>
                </w:pPr>
                <w:r>
                  <w:rPr>
                    <w:rFonts w:ascii="宋体" w:hAnsi="宋体" w:hint="eastAsia"/>
                    <w:b/>
                    <w:bCs/>
                    <w:color w:val="000000"/>
                  </w:rPr>
                  <w:t>减少的原因</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山东兖煤日照港储配煤有限公司</w:t>
                </w:r>
              </w:p>
            </w:tc>
            <w:tc>
              <w:tcPr>
                <w:tcW w:w="2308" w:type="dxa"/>
                <w:shd w:val="clear" w:color="auto" w:fill="auto"/>
                <w:noWrap/>
                <w:vAlign w:val="center"/>
              </w:tcPr>
              <w:p>
                <w:pPr>
                  <w:jc w:val="right"/>
                  <w:rPr>
                    <w:rFonts w:ascii="宋体" w:hAnsi="宋体"/>
                    <w:color w:val="000000"/>
                  </w:rPr>
                </w:pPr>
                <w:r>
                  <w:rPr>
                    <w:rFonts w:ascii="宋体" w:hAnsi="宋体" w:hint="eastAsia"/>
                  </w:rPr>
                  <w:t>71</w:t>
                </w:r>
              </w:p>
            </w:tc>
            <w:tc>
              <w:tcPr>
                <w:tcW w:w="2311" w:type="dxa"/>
                <w:shd w:val="clear" w:color="auto" w:fill="auto"/>
                <w:noWrap/>
                <w:vAlign w:val="center"/>
              </w:tcPr>
              <w:p>
                <w:pPr>
                  <w:jc w:val="center"/>
                  <w:rPr>
                    <w:rFonts w:ascii="宋体" w:hAnsi="宋体"/>
                    <w:color w:val="000000"/>
                  </w:rPr>
                </w:pPr>
                <w:r>
                  <w:rPr>
                    <w:rFonts w:ascii="宋体" w:hAnsi="宋体" w:hint="eastAsia"/>
                  </w:rPr>
                  <w:t>破产清算</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山东中鼎云联科技有限公司</w:t>
                </w:r>
              </w:p>
            </w:tc>
            <w:tc>
              <w:tcPr>
                <w:tcW w:w="2308" w:type="dxa"/>
                <w:shd w:val="clear" w:color="auto" w:fill="auto"/>
                <w:noWrap/>
                <w:vAlign w:val="center"/>
              </w:tcPr>
              <w:p>
                <w:pPr>
                  <w:jc w:val="right"/>
                  <w:rPr>
                    <w:rFonts w:ascii="宋体" w:hAnsi="宋体"/>
                    <w:color w:val="000000"/>
                  </w:rPr>
                </w:pPr>
                <w:r>
                  <w:rPr>
                    <w:rFonts w:ascii="宋体" w:hAnsi="宋体" w:hint="eastAsia"/>
                  </w:rPr>
                  <w:t>51</w:t>
                </w:r>
              </w:p>
            </w:tc>
            <w:tc>
              <w:tcPr>
                <w:tcW w:w="2311" w:type="dxa"/>
                <w:shd w:val="clear" w:color="auto" w:fill="auto"/>
                <w:noWrap/>
                <w:vAlign w:val="center"/>
              </w:tcPr>
              <w:p>
                <w:pPr>
                  <w:jc w:val="center"/>
                  <w:rPr>
                    <w:rFonts w:ascii="宋体" w:hAnsi="宋体"/>
                    <w:color w:val="000000"/>
                  </w:rPr>
                </w:pPr>
                <w:r>
                  <w:rPr>
                    <w:rFonts w:ascii="宋体" w:hAnsi="宋体" w:hint="eastAsia"/>
                  </w:rPr>
                  <w:t>破产清算</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兖州东方机电有限公司</w:t>
                </w:r>
              </w:p>
            </w:tc>
            <w:tc>
              <w:tcPr>
                <w:tcW w:w="2308" w:type="dxa"/>
                <w:shd w:val="clear" w:color="auto" w:fill="auto"/>
                <w:noWrap/>
                <w:vAlign w:val="center"/>
              </w:tcPr>
              <w:p>
                <w:pPr>
                  <w:jc w:val="right"/>
                  <w:rPr>
                    <w:rFonts w:ascii="宋体" w:hAnsi="宋体"/>
                    <w:color w:val="000000"/>
                  </w:rPr>
                </w:pPr>
                <w:r>
                  <w:rPr>
                    <w:rFonts w:ascii="宋体" w:hAnsi="宋体" w:hint="eastAsia"/>
                  </w:rPr>
                  <w:t>94.34</w:t>
                </w:r>
              </w:p>
            </w:tc>
            <w:tc>
              <w:tcPr>
                <w:tcW w:w="2311" w:type="dxa"/>
                <w:shd w:val="clear" w:color="auto" w:fill="auto"/>
                <w:noWrap/>
                <w:vAlign w:val="center"/>
              </w:tcPr>
              <w:p>
                <w:pPr>
                  <w:jc w:val="center"/>
                  <w:rPr>
                    <w:rFonts w:ascii="宋体" w:hAnsi="宋体"/>
                    <w:color w:val="000000"/>
                  </w:rPr>
                </w:pPr>
                <w:r>
                  <w:rPr>
                    <w:rFonts w:ascii="宋体" w:hAnsi="宋体" w:hint="eastAsia"/>
                  </w:rPr>
                  <w:t>少数股东增资</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天津端信云链永盛投资管理合伙企业（有限合伙）</w:t>
                </w:r>
              </w:p>
            </w:tc>
            <w:tc>
              <w:tcPr>
                <w:tcW w:w="2308" w:type="dxa"/>
                <w:shd w:val="clear" w:color="auto" w:fill="auto"/>
                <w:noWrap/>
                <w:vAlign w:val="center"/>
              </w:tcPr>
              <w:p>
                <w:pPr>
                  <w:jc w:val="right"/>
                  <w:rPr>
                    <w:rFonts w:ascii="宋体" w:hAnsi="宋体"/>
                    <w:color w:val="000000"/>
                  </w:rPr>
                </w:pPr>
                <w:r>
                  <w:rPr>
                    <w:rFonts w:ascii="宋体" w:hAnsi="宋体" w:hint="eastAsia"/>
                  </w:rPr>
                  <w:t>13.04</w:t>
                </w:r>
              </w:p>
            </w:tc>
            <w:tc>
              <w:tcPr>
                <w:tcW w:w="2311" w:type="dxa"/>
                <w:shd w:val="clear" w:color="auto" w:fill="auto"/>
                <w:noWrap/>
                <w:vAlign w:val="center"/>
              </w:tcPr>
              <w:p>
                <w:pPr>
                  <w:jc w:val="center"/>
                  <w:rPr>
                    <w:rFonts w:ascii="宋体" w:hAnsi="宋体"/>
                    <w:color w:val="000000"/>
                  </w:rPr>
                </w:pPr>
                <w:r>
                  <w:rPr>
                    <w:rFonts w:ascii="宋体" w:hAnsi="宋体" w:hint="eastAsia"/>
                  </w:rPr>
                  <w:t>破产清算</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青岛兖煤东启能源有限公司</w:t>
                </w:r>
              </w:p>
            </w:tc>
            <w:tc>
              <w:tcPr>
                <w:tcW w:w="2308" w:type="dxa"/>
                <w:shd w:val="clear" w:color="auto" w:fill="auto"/>
                <w:noWrap/>
                <w:vAlign w:val="center"/>
              </w:tcPr>
              <w:p>
                <w:pPr>
                  <w:jc w:val="right"/>
                  <w:rPr>
                    <w:rFonts w:ascii="宋体" w:hAnsi="宋体"/>
                    <w:color w:val="000000"/>
                  </w:rPr>
                </w:pPr>
                <w:r>
                  <w:rPr>
                    <w:rFonts w:ascii="宋体" w:hAnsi="宋体" w:hint="eastAsia"/>
                  </w:rPr>
                  <w:t>100</w:t>
                </w:r>
              </w:p>
            </w:tc>
            <w:tc>
              <w:tcPr>
                <w:tcW w:w="2311" w:type="dxa"/>
                <w:shd w:val="clear" w:color="auto" w:fill="auto"/>
                <w:noWrap/>
                <w:vAlign w:val="center"/>
              </w:tcPr>
              <w:p>
                <w:pPr>
                  <w:jc w:val="center"/>
                  <w:rPr>
                    <w:rFonts w:ascii="宋体" w:hAnsi="宋体"/>
                    <w:color w:val="000000"/>
                  </w:rPr>
                </w:pPr>
                <w:r>
                  <w:rPr>
                    <w:rFonts w:ascii="宋体" w:hAnsi="宋体" w:hint="eastAsia"/>
                    <w:color w:val="000000"/>
                  </w:rPr>
                  <w:t>破产清算</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连云港奥泊源物流科技有限公司</w:t>
                </w:r>
              </w:p>
            </w:tc>
            <w:tc>
              <w:tcPr>
                <w:tcW w:w="2308" w:type="dxa"/>
                <w:shd w:val="clear" w:color="auto" w:fill="auto"/>
                <w:noWrap/>
                <w:vAlign w:val="center"/>
              </w:tcPr>
              <w:p>
                <w:pPr>
                  <w:jc w:val="right"/>
                  <w:rPr>
                    <w:rFonts w:ascii="宋体" w:hAnsi="宋体"/>
                    <w:color w:val="000000"/>
                  </w:rPr>
                </w:pPr>
                <w:r>
                  <w:rPr>
                    <w:rFonts w:ascii="宋体" w:hAnsi="宋体" w:hint="eastAsia"/>
                  </w:rPr>
                  <w:t>40</w:t>
                </w:r>
              </w:p>
            </w:tc>
            <w:tc>
              <w:tcPr>
                <w:tcW w:w="2311" w:type="dxa"/>
                <w:shd w:val="clear" w:color="auto" w:fill="auto"/>
                <w:noWrap/>
                <w:vAlign w:val="center"/>
              </w:tcPr>
              <w:p>
                <w:pPr>
                  <w:jc w:val="center"/>
                  <w:rPr>
                    <w:rFonts w:ascii="宋体" w:hAnsi="宋体"/>
                    <w:color w:val="000000"/>
                  </w:rPr>
                </w:pPr>
                <w:r>
                  <w:rPr>
                    <w:rFonts w:ascii="宋体" w:hAnsi="宋体" w:hint="eastAsia"/>
                  </w:rPr>
                  <w:t>注销</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甘肃旬安物泊数字科技有限公司</w:t>
                </w:r>
              </w:p>
            </w:tc>
            <w:tc>
              <w:tcPr>
                <w:tcW w:w="2308" w:type="dxa"/>
                <w:shd w:val="clear" w:color="auto" w:fill="auto"/>
                <w:noWrap/>
                <w:vAlign w:val="center"/>
              </w:tcPr>
              <w:p>
                <w:pPr>
                  <w:jc w:val="right"/>
                  <w:rPr>
                    <w:rFonts w:ascii="宋体" w:hAnsi="宋体"/>
                    <w:color w:val="000000"/>
                  </w:rPr>
                </w:pPr>
                <w:r>
                  <w:rPr>
                    <w:rFonts w:ascii="宋体" w:hAnsi="宋体" w:hint="eastAsia"/>
                  </w:rPr>
                  <w:t>40</w:t>
                </w:r>
              </w:p>
            </w:tc>
            <w:tc>
              <w:tcPr>
                <w:tcW w:w="2311" w:type="dxa"/>
                <w:shd w:val="clear" w:color="auto" w:fill="auto"/>
                <w:noWrap/>
                <w:vAlign w:val="center"/>
              </w:tcPr>
              <w:p>
                <w:pPr>
                  <w:jc w:val="center"/>
                  <w:rPr>
                    <w:rFonts w:ascii="宋体" w:hAnsi="宋体"/>
                    <w:color w:val="000000"/>
                  </w:rPr>
                </w:pPr>
                <w:r>
                  <w:rPr>
                    <w:rFonts w:ascii="宋体" w:hAnsi="宋体" w:hint="eastAsia"/>
                  </w:rPr>
                  <w:t>注销</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湖南物泊智慧物流科技有限公司</w:t>
                </w:r>
              </w:p>
            </w:tc>
            <w:tc>
              <w:tcPr>
                <w:tcW w:w="2308" w:type="dxa"/>
                <w:shd w:val="clear" w:color="auto" w:fill="auto"/>
                <w:noWrap/>
                <w:vAlign w:val="center"/>
              </w:tcPr>
              <w:p>
                <w:pPr>
                  <w:jc w:val="right"/>
                  <w:rPr>
                    <w:rFonts w:ascii="宋体" w:hAnsi="宋体"/>
                    <w:color w:val="000000"/>
                  </w:rPr>
                </w:pPr>
                <w:r>
                  <w:rPr>
                    <w:rFonts w:ascii="宋体" w:hAnsi="宋体" w:hint="eastAsia"/>
                  </w:rPr>
                  <w:t>70</w:t>
                </w:r>
              </w:p>
            </w:tc>
            <w:tc>
              <w:tcPr>
                <w:tcW w:w="2311" w:type="dxa"/>
                <w:shd w:val="clear" w:color="auto" w:fill="auto"/>
                <w:noWrap/>
                <w:vAlign w:val="center"/>
              </w:tcPr>
              <w:p>
                <w:pPr>
                  <w:jc w:val="center"/>
                  <w:rPr>
                    <w:rFonts w:ascii="宋体" w:hAnsi="宋体"/>
                    <w:color w:val="000000"/>
                  </w:rPr>
                </w:pPr>
                <w:r>
                  <w:rPr>
                    <w:rFonts w:ascii="宋体" w:hAnsi="宋体" w:hint="eastAsia"/>
                  </w:rPr>
                  <w:t>注销</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兖矿（新疆）物业服务有限公司</w:t>
                </w:r>
              </w:p>
            </w:tc>
            <w:tc>
              <w:tcPr>
                <w:tcW w:w="2308" w:type="dxa"/>
                <w:shd w:val="clear" w:color="auto" w:fill="auto"/>
                <w:noWrap/>
                <w:vAlign w:val="center"/>
              </w:tcPr>
              <w:p>
                <w:pPr>
                  <w:jc w:val="right"/>
                  <w:rPr>
                    <w:rFonts w:ascii="宋体" w:hAnsi="宋体"/>
                    <w:color w:val="000000"/>
                  </w:rPr>
                </w:pPr>
                <w:r>
                  <w:rPr>
                    <w:rFonts w:ascii="宋体" w:hAnsi="宋体" w:hint="eastAsia"/>
                  </w:rPr>
                  <w:t>100</w:t>
                </w:r>
              </w:p>
            </w:tc>
            <w:tc>
              <w:tcPr>
                <w:tcW w:w="2311" w:type="dxa"/>
                <w:shd w:val="clear" w:color="auto" w:fill="auto"/>
                <w:noWrap/>
                <w:vAlign w:val="center"/>
              </w:tcPr>
              <w:p>
                <w:pPr>
                  <w:jc w:val="center"/>
                  <w:rPr>
                    <w:rFonts w:ascii="宋体" w:hAnsi="宋体"/>
                    <w:color w:val="000000"/>
                  </w:rPr>
                </w:pPr>
                <w:r>
                  <w:rPr>
                    <w:rFonts w:ascii="宋体" w:hAnsi="宋体" w:hint="eastAsia"/>
                  </w:rPr>
                  <w:t>注销</w:t>
                </w:r>
              </w:p>
            </w:tc>
          </w:tr>
          <w:tr>
            <w:trPr>
              <w:trHeight w:val="397"/>
              <w:jc w:val="center"/>
            </w:trPr>
            <w:tc>
              <w:tcPr>
                <w:tcW w:w="4176" w:type="dxa"/>
                <w:shd w:val="clear" w:color="auto" w:fill="auto"/>
                <w:noWrap/>
                <w:vAlign w:val="center"/>
              </w:tcPr>
              <w:p>
                <w:pPr>
                  <w:rPr>
                    <w:rFonts w:ascii="宋体" w:hAnsi="宋体"/>
                  </w:rPr>
                </w:pPr>
                <w:r>
                  <w:rPr>
                    <w:rFonts w:ascii="宋体" w:hAnsi="宋体" w:hint="eastAsia"/>
                  </w:rPr>
                  <w:t>龙口矿业集团工程建设有限公司</w:t>
                </w:r>
              </w:p>
            </w:tc>
            <w:tc>
              <w:tcPr>
                <w:tcW w:w="2308" w:type="dxa"/>
                <w:shd w:val="clear" w:color="auto" w:fill="auto"/>
                <w:noWrap/>
                <w:vAlign w:val="center"/>
              </w:tcPr>
              <w:p>
                <w:pPr>
                  <w:jc w:val="right"/>
                  <w:rPr>
                    <w:rFonts w:ascii="宋体" w:hAnsi="宋体"/>
                  </w:rPr>
                </w:pPr>
                <w:r>
                  <w:rPr>
                    <w:rFonts w:ascii="宋体" w:hAnsi="宋体" w:hint="eastAsia"/>
                  </w:rPr>
                  <w:t>100</w:t>
                </w:r>
              </w:p>
            </w:tc>
            <w:tc>
              <w:tcPr>
                <w:tcW w:w="2311" w:type="dxa"/>
                <w:shd w:val="clear" w:color="auto" w:fill="auto"/>
                <w:noWrap/>
                <w:vAlign w:val="center"/>
              </w:tcPr>
              <w:p>
                <w:pPr>
                  <w:jc w:val="center"/>
                  <w:rPr>
                    <w:rFonts w:ascii="宋体" w:hAnsi="宋体"/>
                  </w:rPr>
                </w:pPr>
                <w:r>
                  <w:rPr>
                    <w:rFonts w:ascii="宋体" w:hAnsi="宋体" w:hint="eastAsia"/>
                  </w:rPr>
                  <w:t>注销</w:t>
                </w:r>
              </w:p>
            </w:tc>
          </w:tr>
          <w:tr>
            <w:trPr>
              <w:trHeight w:val="397"/>
              <w:jc w:val="center"/>
            </w:trPr>
            <w:tc>
              <w:tcPr>
                <w:tcW w:w="4176" w:type="dxa"/>
                <w:shd w:val="clear" w:color="auto" w:fill="auto"/>
                <w:noWrap/>
                <w:vAlign w:val="center"/>
              </w:tcPr>
              <w:p>
                <w:pPr>
                  <w:rPr>
                    <w:rFonts w:ascii="宋体" w:hAnsi="宋体"/>
                    <w:color w:val="000000"/>
                  </w:rPr>
                </w:pPr>
                <w:r>
                  <w:rPr>
                    <w:rFonts w:ascii="宋体" w:hAnsi="宋体" w:hint="eastAsia"/>
                  </w:rPr>
                  <w:t>新汶矿业集团（新疆）能源有限公司</w:t>
                </w:r>
              </w:p>
            </w:tc>
            <w:tc>
              <w:tcPr>
                <w:tcW w:w="2308" w:type="dxa"/>
                <w:shd w:val="clear" w:color="auto" w:fill="auto"/>
                <w:noWrap/>
                <w:vAlign w:val="center"/>
              </w:tcPr>
              <w:p>
                <w:pPr>
                  <w:jc w:val="right"/>
                  <w:rPr>
                    <w:rFonts w:ascii="宋体" w:hAnsi="宋体"/>
                    <w:color w:val="000000"/>
                  </w:rPr>
                </w:pPr>
                <w:r>
                  <w:rPr>
                    <w:rFonts w:ascii="宋体" w:hAnsi="宋体" w:hint="eastAsia"/>
                  </w:rPr>
                  <w:t>100</w:t>
                </w:r>
              </w:p>
            </w:tc>
            <w:tc>
              <w:tcPr>
                <w:tcW w:w="2311" w:type="dxa"/>
                <w:shd w:val="clear" w:color="auto" w:fill="auto"/>
                <w:noWrap/>
                <w:vAlign w:val="center"/>
              </w:tcPr>
              <w:p>
                <w:pPr>
                  <w:jc w:val="center"/>
                  <w:rPr>
                    <w:rFonts w:ascii="宋体" w:hAnsi="宋体"/>
                    <w:color w:val="000000"/>
                  </w:rPr>
                </w:pPr>
                <w:r>
                  <w:rPr>
                    <w:rFonts w:ascii="宋体" w:hAnsi="宋体" w:hint="eastAsia"/>
                  </w:rPr>
                  <w:t>注销</w:t>
                </w:r>
              </w:p>
            </w:tc>
          </w:tr>
        </w:tbl>
        <w:p>
          <w:pPr>
            <w:rPr>
              <w:rFonts w:asciiTheme="minorHAnsi" w:eastAsiaTheme="minorEastAsia" w:hAnsiTheme="minorHAnsi" w:cs="Arial"/>
              <w:color w:val="000000"/>
            </w:rPr>
          </w:pPr>
        </w:p>
      </w:sdtContent>
    </w:sdt>
    <w:bookmarkEnd w:id="525"/>
    <w:p>
      <w:pPr>
        <w:rPr>
          <w:rFonts w:asciiTheme="minorHAnsi" w:eastAsiaTheme="minorEastAsia" w:hAnsiTheme="minorHAnsi" w:cs="Arial"/>
          <w:color w:val="000000"/>
        </w:rPr>
      </w:pPr>
    </w:p>
    <w:p>
      <w:pPr>
        <w:pStyle w:val="Style178"/>
        <w:numPr>
          <w:ilvl w:val="0"/>
          <w:numId w:val="116"/>
        </w:numPr>
        <w:rPr>
          <w:rFonts w:ascii="宋体" w:hAnsi="宋体" w:cs="Arial"/>
          <w:szCs w:val="21"/>
        </w:rPr>
      </w:pPr>
      <w:r>
        <w:rPr>
          <w:rFonts w:ascii="宋体" w:hAnsi="宋体" w:cs="Arial" w:hint="eastAsia"/>
          <w:szCs w:val="21"/>
        </w:rPr>
        <w:t>其他</w:t>
      </w:r>
    </w:p>
    <w:sdt>
      <w:sdtPr>
        <w:rPr>
          <w:rFonts w:cs="Arial" w:hint="eastAsia"/>
          <w:color w:val="000000"/>
        </w:rPr>
        <w:alias w:val="是否适用：合并范围的变更-其他说明[双击切换]"/>
        <w:tag w:val="_GBC_f93907dc64cd43f0a9e4c85b200aec0c"/>
        <w:id w:val="654108611"/>
        <w:placeholder>
          <w:docPart w:val="GBC22222222222222222222222222222"/>
        </w:placeholder>
      </w:sdtPr>
      <w:sdtContent>
        <w:p>
          <w:pPr>
            <w:rPr>
              <w:rFonts w:asciiTheme="minorHAnsi" w:eastAsiaTheme="minorEastAsia" w:hAnsiTheme="minorHAnsi" w:cs="Arial"/>
              <w:color w:val="000000"/>
            </w:rPr>
          </w:pPr>
          <w:r>
            <w:rPr>
              <w:rFonts w:ascii="宋体" w:hAnsi="宋体" w:cs="Arial"/>
              <w:color w:val="000000"/>
            </w:rPr>
            <w:fldChar w:fldCharType="begin"/>
          </w:r>
          <w:r>
            <w:rPr>
              <w:rFonts w:ascii="宋体" w:hAnsi="宋体" w:cs="Arial" w:hint="eastAsia"/>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pPr>
        <w:rPr>
          <w:rFonts w:cs="Arial"/>
          <w:color w:val="000000"/>
        </w:rPr>
      </w:pPr>
    </w:p>
    <w:p>
      <w:pPr>
        <w:rPr>
          <w:rFonts w:cs="Arial"/>
          <w:color w:val="000000"/>
        </w:rPr>
        <w:sectPr>
          <w:pgSz w:w="11906" w:h="16838"/>
          <w:pgMar w:top="1525" w:right="1276" w:bottom="1440" w:left="1797" w:header="856" w:footer="992" w:gutter="0"/>
          <w:cols w:space="425"/>
          <w:docGrid w:linePitch="312"/>
        </w:sectPr>
      </w:pPr>
    </w:p>
    <w:p>
      <w:pPr>
        <w:pStyle w:val="Style177"/>
        <w:numPr>
          <w:ilvl w:val="0"/>
          <w:numId w:val="66"/>
        </w:numPr>
        <w:rPr>
          <w:rFonts w:ascii="宋体" w:hAnsi="宋体"/>
        </w:rPr>
      </w:pPr>
      <w:r>
        <w:rPr>
          <w:rFonts w:hint="eastAsia"/>
        </w:rPr>
        <w:lastRenderedPageBreak/>
        <w:t>在其他主体中的权益</w:t>
      </w:r>
    </w:p>
    <w:p>
      <w:pPr>
        <w:pStyle w:val="Style178"/>
        <w:numPr>
          <w:ilvl w:val="2"/>
          <w:numId w:val="118"/>
        </w:numPr>
      </w:pPr>
      <w:r>
        <w:rPr>
          <w:rFonts w:hint="eastAsia"/>
        </w:rPr>
        <w:t>在子公司中的权益</w:t>
      </w:r>
    </w:p>
    <w:p>
      <w:pPr>
        <w:pStyle w:val="Style179"/>
        <w:numPr>
          <w:ilvl w:val="3"/>
          <w:numId w:val="119"/>
        </w:numPr>
        <w:ind w:left="406" w:hangingChars="202" w:hanging="406"/>
      </w:pPr>
      <w:r>
        <w:rPr>
          <w:rFonts w:hint="eastAsia"/>
        </w:rPr>
        <w:t>企业集团的构成</w:t>
      </w:r>
    </w:p>
    <w:sdt>
      <w:sdtPr>
        <w:alias w:val="是否适用：企业集团的构成[双击切换]"/>
        <w:tag w:val="_GBC_f4dcd24cd0a6465f817fe278addb6568"/>
        <w:id w:val="-163502165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单位：千元</w:t>
      </w:r>
    </w:p>
    <w:tbl>
      <w:tblPr>
        <w:tblStyle w:val="Style100"/>
        <w:tblW w:w="1502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6"/>
        <w:gridCol w:w="1337"/>
        <w:gridCol w:w="1194"/>
        <w:gridCol w:w="4314"/>
        <w:gridCol w:w="910"/>
        <w:gridCol w:w="911"/>
        <w:gridCol w:w="2754"/>
      </w:tblGrid>
      <w:tr>
        <w:trPr>
          <w:trHeight w:val="247"/>
        </w:trPr>
        <w:sdt>
          <w:sdtPr>
            <w:tag w:val="_PLD_d102f36c2e2645ad9579603ca28588c8"/>
            <w:id w:val="407814828"/>
          </w:sdtPr>
          <w:sdtContent>
            <w:tc>
              <w:tcPr>
                <w:tcW w:w="3606" w:type="dxa"/>
                <w:vMerge w:val="restart"/>
                <w:vAlign w:val="center"/>
              </w:tcPr>
              <w:p>
                <w:pPr>
                  <w:jc w:val="center"/>
                  <w:rPr>
                    <w:rFonts w:cs="Arial"/>
                    <w:lang w:val="en-GB"/>
                  </w:rPr>
                </w:pPr>
                <w:r>
                  <w:rPr>
                    <w:rFonts w:cs="Arial" w:hint="eastAsia"/>
                    <w:lang w:val="en-GB"/>
                  </w:rPr>
                  <w:t>子公司</w:t>
                </w:r>
              </w:p>
              <w:p>
                <w:pPr>
                  <w:jc w:val="center"/>
                  <w:rPr>
                    <w:rFonts w:cs="Arial"/>
                  </w:rPr>
                </w:pPr>
                <w:r>
                  <w:rPr>
                    <w:rFonts w:cs="Arial" w:hint="eastAsia"/>
                    <w:lang w:val="en-GB"/>
                  </w:rPr>
                  <w:t>名称</w:t>
                </w:r>
              </w:p>
            </w:tc>
          </w:sdtContent>
        </w:sdt>
        <w:sdt>
          <w:sdtPr>
            <w:tag w:val="_PLD_f2f68356b5494ce8941038ba206c0e79"/>
            <w:id w:val="-1404139550"/>
          </w:sdtPr>
          <w:sdtContent>
            <w:tc>
              <w:tcPr>
                <w:tcW w:w="1337" w:type="dxa"/>
                <w:vMerge w:val="restart"/>
                <w:vAlign w:val="center"/>
              </w:tcPr>
              <w:p>
                <w:pPr>
                  <w:jc w:val="center"/>
                  <w:rPr>
                    <w:rFonts w:cs="Arial"/>
                  </w:rPr>
                </w:pPr>
                <w:r>
                  <w:rPr>
                    <w:rFonts w:cs="Arial" w:hint="eastAsia"/>
                    <w:lang w:val="en-GB"/>
                  </w:rPr>
                  <w:t>主要经营地</w:t>
                </w:r>
              </w:p>
            </w:tc>
          </w:sdtContent>
        </w:sdt>
        <w:sdt>
          <w:sdtPr>
            <w:tag w:val="_PLD_e9cbfd017bcc45b9be4599d5ee950f92"/>
            <w:id w:val="1426686003"/>
          </w:sdtPr>
          <w:sdtContent>
            <w:tc>
              <w:tcPr>
                <w:tcW w:w="1194" w:type="dxa"/>
                <w:vMerge w:val="restart"/>
                <w:vAlign w:val="center"/>
              </w:tcPr>
              <w:p>
                <w:pPr>
                  <w:jc w:val="center"/>
                  <w:rPr>
                    <w:rFonts w:cs="Arial"/>
                  </w:rPr>
                </w:pPr>
                <w:r>
                  <w:rPr>
                    <w:rFonts w:cs="Arial" w:hint="eastAsia"/>
                    <w:lang w:val="en-GB"/>
                  </w:rPr>
                  <w:t>注册地</w:t>
                </w:r>
              </w:p>
            </w:tc>
          </w:sdtContent>
        </w:sdt>
        <w:sdt>
          <w:sdtPr>
            <w:tag w:val="_PLD_da5558f3e8f24c30b756f825b0ebca03"/>
            <w:id w:val="2049632607"/>
          </w:sdtPr>
          <w:sdtContent>
            <w:tc>
              <w:tcPr>
                <w:tcW w:w="4314" w:type="dxa"/>
                <w:vMerge w:val="restart"/>
                <w:vAlign w:val="center"/>
              </w:tcPr>
              <w:p>
                <w:pPr>
                  <w:jc w:val="center"/>
                  <w:rPr>
                    <w:rFonts w:cs="Arial"/>
                  </w:rPr>
                </w:pPr>
                <w:r>
                  <w:rPr>
                    <w:rFonts w:cs="Arial" w:hint="eastAsia"/>
                    <w:lang w:val="en-GB"/>
                  </w:rPr>
                  <w:t>业务性质</w:t>
                </w:r>
              </w:p>
            </w:tc>
          </w:sdtContent>
        </w:sdt>
        <w:sdt>
          <w:sdtPr>
            <w:tag w:val="_PLD_817e427c8eff4fd1875d12860133e99e"/>
            <w:id w:val="1055966573"/>
          </w:sdtPr>
          <w:sdtContent>
            <w:tc>
              <w:tcPr>
                <w:tcW w:w="1821" w:type="dxa"/>
                <w:gridSpan w:val="2"/>
                <w:vAlign w:val="center"/>
              </w:tcPr>
              <w:p>
                <w:pPr>
                  <w:jc w:val="center"/>
                  <w:rPr>
                    <w:rFonts w:cs="Arial"/>
                  </w:rPr>
                </w:pPr>
                <w:r>
                  <w:rPr>
                    <w:rFonts w:cs="Arial" w:hint="eastAsia"/>
                    <w:lang w:val="en-GB"/>
                  </w:rPr>
                  <w:t>持股比例</w:t>
                </w:r>
                <w:r>
                  <w:rPr>
                    <w:rFonts w:cs="Arial"/>
                  </w:rPr>
                  <w:t>(%)</w:t>
                </w:r>
              </w:p>
            </w:tc>
          </w:sdtContent>
        </w:sdt>
        <w:sdt>
          <w:sdtPr>
            <w:tag w:val="_PLD_0bb5e453efe4450ba0d853b98eb2c2b0"/>
            <w:id w:val="1167589011"/>
          </w:sdtPr>
          <w:sdtContent>
            <w:tc>
              <w:tcPr>
                <w:tcW w:w="2754" w:type="dxa"/>
                <w:vMerge w:val="restart"/>
                <w:vAlign w:val="center"/>
              </w:tcPr>
              <w:p>
                <w:pPr>
                  <w:jc w:val="center"/>
                  <w:rPr>
                    <w:rFonts w:cs="Arial"/>
                    <w:lang w:val="en-GB"/>
                  </w:rPr>
                </w:pPr>
                <w:r>
                  <w:rPr>
                    <w:rFonts w:cs="Arial" w:hint="eastAsia"/>
                    <w:lang w:val="en-GB"/>
                  </w:rPr>
                  <w:t>取得</w:t>
                </w:r>
              </w:p>
              <w:p>
                <w:pPr>
                  <w:jc w:val="center"/>
                  <w:rPr>
                    <w:rFonts w:cs="Arial"/>
                    <w:lang w:val="en-GB"/>
                  </w:rPr>
                </w:pPr>
                <w:r>
                  <w:rPr>
                    <w:rFonts w:cs="Arial" w:hint="eastAsia"/>
                    <w:lang w:val="en-GB"/>
                  </w:rPr>
                  <w:t>方式</w:t>
                </w:r>
              </w:p>
            </w:tc>
          </w:sdtContent>
        </w:sdt>
      </w:tr>
      <w:tr>
        <w:trPr>
          <w:trHeight w:val="278"/>
        </w:trPr>
        <w:tc>
          <w:tcPr>
            <w:tcW w:w="3606" w:type="dxa"/>
            <w:vMerge/>
            <w:vAlign w:val="center"/>
          </w:tcPr>
          <w:p>
            <w:pPr>
              <w:rPr>
                <w:rFonts w:cs="Arial"/>
              </w:rPr>
            </w:pPr>
          </w:p>
        </w:tc>
        <w:tc>
          <w:tcPr>
            <w:tcW w:w="1337" w:type="dxa"/>
            <w:vMerge/>
            <w:vAlign w:val="center"/>
          </w:tcPr>
          <w:p>
            <w:pPr>
              <w:rPr>
                <w:rFonts w:cs="Arial"/>
              </w:rPr>
            </w:pPr>
          </w:p>
        </w:tc>
        <w:tc>
          <w:tcPr>
            <w:tcW w:w="1194" w:type="dxa"/>
            <w:vMerge/>
            <w:vAlign w:val="center"/>
          </w:tcPr>
          <w:p>
            <w:pPr>
              <w:rPr>
                <w:rFonts w:cs="Arial"/>
              </w:rPr>
            </w:pPr>
          </w:p>
        </w:tc>
        <w:tc>
          <w:tcPr>
            <w:tcW w:w="4314" w:type="dxa"/>
            <w:vMerge/>
            <w:vAlign w:val="center"/>
          </w:tcPr>
          <w:p>
            <w:pPr>
              <w:rPr>
                <w:rFonts w:cs="Arial"/>
              </w:rPr>
            </w:pPr>
          </w:p>
        </w:tc>
        <w:sdt>
          <w:sdtPr>
            <w:tag w:val="_PLD_3f641d83162f4ae3a8840b93258d7ced"/>
            <w:id w:val="-969512399"/>
          </w:sdtPr>
          <w:sdtContent>
            <w:tc>
              <w:tcPr>
                <w:tcW w:w="910" w:type="dxa"/>
                <w:vAlign w:val="center"/>
              </w:tcPr>
              <w:p>
                <w:pPr>
                  <w:jc w:val="center"/>
                  <w:rPr>
                    <w:rFonts w:cs="Arial"/>
                  </w:rPr>
                </w:pPr>
                <w:r>
                  <w:rPr>
                    <w:rFonts w:cs="Arial" w:hint="eastAsia"/>
                    <w:lang w:val="en-GB"/>
                  </w:rPr>
                  <w:t>直接</w:t>
                </w:r>
              </w:p>
            </w:tc>
          </w:sdtContent>
        </w:sdt>
        <w:sdt>
          <w:sdtPr>
            <w:tag w:val="_PLD_ebc96648c2794ae08bfb57e63f0a34c5"/>
            <w:id w:val="950820153"/>
          </w:sdtPr>
          <w:sdtContent>
            <w:tc>
              <w:tcPr>
                <w:tcW w:w="911" w:type="dxa"/>
                <w:vAlign w:val="center"/>
              </w:tcPr>
              <w:p>
                <w:pPr>
                  <w:jc w:val="center"/>
                  <w:rPr>
                    <w:rFonts w:cs="Arial"/>
                  </w:rPr>
                </w:pPr>
                <w:r>
                  <w:rPr>
                    <w:rFonts w:cs="Arial" w:hint="eastAsia"/>
                    <w:lang w:val="en-GB"/>
                  </w:rPr>
                  <w:t>间接</w:t>
                </w:r>
              </w:p>
            </w:tc>
          </w:sdtContent>
        </w:sdt>
        <w:tc>
          <w:tcPr>
            <w:tcW w:w="2754" w:type="dxa"/>
            <w:vMerge/>
            <w:vAlign w:val="center"/>
          </w:tcPr>
          <w:p>
            <w:pPr>
              <w:rPr>
                <w:rFonts w:cs="Arial"/>
              </w:rPr>
            </w:pPr>
          </w:p>
        </w:tc>
      </w:tr>
      <w:tr>
        <w:tc>
          <w:tcPr>
            <w:tcW w:w="3606" w:type="dxa"/>
            <w:vAlign w:val="center"/>
          </w:tcPr>
          <w:p>
            <w:pPr>
              <w:jc w:val="both"/>
              <w:rPr>
                <w:rFonts w:ascii="宋体" w:hAnsi="宋体"/>
              </w:rPr>
            </w:pPr>
            <w:r>
              <w:rPr>
                <w:rFonts w:ascii="宋体" w:hAnsi="宋体" w:hint="eastAsia"/>
              </w:rPr>
              <w:t>兖州煤业澳大利亚有限公司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煤炭销售</w:t>
            </w:r>
          </w:p>
        </w:tc>
        <w:tc>
          <w:tcPr>
            <w:tcW w:w="910" w:type="dxa"/>
            <w:vAlign w:val="center"/>
          </w:tcPr>
          <w:p>
            <w:pPr>
              <w:jc w:val="both"/>
              <w:rPr>
                <w:rFonts w:ascii="宋体" w:hAnsi="宋体"/>
              </w:rPr>
            </w:pPr>
            <w:r>
              <w:rPr>
                <w:rFonts w:ascii="宋体" w:hAnsi="宋体" w:hint="eastAsia"/>
              </w:rPr>
              <w:t>62.26</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格罗斯特煤炭有限公司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煤炭及煤炭相关资源的开发和运营</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兖煤澳大利亚资源有限公司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煤炭开采与勘探</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兖煤澳大利亚配煤销售有限公司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煤炭销售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兖煤矿业服务有限公司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矿业服务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联合煤炭工业有限公司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煤炭开采和煤矿经营</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兖煤澳洲莫拉本私有有限公司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煤炭开采和煤矿经营</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沃特岗矿业有限公司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煤炭开采和煤矿经营</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兖煤保险股份有限公司</w:t>
            </w:r>
          </w:p>
        </w:tc>
        <w:tc>
          <w:tcPr>
            <w:tcW w:w="1337" w:type="dxa"/>
            <w:vAlign w:val="center"/>
          </w:tcPr>
          <w:p>
            <w:pPr>
              <w:jc w:val="both"/>
              <w:rPr>
                <w:rFonts w:ascii="宋体" w:hAnsi="宋体"/>
              </w:rPr>
            </w:pPr>
            <w:r>
              <w:rPr>
                <w:rFonts w:ascii="宋体" w:hAnsi="宋体" w:hint="eastAsia"/>
              </w:rPr>
              <w:t>根西岛</w:t>
            </w:r>
          </w:p>
        </w:tc>
        <w:tc>
          <w:tcPr>
            <w:tcW w:w="1194" w:type="dxa"/>
            <w:vAlign w:val="center"/>
          </w:tcPr>
          <w:p>
            <w:pPr>
              <w:jc w:val="both"/>
              <w:rPr>
                <w:rFonts w:ascii="宋体" w:hAnsi="宋体"/>
              </w:rPr>
            </w:pPr>
            <w:r>
              <w:rPr>
                <w:rFonts w:ascii="宋体" w:hAnsi="宋体" w:hint="eastAsia"/>
              </w:rPr>
              <w:t>根西岛</w:t>
            </w:r>
          </w:p>
        </w:tc>
        <w:tc>
          <w:tcPr>
            <w:tcW w:w="4314" w:type="dxa"/>
            <w:vAlign w:val="center"/>
          </w:tcPr>
          <w:p>
            <w:pPr>
              <w:jc w:val="both"/>
              <w:rPr>
                <w:rFonts w:ascii="宋体" w:hAnsi="宋体"/>
              </w:rPr>
            </w:pPr>
            <w:r>
              <w:rPr>
                <w:rFonts w:ascii="宋体" w:hAnsi="宋体" w:hint="eastAsia"/>
              </w:rPr>
              <w:t>资产保险服务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兖煤国际（控股）有限公司</w:t>
            </w:r>
          </w:p>
        </w:tc>
        <w:tc>
          <w:tcPr>
            <w:tcW w:w="1337" w:type="dxa"/>
            <w:vAlign w:val="center"/>
          </w:tcPr>
          <w:p>
            <w:pPr>
              <w:jc w:val="both"/>
              <w:rPr>
                <w:rFonts w:ascii="宋体" w:hAnsi="宋体"/>
              </w:rPr>
            </w:pPr>
            <w:r>
              <w:rPr>
                <w:rFonts w:ascii="宋体" w:hAnsi="宋体" w:hint="eastAsia"/>
              </w:rPr>
              <w:t>香港</w:t>
            </w:r>
          </w:p>
        </w:tc>
        <w:tc>
          <w:tcPr>
            <w:tcW w:w="1194" w:type="dxa"/>
            <w:vAlign w:val="center"/>
          </w:tcPr>
          <w:p>
            <w:pPr>
              <w:jc w:val="both"/>
              <w:rPr>
                <w:rFonts w:ascii="宋体" w:hAnsi="宋体"/>
              </w:rPr>
            </w:pPr>
            <w:r>
              <w:rPr>
                <w:rFonts w:ascii="宋体" w:hAnsi="宋体" w:hint="eastAsia"/>
              </w:rPr>
              <w:t>香港</w:t>
            </w:r>
          </w:p>
        </w:tc>
        <w:tc>
          <w:tcPr>
            <w:tcW w:w="4314" w:type="dxa"/>
            <w:vAlign w:val="center"/>
          </w:tcPr>
          <w:p>
            <w:pPr>
              <w:jc w:val="both"/>
              <w:rPr>
                <w:rFonts w:ascii="宋体" w:hAnsi="宋体"/>
              </w:rPr>
            </w:pPr>
            <w:r>
              <w:rPr>
                <w:rFonts w:ascii="宋体" w:hAnsi="宋体" w:hint="eastAsia"/>
              </w:rPr>
              <w:t>投资控股</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兖煤国际技术开发有限公司</w:t>
            </w:r>
          </w:p>
        </w:tc>
        <w:tc>
          <w:tcPr>
            <w:tcW w:w="1337" w:type="dxa"/>
            <w:vAlign w:val="center"/>
          </w:tcPr>
          <w:p>
            <w:pPr>
              <w:jc w:val="both"/>
              <w:rPr>
                <w:rFonts w:ascii="宋体" w:hAnsi="宋体"/>
              </w:rPr>
            </w:pPr>
            <w:r>
              <w:rPr>
                <w:rFonts w:ascii="宋体" w:hAnsi="宋体" w:hint="eastAsia"/>
              </w:rPr>
              <w:t>香港</w:t>
            </w:r>
          </w:p>
        </w:tc>
        <w:tc>
          <w:tcPr>
            <w:tcW w:w="1194" w:type="dxa"/>
            <w:vAlign w:val="center"/>
          </w:tcPr>
          <w:p>
            <w:pPr>
              <w:jc w:val="both"/>
              <w:rPr>
                <w:rFonts w:ascii="宋体" w:hAnsi="宋体"/>
              </w:rPr>
            </w:pPr>
            <w:r>
              <w:rPr>
                <w:rFonts w:ascii="宋体" w:hAnsi="宋体" w:hint="eastAsia"/>
              </w:rPr>
              <w:t>香港</w:t>
            </w:r>
          </w:p>
        </w:tc>
        <w:tc>
          <w:tcPr>
            <w:tcW w:w="4314" w:type="dxa"/>
            <w:vAlign w:val="center"/>
          </w:tcPr>
          <w:p>
            <w:pPr>
              <w:jc w:val="both"/>
              <w:rPr>
                <w:rFonts w:ascii="宋体" w:hAnsi="宋体"/>
              </w:rPr>
            </w:pPr>
            <w:r>
              <w:rPr>
                <w:rFonts w:ascii="宋体" w:hAnsi="宋体" w:hint="eastAsia"/>
              </w:rPr>
              <w:t>矿山开采技术的开发、转让与咨询服务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兖煤国际资源开发有限公司</w:t>
            </w:r>
          </w:p>
        </w:tc>
        <w:tc>
          <w:tcPr>
            <w:tcW w:w="1337" w:type="dxa"/>
            <w:vAlign w:val="center"/>
          </w:tcPr>
          <w:p>
            <w:pPr>
              <w:jc w:val="both"/>
              <w:rPr>
                <w:rFonts w:ascii="宋体" w:hAnsi="宋体"/>
              </w:rPr>
            </w:pPr>
            <w:r>
              <w:rPr>
                <w:rFonts w:ascii="宋体" w:hAnsi="宋体" w:hint="eastAsia"/>
              </w:rPr>
              <w:t>香港</w:t>
            </w:r>
          </w:p>
        </w:tc>
        <w:tc>
          <w:tcPr>
            <w:tcW w:w="1194" w:type="dxa"/>
            <w:vAlign w:val="center"/>
          </w:tcPr>
          <w:p>
            <w:pPr>
              <w:jc w:val="both"/>
              <w:rPr>
                <w:rFonts w:ascii="宋体" w:hAnsi="宋体"/>
              </w:rPr>
            </w:pPr>
            <w:r>
              <w:rPr>
                <w:rFonts w:ascii="宋体" w:hAnsi="宋体" w:hint="eastAsia"/>
              </w:rPr>
              <w:t>香港</w:t>
            </w:r>
          </w:p>
        </w:tc>
        <w:tc>
          <w:tcPr>
            <w:tcW w:w="4314" w:type="dxa"/>
            <w:vAlign w:val="center"/>
          </w:tcPr>
          <w:p>
            <w:pPr>
              <w:jc w:val="both"/>
              <w:rPr>
                <w:rFonts w:ascii="宋体" w:hAnsi="宋体"/>
              </w:rPr>
            </w:pPr>
            <w:r>
              <w:rPr>
                <w:rFonts w:ascii="宋体" w:hAnsi="宋体" w:hint="eastAsia"/>
              </w:rPr>
              <w:t>矿产资源勘探开发</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兖煤卢森堡资源有限公司</w:t>
            </w:r>
          </w:p>
        </w:tc>
        <w:tc>
          <w:tcPr>
            <w:tcW w:w="1337" w:type="dxa"/>
            <w:vAlign w:val="center"/>
          </w:tcPr>
          <w:p>
            <w:pPr>
              <w:jc w:val="both"/>
              <w:rPr>
                <w:rFonts w:ascii="宋体" w:hAnsi="宋体"/>
              </w:rPr>
            </w:pPr>
            <w:r>
              <w:rPr>
                <w:rFonts w:ascii="宋体" w:hAnsi="宋体" w:hint="eastAsia"/>
              </w:rPr>
              <w:t>卢森堡</w:t>
            </w:r>
          </w:p>
        </w:tc>
        <w:tc>
          <w:tcPr>
            <w:tcW w:w="1194" w:type="dxa"/>
            <w:vAlign w:val="center"/>
          </w:tcPr>
          <w:p>
            <w:pPr>
              <w:jc w:val="both"/>
              <w:rPr>
                <w:rFonts w:ascii="宋体" w:hAnsi="宋体"/>
              </w:rPr>
            </w:pPr>
            <w:r>
              <w:rPr>
                <w:rFonts w:ascii="宋体" w:hAnsi="宋体" w:hint="eastAsia"/>
              </w:rPr>
              <w:t>卢森堡</w:t>
            </w:r>
          </w:p>
        </w:tc>
        <w:tc>
          <w:tcPr>
            <w:tcW w:w="4314" w:type="dxa"/>
            <w:vAlign w:val="center"/>
          </w:tcPr>
          <w:p>
            <w:pPr>
              <w:jc w:val="both"/>
              <w:rPr>
                <w:rFonts w:ascii="宋体" w:hAnsi="宋体"/>
              </w:rPr>
            </w:pPr>
            <w:r>
              <w:rPr>
                <w:rFonts w:ascii="宋体" w:hAnsi="宋体" w:hint="eastAsia"/>
              </w:rPr>
              <w:t>对外投资</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亚森纳（控股）有限公司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控股公司</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汤佛（控股）有限公司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控股公司</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rPr>
              <w:t>维尔皮纳（控股）有限公司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控股公司</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普力马（控股）有限公司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控股公司</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兖煤能源有限公司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控股公司</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兖矿东平陆港有限公司</w:t>
            </w:r>
          </w:p>
        </w:tc>
        <w:tc>
          <w:tcPr>
            <w:tcW w:w="1337" w:type="dxa"/>
            <w:vAlign w:val="center"/>
          </w:tcPr>
          <w:p>
            <w:pPr>
              <w:jc w:val="both"/>
              <w:rPr>
                <w:rFonts w:ascii="宋体" w:hAnsi="宋体"/>
              </w:rPr>
            </w:pPr>
            <w:r>
              <w:rPr>
                <w:rFonts w:ascii="宋体" w:hAnsi="宋体" w:hint="eastAsia"/>
              </w:rPr>
              <w:t>山东泰安</w:t>
            </w:r>
          </w:p>
        </w:tc>
        <w:tc>
          <w:tcPr>
            <w:tcW w:w="1194" w:type="dxa"/>
            <w:vAlign w:val="center"/>
          </w:tcPr>
          <w:p>
            <w:pPr>
              <w:jc w:val="both"/>
              <w:rPr>
                <w:rFonts w:ascii="宋体" w:hAnsi="宋体"/>
              </w:rPr>
            </w:pPr>
            <w:r>
              <w:rPr>
                <w:rFonts w:ascii="宋体" w:hAnsi="宋体" w:hint="eastAsia"/>
              </w:rPr>
              <w:t>山东泰安</w:t>
            </w:r>
          </w:p>
        </w:tc>
        <w:tc>
          <w:tcPr>
            <w:tcW w:w="4314" w:type="dxa"/>
            <w:vAlign w:val="center"/>
          </w:tcPr>
          <w:p>
            <w:pPr>
              <w:jc w:val="both"/>
              <w:rPr>
                <w:rFonts w:ascii="宋体" w:hAnsi="宋体"/>
              </w:rPr>
            </w:pPr>
            <w:r>
              <w:rPr>
                <w:rFonts w:ascii="宋体" w:hAnsi="宋体" w:hint="eastAsia"/>
              </w:rPr>
              <w:t>煤炭贸易，港口、铁路运输</w:t>
            </w:r>
          </w:p>
        </w:tc>
        <w:tc>
          <w:tcPr>
            <w:tcW w:w="910" w:type="dxa"/>
            <w:vAlign w:val="center"/>
          </w:tcPr>
          <w:p>
            <w:pPr>
              <w:jc w:val="both"/>
              <w:rPr>
                <w:rFonts w:ascii="宋体" w:hAnsi="宋体"/>
              </w:rPr>
            </w:pPr>
            <w:r>
              <w:rPr>
                <w:rFonts w:ascii="宋体" w:hAnsi="宋体" w:hint="eastAsia"/>
              </w:rPr>
              <w:t>6.52</w:t>
            </w:r>
          </w:p>
        </w:tc>
        <w:tc>
          <w:tcPr>
            <w:tcW w:w="911" w:type="dxa"/>
            <w:vAlign w:val="center"/>
          </w:tcPr>
          <w:p>
            <w:pPr>
              <w:jc w:val="both"/>
              <w:rPr>
                <w:rFonts w:ascii="宋体" w:hAnsi="宋体"/>
              </w:rPr>
            </w:pPr>
            <w:r>
              <w:rPr>
                <w:rFonts w:ascii="宋体" w:hAnsi="宋体" w:hint="eastAsia"/>
              </w:rPr>
              <w:t>81.09</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兖煤技术发展（控股）有限公司</w:t>
            </w:r>
          </w:p>
        </w:tc>
        <w:tc>
          <w:tcPr>
            <w:tcW w:w="1337" w:type="dxa"/>
            <w:vAlign w:val="center"/>
          </w:tcPr>
          <w:p>
            <w:pPr>
              <w:jc w:val="both"/>
              <w:rPr>
                <w:rFonts w:ascii="宋体" w:hAnsi="宋体"/>
              </w:rPr>
            </w:pPr>
            <w:r>
              <w:rPr>
                <w:rFonts w:ascii="宋体" w:hAnsi="宋体" w:hint="eastAsia"/>
              </w:rPr>
              <w:t>澳大利亚</w:t>
            </w:r>
          </w:p>
        </w:tc>
        <w:tc>
          <w:tcPr>
            <w:tcW w:w="1194" w:type="dxa"/>
            <w:vAlign w:val="center"/>
          </w:tcPr>
          <w:p>
            <w:pPr>
              <w:jc w:val="both"/>
              <w:rPr>
                <w:rFonts w:ascii="宋体" w:hAnsi="宋体"/>
              </w:rPr>
            </w:pPr>
            <w:r>
              <w:rPr>
                <w:rFonts w:ascii="宋体" w:hAnsi="宋体" w:hint="eastAsia"/>
              </w:rPr>
              <w:t>澳大利亚</w:t>
            </w:r>
          </w:p>
        </w:tc>
        <w:tc>
          <w:tcPr>
            <w:tcW w:w="4314" w:type="dxa"/>
            <w:vAlign w:val="center"/>
          </w:tcPr>
          <w:p>
            <w:pPr>
              <w:jc w:val="both"/>
              <w:rPr>
                <w:rFonts w:ascii="宋体" w:hAnsi="宋体"/>
              </w:rPr>
            </w:pPr>
            <w:r>
              <w:rPr>
                <w:rFonts w:ascii="宋体" w:hAnsi="宋体" w:hint="eastAsia"/>
              </w:rPr>
              <w:t>控股公司</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兖矿能源（鄂尔多斯）有限公司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lastRenderedPageBreak/>
              <w:t>内蒙古荣信化工有限公司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甲醇生产及销售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内蒙古鑫泰煤炭有限公司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鄂尔多斯市转龙湾煤炭有限公司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兖矿东华重工有限公司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矿用设备、机电设备、橡胶制品等的生产销售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兖矿集团唐村实业有限公司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橡胶输送带、电缆制造</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兖矿集团邹城金通橡胶有限公司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高、中、低压橡胶软管制造</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54.55</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山东兖矿智能制造有限公司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设备制造、机械制造修理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山东兖矿集团长龙电缆制造有限公司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电缆、电线、电缆附件及原料的制造、销售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95</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兖州煤业山西能化有限公司</w:t>
            </w:r>
          </w:p>
        </w:tc>
        <w:tc>
          <w:tcPr>
            <w:tcW w:w="1337" w:type="dxa"/>
            <w:vAlign w:val="center"/>
          </w:tcPr>
          <w:p>
            <w:pPr>
              <w:jc w:val="both"/>
              <w:rPr>
                <w:rFonts w:ascii="宋体" w:hAnsi="宋体"/>
              </w:rPr>
            </w:pPr>
            <w:r>
              <w:rPr>
                <w:rFonts w:ascii="宋体" w:hAnsi="宋体" w:hint="eastAsia"/>
              </w:rPr>
              <w:t>山西晋中</w:t>
            </w:r>
          </w:p>
        </w:tc>
        <w:tc>
          <w:tcPr>
            <w:tcW w:w="1194" w:type="dxa"/>
            <w:vAlign w:val="center"/>
          </w:tcPr>
          <w:p>
            <w:pPr>
              <w:jc w:val="both"/>
              <w:rPr>
                <w:rFonts w:ascii="宋体" w:hAnsi="宋体"/>
              </w:rPr>
            </w:pPr>
            <w:r>
              <w:rPr>
                <w:rFonts w:ascii="宋体" w:hAnsi="宋体" w:hint="eastAsia"/>
              </w:rPr>
              <w:t>山西晋中</w:t>
            </w:r>
          </w:p>
        </w:tc>
        <w:tc>
          <w:tcPr>
            <w:tcW w:w="4314" w:type="dxa"/>
            <w:vAlign w:val="center"/>
          </w:tcPr>
          <w:p>
            <w:pPr>
              <w:jc w:val="both"/>
              <w:rPr>
                <w:rFonts w:ascii="宋体" w:hAnsi="宋体"/>
              </w:rPr>
            </w:pPr>
            <w:r>
              <w:rPr>
                <w:rFonts w:ascii="宋体" w:hAnsi="宋体" w:hint="eastAsia"/>
              </w:rPr>
              <w:t>热电投资、煤炭技术服务</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山西和顺天池能源有限责任公司</w:t>
            </w:r>
          </w:p>
        </w:tc>
        <w:tc>
          <w:tcPr>
            <w:tcW w:w="1337" w:type="dxa"/>
            <w:vAlign w:val="center"/>
          </w:tcPr>
          <w:p>
            <w:pPr>
              <w:jc w:val="both"/>
              <w:rPr>
                <w:rFonts w:ascii="宋体" w:hAnsi="宋体"/>
              </w:rPr>
            </w:pPr>
            <w:r>
              <w:rPr>
                <w:rFonts w:ascii="宋体" w:hAnsi="宋体" w:hint="eastAsia"/>
              </w:rPr>
              <w:t>山西和顺</w:t>
            </w:r>
          </w:p>
        </w:tc>
        <w:tc>
          <w:tcPr>
            <w:tcW w:w="1194" w:type="dxa"/>
            <w:vAlign w:val="center"/>
          </w:tcPr>
          <w:p>
            <w:pPr>
              <w:jc w:val="both"/>
              <w:rPr>
                <w:rFonts w:ascii="宋体" w:hAnsi="宋体"/>
              </w:rPr>
            </w:pPr>
            <w:r>
              <w:rPr>
                <w:rFonts w:ascii="宋体" w:hAnsi="宋体" w:hint="eastAsia"/>
              </w:rPr>
              <w:t>山西和顺</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r>
              <w:rPr>
                <w:rFonts w:ascii="宋体" w:hAnsi="宋体" w:hint="eastAsia"/>
              </w:rPr>
              <w:t>81.31</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兖州煤业榆林能化有限公司</w:t>
            </w:r>
          </w:p>
        </w:tc>
        <w:tc>
          <w:tcPr>
            <w:tcW w:w="1337" w:type="dxa"/>
            <w:vAlign w:val="center"/>
          </w:tcPr>
          <w:p>
            <w:pPr>
              <w:jc w:val="both"/>
              <w:rPr>
                <w:rFonts w:ascii="宋体" w:hAnsi="宋体"/>
              </w:rPr>
            </w:pPr>
            <w:r>
              <w:rPr>
                <w:rFonts w:ascii="宋体" w:hAnsi="宋体" w:hint="eastAsia"/>
              </w:rPr>
              <w:t>陕西榆林</w:t>
            </w:r>
          </w:p>
        </w:tc>
        <w:tc>
          <w:tcPr>
            <w:tcW w:w="1194" w:type="dxa"/>
            <w:vAlign w:val="center"/>
          </w:tcPr>
          <w:p>
            <w:pPr>
              <w:jc w:val="both"/>
              <w:rPr>
                <w:rFonts w:ascii="宋体" w:hAnsi="宋体"/>
              </w:rPr>
            </w:pPr>
            <w:r>
              <w:rPr>
                <w:rFonts w:ascii="宋体" w:hAnsi="宋体" w:hint="eastAsia"/>
              </w:rPr>
              <w:t>陕西榆林</w:t>
            </w:r>
          </w:p>
        </w:tc>
        <w:tc>
          <w:tcPr>
            <w:tcW w:w="4314" w:type="dxa"/>
            <w:vAlign w:val="center"/>
          </w:tcPr>
          <w:p>
            <w:pPr>
              <w:jc w:val="both"/>
              <w:rPr>
                <w:rFonts w:ascii="宋体" w:hAnsi="宋体"/>
              </w:rPr>
            </w:pPr>
            <w:r>
              <w:rPr>
                <w:rFonts w:ascii="宋体" w:hAnsi="宋体" w:hint="eastAsia"/>
              </w:rPr>
              <w:t>甲醇生产及销售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兖煤菏泽能化有限公司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r>
              <w:rPr>
                <w:rFonts w:ascii="宋体" w:hAnsi="宋体" w:hint="eastAsia"/>
              </w:rPr>
              <w:t>98.33</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兖煤万福能源有限公司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90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内蒙古昊盛煤业有限公司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r>
              <w:rPr>
                <w:rFonts w:ascii="宋体" w:hAnsi="宋体" w:hint="eastAsia"/>
              </w:rPr>
              <w:t>42.64</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兖矿能源集团国际贸易有限公司</w:t>
            </w:r>
          </w:p>
        </w:tc>
        <w:tc>
          <w:tcPr>
            <w:tcW w:w="1337" w:type="dxa"/>
            <w:vAlign w:val="center"/>
          </w:tcPr>
          <w:p>
            <w:pPr>
              <w:jc w:val="both"/>
              <w:rPr>
                <w:rFonts w:ascii="宋体" w:hAnsi="宋体"/>
              </w:rPr>
            </w:pPr>
            <w:r>
              <w:rPr>
                <w:rFonts w:ascii="宋体" w:hAnsi="宋体" w:hint="eastAsia"/>
              </w:rPr>
              <w:t>山东济南</w:t>
            </w:r>
          </w:p>
        </w:tc>
        <w:tc>
          <w:tcPr>
            <w:tcW w:w="1194" w:type="dxa"/>
            <w:vAlign w:val="center"/>
          </w:tcPr>
          <w:p>
            <w:pPr>
              <w:jc w:val="both"/>
              <w:rPr>
                <w:rFonts w:ascii="宋体" w:hAnsi="宋体"/>
              </w:rPr>
            </w:pPr>
            <w:r>
              <w:rPr>
                <w:rFonts w:ascii="宋体" w:hAnsi="宋体" w:hint="eastAsia"/>
              </w:rPr>
              <w:t>山东济南</w:t>
            </w:r>
          </w:p>
        </w:tc>
        <w:tc>
          <w:tcPr>
            <w:tcW w:w="4314" w:type="dxa"/>
            <w:vAlign w:val="center"/>
          </w:tcPr>
          <w:p>
            <w:pPr>
              <w:jc w:val="both"/>
              <w:rPr>
                <w:rFonts w:ascii="宋体" w:hAnsi="宋体"/>
              </w:rPr>
            </w:pPr>
            <w:r>
              <w:rPr>
                <w:rFonts w:ascii="宋体" w:hAnsi="宋体" w:hint="eastAsia"/>
              </w:rPr>
              <w:t>煤炭、电解铜贸易</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兖矿瑞丰国际贸易有限公司</w:t>
            </w:r>
          </w:p>
        </w:tc>
        <w:tc>
          <w:tcPr>
            <w:tcW w:w="1337" w:type="dxa"/>
            <w:vAlign w:val="center"/>
          </w:tcPr>
          <w:p>
            <w:pPr>
              <w:jc w:val="both"/>
              <w:rPr>
                <w:rFonts w:ascii="宋体" w:hAnsi="宋体"/>
              </w:rPr>
            </w:pPr>
            <w:r>
              <w:rPr>
                <w:rFonts w:ascii="宋体" w:hAnsi="宋体" w:hint="eastAsia"/>
              </w:rPr>
              <w:t>山东青岛</w:t>
            </w:r>
          </w:p>
        </w:tc>
        <w:tc>
          <w:tcPr>
            <w:tcW w:w="1194" w:type="dxa"/>
            <w:vAlign w:val="center"/>
          </w:tcPr>
          <w:p>
            <w:pPr>
              <w:jc w:val="both"/>
              <w:rPr>
                <w:rFonts w:ascii="宋体" w:hAnsi="宋体"/>
              </w:rPr>
            </w:pPr>
            <w:r>
              <w:rPr>
                <w:rFonts w:ascii="宋体" w:hAnsi="宋体" w:hint="eastAsia"/>
              </w:rPr>
              <w:t>山东青岛</w:t>
            </w:r>
          </w:p>
        </w:tc>
        <w:tc>
          <w:tcPr>
            <w:tcW w:w="4314" w:type="dxa"/>
            <w:vAlign w:val="center"/>
          </w:tcPr>
          <w:p>
            <w:pPr>
              <w:jc w:val="both"/>
              <w:rPr>
                <w:rFonts w:ascii="宋体" w:hAnsi="宋体"/>
              </w:rPr>
            </w:pPr>
            <w:r>
              <w:rPr>
                <w:rFonts w:ascii="宋体" w:hAnsi="宋体" w:hint="eastAsia"/>
              </w:rPr>
              <w:t>国际贸易、转口贸易</w:t>
            </w:r>
          </w:p>
        </w:tc>
        <w:tc>
          <w:tcPr>
            <w:tcW w:w="910" w:type="dxa"/>
            <w:vAlign w:val="center"/>
          </w:tcPr>
          <w:p>
            <w:pPr>
              <w:jc w:val="both"/>
              <w:rPr>
                <w:rFonts w:ascii="宋体" w:hAnsi="宋体"/>
              </w:rPr>
            </w:pPr>
            <w:r>
              <w:rPr>
                <w:rFonts w:ascii="宋体" w:hAnsi="宋体" w:hint="eastAsia"/>
              </w:rPr>
              <w:t>51</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兖矿瑞丰（香港）有限公司</w:t>
            </w:r>
          </w:p>
        </w:tc>
        <w:tc>
          <w:tcPr>
            <w:tcW w:w="1337" w:type="dxa"/>
            <w:vAlign w:val="center"/>
          </w:tcPr>
          <w:p>
            <w:pPr>
              <w:jc w:val="both"/>
              <w:rPr>
                <w:rFonts w:ascii="宋体" w:hAnsi="宋体"/>
              </w:rPr>
            </w:pPr>
            <w:r>
              <w:rPr>
                <w:rFonts w:ascii="宋体" w:hAnsi="宋体" w:hint="eastAsia"/>
              </w:rPr>
              <w:t>香港</w:t>
            </w:r>
          </w:p>
        </w:tc>
        <w:tc>
          <w:tcPr>
            <w:tcW w:w="1194" w:type="dxa"/>
            <w:vAlign w:val="center"/>
          </w:tcPr>
          <w:p>
            <w:pPr>
              <w:jc w:val="both"/>
              <w:rPr>
                <w:rFonts w:ascii="宋体" w:hAnsi="宋体"/>
              </w:rPr>
            </w:pPr>
            <w:r>
              <w:rPr>
                <w:rFonts w:ascii="宋体" w:hAnsi="宋体" w:hint="eastAsia"/>
              </w:rPr>
              <w:t>香港</w:t>
            </w:r>
          </w:p>
        </w:tc>
        <w:tc>
          <w:tcPr>
            <w:tcW w:w="4314" w:type="dxa"/>
            <w:vAlign w:val="center"/>
          </w:tcPr>
          <w:p>
            <w:pPr>
              <w:jc w:val="both"/>
              <w:rPr>
                <w:rFonts w:ascii="宋体" w:hAnsi="宋体"/>
              </w:rPr>
            </w:pPr>
            <w:r>
              <w:rPr>
                <w:rFonts w:ascii="宋体" w:hAnsi="宋体" w:hint="eastAsia"/>
              </w:rPr>
              <w:t>国际贸易、转口贸易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兖矿再生资源有限公司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废弃资源综合利用</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端信投资控股（北京）有限公司</w:t>
            </w:r>
          </w:p>
        </w:tc>
        <w:tc>
          <w:tcPr>
            <w:tcW w:w="1337" w:type="dxa"/>
            <w:vAlign w:val="center"/>
          </w:tcPr>
          <w:p>
            <w:pPr>
              <w:jc w:val="both"/>
              <w:rPr>
                <w:rFonts w:ascii="宋体" w:hAnsi="宋体"/>
              </w:rPr>
            </w:pPr>
            <w:r>
              <w:rPr>
                <w:rFonts w:ascii="宋体" w:hAnsi="宋体" w:hint="eastAsia"/>
              </w:rPr>
              <w:t>北京</w:t>
            </w:r>
          </w:p>
        </w:tc>
        <w:tc>
          <w:tcPr>
            <w:tcW w:w="1194" w:type="dxa"/>
            <w:vAlign w:val="center"/>
          </w:tcPr>
          <w:p>
            <w:pPr>
              <w:jc w:val="both"/>
              <w:rPr>
                <w:rFonts w:ascii="宋体" w:hAnsi="宋体"/>
              </w:rPr>
            </w:pPr>
            <w:r>
              <w:rPr>
                <w:rFonts w:ascii="宋体" w:hAnsi="宋体" w:hint="eastAsia"/>
              </w:rPr>
              <w:t>北京</w:t>
            </w:r>
          </w:p>
        </w:tc>
        <w:tc>
          <w:tcPr>
            <w:tcW w:w="4314" w:type="dxa"/>
            <w:vAlign w:val="center"/>
          </w:tcPr>
          <w:p>
            <w:pPr>
              <w:jc w:val="both"/>
              <w:rPr>
                <w:rFonts w:ascii="宋体" w:hAnsi="宋体"/>
              </w:rPr>
            </w:pPr>
            <w:r>
              <w:rPr>
                <w:rFonts w:ascii="宋体" w:hAnsi="宋体" w:hint="eastAsia"/>
              </w:rPr>
              <w:t>投资管理</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端信投资控股（深圳）有限公司</w:t>
            </w:r>
          </w:p>
        </w:tc>
        <w:tc>
          <w:tcPr>
            <w:tcW w:w="1337" w:type="dxa"/>
            <w:vAlign w:val="center"/>
          </w:tcPr>
          <w:p>
            <w:pPr>
              <w:jc w:val="both"/>
              <w:rPr>
                <w:rFonts w:ascii="宋体" w:hAnsi="宋体"/>
              </w:rPr>
            </w:pPr>
            <w:r>
              <w:rPr>
                <w:rFonts w:ascii="宋体" w:hAnsi="宋体" w:hint="eastAsia"/>
              </w:rPr>
              <w:t>广东深圳</w:t>
            </w:r>
          </w:p>
        </w:tc>
        <w:tc>
          <w:tcPr>
            <w:tcW w:w="1194" w:type="dxa"/>
            <w:vAlign w:val="center"/>
          </w:tcPr>
          <w:p>
            <w:pPr>
              <w:jc w:val="both"/>
              <w:rPr>
                <w:rFonts w:ascii="宋体" w:hAnsi="宋体"/>
              </w:rPr>
            </w:pPr>
            <w:r>
              <w:rPr>
                <w:rFonts w:ascii="宋体" w:hAnsi="宋体" w:hint="eastAsia"/>
              </w:rPr>
              <w:t>广东深圳</w:t>
            </w:r>
          </w:p>
        </w:tc>
        <w:tc>
          <w:tcPr>
            <w:tcW w:w="4314" w:type="dxa"/>
            <w:vAlign w:val="center"/>
          </w:tcPr>
          <w:p>
            <w:pPr>
              <w:jc w:val="both"/>
              <w:rPr>
                <w:rFonts w:ascii="宋体" w:hAnsi="宋体"/>
              </w:rPr>
            </w:pPr>
            <w:r>
              <w:rPr>
                <w:rFonts w:ascii="宋体" w:hAnsi="宋体" w:hint="eastAsia"/>
              </w:rPr>
              <w:t>投资管理</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端信国际贸易（深圳）有限公司</w:t>
            </w:r>
          </w:p>
        </w:tc>
        <w:tc>
          <w:tcPr>
            <w:tcW w:w="1337" w:type="dxa"/>
            <w:vAlign w:val="center"/>
          </w:tcPr>
          <w:p>
            <w:pPr>
              <w:jc w:val="both"/>
              <w:rPr>
                <w:rFonts w:ascii="宋体" w:hAnsi="宋体"/>
              </w:rPr>
            </w:pPr>
            <w:r>
              <w:rPr>
                <w:rFonts w:ascii="宋体" w:hAnsi="宋体" w:hint="eastAsia"/>
              </w:rPr>
              <w:t>广东深圳</w:t>
            </w:r>
          </w:p>
        </w:tc>
        <w:tc>
          <w:tcPr>
            <w:tcW w:w="1194" w:type="dxa"/>
            <w:vAlign w:val="center"/>
          </w:tcPr>
          <w:p>
            <w:pPr>
              <w:jc w:val="both"/>
              <w:rPr>
                <w:rFonts w:ascii="宋体" w:hAnsi="宋体"/>
              </w:rPr>
            </w:pPr>
            <w:r>
              <w:rPr>
                <w:rFonts w:ascii="宋体" w:hAnsi="宋体" w:hint="eastAsia"/>
              </w:rPr>
              <w:t>广东深圳</w:t>
            </w:r>
          </w:p>
        </w:tc>
        <w:tc>
          <w:tcPr>
            <w:tcW w:w="4314" w:type="dxa"/>
            <w:vAlign w:val="center"/>
          </w:tcPr>
          <w:p>
            <w:pPr>
              <w:jc w:val="both"/>
              <w:rPr>
                <w:rFonts w:ascii="宋体" w:hAnsi="宋体"/>
              </w:rPr>
            </w:pPr>
            <w:r>
              <w:rPr>
                <w:rFonts w:ascii="宋体" w:hAnsi="宋体" w:hint="eastAsia"/>
              </w:rPr>
              <w:t>保理业务、投资兴办实业</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端信供应链（深圳）有限公司</w:t>
            </w:r>
          </w:p>
        </w:tc>
        <w:tc>
          <w:tcPr>
            <w:tcW w:w="1337" w:type="dxa"/>
            <w:vAlign w:val="center"/>
          </w:tcPr>
          <w:p>
            <w:pPr>
              <w:jc w:val="both"/>
              <w:rPr>
                <w:rFonts w:ascii="宋体" w:hAnsi="宋体"/>
              </w:rPr>
            </w:pPr>
            <w:r>
              <w:rPr>
                <w:rFonts w:ascii="宋体" w:hAnsi="宋体" w:hint="eastAsia"/>
              </w:rPr>
              <w:t>广东深圳</w:t>
            </w:r>
          </w:p>
        </w:tc>
        <w:tc>
          <w:tcPr>
            <w:tcW w:w="1194" w:type="dxa"/>
            <w:vAlign w:val="center"/>
          </w:tcPr>
          <w:p>
            <w:pPr>
              <w:jc w:val="both"/>
              <w:rPr>
                <w:rFonts w:ascii="宋体" w:hAnsi="宋体"/>
              </w:rPr>
            </w:pPr>
            <w:r>
              <w:rPr>
                <w:rFonts w:ascii="宋体" w:hAnsi="宋体" w:hint="eastAsia"/>
              </w:rPr>
              <w:t>广东深圳</w:t>
            </w:r>
          </w:p>
        </w:tc>
        <w:tc>
          <w:tcPr>
            <w:tcW w:w="4314" w:type="dxa"/>
            <w:vAlign w:val="center"/>
          </w:tcPr>
          <w:p>
            <w:pPr>
              <w:jc w:val="both"/>
              <w:rPr>
                <w:rFonts w:ascii="宋体" w:hAnsi="宋体"/>
              </w:rPr>
            </w:pPr>
            <w:r>
              <w:rPr>
                <w:rFonts w:ascii="宋体" w:hAnsi="宋体" w:hint="eastAsia"/>
              </w:rPr>
              <w:t>普通货物运输、建筑材料销售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山东端信供应链管理有限公司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普货运输、货运代理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菏泽端信供应链管理有限公司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普货运输、货运代理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达拉特旗端信供应链管理有限公司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普货运输、货运代理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伊金霍洛旗端信供应链管理有限公司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普货运输、货运代理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乌审旗端信供应链管理有限公司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普通货物运输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巨野县端信供应链管理有限公司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普通货物运输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榆林端信供应链管理有限公司</w:t>
            </w:r>
          </w:p>
        </w:tc>
        <w:tc>
          <w:tcPr>
            <w:tcW w:w="1337" w:type="dxa"/>
            <w:vAlign w:val="center"/>
          </w:tcPr>
          <w:p>
            <w:pPr>
              <w:jc w:val="both"/>
              <w:rPr>
                <w:rFonts w:ascii="宋体" w:hAnsi="宋体"/>
              </w:rPr>
            </w:pPr>
            <w:r>
              <w:rPr>
                <w:rFonts w:ascii="宋体" w:hAnsi="宋体" w:hint="eastAsia"/>
              </w:rPr>
              <w:t>陕西榆林</w:t>
            </w:r>
          </w:p>
        </w:tc>
        <w:tc>
          <w:tcPr>
            <w:tcW w:w="1194" w:type="dxa"/>
            <w:vAlign w:val="center"/>
          </w:tcPr>
          <w:p>
            <w:pPr>
              <w:jc w:val="both"/>
              <w:rPr>
                <w:rFonts w:ascii="宋体" w:hAnsi="宋体"/>
              </w:rPr>
            </w:pPr>
            <w:r>
              <w:rPr>
                <w:rFonts w:ascii="宋体" w:hAnsi="宋体" w:hint="eastAsia"/>
              </w:rPr>
              <w:t>陕西榆林</w:t>
            </w:r>
          </w:p>
        </w:tc>
        <w:tc>
          <w:tcPr>
            <w:tcW w:w="4314" w:type="dxa"/>
            <w:vAlign w:val="center"/>
          </w:tcPr>
          <w:p>
            <w:pPr>
              <w:jc w:val="both"/>
              <w:rPr>
                <w:rFonts w:ascii="宋体" w:hAnsi="宋体"/>
              </w:rPr>
            </w:pPr>
            <w:r>
              <w:rPr>
                <w:rFonts w:ascii="宋体" w:hAnsi="宋体" w:hint="eastAsia"/>
              </w:rPr>
              <w:t>普通货物运输、货运场服务、煤炭销售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62</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山东华聚能源股份有限公司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火力发电及发电余热综合利用</w:t>
            </w:r>
          </w:p>
        </w:tc>
        <w:tc>
          <w:tcPr>
            <w:tcW w:w="910" w:type="dxa"/>
            <w:vAlign w:val="center"/>
          </w:tcPr>
          <w:p>
            <w:pPr>
              <w:jc w:val="both"/>
              <w:rPr>
                <w:rFonts w:ascii="宋体" w:hAnsi="宋体"/>
              </w:rPr>
            </w:pPr>
            <w:r>
              <w:rPr>
                <w:rFonts w:ascii="宋体" w:hAnsi="宋体" w:hint="eastAsia"/>
              </w:rPr>
              <w:t>95.15</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lastRenderedPageBreak/>
              <w:t>青岛中兖贸易有限公司</w:t>
            </w:r>
          </w:p>
        </w:tc>
        <w:tc>
          <w:tcPr>
            <w:tcW w:w="1337" w:type="dxa"/>
            <w:vAlign w:val="center"/>
          </w:tcPr>
          <w:p>
            <w:pPr>
              <w:jc w:val="both"/>
              <w:rPr>
                <w:rFonts w:ascii="宋体" w:hAnsi="宋体"/>
              </w:rPr>
            </w:pPr>
            <w:r>
              <w:rPr>
                <w:rFonts w:ascii="宋体" w:hAnsi="宋体" w:hint="eastAsia"/>
              </w:rPr>
              <w:t>山东青岛</w:t>
            </w:r>
          </w:p>
        </w:tc>
        <w:tc>
          <w:tcPr>
            <w:tcW w:w="1194" w:type="dxa"/>
            <w:vAlign w:val="center"/>
          </w:tcPr>
          <w:p>
            <w:pPr>
              <w:jc w:val="both"/>
              <w:rPr>
                <w:rFonts w:ascii="宋体" w:hAnsi="宋体"/>
              </w:rPr>
            </w:pPr>
            <w:r>
              <w:rPr>
                <w:rFonts w:ascii="宋体" w:hAnsi="宋体" w:hint="eastAsia"/>
              </w:rPr>
              <w:t>山东青岛</w:t>
            </w:r>
          </w:p>
        </w:tc>
        <w:tc>
          <w:tcPr>
            <w:tcW w:w="4314" w:type="dxa"/>
            <w:vAlign w:val="center"/>
          </w:tcPr>
          <w:p>
            <w:pPr>
              <w:jc w:val="both"/>
              <w:rPr>
                <w:rFonts w:ascii="宋体" w:hAnsi="宋体"/>
              </w:rPr>
            </w:pPr>
            <w:r>
              <w:rPr>
                <w:rFonts w:ascii="宋体" w:hAnsi="宋体" w:hint="eastAsia"/>
              </w:rPr>
              <w:t>保税区内贸易及仓储</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兖矿融资租赁有限公司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融资租赁业务</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上海兖矿能源发展有限公司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新兴能源技术研发、物业管理</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兖矿商业保理（上海）有限公司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商业保理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中垠（香港）有限公司</w:t>
            </w:r>
          </w:p>
        </w:tc>
        <w:tc>
          <w:tcPr>
            <w:tcW w:w="1337" w:type="dxa"/>
            <w:vAlign w:val="center"/>
          </w:tcPr>
          <w:p>
            <w:pPr>
              <w:jc w:val="both"/>
              <w:rPr>
                <w:rFonts w:ascii="宋体" w:hAnsi="宋体"/>
              </w:rPr>
            </w:pPr>
            <w:r>
              <w:rPr>
                <w:rFonts w:ascii="宋体" w:hAnsi="宋体" w:hint="eastAsia"/>
              </w:rPr>
              <w:t>香港</w:t>
            </w:r>
          </w:p>
        </w:tc>
        <w:tc>
          <w:tcPr>
            <w:tcW w:w="1194" w:type="dxa"/>
            <w:vAlign w:val="center"/>
          </w:tcPr>
          <w:p>
            <w:pPr>
              <w:jc w:val="both"/>
              <w:rPr>
                <w:rFonts w:ascii="宋体" w:hAnsi="宋体"/>
              </w:rPr>
            </w:pPr>
            <w:r>
              <w:rPr>
                <w:rFonts w:ascii="宋体" w:hAnsi="宋体" w:hint="eastAsia"/>
              </w:rPr>
              <w:t>香港</w:t>
            </w:r>
          </w:p>
        </w:tc>
        <w:tc>
          <w:tcPr>
            <w:tcW w:w="4314" w:type="dxa"/>
            <w:vAlign w:val="center"/>
          </w:tcPr>
          <w:p>
            <w:pPr>
              <w:jc w:val="both"/>
              <w:rPr>
                <w:rFonts w:ascii="宋体" w:hAnsi="宋体"/>
              </w:rPr>
            </w:pPr>
            <w:r>
              <w:rPr>
                <w:rFonts w:ascii="宋体" w:hAnsi="宋体" w:hint="eastAsia"/>
              </w:rPr>
              <w:t>融资租赁业务、租赁、贸易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兖矿融资租赁（泰安）有限公司</w:t>
            </w:r>
          </w:p>
        </w:tc>
        <w:tc>
          <w:tcPr>
            <w:tcW w:w="1337" w:type="dxa"/>
            <w:vAlign w:val="center"/>
          </w:tcPr>
          <w:p>
            <w:pPr>
              <w:jc w:val="both"/>
              <w:rPr>
                <w:rFonts w:ascii="宋体" w:hAnsi="宋体"/>
              </w:rPr>
            </w:pPr>
            <w:r>
              <w:rPr>
                <w:rFonts w:ascii="宋体" w:hAnsi="宋体" w:hint="eastAsia"/>
              </w:rPr>
              <w:t>山东泰安</w:t>
            </w:r>
          </w:p>
        </w:tc>
        <w:tc>
          <w:tcPr>
            <w:tcW w:w="1194" w:type="dxa"/>
            <w:vAlign w:val="center"/>
          </w:tcPr>
          <w:p>
            <w:pPr>
              <w:jc w:val="both"/>
              <w:rPr>
                <w:rFonts w:ascii="宋体" w:hAnsi="宋体"/>
              </w:rPr>
            </w:pPr>
            <w:r>
              <w:rPr>
                <w:rFonts w:ascii="宋体" w:hAnsi="宋体" w:hint="eastAsia"/>
              </w:rPr>
              <w:t>山东泰安</w:t>
            </w:r>
          </w:p>
        </w:tc>
        <w:tc>
          <w:tcPr>
            <w:tcW w:w="4314" w:type="dxa"/>
            <w:vAlign w:val="center"/>
          </w:tcPr>
          <w:p>
            <w:pPr>
              <w:jc w:val="both"/>
              <w:rPr>
                <w:rFonts w:ascii="宋体" w:hAnsi="宋体"/>
              </w:rPr>
            </w:pPr>
            <w:r>
              <w:rPr>
                <w:rFonts w:ascii="宋体" w:hAnsi="宋体" w:hint="eastAsia"/>
              </w:rPr>
              <w:t>融资租赁业务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兖矿商业保理（天津）有限公司</w:t>
            </w:r>
          </w:p>
        </w:tc>
        <w:tc>
          <w:tcPr>
            <w:tcW w:w="1337" w:type="dxa"/>
            <w:vAlign w:val="center"/>
          </w:tcPr>
          <w:p>
            <w:pPr>
              <w:jc w:val="both"/>
              <w:rPr>
                <w:rFonts w:ascii="宋体" w:hAnsi="宋体"/>
              </w:rPr>
            </w:pPr>
            <w:r>
              <w:rPr>
                <w:rFonts w:ascii="宋体" w:hAnsi="宋体" w:hint="eastAsia"/>
              </w:rPr>
              <w:t>天津</w:t>
            </w:r>
          </w:p>
        </w:tc>
        <w:tc>
          <w:tcPr>
            <w:tcW w:w="1194" w:type="dxa"/>
            <w:vAlign w:val="center"/>
          </w:tcPr>
          <w:p>
            <w:pPr>
              <w:jc w:val="both"/>
              <w:rPr>
                <w:rFonts w:ascii="宋体" w:hAnsi="宋体"/>
              </w:rPr>
            </w:pPr>
            <w:r>
              <w:rPr>
                <w:rFonts w:ascii="宋体" w:hAnsi="宋体" w:hint="eastAsia"/>
              </w:rPr>
              <w:t>天津</w:t>
            </w:r>
          </w:p>
        </w:tc>
        <w:tc>
          <w:tcPr>
            <w:tcW w:w="4314" w:type="dxa"/>
            <w:vAlign w:val="center"/>
          </w:tcPr>
          <w:p>
            <w:pPr>
              <w:jc w:val="both"/>
              <w:rPr>
                <w:rFonts w:ascii="宋体" w:hAnsi="宋体"/>
              </w:rPr>
            </w:pPr>
            <w:r>
              <w:rPr>
                <w:rFonts w:ascii="宋体" w:hAnsi="宋体" w:hint="eastAsia"/>
              </w:rPr>
              <w:t>商业保理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75.99</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山东兖煤航运有限公司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货物运输煤炭销售</w:t>
            </w:r>
          </w:p>
        </w:tc>
        <w:tc>
          <w:tcPr>
            <w:tcW w:w="910" w:type="dxa"/>
            <w:vAlign w:val="center"/>
          </w:tcPr>
          <w:p>
            <w:pPr>
              <w:jc w:val="both"/>
              <w:rPr>
                <w:rFonts w:ascii="宋体" w:hAnsi="宋体"/>
              </w:rPr>
            </w:pPr>
            <w:r>
              <w:rPr>
                <w:rFonts w:ascii="宋体" w:hAnsi="宋体" w:hint="eastAsia"/>
              </w:rPr>
              <w:t>92</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兖煤矿业工程有限公司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矿业工程</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兖煤蓝天清洁能源有限公司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洁净型煤生产、销售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兖矿能源（无锡）有限公司</w:t>
            </w:r>
          </w:p>
        </w:tc>
        <w:tc>
          <w:tcPr>
            <w:tcW w:w="1337" w:type="dxa"/>
            <w:vAlign w:val="center"/>
          </w:tcPr>
          <w:p>
            <w:pPr>
              <w:jc w:val="both"/>
              <w:rPr>
                <w:rFonts w:ascii="宋体" w:hAnsi="宋体"/>
              </w:rPr>
            </w:pPr>
            <w:r>
              <w:rPr>
                <w:rFonts w:ascii="宋体" w:hAnsi="宋体" w:hint="eastAsia"/>
              </w:rPr>
              <w:t>江苏无锡</w:t>
            </w:r>
          </w:p>
        </w:tc>
        <w:tc>
          <w:tcPr>
            <w:tcW w:w="1194" w:type="dxa"/>
            <w:vAlign w:val="center"/>
          </w:tcPr>
          <w:p>
            <w:pPr>
              <w:jc w:val="both"/>
              <w:rPr>
                <w:rFonts w:ascii="宋体" w:hAnsi="宋体"/>
              </w:rPr>
            </w:pPr>
            <w:r>
              <w:rPr>
                <w:rFonts w:ascii="宋体" w:hAnsi="宋体" w:hint="eastAsia"/>
              </w:rPr>
              <w:t>江苏无锡</w:t>
            </w:r>
          </w:p>
        </w:tc>
        <w:tc>
          <w:tcPr>
            <w:tcW w:w="4314" w:type="dxa"/>
            <w:vAlign w:val="center"/>
          </w:tcPr>
          <w:p>
            <w:pPr>
              <w:jc w:val="both"/>
              <w:rPr>
                <w:rFonts w:ascii="宋体" w:hAnsi="宋体"/>
              </w:rPr>
            </w:pPr>
            <w:r>
              <w:rPr>
                <w:rFonts w:ascii="宋体" w:hAnsi="宋体" w:hint="eastAsia"/>
              </w:rPr>
              <w:t>煤炭批发、房地产开发经营等</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上海巨匠资产管理有限公司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资产投资管理</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兖矿能源（青岛）有限公司</w:t>
            </w:r>
          </w:p>
        </w:tc>
        <w:tc>
          <w:tcPr>
            <w:tcW w:w="1337" w:type="dxa"/>
            <w:vAlign w:val="center"/>
          </w:tcPr>
          <w:p>
            <w:pPr>
              <w:jc w:val="both"/>
              <w:rPr>
                <w:rFonts w:ascii="宋体" w:hAnsi="宋体"/>
              </w:rPr>
            </w:pPr>
            <w:r>
              <w:rPr>
                <w:rFonts w:ascii="宋体" w:hAnsi="宋体" w:hint="eastAsia"/>
              </w:rPr>
              <w:t>山东青岛</w:t>
            </w:r>
          </w:p>
        </w:tc>
        <w:tc>
          <w:tcPr>
            <w:tcW w:w="1194" w:type="dxa"/>
            <w:vAlign w:val="center"/>
          </w:tcPr>
          <w:p>
            <w:pPr>
              <w:jc w:val="both"/>
              <w:rPr>
                <w:rFonts w:ascii="宋体" w:hAnsi="宋体"/>
              </w:rPr>
            </w:pPr>
            <w:r>
              <w:rPr>
                <w:rFonts w:ascii="宋体" w:hAnsi="宋体" w:hint="eastAsia"/>
              </w:rPr>
              <w:t>山东青岛</w:t>
            </w:r>
          </w:p>
        </w:tc>
        <w:tc>
          <w:tcPr>
            <w:tcW w:w="4314" w:type="dxa"/>
            <w:vAlign w:val="center"/>
          </w:tcPr>
          <w:p>
            <w:pPr>
              <w:jc w:val="both"/>
              <w:rPr>
                <w:rFonts w:ascii="宋体" w:hAnsi="宋体"/>
              </w:rPr>
            </w:pPr>
            <w:r>
              <w:rPr>
                <w:rFonts w:ascii="宋体" w:hAnsi="宋体" w:hint="eastAsia"/>
              </w:rPr>
              <w:t>受托管理股权投资基金</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青岛东方盛隆实业有限公司</w:t>
            </w:r>
          </w:p>
        </w:tc>
        <w:tc>
          <w:tcPr>
            <w:tcW w:w="1337" w:type="dxa"/>
            <w:vAlign w:val="center"/>
          </w:tcPr>
          <w:p>
            <w:pPr>
              <w:jc w:val="both"/>
              <w:rPr>
                <w:rFonts w:ascii="宋体" w:hAnsi="宋体"/>
              </w:rPr>
            </w:pPr>
            <w:r>
              <w:rPr>
                <w:rFonts w:ascii="宋体" w:hAnsi="宋体" w:hint="eastAsia"/>
              </w:rPr>
              <w:t>山东青岛</w:t>
            </w:r>
          </w:p>
        </w:tc>
        <w:tc>
          <w:tcPr>
            <w:tcW w:w="1194" w:type="dxa"/>
            <w:vAlign w:val="center"/>
          </w:tcPr>
          <w:p>
            <w:pPr>
              <w:jc w:val="both"/>
              <w:rPr>
                <w:rFonts w:ascii="宋体" w:hAnsi="宋体"/>
              </w:rPr>
            </w:pPr>
            <w:r>
              <w:rPr>
                <w:rFonts w:ascii="宋体" w:hAnsi="宋体" w:hint="eastAsia"/>
              </w:rPr>
              <w:t>山东青岛</w:t>
            </w:r>
          </w:p>
        </w:tc>
        <w:tc>
          <w:tcPr>
            <w:tcW w:w="4314" w:type="dxa"/>
            <w:vAlign w:val="center"/>
          </w:tcPr>
          <w:p>
            <w:pPr>
              <w:jc w:val="both"/>
              <w:rPr>
                <w:rFonts w:ascii="宋体" w:hAnsi="宋体"/>
              </w:rPr>
            </w:pPr>
            <w:r>
              <w:rPr>
                <w:rFonts w:ascii="宋体" w:hAnsi="宋体" w:hint="eastAsia"/>
              </w:rPr>
              <w:t>煤炭批发经营，房屋租赁</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兖矿智慧生态有限责任公司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环境污染治理、生态修复</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内蒙古矿业（集团）有限责任公司</w:t>
            </w:r>
          </w:p>
        </w:tc>
        <w:tc>
          <w:tcPr>
            <w:tcW w:w="1337" w:type="dxa"/>
            <w:vAlign w:val="center"/>
          </w:tcPr>
          <w:p>
            <w:pPr>
              <w:jc w:val="both"/>
              <w:rPr>
                <w:rFonts w:ascii="宋体" w:hAnsi="宋体"/>
              </w:rPr>
            </w:pPr>
            <w:r>
              <w:rPr>
                <w:rFonts w:ascii="宋体" w:hAnsi="宋体" w:hint="eastAsia"/>
              </w:rPr>
              <w:t>呼和浩特</w:t>
            </w:r>
          </w:p>
        </w:tc>
        <w:tc>
          <w:tcPr>
            <w:tcW w:w="1194" w:type="dxa"/>
            <w:vAlign w:val="center"/>
          </w:tcPr>
          <w:p>
            <w:pPr>
              <w:jc w:val="both"/>
              <w:rPr>
                <w:rFonts w:ascii="宋体" w:hAnsi="宋体"/>
              </w:rPr>
            </w:pPr>
            <w:r>
              <w:rPr>
                <w:rFonts w:ascii="宋体" w:hAnsi="宋体" w:hint="eastAsia"/>
              </w:rPr>
              <w:t>呼和浩特</w:t>
            </w:r>
          </w:p>
        </w:tc>
        <w:tc>
          <w:tcPr>
            <w:tcW w:w="4314" w:type="dxa"/>
            <w:vAlign w:val="center"/>
          </w:tcPr>
          <w:p>
            <w:pPr>
              <w:jc w:val="both"/>
              <w:rPr>
                <w:rFonts w:ascii="宋体" w:hAnsi="宋体"/>
              </w:rPr>
            </w:pPr>
            <w:r>
              <w:rPr>
                <w:rFonts w:ascii="宋体" w:hAnsi="宋体" w:hint="eastAsia"/>
              </w:rPr>
              <w:t>控股公司</w:t>
            </w:r>
          </w:p>
        </w:tc>
        <w:tc>
          <w:tcPr>
            <w:tcW w:w="910" w:type="dxa"/>
            <w:vAlign w:val="center"/>
          </w:tcPr>
          <w:p>
            <w:pPr>
              <w:jc w:val="both"/>
              <w:rPr>
                <w:rFonts w:ascii="宋体" w:hAnsi="宋体"/>
              </w:rPr>
            </w:pPr>
            <w:r>
              <w:rPr>
                <w:rFonts w:ascii="宋体" w:hAnsi="宋体" w:hint="eastAsia"/>
              </w:rPr>
              <w:t>51</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乌兰察布市宏大实业有限公司</w:t>
            </w:r>
          </w:p>
        </w:tc>
        <w:tc>
          <w:tcPr>
            <w:tcW w:w="1337" w:type="dxa"/>
            <w:vAlign w:val="center"/>
          </w:tcPr>
          <w:p>
            <w:pPr>
              <w:jc w:val="both"/>
              <w:rPr>
                <w:rFonts w:ascii="宋体" w:hAnsi="宋体"/>
              </w:rPr>
            </w:pPr>
            <w:r>
              <w:rPr>
                <w:rFonts w:ascii="宋体" w:hAnsi="宋体" w:hint="eastAsia"/>
              </w:rPr>
              <w:t>乌兰察布</w:t>
            </w:r>
          </w:p>
        </w:tc>
        <w:tc>
          <w:tcPr>
            <w:tcW w:w="1194" w:type="dxa"/>
            <w:vAlign w:val="center"/>
          </w:tcPr>
          <w:p>
            <w:pPr>
              <w:jc w:val="both"/>
              <w:rPr>
                <w:rFonts w:ascii="宋体" w:hAnsi="宋体"/>
              </w:rPr>
            </w:pPr>
            <w:r>
              <w:rPr>
                <w:rFonts w:ascii="宋体" w:hAnsi="宋体" w:hint="eastAsia"/>
              </w:rPr>
              <w:t>乌兰察布</w:t>
            </w:r>
          </w:p>
        </w:tc>
        <w:tc>
          <w:tcPr>
            <w:tcW w:w="4314" w:type="dxa"/>
            <w:vAlign w:val="center"/>
          </w:tcPr>
          <w:p>
            <w:pPr>
              <w:jc w:val="both"/>
              <w:rPr>
                <w:rFonts w:ascii="宋体" w:hAnsi="宋体"/>
              </w:rPr>
            </w:pPr>
            <w:r>
              <w:rPr>
                <w:rFonts w:ascii="宋体" w:hAnsi="宋体" w:hint="eastAsia"/>
              </w:rPr>
              <w:t>运营电力</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鄂尔多斯市锋威光电有限公司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太阳能、风能发电项目建设及生产运营</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兖矿（兴和）钼业有限公司</w:t>
            </w:r>
          </w:p>
        </w:tc>
        <w:tc>
          <w:tcPr>
            <w:tcW w:w="1337" w:type="dxa"/>
            <w:vAlign w:val="center"/>
          </w:tcPr>
          <w:p>
            <w:pPr>
              <w:jc w:val="both"/>
              <w:rPr>
                <w:rFonts w:ascii="宋体" w:hAnsi="宋体"/>
              </w:rPr>
            </w:pPr>
            <w:r>
              <w:rPr>
                <w:rFonts w:ascii="宋体" w:hAnsi="宋体" w:hint="eastAsia"/>
              </w:rPr>
              <w:t>呼和浩特</w:t>
            </w:r>
          </w:p>
        </w:tc>
        <w:tc>
          <w:tcPr>
            <w:tcW w:w="1194" w:type="dxa"/>
            <w:vAlign w:val="center"/>
          </w:tcPr>
          <w:p>
            <w:pPr>
              <w:jc w:val="both"/>
              <w:rPr>
                <w:rFonts w:ascii="宋体" w:hAnsi="宋体"/>
              </w:rPr>
            </w:pPr>
            <w:r>
              <w:rPr>
                <w:rFonts w:ascii="宋体" w:hAnsi="宋体" w:hint="eastAsia"/>
              </w:rPr>
              <w:t>呼和浩特</w:t>
            </w:r>
          </w:p>
        </w:tc>
        <w:tc>
          <w:tcPr>
            <w:tcW w:w="4314" w:type="dxa"/>
            <w:vAlign w:val="center"/>
          </w:tcPr>
          <w:p>
            <w:pPr>
              <w:jc w:val="both"/>
              <w:rPr>
                <w:rFonts w:ascii="宋体" w:hAnsi="宋体"/>
              </w:rPr>
            </w:pPr>
            <w:r>
              <w:rPr>
                <w:rFonts w:ascii="宋体" w:hAnsi="宋体" w:hint="eastAsia"/>
              </w:rPr>
              <w:t>投资与资产管理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鄂尔多斯市绿能光电有限公司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光能、电能设备材料销售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90.29</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鄂尔多斯文化产业园文化教育有限公司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教育软件研发、活动策划</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63.30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内蒙古金控融资租赁有限公司</w:t>
            </w:r>
          </w:p>
        </w:tc>
        <w:tc>
          <w:tcPr>
            <w:tcW w:w="1337" w:type="dxa"/>
            <w:vAlign w:val="center"/>
          </w:tcPr>
          <w:p>
            <w:pPr>
              <w:jc w:val="both"/>
              <w:rPr>
                <w:rFonts w:ascii="宋体" w:hAnsi="宋体"/>
              </w:rPr>
            </w:pPr>
            <w:r>
              <w:rPr>
                <w:rFonts w:ascii="宋体" w:hAnsi="宋体" w:hint="eastAsia"/>
              </w:rPr>
              <w:t>呼伦贝尔</w:t>
            </w:r>
          </w:p>
        </w:tc>
        <w:tc>
          <w:tcPr>
            <w:tcW w:w="1194" w:type="dxa"/>
            <w:vAlign w:val="center"/>
          </w:tcPr>
          <w:p>
            <w:pPr>
              <w:jc w:val="both"/>
              <w:rPr>
                <w:rFonts w:ascii="宋体" w:hAnsi="宋体"/>
              </w:rPr>
            </w:pPr>
            <w:r>
              <w:rPr>
                <w:rFonts w:ascii="宋体" w:hAnsi="宋体" w:hint="eastAsia"/>
              </w:rPr>
              <w:t>呼伦贝尔</w:t>
            </w:r>
          </w:p>
        </w:tc>
        <w:tc>
          <w:tcPr>
            <w:tcW w:w="4314" w:type="dxa"/>
            <w:vAlign w:val="center"/>
          </w:tcPr>
          <w:p>
            <w:pPr>
              <w:jc w:val="both"/>
              <w:rPr>
                <w:rFonts w:ascii="宋体" w:hAnsi="宋体"/>
              </w:rPr>
            </w:pPr>
            <w:r>
              <w:rPr>
                <w:rFonts w:ascii="宋体" w:hAnsi="宋体" w:hint="eastAsia"/>
              </w:rPr>
              <w:t>租赁业务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55</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内蒙古伊泰嘎鲁图矿业有限公司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煤炭开采和洗选业</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52.77</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鄂尔多斯市营盘壕煤炭有限公司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71.70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内蒙古博珢泰煤炭有限公司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煤炭开采和洗选业</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陕西未来能源化工有限公司</w:t>
            </w:r>
          </w:p>
        </w:tc>
        <w:tc>
          <w:tcPr>
            <w:tcW w:w="1337" w:type="dxa"/>
            <w:vAlign w:val="center"/>
          </w:tcPr>
          <w:p>
            <w:pPr>
              <w:jc w:val="both"/>
              <w:rPr>
                <w:rFonts w:ascii="宋体" w:hAnsi="宋体"/>
              </w:rPr>
            </w:pPr>
            <w:r>
              <w:rPr>
                <w:rFonts w:ascii="宋体" w:hAnsi="宋体" w:hint="eastAsia"/>
              </w:rPr>
              <w:t>陕西榆林</w:t>
            </w:r>
          </w:p>
        </w:tc>
        <w:tc>
          <w:tcPr>
            <w:tcW w:w="1194" w:type="dxa"/>
            <w:vAlign w:val="center"/>
          </w:tcPr>
          <w:p>
            <w:pPr>
              <w:jc w:val="both"/>
              <w:rPr>
                <w:rFonts w:ascii="宋体" w:hAnsi="宋体"/>
              </w:rPr>
            </w:pPr>
            <w:r>
              <w:rPr>
                <w:rFonts w:ascii="宋体" w:hAnsi="宋体" w:hint="eastAsia"/>
              </w:rPr>
              <w:t>陕西榆林</w:t>
            </w:r>
          </w:p>
        </w:tc>
        <w:tc>
          <w:tcPr>
            <w:tcW w:w="4314" w:type="dxa"/>
            <w:vAlign w:val="center"/>
          </w:tcPr>
          <w:p>
            <w:pPr>
              <w:jc w:val="both"/>
              <w:rPr>
                <w:rFonts w:ascii="宋体" w:hAnsi="宋体"/>
              </w:rPr>
            </w:pPr>
            <w:r>
              <w:rPr>
                <w:rFonts w:ascii="宋体" w:hAnsi="宋体" w:hint="eastAsia"/>
              </w:rPr>
              <w:t>化工产品、油品的研发、煤炭开采</w:t>
            </w:r>
          </w:p>
        </w:tc>
        <w:tc>
          <w:tcPr>
            <w:tcW w:w="910" w:type="dxa"/>
            <w:vAlign w:val="center"/>
          </w:tcPr>
          <w:p>
            <w:pPr>
              <w:jc w:val="both"/>
              <w:rPr>
                <w:rFonts w:ascii="宋体" w:hAnsi="宋体"/>
              </w:rPr>
            </w:pPr>
            <w:r>
              <w:rPr>
                <w:rFonts w:ascii="宋体" w:hAnsi="宋体" w:hint="eastAsia"/>
              </w:rPr>
              <w:t>73.97</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陕西未来清洁油品与化学品销售有限公司</w:t>
            </w:r>
          </w:p>
        </w:tc>
        <w:tc>
          <w:tcPr>
            <w:tcW w:w="1337" w:type="dxa"/>
            <w:vAlign w:val="center"/>
          </w:tcPr>
          <w:p>
            <w:pPr>
              <w:jc w:val="both"/>
              <w:rPr>
                <w:rFonts w:ascii="宋体" w:hAnsi="宋体"/>
              </w:rPr>
            </w:pPr>
            <w:r>
              <w:rPr>
                <w:rFonts w:ascii="宋体" w:hAnsi="宋体" w:hint="eastAsia"/>
              </w:rPr>
              <w:t>陕西榆林</w:t>
            </w:r>
          </w:p>
        </w:tc>
        <w:tc>
          <w:tcPr>
            <w:tcW w:w="1194" w:type="dxa"/>
            <w:vAlign w:val="center"/>
          </w:tcPr>
          <w:p>
            <w:pPr>
              <w:jc w:val="both"/>
              <w:rPr>
                <w:rFonts w:ascii="宋体" w:hAnsi="宋体"/>
              </w:rPr>
            </w:pPr>
            <w:r>
              <w:rPr>
                <w:rFonts w:ascii="宋体" w:hAnsi="宋体" w:hint="eastAsia"/>
              </w:rPr>
              <w:t>陕西榆林</w:t>
            </w:r>
          </w:p>
        </w:tc>
        <w:tc>
          <w:tcPr>
            <w:tcW w:w="4314" w:type="dxa"/>
            <w:vAlign w:val="center"/>
          </w:tcPr>
          <w:p>
            <w:pPr>
              <w:jc w:val="both"/>
              <w:rPr>
                <w:rFonts w:ascii="宋体" w:hAnsi="宋体"/>
              </w:rPr>
            </w:pPr>
            <w:r>
              <w:rPr>
                <w:rFonts w:ascii="宋体" w:hAnsi="宋体" w:hint="eastAsia"/>
              </w:rPr>
              <w:t>石油制品、化工产品、煤炭及制品销售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陕西未来清洁化学品有限公司</w:t>
            </w:r>
          </w:p>
        </w:tc>
        <w:tc>
          <w:tcPr>
            <w:tcW w:w="1337" w:type="dxa"/>
            <w:vAlign w:val="center"/>
          </w:tcPr>
          <w:p>
            <w:pPr>
              <w:jc w:val="both"/>
              <w:rPr>
                <w:rFonts w:ascii="宋体" w:hAnsi="宋体"/>
              </w:rPr>
            </w:pPr>
            <w:r>
              <w:rPr>
                <w:rFonts w:ascii="宋体" w:hAnsi="宋体" w:hint="eastAsia"/>
              </w:rPr>
              <w:t>陕西榆林</w:t>
            </w:r>
          </w:p>
        </w:tc>
        <w:tc>
          <w:tcPr>
            <w:tcW w:w="1194" w:type="dxa"/>
            <w:vAlign w:val="center"/>
          </w:tcPr>
          <w:p>
            <w:pPr>
              <w:jc w:val="both"/>
              <w:rPr>
                <w:rFonts w:ascii="宋体" w:hAnsi="宋体"/>
              </w:rPr>
            </w:pPr>
            <w:r>
              <w:rPr>
                <w:rFonts w:ascii="宋体" w:hAnsi="宋体" w:hint="eastAsia"/>
              </w:rPr>
              <w:t>陕西榆林</w:t>
            </w:r>
          </w:p>
        </w:tc>
        <w:tc>
          <w:tcPr>
            <w:tcW w:w="4314" w:type="dxa"/>
            <w:vAlign w:val="center"/>
          </w:tcPr>
          <w:p>
            <w:pPr>
              <w:jc w:val="both"/>
              <w:rPr>
                <w:rFonts w:ascii="宋体" w:hAnsi="宋体"/>
              </w:rPr>
            </w:pPr>
            <w:r>
              <w:rPr>
                <w:rFonts w:ascii="宋体" w:hAnsi="宋体" w:hint="eastAsia"/>
              </w:rPr>
              <w:t>石油制品、化工产品、煤炭及制品销售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lastRenderedPageBreak/>
              <w:t>兖矿榆林精细化工有限公司</w:t>
            </w:r>
          </w:p>
        </w:tc>
        <w:tc>
          <w:tcPr>
            <w:tcW w:w="1337" w:type="dxa"/>
            <w:vAlign w:val="center"/>
          </w:tcPr>
          <w:p>
            <w:pPr>
              <w:jc w:val="both"/>
              <w:rPr>
                <w:rFonts w:ascii="宋体" w:hAnsi="宋体"/>
              </w:rPr>
            </w:pPr>
            <w:r>
              <w:rPr>
                <w:rFonts w:ascii="宋体" w:hAnsi="宋体" w:hint="eastAsia"/>
              </w:rPr>
              <w:t>陕西榆林</w:t>
            </w:r>
          </w:p>
        </w:tc>
        <w:tc>
          <w:tcPr>
            <w:tcW w:w="1194" w:type="dxa"/>
            <w:vAlign w:val="center"/>
          </w:tcPr>
          <w:p>
            <w:pPr>
              <w:jc w:val="both"/>
              <w:rPr>
                <w:rFonts w:ascii="宋体" w:hAnsi="宋体"/>
              </w:rPr>
            </w:pPr>
            <w:r>
              <w:rPr>
                <w:rFonts w:ascii="宋体" w:hAnsi="宋体" w:hint="eastAsia"/>
              </w:rPr>
              <w:t>陕西榆林</w:t>
            </w:r>
          </w:p>
        </w:tc>
        <w:tc>
          <w:tcPr>
            <w:tcW w:w="4314" w:type="dxa"/>
            <w:vAlign w:val="center"/>
          </w:tcPr>
          <w:p>
            <w:pPr>
              <w:jc w:val="both"/>
              <w:rPr>
                <w:rFonts w:ascii="宋体" w:hAnsi="宋体"/>
              </w:rPr>
            </w:pPr>
            <w:r>
              <w:rPr>
                <w:rFonts w:ascii="宋体" w:hAnsi="宋体" w:hint="eastAsia"/>
              </w:rPr>
              <w:t>费托合成催化剂等生产及销售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兖矿鲁南化工有限公司</w:t>
            </w:r>
          </w:p>
        </w:tc>
        <w:tc>
          <w:tcPr>
            <w:tcW w:w="1337" w:type="dxa"/>
            <w:vAlign w:val="center"/>
          </w:tcPr>
          <w:p>
            <w:pPr>
              <w:jc w:val="both"/>
              <w:rPr>
                <w:rFonts w:ascii="宋体" w:hAnsi="宋体"/>
              </w:rPr>
            </w:pPr>
            <w:r>
              <w:rPr>
                <w:rFonts w:ascii="宋体" w:hAnsi="宋体" w:hint="eastAsia"/>
              </w:rPr>
              <w:t>山东滕州</w:t>
            </w:r>
          </w:p>
        </w:tc>
        <w:tc>
          <w:tcPr>
            <w:tcW w:w="1194" w:type="dxa"/>
            <w:vAlign w:val="center"/>
          </w:tcPr>
          <w:p>
            <w:pPr>
              <w:jc w:val="both"/>
              <w:rPr>
                <w:rFonts w:ascii="宋体" w:hAnsi="宋体"/>
              </w:rPr>
            </w:pPr>
            <w:r>
              <w:rPr>
                <w:rFonts w:ascii="宋体" w:hAnsi="宋体" w:hint="eastAsia"/>
              </w:rPr>
              <w:t>山东滕州</w:t>
            </w:r>
          </w:p>
        </w:tc>
        <w:tc>
          <w:tcPr>
            <w:tcW w:w="4314" w:type="dxa"/>
            <w:vAlign w:val="center"/>
          </w:tcPr>
          <w:p>
            <w:pPr>
              <w:jc w:val="both"/>
              <w:rPr>
                <w:rFonts w:ascii="宋体" w:hAnsi="宋体"/>
              </w:rPr>
            </w:pPr>
            <w:r>
              <w:rPr>
                <w:rFonts w:ascii="宋体" w:hAnsi="宋体" w:hint="eastAsia"/>
              </w:rPr>
              <w:t>化工产品生产、销售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兖矿济宁化工装备有限公司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化工产品生产、销售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兖矿煤化供销有限公司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化工产品销售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山东兖矿济三电力有限公司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火力发电及发电余热综合利用</w:t>
            </w:r>
          </w:p>
        </w:tc>
        <w:tc>
          <w:tcPr>
            <w:tcW w:w="910" w:type="dxa"/>
            <w:vAlign w:val="center"/>
          </w:tcPr>
          <w:p>
            <w:pPr>
              <w:jc w:val="both"/>
              <w:rPr>
                <w:rFonts w:ascii="宋体" w:hAnsi="宋体"/>
              </w:rPr>
            </w:pPr>
            <w:r>
              <w:rPr>
                <w:rFonts w:ascii="宋体" w:hAnsi="宋体" w:hint="eastAsia"/>
              </w:rPr>
              <w:t>99</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兖矿物流科技有限公司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公共铁路运输；铁路机车车辆维修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兖矿铁路物流(榆林)有限公司</w:t>
            </w:r>
          </w:p>
        </w:tc>
        <w:tc>
          <w:tcPr>
            <w:tcW w:w="1337" w:type="dxa"/>
            <w:vAlign w:val="center"/>
          </w:tcPr>
          <w:p>
            <w:pPr>
              <w:jc w:val="both"/>
              <w:rPr>
                <w:rFonts w:ascii="宋体" w:hAnsi="宋体"/>
              </w:rPr>
            </w:pPr>
            <w:r>
              <w:rPr>
                <w:rFonts w:ascii="宋体" w:hAnsi="宋体" w:hint="eastAsia"/>
              </w:rPr>
              <w:t>陕西榆林</w:t>
            </w:r>
          </w:p>
        </w:tc>
        <w:tc>
          <w:tcPr>
            <w:tcW w:w="1194" w:type="dxa"/>
            <w:vAlign w:val="center"/>
          </w:tcPr>
          <w:p>
            <w:pPr>
              <w:jc w:val="both"/>
              <w:rPr>
                <w:rFonts w:ascii="宋体" w:hAnsi="宋体"/>
              </w:rPr>
            </w:pPr>
            <w:r>
              <w:rPr>
                <w:rFonts w:ascii="宋体" w:hAnsi="宋体" w:hint="eastAsia"/>
              </w:rPr>
              <w:t>陕西榆林</w:t>
            </w:r>
          </w:p>
        </w:tc>
        <w:tc>
          <w:tcPr>
            <w:tcW w:w="4314" w:type="dxa"/>
            <w:vAlign w:val="center"/>
          </w:tcPr>
          <w:p>
            <w:pPr>
              <w:jc w:val="both"/>
              <w:rPr>
                <w:rFonts w:ascii="宋体" w:hAnsi="宋体"/>
              </w:rPr>
            </w:pPr>
            <w:r>
              <w:rPr>
                <w:rFonts w:ascii="宋体" w:hAnsi="宋体" w:hint="eastAsia"/>
              </w:rPr>
              <w:t>公共铁路运输、铁路机车车辆维修；煤炭及制品销售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84</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内蒙古蒙通铁路有限公司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煤炭加工、销售运输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内蒙古蒙达铁路有限公司</w:t>
            </w:r>
          </w:p>
        </w:tc>
        <w:tc>
          <w:tcPr>
            <w:tcW w:w="1337" w:type="dxa"/>
            <w:vAlign w:val="center"/>
          </w:tcPr>
          <w:p>
            <w:pPr>
              <w:jc w:val="both"/>
              <w:rPr>
                <w:rFonts w:ascii="宋体" w:hAnsi="宋体"/>
              </w:rPr>
            </w:pPr>
            <w:r>
              <w:rPr>
                <w:rFonts w:ascii="宋体" w:hAnsi="宋体" w:hint="eastAsia"/>
              </w:rPr>
              <w:t>鄂尔多斯</w:t>
            </w:r>
          </w:p>
        </w:tc>
        <w:tc>
          <w:tcPr>
            <w:tcW w:w="1194" w:type="dxa"/>
            <w:vAlign w:val="center"/>
          </w:tcPr>
          <w:p>
            <w:pPr>
              <w:jc w:val="both"/>
              <w:rPr>
                <w:rFonts w:ascii="宋体" w:hAnsi="宋体"/>
              </w:rPr>
            </w:pPr>
            <w:r>
              <w:rPr>
                <w:rFonts w:ascii="宋体" w:hAnsi="宋体" w:hint="eastAsia"/>
              </w:rPr>
              <w:t>鄂尔多斯</w:t>
            </w:r>
          </w:p>
        </w:tc>
        <w:tc>
          <w:tcPr>
            <w:tcW w:w="4314" w:type="dxa"/>
            <w:vAlign w:val="center"/>
          </w:tcPr>
          <w:p>
            <w:pPr>
              <w:jc w:val="both"/>
              <w:rPr>
                <w:rFonts w:ascii="宋体" w:hAnsi="宋体"/>
              </w:rPr>
            </w:pPr>
            <w:r>
              <w:rPr>
                <w:rFonts w:ascii="宋体" w:hAnsi="宋体" w:hint="eastAsia"/>
              </w:rPr>
              <w:t>煤炭加工、销售运输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67</w:t>
            </w: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山东能源大厦上海有限公司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酒店管理</w:t>
            </w:r>
          </w:p>
        </w:tc>
        <w:tc>
          <w:tcPr>
            <w:tcW w:w="910" w:type="dxa"/>
            <w:vAlign w:val="center"/>
          </w:tcPr>
          <w:p>
            <w:pPr>
              <w:jc w:val="both"/>
              <w:rPr>
                <w:rFonts w:ascii="宋体" w:hAnsi="宋体"/>
              </w:rPr>
            </w:pPr>
            <w:r>
              <w:rPr>
                <w:rFonts w:ascii="宋体" w:hAnsi="宋体" w:hint="eastAsia"/>
              </w:rPr>
              <w:t>75</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山东能源集团鲁西矿业有限公司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r>
              <w:rPr>
                <w:rFonts w:ascii="宋体" w:hAnsi="宋体" w:hint="eastAsia"/>
              </w:rPr>
              <w:t>51</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山东李楼煤业有限公司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肥城矿业集团梁宝寺能源有限责任公司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85</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山东新巨龙能源有限责任公司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新矿巨野选煤有限公司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煤炭产品洗选加工</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临沂矿业集团菏泽煤电有限公司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83.59</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肥城矿业集团单县能源有限责任公司</w:t>
            </w:r>
          </w:p>
        </w:tc>
        <w:tc>
          <w:tcPr>
            <w:tcW w:w="1337" w:type="dxa"/>
            <w:vAlign w:val="center"/>
          </w:tcPr>
          <w:p>
            <w:pPr>
              <w:jc w:val="both"/>
              <w:rPr>
                <w:rFonts w:ascii="宋体" w:hAnsi="宋体"/>
              </w:rPr>
            </w:pPr>
            <w:r>
              <w:rPr>
                <w:rFonts w:ascii="宋体" w:hAnsi="宋体" w:hint="eastAsia"/>
              </w:rPr>
              <w:t>山东菏泽</w:t>
            </w:r>
          </w:p>
        </w:tc>
        <w:tc>
          <w:tcPr>
            <w:tcW w:w="1194" w:type="dxa"/>
            <w:vAlign w:val="center"/>
          </w:tcPr>
          <w:p>
            <w:pPr>
              <w:jc w:val="both"/>
              <w:rPr>
                <w:rFonts w:ascii="宋体" w:hAnsi="宋体"/>
              </w:rPr>
            </w:pPr>
            <w:r>
              <w:rPr>
                <w:rFonts w:ascii="宋体" w:hAnsi="宋体" w:hint="eastAsia"/>
              </w:rPr>
              <w:t>山东菏泽</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山东唐口煤业有限公司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卡松科技股份有限公司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化学原料和化学制品制造</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山东鲁西铁路物流有限公司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物流贸易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山东盟鲁采矿工程有限公司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建筑安装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兖矿新疆能化有限公司</w:t>
            </w:r>
          </w:p>
        </w:tc>
        <w:tc>
          <w:tcPr>
            <w:tcW w:w="1337" w:type="dxa"/>
            <w:vAlign w:val="center"/>
          </w:tcPr>
          <w:p>
            <w:pPr>
              <w:jc w:val="both"/>
              <w:rPr>
                <w:rFonts w:ascii="宋体" w:hAnsi="宋体"/>
              </w:rPr>
            </w:pPr>
            <w:r>
              <w:rPr>
                <w:rFonts w:ascii="宋体" w:hAnsi="宋体" w:hint="eastAsia"/>
              </w:rPr>
              <w:t>新疆乌鲁木齐</w:t>
            </w:r>
          </w:p>
        </w:tc>
        <w:tc>
          <w:tcPr>
            <w:tcW w:w="1194" w:type="dxa"/>
            <w:vAlign w:val="center"/>
          </w:tcPr>
          <w:p>
            <w:pPr>
              <w:jc w:val="both"/>
              <w:rPr>
                <w:rFonts w:ascii="宋体" w:hAnsi="宋体"/>
              </w:rPr>
            </w:pPr>
            <w:r>
              <w:rPr>
                <w:rFonts w:ascii="宋体" w:hAnsi="宋体" w:hint="eastAsia"/>
              </w:rPr>
              <w:t>新疆乌鲁木齐</w:t>
            </w:r>
          </w:p>
        </w:tc>
        <w:tc>
          <w:tcPr>
            <w:tcW w:w="4314" w:type="dxa"/>
            <w:vAlign w:val="center"/>
          </w:tcPr>
          <w:p>
            <w:pPr>
              <w:jc w:val="both"/>
              <w:rPr>
                <w:rFonts w:ascii="宋体" w:hAnsi="宋体"/>
              </w:rPr>
            </w:pPr>
            <w:r>
              <w:rPr>
                <w:rFonts w:ascii="宋体" w:hAnsi="宋体" w:hint="eastAsia"/>
              </w:rPr>
              <w:t>项目投资、煤炭开采洗选等</w:t>
            </w:r>
          </w:p>
        </w:tc>
        <w:tc>
          <w:tcPr>
            <w:tcW w:w="910" w:type="dxa"/>
            <w:vAlign w:val="center"/>
          </w:tcPr>
          <w:p>
            <w:pPr>
              <w:jc w:val="both"/>
              <w:rPr>
                <w:rFonts w:ascii="宋体" w:hAnsi="宋体"/>
              </w:rPr>
            </w:pPr>
            <w:r>
              <w:rPr>
                <w:rFonts w:ascii="宋体" w:hAnsi="宋体" w:hint="eastAsia"/>
              </w:rPr>
              <w:t>51</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新疆兖矿其能煤业有限公司</w:t>
            </w:r>
          </w:p>
        </w:tc>
        <w:tc>
          <w:tcPr>
            <w:tcW w:w="1337" w:type="dxa"/>
            <w:vAlign w:val="center"/>
          </w:tcPr>
          <w:p>
            <w:pPr>
              <w:jc w:val="both"/>
              <w:rPr>
                <w:rFonts w:ascii="宋体" w:hAnsi="宋体"/>
              </w:rPr>
            </w:pPr>
            <w:r>
              <w:rPr>
                <w:rFonts w:ascii="宋体" w:hAnsi="宋体" w:hint="eastAsia"/>
              </w:rPr>
              <w:t>新疆昌吉</w:t>
            </w:r>
          </w:p>
        </w:tc>
        <w:tc>
          <w:tcPr>
            <w:tcW w:w="1194" w:type="dxa"/>
            <w:vAlign w:val="center"/>
          </w:tcPr>
          <w:p>
            <w:pPr>
              <w:jc w:val="both"/>
              <w:rPr>
                <w:rFonts w:ascii="宋体" w:hAnsi="宋体"/>
              </w:rPr>
            </w:pPr>
            <w:r>
              <w:rPr>
                <w:rFonts w:ascii="宋体" w:hAnsi="宋体" w:hint="eastAsia"/>
              </w:rPr>
              <w:t>新疆昌吉</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76</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兖矿新疆矿业有限公司</w:t>
            </w:r>
          </w:p>
        </w:tc>
        <w:tc>
          <w:tcPr>
            <w:tcW w:w="1337" w:type="dxa"/>
            <w:vAlign w:val="center"/>
          </w:tcPr>
          <w:p>
            <w:pPr>
              <w:jc w:val="both"/>
              <w:rPr>
                <w:rFonts w:ascii="宋体" w:hAnsi="宋体"/>
              </w:rPr>
            </w:pPr>
            <w:r>
              <w:rPr>
                <w:rFonts w:ascii="宋体" w:hAnsi="宋体" w:hint="eastAsia"/>
              </w:rPr>
              <w:t>新疆昌吉</w:t>
            </w:r>
          </w:p>
        </w:tc>
        <w:tc>
          <w:tcPr>
            <w:tcW w:w="1194" w:type="dxa"/>
            <w:vAlign w:val="center"/>
          </w:tcPr>
          <w:p>
            <w:pPr>
              <w:jc w:val="both"/>
              <w:rPr>
                <w:rFonts w:ascii="宋体" w:hAnsi="宋体"/>
              </w:rPr>
            </w:pPr>
            <w:r>
              <w:rPr>
                <w:rFonts w:ascii="宋体" w:hAnsi="宋体" w:hint="eastAsia"/>
              </w:rPr>
              <w:t>新疆昌吉</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兖矿新疆煤化工有限公司</w:t>
            </w:r>
          </w:p>
        </w:tc>
        <w:tc>
          <w:tcPr>
            <w:tcW w:w="1337" w:type="dxa"/>
            <w:vAlign w:val="center"/>
          </w:tcPr>
          <w:p>
            <w:pPr>
              <w:jc w:val="both"/>
              <w:rPr>
                <w:rFonts w:ascii="宋体" w:hAnsi="宋体"/>
              </w:rPr>
            </w:pPr>
            <w:r>
              <w:rPr>
                <w:rFonts w:ascii="宋体" w:hAnsi="宋体" w:hint="eastAsia"/>
              </w:rPr>
              <w:t>新疆乌鲁木齐</w:t>
            </w:r>
          </w:p>
        </w:tc>
        <w:tc>
          <w:tcPr>
            <w:tcW w:w="1194" w:type="dxa"/>
            <w:vAlign w:val="center"/>
          </w:tcPr>
          <w:p>
            <w:pPr>
              <w:jc w:val="both"/>
              <w:rPr>
                <w:rFonts w:ascii="宋体" w:hAnsi="宋体"/>
              </w:rPr>
            </w:pPr>
            <w:r>
              <w:rPr>
                <w:rFonts w:ascii="宋体" w:hAnsi="宋体" w:hint="eastAsia"/>
              </w:rPr>
              <w:t>新疆乌鲁木齐</w:t>
            </w:r>
          </w:p>
        </w:tc>
        <w:tc>
          <w:tcPr>
            <w:tcW w:w="4314" w:type="dxa"/>
            <w:vAlign w:val="center"/>
          </w:tcPr>
          <w:p>
            <w:pPr>
              <w:jc w:val="both"/>
              <w:rPr>
                <w:rFonts w:ascii="宋体" w:hAnsi="宋体"/>
              </w:rPr>
            </w:pPr>
            <w:r>
              <w:rPr>
                <w:rFonts w:ascii="宋体" w:hAnsi="宋体" w:hint="eastAsia"/>
              </w:rPr>
              <w:t>化学原料和化学制品制造业</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lastRenderedPageBreak/>
              <w:t>新疆山能化工有限公司</w:t>
            </w:r>
          </w:p>
        </w:tc>
        <w:tc>
          <w:tcPr>
            <w:tcW w:w="1337" w:type="dxa"/>
            <w:vAlign w:val="center"/>
          </w:tcPr>
          <w:p>
            <w:pPr>
              <w:jc w:val="both"/>
              <w:rPr>
                <w:rFonts w:ascii="宋体" w:hAnsi="宋体"/>
              </w:rPr>
            </w:pPr>
            <w:r>
              <w:rPr>
                <w:rFonts w:ascii="宋体" w:hAnsi="宋体" w:hint="eastAsia"/>
              </w:rPr>
              <w:t>新疆乌鲁木齐</w:t>
            </w:r>
          </w:p>
        </w:tc>
        <w:tc>
          <w:tcPr>
            <w:tcW w:w="1194" w:type="dxa"/>
            <w:vAlign w:val="center"/>
          </w:tcPr>
          <w:p>
            <w:pPr>
              <w:jc w:val="both"/>
              <w:rPr>
                <w:rFonts w:ascii="宋体" w:hAnsi="宋体"/>
              </w:rPr>
            </w:pPr>
            <w:r>
              <w:rPr>
                <w:rFonts w:ascii="宋体" w:hAnsi="宋体" w:hint="eastAsia"/>
              </w:rPr>
              <w:t>新疆乌鲁木齐</w:t>
            </w:r>
          </w:p>
        </w:tc>
        <w:tc>
          <w:tcPr>
            <w:tcW w:w="4314" w:type="dxa"/>
            <w:vAlign w:val="center"/>
          </w:tcPr>
          <w:p>
            <w:pPr>
              <w:jc w:val="both"/>
              <w:rPr>
                <w:rFonts w:ascii="宋体" w:hAnsi="宋体"/>
              </w:rPr>
            </w:pPr>
            <w:r>
              <w:rPr>
                <w:rFonts w:ascii="宋体" w:hAnsi="宋体" w:hint="eastAsia"/>
              </w:rPr>
              <w:t>甲醇、尿素等产品的生产与销售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新汶矿业集团（伊犁）能源开发有限责任公司</w:t>
            </w:r>
          </w:p>
        </w:tc>
        <w:tc>
          <w:tcPr>
            <w:tcW w:w="1337" w:type="dxa"/>
            <w:vAlign w:val="center"/>
          </w:tcPr>
          <w:p>
            <w:pPr>
              <w:jc w:val="both"/>
              <w:rPr>
                <w:rFonts w:ascii="宋体" w:hAnsi="宋体"/>
              </w:rPr>
            </w:pPr>
            <w:r>
              <w:rPr>
                <w:rFonts w:ascii="宋体" w:hAnsi="宋体" w:hint="eastAsia"/>
              </w:rPr>
              <w:t>新疆昌吉</w:t>
            </w:r>
          </w:p>
        </w:tc>
        <w:tc>
          <w:tcPr>
            <w:tcW w:w="1194" w:type="dxa"/>
            <w:vAlign w:val="center"/>
          </w:tcPr>
          <w:p>
            <w:pPr>
              <w:jc w:val="both"/>
              <w:rPr>
                <w:rFonts w:ascii="宋体" w:hAnsi="宋体"/>
              </w:rPr>
            </w:pPr>
            <w:r>
              <w:rPr>
                <w:rFonts w:ascii="宋体" w:hAnsi="宋体" w:hint="eastAsia"/>
              </w:rPr>
              <w:t>新疆昌吉</w:t>
            </w:r>
          </w:p>
        </w:tc>
        <w:tc>
          <w:tcPr>
            <w:tcW w:w="4314" w:type="dxa"/>
            <w:vAlign w:val="center"/>
          </w:tcPr>
          <w:p>
            <w:pPr>
              <w:jc w:val="both"/>
              <w:rPr>
                <w:rFonts w:ascii="宋体" w:hAnsi="宋体"/>
              </w:rPr>
            </w:pPr>
            <w:r>
              <w:rPr>
                <w:rFonts w:ascii="宋体" w:hAnsi="宋体" w:hint="eastAsia"/>
              </w:rPr>
              <w:t>煤炭化工</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伊犁新矿煤业有限责任公司</w:t>
            </w:r>
          </w:p>
        </w:tc>
        <w:tc>
          <w:tcPr>
            <w:tcW w:w="1337" w:type="dxa"/>
            <w:vAlign w:val="center"/>
          </w:tcPr>
          <w:p>
            <w:pPr>
              <w:jc w:val="both"/>
              <w:rPr>
                <w:rFonts w:ascii="宋体" w:hAnsi="宋体"/>
              </w:rPr>
            </w:pPr>
            <w:r>
              <w:rPr>
                <w:rFonts w:ascii="宋体" w:hAnsi="宋体" w:hint="eastAsia"/>
              </w:rPr>
              <w:t>新疆伊犁</w:t>
            </w:r>
          </w:p>
        </w:tc>
        <w:tc>
          <w:tcPr>
            <w:tcW w:w="1194" w:type="dxa"/>
            <w:vAlign w:val="center"/>
          </w:tcPr>
          <w:p>
            <w:pPr>
              <w:jc w:val="both"/>
              <w:rPr>
                <w:rFonts w:ascii="宋体" w:hAnsi="宋体"/>
              </w:rPr>
            </w:pPr>
            <w:r>
              <w:rPr>
                <w:rFonts w:ascii="宋体" w:hAnsi="宋体" w:hint="eastAsia"/>
              </w:rPr>
              <w:t>新疆伊犁</w:t>
            </w:r>
          </w:p>
        </w:tc>
        <w:tc>
          <w:tcPr>
            <w:tcW w:w="4314" w:type="dxa"/>
            <w:vAlign w:val="center"/>
          </w:tcPr>
          <w:p>
            <w:pPr>
              <w:jc w:val="both"/>
              <w:rPr>
                <w:rFonts w:ascii="宋体" w:hAnsi="宋体"/>
              </w:rPr>
            </w:pPr>
            <w:r>
              <w:rPr>
                <w:rFonts w:ascii="宋体" w:hAnsi="宋体" w:hint="eastAsia"/>
              </w:rPr>
              <w:t>其他煤炭采选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55</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兖矿煤化工程有限公司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煤化机械加工、安装、维修</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邹城诚验材料检测试验有限公司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矿用产品支护材料检测试验等</w:t>
            </w:r>
          </w:p>
        </w:tc>
        <w:tc>
          <w:tcPr>
            <w:tcW w:w="910" w:type="dxa"/>
            <w:vAlign w:val="center"/>
          </w:tcPr>
          <w:p>
            <w:pPr>
              <w:jc w:val="both"/>
              <w:rPr>
                <w:rFonts w:ascii="宋体" w:hAnsi="宋体"/>
              </w:rPr>
            </w:pPr>
            <w:r>
              <w:rPr>
                <w:rFonts w:ascii="宋体" w:hAnsi="宋体" w:hint="eastAsia"/>
              </w:rPr>
              <w:t>100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投资设立</w:t>
            </w:r>
          </w:p>
        </w:tc>
      </w:tr>
      <w:tr>
        <w:tc>
          <w:tcPr>
            <w:tcW w:w="3606" w:type="dxa"/>
            <w:vAlign w:val="center"/>
          </w:tcPr>
          <w:p>
            <w:pPr>
              <w:jc w:val="both"/>
              <w:rPr>
                <w:rFonts w:ascii="宋体" w:hAnsi="宋体"/>
              </w:rPr>
            </w:pPr>
            <w:r>
              <w:rPr>
                <w:rFonts w:ascii="宋体" w:hAnsi="宋体" w:hint="eastAsia"/>
              </w:rPr>
              <w:t>山东能源集团财务有限公司</w:t>
            </w:r>
          </w:p>
        </w:tc>
        <w:tc>
          <w:tcPr>
            <w:tcW w:w="1337" w:type="dxa"/>
            <w:vAlign w:val="center"/>
          </w:tcPr>
          <w:p>
            <w:pPr>
              <w:jc w:val="both"/>
              <w:rPr>
                <w:rFonts w:ascii="宋体" w:hAnsi="宋体"/>
              </w:rPr>
            </w:pPr>
            <w:r>
              <w:rPr>
                <w:rFonts w:ascii="宋体" w:hAnsi="宋体" w:hint="eastAsia"/>
              </w:rPr>
              <w:t>山东济南</w:t>
            </w:r>
          </w:p>
        </w:tc>
        <w:tc>
          <w:tcPr>
            <w:tcW w:w="1194" w:type="dxa"/>
            <w:vAlign w:val="center"/>
          </w:tcPr>
          <w:p>
            <w:pPr>
              <w:jc w:val="both"/>
              <w:rPr>
                <w:rFonts w:ascii="宋体" w:hAnsi="宋体"/>
              </w:rPr>
            </w:pPr>
            <w:r>
              <w:rPr>
                <w:rFonts w:ascii="宋体" w:hAnsi="宋体" w:hint="eastAsia"/>
              </w:rPr>
              <w:t>山东济南</w:t>
            </w:r>
          </w:p>
        </w:tc>
        <w:tc>
          <w:tcPr>
            <w:tcW w:w="4314" w:type="dxa"/>
            <w:vAlign w:val="center"/>
          </w:tcPr>
          <w:p>
            <w:pPr>
              <w:jc w:val="both"/>
              <w:rPr>
                <w:rFonts w:ascii="宋体" w:hAnsi="宋体"/>
              </w:rPr>
            </w:pPr>
            <w:r>
              <w:rPr>
                <w:rFonts w:ascii="宋体" w:hAnsi="宋体" w:hint="eastAsia"/>
              </w:rPr>
              <w:t>企业集团财务公司服务</w:t>
            </w:r>
          </w:p>
        </w:tc>
        <w:tc>
          <w:tcPr>
            <w:tcW w:w="910" w:type="dxa"/>
            <w:vAlign w:val="center"/>
          </w:tcPr>
          <w:p>
            <w:pPr>
              <w:jc w:val="both"/>
              <w:rPr>
                <w:rFonts w:ascii="宋体" w:hAnsi="宋体"/>
              </w:rPr>
            </w:pPr>
            <w:r>
              <w:rPr>
                <w:rFonts w:ascii="宋体" w:hAnsi="宋体" w:hint="eastAsia"/>
              </w:rPr>
              <w:t>53.92</w:t>
            </w:r>
          </w:p>
        </w:tc>
        <w:tc>
          <w:tcPr>
            <w:tcW w:w="911" w:type="dxa"/>
            <w:vAlign w:val="center"/>
          </w:tcPr>
          <w:p>
            <w:pPr>
              <w:jc w:val="both"/>
              <w:rPr>
                <w:rFonts w:ascii="宋体" w:hAnsi="宋体"/>
              </w:rPr>
            </w:pPr>
            <w:r>
              <w:rPr>
                <w:rFonts w:ascii="宋体" w:hAnsi="宋体" w:hint="eastAsia"/>
              </w:rPr>
              <w:t>0.88</w:t>
            </w:r>
          </w:p>
        </w:tc>
        <w:tc>
          <w:tcPr>
            <w:tcW w:w="2754" w:type="dxa"/>
            <w:vAlign w:val="center"/>
          </w:tcPr>
          <w:p>
            <w:pPr>
              <w:jc w:val="both"/>
              <w:rPr>
                <w:rFonts w:ascii="宋体" w:hAnsi="宋体"/>
              </w:rPr>
            </w:pPr>
            <w:r>
              <w:rPr>
                <w:rFonts w:ascii="宋体" w:hAnsi="宋体" w:hint="eastAsia"/>
              </w:rPr>
              <w:t>同一控制下合并</w:t>
            </w:r>
          </w:p>
        </w:tc>
      </w:tr>
      <w:tr>
        <w:tc>
          <w:tcPr>
            <w:tcW w:w="3606" w:type="dxa"/>
            <w:vAlign w:val="center"/>
          </w:tcPr>
          <w:p>
            <w:pPr>
              <w:jc w:val="both"/>
              <w:rPr>
                <w:rFonts w:ascii="宋体" w:hAnsi="宋体"/>
              </w:rPr>
            </w:pPr>
            <w:r>
              <w:rPr>
                <w:rFonts w:ascii="宋体" w:hAnsi="宋体" w:hint="eastAsia"/>
              </w:rPr>
              <w:t>山东兖矿国拓科技工程股份有限公司</w:t>
            </w:r>
          </w:p>
        </w:tc>
        <w:tc>
          <w:tcPr>
            <w:tcW w:w="1337" w:type="dxa"/>
            <w:vAlign w:val="center"/>
          </w:tcPr>
          <w:p>
            <w:pPr>
              <w:jc w:val="both"/>
              <w:rPr>
                <w:rFonts w:ascii="宋体" w:hAnsi="宋体"/>
              </w:rPr>
            </w:pPr>
            <w:r>
              <w:rPr>
                <w:rFonts w:ascii="宋体" w:hAnsi="宋体" w:hint="eastAsia"/>
              </w:rPr>
              <w:t>山东济南</w:t>
            </w:r>
          </w:p>
        </w:tc>
        <w:tc>
          <w:tcPr>
            <w:tcW w:w="1194" w:type="dxa"/>
            <w:vAlign w:val="center"/>
          </w:tcPr>
          <w:p>
            <w:pPr>
              <w:jc w:val="both"/>
              <w:rPr>
                <w:rFonts w:ascii="宋体" w:hAnsi="宋体"/>
              </w:rPr>
            </w:pPr>
            <w:r>
              <w:rPr>
                <w:rFonts w:ascii="宋体" w:hAnsi="宋体" w:hint="eastAsia"/>
              </w:rPr>
              <w:t>山东济南</w:t>
            </w:r>
          </w:p>
        </w:tc>
        <w:tc>
          <w:tcPr>
            <w:tcW w:w="4314" w:type="dxa"/>
            <w:vAlign w:val="center"/>
          </w:tcPr>
          <w:p>
            <w:pPr>
              <w:jc w:val="both"/>
              <w:rPr>
                <w:rFonts w:ascii="宋体" w:hAnsi="宋体"/>
              </w:rPr>
            </w:pPr>
            <w:r>
              <w:rPr>
                <w:rFonts w:ascii="宋体" w:hAnsi="宋体" w:hint="eastAsia"/>
              </w:rPr>
              <w:t>科技推广和应用服务业</w:t>
            </w:r>
          </w:p>
        </w:tc>
        <w:tc>
          <w:tcPr>
            <w:tcW w:w="910" w:type="dxa"/>
            <w:vAlign w:val="center"/>
          </w:tcPr>
          <w:p>
            <w:pPr>
              <w:jc w:val="both"/>
              <w:rPr>
                <w:rFonts w:ascii="宋体" w:hAnsi="宋体"/>
              </w:rPr>
            </w:pPr>
            <w:r>
              <w:rPr>
                <w:rFonts w:ascii="宋体" w:hAnsi="宋体" w:hint="eastAsia"/>
              </w:rPr>
              <w:t>90</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同一控制下合并</w:t>
            </w:r>
          </w:p>
        </w:tc>
      </w:tr>
      <w:tr>
        <w:tc>
          <w:tcPr>
            <w:tcW w:w="3606" w:type="dxa"/>
            <w:vAlign w:val="center"/>
          </w:tcPr>
          <w:p>
            <w:pPr>
              <w:jc w:val="both"/>
              <w:rPr>
                <w:rFonts w:ascii="宋体" w:hAnsi="宋体"/>
              </w:rPr>
            </w:pPr>
            <w:r>
              <w:rPr>
                <w:rFonts w:ascii="宋体" w:hAnsi="宋体" w:hint="eastAsia"/>
              </w:rPr>
              <w:t>德伯特机械(山东)有限公司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通用设备制造业</w:t>
            </w:r>
          </w:p>
        </w:tc>
        <w:tc>
          <w:tcPr>
            <w:tcW w:w="910" w:type="dxa"/>
            <w:vAlign w:val="center"/>
          </w:tcPr>
          <w:p>
            <w:pPr>
              <w:jc w:val="both"/>
              <w:rPr>
                <w:rFonts w:ascii="宋体" w:hAnsi="宋体"/>
              </w:rPr>
            </w:pPr>
            <w:r>
              <w:rPr>
                <w:rFonts w:ascii="宋体" w:hAnsi="宋体" w:hint="eastAsia"/>
              </w:rPr>
              <w:t>51</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SMTScharfAG(沙尔夫股份公司)</w:t>
            </w:r>
          </w:p>
        </w:tc>
        <w:tc>
          <w:tcPr>
            <w:tcW w:w="1337" w:type="dxa"/>
            <w:vAlign w:val="center"/>
          </w:tcPr>
          <w:p>
            <w:pPr>
              <w:jc w:val="both"/>
              <w:rPr>
                <w:rFonts w:ascii="宋体" w:hAnsi="宋体"/>
              </w:rPr>
            </w:pPr>
            <w:r>
              <w:rPr>
                <w:rFonts w:ascii="宋体" w:hAnsi="宋体" w:hint="eastAsia"/>
              </w:rPr>
              <w:t>德国</w:t>
            </w:r>
          </w:p>
        </w:tc>
        <w:tc>
          <w:tcPr>
            <w:tcW w:w="1194" w:type="dxa"/>
            <w:vAlign w:val="center"/>
          </w:tcPr>
          <w:p>
            <w:pPr>
              <w:jc w:val="both"/>
              <w:rPr>
                <w:rFonts w:ascii="宋体" w:hAnsi="宋体"/>
              </w:rPr>
            </w:pPr>
            <w:r>
              <w:rPr>
                <w:rFonts w:ascii="宋体" w:hAnsi="宋体" w:hint="eastAsia"/>
              </w:rPr>
              <w:t>德国</w:t>
            </w:r>
          </w:p>
        </w:tc>
        <w:tc>
          <w:tcPr>
            <w:tcW w:w="4314" w:type="dxa"/>
            <w:vAlign w:val="center"/>
          </w:tcPr>
          <w:p>
            <w:pPr>
              <w:jc w:val="both"/>
              <w:rPr>
                <w:rFonts w:ascii="宋体" w:hAnsi="宋体"/>
              </w:rPr>
            </w:pPr>
            <w:r>
              <w:rPr>
                <w:rFonts w:ascii="宋体" w:hAnsi="宋体" w:hint="eastAsia"/>
              </w:rPr>
              <w:t>设备制造业</w:t>
            </w:r>
          </w:p>
        </w:tc>
        <w:tc>
          <w:tcPr>
            <w:tcW w:w="910" w:type="dxa"/>
            <w:vAlign w:val="center"/>
          </w:tcPr>
          <w:p>
            <w:pPr>
              <w:jc w:val="both"/>
              <w:rPr>
                <w:rFonts w:ascii="宋体" w:hAnsi="宋体"/>
              </w:rPr>
            </w:pPr>
            <w:r>
              <w:rPr>
                <w:rFonts w:ascii="宋体" w:hAnsi="宋体" w:hint="eastAsia"/>
              </w:rPr>
              <w:t>51</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SMTScharfGmbH</w:t>
            </w:r>
          </w:p>
        </w:tc>
        <w:tc>
          <w:tcPr>
            <w:tcW w:w="1337" w:type="dxa"/>
            <w:vAlign w:val="center"/>
          </w:tcPr>
          <w:p>
            <w:pPr>
              <w:jc w:val="both"/>
              <w:rPr>
                <w:rFonts w:ascii="宋体" w:hAnsi="宋体"/>
              </w:rPr>
            </w:pPr>
            <w:r>
              <w:rPr>
                <w:rFonts w:ascii="宋体" w:hAnsi="宋体" w:hint="eastAsia"/>
              </w:rPr>
              <w:t>德国</w:t>
            </w:r>
          </w:p>
        </w:tc>
        <w:tc>
          <w:tcPr>
            <w:tcW w:w="1194" w:type="dxa"/>
            <w:vAlign w:val="center"/>
          </w:tcPr>
          <w:p>
            <w:pPr>
              <w:jc w:val="both"/>
              <w:rPr>
                <w:rFonts w:ascii="宋体" w:hAnsi="宋体"/>
              </w:rPr>
            </w:pPr>
            <w:r>
              <w:rPr>
                <w:rFonts w:ascii="宋体" w:hAnsi="宋体" w:hint="eastAsia"/>
              </w:rPr>
              <w:t>德国</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SerelektronikGmbH</w:t>
            </w:r>
          </w:p>
        </w:tc>
        <w:tc>
          <w:tcPr>
            <w:tcW w:w="1337" w:type="dxa"/>
            <w:vAlign w:val="center"/>
          </w:tcPr>
          <w:p>
            <w:pPr>
              <w:jc w:val="both"/>
              <w:rPr>
                <w:rFonts w:ascii="宋体" w:hAnsi="宋体"/>
              </w:rPr>
            </w:pPr>
            <w:r>
              <w:rPr>
                <w:rFonts w:ascii="宋体" w:hAnsi="宋体" w:hint="eastAsia"/>
              </w:rPr>
              <w:t>德国</w:t>
            </w:r>
          </w:p>
        </w:tc>
        <w:tc>
          <w:tcPr>
            <w:tcW w:w="1194" w:type="dxa"/>
            <w:vAlign w:val="center"/>
          </w:tcPr>
          <w:p>
            <w:pPr>
              <w:jc w:val="both"/>
              <w:rPr>
                <w:rFonts w:ascii="宋体" w:hAnsi="宋体"/>
              </w:rPr>
            </w:pPr>
            <w:r>
              <w:rPr>
                <w:rFonts w:ascii="宋体" w:hAnsi="宋体" w:hint="eastAsia"/>
              </w:rPr>
              <w:t>德国</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SMTScharfPolskaSp.z.o.o.</w:t>
            </w:r>
          </w:p>
        </w:tc>
        <w:tc>
          <w:tcPr>
            <w:tcW w:w="1337" w:type="dxa"/>
            <w:vAlign w:val="center"/>
          </w:tcPr>
          <w:p>
            <w:pPr>
              <w:jc w:val="both"/>
              <w:rPr>
                <w:rFonts w:ascii="宋体" w:hAnsi="宋体"/>
              </w:rPr>
            </w:pPr>
            <w:r>
              <w:rPr>
                <w:rFonts w:ascii="宋体" w:hAnsi="宋体" w:hint="eastAsia"/>
              </w:rPr>
              <w:t>波兰</w:t>
            </w:r>
          </w:p>
        </w:tc>
        <w:tc>
          <w:tcPr>
            <w:tcW w:w="1194" w:type="dxa"/>
            <w:vAlign w:val="center"/>
          </w:tcPr>
          <w:p>
            <w:pPr>
              <w:jc w:val="both"/>
              <w:rPr>
                <w:rFonts w:ascii="宋体" w:hAnsi="宋体"/>
              </w:rPr>
            </w:pPr>
            <w:r>
              <w:rPr>
                <w:rFonts w:ascii="宋体" w:hAnsi="宋体" w:hint="eastAsia"/>
              </w:rPr>
              <w:t>波兰</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SMTScharfAfrica(Pty.)Ltd</w:t>
            </w:r>
          </w:p>
        </w:tc>
        <w:tc>
          <w:tcPr>
            <w:tcW w:w="1337" w:type="dxa"/>
            <w:vAlign w:val="center"/>
          </w:tcPr>
          <w:p>
            <w:pPr>
              <w:jc w:val="both"/>
              <w:rPr>
                <w:rFonts w:ascii="宋体" w:hAnsi="宋体"/>
              </w:rPr>
            </w:pPr>
            <w:r>
              <w:rPr>
                <w:rFonts w:ascii="宋体" w:hAnsi="宋体" w:hint="eastAsia"/>
              </w:rPr>
              <w:t>南非</w:t>
            </w:r>
          </w:p>
        </w:tc>
        <w:tc>
          <w:tcPr>
            <w:tcW w:w="1194" w:type="dxa"/>
            <w:vAlign w:val="center"/>
          </w:tcPr>
          <w:p>
            <w:pPr>
              <w:jc w:val="both"/>
              <w:rPr>
                <w:rFonts w:ascii="宋体" w:hAnsi="宋体"/>
              </w:rPr>
            </w:pPr>
            <w:r>
              <w:rPr>
                <w:rFonts w:ascii="宋体" w:hAnsi="宋体" w:hint="eastAsia"/>
              </w:rPr>
              <w:t>南非</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SMTScharfSudamericaSpA</w:t>
            </w:r>
          </w:p>
        </w:tc>
        <w:tc>
          <w:tcPr>
            <w:tcW w:w="1337" w:type="dxa"/>
            <w:vAlign w:val="center"/>
          </w:tcPr>
          <w:p>
            <w:pPr>
              <w:jc w:val="both"/>
              <w:rPr>
                <w:rFonts w:ascii="宋体" w:hAnsi="宋体"/>
              </w:rPr>
            </w:pPr>
            <w:r>
              <w:rPr>
                <w:rFonts w:ascii="宋体" w:hAnsi="宋体" w:hint="eastAsia"/>
              </w:rPr>
              <w:t>智利</w:t>
            </w:r>
          </w:p>
        </w:tc>
        <w:tc>
          <w:tcPr>
            <w:tcW w:w="1194" w:type="dxa"/>
            <w:vAlign w:val="center"/>
          </w:tcPr>
          <w:p>
            <w:pPr>
              <w:jc w:val="both"/>
              <w:rPr>
                <w:rFonts w:ascii="宋体" w:hAnsi="宋体"/>
              </w:rPr>
            </w:pPr>
            <w:r>
              <w:rPr>
                <w:rFonts w:ascii="宋体" w:hAnsi="宋体" w:hint="eastAsia"/>
              </w:rPr>
              <w:t>智利</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RDHMiningEquipment</w:t>
            </w:r>
          </w:p>
        </w:tc>
        <w:tc>
          <w:tcPr>
            <w:tcW w:w="1337" w:type="dxa"/>
            <w:vAlign w:val="center"/>
          </w:tcPr>
          <w:p>
            <w:pPr>
              <w:jc w:val="both"/>
              <w:rPr>
                <w:rFonts w:ascii="宋体" w:hAnsi="宋体"/>
              </w:rPr>
            </w:pPr>
            <w:r>
              <w:rPr>
                <w:rFonts w:ascii="宋体" w:hAnsi="宋体" w:hint="eastAsia"/>
              </w:rPr>
              <w:t>加拿大</w:t>
            </w:r>
          </w:p>
        </w:tc>
        <w:tc>
          <w:tcPr>
            <w:tcW w:w="1194" w:type="dxa"/>
            <w:vAlign w:val="center"/>
          </w:tcPr>
          <w:p>
            <w:pPr>
              <w:jc w:val="both"/>
              <w:rPr>
                <w:rFonts w:ascii="宋体" w:hAnsi="宋体"/>
              </w:rPr>
            </w:pPr>
            <w:r>
              <w:rPr>
                <w:rFonts w:ascii="宋体" w:hAnsi="宋体" w:hint="eastAsia"/>
              </w:rPr>
              <w:t>加拿大</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OOOSMTScharf</w:t>
            </w:r>
          </w:p>
        </w:tc>
        <w:tc>
          <w:tcPr>
            <w:tcW w:w="1337" w:type="dxa"/>
            <w:vAlign w:val="center"/>
          </w:tcPr>
          <w:p>
            <w:pPr>
              <w:jc w:val="both"/>
              <w:rPr>
                <w:rFonts w:ascii="宋体" w:hAnsi="宋体"/>
              </w:rPr>
            </w:pPr>
            <w:r>
              <w:rPr>
                <w:rFonts w:ascii="宋体" w:hAnsi="宋体" w:hint="eastAsia"/>
              </w:rPr>
              <w:t>俄罗斯</w:t>
            </w:r>
          </w:p>
        </w:tc>
        <w:tc>
          <w:tcPr>
            <w:tcW w:w="1194" w:type="dxa"/>
            <w:vAlign w:val="center"/>
          </w:tcPr>
          <w:p>
            <w:pPr>
              <w:jc w:val="both"/>
              <w:rPr>
                <w:rFonts w:ascii="宋体" w:hAnsi="宋体"/>
              </w:rPr>
            </w:pPr>
            <w:r>
              <w:rPr>
                <w:rFonts w:ascii="宋体" w:hAnsi="宋体" w:hint="eastAsia"/>
              </w:rPr>
              <w:t>俄罗斯</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OOOSMTScharfService</w:t>
            </w:r>
          </w:p>
        </w:tc>
        <w:tc>
          <w:tcPr>
            <w:tcW w:w="1337" w:type="dxa"/>
            <w:vAlign w:val="center"/>
          </w:tcPr>
          <w:p>
            <w:pPr>
              <w:jc w:val="both"/>
              <w:rPr>
                <w:rFonts w:ascii="宋体" w:hAnsi="宋体"/>
              </w:rPr>
            </w:pPr>
            <w:r>
              <w:rPr>
                <w:rFonts w:ascii="宋体" w:hAnsi="宋体" w:hint="eastAsia"/>
              </w:rPr>
              <w:t>俄罗斯</w:t>
            </w:r>
          </w:p>
        </w:tc>
        <w:tc>
          <w:tcPr>
            <w:tcW w:w="1194" w:type="dxa"/>
            <w:vAlign w:val="center"/>
          </w:tcPr>
          <w:p>
            <w:pPr>
              <w:jc w:val="both"/>
              <w:rPr>
                <w:rFonts w:ascii="宋体" w:hAnsi="宋体"/>
              </w:rPr>
            </w:pPr>
            <w:r>
              <w:rPr>
                <w:rFonts w:ascii="宋体" w:hAnsi="宋体" w:hint="eastAsia"/>
              </w:rPr>
              <w:t>俄罗斯</w:t>
            </w:r>
          </w:p>
        </w:tc>
        <w:tc>
          <w:tcPr>
            <w:tcW w:w="4314" w:type="dxa"/>
            <w:vAlign w:val="center"/>
          </w:tcPr>
          <w:p>
            <w:pPr>
              <w:jc w:val="both"/>
              <w:rPr>
                <w:rFonts w:ascii="宋体" w:hAnsi="宋体"/>
              </w:rPr>
            </w:pPr>
            <w:r>
              <w:rPr>
                <w:rFonts w:ascii="宋体" w:hAnsi="宋体" w:hint="eastAsia"/>
              </w:rPr>
              <w:t>设备安装及服务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沙尔夫矿山机械（北京）有限公司</w:t>
            </w:r>
          </w:p>
        </w:tc>
        <w:tc>
          <w:tcPr>
            <w:tcW w:w="1337" w:type="dxa"/>
            <w:vAlign w:val="center"/>
          </w:tcPr>
          <w:p>
            <w:pPr>
              <w:jc w:val="both"/>
              <w:rPr>
                <w:rFonts w:ascii="宋体" w:hAnsi="宋体"/>
              </w:rPr>
            </w:pPr>
            <w:r>
              <w:rPr>
                <w:rFonts w:ascii="宋体" w:hAnsi="宋体" w:hint="eastAsia"/>
              </w:rPr>
              <w:t>北京</w:t>
            </w:r>
          </w:p>
        </w:tc>
        <w:tc>
          <w:tcPr>
            <w:tcW w:w="1194" w:type="dxa"/>
            <w:vAlign w:val="center"/>
          </w:tcPr>
          <w:p>
            <w:pPr>
              <w:jc w:val="both"/>
              <w:rPr>
                <w:rFonts w:ascii="宋体" w:hAnsi="宋体"/>
              </w:rPr>
            </w:pPr>
            <w:r>
              <w:rPr>
                <w:rFonts w:ascii="宋体" w:hAnsi="宋体" w:hint="eastAsia"/>
              </w:rPr>
              <w:t>北京</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沙尔夫矿山机械（徐州）有限公司</w:t>
            </w:r>
          </w:p>
        </w:tc>
        <w:tc>
          <w:tcPr>
            <w:tcW w:w="1337" w:type="dxa"/>
            <w:vAlign w:val="center"/>
          </w:tcPr>
          <w:p>
            <w:pPr>
              <w:jc w:val="both"/>
              <w:rPr>
                <w:rFonts w:ascii="宋体" w:hAnsi="宋体"/>
              </w:rPr>
            </w:pPr>
            <w:r>
              <w:rPr>
                <w:rFonts w:ascii="宋体" w:hAnsi="宋体" w:hint="eastAsia"/>
              </w:rPr>
              <w:t>江苏徐州</w:t>
            </w:r>
          </w:p>
        </w:tc>
        <w:tc>
          <w:tcPr>
            <w:tcW w:w="1194" w:type="dxa"/>
            <w:vAlign w:val="center"/>
          </w:tcPr>
          <w:p>
            <w:pPr>
              <w:jc w:val="both"/>
              <w:rPr>
                <w:rFonts w:ascii="宋体" w:hAnsi="宋体"/>
              </w:rPr>
            </w:pPr>
            <w:r>
              <w:rPr>
                <w:rFonts w:ascii="宋体" w:hAnsi="宋体" w:hint="eastAsia"/>
              </w:rPr>
              <w:t>江苏徐州</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山东新沙单轨运输装备有限公司</w:t>
            </w:r>
          </w:p>
        </w:tc>
        <w:tc>
          <w:tcPr>
            <w:tcW w:w="1337" w:type="dxa"/>
            <w:vAlign w:val="center"/>
          </w:tcPr>
          <w:p>
            <w:pPr>
              <w:jc w:val="both"/>
              <w:rPr>
                <w:rFonts w:ascii="宋体" w:hAnsi="宋体"/>
              </w:rPr>
            </w:pPr>
            <w:r>
              <w:rPr>
                <w:rFonts w:ascii="宋体" w:hAnsi="宋体" w:hint="eastAsia"/>
              </w:rPr>
              <w:t>山东泰安</w:t>
            </w:r>
          </w:p>
        </w:tc>
        <w:tc>
          <w:tcPr>
            <w:tcW w:w="1194" w:type="dxa"/>
            <w:vAlign w:val="center"/>
          </w:tcPr>
          <w:p>
            <w:pPr>
              <w:jc w:val="both"/>
              <w:rPr>
                <w:rFonts w:ascii="宋体" w:hAnsi="宋体"/>
              </w:rPr>
            </w:pPr>
            <w:r>
              <w:rPr>
                <w:rFonts w:ascii="宋体" w:hAnsi="宋体" w:hint="eastAsia"/>
              </w:rPr>
              <w:t>山东泰安</w:t>
            </w:r>
          </w:p>
        </w:tc>
        <w:tc>
          <w:tcPr>
            <w:tcW w:w="4314" w:type="dxa"/>
            <w:vAlign w:val="center"/>
          </w:tcPr>
          <w:p>
            <w:pPr>
              <w:jc w:val="both"/>
              <w:rPr>
                <w:rFonts w:ascii="宋体" w:hAnsi="宋体"/>
              </w:rPr>
            </w:pPr>
            <w:r>
              <w:rPr>
                <w:rFonts w:ascii="宋体" w:hAnsi="宋体" w:hint="eastAsia"/>
              </w:rPr>
              <w:t>机械制造及设备安装</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0.5</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山东天玛智能控制技术有限公司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仪器仪表制造</w:t>
            </w:r>
          </w:p>
        </w:tc>
        <w:tc>
          <w:tcPr>
            <w:tcW w:w="910" w:type="dxa"/>
            <w:vAlign w:val="center"/>
          </w:tcPr>
          <w:p>
            <w:pPr>
              <w:jc w:val="both"/>
              <w:rPr>
                <w:rFonts w:ascii="宋体" w:hAnsi="宋体"/>
              </w:rPr>
            </w:pPr>
            <w:r>
              <w:rPr>
                <w:rFonts w:ascii="宋体" w:hAnsi="宋体" w:hint="eastAsia"/>
              </w:rPr>
              <w:t>47.34</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物泊科技股份有限公司</w:t>
            </w:r>
          </w:p>
        </w:tc>
        <w:tc>
          <w:tcPr>
            <w:tcW w:w="1337" w:type="dxa"/>
            <w:vAlign w:val="center"/>
          </w:tcPr>
          <w:p>
            <w:pPr>
              <w:jc w:val="both"/>
              <w:rPr>
                <w:rFonts w:ascii="宋体" w:hAnsi="宋体"/>
              </w:rPr>
            </w:pPr>
            <w:r>
              <w:rPr>
                <w:rFonts w:ascii="宋体" w:hAnsi="宋体" w:hint="eastAsia"/>
              </w:rPr>
              <w:t>福建莆田</w:t>
            </w:r>
          </w:p>
        </w:tc>
        <w:tc>
          <w:tcPr>
            <w:tcW w:w="1194" w:type="dxa"/>
            <w:vAlign w:val="center"/>
          </w:tcPr>
          <w:p>
            <w:pPr>
              <w:jc w:val="both"/>
              <w:rPr>
                <w:rFonts w:ascii="宋体" w:hAnsi="宋体"/>
              </w:rPr>
            </w:pPr>
            <w:r>
              <w:rPr>
                <w:rFonts w:ascii="宋体" w:hAnsi="宋体" w:hint="eastAsia"/>
              </w:rPr>
              <w:t>福建莆田</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r>
              <w:rPr>
                <w:rFonts w:ascii="宋体" w:hAnsi="宋体" w:hint="eastAsia"/>
              </w:rPr>
              <w:t>45</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山西聚鑫物云科技有限公司</w:t>
            </w:r>
          </w:p>
        </w:tc>
        <w:tc>
          <w:tcPr>
            <w:tcW w:w="1337" w:type="dxa"/>
            <w:vAlign w:val="center"/>
          </w:tcPr>
          <w:p>
            <w:pPr>
              <w:jc w:val="both"/>
              <w:rPr>
                <w:rFonts w:ascii="宋体" w:hAnsi="宋体"/>
              </w:rPr>
            </w:pPr>
            <w:r>
              <w:rPr>
                <w:rFonts w:ascii="宋体" w:hAnsi="宋体" w:hint="eastAsia"/>
              </w:rPr>
              <w:t>山西临汾</w:t>
            </w:r>
          </w:p>
        </w:tc>
        <w:tc>
          <w:tcPr>
            <w:tcW w:w="1194" w:type="dxa"/>
            <w:vAlign w:val="center"/>
          </w:tcPr>
          <w:p>
            <w:pPr>
              <w:jc w:val="both"/>
              <w:rPr>
                <w:rFonts w:ascii="宋体" w:hAnsi="宋体"/>
              </w:rPr>
            </w:pPr>
            <w:r>
              <w:rPr>
                <w:rFonts w:ascii="宋体" w:hAnsi="宋体" w:hint="eastAsia"/>
              </w:rPr>
              <w:t>山西临汾</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日照物泊物流有限公司</w:t>
            </w:r>
          </w:p>
        </w:tc>
        <w:tc>
          <w:tcPr>
            <w:tcW w:w="1337" w:type="dxa"/>
            <w:vAlign w:val="center"/>
          </w:tcPr>
          <w:p>
            <w:pPr>
              <w:jc w:val="both"/>
              <w:rPr>
                <w:rFonts w:ascii="宋体" w:hAnsi="宋体"/>
              </w:rPr>
            </w:pPr>
            <w:r>
              <w:rPr>
                <w:rFonts w:ascii="宋体" w:hAnsi="宋体" w:hint="eastAsia"/>
              </w:rPr>
              <w:t>山东日照</w:t>
            </w:r>
          </w:p>
        </w:tc>
        <w:tc>
          <w:tcPr>
            <w:tcW w:w="1194" w:type="dxa"/>
            <w:vAlign w:val="center"/>
          </w:tcPr>
          <w:p>
            <w:pPr>
              <w:jc w:val="both"/>
              <w:rPr>
                <w:rFonts w:ascii="宋体" w:hAnsi="宋体"/>
              </w:rPr>
            </w:pPr>
            <w:r>
              <w:rPr>
                <w:rFonts w:ascii="宋体" w:hAnsi="宋体" w:hint="eastAsia"/>
              </w:rPr>
              <w:t>山东日照</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福建物泊科技有限公司</w:t>
            </w:r>
          </w:p>
        </w:tc>
        <w:tc>
          <w:tcPr>
            <w:tcW w:w="1337" w:type="dxa"/>
            <w:vAlign w:val="center"/>
          </w:tcPr>
          <w:p>
            <w:pPr>
              <w:jc w:val="both"/>
              <w:rPr>
                <w:rFonts w:ascii="宋体" w:hAnsi="宋体"/>
              </w:rPr>
            </w:pPr>
            <w:r>
              <w:rPr>
                <w:rFonts w:ascii="宋体" w:hAnsi="宋体" w:hint="eastAsia"/>
              </w:rPr>
              <w:t>福建福州</w:t>
            </w:r>
          </w:p>
        </w:tc>
        <w:tc>
          <w:tcPr>
            <w:tcW w:w="1194" w:type="dxa"/>
            <w:vAlign w:val="center"/>
          </w:tcPr>
          <w:p>
            <w:pPr>
              <w:jc w:val="both"/>
              <w:rPr>
                <w:rFonts w:ascii="宋体" w:hAnsi="宋体"/>
              </w:rPr>
            </w:pPr>
            <w:r>
              <w:rPr>
                <w:rFonts w:ascii="宋体" w:hAnsi="宋体" w:hint="eastAsia"/>
              </w:rPr>
              <w:t>福建福州</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河南中原云工有限责任公司</w:t>
            </w:r>
          </w:p>
        </w:tc>
        <w:tc>
          <w:tcPr>
            <w:tcW w:w="1337" w:type="dxa"/>
            <w:vAlign w:val="center"/>
          </w:tcPr>
          <w:p>
            <w:pPr>
              <w:jc w:val="both"/>
              <w:rPr>
                <w:rFonts w:ascii="宋体" w:hAnsi="宋体"/>
              </w:rPr>
            </w:pPr>
            <w:r>
              <w:rPr>
                <w:rFonts w:ascii="宋体" w:hAnsi="宋体" w:hint="eastAsia"/>
              </w:rPr>
              <w:t>河南济源</w:t>
            </w:r>
          </w:p>
        </w:tc>
        <w:tc>
          <w:tcPr>
            <w:tcW w:w="1194" w:type="dxa"/>
            <w:vAlign w:val="center"/>
          </w:tcPr>
          <w:p>
            <w:pPr>
              <w:jc w:val="both"/>
              <w:rPr>
                <w:rFonts w:ascii="宋体" w:hAnsi="宋体"/>
              </w:rPr>
            </w:pPr>
            <w:r>
              <w:rPr>
                <w:rFonts w:ascii="宋体" w:hAnsi="宋体" w:hint="eastAsia"/>
              </w:rPr>
              <w:t>河南济源</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80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内蒙古物泊科技有限公司</w:t>
            </w:r>
          </w:p>
        </w:tc>
        <w:tc>
          <w:tcPr>
            <w:tcW w:w="1337" w:type="dxa"/>
            <w:vAlign w:val="center"/>
          </w:tcPr>
          <w:p>
            <w:pPr>
              <w:jc w:val="both"/>
              <w:rPr>
                <w:rFonts w:ascii="宋体" w:hAnsi="宋体"/>
              </w:rPr>
            </w:pPr>
            <w:r>
              <w:rPr>
                <w:rFonts w:ascii="宋体" w:hAnsi="宋体" w:hint="eastAsia"/>
              </w:rPr>
              <w:t>内蒙古鄂尔多斯</w:t>
            </w:r>
          </w:p>
        </w:tc>
        <w:tc>
          <w:tcPr>
            <w:tcW w:w="1194" w:type="dxa"/>
            <w:vAlign w:val="center"/>
          </w:tcPr>
          <w:p>
            <w:pPr>
              <w:jc w:val="both"/>
              <w:rPr>
                <w:rFonts w:ascii="宋体" w:hAnsi="宋体"/>
              </w:rPr>
            </w:pPr>
            <w:r>
              <w:rPr>
                <w:rFonts w:ascii="宋体" w:hAnsi="宋体" w:hint="eastAsia"/>
              </w:rPr>
              <w:t>内蒙古鄂尔多斯</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lastRenderedPageBreak/>
              <w:t>连云港物云智能科技有限公司</w:t>
            </w:r>
          </w:p>
        </w:tc>
        <w:tc>
          <w:tcPr>
            <w:tcW w:w="1337" w:type="dxa"/>
            <w:vAlign w:val="center"/>
          </w:tcPr>
          <w:p>
            <w:pPr>
              <w:jc w:val="both"/>
              <w:rPr>
                <w:rFonts w:ascii="宋体" w:hAnsi="宋体"/>
              </w:rPr>
            </w:pPr>
            <w:r>
              <w:rPr>
                <w:rFonts w:ascii="宋体" w:hAnsi="宋体" w:hint="eastAsia"/>
              </w:rPr>
              <w:t>江苏连云港</w:t>
            </w:r>
          </w:p>
        </w:tc>
        <w:tc>
          <w:tcPr>
            <w:tcW w:w="1194" w:type="dxa"/>
            <w:vAlign w:val="center"/>
          </w:tcPr>
          <w:p>
            <w:pPr>
              <w:jc w:val="both"/>
              <w:rPr>
                <w:rFonts w:ascii="宋体" w:hAnsi="宋体"/>
              </w:rPr>
            </w:pPr>
            <w:r>
              <w:rPr>
                <w:rFonts w:ascii="宋体" w:hAnsi="宋体" w:hint="eastAsia"/>
              </w:rPr>
              <w:t>江苏连云港</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天津东铭融资租赁有限公司</w:t>
            </w:r>
          </w:p>
        </w:tc>
        <w:tc>
          <w:tcPr>
            <w:tcW w:w="1337" w:type="dxa"/>
            <w:vAlign w:val="center"/>
          </w:tcPr>
          <w:p>
            <w:pPr>
              <w:jc w:val="both"/>
              <w:rPr>
                <w:rFonts w:ascii="宋体" w:hAnsi="宋体"/>
              </w:rPr>
            </w:pPr>
            <w:r>
              <w:rPr>
                <w:rFonts w:ascii="宋体" w:hAnsi="宋体" w:hint="eastAsia"/>
              </w:rPr>
              <w:t>天津</w:t>
            </w:r>
          </w:p>
        </w:tc>
        <w:tc>
          <w:tcPr>
            <w:tcW w:w="1194" w:type="dxa"/>
            <w:vAlign w:val="center"/>
          </w:tcPr>
          <w:p>
            <w:pPr>
              <w:jc w:val="both"/>
              <w:rPr>
                <w:rFonts w:ascii="宋体" w:hAnsi="宋体"/>
              </w:rPr>
            </w:pPr>
            <w:r>
              <w:rPr>
                <w:rFonts w:ascii="宋体" w:hAnsi="宋体" w:hint="eastAsia"/>
              </w:rPr>
              <w:t>天津</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75</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山东物泊科技有限公司</w:t>
            </w:r>
          </w:p>
        </w:tc>
        <w:tc>
          <w:tcPr>
            <w:tcW w:w="1337" w:type="dxa"/>
            <w:vAlign w:val="center"/>
          </w:tcPr>
          <w:p>
            <w:pPr>
              <w:jc w:val="both"/>
              <w:rPr>
                <w:rFonts w:ascii="宋体" w:hAnsi="宋体"/>
              </w:rPr>
            </w:pPr>
            <w:r>
              <w:rPr>
                <w:rFonts w:ascii="宋体" w:hAnsi="宋体" w:hint="eastAsia"/>
              </w:rPr>
              <w:t>山东德州</w:t>
            </w:r>
          </w:p>
        </w:tc>
        <w:tc>
          <w:tcPr>
            <w:tcW w:w="1194" w:type="dxa"/>
            <w:vAlign w:val="center"/>
          </w:tcPr>
          <w:p>
            <w:pPr>
              <w:jc w:val="both"/>
              <w:rPr>
                <w:rFonts w:ascii="宋体" w:hAnsi="宋体"/>
              </w:rPr>
            </w:pPr>
            <w:r>
              <w:rPr>
                <w:rFonts w:ascii="宋体" w:hAnsi="宋体" w:hint="eastAsia"/>
              </w:rPr>
              <w:t>山东德州</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上海钢软信息技术工程股份有限公司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邯郸市物泊物流科技有限公司</w:t>
            </w:r>
          </w:p>
        </w:tc>
        <w:tc>
          <w:tcPr>
            <w:tcW w:w="1337" w:type="dxa"/>
            <w:vAlign w:val="center"/>
          </w:tcPr>
          <w:p>
            <w:pPr>
              <w:jc w:val="both"/>
              <w:rPr>
                <w:rFonts w:ascii="宋体" w:hAnsi="宋体"/>
              </w:rPr>
            </w:pPr>
            <w:r>
              <w:rPr>
                <w:rFonts w:ascii="宋体" w:hAnsi="宋体" w:hint="eastAsia"/>
              </w:rPr>
              <w:t>河北邯郸</w:t>
            </w:r>
          </w:p>
        </w:tc>
        <w:tc>
          <w:tcPr>
            <w:tcW w:w="1194" w:type="dxa"/>
            <w:vAlign w:val="center"/>
          </w:tcPr>
          <w:p>
            <w:pPr>
              <w:jc w:val="both"/>
              <w:rPr>
                <w:rFonts w:ascii="宋体" w:hAnsi="宋体"/>
              </w:rPr>
            </w:pPr>
            <w:r>
              <w:rPr>
                <w:rFonts w:ascii="宋体" w:hAnsi="宋体" w:hint="eastAsia"/>
              </w:rPr>
              <w:t>河北邯郸</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仙游物泊科技有限公司</w:t>
            </w:r>
          </w:p>
        </w:tc>
        <w:tc>
          <w:tcPr>
            <w:tcW w:w="1337" w:type="dxa"/>
            <w:vAlign w:val="center"/>
          </w:tcPr>
          <w:p>
            <w:pPr>
              <w:jc w:val="both"/>
              <w:rPr>
                <w:rFonts w:ascii="宋体" w:hAnsi="宋体"/>
              </w:rPr>
            </w:pPr>
            <w:r>
              <w:rPr>
                <w:rFonts w:ascii="宋体" w:hAnsi="宋体" w:hint="eastAsia"/>
              </w:rPr>
              <w:t>福建莆田</w:t>
            </w:r>
          </w:p>
        </w:tc>
        <w:tc>
          <w:tcPr>
            <w:tcW w:w="1194" w:type="dxa"/>
            <w:vAlign w:val="center"/>
          </w:tcPr>
          <w:p>
            <w:pPr>
              <w:jc w:val="both"/>
              <w:rPr>
                <w:rFonts w:ascii="宋体" w:hAnsi="宋体"/>
              </w:rPr>
            </w:pPr>
            <w:r>
              <w:rPr>
                <w:rFonts w:ascii="宋体" w:hAnsi="宋体" w:hint="eastAsia"/>
              </w:rPr>
              <w:t>福建莆田</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北京物泊科技有限公司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天津物泊科技有限公司</w:t>
            </w:r>
          </w:p>
        </w:tc>
        <w:tc>
          <w:tcPr>
            <w:tcW w:w="1337" w:type="dxa"/>
            <w:vAlign w:val="center"/>
          </w:tcPr>
          <w:p>
            <w:pPr>
              <w:jc w:val="both"/>
              <w:rPr>
                <w:rFonts w:ascii="宋体" w:hAnsi="宋体"/>
              </w:rPr>
            </w:pPr>
            <w:r>
              <w:rPr>
                <w:rFonts w:ascii="宋体" w:hAnsi="宋体" w:hint="eastAsia"/>
              </w:rPr>
              <w:t>天津</w:t>
            </w:r>
          </w:p>
        </w:tc>
        <w:tc>
          <w:tcPr>
            <w:tcW w:w="1194" w:type="dxa"/>
            <w:vAlign w:val="center"/>
          </w:tcPr>
          <w:p>
            <w:pPr>
              <w:jc w:val="both"/>
              <w:rPr>
                <w:rFonts w:ascii="宋体" w:hAnsi="宋体"/>
              </w:rPr>
            </w:pPr>
            <w:r>
              <w:rPr>
                <w:rFonts w:ascii="宋体" w:hAnsi="宋体" w:hint="eastAsia"/>
              </w:rPr>
              <w:t>天津</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物泊(福建)外轮代理有限公司</w:t>
            </w:r>
          </w:p>
        </w:tc>
        <w:tc>
          <w:tcPr>
            <w:tcW w:w="1337" w:type="dxa"/>
            <w:vAlign w:val="center"/>
          </w:tcPr>
          <w:p>
            <w:pPr>
              <w:jc w:val="both"/>
              <w:rPr>
                <w:rFonts w:ascii="宋体" w:hAnsi="宋体"/>
              </w:rPr>
            </w:pPr>
            <w:r>
              <w:rPr>
                <w:rFonts w:ascii="宋体" w:hAnsi="宋体" w:hint="eastAsia"/>
              </w:rPr>
              <w:t>福建莆田</w:t>
            </w:r>
          </w:p>
        </w:tc>
        <w:tc>
          <w:tcPr>
            <w:tcW w:w="1194" w:type="dxa"/>
            <w:vAlign w:val="center"/>
          </w:tcPr>
          <w:p>
            <w:pPr>
              <w:jc w:val="both"/>
              <w:rPr>
                <w:rFonts w:ascii="宋体" w:hAnsi="宋体"/>
              </w:rPr>
            </w:pPr>
            <w:r>
              <w:rPr>
                <w:rFonts w:ascii="宋体" w:hAnsi="宋体" w:hint="eastAsia"/>
              </w:rPr>
              <w:t>福建莆田</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物泊车联网(深圳)有限公司</w:t>
            </w:r>
          </w:p>
        </w:tc>
        <w:tc>
          <w:tcPr>
            <w:tcW w:w="1337" w:type="dxa"/>
            <w:vAlign w:val="center"/>
          </w:tcPr>
          <w:p>
            <w:pPr>
              <w:jc w:val="both"/>
              <w:rPr>
                <w:rFonts w:ascii="宋体" w:hAnsi="宋体"/>
              </w:rPr>
            </w:pPr>
            <w:r>
              <w:rPr>
                <w:rFonts w:ascii="宋体" w:hAnsi="宋体" w:hint="eastAsia"/>
              </w:rPr>
              <w:t>广东深圳</w:t>
            </w:r>
          </w:p>
        </w:tc>
        <w:tc>
          <w:tcPr>
            <w:tcW w:w="1194" w:type="dxa"/>
            <w:vAlign w:val="center"/>
          </w:tcPr>
          <w:p>
            <w:pPr>
              <w:jc w:val="both"/>
              <w:rPr>
                <w:rFonts w:ascii="宋体" w:hAnsi="宋体"/>
              </w:rPr>
            </w:pPr>
            <w:r>
              <w:rPr>
                <w:rFonts w:ascii="宋体" w:hAnsi="宋体" w:hint="eastAsia"/>
              </w:rPr>
              <w:t>广东深圳</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天津物泊能源科技有限公司</w:t>
            </w:r>
          </w:p>
        </w:tc>
        <w:tc>
          <w:tcPr>
            <w:tcW w:w="1337" w:type="dxa"/>
            <w:vAlign w:val="center"/>
          </w:tcPr>
          <w:p>
            <w:pPr>
              <w:jc w:val="both"/>
              <w:rPr>
                <w:rFonts w:ascii="宋体" w:hAnsi="宋体"/>
              </w:rPr>
            </w:pPr>
            <w:r>
              <w:rPr>
                <w:rFonts w:ascii="宋体" w:hAnsi="宋体" w:hint="eastAsia"/>
              </w:rPr>
              <w:t>天津</w:t>
            </w:r>
          </w:p>
        </w:tc>
        <w:tc>
          <w:tcPr>
            <w:tcW w:w="1194" w:type="dxa"/>
            <w:vAlign w:val="center"/>
          </w:tcPr>
          <w:p>
            <w:pPr>
              <w:jc w:val="both"/>
              <w:rPr>
                <w:rFonts w:ascii="宋体" w:hAnsi="宋体"/>
              </w:rPr>
            </w:pPr>
            <w:r>
              <w:rPr>
                <w:rFonts w:ascii="宋体" w:hAnsi="宋体" w:hint="eastAsia"/>
              </w:rPr>
              <w:t>天津</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连云港星链物流有限公司</w:t>
            </w:r>
          </w:p>
        </w:tc>
        <w:tc>
          <w:tcPr>
            <w:tcW w:w="1337" w:type="dxa"/>
            <w:vAlign w:val="center"/>
          </w:tcPr>
          <w:p>
            <w:pPr>
              <w:jc w:val="both"/>
              <w:rPr>
                <w:rFonts w:ascii="宋体" w:hAnsi="宋体"/>
              </w:rPr>
            </w:pPr>
            <w:r>
              <w:rPr>
                <w:rFonts w:ascii="宋体" w:hAnsi="宋体" w:hint="eastAsia"/>
              </w:rPr>
              <w:t>江苏连云港</w:t>
            </w:r>
          </w:p>
        </w:tc>
        <w:tc>
          <w:tcPr>
            <w:tcW w:w="1194" w:type="dxa"/>
            <w:vAlign w:val="center"/>
          </w:tcPr>
          <w:p>
            <w:pPr>
              <w:jc w:val="both"/>
              <w:rPr>
                <w:rFonts w:ascii="宋体" w:hAnsi="宋体"/>
              </w:rPr>
            </w:pPr>
            <w:r>
              <w:rPr>
                <w:rFonts w:ascii="宋体" w:hAnsi="宋体" w:hint="eastAsia"/>
              </w:rPr>
              <w:t>江苏连云港</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物泊科技(临汾)有限公司</w:t>
            </w:r>
          </w:p>
        </w:tc>
        <w:tc>
          <w:tcPr>
            <w:tcW w:w="1337" w:type="dxa"/>
            <w:vAlign w:val="center"/>
          </w:tcPr>
          <w:p>
            <w:pPr>
              <w:jc w:val="both"/>
              <w:rPr>
                <w:rFonts w:ascii="宋体" w:hAnsi="宋体"/>
              </w:rPr>
            </w:pPr>
            <w:r>
              <w:rPr>
                <w:rFonts w:ascii="宋体" w:hAnsi="宋体" w:hint="eastAsia"/>
              </w:rPr>
              <w:t>山西临汾</w:t>
            </w:r>
          </w:p>
        </w:tc>
        <w:tc>
          <w:tcPr>
            <w:tcW w:w="1194" w:type="dxa"/>
            <w:vAlign w:val="center"/>
          </w:tcPr>
          <w:p>
            <w:pPr>
              <w:jc w:val="both"/>
              <w:rPr>
                <w:rFonts w:ascii="宋体" w:hAnsi="宋体"/>
              </w:rPr>
            </w:pPr>
            <w:r>
              <w:rPr>
                <w:rFonts w:ascii="宋体" w:hAnsi="宋体" w:hint="eastAsia"/>
              </w:rPr>
              <w:t>山西临汾</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四川物泊科技有限公司</w:t>
            </w:r>
          </w:p>
        </w:tc>
        <w:tc>
          <w:tcPr>
            <w:tcW w:w="1337" w:type="dxa"/>
            <w:vAlign w:val="center"/>
          </w:tcPr>
          <w:p>
            <w:pPr>
              <w:jc w:val="both"/>
              <w:rPr>
                <w:rFonts w:ascii="宋体" w:hAnsi="宋体"/>
              </w:rPr>
            </w:pPr>
            <w:r>
              <w:rPr>
                <w:rFonts w:ascii="宋体" w:hAnsi="宋体" w:hint="eastAsia"/>
              </w:rPr>
              <w:t>四川雅安</w:t>
            </w:r>
          </w:p>
        </w:tc>
        <w:tc>
          <w:tcPr>
            <w:tcW w:w="1194" w:type="dxa"/>
            <w:vAlign w:val="center"/>
          </w:tcPr>
          <w:p>
            <w:pPr>
              <w:jc w:val="both"/>
              <w:rPr>
                <w:rFonts w:ascii="宋体" w:hAnsi="宋体"/>
              </w:rPr>
            </w:pPr>
            <w:r>
              <w:rPr>
                <w:rFonts w:ascii="宋体" w:hAnsi="宋体" w:hint="eastAsia"/>
              </w:rPr>
              <w:t>四川雅安</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湖南物泊科技有限公司</w:t>
            </w:r>
          </w:p>
        </w:tc>
        <w:tc>
          <w:tcPr>
            <w:tcW w:w="1337" w:type="dxa"/>
            <w:vAlign w:val="center"/>
          </w:tcPr>
          <w:p>
            <w:pPr>
              <w:jc w:val="both"/>
              <w:rPr>
                <w:rFonts w:ascii="宋体" w:hAnsi="宋体"/>
              </w:rPr>
            </w:pPr>
            <w:r>
              <w:rPr>
                <w:rFonts w:ascii="宋体" w:hAnsi="宋体" w:hint="eastAsia"/>
              </w:rPr>
              <w:t>湖南岳阳</w:t>
            </w:r>
          </w:p>
        </w:tc>
        <w:tc>
          <w:tcPr>
            <w:tcW w:w="1194" w:type="dxa"/>
            <w:vAlign w:val="center"/>
          </w:tcPr>
          <w:p>
            <w:pPr>
              <w:jc w:val="both"/>
              <w:rPr>
                <w:rFonts w:ascii="宋体" w:hAnsi="宋体"/>
              </w:rPr>
            </w:pPr>
            <w:r>
              <w:rPr>
                <w:rFonts w:ascii="宋体" w:hAnsi="宋体" w:hint="eastAsia"/>
              </w:rPr>
              <w:t>湖南岳阳</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山东山港舟道物泊信息科技有限公司</w:t>
            </w:r>
          </w:p>
        </w:tc>
        <w:tc>
          <w:tcPr>
            <w:tcW w:w="1337" w:type="dxa"/>
            <w:vAlign w:val="center"/>
          </w:tcPr>
          <w:p>
            <w:pPr>
              <w:jc w:val="both"/>
              <w:rPr>
                <w:rFonts w:ascii="宋体" w:hAnsi="宋体"/>
              </w:rPr>
            </w:pPr>
            <w:r>
              <w:rPr>
                <w:rFonts w:ascii="宋体" w:hAnsi="宋体" w:hint="eastAsia"/>
              </w:rPr>
              <w:t>山东日照</w:t>
            </w:r>
          </w:p>
        </w:tc>
        <w:tc>
          <w:tcPr>
            <w:tcW w:w="1194" w:type="dxa"/>
            <w:vAlign w:val="center"/>
          </w:tcPr>
          <w:p>
            <w:pPr>
              <w:jc w:val="both"/>
              <w:rPr>
                <w:rFonts w:ascii="宋体" w:hAnsi="宋体"/>
              </w:rPr>
            </w:pPr>
            <w:r>
              <w:rPr>
                <w:rFonts w:ascii="宋体" w:hAnsi="宋体" w:hint="eastAsia"/>
              </w:rPr>
              <w:t>山东日照</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徐州祺湖网络科技有限公司</w:t>
            </w:r>
          </w:p>
        </w:tc>
        <w:tc>
          <w:tcPr>
            <w:tcW w:w="1337" w:type="dxa"/>
            <w:vAlign w:val="center"/>
          </w:tcPr>
          <w:p>
            <w:pPr>
              <w:jc w:val="both"/>
              <w:rPr>
                <w:rFonts w:ascii="宋体" w:hAnsi="宋体"/>
              </w:rPr>
            </w:pPr>
            <w:r>
              <w:rPr>
                <w:rFonts w:ascii="宋体" w:hAnsi="宋体" w:hint="eastAsia"/>
              </w:rPr>
              <w:t>江苏徐州</w:t>
            </w:r>
          </w:p>
        </w:tc>
        <w:tc>
          <w:tcPr>
            <w:tcW w:w="1194" w:type="dxa"/>
            <w:vAlign w:val="center"/>
          </w:tcPr>
          <w:p>
            <w:pPr>
              <w:jc w:val="both"/>
              <w:rPr>
                <w:rFonts w:ascii="宋体" w:hAnsi="宋体"/>
              </w:rPr>
            </w:pPr>
            <w:r>
              <w:rPr>
                <w:rFonts w:ascii="宋体" w:hAnsi="宋体" w:hint="eastAsia"/>
              </w:rPr>
              <w:t>江苏徐州</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物泊科技(祁县)有限公司</w:t>
            </w:r>
          </w:p>
        </w:tc>
        <w:tc>
          <w:tcPr>
            <w:tcW w:w="1337" w:type="dxa"/>
            <w:vAlign w:val="center"/>
          </w:tcPr>
          <w:p>
            <w:pPr>
              <w:jc w:val="both"/>
              <w:rPr>
                <w:rFonts w:ascii="宋体" w:hAnsi="宋体"/>
              </w:rPr>
            </w:pPr>
            <w:r>
              <w:rPr>
                <w:rFonts w:ascii="宋体" w:hAnsi="宋体" w:hint="eastAsia"/>
              </w:rPr>
              <w:t>山西晋中</w:t>
            </w:r>
          </w:p>
        </w:tc>
        <w:tc>
          <w:tcPr>
            <w:tcW w:w="1194" w:type="dxa"/>
            <w:vAlign w:val="center"/>
          </w:tcPr>
          <w:p>
            <w:pPr>
              <w:jc w:val="both"/>
              <w:rPr>
                <w:rFonts w:ascii="宋体" w:hAnsi="宋体"/>
              </w:rPr>
            </w:pPr>
            <w:r>
              <w:rPr>
                <w:rFonts w:ascii="宋体" w:hAnsi="宋体" w:hint="eastAsia"/>
              </w:rPr>
              <w:t>山西晋中</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聚鑫物云科技(曲沃)有限公司</w:t>
            </w:r>
          </w:p>
        </w:tc>
        <w:tc>
          <w:tcPr>
            <w:tcW w:w="1337" w:type="dxa"/>
            <w:vAlign w:val="center"/>
          </w:tcPr>
          <w:p>
            <w:pPr>
              <w:jc w:val="both"/>
              <w:rPr>
                <w:rFonts w:ascii="宋体" w:hAnsi="宋体"/>
              </w:rPr>
            </w:pPr>
            <w:r>
              <w:rPr>
                <w:rFonts w:ascii="宋体" w:hAnsi="宋体" w:hint="eastAsia"/>
              </w:rPr>
              <w:t>山西临汾</w:t>
            </w:r>
          </w:p>
        </w:tc>
        <w:tc>
          <w:tcPr>
            <w:tcW w:w="1194" w:type="dxa"/>
            <w:vAlign w:val="center"/>
          </w:tcPr>
          <w:p>
            <w:pPr>
              <w:jc w:val="both"/>
              <w:rPr>
                <w:rFonts w:ascii="宋体" w:hAnsi="宋体"/>
              </w:rPr>
            </w:pPr>
            <w:r>
              <w:rPr>
                <w:rFonts w:ascii="宋体" w:hAnsi="宋体" w:hint="eastAsia"/>
              </w:rPr>
              <w:t>山西临汾</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唐山物泊供应链管理有限公司</w:t>
            </w:r>
          </w:p>
        </w:tc>
        <w:tc>
          <w:tcPr>
            <w:tcW w:w="1337" w:type="dxa"/>
            <w:vAlign w:val="center"/>
          </w:tcPr>
          <w:p>
            <w:pPr>
              <w:jc w:val="both"/>
              <w:rPr>
                <w:rFonts w:ascii="宋体" w:hAnsi="宋体"/>
              </w:rPr>
            </w:pPr>
            <w:r>
              <w:rPr>
                <w:rFonts w:ascii="宋体" w:hAnsi="宋体" w:hint="eastAsia"/>
              </w:rPr>
              <w:t>河北唐山</w:t>
            </w:r>
          </w:p>
        </w:tc>
        <w:tc>
          <w:tcPr>
            <w:tcW w:w="1194" w:type="dxa"/>
            <w:vAlign w:val="center"/>
          </w:tcPr>
          <w:p>
            <w:pPr>
              <w:jc w:val="both"/>
              <w:rPr>
                <w:rFonts w:ascii="宋体" w:hAnsi="宋体"/>
              </w:rPr>
            </w:pPr>
            <w:r>
              <w:rPr>
                <w:rFonts w:ascii="宋体" w:hAnsi="宋体" w:hint="eastAsia"/>
              </w:rPr>
              <w:t>河北唐山</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宁波物泊明程物流有限公司</w:t>
            </w:r>
          </w:p>
        </w:tc>
        <w:tc>
          <w:tcPr>
            <w:tcW w:w="1337" w:type="dxa"/>
            <w:vAlign w:val="center"/>
          </w:tcPr>
          <w:p>
            <w:pPr>
              <w:jc w:val="both"/>
              <w:rPr>
                <w:rFonts w:ascii="宋体" w:hAnsi="宋体"/>
              </w:rPr>
            </w:pPr>
            <w:r>
              <w:rPr>
                <w:rFonts w:ascii="宋体" w:hAnsi="宋体" w:hint="eastAsia"/>
              </w:rPr>
              <w:t>浙江宁波</w:t>
            </w:r>
          </w:p>
        </w:tc>
        <w:tc>
          <w:tcPr>
            <w:tcW w:w="1194" w:type="dxa"/>
            <w:vAlign w:val="center"/>
          </w:tcPr>
          <w:p>
            <w:pPr>
              <w:jc w:val="both"/>
              <w:rPr>
                <w:rFonts w:ascii="宋体" w:hAnsi="宋体"/>
              </w:rPr>
            </w:pPr>
            <w:r>
              <w:rPr>
                <w:rFonts w:ascii="宋体" w:hAnsi="宋体" w:hint="eastAsia"/>
              </w:rPr>
              <w:t>浙江宁波</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65</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江苏星链智能科技有限公司</w:t>
            </w:r>
          </w:p>
        </w:tc>
        <w:tc>
          <w:tcPr>
            <w:tcW w:w="1337" w:type="dxa"/>
            <w:vAlign w:val="center"/>
          </w:tcPr>
          <w:p>
            <w:pPr>
              <w:jc w:val="both"/>
              <w:rPr>
                <w:rFonts w:ascii="宋体" w:hAnsi="宋体"/>
              </w:rPr>
            </w:pPr>
            <w:r>
              <w:rPr>
                <w:rFonts w:ascii="宋体" w:hAnsi="宋体" w:hint="eastAsia"/>
              </w:rPr>
              <w:t>江苏南通</w:t>
            </w:r>
          </w:p>
        </w:tc>
        <w:tc>
          <w:tcPr>
            <w:tcW w:w="1194" w:type="dxa"/>
            <w:vAlign w:val="center"/>
          </w:tcPr>
          <w:p>
            <w:pPr>
              <w:jc w:val="both"/>
              <w:rPr>
                <w:rFonts w:ascii="宋体" w:hAnsi="宋体"/>
              </w:rPr>
            </w:pPr>
            <w:r>
              <w:rPr>
                <w:rFonts w:ascii="宋体" w:hAnsi="宋体" w:hint="eastAsia"/>
              </w:rPr>
              <w:t>江苏南通</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50.16</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福建星链智行科技有限公司</w:t>
            </w:r>
          </w:p>
        </w:tc>
        <w:tc>
          <w:tcPr>
            <w:tcW w:w="1337" w:type="dxa"/>
            <w:vAlign w:val="center"/>
          </w:tcPr>
          <w:p>
            <w:pPr>
              <w:jc w:val="both"/>
              <w:rPr>
                <w:rFonts w:ascii="宋体" w:hAnsi="宋体"/>
              </w:rPr>
            </w:pPr>
            <w:r>
              <w:rPr>
                <w:rFonts w:ascii="宋体" w:hAnsi="宋体" w:hint="eastAsia"/>
              </w:rPr>
              <w:t>福建莆田</w:t>
            </w:r>
          </w:p>
        </w:tc>
        <w:tc>
          <w:tcPr>
            <w:tcW w:w="1194" w:type="dxa"/>
            <w:vAlign w:val="center"/>
          </w:tcPr>
          <w:p>
            <w:pPr>
              <w:jc w:val="both"/>
              <w:rPr>
                <w:rFonts w:ascii="宋体" w:hAnsi="宋体"/>
              </w:rPr>
            </w:pPr>
            <w:r>
              <w:rPr>
                <w:rFonts w:ascii="宋体" w:hAnsi="宋体" w:hint="eastAsia"/>
              </w:rPr>
              <w:t>福建莆田</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山西晋钢物泊运输有限公司</w:t>
            </w:r>
          </w:p>
        </w:tc>
        <w:tc>
          <w:tcPr>
            <w:tcW w:w="1337" w:type="dxa"/>
            <w:vAlign w:val="center"/>
          </w:tcPr>
          <w:p>
            <w:pPr>
              <w:jc w:val="both"/>
              <w:rPr>
                <w:rFonts w:ascii="宋体" w:hAnsi="宋体"/>
              </w:rPr>
            </w:pPr>
            <w:r>
              <w:rPr>
                <w:rFonts w:ascii="宋体" w:hAnsi="宋体" w:hint="eastAsia"/>
              </w:rPr>
              <w:t>山西晋城</w:t>
            </w:r>
          </w:p>
        </w:tc>
        <w:tc>
          <w:tcPr>
            <w:tcW w:w="1194" w:type="dxa"/>
            <w:vAlign w:val="center"/>
          </w:tcPr>
          <w:p>
            <w:pPr>
              <w:jc w:val="both"/>
              <w:rPr>
                <w:rFonts w:ascii="宋体" w:hAnsi="宋体"/>
              </w:rPr>
            </w:pPr>
            <w:r>
              <w:rPr>
                <w:rFonts w:ascii="宋体" w:hAnsi="宋体" w:hint="eastAsia"/>
              </w:rPr>
              <w:t>山西晋城</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40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福建仙悦投资有限责任公司</w:t>
            </w:r>
          </w:p>
        </w:tc>
        <w:tc>
          <w:tcPr>
            <w:tcW w:w="1337" w:type="dxa"/>
            <w:vAlign w:val="center"/>
          </w:tcPr>
          <w:p>
            <w:pPr>
              <w:jc w:val="both"/>
              <w:rPr>
                <w:rFonts w:ascii="宋体" w:hAnsi="宋体"/>
              </w:rPr>
            </w:pPr>
            <w:r>
              <w:rPr>
                <w:rFonts w:ascii="宋体" w:hAnsi="宋体" w:hint="eastAsia"/>
              </w:rPr>
              <w:t>福建莆田</w:t>
            </w:r>
          </w:p>
        </w:tc>
        <w:tc>
          <w:tcPr>
            <w:tcW w:w="1194" w:type="dxa"/>
            <w:vAlign w:val="center"/>
          </w:tcPr>
          <w:p>
            <w:pPr>
              <w:jc w:val="both"/>
              <w:rPr>
                <w:rFonts w:ascii="宋体" w:hAnsi="宋体"/>
              </w:rPr>
            </w:pPr>
            <w:r>
              <w:rPr>
                <w:rFonts w:ascii="宋体" w:hAnsi="宋体" w:hint="eastAsia"/>
              </w:rPr>
              <w:t>福建莆田</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物泊国际物流(营口)有限公司</w:t>
            </w:r>
          </w:p>
        </w:tc>
        <w:tc>
          <w:tcPr>
            <w:tcW w:w="1337" w:type="dxa"/>
            <w:vAlign w:val="center"/>
          </w:tcPr>
          <w:p>
            <w:pPr>
              <w:jc w:val="both"/>
              <w:rPr>
                <w:rFonts w:ascii="宋体" w:hAnsi="宋体"/>
              </w:rPr>
            </w:pPr>
            <w:r>
              <w:rPr>
                <w:rFonts w:ascii="宋体" w:hAnsi="宋体" w:hint="eastAsia"/>
              </w:rPr>
              <w:t>辽宁营口</w:t>
            </w:r>
          </w:p>
        </w:tc>
        <w:tc>
          <w:tcPr>
            <w:tcW w:w="1194" w:type="dxa"/>
            <w:vAlign w:val="center"/>
          </w:tcPr>
          <w:p>
            <w:pPr>
              <w:jc w:val="both"/>
              <w:rPr>
                <w:rFonts w:ascii="宋体" w:hAnsi="宋体"/>
              </w:rPr>
            </w:pPr>
            <w:r>
              <w:rPr>
                <w:rFonts w:ascii="宋体" w:hAnsi="宋体" w:hint="eastAsia"/>
              </w:rPr>
              <w:t>辽宁营口</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物泊科技(武安)有限公司</w:t>
            </w:r>
          </w:p>
        </w:tc>
        <w:tc>
          <w:tcPr>
            <w:tcW w:w="1337" w:type="dxa"/>
            <w:vAlign w:val="center"/>
          </w:tcPr>
          <w:p>
            <w:pPr>
              <w:jc w:val="both"/>
              <w:rPr>
                <w:rFonts w:ascii="宋体" w:hAnsi="宋体"/>
              </w:rPr>
            </w:pPr>
            <w:r>
              <w:rPr>
                <w:rFonts w:ascii="宋体" w:hAnsi="宋体" w:hint="eastAsia"/>
              </w:rPr>
              <w:t>河北邯郸</w:t>
            </w:r>
          </w:p>
        </w:tc>
        <w:tc>
          <w:tcPr>
            <w:tcW w:w="1194" w:type="dxa"/>
            <w:vAlign w:val="center"/>
          </w:tcPr>
          <w:p>
            <w:pPr>
              <w:jc w:val="both"/>
              <w:rPr>
                <w:rFonts w:ascii="宋体" w:hAnsi="宋体"/>
              </w:rPr>
            </w:pPr>
            <w:r>
              <w:rPr>
                <w:rFonts w:ascii="宋体" w:hAnsi="宋体" w:hint="eastAsia"/>
              </w:rPr>
              <w:t>河北邯郸</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66</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lastRenderedPageBreak/>
              <w:t>物泊科技(乌鲁木齐)有限公司</w:t>
            </w:r>
          </w:p>
        </w:tc>
        <w:tc>
          <w:tcPr>
            <w:tcW w:w="1337" w:type="dxa"/>
            <w:vAlign w:val="center"/>
          </w:tcPr>
          <w:p>
            <w:pPr>
              <w:jc w:val="both"/>
              <w:rPr>
                <w:rFonts w:ascii="宋体" w:hAnsi="宋体"/>
              </w:rPr>
            </w:pPr>
            <w:r>
              <w:rPr>
                <w:rFonts w:ascii="宋体" w:hAnsi="宋体" w:hint="eastAsia"/>
              </w:rPr>
              <w:t>新疆乌鲁木齐</w:t>
            </w:r>
          </w:p>
        </w:tc>
        <w:tc>
          <w:tcPr>
            <w:tcW w:w="1194" w:type="dxa"/>
            <w:vAlign w:val="center"/>
          </w:tcPr>
          <w:p>
            <w:pPr>
              <w:jc w:val="both"/>
              <w:rPr>
                <w:rFonts w:ascii="宋体" w:hAnsi="宋体"/>
              </w:rPr>
            </w:pPr>
            <w:r>
              <w:rPr>
                <w:rFonts w:ascii="宋体" w:hAnsi="宋体" w:hint="eastAsia"/>
              </w:rPr>
              <w:t>新疆乌鲁木齐</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物泊科技(新疆)有限公司</w:t>
            </w:r>
          </w:p>
        </w:tc>
        <w:tc>
          <w:tcPr>
            <w:tcW w:w="1337" w:type="dxa"/>
            <w:vAlign w:val="center"/>
          </w:tcPr>
          <w:p>
            <w:pPr>
              <w:jc w:val="both"/>
              <w:rPr>
                <w:rFonts w:ascii="宋体" w:hAnsi="宋体"/>
              </w:rPr>
            </w:pPr>
            <w:r>
              <w:rPr>
                <w:rFonts w:ascii="宋体" w:hAnsi="宋体" w:hint="eastAsia"/>
              </w:rPr>
              <w:t>新疆喀什</w:t>
            </w:r>
          </w:p>
        </w:tc>
        <w:tc>
          <w:tcPr>
            <w:tcW w:w="1194" w:type="dxa"/>
            <w:vAlign w:val="center"/>
          </w:tcPr>
          <w:p>
            <w:pPr>
              <w:jc w:val="both"/>
              <w:rPr>
                <w:rFonts w:ascii="宋体" w:hAnsi="宋体"/>
              </w:rPr>
            </w:pPr>
            <w:r>
              <w:rPr>
                <w:rFonts w:ascii="宋体" w:hAnsi="宋体" w:hint="eastAsia"/>
              </w:rPr>
              <w:t>新疆喀什</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物泊(上海)数字科技有限公司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天津物泊网络科技有限公司</w:t>
            </w:r>
          </w:p>
        </w:tc>
        <w:tc>
          <w:tcPr>
            <w:tcW w:w="1337" w:type="dxa"/>
            <w:vAlign w:val="center"/>
          </w:tcPr>
          <w:p>
            <w:pPr>
              <w:jc w:val="both"/>
              <w:rPr>
                <w:rFonts w:ascii="宋体" w:hAnsi="宋体"/>
              </w:rPr>
            </w:pPr>
            <w:r>
              <w:rPr>
                <w:rFonts w:ascii="宋体" w:hAnsi="宋体" w:hint="eastAsia"/>
              </w:rPr>
              <w:t>天津</w:t>
            </w:r>
          </w:p>
        </w:tc>
        <w:tc>
          <w:tcPr>
            <w:tcW w:w="1194" w:type="dxa"/>
            <w:vAlign w:val="center"/>
          </w:tcPr>
          <w:p>
            <w:pPr>
              <w:jc w:val="both"/>
              <w:rPr>
                <w:rFonts w:ascii="宋体" w:hAnsi="宋体"/>
              </w:rPr>
            </w:pPr>
            <w:r>
              <w:rPr>
                <w:rFonts w:ascii="宋体" w:hAnsi="宋体" w:hint="eastAsia"/>
              </w:rPr>
              <w:t>天津</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物泊科技(江苏)有限公司</w:t>
            </w:r>
          </w:p>
        </w:tc>
        <w:tc>
          <w:tcPr>
            <w:tcW w:w="1337" w:type="dxa"/>
            <w:vAlign w:val="center"/>
          </w:tcPr>
          <w:p>
            <w:pPr>
              <w:jc w:val="both"/>
              <w:rPr>
                <w:rFonts w:ascii="宋体" w:hAnsi="宋体"/>
              </w:rPr>
            </w:pPr>
            <w:r>
              <w:rPr>
                <w:rFonts w:ascii="宋体" w:hAnsi="宋体" w:hint="eastAsia"/>
              </w:rPr>
              <w:t>江苏盐城</w:t>
            </w:r>
          </w:p>
        </w:tc>
        <w:tc>
          <w:tcPr>
            <w:tcW w:w="1194" w:type="dxa"/>
            <w:vAlign w:val="center"/>
          </w:tcPr>
          <w:p>
            <w:pPr>
              <w:jc w:val="both"/>
              <w:rPr>
                <w:rFonts w:ascii="宋体" w:hAnsi="宋体"/>
              </w:rPr>
            </w:pPr>
            <w:r>
              <w:rPr>
                <w:rFonts w:ascii="宋体" w:hAnsi="宋体" w:hint="eastAsia"/>
              </w:rPr>
              <w:t>江苏盐城</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天津物泊航运科技有限公司</w:t>
            </w:r>
          </w:p>
        </w:tc>
        <w:tc>
          <w:tcPr>
            <w:tcW w:w="1337" w:type="dxa"/>
            <w:vAlign w:val="center"/>
          </w:tcPr>
          <w:p>
            <w:pPr>
              <w:jc w:val="both"/>
              <w:rPr>
                <w:rFonts w:ascii="宋体" w:hAnsi="宋体"/>
              </w:rPr>
            </w:pPr>
            <w:r>
              <w:rPr>
                <w:rFonts w:ascii="宋体" w:hAnsi="宋体" w:hint="eastAsia"/>
              </w:rPr>
              <w:t>天津</w:t>
            </w:r>
          </w:p>
        </w:tc>
        <w:tc>
          <w:tcPr>
            <w:tcW w:w="1194" w:type="dxa"/>
            <w:vAlign w:val="center"/>
          </w:tcPr>
          <w:p>
            <w:pPr>
              <w:jc w:val="both"/>
              <w:rPr>
                <w:rFonts w:ascii="宋体" w:hAnsi="宋体"/>
              </w:rPr>
            </w:pPr>
            <w:r>
              <w:rPr>
                <w:rFonts w:ascii="宋体" w:hAnsi="宋体" w:hint="eastAsia"/>
              </w:rPr>
              <w:t>天津</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安徽物泊科技有限公司</w:t>
            </w:r>
          </w:p>
        </w:tc>
        <w:tc>
          <w:tcPr>
            <w:tcW w:w="1337" w:type="dxa"/>
            <w:vAlign w:val="center"/>
          </w:tcPr>
          <w:p>
            <w:pPr>
              <w:jc w:val="both"/>
              <w:rPr>
                <w:rFonts w:ascii="宋体" w:hAnsi="宋体"/>
              </w:rPr>
            </w:pPr>
            <w:r>
              <w:rPr>
                <w:rFonts w:ascii="宋体" w:hAnsi="宋体" w:hint="eastAsia"/>
              </w:rPr>
              <w:t>安徽芜湖</w:t>
            </w:r>
          </w:p>
        </w:tc>
        <w:tc>
          <w:tcPr>
            <w:tcW w:w="1194" w:type="dxa"/>
            <w:vAlign w:val="center"/>
          </w:tcPr>
          <w:p>
            <w:pPr>
              <w:jc w:val="both"/>
              <w:rPr>
                <w:rFonts w:ascii="宋体" w:hAnsi="宋体"/>
              </w:rPr>
            </w:pPr>
            <w:r>
              <w:rPr>
                <w:rFonts w:ascii="宋体" w:hAnsi="宋体" w:hint="eastAsia"/>
              </w:rPr>
              <w:t>安徽芜湖</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安徽东铭物泊科技有限公司</w:t>
            </w:r>
          </w:p>
        </w:tc>
        <w:tc>
          <w:tcPr>
            <w:tcW w:w="1337" w:type="dxa"/>
            <w:vAlign w:val="center"/>
          </w:tcPr>
          <w:p>
            <w:pPr>
              <w:jc w:val="both"/>
              <w:rPr>
                <w:rFonts w:ascii="宋体" w:hAnsi="宋体"/>
              </w:rPr>
            </w:pPr>
            <w:r>
              <w:rPr>
                <w:rFonts w:ascii="宋体" w:hAnsi="宋体" w:hint="eastAsia"/>
              </w:rPr>
              <w:t>安徽马鞍山</w:t>
            </w:r>
          </w:p>
        </w:tc>
        <w:tc>
          <w:tcPr>
            <w:tcW w:w="1194" w:type="dxa"/>
            <w:vAlign w:val="center"/>
          </w:tcPr>
          <w:p>
            <w:pPr>
              <w:jc w:val="both"/>
              <w:rPr>
                <w:rFonts w:ascii="宋体" w:hAnsi="宋体"/>
              </w:rPr>
            </w:pPr>
            <w:r>
              <w:rPr>
                <w:rFonts w:ascii="宋体" w:hAnsi="宋体" w:hint="eastAsia"/>
              </w:rPr>
              <w:t>安徽马鞍山</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甘肃物泊科技有限公司</w:t>
            </w:r>
          </w:p>
        </w:tc>
        <w:tc>
          <w:tcPr>
            <w:tcW w:w="1337" w:type="dxa"/>
            <w:vAlign w:val="center"/>
          </w:tcPr>
          <w:p>
            <w:pPr>
              <w:jc w:val="both"/>
              <w:rPr>
                <w:rFonts w:ascii="宋体" w:hAnsi="宋体"/>
              </w:rPr>
            </w:pPr>
            <w:r>
              <w:rPr>
                <w:rFonts w:ascii="宋体" w:hAnsi="宋体" w:hint="eastAsia"/>
              </w:rPr>
              <w:t>甘肃金昌</w:t>
            </w:r>
          </w:p>
        </w:tc>
        <w:tc>
          <w:tcPr>
            <w:tcW w:w="1194" w:type="dxa"/>
            <w:vAlign w:val="center"/>
          </w:tcPr>
          <w:p>
            <w:pPr>
              <w:jc w:val="both"/>
              <w:rPr>
                <w:rFonts w:ascii="宋体" w:hAnsi="宋体"/>
              </w:rPr>
            </w:pPr>
            <w:r>
              <w:rPr>
                <w:rFonts w:ascii="宋体" w:hAnsi="宋体" w:hint="eastAsia"/>
              </w:rPr>
              <w:t>甘肃金昌</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贵州物泊科技有限公司</w:t>
            </w:r>
          </w:p>
        </w:tc>
        <w:tc>
          <w:tcPr>
            <w:tcW w:w="1337" w:type="dxa"/>
            <w:vAlign w:val="center"/>
          </w:tcPr>
          <w:p>
            <w:pPr>
              <w:jc w:val="both"/>
              <w:rPr>
                <w:rFonts w:ascii="宋体" w:hAnsi="宋体"/>
              </w:rPr>
            </w:pPr>
            <w:r>
              <w:rPr>
                <w:rFonts w:ascii="宋体" w:hAnsi="宋体" w:hint="eastAsia"/>
              </w:rPr>
              <w:t>贵州铜仁</w:t>
            </w:r>
          </w:p>
        </w:tc>
        <w:tc>
          <w:tcPr>
            <w:tcW w:w="1194" w:type="dxa"/>
            <w:vAlign w:val="center"/>
          </w:tcPr>
          <w:p>
            <w:pPr>
              <w:jc w:val="both"/>
              <w:rPr>
                <w:rFonts w:ascii="宋体" w:hAnsi="宋体"/>
              </w:rPr>
            </w:pPr>
            <w:r>
              <w:rPr>
                <w:rFonts w:ascii="宋体" w:hAnsi="宋体" w:hint="eastAsia"/>
              </w:rPr>
              <w:t>贵州铜仁</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重庆物泊快一点科技有限公司</w:t>
            </w:r>
          </w:p>
        </w:tc>
        <w:tc>
          <w:tcPr>
            <w:tcW w:w="1337" w:type="dxa"/>
            <w:vAlign w:val="center"/>
          </w:tcPr>
          <w:p>
            <w:pPr>
              <w:jc w:val="both"/>
              <w:rPr>
                <w:rFonts w:ascii="宋体" w:hAnsi="宋体"/>
              </w:rPr>
            </w:pPr>
            <w:r>
              <w:rPr>
                <w:rFonts w:ascii="宋体" w:hAnsi="宋体" w:hint="eastAsia"/>
              </w:rPr>
              <w:t>重庆奉节</w:t>
            </w:r>
          </w:p>
        </w:tc>
        <w:tc>
          <w:tcPr>
            <w:tcW w:w="1194" w:type="dxa"/>
            <w:vAlign w:val="center"/>
          </w:tcPr>
          <w:p>
            <w:pPr>
              <w:jc w:val="both"/>
              <w:rPr>
                <w:rFonts w:ascii="宋体" w:hAnsi="宋体"/>
              </w:rPr>
            </w:pPr>
            <w:r>
              <w:rPr>
                <w:rFonts w:ascii="宋体" w:hAnsi="宋体" w:hint="eastAsia"/>
              </w:rPr>
              <w:t>重庆奉节</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山西物泊绿能第一运输有限公司</w:t>
            </w:r>
          </w:p>
        </w:tc>
        <w:tc>
          <w:tcPr>
            <w:tcW w:w="1337" w:type="dxa"/>
            <w:vAlign w:val="center"/>
          </w:tcPr>
          <w:p>
            <w:pPr>
              <w:jc w:val="both"/>
              <w:rPr>
                <w:rFonts w:ascii="宋体" w:hAnsi="宋体"/>
              </w:rPr>
            </w:pPr>
            <w:r>
              <w:rPr>
                <w:rFonts w:ascii="宋体" w:hAnsi="宋体" w:hint="eastAsia"/>
              </w:rPr>
              <w:t>山西晋中</w:t>
            </w:r>
          </w:p>
        </w:tc>
        <w:tc>
          <w:tcPr>
            <w:tcW w:w="1194" w:type="dxa"/>
            <w:vAlign w:val="center"/>
          </w:tcPr>
          <w:p>
            <w:pPr>
              <w:jc w:val="both"/>
              <w:rPr>
                <w:rFonts w:ascii="宋体" w:hAnsi="宋体"/>
              </w:rPr>
            </w:pPr>
            <w:r>
              <w:rPr>
                <w:rFonts w:ascii="宋体" w:hAnsi="宋体" w:hint="eastAsia"/>
              </w:rPr>
              <w:t>山西晋中</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物泊(上海)供应链科技有限公司</w:t>
            </w:r>
          </w:p>
        </w:tc>
        <w:tc>
          <w:tcPr>
            <w:tcW w:w="1337" w:type="dxa"/>
            <w:vAlign w:val="center"/>
          </w:tcPr>
          <w:p>
            <w:pPr>
              <w:jc w:val="both"/>
              <w:rPr>
                <w:rFonts w:ascii="宋体" w:hAnsi="宋体"/>
              </w:rPr>
            </w:pPr>
            <w:r>
              <w:rPr>
                <w:rFonts w:ascii="宋体" w:hAnsi="宋体" w:hint="eastAsia"/>
              </w:rPr>
              <w:t>上海</w:t>
            </w:r>
          </w:p>
        </w:tc>
        <w:tc>
          <w:tcPr>
            <w:tcW w:w="1194" w:type="dxa"/>
            <w:vAlign w:val="center"/>
          </w:tcPr>
          <w:p>
            <w:pPr>
              <w:jc w:val="both"/>
              <w:rPr>
                <w:rFonts w:ascii="宋体" w:hAnsi="宋体"/>
              </w:rPr>
            </w:pPr>
            <w:r>
              <w:rPr>
                <w:rFonts w:ascii="宋体" w:hAnsi="宋体" w:hint="eastAsia"/>
              </w:rPr>
              <w:t>上海</w:t>
            </w:r>
          </w:p>
        </w:tc>
        <w:tc>
          <w:tcPr>
            <w:tcW w:w="4314" w:type="dxa"/>
            <w:vAlign w:val="center"/>
          </w:tcPr>
          <w:p>
            <w:pPr>
              <w:jc w:val="both"/>
              <w:rPr>
                <w:rFonts w:ascii="宋体" w:hAnsi="宋体"/>
              </w:rPr>
            </w:pPr>
            <w:r>
              <w:rPr>
                <w:rFonts w:ascii="宋体" w:hAnsi="宋体" w:hint="eastAsia"/>
              </w:rPr>
              <w:t>物流运输</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福建东凯投资中心（有限合伙）</w:t>
            </w:r>
          </w:p>
        </w:tc>
        <w:tc>
          <w:tcPr>
            <w:tcW w:w="1337" w:type="dxa"/>
            <w:vAlign w:val="center"/>
          </w:tcPr>
          <w:p>
            <w:pPr>
              <w:jc w:val="both"/>
              <w:rPr>
                <w:rFonts w:ascii="宋体" w:hAnsi="宋体"/>
              </w:rPr>
            </w:pPr>
            <w:r>
              <w:rPr>
                <w:rFonts w:ascii="宋体" w:hAnsi="宋体" w:hint="eastAsia"/>
              </w:rPr>
              <w:t>福建莆田</w:t>
            </w:r>
          </w:p>
        </w:tc>
        <w:tc>
          <w:tcPr>
            <w:tcW w:w="1194" w:type="dxa"/>
            <w:vAlign w:val="center"/>
          </w:tcPr>
          <w:p>
            <w:pPr>
              <w:jc w:val="both"/>
              <w:rPr>
                <w:rFonts w:ascii="宋体" w:hAnsi="宋体"/>
              </w:rPr>
            </w:pPr>
            <w:r>
              <w:rPr>
                <w:rFonts w:ascii="宋体" w:hAnsi="宋体" w:hint="eastAsia"/>
              </w:rPr>
              <w:t>福建莆田</w:t>
            </w:r>
          </w:p>
        </w:tc>
        <w:tc>
          <w:tcPr>
            <w:tcW w:w="4314" w:type="dxa"/>
            <w:vAlign w:val="center"/>
          </w:tcPr>
          <w:p>
            <w:pPr>
              <w:jc w:val="both"/>
              <w:rPr>
                <w:rFonts w:ascii="宋体" w:hAnsi="宋体"/>
              </w:rPr>
            </w:pPr>
            <w:r>
              <w:rPr>
                <w:rFonts w:ascii="宋体" w:hAnsi="宋体" w:hint="eastAsia"/>
              </w:rPr>
              <w:t>投资与资产管理</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99.97</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CFH GmbH</w:t>
            </w:r>
          </w:p>
        </w:tc>
        <w:tc>
          <w:tcPr>
            <w:tcW w:w="1337" w:type="dxa"/>
            <w:vAlign w:val="center"/>
          </w:tcPr>
          <w:p>
            <w:pPr>
              <w:jc w:val="both"/>
              <w:rPr>
                <w:rFonts w:ascii="宋体" w:hAnsi="宋体"/>
              </w:rPr>
            </w:pPr>
            <w:r>
              <w:rPr>
                <w:rFonts w:ascii="宋体" w:hAnsi="宋体" w:hint="eastAsia"/>
              </w:rPr>
              <w:t>德国</w:t>
            </w:r>
          </w:p>
        </w:tc>
        <w:tc>
          <w:tcPr>
            <w:tcW w:w="1194" w:type="dxa"/>
            <w:vAlign w:val="center"/>
          </w:tcPr>
          <w:p>
            <w:pPr>
              <w:jc w:val="both"/>
              <w:rPr>
                <w:rFonts w:ascii="宋体" w:hAnsi="宋体"/>
              </w:rPr>
            </w:pPr>
            <w:r>
              <w:rPr>
                <w:rFonts w:ascii="宋体" w:hAnsi="宋体" w:hint="eastAsia"/>
              </w:rPr>
              <w:t>德国</w:t>
            </w:r>
          </w:p>
        </w:tc>
        <w:tc>
          <w:tcPr>
            <w:tcW w:w="4314" w:type="dxa"/>
            <w:vAlign w:val="center"/>
          </w:tcPr>
          <w:p>
            <w:pPr>
              <w:jc w:val="both"/>
              <w:rPr>
                <w:rFonts w:ascii="宋体" w:hAnsi="宋体"/>
              </w:rPr>
            </w:pPr>
            <w:r>
              <w:rPr>
                <w:rFonts w:ascii="宋体" w:hAnsi="宋体" w:hint="eastAsia"/>
              </w:rPr>
              <w:t>销售商品及服务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兖煤加拿大资源有限公司</w:t>
            </w:r>
          </w:p>
        </w:tc>
        <w:tc>
          <w:tcPr>
            <w:tcW w:w="1337" w:type="dxa"/>
            <w:vAlign w:val="center"/>
          </w:tcPr>
          <w:p>
            <w:pPr>
              <w:jc w:val="both"/>
              <w:rPr>
                <w:rFonts w:ascii="宋体" w:hAnsi="宋体"/>
              </w:rPr>
            </w:pPr>
            <w:r>
              <w:rPr>
                <w:rFonts w:ascii="宋体" w:hAnsi="宋体" w:hint="eastAsia"/>
              </w:rPr>
              <w:t>加拿大</w:t>
            </w:r>
          </w:p>
        </w:tc>
        <w:tc>
          <w:tcPr>
            <w:tcW w:w="1194" w:type="dxa"/>
            <w:vAlign w:val="center"/>
          </w:tcPr>
          <w:p>
            <w:pPr>
              <w:jc w:val="both"/>
              <w:rPr>
                <w:rFonts w:ascii="宋体" w:hAnsi="宋体"/>
              </w:rPr>
            </w:pPr>
            <w:r>
              <w:rPr>
                <w:rFonts w:ascii="宋体" w:hAnsi="宋体" w:hint="eastAsia"/>
              </w:rPr>
              <w:t>加拿大</w:t>
            </w:r>
          </w:p>
        </w:tc>
        <w:tc>
          <w:tcPr>
            <w:tcW w:w="4314" w:type="dxa"/>
            <w:vAlign w:val="center"/>
          </w:tcPr>
          <w:p>
            <w:pPr>
              <w:jc w:val="both"/>
              <w:rPr>
                <w:rFonts w:ascii="宋体" w:hAnsi="宋体"/>
              </w:rPr>
            </w:pPr>
            <w:r>
              <w:rPr>
                <w:rFonts w:ascii="宋体" w:hAnsi="宋体" w:hint="eastAsia"/>
              </w:rPr>
              <w:t>钾矿的勘探和开发</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兖矿能源（霍林郭勒）有限公司</w:t>
            </w:r>
          </w:p>
        </w:tc>
        <w:tc>
          <w:tcPr>
            <w:tcW w:w="1337" w:type="dxa"/>
            <w:vAlign w:val="center"/>
          </w:tcPr>
          <w:p>
            <w:pPr>
              <w:jc w:val="both"/>
              <w:rPr>
                <w:rFonts w:ascii="宋体" w:hAnsi="宋体"/>
              </w:rPr>
            </w:pPr>
            <w:r>
              <w:rPr>
                <w:rFonts w:ascii="宋体" w:hAnsi="宋体" w:hint="eastAsia"/>
              </w:rPr>
              <w:t>内蒙古通辽</w:t>
            </w:r>
          </w:p>
        </w:tc>
        <w:tc>
          <w:tcPr>
            <w:tcW w:w="1194" w:type="dxa"/>
            <w:vAlign w:val="center"/>
          </w:tcPr>
          <w:p>
            <w:pPr>
              <w:jc w:val="both"/>
              <w:rPr>
                <w:rFonts w:ascii="宋体" w:hAnsi="宋体"/>
              </w:rPr>
            </w:pPr>
            <w:r>
              <w:rPr>
                <w:rFonts w:ascii="宋体" w:hAnsi="宋体" w:hint="eastAsia"/>
              </w:rPr>
              <w:t>内蒙古通辽</w:t>
            </w:r>
          </w:p>
        </w:tc>
        <w:tc>
          <w:tcPr>
            <w:tcW w:w="4314" w:type="dxa"/>
            <w:vAlign w:val="center"/>
          </w:tcPr>
          <w:p>
            <w:pPr>
              <w:jc w:val="both"/>
              <w:rPr>
                <w:rFonts w:ascii="宋体" w:hAnsi="宋体"/>
              </w:rPr>
            </w:pPr>
            <w:r>
              <w:rPr>
                <w:rFonts w:ascii="宋体" w:hAnsi="宋体" w:hint="eastAsia"/>
              </w:rPr>
              <w:t>煤炭开采及销售</w:t>
            </w:r>
          </w:p>
        </w:tc>
        <w:tc>
          <w:tcPr>
            <w:tcW w:w="910" w:type="dxa"/>
            <w:vAlign w:val="center"/>
          </w:tcPr>
          <w:p>
            <w:pPr>
              <w:jc w:val="both"/>
              <w:rPr>
                <w:rFonts w:ascii="宋体" w:hAnsi="宋体"/>
              </w:rPr>
            </w:pPr>
            <w:r>
              <w:rPr>
                <w:rFonts w:ascii="宋体" w:hAnsi="宋体" w:hint="eastAsia"/>
              </w:rPr>
              <w:t>65</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兖矿东华装备制造（泰安）有限公司</w:t>
            </w:r>
          </w:p>
        </w:tc>
        <w:tc>
          <w:tcPr>
            <w:tcW w:w="1337" w:type="dxa"/>
            <w:vAlign w:val="center"/>
          </w:tcPr>
          <w:p>
            <w:pPr>
              <w:jc w:val="both"/>
              <w:rPr>
                <w:rFonts w:ascii="宋体" w:hAnsi="宋体"/>
              </w:rPr>
            </w:pPr>
            <w:r>
              <w:rPr>
                <w:rFonts w:ascii="宋体" w:hAnsi="宋体" w:hint="eastAsia"/>
              </w:rPr>
              <w:t>山东泰安</w:t>
            </w:r>
          </w:p>
        </w:tc>
        <w:tc>
          <w:tcPr>
            <w:tcW w:w="1194" w:type="dxa"/>
            <w:vAlign w:val="center"/>
          </w:tcPr>
          <w:p>
            <w:pPr>
              <w:jc w:val="both"/>
              <w:rPr>
                <w:rFonts w:ascii="宋体" w:hAnsi="宋体"/>
              </w:rPr>
            </w:pPr>
            <w:r>
              <w:rPr>
                <w:rFonts w:ascii="宋体" w:hAnsi="宋体" w:hint="eastAsia"/>
              </w:rPr>
              <w:t>山东泰安</w:t>
            </w:r>
          </w:p>
        </w:tc>
        <w:tc>
          <w:tcPr>
            <w:tcW w:w="4314" w:type="dxa"/>
            <w:vAlign w:val="center"/>
          </w:tcPr>
          <w:p>
            <w:pPr>
              <w:jc w:val="both"/>
              <w:rPr>
                <w:rFonts w:ascii="宋体" w:hAnsi="宋体"/>
              </w:rPr>
            </w:pPr>
            <w:r>
              <w:rPr>
                <w:rFonts w:ascii="宋体" w:hAnsi="宋体" w:hint="eastAsia"/>
              </w:rPr>
              <w:t>矿山机械制造</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山东博创凯盛工业科技有限公司</w:t>
            </w:r>
          </w:p>
        </w:tc>
        <w:tc>
          <w:tcPr>
            <w:tcW w:w="1337" w:type="dxa"/>
            <w:vAlign w:val="center"/>
          </w:tcPr>
          <w:p>
            <w:pPr>
              <w:jc w:val="both"/>
              <w:rPr>
                <w:rFonts w:ascii="宋体" w:hAnsi="宋体"/>
              </w:rPr>
            </w:pPr>
            <w:r>
              <w:rPr>
                <w:rFonts w:ascii="宋体" w:hAnsi="宋体" w:hint="eastAsia"/>
              </w:rPr>
              <w:t>山东邹城</w:t>
            </w:r>
          </w:p>
        </w:tc>
        <w:tc>
          <w:tcPr>
            <w:tcW w:w="1194" w:type="dxa"/>
            <w:vAlign w:val="center"/>
          </w:tcPr>
          <w:p>
            <w:pPr>
              <w:jc w:val="both"/>
              <w:rPr>
                <w:rFonts w:ascii="宋体" w:hAnsi="宋体"/>
              </w:rPr>
            </w:pPr>
            <w:r>
              <w:rPr>
                <w:rFonts w:ascii="宋体" w:hAnsi="宋体" w:hint="eastAsia"/>
              </w:rPr>
              <w:t>山东邹城</w:t>
            </w:r>
          </w:p>
        </w:tc>
        <w:tc>
          <w:tcPr>
            <w:tcW w:w="4314" w:type="dxa"/>
            <w:vAlign w:val="center"/>
          </w:tcPr>
          <w:p>
            <w:pPr>
              <w:jc w:val="both"/>
              <w:rPr>
                <w:rFonts w:ascii="宋体" w:hAnsi="宋体"/>
              </w:rPr>
            </w:pPr>
            <w:r>
              <w:rPr>
                <w:rFonts w:ascii="宋体" w:hAnsi="宋体" w:hint="eastAsia"/>
              </w:rPr>
              <w:t>矿山机械制造</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50</w:t>
            </w:r>
          </w:p>
        </w:tc>
        <w:tc>
          <w:tcPr>
            <w:tcW w:w="2754" w:type="dxa"/>
            <w:vAlign w:val="center"/>
          </w:tcPr>
          <w:p>
            <w:pPr>
              <w:jc w:val="both"/>
              <w:rPr>
                <w:rFonts w:ascii="宋体" w:hAnsi="宋体"/>
              </w:rPr>
            </w:pPr>
            <w:r>
              <w:rPr>
                <w:rFonts w:ascii="宋体" w:hAnsi="宋体" w:hint="eastAsia"/>
              </w:rPr>
              <w:t>非同一控制下企业合并</w:t>
            </w:r>
          </w:p>
        </w:tc>
      </w:tr>
      <w:tr>
        <w:tc>
          <w:tcPr>
            <w:tcW w:w="3606" w:type="dxa"/>
            <w:vAlign w:val="center"/>
          </w:tcPr>
          <w:p>
            <w:pPr>
              <w:jc w:val="both"/>
              <w:rPr>
                <w:rFonts w:ascii="宋体" w:hAnsi="宋体"/>
              </w:rPr>
            </w:pPr>
            <w:r>
              <w:rPr>
                <w:rFonts w:ascii="宋体" w:hAnsi="宋体" w:hint="eastAsia"/>
              </w:rPr>
              <w:t>山东能源集团西北矿业有限公司</w:t>
            </w:r>
          </w:p>
        </w:tc>
        <w:tc>
          <w:tcPr>
            <w:tcW w:w="1337" w:type="dxa"/>
            <w:vAlign w:val="center"/>
          </w:tcPr>
          <w:p>
            <w:pPr>
              <w:jc w:val="both"/>
              <w:rPr>
                <w:rFonts w:ascii="宋体" w:hAnsi="宋体"/>
              </w:rPr>
            </w:pPr>
            <w:r>
              <w:rPr>
                <w:rFonts w:ascii="宋体" w:hAnsi="宋体" w:hint="eastAsia"/>
              </w:rPr>
              <w:t>陕西西安</w:t>
            </w:r>
          </w:p>
        </w:tc>
        <w:tc>
          <w:tcPr>
            <w:tcW w:w="1194" w:type="dxa"/>
            <w:vAlign w:val="center"/>
          </w:tcPr>
          <w:p>
            <w:pPr>
              <w:jc w:val="both"/>
              <w:rPr>
                <w:rFonts w:ascii="宋体" w:hAnsi="宋体"/>
              </w:rPr>
            </w:pPr>
            <w:r>
              <w:rPr>
                <w:rFonts w:ascii="宋体" w:hAnsi="宋体" w:hint="eastAsia"/>
              </w:rPr>
              <w:t>陕西西安</w:t>
            </w:r>
          </w:p>
        </w:tc>
        <w:tc>
          <w:tcPr>
            <w:tcW w:w="4314" w:type="dxa"/>
            <w:vAlign w:val="center"/>
          </w:tcPr>
          <w:p>
            <w:pPr>
              <w:jc w:val="both"/>
              <w:rPr>
                <w:rFonts w:ascii="宋体" w:hAnsi="宋体"/>
              </w:rPr>
            </w:pPr>
            <w:r>
              <w:rPr>
                <w:rFonts w:ascii="宋体" w:hAnsi="宋体" w:hint="eastAsia"/>
              </w:rPr>
              <w:t>企业总部管理</w:t>
            </w:r>
          </w:p>
        </w:tc>
        <w:tc>
          <w:tcPr>
            <w:tcW w:w="910" w:type="dxa"/>
            <w:vAlign w:val="center"/>
          </w:tcPr>
          <w:p>
            <w:pPr>
              <w:jc w:val="both"/>
              <w:rPr>
                <w:rFonts w:ascii="宋体" w:hAnsi="宋体"/>
              </w:rPr>
            </w:pPr>
            <w:r>
              <w:rPr>
                <w:rFonts w:ascii="宋体" w:hAnsi="宋体" w:hint="eastAsia"/>
              </w:rPr>
              <w:t>51</w:t>
            </w:r>
          </w:p>
        </w:tc>
        <w:tc>
          <w:tcPr>
            <w:tcW w:w="911" w:type="dxa"/>
            <w:vAlign w:val="center"/>
          </w:tcPr>
          <w:p>
            <w:pPr>
              <w:jc w:val="both"/>
              <w:rPr>
                <w:rFonts w:ascii="宋体" w:hAnsi="宋体"/>
              </w:rPr>
            </w:pP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陕西正通煤业有限责任公司</w:t>
            </w:r>
          </w:p>
        </w:tc>
        <w:tc>
          <w:tcPr>
            <w:tcW w:w="1337" w:type="dxa"/>
            <w:vAlign w:val="center"/>
          </w:tcPr>
          <w:p>
            <w:pPr>
              <w:jc w:val="both"/>
              <w:rPr>
                <w:rFonts w:ascii="宋体" w:hAnsi="宋体"/>
              </w:rPr>
            </w:pPr>
            <w:r>
              <w:rPr>
                <w:rFonts w:ascii="宋体" w:hAnsi="宋体" w:hint="eastAsia"/>
              </w:rPr>
              <w:t>陕西长武</w:t>
            </w:r>
          </w:p>
        </w:tc>
        <w:tc>
          <w:tcPr>
            <w:tcW w:w="1194" w:type="dxa"/>
            <w:vAlign w:val="center"/>
          </w:tcPr>
          <w:p>
            <w:pPr>
              <w:jc w:val="both"/>
              <w:rPr>
                <w:rFonts w:ascii="宋体" w:hAnsi="宋体"/>
              </w:rPr>
            </w:pPr>
            <w:r>
              <w:rPr>
                <w:rFonts w:ascii="宋体" w:hAnsi="宋体" w:hint="eastAsia"/>
              </w:rPr>
              <w:t>陕西长武</w:t>
            </w:r>
          </w:p>
        </w:tc>
        <w:tc>
          <w:tcPr>
            <w:tcW w:w="4314" w:type="dxa"/>
            <w:vAlign w:val="center"/>
          </w:tcPr>
          <w:p>
            <w:pPr>
              <w:jc w:val="both"/>
              <w:rPr>
                <w:rFonts w:ascii="宋体" w:hAnsi="宋体"/>
              </w:rPr>
            </w:pPr>
            <w:r>
              <w:rPr>
                <w:rFonts w:ascii="宋体" w:hAnsi="宋体" w:hint="eastAsia"/>
              </w:rPr>
              <w:t>煤炭及制品销售</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陕西博选科技有限公司</w:t>
            </w:r>
          </w:p>
        </w:tc>
        <w:tc>
          <w:tcPr>
            <w:tcW w:w="1337" w:type="dxa"/>
            <w:vAlign w:val="center"/>
          </w:tcPr>
          <w:p>
            <w:pPr>
              <w:jc w:val="both"/>
              <w:rPr>
                <w:rFonts w:ascii="宋体" w:hAnsi="宋体"/>
              </w:rPr>
            </w:pPr>
            <w:r>
              <w:rPr>
                <w:rFonts w:ascii="宋体" w:hAnsi="宋体" w:hint="eastAsia"/>
              </w:rPr>
              <w:t>陕西西安</w:t>
            </w:r>
          </w:p>
        </w:tc>
        <w:tc>
          <w:tcPr>
            <w:tcW w:w="1194" w:type="dxa"/>
            <w:vAlign w:val="center"/>
          </w:tcPr>
          <w:p>
            <w:pPr>
              <w:jc w:val="both"/>
              <w:rPr>
                <w:rFonts w:ascii="宋体" w:hAnsi="宋体"/>
              </w:rPr>
            </w:pPr>
            <w:r>
              <w:rPr>
                <w:rFonts w:ascii="宋体" w:hAnsi="宋体" w:hint="eastAsia"/>
              </w:rPr>
              <w:t>陕西西安</w:t>
            </w:r>
          </w:p>
        </w:tc>
        <w:tc>
          <w:tcPr>
            <w:tcW w:w="4314" w:type="dxa"/>
            <w:vAlign w:val="center"/>
          </w:tcPr>
          <w:p>
            <w:pPr>
              <w:jc w:val="both"/>
              <w:rPr>
                <w:rFonts w:ascii="宋体" w:hAnsi="宋体"/>
              </w:rPr>
            </w:pPr>
            <w:r>
              <w:rPr>
                <w:rFonts w:ascii="宋体" w:hAnsi="宋体" w:hint="eastAsia"/>
              </w:rPr>
              <w:t>信息咨询服务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平煤长安能源开发有限公司</w:t>
            </w:r>
          </w:p>
        </w:tc>
        <w:tc>
          <w:tcPr>
            <w:tcW w:w="1337" w:type="dxa"/>
            <w:vAlign w:val="center"/>
          </w:tcPr>
          <w:p>
            <w:pPr>
              <w:jc w:val="both"/>
              <w:rPr>
                <w:rFonts w:ascii="宋体" w:hAnsi="宋体"/>
              </w:rPr>
            </w:pPr>
            <w:r>
              <w:rPr>
                <w:rFonts w:ascii="宋体" w:hAnsi="宋体" w:hint="eastAsia"/>
              </w:rPr>
              <w:t>陕西长武</w:t>
            </w:r>
          </w:p>
        </w:tc>
        <w:tc>
          <w:tcPr>
            <w:tcW w:w="1194" w:type="dxa"/>
            <w:vAlign w:val="center"/>
          </w:tcPr>
          <w:p>
            <w:pPr>
              <w:jc w:val="both"/>
              <w:rPr>
                <w:rFonts w:ascii="宋体" w:hAnsi="宋体"/>
              </w:rPr>
            </w:pPr>
            <w:r>
              <w:rPr>
                <w:rFonts w:ascii="宋体" w:hAnsi="宋体" w:hint="eastAsia"/>
              </w:rPr>
              <w:t>陕西长武</w:t>
            </w:r>
          </w:p>
        </w:tc>
        <w:tc>
          <w:tcPr>
            <w:tcW w:w="4314" w:type="dxa"/>
            <w:vAlign w:val="center"/>
          </w:tcPr>
          <w:p>
            <w:pPr>
              <w:jc w:val="both"/>
              <w:rPr>
                <w:rFonts w:ascii="宋体" w:hAnsi="宋体"/>
              </w:rPr>
            </w:pPr>
            <w:r>
              <w:rPr>
                <w:rFonts w:ascii="宋体" w:hAnsi="宋体" w:hint="eastAsia"/>
              </w:rPr>
              <w:t>烟煤和无烟煤开采洗选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陕西盈动矿业有限责任公司</w:t>
            </w:r>
          </w:p>
        </w:tc>
        <w:tc>
          <w:tcPr>
            <w:tcW w:w="1337" w:type="dxa"/>
            <w:vAlign w:val="center"/>
          </w:tcPr>
          <w:p>
            <w:pPr>
              <w:jc w:val="both"/>
              <w:rPr>
                <w:rFonts w:ascii="宋体" w:hAnsi="宋体"/>
              </w:rPr>
            </w:pPr>
            <w:r>
              <w:rPr>
                <w:rFonts w:ascii="宋体" w:hAnsi="宋体" w:hint="eastAsia"/>
              </w:rPr>
              <w:t>陕西长武</w:t>
            </w:r>
          </w:p>
        </w:tc>
        <w:tc>
          <w:tcPr>
            <w:tcW w:w="1194" w:type="dxa"/>
            <w:vAlign w:val="center"/>
          </w:tcPr>
          <w:p>
            <w:pPr>
              <w:jc w:val="both"/>
              <w:rPr>
                <w:rFonts w:ascii="宋体" w:hAnsi="宋体"/>
              </w:rPr>
            </w:pPr>
            <w:r>
              <w:rPr>
                <w:rFonts w:ascii="宋体" w:hAnsi="宋体" w:hint="eastAsia"/>
              </w:rPr>
              <w:t>陕西长武</w:t>
            </w:r>
          </w:p>
        </w:tc>
        <w:tc>
          <w:tcPr>
            <w:tcW w:w="4314" w:type="dxa"/>
            <w:vAlign w:val="center"/>
          </w:tcPr>
          <w:p>
            <w:pPr>
              <w:jc w:val="both"/>
              <w:rPr>
                <w:rFonts w:ascii="宋体" w:hAnsi="宋体"/>
              </w:rPr>
            </w:pPr>
            <w:r>
              <w:rPr>
                <w:rFonts w:ascii="宋体" w:hAnsi="宋体" w:hint="eastAsia"/>
              </w:rPr>
              <w:t>煤炭及制品批发</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77.54</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陕西长武亭南煤业有限责任公司</w:t>
            </w:r>
          </w:p>
        </w:tc>
        <w:tc>
          <w:tcPr>
            <w:tcW w:w="1337" w:type="dxa"/>
            <w:vAlign w:val="center"/>
          </w:tcPr>
          <w:p>
            <w:pPr>
              <w:jc w:val="both"/>
              <w:rPr>
                <w:rFonts w:ascii="宋体" w:hAnsi="宋体"/>
              </w:rPr>
            </w:pPr>
            <w:r>
              <w:rPr>
                <w:rFonts w:ascii="宋体" w:hAnsi="宋体" w:hint="eastAsia"/>
              </w:rPr>
              <w:t>陕西长武</w:t>
            </w:r>
          </w:p>
        </w:tc>
        <w:tc>
          <w:tcPr>
            <w:tcW w:w="1194" w:type="dxa"/>
            <w:vAlign w:val="center"/>
          </w:tcPr>
          <w:p>
            <w:pPr>
              <w:jc w:val="both"/>
              <w:rPr>
                <w:rFonts w:ascii="宋体" w:hAnsi="宋体"/>
              </w:rPr>
            </w:pPr>
            <w:r>
              <w:rPr>
                <w:rFonts w:ascii="宋体" w:hAnsi="宋体" w:hint="eastAsia"/>
              </w:rPr>
              <w:t>陕西长武</w:t>
            </w:r>
          </w:p>
        </w:tc>
        <w:tc>
          <w:tcPr>
            <w:tcW w:w="4314" w:type="dxa"/>
            <w:vAlign w:val="center"/>
          </w:tcPr>
          <w:p>
            <w:pPr>
              <w:jc w:val="both"/>
              <w:rPr>
                <w:rFonts w:ascii="宋体" w:hAnsi="宋体"/>
              </w:rPr>
            </w:pPr>
            <w:r>
              <w:rPr>
                <w:rFonts w:ascii="宋体" w:hAnsi="宋体" w:hint="eastAsia"/>
              </w:rPr>
              <w:t>烟煤和无烟煤开采洗选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陕西万华煤矿装备制造有限公司</w:t>
            </w:r>
          </w:p>
        </w:tc>
        <w:tc>
          <w:tcPr>
            <w:tcW w:w="1337" w:type="dxa"/>
            <w:vAlign w:val="center"/>
          </w:tcPr>
          <w:p>
            <w:pPr>
              <w:jc w:val="both"/>
              <w:rPr>
                <w:rFonts w:ascii="宋体" w:hAnsi="宋体"/>
              </w:rPr>
            </w:pPr>
            <w:r>
              <w:rPr>
                <w:rFonts w:ascii="宋体" w:hAnsi="宋体" w:hint="eastAsia"/>
              </w:rPr>
              <w:t>陕西长武</w:t>
            </w:r>
          </w:p>
        </w:tc>
        <w:tc>
          <w:tcPr>
            <w:tcW w:w="1194" w:type="dxa"/>
            <w:vAlign w:val="center"/>
          </w:tcPr>
          <w:p>
            <w:pPr>
              <w:jc w:val="both"/>
              <w:rPr>
                <w:rFonts w:ascii="宋体" w:hAnsi="宋体"/>
              </w:rPr>
            </w:pPr>
            <w:r>
              <w:rPr>
                <w:rFonts w:ascii="宋体" w:hAnsi="宋体" w:hint="eastAsia"/>
              </w:rPr>
              <w:t>陕西长武</w:t>
            </w:r>
          </w:p>
        </w:tc>
        <w:tc>
          <w:tcPr>
            <w:tcW w:w="4314" w:type="dxa"/>
            <w:vAlign w:val="center"/>
          </w:tcPr>
          <w:p>
            <w:pPr>
              <w:jc w:val="both"/>
              <w:rPr>
                <w:rFonts w:ascii="宋体" w:hAnsi="宋体"/>
              </w:rPr>
            </w:pPr>
            <w:r>
              <w:rPr>
                <w:rFonts w:ascii="宋体" w:hAnsi="宋体" w:hint="eastAsia"/>
              </w:rPr>
              <w:t>矿山机械制造</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淄博爱科工矿机械有限公司</w:t>
            </w:r>
          </w:p>
        </w:tc>
        <w:tc>
          <w:tcPr>
            <w:tcW w:w="1337" w:type="dxa"/>
            <w:vAlign w:val="center"/>
          </w:tcPr>
          <w:p>
            <w:pPr>
              <w:jc w:val="both"/>
              <w:rPr>
                <w:rFonts w:ascii="宋体" w:hAnsi="宋体"/>
              </w:rPr>
            </w:pPr>
            <w:r>
              <w:rPr>
                <w:rFonts w:ascii="宋体" w:hAnsi="宋体" w:hint="eastAsia"/>
              </w:rPr>
              <w:t>山东淄博</w:t>
            </w:r>
          </w:p>
        </w:tc>
        <w:tc>
          <w:tcPr>
            <w:tcW w:w="1194" w:type="dxa"/>
            <w:vAlign w:val="center"/>
          </w:tcPr>
          <w:p>
            <w:pPr>
              <w:jc w:val="both"/>
              <w:rPr>
                <w:rFonts w:ascii="宋体" w:hAnsi="宋体"/>
              </w:rPr>
            </w:pPr>
            <w:r>
              <w:rPr>
                <w:rFonts w:ascii="宋体" w:hAnsi="宋体" w:hint="eastAsia"/>
              </w:rPr>
              <w:t>山东淄博</w:t>
            </w:r>
          </w:p>
        </w:tc>
        <w:tc>
          <w:tcPr>
            <w:tcW w:w="4314" w:type="dxa"/>
            <w:vAlign w:val="center"/>
          </w:tcPr>
          <w:p>
            <w:pPr>
              <w:jc w:val="both"/>
              <w:rPr>
                <w:rFonts w:ascii="宋体" w:hAnsi="宋体"/>
              </w:rPr>
            </w:pPr>
            <w:r>
              <w:rPr>
                <w:rFonts w:ascii="宋体" w:hAnsi="宋体" w:hint="eastAsia"/>
              </w:rPr>
              <w:t>矿山机械制造</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lastRenderedPageBreak/>
              <w:t>蚂蚁城（西安）科技有限公司</w:t>
            </w:r>
          </w:p>
        </w:tc>
        <w:tc>
          <w:tcPr>
            <w:tcW w:w="1337" w:type="dxa"/>
            <w:vAlign w:val="center"/>
          </w:tcPr>
          <w:p>
            <w:pPr>
              <w:jc w:val="both"/>
              <w:rPr>
                <w:rFonts w:ascii="宋体" w:hAnsi="宋体"/>
              </w:rPr>
            </w:pPr>
            <w:r>
              <w:rPr>
                <w:rFonts w:ascii="宋体" w:hAnsi="宋体" w:hint="eastAsia"/>
              </w:rPr>
              <w:t>陕西西安</w:t>
            </w:r>
          </w:p>
        </w:tc>
        <w:tc>
          <w:tcPr>
            <w:tcW w:w="1194" w:type="dxa"/>
            <w:vAlign w:val="center"/>
          </w:tcPr>
          <w:p>
            <w:pPr>
              <w:jc w:val="both"/>
              <w:rPr>
                <w:rFonts w:ascii="宋体" w:hAnsi="宋体"/>
              </w:rPr>
            </w:pPr>
            <w:r>
              <w:rPr>
                <w:rFonts w:ascii="宋体" w:hAnsi="宋体" w:hint="eastAsia"/>
              </w:rPr>
              <w:t>陕西西安</w:t>
            </w:r>
          </w:p>
        </w:tc>
        <w:tc>
          <w:tcPr>
            <w:tcW w:w="4314" w:type="dxa"/>
            <w:vAlign w:val="center"/>
          </w:tcPr>
          <w:p>
            <w:pPr>
              <w:jc w:val="both"/>
              <w:rPr>
                <w:rFonts w:ascii="宋体" w:hAnsi="宋体"/>
              </w:rPr>
            </w:pPr>
            <w:r>
              <w:rPr>
                <w:rFonts w:ascii="宋体" w:hAnsi="宋体" w:hint="eastAsia"/>
              </w:rPr>
              <w:t>技术服务</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陕西永明煤矿有限公司</w:t>
            </w:r>
          </w:p>
        </w:tc>
        <w:tc>
          <w:tcPr>
            <w:tcW w:w="1337" w:type="dxa"/>
            <w:vAlign w:val="center"/>
          </w:tcPr>
          <w:p>
            <w:pPr>
              <w:jc w:val="both"/>
              <w:rPr>
                <w:rFonts w:ascii="宋体" w:hAnsi="宋体"/>
              </w:rPr>
            </w:pPr>
            <w:r>
              <w:rPr>
                <w:rFonts w:ascii="宋体" w:hAnsi="宋体" w:hint="eastAsia"/>
              </w:rPr>
              <w:t>陕西延安</w:t>
            </w:r>
          </w:p>
        </w:tc>
        <w:tc>
          <w:tcPr>
            <w:tcW w:w="1194" w:type="dxa"/>
            <w:vAlign w:val="center"/>
          </w:tcPr>
          <w:p>
            <w:pPr>
              <w:jc w:val="both"/>
              <w:rPr>
                <w:rFonts w:ascii="宋体" w:hAnsi="宋体"/>
              </w:rPr>
            </w:pPr>
            <w:r>
              <w:rPr>
                <w:rFonts w:ascii="宋体" w:hAnsi="宋体" w:hint="eastAsia"/>
              </w:rPr>
              <w:t>陕西延安</w:t>
            </w:r>
          </w:p>
        </w:tc>
        <w:tc>
          <w:tcPr>
            <w:tcW w:w="4314" w:type="dxa"/>
            <w:vAlign w:val="center"/>
          </w:tcPr>
          <w:p>
            <w:pPr>
              <w:jc w:val="both"/>
              <w:rPr>
                <w:rFonts w:ascii="宋体" w:hAnsi="宋体"/>
              </w:rPr>
            </w:pPr>
            <w:r>
              <w:rPr>
                <w:rFonts w:ascii="宋体" w:hAnsi="宋体" w:hint="eastAsia"/>
              </w:rPr>
              <w:t>烟煤和无烟煤开采洗选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51</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甘肃灵台邵寨煤业有限公司</w:t>
            </w:r>
          </w:p>
        </w:tc>
        <w:tc>
          <w:tcPr>
            <w:tcW w:w="1337" w:type="dxa"/>
            <w:vAlign w:val="center"/>
          </w:tcPr>
          <w:p>
            <w:pPr>
              <w:jc w:val="both"/>
              <w:rPr>
                <w:rFonts w:ascii="宋体" w:hAnsi="宋体"/>
              </w:rPr>
            </w:pPr>
            <w:r>
              <w:rPr>
                <w:rFonts w:ascii="宋体" w:hAnsi="宋体" w:hint="eastAsia"/>
              </w:rPr>
              <w:t>甘肃平凉</w:t>
            </w:r>
          </w:p>
        </w:tc>
        <w:tc>
          <w:tcPr>
            <w:tcW w:w="1194" w:type="dxa"/>
            <w:vAlign w:val="center"/>
          </w:tcPr>
          <w:p>
            <w:pPr>
              <w:jc w:val="both"/>
              <w:rPr>
                <w:rFonts w:ascii="宋体" w:hAnsi="宋体"/>
              </w:rPr>
            </w:pPr>
            <w:r>
              <w:rPr>
                <w:rFonts w:ascii="宋体" w:hAnsi="宋体" w:hint="eastAsia"/>
              </w:rPr>
              <w:t>甘肃平凉</w:t>
            </w:r>
          </w:p>
        </w:tc>
        <w:tc>
          <w:tcPr>
            <w:tcW w:w="4314" w:type="dxa"/>
            <w:vAlign w:val="center"/>
          </w:tcPr>
          <w:p>
            <w:pPr>
              <w:jc w:val="both"/>
              <w:rPr>
                <w:rFonts w:ascii="宋体" w:hAnsi="宋体"/>
              </w:rPr>
            </w:pPr>
            <w:r>
              <w:rPr>
                <w:rFonts w:ascii="宋体" w:hAnsi="宋体" w:hint="eastAsia"/>
              </w:rPr>
              <w:t>烟煤和无烟煤开采洗选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平凉五举煤业有限公司</w:t>
            </w:r>
          </w:p>
        </w:tc>
        <w:tc>
          <w:tcPr>
            <w:tcW w:w="1337" w:type="dxa"/>
            <w:vAlign w:val="center"/>
          </w:tcPr>
          <w:p>
            <w:pPr>
              <w:jc w:val="both"/>
              <w:rPr>
                <w:rFonts w:ascii="宋体" w:hAnsi="宋体"/>
              </w:rPr>
            </w:pPr>
            <w:r>
              <w:rPr>
                <w:rFonts w:ascii="宋体" w:hAnsi="宋体" w:hint="eastAsia"/>
              </w:rPr>
              <w:t>甘肃平凉</w:t>
            </w:r>
          </w:p>
        </w:tc>
        <w:tc>
          <w:tcPr>
            <w:tcW w:w="1194" w:type="dxa"/>
            <w:vAlign w:val="center"/>
          </w:tcPr>
          <w:p>
            <w:pPr>
              <w:jc w:val="both"/>
              <w:rPr>
                <w:rFonts w:ascii="宋体" w:hAnsi="宋体"/>
              </w:rPr>
            </w:pPr>
            <w:r>
              <w:rPr>
                <w:rFonts w:ascii="宋体" w:hAnsi="宋体" w:hint="eastAsia"/>
              </w:rPr>
              <w:t>甘肃平凉</w:t>
            </w:r>
          </w:p>
        </w:tc>
        <w:tc>
          <w:tcPr>
            <w:tcW w:w="4314" w:type="dxa"/>
            <w:vAlign w:val="center"/>
          </w:tcPr>
          <w:p>
            <w:pPr>
              <w:jc w:val="both"/>
              <w:rPr>
                <w:rFonts w:ascii="宋体" w:hAnsi="宋体"/>
              </w:rPr>
            </w:pPr>
            <w:r>
              <w:rPr>
                <w:rFonts w:ascii="宋体" w:hAnsi="宋体" w:hint="eastAsia"/>
              </w:rPr>
              <w:t>烟煤和无烟煤开采洗选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甘肃华能天竣能源有限公司</w:t>
            </w:r>
          </w:p>
        </w:tc>
        <w:tc>
          <w:tcPr>
            <w:tcW w:w="1337" w:type="dxa"/>
            <w:vAlign w:val="center"/>
          </w:tcPr>
          <w:p>
            <w:pPr>
              <w:jc w:val="both"/>
              <w:rPr>
                <w:rFonts w:ascii="宋体" w:hAnsi="宋体"/>
              </w:rPr>
            </w:pPr>
            <w:r>
              <w:rPr>
                <w:rFonts w:ascii="宋体" w:hAnsi="宋体" w:hint="eastAsia"/>
              </w:rPr>
              <w:t>甘肃庆阳</w:t>
            </w:r>
          </w:p>
        </w:tc>
        <w:tc>
          <w:tcPr>
            <w:tcW w:w="1194" w:type="dxa"/>
            <w:vAlign w:val="center"/>
          </w:tcPr>
          <w:p>
            <w:pPr>
              <w:jc w:val="both"/>
              <w:rPr>
                <w:rFonts w:ascii="宋体" w:hAnsi="宋体"/>
              </w:rPr>
            </w:pPr>
            <w:r>
              <w:rPr>
                <w:rFonts w:ascii="宋体" w:hAnsi="宋体" w:hint="eastAsia"/>
              </w:rPr>
              <w:t>甘肃庆阳</w:t>
            </w:r>
          </w:p>
        </w:tc>
        <w:tc>
          <w:tcPr>
            <w:tcW w:w="4314" w:type="dxa"/>
            <w:vAlign w:val="center"/>
          </w:tcPr>
          <w:p>
            <w:pPr>
              <w:jc w:val="both"/>
              <w:rPr>
                <w:rFonts w:ascii="宋体" w:hAnsi="宋体"/>
              </w:rPr>
            </w:pPr>
            <w:r>
              <w:rPr>
                <w:rFonts w:ascii="宋体" w:hAnsi="宋体" w:hint="eastAsia"/>
              </w:rPr>
              <w:t>烟煤和无烟煤开采洗选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55</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山西龙矿能源投资开发有限公司</w:t>
            </w:r>
          </w:p>
        </w:tc>
        <w:tc>
          <w:tcPr>
            <w:tcW w:w="1337" w:type="dxa"/>
            <w:vAlign w:val="center"/>
          </w:tcPr>
          <w:p>
            <w:pPr>
              <w:jc w:val="both"/>
              <w:rPr>
                <w:rFonts w:ascii="宋体" w:hAnsi="宋体"/>
              </w:rPr>
            </w:pPr>
            <w:r>
              <w:rPr>
                <w:rFonts w:ascii="宋体" w:hAnsi="宋体" w:hint="eastAsia"/>
              </w:rPr>
              <w:t>山西朔州</w:t>
            </w:r>
          </w:p>
        </w:tc>
        <w:tc>
          <w:tcPr>
            <w:tcW w:w="1194" w:type="dxa"/>
            <w:vAlign w:val="center"/>
          </w:tcPr>
          <w:p>
            <w:pPr>
              <w:jc w:val="both"/>
              <w:rPr>
                <w:rFonts w:ascii="宋体" w:hAnsi="宋体"/>
              </w:rPr>
            </w:pPr>
            <w:r>
              <w:rPr>
                <w:rFonts w:ascii="宋体" w:hAnsi="宋体" w:hint="eastAsia"/>
              </w:rPr>
              <w:t>山西朔州</w:t>
            </w:r>
          </w:p>
        </w:tc>
        <w:tc>
          <w:tcPr>
            <w:tcW w:w="4314" w:type="dxa"/>
            <w:vAlign w:val="center"/>
          </w:tcPr>
          <w:p>
            <w:pPr>
              <w:jc w:val="both"/>
              <w:rPr>
                <w:rFonts w:ascii="宋体" w:hAnsi="宋体"/>
              </w:rPr>
            </w:pPr>
            <w:r>
              <w:rPr>
                <w:rFonts w:ascii="宋体" w:hAnsi="宋体" w:hint="eastAsia"/>
              </w:rPr>
              <w:t>煤炭及制品批发</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山西朔州平鲁区龙矿大恒煤业有限公司</w:t>
            </w:r>
          </w:p>
        </w:tc>
        <w:tc>
          <w:tcPr>
            <w:tcW w:w="1337" w:type="dxa"/>
            <w:vAlign w:val="center"/>
          </w:tcPr>
          <w:p>
            <w:pPr>
              <w:jc w:val="both"/>
              <w:rPr>
                <w:rFonts w:ascii="宋体" w:hAnsi="宋体"/>
              </w:rPr>
            </w:pPr>
            <w:r>
              <w:rPr>
                <w:rFonts w:ascii="宋体" w:hAnsi="宋体" w:hint="eastAsia"/>
              </w:rPr>
              <w:t>山西朔州</w:t>
            </w:r>
          </w:p>
        </w:tc>
        <w:tc>
          <w:tcPr>
            <w:tcW w:w="1194" w:type="dxa"/>
            <w:vAlign w:val="center"/>
          </w:tcPr>
          <w:p>
            <w:pPr>
              <w:jc w:val="both"/>
              <w:rPr>
                <w:rFonts w:ascii="宋体" w:hAnsi="宋体"/>
              </w:rPr>
            </w:pPr>
            <w:r>
              <w:rPr>
                <w:rFonts w:ascii="宋体" w:hAnsi="宋体" w:hint="eastAsia"/>
              </w:rPr>
              <w:t>山西朔州</w:t>
            </w:r>
          </w:p>
        </w:tc>
        <w:tc>
          <w:tcPr>
            <w:tcW w:w="4314" w:type="dxa"/>
            <w:vAlign w:val="center"/>
          </w:tcPr>
          <w:p>
            <w:pPr>
              <w:jc w:val="both"/>
              <w:rPr>
                <w:rFonts w:ascii="宋体" w:hAnsi="宋体"/>
              </w:rPr>
            </w:pPr>
            <w:r>
              <w:rPr>
                <w:rFonts w:ascii="宋体" w:hAnsi="宋体" w:hint="eastAsia"/>
              </w:rPr>
              <w:t>烟煤和无烟煤开采洗选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80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山西忻州神达望田煤业有限公司</w:t>
            </w:r>
          </w:p>
        </w:tc>
        <w:tc>
          <w:tcPr>
            <w:tcW w:w="1337" w:type="dxa"/>
            <w:vAlign w:val="center"/>
          </w:tcPr>
          <w:p>
            <w:pPr>
              <w:jc w:val="both"/>
              <w:rPr>
                <w:rFonts w:ascii="宋体" w:hAnsi="宋体"/>
              </w:rPr>
            </w:pPr>
            <w:r>
              <w:rPr>
                <w:rFonts w:ascii="宋体" w:hAnsi="宋体" w:hint="eastAsia"/>
              </w:rPr>
              <w:t>山西忻州</w:t>
            </w:r>
          </w:p>
        </w:tc>
        <w:tc>
          <w:tcPr>
            <w:tcW w:w="1194" w:type="dxa"/>
            <w:vAlign w:val="center"/>
          </w:tcPr>
          <w:p>
            <w:pPr>
              <w:jc w:val="both"/>
              <w:rPr>
                <w:rFonts w:ascii="宋体" w:hAnsi="宋体"/>
              </w:rPr>
            </w:pPr>
            <w:r>
              <w:rPr>
                <w:rFonts w:ascii="宋体" w:hAnsi="宋体" w:hint="eastAsia"/>
              </w:rPr>
              <w:t>山西忻州</w:t>
            </w:r>
          </w:p>
        </w:tc>
        <w:tc>
          <w:tcPr>
            <w:tcW w:w="4314" w:type="dxa"/>
            <w:vAlign w:val="center"/>
          </w:tcPr>
          <w:p>
            <w:pPr>
              <w:jc w:val="both"/>
              <w:rPr>
                <w:rFonts w:ascii="宋体" w:hAnsi="宋体"/>
              </w:rPr>
            </w:pPr>
            <w:r>
              <w:rPr>
                <w:rFonts w:ascii="宋体" w:hAnsi="宋体" w:hint="eastAsia"/>
              </w:rPr>
              <w:t>烟煤和无烟煤开采洗选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55</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内蒙古双欣矿业有限公司</w:t>
            </w:r>
          </w:p>
        </w:tc>
        <w:tc>
          <w:tcPr>
            <w:tcW w:w="1337" w:type="dxa"/>
            <w:vAlign w:val="center"/>
          </w:tcPr>
          <w:p>
            <w:pPr>
              <w:jc w:val="both"/>
              <w:rPr>
                <w:rFonts w:ascii="宋体" w:hAnsi="宋体"/>
              </w:rPr>
            </w:pPr>
            <w:r>
              <w:rPr>
                <w:rFonts w:ascii="宋体" w:hAnsi="宋体" w:hint="eastAsia"/>
              </w:rPr>
              <w:t>内蒙古鄂尔多斯</w:t>
            </w:r>
          </w:p>
        </w:tc>
        <w:tc>
          <w:tcPr>
            <w:tcW w:w="1194" w:type="dxa"/>
            <w:vAlign w:val="center"/>
          </w:tcPr>
          <w:p>
            <w:pPr>
              <w:jc w:val="both"/>
              <w:rPr>
                <w:rFonts w:ascii="宋体" w:hAnsi="宋体"/>
              </w:rPr>
            </w:pPr>
            <w:r>
              <w:rPr>
                <w:rFonts w:ascii="宋体" w:hAnsi="宋体" w:hint="eastAsia"/>
              </w:rPr>
              <w:t>内蒙古鄂尔多斯</w:t>
            </w:r>
          </w:p>
        </w:tc>
        <w:tc>
          <w:tcPr>
            <w:tcW w:w="4314" w:type="dxa"/>
            <w:vAlign w:val="center"/>
          </w:tcPr>
          <w:p>
            <w:pPr>
              <w:jc w:val="both"/>
              <w:rPr>
                <w:rFonts w:ascii="宋体" w:hAnsi="宋体"/>
              </w:rPr>
            </w:pPr>
            <w:r>
              <w:rPr>
                <w:rFonts w:ascii="宋体" w:hAnsi="宋体" w:hint="eastAsia"/>
              </w:rPr>
              <w:t>其他煤炭采选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55</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杭锦旗聚能能源有限公司</w:t>
            </w:r>
          </w:p>
        </w:tc>
        <w:tc>
          <w:tcPr>
            <w:tcW w:w="1337" w:type="dxa"/>
            <w:vAlign w:val="center"/>
          </w:tcPr>
          <w:p>
            <w:pPr>
              <w:jc w:val="both"/>
              <w:rPr>
                <w:rFonts w:ascii="宋体" w:hAnsi="宋体"/>
              </w:rPr>
            </w:pPr>
            <w:r>
              <w:rPr>
                <w:rFonts w:ascii="宋体" w:hAnsi="宋体" w:hint="eastAsia"/>
              </w:rPr>
              <w:t>内蒙古鄂尔多斯</w:t>
            </w:r>
          </w:p>
        </w:tc>
        <w:tc>
          <w:tcPr>
            <w:tcW w:w="1194" w:type="dxa"/>
            <w:vAlign w:val="center"/>
          </w:tcPr>
          <w:p>
            <w:pPr>
              <w:jc w:val="both"/>
              <w:rPr>
                <w:rFonts w:ascii="宋体" w:hAnsi="宋体"/>
              </w:rPr>
            </w:pPr>
            <w:r>
              <w:rPr>
                <w:rFonts w:ascii="宋体" w:hAnsi="宋体" w:hint="eastAsia"/>
              </w:rPr>
              <w:t>内蒙古鄂尔多斯</w:t>
            </w:r>
          </w:p>
        </w:tc>
        <w:tc>
          <w:tcPr>
            <w:tcW w:w="4314" w:type="dxa"/>
            <w:vAlign w:val="center"/>
          </w:tcPr>
          <w:p>
            <w:pPr>
              <w:jc w:val="both"/>
              <w:rPr>
                <w:rFonts w:ascii="宋体" w:hAnsi="宋体"/>
              </w:rPr>
            </w:pPr>
            <w:r>
              <w:rPr>
                <w:rFonts w:ascii="宋体" w:hAnsi="宋体" w:hint="eastAsia"/>
              </w:rPr>
              <w:t>其他采矿业</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100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内蒙古黄陶勒盖煤炭有限责任公司</w:t>
            </w:r>
          </w:p>
        </w:tc>
        <w:tc>
          <w:tcPr>
            <w:tcW w:w="1337" w:type="dxa"/>
            <w:vAlign w:val="center"/>
          </w:tcPr>
          <w:p>
            <w:pPr>
              <w:jc w:val="both"/>
              <w:rPr>
                <w:rFonts w:ascii="宋体" w:hAnsi="宋体"/>
              </w:rPr>
            </w:pPr>
            <w:r>
              <w:rPr>
                <w:rFonts w:ascii="宋体" w:hAnsi="宋体" w:hint="eastAsia"/>
              </w:rPr>
              <w:t>内蒙古鄂尔多斯</w:t>
            </w:r>
          </w:p>
        </w:tc>
        <w:tc>
          <w:tcPr>
            <w:tcW w:w="1194" w:type="dxa"/>
            <w:vAlign w:val="center"/>
          </w:tcPr>
          <w:p>
            <w:pPr>
              <w:jc w:val="both"/>
              <w:rPr>
                <w:rFonts w:ascii="宋体" w:hAnsi="宋体"/>
              </w:rPr>
            </w:pPr>
            <w:r>
              <w:rPr>
                <w:rFonts w:ascii="宋体" w:hAnsi="宋体" w:hint="eastAsia"/>
              </w:rPr>
              <w:t>内蒙古鄂尔多斯</w:t>
            </w:r>
          </w:p>
        </w:tc>
        <w:tc>
          <w:tcPr>
            <w:tcW w:w="4314" w:type="dxa"/>
            <w:vAlign w:val="center"/>
          </w:tcPr>
          <w:p>
            <w:pPr>
              <w:jc w:val="both"/>
              <w:rPr>
                <w:rFonts w:ascii="宋体" w:hAnsi="宋体"/>
              </w:rPr>
            </w:pPr>
            <w:r>
              <w:rPr>
                <w:rFonts w:ascii="宋体" w:hAnsi="宋体" w:hint="eastAsia"/>
              </w:rPr>
              <w:t>其他煤炭采选</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60</w:t>
            </w:r>
          </w:p>
        </w:tc>
        <w:tc>
          <w:tcPr>
            <w:tcW w:w="2754" w:type="dxa"/>
            <w:vAlign w:val="center"/>
          </w:tcPr>
          <w:p>
            <w:pPr>
              <w:jc w:val="both"/>
              <w:rPr>
                <w:rFonts w:ascii="宋体" w:hAnsi="宋体"/>
              </w:rPr>
            </w:pPr>
            <w:r>
              <w:rPr>
                <w:rFonts w:ascii="宋体" w:hAnsi="宋体" w:hint="eastAsia"/>
              </w:rPr>
              <w:t>同一控制下企业合并</w:t>
            </w:r>
          </w:p>
        </w:tc>
      </w:tr>
      <w:tr>
        <w:tc>
          <w:tcPr>
            <w:tcW w:w="3606" w:type="dxa"/>
            <w:vAlign w:val="center"/>
          </w:tcPr>
          <w:p>
            <w:pPr>
              <w:jc w:val="both"/>
              <w:rPr>
                <w:rFonts w:ascii="宋体" w:hAnsi="宋体"/>
              </w:rPr>
            </w:pPr>
            <w:r>
              <w:rPr>
                <w:rFonts w:ascii="宋体" w:hAnsi="宋体" w:hint="eastAsia"/>
              </w:rPr>
              <w:t>兖矿售电有限公司</w:t>
            </w:r>
          </w:p>
        </w:tc>
        <w:tc>
          <w:tcPr>
            <w:tcW w:w="1337" w:type="dxa"/>
            <w:vAlign w:val="center"/>
          </w:tcPr>
          <w:p>
            <w:pPr>
              <w:jc w:val="both"/>
              <w:rPr>
                <w:rFonts w:ascii="宋体" w:hAnsi="宋体"/>
              </w:rPr>
            </w:pPr>
            <w:r>
              <w:rPr>
                <w:rFonts w:ascii="宋体" w:hAnsi="宋体" w:hint="eastAsia"/>
              </w:rPr>
              <w:t>山东济宁</w:t>
            </w:r>
          </w:p>
        </w:tc>
        <w:tc>
          <w:tcPr>
            <w:tcW w:w="1194" w:type="dxa"/>
            <w:vAlign w:val="center"/>
          </w:tcPr>
          <w:p>
            <w:pPr>
              <w:jc w:val="both"/>
              <w:rPr>
                <w:rFonts w:ascii="宋体" w:hAnsi="宋体"/>
              </w:rPr>
            </w:pPr>
            <w:r>
              <w:rPr>
                <w:rFonts w:ascii="宋体" w:hAnsi="宋体" w:hint="eastAsia"/>
              </w:rPr>
              <w:t>山东济宁</w:t>
            </w:r>
          </w:p>
        </w:tc>
        <w:tc>
          <w:tcPr>
            <w:tcW w:w="4314" w:type="dxa"/>
            <w:vAlign w:val="center"/>
          </w:tcPr>
          <w:p>
            <w:pPr>
              <w:jc w:val="both"/>
              <w:rPr>
                <w:rFonts w:ascii="宋体" w:hAnsi="宋体"/>
              </w:rPr>
            </w:pPr>
            <w:r>
              <w:rPr>
                <w:rFonts w:ascii="宋体" w:hAnsi="宋体" w:hint="eastAsia"/>
              </w:rPr>
              <w:t>电力、热力生产和供应业</w:t>
            </w:r>
          </w:p>
        </w:tc>
        <w:tc>
          <w:tcPr>
            <w:tcW w:w="910" w:type="dxa"/>
            <w:vAlign w:val="center"/>
          </w:tcPr>
          <w:p>
            <w:pPr>
              <w:jc w:val="both"/>
              <w:rPr>
                <w:rFonts w:ascii="宋体" w:hAnsi="宋体"/>
              </w:rPr>
            </w:pPr>
          </w:p>
        </w:tc>
        <w:tc>
          <w:tcPr>
            <w:tcW w:w="911" w:type="dxa"/>
            <w:vAlign w:val="center"/>
          </w:tcPr>
          <w:p>
            <w:pPr>
              <w:jc w:val="both"/>
              <w:rPr>
                <w:rFonts w:ascii="宋体" w:hAnsi="宋体"/>
              </w:rPr>
            </w:pPr>
            <w:r>
              <w:rPr>
                <w:rFonts w:ascii="宋体" w:hAnsi="宋体" w:hint="eastAsia"/>
              </w:rPr>
              <w:t>70</w:t>
            </w:r>
          </w:p>
        </w:tc>
        <w:tc>
          <w:tcPr>
            <w:tcW w:w="2754" w:type="dxa"/>
            <w:vAlign w:val="center"/>
          </w:tcPr>
          <w:p>
            <w:pPr>
              <w:jc w:val="both"/>
              <w:rPr>
                <w:rFonts w:ascii="宋体" w:hAnsi="宋体"/>
              </w:rPr>
            </w:pPr>
            <w:r>
              <w:rPr>
                <w:rFonts w:ascii="宋体" w:hAnsi="宋体" w:hint="eastAsia"/>
              </w:rPr>
              <w:t>同一控制下企业合并</w:t>
            </w:r>
          </w:p>
        </w:tc>
      </w:tr>
    </w:tbl>
    <w:p>
      <w:pPr>
        <w:pStyle w:val="Style217"/>
      </w:pPr>
    </w:p>
    <w:p>
      <w:pPr>
        <w:rPr>
          <w:rFonts w:cs="Arial"/>
        </w:rPr>
      </w:pPr>
      <w:r>
        <w:rPr>
          <w:rFonts w:cs="Arial" w:hint="eastAsia"/>
        </w:rPr>
        <w:t>在子公司的持股比例不同于表决权比例的说明：</w:t>
      </w:r>
    </w:p>
    <w:p>
      <w:pPr>
        <w:rPr>
          <w:rFonts w:cs="Arial"/>
        </w:rPr>
      </w:pPr>
      <w:sdt>
        <w:sdtPr>
          <w:rPr>
            <w:rFonts w:cs="Arial"/>
          </w:rPr>
          <w:alias w:val="在子公司的持股比例不同于表决权比例的说明"/>
          <w:tag w:val="_GBC_b7be591163dc47e4b00f98006e6fbb0b"/>
          <w:id w:val="-1420477967"/>
          <w:placeholder>
            <w:docPart w:val="GBC22222222222222222222222222222"/>
          </w:placeholder>
        </w:sdtPr>
        <w:sdtContent>
          <w:r>
            <w:rPr>
              <w:rFonts w:cs="Arial" w:hint="eastAsia"/>
            </w:rPr>
            <w:t>-</w:t>
          </w:r>
        </w:sdtContent>
      </w:sdt>
    </w:p>
    <w:p>
      <w:pPr>
        <w:rPr>
          <w:rFonts w:cs="Arial"/>
        </w:rPr>
      </w:pPr>
    </w:p>
    <w:p>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586661478"/>
        <w:placeholder>
          <w:docPart w:val="GBC22222222222222222222222222222"/>
        </w:placeholder>
      </w:sdtPr>
      <w:sdtContent>
        <w:p>
          <w:pPr>
            <w:rPr>
              <w:rFonts w:cs="Arial"/>
            </w:rPr>
          </w:pPr>
          <w:r>
            <w:rPr>
              <w:rFonts w:cs="Arial" w:hint="eastAsia"/>
            </w:rPr>
            <w:t>-</w:t>
          </w:r>
        </w:p>
      </w:sdtContent>
    </w:sdt>
    <w:p>
      <w:pPr>
        <w:rPr>
          <w:rFonts w:cs="Arial"/>
        </w:rPr>
        <w:sectPr>
          <w:pgSz w:w="16838" w:h="11906" w:orient="landscape"/>
          <w:pgMar w:top="1797" w:right="1525" w:bottom="1276" w:left="1440" w:header="856" w:footer="992" w:gutter="0"/>
          <w:cols w:space="425"/>
          <w:docGrid w:linePitch="312"/>
        </w:sectPr>
      </w:pPr>
    </w:p>
    <w:p>
      <w:pPr>
        <w:rPr>
          <w:rFonts w:cs="Arial"/>
        </w:rPr>
      </w:pPr>
    </w:p>
    <w:p>
      <w:pPr>
        <w:rPr>
          <w:rFonts w:cs="Arial"/>
        </w:rPr>
      </w:pPr>
      <w:r>
        <w:rPr>
          <w:rFonts w:cs="Arial" w:hint="eastAsia"/>
        </w:rPr>
        <w:t>对于纳入合并范围的重要的结构化主体，控制的依据：</w:t>
      </w:r>
    </w:p>
    <w:sdt>
      <w:sdtPr>
        <w:rPr>
          <w:rFonts w:cs="Arial" w:hint="eastAsia"/>
        </w:rPr>
        <w:alias w:val="对于纳入合并范围的重要的结构化主体，控制的依据"/>
        <w:tag w:val="_GBC_254d83ec47cd4003902f2d0f6017d432"/>
        <w:id w:val="-1252651123"/>
        <w:placeholder>
          <w:docPart w:val="GBC22222222222222222222222222222"/>
        </w:placeholder>
      </w:sdtPr>
      <w:sdtContent>
        <w:p>
          <w:pPr>
            <w:rPr>
              <w:rFonts w:cs="Arial"/>
            </w:rPr>
          </w:pPr>
          <w:r>
            <w:rPr>
              <w:rFonts w:cs="Arial" w:hint="eastAsia"/>
            </w:rPr>
            <w:t>-</w:t>
          </w:r>
        </w:p>
      </w:sdtContent>
    </w:sdt>
    <w:p>
      <w:pPr>
        <w:rPr>
          <w:rFonts w:cs="Arial"/>
        </w:rPr>
      </w:pPr>
    </w:p>
    <w:p>
      <w:pPr>
        <w:rPr>
          <w:rFonts w:cs="Arial"/>
        </w:rPr>
      </w:pPr>
      <w:r>
        <w:rPr>
          <w:rFonts w:cs="Arial" w:hint="eastAsia"/>
        </w:rPr>
        <w:t>确定公司是代理人还是委托人的依据：</w:t>
      </w:r>
    </w:p>
    <w:sdt>
      <w:sdtPr>
        <w:rPr>
          <w:rFonts w:cs="Arial" w:hint="eastAsia"/>
        </w:rPr>
        <w:alias w:val="确定公司是代理人还是委托人的依据"/>
        <w:tag w:val="_GBC_f515cb0c8a654271b5991b0accabe800"/>
        <w:id w:val="-800378774"/>
        <w:placeholder>
          <w:docPart w:val="GBC22222222222222222222222222222"/>
        </w:placeholder>
      </w:sdtPr>
      <w:sdtContent>
        <w:p>
          <w:pPr>
            <w:rPr>
              <w:rFonts w:cs="Arial"/>
            </w:rPr>
          </w:pPr>
          <w:r>
            <w:rPr>
              <w:rFonts w:cs="Arial" w:hint="eastAsia"/>
            </w:rPr>
            <w:t>-</w:t>
          </w:r>
        </w:p>
      </w:sdtContent>
    </w:sdt>
    <w:p>
      <w:pPr>
        <w:rPr>
          <w:rFonts w:cs="Arial"/>
        </w:rPr>
      </w:pPr>
    </w:p>
    <w:p>
      <w:pPr>
        <w:rPr>
          <w:rFonts w:cs="Arial"/>
        </w:rPr>
      </w:pPr>
      <w:r>
        <w:rPr>
          <w:rFonts w:cs="Arial" w:hint="eastAsia"/>
        </w:rPr>
        <w:t>其他说明：</w:t>
      </w:r>
    </w:p>
    <w:sdt>
      <w:sdtPr>
        <w:rPr>
          <w:rFonts w:cs="Arial"/>
        </w:rPr>
        <w:alias w:val="企业集团的构成的其他需要说明的事项"/>
        <w:tag w:val="_GBC_7dc3099f920f4546b2a983c0eb4c2ce0"/>
        <w:id w:val="-1277565125"/>
        <w:lock w:val="sdtLocked"/>
        <w:placeholder>
          <w:docPart w:val="GBC22222222222222222222222222222"/>
        </w:placeholder>
      </w:sdtPr>
      <w:sdtEndPr>
        <w:rPr>
          <w:rFonts w:ascii="宋体" w:hAnsi="宋体" w:cs="宋体" w:hint="eastAsia"/>
          <w:color w:val="000000"/>
        </w:rPr>
      </w:sdtEndPr>
      <w:sdtContent>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主要子公司简介如下：</w:t>
          </w:r>
        </w:p>
        <w:p>
          <w:pPr>
            <w:autoSpaceDE w:val="0"/>
            <w:autoSpaceDN w:val="0"/>
            <w:adjustRightInd w:val="0"/>
            <w:spacing w:afterLines="50" w:after="120" w:line="320" w:lineRule="exact"/>
            <w:ind w:firstLineChars="200" w:firstLine="420"/>
            <w:rPr>
              <w:rFonts w:ascii="宋体" w:hAnsi="宋体" w:cs="宋体"/>
            </w:rPr>
          </w:pPr>
          <w:r>
            <w:rPr>
              <w:rFonts w:ascii="宋体" w:hAnsi="宋体" w:cs="宋体" w:hint="eastAsia"/>
            </w:rPr>
            <w:t>1)兖州煤业澳大利亚有限公司</w:t>
          </w:r>
        </w:p>
        <w:p>
          <w:pPr>
            <w:autoSpaceDE w:val="0"/>
            <w:autoSpaceDN w:val="0"/>
            <w:adjustRightInd w:val="0"/>
            <w:spacing w:afterLines="50" w:after="120" w:line="320" w:lineRule="exact"/>
            <w:ind w:firstLineChars="200" w:firstLine="420"/>
            <w:rPr>
              <w:rFonts w:ascii="宋体" w:hAnsi="宋体" w:cs="宋体"/>
            </w:rPr>
          </w:pPr>
          <w:r>
            <w:rPr>
              <w:rFonts w:ascii="宋体" w:hAnsi="宋体" w:cs="宋体" w:hint="eastAsia"/>
            </w:rPr>
            <w:t>兖州煤业澳大利亚有限公司系本集团控股子公司，成立于2004年11月，实收资本6,400万澳元。2011年9月，本集团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2014年，澳洲公司通过发行可转换混合资本票据及实现或有期权（CVR）使注册资本增加至310,556万澳元，本集团持有澳洲公司股权变更为78%。同时澳洲公司取代格罗斯特于2012年6月28日在澳大利亚证券交易所上市交易。澳洲公司注册登记号为111859119，主要负责本集团在澳大利亚的营运、预算、投融资等活动。</w:t>
          </w:r>
        </w:p>
        <w:p>
          <w:pPr>
            <w:autoSpaceDE w:val="0"/>
            <w:autoSpaceDN w:val="0"/>
            <w:adjustRightInd w:val="0"/>
            <w:spacing w:afterLines="50" w:after="120" w:line="320" w:lineRule="exact"/>
            <w:ind w:firstLineChars="200" w:firstLine="420"/>
            <w:rPr>
              <w:rFonts w:ascii="宋体" w:hAnsi="宋体" w:cs="宋体"/>
            </w:rPr>
          </w:pPr>
          <w:r>
            <w:rPr>
              <w:rFonts w:ascii="宋体" w:hAnsi="宋体" w:cs="宋体" w:hint="eastAsia"/>
            </w:rPr>
            <w:t>于2017年8月31日，本集团将其持有的1,800,003,100美元，折合人民币11,014,218,969元澳洲公司混合债以每股0.1美元的价格转换为澳洲公司18,000,031,000股股份。同时澳洲公司以每股0.1美元的价格配股发行了23,464,929,520股股份，并向机构投资者以每股0.1美元定向增发了1,500,000,000股股份，本集团以10亿美元，折合人民币6,629,300,000元认购取得澳洲公司100亿股股份。澳洲公司完成混合债转股、配股、定向增发后，本集团持有澳洲公司的股份由77,548,899股增加至28,775,519,994股，持股比例由78%下降至65.46%。</w:t>
          </w:r>
        </w:p>
        <w:p>
          <w:pPr>
            <w:autoSpaceDE w:val="0"/>
            <w:autoSpaceDN w:val="0"/>
            <w:adjustRightInd w:val="0"/>
            <w:spacing w:afterLines="50" w:after="120" w:line="320" w:lineRule="exact"/>
            <w:ind w:firstLineChars="200" w:firstLine="420"/>
            <w:rPr>
              <w:rFonts w:ascii="宋体" w:hAnsi="宋体" w:cs="宋体"/>
            </w:rPr>
          </w:pPr>
          <w:r>
            <w:rPr>
              <w:rFonts w:ascii="宋体" w:hAnsi="宋体" w:cs="宋体" w:hint="eastAsia"/>
            </w:rPr>
            <w:t>经本集团于2018年6月29日召开的第七届董事会第十五次会议审议批准，澳洲公司于2018年6月29日向香港联交所有限公司保密递交了上市申请。于2018年12月6日，澳洲公司实现了香港联交所上市，澳洲公司为实现上市而发售澳洲公司股份，并经全球发售、配股及超额配售权部分行使全部完成后，澳洲公司已发行股份总数由1,256,071,756股增加至1,320,439,437股，本集团持有澳洲公司的股份数量仍为822,157,715股，持股比例由约65.45%稀释为约62.26%。</w:t>
          </w:r>
        </w:p>
        <w:p>
          <w:pPr>
            <w:autoSpaceDE w:val="0"/>
            <w:autoSpaceDN w:val="0"/>
            <w:adjustRightInd w:val="0"/>
            <w:spacing w:afterLines="50" w:after="120" w:line="320" w:lineRule="exact"/>
            <w:ind w:firstLineChars="200" w:firstLine="420"/>
            <w:rPr>
              <w:rFonts w:ascii="宋体" w:hAnsi="宋体" w:cs="宋体"/>
            </w:rPr>
          </w:pPr>
          <w:r>
            <w:rPr>
              <w:rFonts w:ascii="宋体" w:hAnsi="宋体" w:cs="宋体" w:hint="eastAsia"/>
            </w:rPr>
            <w:t>澳洲公司主要控股子公司如下：</w:t>
          </w:r>
        </w:p>
        <w:tbl>
          <w:tblPr>
            <w:tblStyle w:val="Style100"/>
            <w:tblW w:w="508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54|0|desc|||0|1"/>
          </w:tblPr>
          <w:tblGrid>
            <w:gridCol w:w="3156"/>
            <w:gridCol w:w="1056"/>
            <w:gridCol w:w="1739"/>
            <w:gridCol w:w="3366"/>
            <w:gridCol w:w="1377"/>
          </w:tblGrid>
          <w:tr>
            <w:trPr>
              <w:trHeight w:val="397"/>
              <w:tblHeader/>
              <w:jc w:val="center"/>
            </w:trPr>
            <w:tc>
              <w:tcPr>
                <w:tcW w:w="1520" w:type="pct"/>
                <w:shd w:val="clear" w:color="auto" w:fill="auto"/>
                <w:noWrap/>
                <w:vAlign w:val="center"/>
              </w:tcPr>
              <w:p>
                <w:pPr>
                  <w:spacing w:line="320" w:lineRule="exact"/>
                  <w:jc w:val="center"/>
                  <w:rPr>
                    <w:rFonts w:ascii="宋体" w:hAnsi="宋体" w:cs="宋体"/>
                    <w:b/>
                    <w:bCs/>
                    <w:color w:val="000000"/>
                  </w:rPr>
                </w:pPr>
                <w:r>
                  <w:rPr>
                    <w:rFonts w:ascii="宋体" w:hAnsi="宋体" w:cs="宋体" w:hint="eastAsia"/>
                    <w:b/>
                    <w:bCs/>
                    <w:color w:val="000000"/>
                  </w:rPr>
                  <w:t>公司名称</w:t>
                </w:r>
              </w:p>
            </w:tc>
            <w:tc>
              <w:tcPr>
                <w:tcW w:w="499" w:type="pct"/>
                <w:shd w:val="clear" w:color="auto" w:fill="auto"/>
                <w:noWrap/>
                <w:vAlign w:val="center"/>
              </w:tcPr>
              <w:p>
                <w:pPr>
                  <w:spacing w:line="320" w:lineRule="exact"/>
                  <w:jc w:val="center"/>
                  <w:rPr>
                    <w:rFonts w:ascii="宋体" w:hAnsi="宋体" w:cs="宋体"/>
                    <w:b/>
                    <w:bCs/>
                    <w:color w:val="000000"/>
                  </w:rPr>
                </w:pPr>
                <w:r>
                  <w:rPr>
                    <w:rFonts w:ascii="宋体" w:hAnsi="宋体" w:cs="宋体" w:hint="eastAsia"/>
                    <w:b/>
                    <w:bCs/>
                    <w:color w:val="000000"/>
                  </w:rPr>
                  <w:t>注册地</w:t>
                </w:r>
              </w:p>
            </w:tc>
            <w:tc>
              <w:tcPr>
                <w:tcW w:w="805" w:type="pct"/>
                <w:shd w:val="clear" w:color="auto" w:fill="auto"/>
                <w:noWrap/>
                <w:vAlign w:val="center"/>
              </w:tcPr>
              <w:p>
                <w:pPr>
                  <w:spacing w:line="320" w:lineRule="exact"/>
                  <w:jc w:val="center"/>
                  <w:rPr>
                    <w:rFonts w:ascii="宋体" w:hAnsi="宋体" w:cs="宋体"/>
                    <w:b/>
                    <w:bCs/>
                    <w:color w:val="000000"/>
                  </w:rPr>
                </w:pPr>
                <w:r>
                  <w:rPr>
                    <w:rFonts w:ascii="宋体" w:hAnsi="宋体" w:cs="宋体" w:hint="eastAsia"/>
                    <w:b/>
                    <w:bCs/>
                    <w:color w:val="000000"/>
                  </w:rPr>
                  <w:t>注册资本</w:t>
                </w:r>
              </w:p>
            </w:tc>
            <w:tc>
              <w:tcPr>
                <w:tcW w:w="1533" w:type="pct"/>
                <w:shd w:val="clear" w:color="auto" w:fill="auto"/>
                <w:noWrap/>
                <w:vAlign w:val="center"/>
              </w:tcPr>
              <w:p>
                <w:pPr>
                  <w:spacing w:line="320" w:lineRule="exact"/>
                  <w:jc w:val="center"/>
                  <w:rPr>
                    <w:rFonts w:ascii="宋体" w:hAnsi="宋体" w:cs="宋体"/>
                    <w:b/>
                    <w:bCs/>
                    <w:color w:val="000000"/>
                  </w:rPr>
                </w:pPr>
                <w:r>
                  <w:rPr>
                    <w:rFonts w:ascii="宋体" w:hAnsi="宋体" w:cs="宋体" w:hint="eastAsia"/>
                    <w:b/>
                    <w:bCs/>
                    <w:color w:val="000000"/>
                  </w:rPr>
                  <w:t>经营范围</w:t>
                </w:r>
              </w:p>
            </w:tc>
            <w:tc>
              <w:tcPr>
                <w:tcW w:w="643" w:type="pct"/>
                <w:shd w:val="clear" w:color="auto" w:fill="auto"/>
                <w:noWrap/>
                <w:vAlign w:val="center"/>
              </w:tcPr>
              <w:p>
                <w:pPr>
                  <w:spacing w:line="320" w:lineRule="exact"/>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1520"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格罗斯特煤炭有限公司</w:t>
                </w:r>
              </w:p>
            </w:tc>
            <w:tc>
              <w:tcPr>
                <w:tcW w:w="499" w:type="pct"/>
                <w:shd w:val="clear" w:color="auto" w:fill="auto"/>
                <w:noWrap/>
                <w:vAlign w:val="center"/>
              </w:tcPr>
              <w:p>
                <w:pPr>
                  <w:spacing w:line="320" w:lineRule="exact"/>
                  <w:jc w:val="center"/>
                  <w:rPr>
                    <w:rFonts w:ascii="宋体" w:hAnsi="宋体" w:cs="宋体"/>
                    <w:color w:val="000000"/>
                  </w:rPr>
                </w:pPr>
                <w:r>
                  <w:rPr>
                    <w:rFonts w:ascii="宋体" w:hAnsi="宋体" w:cs="宋体" w:hint="eastAsia"/>
                  </w:rPr>
                  <w:t>澳大利亚</w:t>
                </w:r>
              </w:p>
            </w:tc>
            <w:tc>
              <w:tcPr>
                <w:tcW w:w="805" w:type="pct"/>
                <w:shd w:val="clear" w:color="auto" w:fill="auto"/>
                <w:noWrap/>
                <w:vAlign w:val="center"/>
              </w:tcPr>
              <w:p>
                <w:pPr>
                  <w:spacing w:line="320" w:lineRule="exact"/>
                  <w:jc w:val="center"/>
                  <w:rPr>
                    <w:rFonts w:ascii="宋体" w:hAnsi="宋体" w:cs="宋体"/>
                    <w:color w:val="000000"/>
                  </w:rPr>
                </w:pPr>
                <w:r>
                  <w:rPr>
                    <w:rFonts w:ascii="宋体" w:hAnsi="宋体" w:cs="宋体" w:hint="eastAsia"/>
                  </w:rPr>
                  <w:t>71,972万澳元</w:t>
                </w:r>
              </w:p>
            </w:tc>
            <w:tc>
              <w:tcPr>
                <w:tcW w:w="1533"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煤炭及煤炭相关资源的开发和运营</w:t>
                </w:r>
              </w:p>
            </w:tc>
            <w:tc>
              <w:tcPr>
                <w:tcW w:w="643" w:type="pct"/>
                <w:shd w:val="clear" w:color="auto" w:fill="auto"/>
                <w:noWrap/>
                <w:vAlign w:val="center"/>
              </w:tcPr>
              <w:p>
                <w:pPr>
                  <w:spacing w:line="320" w:lineRule="exact"/>
                  <w:jc w:val="center"/>
                  <w:rPr>
                    <w:rFonts w:ascii="宋体" w:hAnsi="宋体" w:cs="宋体"/>
                    <w:color w:val="000000"/>
                  </w:rPr>
                </w:pPr>
                <w:r>
                  <w:rPr>
                    <w:rFonts w:ascii="宋体" w:hAnsi="宋体" w:cs="宋体" w:hint="eastAsia"/>
                  </w:rPr>
                  <w:t>100</w:t>
                </w:r>
              </w:p>
            </w:tc>
          </w:tr>
          <w:tr>
            <w:trPr>
              <w:trHeight w:val="397"/>
              <w:jc w:val="center"/>
            </w:trPr>
            <w:tc>
              <w:tcPr>
                <w:tcW w:w="1520"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兖煤澳大利亚资源有限公司</w:t>
                </w:r>
              </w:p>
            </w:tc>
            <w:tc>
              <w:tcPr>
                <w:tcW w:w="499" w:type="pct"/>
                <w:shd w:val="clear" w:color="auto" w:fill="auto"/>
                <w:noWrap/>
                <w:vAlign w:val="center"/>
              </w:tcPr>
              <w:p>
                <w:pPr>
                  <w:spacing w:line="320" w:lineRule="exact"/>
                  <w:jc w:val="center"/>
                  <w:rPr>
                    <w:rFonts w:ascii="宋体" w:hAnsi="宋体" w:cs="宋体"/>
                    <w:color w:val="000000"/>
                  </w:rPr>
                </w:pPr>
                <w:r>
                  <w:rPr>
                    <w:rFonts w:ascii="宋体" w:hAnsi="宋体" w:cs="宋体" w:hint="eastAsia"/>
                  </w:rPr>
                  <w:t>澳大利亚</w:t>
                </w:r>
              </w:p>
            </w:tc>
            <w:tc>
              <w:tcPr>
                <w:tcW w:w="805"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44,641万澳元</w:t>
                </w:r>
              </w:p>
            </w:tc>
            <w:tc>
              <w:tcPr>
                <w:tcW w:w="1533" w:type="pct"/>
                <w:shd w:val="clear" w:color="auto" w:fill="auto"/>
                <w:noWrap/>
                <w:vAlign w:val="center"/>
              </w:tcPr>
              <w:p>
                <w:pPr>
                  <w:spacing w:line="320" w:lineRule="exact"/>
                  <w:rPr>
                    <w:rFonts w:ascii="宋体" w:hAnsi="宋体" w:cs="宋体"/>
                    <w:color w:val="000000"/>
                  </w:rPr>
                </w:pPr>
                <w:r>
                  <w:rPr>
                    <w:rFonts w:ascii="宋体" w:hAnsi="宋体" w:cs="宋体" w:hint="eastAsia"/>
                  </w:rPr>
                  <w:t>煤炭开采与勘探</w:t>
                </w:r>
              </w:p>
            </w:tc>
            <w:tc>
              <w:tcPr>
                <w:tcW w:w="643" w:type="pct"/>
                <w:shd w:val="clear" w:color="auto" w:fill="auto"/>
                <w:noWrap/>
                <w:vAlign w:val="center"/>
              </w:tcPr>
              <w:p>
                <w:pPr>
                  <w:spacing w:line="320" w:lineRule="exact"/>
                  <w:jc w:val="center"/>
                  <w:rPr>
                    <w:rFonts w:ascii="宋体" w:hAnsi="宋体" w:cs="宋体"/>
                    <w:color w:val="000000"/>
                  </w:rPr>
                </w:pPr>
                <w:r>
                  <w:rPr>
                    <w:rFonts w:ascii="宋体" w:hAnsi="宋体" w:cs="宋体" w:hint="eastAsia"/>
                  </w:rPr>
                  <w:t>100</w:t>
                </w:r>
              </w:p>
            </w:tc>
          </w:tr>
          <w:tr>
            <w:trPr>
              <w:trHeight w:val="397"/>
              <w:jc w:val="center"/>
            </w:trPr>
            <w:tc>
              <w:tcPr>
                <w:tcW w:w="1520"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兖煤澳大利亚配煤销售有限公司</w:t>
                </w:r>
              </w:p>
            </w:tc>
            <w:tc>
              <w:tcPr>
                <w:tcW w:w="499"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澳大利亚</w:t>
                </w:r>
              </w:p>
            </w:tc>
            <w:tc>
              <w:tcPr>
                <w:tcW w:w="805"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100澳元</w:t>
                </w:r>
              </w:p>
            </w:tc>
            <w:tc>
              <w:tcPr>
                <w:tcW w:w="1533"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混煤的销售</w:t>
                </w:r>
              </w:p>
            </w:tc>
            <w:tc>
              <w:tcPr>
                <w:tcW w:w="643"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w:t>
                </w:r>
              </w:p>
            </w:tc>
          </w:tr>
          <w:tr>
            <w:trPr>
              <w:trHeight w:val="397"/>
              <w:jc w:val="center"/>
            </w:trPr>
            <w:tc>
              <w:tcPr>
                <w:tcW w:w="1520"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兖煤矿业服务有限公司</w:t>
                </w:r>
              </w:p>
            </w:tc>
            <w:tc>
              <w:tcPr>
                <w:tcW w:w="499"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澳大利亚</w:t>
                </w:r>
              </w:p>
            </w:tc>
            <w:tc>
              <w:tcPr>
                <w:tcW w:w="805"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100澳元</w:t>
                </w:r>
              </w:p>
            </w:tc>
            <w:tc>
              <w:tcPr>
                <w:tcW w:w="1533"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矿业服务</w:t>
                </w:r>
              </w:p>
            </w:tc>
            <w:tc>
              <w:tcPr>
                <w:tcW w:w="643"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w:t>
                </w:r>
              </w:p>
            </w:tc>
          </w:tr>
          <w:tr>
            <w:trPr>
              <w:trHeight w:val="397"/>
              <w:jc w:val="center"/>
            </w:trPr>
            <w:tc>
              <w:tcPr>
                <w:tcW w:w="1520"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联合煤炭工业有限公司</w:t>
                </w:r>
              </w:p>
            </w:tc>
            <w:tc>
              <w:tcPr>
                <w:tcW w:w="499" w:type="pct"/>
                <w:shd w:val="clear" w:color="auto" w:fill="auto"/>
                <w:noWrap/>
                <w:vAlign w:val="center"/>
              </w:tcPr>
              <w:p>
                <w:pPr>
                  <w:spacing w:line="320" w:lineRule="exact"/>
                  <w:jc w:val="center"/>
                  <w:rPr>
                    <w:rFonts w:ascii="宋体" w:hAnsi="宋体" w:cs="宋体"/>
                    <w:color w:val="000000"/>
                  </w:rPr>
                </w:pPr>
                <w:r>
                  <w:rPr>
                    <w:rFonts w:ascii="宋体" w:hAnsi="宋体" w:cs="宋体" w:hint="eastAsia"/>
                  </w:rPr>
                  <w:t>澳大利亚</w:t>
                </w:r>
              </w:p>
            </w:tc>
            <w:tc>
              <w:tcPr>
                <w:tcW w:w="805"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86,584,735澳元</w:t>
                </w:r>
              </w:p>
            </w:tc>
            <w:tc>
              <w:tcPr>
                <w:tcW w:w="1533"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煤炭开采和煤矿经营</w:t>
                </w:r>
              </w:p>
            </w:tc>
            <w:tc>
              <w:tcPr>
                <w:tcW w:w="643"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w:t>
                </w:r>
              </w:p>
            </w:tc>
          </w:tr>
          <w:tr>
            <w:trPr>
              <w:trHeight w:val="397"/>
              <w:jc w:val="center"/>
            </w:trPr>
            <w:tc>
              <w:tcPr>
                <w:tcW w:w="1520"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兖煤澳洲莫拉本私有有限公司</w:t>
                </w:r>
              </w:p>
            </w:tc>
            <w:tc>
              <w:tcPr>
                <w:tcW w:w="499"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澳大利亚</w:t>
                </w:r>
              </w:p>
            </w:tc>
            <w:tc>
              <w:tcPr>
                <w:tcW w:w="805"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100澳元</w:t>
                </w:r>
              </w:p>
            </w:tc>
            <w:tc>
              <w:tcPr>
                <w:tcW w:w="1533"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煤炭开采和煤矿经营</w:t>
                </w:r>
              </w:p>
            </w:tc>
            <w:tc>
              <w:tcPr>
                <w:tcW w:w="643"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w:t>
                </w:r>
              </w:p>
            </w:tc>
          </w:tr>
          <w:tr>
            <w:trPr>
              <w:trHeight w:val="397"/>
              <w:jc w:val="center"/>
            </w:trPr>
            <w:tc>
              <w:tcPr>
                <w:tcW w:w="1520"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沃特岗矿业有限公司</w:t>
                </w:r>
              </w:p>
            </w:tc>
            <w:tc>
              <w:tcPr>
                <w:tcW w:w="499"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澳大利亚</w:t>
                </w:r>
              </w:p>
            </w:tc>
            <w:tc>
              <w:tcPr>
                <w:tcW w:w="805"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100澳元</w:t>
                </w:r>
              </w:p>
            </w:tc>
            <w:tc>
              <w:tcPr>
                <w:tcW w:w="1533"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煤炭开采和煤矿经营</w:t>
                </w:r>
              </w:p>
            </w:tc>
            <w:tc>
              <w:tcPr>
                <w:tcW w:w="643"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w:t>
                </w:r>
              </w:p>
            </w:tc>
          </w:tr>
          <w:tr>
            <w:trPr>
              <w:trHeight w:val="397"/>
              <w:jc w:val="center"/>
            </w:trPr>
            <w:tc>
              <w:tcPr>
                <w:tcW w:w="1520" w:type="pct"/>
                <w:shd w:val="clear" w:color="auto" w:fill="auto"/>
                <w:noWrap/>
                <w:vAlign w:val="center"/>
              </w:tcPr>
              <w:p>
                <w:pPr>
                  <w:spacing w:line="320" w:lineRule="exact"/>
                  <w:rPr>
                    <w:rFonts w:ascii="宋体" w:hAnsi="宋体" w:cs="宋体"/>
                    <w:color w:val="000000"/>
                  </w:rPr>
                </w:pPr>
                <w:r>
                  <w:rPr>
                    <w:rFonts w:ascii="宋体" w:hAnsi="宋体" w:cs="宋体" w:hint="eastAsia"/>
                    <w:color w:val="000000"/>
                  </w:rPr>
                  <w:t>兖煤保险股份有限公司</w:t>
                </w:r>
              </w:p>
            </w:tc>
            <w:tc>
              <w:tcPr>
                <w:tcW w:w="499"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根西岛</w:t>
                </w:r>
              </w:p>
            </w:tc>
            <w:tc>
              <w:tcPr>
                <w:tcW w:w="805"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19,000,000澳元</w:t>
                </w:r>
              </w:p>
            </w:tc>
            <w:tc>
              <w:tcPr>
                <w:tcW w:w="1533" w:type="pct"/>
                <w:shd w:val="clear" w:color="auto" w:fill="auto"/>
                <w:noWrap/>
                <w:vAlign w:val="center"/>
              </w:tcPr>
              <w:p>
                <w:pPr>
                  <w:spacing w:line="320" w:lineRule="exact"/>
                  <w:rPr>
                    <w:rFonts w:ascii="宋体" w:hAnsi="宋体" w:cs="宋体"/>
                    <w:color w:val="000000"/>
                  </w:rPr>
                </w:pPr>
                <w:r>
                  <w:rPr>
                    <w:rFonts w:ascii="宋体" w:hAnsi="宋体" w:cs="宋体" w:hint="eastAsia"/>
                  </w:rPr>
                  <w:t>资产保险服务</w:t>
                </w:r>
              </w:p>
            </w:tc>
            <w:tc>
              <w:tcPr>
                <w:tcW w:w="643" w:type="pct"/>
                <w:shd w:val="clear" w:color="auto" w:fill="auto"/>
                <w:noWrap/>
                <w:vAlign w:val="center"/>
              </w:tcPr>
              <w:p>
                <w:pPr>
                  <w:spacing w:line="320" w:lineRule="exact"/>
                  <w:jc w:val="center"/>
                  <w:rPr>
                    <w:rFonts w:ascii="宋体" w:hAnsi="宋体" w:cs="宋体"/>
                    <w:color w:val="000000"/>
                  </w:rPr>
                </w:pPr>
                <w:r>
                  <w:rPr>
                    <w:rFonts w:ascii="宋体" w:hAnsi="宋体" w:cs="宋体" w:hint="eastAsia"/>
                    <w:color w:val="000000"/>
                  </w:rPr>
                  <w:t>100</w:t>
                </w:r>
              </w:p>
            </w:tc>
          </w:tr>
        </w:tbl>
        <w:p>
          <w:pPr>
            <w:autoSpaceDE w:val="0"/>
            <w:autoSpaceDN w:val="0"/>
            <w:adjustRightInd w:val="0"/>
            <w:spacing w:line="320" w:lineRule="exact"/>
            <w:ind w:firstLineChars="200" w:firstLine="420"/>
            <w:rPr>
              <w:rFonts w:ascii="宋体" w:hAnsi="宋体" w:cs="宋体"/>
            </w:rPr>
          </w:pPr>
        </w:p>
        <w:p>
          <w:pPr>
            <w:autoSpaceDE w:val="0"/>
            <w:autoSpaceDN w:val="0"/>
            <w:adjustRightInd w:val="0"/>
            <w:spacing w:afterLines="50" w:after="120" w:line="320" w:lineRule="exact"/>
            <w:ind w:firstLineChars="200" w:firstLine="420"/>
            <w:rPr>
              <w:rFonts w:ascii="宋体" w:hAnsi="宋体" w:cs="宋体"/>
            </w:rPr>
          </w:pPr>
          <w:r>
            <w:rPr>
              <w:rFonts w:ascii="宋体" w:hAnsi="宋体" w:cs="宋体" w:hint="eastAsia"/>
            </w:rPr>
            <w:lastRenderedPageBreak/>
            <w:t>2)兖煤国际（控股）有限公司</w:t>
          </w:r>
        </w:p>
        <w:p>
          <w:pPr>
            <w:autoSpaceDE w:val="0"/>
            <w:autoSpaceDN w:val="0"/>
            <w:adjustRightInd w:val="0"/>
            <w:spacing w:afterLines="50" w:after="120" w:line="320" w:lineRule="exact"/>
            <w:ind w:firstLineChars="200" w:firstLine="420"/>
            <w:rPr>
              <w:rFonts w:ascii="宋体" w:hAnsi="宋体" w:cs="宋体"/>
            </w:rPr>
          </w:pPr>
          <w:r>
            <w:rPr>
              <w:rFonts w:ascii="宋体" w:hAnsi="宋体" w:cs="宋体" w:hint="eastAsia"/>
            </w:rPr>
            <w:t>兖煤国际（控股）有限公司（以下简称“香港公司”）系本集团全资子公司，成立于2011年7月13日，注册资本280万美元。2014年6月，本集团将应收香港公司款项419,460万元人民币作为对其的增资，香港公司的注册资本增加至68,931万美元。香港公司注册登记号为5866557900007209，主要从事对外投资、矿山技术开发、转让与咨询服务和进出口贸易等。</w:t>
          </w:r>
        </w:p>
        <w:tbl>
          <w:tblPr>
            <w:tblStyle w:val="Style100"/>
            <w:tblpPr w:leftFromText="180" w:rightFromText="180" w:vertAnchor="text" w:horzAnchor="page" w:tblpX="1644" w:tblpY="500"/>
            <w:tblOverlap w:val="never"/>
            <w:tblW w:w="516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55|0|desc|||0|1"/>
          </w:tblPr>
          <w:tblGrid>
            <w:gridCol w:w="2915"/>
            <w:gridCol w:w="1021"/>
            <w:gridCol w:w="1602"/>
            <w:gridCol w:w="2499"/>
            <w:gridCol w:w="1077"/>
          </w:tblGrid>
          <w:tr>
            <w:trPr>
              <w:trHeight w:val="397"/>
              <w:tblHeader/>
            </w:trPr>
            <w:tc>
              <w:tcPr>
                <w:tcW w:w="1598"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公司名称</w:t>
                </w:r>
              </w:p>
            </w:tc>
            <w:tc>
              <w:tcPr>
                <w:tcW w:w="560"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879"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tc>
            <w:tc>
              <w:tcPr>
                <w:tcW w:w="1370"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591"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兖煤国际技术开发有限公司</w:t>
                </w:r>
              </w:p>
            </w:tc>
            <w:tc>
              <w:tcPr>
                <w:tcW w:w="560" w:type="pct"/>
                <w:vAlign w:val="center"/>
              </w:tcPr>
              <w:p>
                <w:pPr>
                  <w:snapToGrid w:val="0"/>
                  <w:spacing w:line="240" w:lineRule="atLeast"/>
                  <w:rPr>
                    <w:rFonts w:ascii="宋体" w:hAnsi="宋体" w:cs="宋体"/>
                  </w:rPr>
                </w:pPr>
                <w:r>
                  <w:rPr>
                    <w:rFonts w:ascii="宋体" w:hAnsi="宋体" w:cs="宋体" w:hint="eastAsia"/>
                  </w:rPr>
                  <w:t>香港</w:t>
                </w:r>
              </w:p>
            </w:tc>
            <w:tc>
              <w:tcPr>
                <w:tcW w:w="879" w:type="pct"/>
                <w:vAlign w:val="center"/>
              </w:tcPr>
              <w:p>
                <w:pPr>
                  <w:snapToGrid w:val="0"/>
                  <w:spacing w:line="240" w:lineRule="atLeast"/>
                  <w:rPr>
                    <w:rFonts w:ascii="宋体" w:hAnsi="宋体" w:cs="宋体"/>
                  </w:rPr>
                </w:pPr>
                <w:r>
                  <w:rPr>
                    <w:rFonts w:ascii="宋体" w:hAnsi="宋体" w:cs="宋体" w:hint="eastAsia"/>
                  </w:rPr>
                  <w:t>100万美元</w:t>
                </w:r>
              </w:p>
            </w:tc>
            <w:tc>
              <w:tcPr>
                <w:tcW w:w="1370" w:type="pct"/>
                <w:vAlign w:val="center"/>
              </w:tcPr>
              <w:p>
                <w:pPr>
                  <w:snapToGrid w:val="0"/>
                  <w:spacing w:line="240" w:lineRule="atLeast"/>
                  <w:rPr>
                    <w:rFonts w:ascii="宋体" w:hAnsi="宋体" w:cs="宋体"/>
                  </w:rPr>
                </w:pPr>
                <w:r>
                  <w:rPr>
                    <w:rFonts w:ascii="宋体" w:hAnsi="宋体" w:cs="宋体" w:hint="eastAsia"/>
                  </w:rPr>
                  <w:t>从事矿山开采技术的开发、转让与咨询服务</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兖煤国际资源开发有限公司</w:t>
                </w:r>
              </w:p>
            </w:tc>
            <w:tc>
              <w:tcPr>
                <w:tcW w:w="560" w:type="pct"/>
                <w:vAlign w:val="center"/>
              </w:tcPr>
              <w:p>
                <w:pPr>
                  <w:snapToGrid w:val="0"/>
                  <w:spacing w:line="240" w:lineRule="atLeast"/>
                  <w:rPr>
                    <w:rFonts w:ascii="宋体" w:hAnsi="宋体" w:cs="宋体"/>
                  </w:rPr>
                </w:pPr>
                <w:r>
                  <w:rPr>
                    <w:rFonts w:ascii="宋体" w:hAnsi="宋体" w:cs="宋体" w:hint="eastAsia"/>
                  </w:rPr>
                  <w:t>香港</w:t>
                </w:r>
              </w:p>
            </w:tc>
            <w:tc>
              <w:tcPr>
                <w:tcW w:w="879" w:type="pct"/>
                <w:vAlign w:val="center"/>
              </w:tcPr>
              <w:p>
                <w:pPr>
                  <w:snapToGrid w:val="0"/>
                  <w:spacing w:line="240" w:lineRule="atLeast"/>
                  <w:rPr>
                    <w:rFonts w:ascii="宋体" w:hAnsi="宋体" w:cs="宋体"/>
                  </w:rPr>
                </w:pPr>
                <w:r>
                  <w:rPr>
                    <w:rFonts w:ascii="宋体" w:hAnsi="宋体" w:cs="宋体" w:hint="eastAsia"/>
                  </w:rPr>
                  <w:t>60万美元</w:t>
                </w:r>
              </w:p>
            </w:tc>
            <w:tc>
              <w:tcPr>
                <w:tcW w:w="1370" w:type="pct"/>
                <w:vAlign w:val="center"/>
              </w:tcPr>
              <w:p>
                <w:pPr>
                  <w:snapToGrid w:val="0"/>
                  <w:spacing w:line="240" w:lineRule="atLeast"/>
                  <w:rPr>
                    <w:rFonts w:ascii="宋体" w:hAnsi="宋体" w:cs="宋体"/>
                  </w:rPr>
                </w:pPr>
                <w:r>
                  <w:rPr>
                    <w:rFonts w:ascii="宋体" w:hAnsi="宋体" w:cs="宋体" w:hint="eastAsia"/>
                  </w:rPr>
                  <w:t>从事矿产资源的勘探开发</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兖煤卢森堡资源有限公司</w:t>
                </w:r>
              </w:p>
            </w:tc>
            <w:tc>
              <w:tcPr>
                <w:tcW w:w="560" w:type="pct"/>
                <w:vAlign w:val="center"/>
              </w:tcPr>
              <w:p>
                <w:pPr>
                  <w:snapToGrid w:val="0"/>
                  <w:spacing w:line="240" w:lineRule="atLeast"/>
                  <w:rPr>
                    <w:rFonts w:ascii="宋体" w:hAnsi="宋体" w:cs="宋体"/>
                  </w:rPr>
                </w:pPr>
                <w:r>
                  <w:rPr>
                    <w:rFonts w:ascii="宋体" w:hAnsi="宋体" w:cs="宋体" w:hint="eastAsia"/>
                  </w:rPr>
                  <w:t>卢森堡</w:t>
                </w:r>
              </w:p>
            </w:tc>
            <w:tc>
              <w:tcPr>
                <w:tcW w:w="879" w:type="pct"/>
                <w:vAlign w:val="center"/>
              </w:tcPr>
              <w:p>
                <w:pPr>
                  <w:snapToGrid w:val="0"/>
                  <w:spacing w:line="240" w:lineRule="atLeast"/>
                  <w:rPr>
                    <w:rFonts w:ascii="宋体" w:hAnsi="宋体" w:cs="宋体"/>
                  </w:rPr>
                </w:pPr>
                <w:r>
                  <w:rPr>
                    <w:rFonts w:ascii="宋体" w:hAnsi="宋体" w:cs="宋体" w:hint="eastAsia"/>
                  </w:rPr>
                  <w:t>50万美元</w:t>
                </w:r>
              </w:p>
            </w:tc>
            <w:tc>
              <w:tcPr>
                <w:tcW w:w="1370" w:type="pct"/>
                <w:vAlign w:val="center"/>
              </w:tcPr>
              <w:p>
                <w:pPr>
                  <w:snapToGrid w:val="0"/>
                  <w:spacing w:line="240" w:lineRule="atLeast"/>
                  <w:rPr>
                    <w:rFonts w:ascii="宋体" w:hAnsi="宋体" w:cs="宋体"/>
                  </w:rPr>
                </w:pPr>
                <w:r>
                  <w:rPr>
                    <w:rFonts w:ascii="宋体" w:hAnsi="宋体" w:cs="宋体" w:hint="eastAsia"/>
                  </w:rPr>
                  <w:t>从事对外投资等</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兖煤加拿大资源有限公司</w:t>
                </w:r>
              </w:p>
            </w:tc>
            <w:tc>
              <w:tcPr>
                <w:tcW w:w="560" w:type="pct"/>
                <w:vAlign w:val="center"/>
              </w:tcPr>
              <w:p>
                <w:pPr>
                  <w:snapToGrid w:val="0"/>
                  <w:spacing w:line="240" w:lineRule="atLeast"/>
                  <w:rPr>
                    <w:rFonts w:ascii="宋体" w:hAnsi="宋体" w:cs="宋体"/>
                  </w:rPr>
                </w:pPr>
                <w:r>
                  <w:rPr>
                    <w:rFonts w:ascii="宋体" w:hAnsi="宋体" w:cs="宋体" w:hint="eastAsia"/>
                  </w:rPr>
                  <w:t>加拿大</w:t>
                </w:r>
              </w:p>
            </w:tc>
            <w:tc>
              <w:tcPr>
                <w:tcW w:w="879" w:type="pct"/>
                <w:vAlign w:val="center"/>
              </w:tcPr>
              <w:p>
                <w:pPr>
                  <w:snapToGrid w:val="0"/>
                  <w:spacing w:line="240" w:lineRule="atLeast"/>
                  <w:rPr>
                    <w:rFonts w:ascii="宋体" w:hAnsi="宋体" w:cs="宋体"/>
                  </w:rPr>
                </w:pPr>
                <w:r>
                  <w:rPr>
                    <w:rFonts w:ascii="宋体" w:hAnsi="宋体" w:cs="宋体" w:hint="eastAsia"/>
                  </w:rPr>
                  <w:t>29,000万美元</w:t>
                </w:r>
              </w:p>
            </w:tc>
            <w:tc>
              <w:tcPr>
                <w:tcW w:w="1370" w:type="pct"/>
                <w:vAlign w:val="center"/>
              </w:tcPr>
              <w:p>
                <w:pPr>
                  <w:snapToGrid w:val="0"/>
                  <w:spacing w:line="240" w:lineRule="atLeast"/>
                  <w:rPr>
                    <w:rFonts w:ascii="宋体" w:hAnsi="宋体" w:cs="宋体"/>
                  </w:rPr>
                </w:pPr>
                <w:r>
                  <w:rPr>
                    <w:rFonts w:ascii="宋体" w:hAnsi="宋体" w:cs="宋体" w:hint="eastAsia"/>
                  </w:rPr>
                  <w:t>从事矿产资源开采与销售</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亚森纳（控股）有限公司</w:t>
                </w:r>
              </w:p>
            </w:tc>
            <w:tc>
              <w:tcPr>
                <w:tcW w:w="560" w:type="pct"/>
                <w:vAlign w:val="center"/>
              </w:tcPr>
              <w:p>
                <w:pPr>
                  <w:snapToGrid w:val="0"/>
                  <w:spacing w:line="240" w:lineRule="atLeast"/>
                  <w:rPr>
                    <w:rFonts w:ascii="宋体" w:hAnsi="宋体" w:cs="宋体"/>
                  </w:rPr>
                </w:pPr>
                <w:r>
                  <w:rPr>
                    <w:rFonts w:ascii="宋体" w:hAnsi="宋体" w:cs="宋体" w:hint="eastAsia"/>
                  </w:rPr>
                  <w:t>澳大利亚</w:t>
                </w:r>
              </w:p>
            </w:tc>
            <w:tc>
              <w:tcPr>
                <w:tcW w:w="879" w:type="pct"/>
                <w:vAlign w:val="center"/>
              </w:tcPr>
              <w:p>
                <w:pPr>
                  <w:snapToGrid w:val="0"/>
                  <w:spacing w:line="240" w:lineRule="atLeast"/>
                  <w:rPr>
                    <w:rFonts w:ascii="宋体" w:hAnsi="宋体" w:cs="宋体"/>
                  </w:rPr>
                </w:pPr>
                <w:r>
                  <w:rPr>
                    <w:rFonts w:ascii="宋体" w:hAnsi="宋体" w:cs="宋体" w:hint="eastAsia"/>
                  </w:rPr>
                  <w:t>2,445万澳元</w:t>
                </w:r>
              </w:p>
            </w:tc>
            <w:tc>
              <w:tcPr>
                <w:tcW w:w="1370" w:type="pct"/>
                <w:vAlign w:val="center"/>
              </w:tcPr>
              <w:p>
                <w:pPr>
                  <w:snapToGrid w:val="0"/>
                  <w:spacing w:line="240" w:lineRule="atLeast"/>
                  <w:rPr>
                    <w:rFonts w:ascii="宋体" w:hAnsi="宋体" w:cs="宋体"/>
                  </w:rPr>
                </w:pPr>
                <w:r>
                  <w:rPr>
                    <w:rFonts w:ascii="宋体" w:hAnsi="宋体" w:cs="宋体" w:hint="eastAsia"/>
                  </w:rPr>
                  <w:t>控股公司</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汤佛（控股）有限公司</w:t>
                </w:r>
              </w:p>
            </w:tc>
            <w:tc>
              <w:tcPr>
                <w:tcW w:w="560" w:type="pct"/>
                <w:vAlign w:val="center"/>
              </w:tcPr>
              <w:p>
                <w:pPr>
                  <w:snapToGrid w:val="0"/>
                  <w:spacing w:line="240" w:lineRule="atLeast"/>
                  <w:rPr>
                    <w:rFonts w:ascii="宋体" w:hAnsi="宋体" w:cs="宋体"/>
                  </w:rPr>
                </w:pPr>
                <w:r>
                  <w:rPr>
                    <w:rFonts w:ascii="宋体" w:hAnsi="宋体" w:cs="宋体" w:hint="eastAsia"/>
                  </w:rPr>
                  <w:t>澳大利亚</w:t>
                </w:r>
              </w:p>
            </w:tc>
            <w:tc>
              <w:tcPr>
                <w:tcW w:w="879" w:type="pct"/>
                <w:vAlign w:val="center"/>
              </w:tcPr>
              <w:p>
                <w:pPr>
                  <w:snapToGrid w:val="0"/>
                  <w:spacing w:line="240" w:lineRule="atLeast"/>
                  <w:rPr>
                    <w:rFonts w:ascii="宋体" w:hAnsi="宋体" w:cs="宋体"/>
                  </w:rPr>
                </w:pPr>
                <w:r>
                  <w:rPr>
                    <w:rFonts w:ascii="宋体" w:hAnsi="宋体" w:cs="宋体" w:hint="eastAsia"/>
                  </w:rPr>
                  <w:t>4,641万澳元</w:t>
                </w:r>
              </w:p>
            </w:tc>
            <w:tc>
              <w:tcPr>
                <w:tcW w:w="1370" w:type="pct"/>
                <w:vAlign w:val="center"/>
              </w:tcPr>
              <w:p>
                <w:pPr>
                  <w:snapToGrid w:val="0"/>
                  <w:spacing w:line="240" w:lineRule="atLeast"/>
                  <w:rPr>
                    <w:rFonts w:ascii="宋体" w:hAnsi="宋体" w:cs="宋体"/>
                  </w:rPr>
                </w:pPr>
                <w:r>
                  <w:rPr>
                    <w:rFonts w:ascii="宋体" w:hAnsi="宋体" w:cs="宋体" w:hint="eastAsia"/>
                  </w:rPr>
                  <w:t>控股公司</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维尔皮纳（控股）有限公司</w:t>
                </w:r>
              </w:p>
            </w:tc>
            <w:tc>
              <w:tcPr>
                <w:tcW w:w="560" w:type="pct"/>
                <w:vAlign w:val="center"/>
              </w:tcPr>
              <w:p>
                <w:pPr>
                  <w:snapToGrid w:val="0"/>
                  <w:spacing w:line="240" w:lineRule="atLeast"/>
                  <w:rPr>
                    <w:rFonts w:ascii="宋体" w:hAnsi="宋体" w:cs="宋体"/>
                  </w:rPr>
                </w:pPr>
                <w:r>
                  <w:rPr>
                    <w:rFonts w:ascii="宋体" w:hAnsi="宋体" w:cs="宋体" w:hint="eastAsia"/>
                  </w:rPr>
                  <w:t>澳大利亚</w:t>
                </w:r>
              </w:p>
            </w:tc>
            <w:tc>
              <w:tcPr>
                <w:tcW w:w="879" w:type="pct"/>
                <w:vAlign w:val="center"/>
              </w:tcPr>
              <w:p>
                <w:pPr>
                  <w:snapToGrid w:val="0"/>
                  <w:spacing w:line="240" w:lineRule="atLeast"/>
                  <w:rPr>
                    <w:rFonts w:ascii="宋体" w:hAnsi="宋体" w:cs="宋体"/>
                  </w:rPr>
                </w:pPr>
                <w:r>
                  <w:rPr>
                    <w:rFonts w:ascii="宋体" w:hAnsi="宋体" w:cs="宋体" w:hint="eastAsia"/>
                  </w:rPr>
                  <w:t>346万澳元</w:t>
                </w:r>
              </w:p>
            </w:tc>
            <w:tc>
              <w:tcPr>
                <w:tcW w:w="1370" w:type="pct"/>
                <w:vAlign w:val="center"/>
              </w:tcPr>
              <w:p>
                <w:pPr>
                  <w:snapToGrid w:val="0"/>
                  <w:spacing w:line="240" w:lineRule="atLeast"/>
                  <w:rPr>
                    <w:rFonts w:ascii="宋体" w:hAnsi="宋体" w:cs="宋体"/>
                  </w:rPr>
                </w:pPr>
                <w:r>
                  <w:rPr>
                    <w:rFonts w:ascii="宋体" w:hAnsi="宋体" w:cs="宋体" w:hint="eastAsia"/>
                  </w:rPr>
                  <w:t>控股公司</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普力马（控股）有限公司</w:t>
                </w:r>
              </w:p>
            </w:tc>
            <w:tc>
              <w:tcPr>
                <w:tcW w:w="560" w:type="pct"/>
                <w:vAlign w:val="center"/>
              </w:tcPr>
              <w:p>
                <w:pPr>
                  <w:snapToGrid w:val="0"/>
                  <w:spacing w:line="240" w:lineRule="atLeast"/>
                  <w:rPr>
                    <w:rFonts w:ascii="宋体" w:hAnsi="宋体" w:cs="宋体"/>
                  </w:rPr>
                </w:pPr>
                <w:r>
                  <w:rPr>
                    <w:rFonts w:ascii="宋体" w:hAnsi="宋体" w:cs="宋体" w:hint="eastAsia"/>
                  </w:rPr>
                  <w:t>澳大利亚</w:t>
                </w:r>
              </w:p>
            </w:tc>
            <w:tc>
              <w:tcPr>
                <w:tcW w:w="879" w:type="pct"/>
                <w:vAlign w:val="center"/>
              </w:tcPr>
              <w:p>
                <w:pPr>
                  <w:snapToGrid w:val="0"/>
                  <w:spacing w:line="240" w:lineRule="atLeast"/>
                  <w:rPr>
                    <w:rFonts w:ascii="宋体" w:hAnsi="宋体" w:cs="宋体"/>
                  </w:rPr>
                </w:pPr>
                <w:r>
                  <w:rPr>
                    <w:rFonts w:ascii="宋体" w:hAnsi="宋体" w:cs="宋体" w:hint="eastAsia"/>
                  </w:rPr>
                  <w:t>32,161万澳元</w:t>
                </w:r>
              </w:p>
            </w:tc>
            <w:tc>
              <w:tcPr>
                <w:tcW w:w="1370" w:type="pct"/>
                <w:vAlign w:val="center"/>
              </w:tcPr>
              <w:p>
                <w:pPr>
                  <w:snapToGrid w:val="0"/>
                  <w:spacing w:line="240" w:lineRule="atLeast"/>
                  <w:rPr>
                    <w:rFonts w:ascii="宋体" w:hAnsi="宋体" w:cs="宋体"/>
                  </w:rPr>
                </w:pPr>
                <w:r>
                  <w:rPr>
                    <w:rFonts w:ascii="宋体" w:hAnsi="宋体" w:cs="宋体" w:hint="eastAsia"/>
                  </w:rPr>
                  <w:t>控股公司</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兖煤能源有限公司</w:t>
                </w:r>
              </w:p>
            </w:tc>
            <w:tc>
              <w:tcPr>
                <w:tcW w:w="560" w:type="pct"/>
                <w:vAlign w:val="center"/>
              </w:tcPr>
              <w:p>
                <w:pPr>
                  <w:snapToGrid w:val="0"/>
                  <w:spacing w:line="240" w:lineRule="atLeast"/>
                  <w:rPr>
                    <w:rFonts w:ascii="宋体" w:hAnsi="宋体" w:cs="宋体"/>
                  </w:rPr>
                </w:pPr>
                <w:r>
                  <w:rPr>
                    <w:rFonts w:ascii="宋体" w:hAnsi="宋体" w:cs="宋体" w:hint="eastAsia"/>
                  </w:rPr>
                  <w:t>澳大利亚</w:t>
                </w:r>
              </w:p>
            </w:tc>
            <w:tc>
              <w:tcPr>
                <w:tcW w:w="879" w:type="pct"/>
                <w:vAlign w:val="center"/>
              </w:tcPr>
              <w:p>
                <w:pPr>
                  <w:snapToGrid w:val="0"/>
                  <w:spacing w:line="240" w:lineRule="atLeast"/>
                  <w:rPr>
                    <w:rFonts w:ascii="宋体" w:hAnsi="宋体" w:cs="宋体"/>
                  </w:rPr>
                </w:pPr>
                <w:r>
                  <w:rPr>
                    <w:rFonts w:ascii="宋体" w:hAnsi="宋体" w:cs="宋体" w:hint="eastAsia"/>
                  </w:rPr>
                  <w:t>20,298万澳元</w:t>
                </w:r>
              </w:p>
            </w:tc>
            <w:tc>
              <w:tcPr>
                <w:tcW w:w="1370" w:type="pct"/>
                <w:vAlign w:val="center"/>
              </w:tcPr>
              <w:p>
                <w:pPr>
                  <w:snapToGrid w:val="0"/>
                  <w:spacing w:line="240" w:lineRule="atLeast"/>
                  <w:rPr>
                    <w:rFonts w:ascii="宋体" w:hAnsi="宋体" w:cs="宋体"/>
                  </w:rPr>
                </w:pPr>
                <w:r>
                  <w:rPr>
                    <w:rFonts w:ascii="宋体" w:hAnsi="宋体" w:cs="宋体" w:hint="eastAsia"/>
                  </w:rPr>
                  <w:t>控股公司</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兖煤技术发展（控股）有限公司</w:t>
                </w:r>
              </w:p>
            </w:tc>
            <w:tc>
              <w:tcPr>
                <w:tcW w:w="560" w:type="pct"/>
                <w:vAlign w:val="center"/>
              </w:tcPr>
              <w:p>
                <w:pPr>
                  <w:snapToGrid w:val="0"/>
                  <w:spacing w:line="240" w:lineRule="atLeast"/>
                  <w:rPr>
                    <w:rFonts w:ascii="宋体" w:hAnsi="宋体" w:cs="宋体"/>
                  </w:rPr>
                </w:pPr>
                <w:r>
                  <w:rPr>
                    <w:rFonts w:ascii="宋体" w:hAnsi="宋体" w:cs="宋体" w:hint="eastAsia"/>
                  </w:rPr>
                  <w:t>澳大利亚</w:t>
                </w:r>
              </w:p>
            </w:tc>
            <w:tc>
              <w:tcPr>
                <w:tcW w:w="879" w:type="pct"/>
                <w:vAlign w:val="center"/>
              </w:tcPr>
              <w:p>
                <w:pPr>
                  <w:snapToGrid w:val="0"/>
                  <w:spacing w:line="240" w:lineRule="atLeast"/>
                  <w:rPr>
                    <w:rFonts w:ascii="宋体" w:hAnsi="宋体" w:cs="宋体"/>
                  </w:rPr>
                </w:pPr>
                <w:r>
                  <w:rPr>
                    <w:rFonts w:ascii="宋体" w:hAnsi="宋体" w:cs="宋体" w:hint="eastAsia"/>
                  </w:rPr>
                  <w:t>7,541万澳元</w:t>
                </w:r>
              </w:p>
            </w:tc>
            <w:tc>
              <w:tcPr>
                <w:tcW w:w="1370" w:type="pct"/>
                <w:vAlign w:val="center"/>
              </w:tcPr>
              <w:p>
                <w:pPr>
                  <w:snapToGrid w:val="0"/>
                  <w:spacing w:line="240" w:lineRule="atLeast"/>
                  <w:rPr>
                    <w:rFonts w:ascii="宋体" w:hAnsi="宋体" w:cs="宋体"/>
                  </w:rPr>
                </w:pPr>
                <w:r>
                  <w:rPr>
                    <w:rFonts w:ascii="宋体" w:hAnsi="宋体" w:cs="宋体" w:hint="eastAsia"/>
                  </w:rPr>
                  <w:t>控股公司</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兖矿东平陆港有限公司</w:t>
                </w:r>
              </w:p>
            </w:tc>
            <w:tc>
              <w:tcPr>
                <w:tcW w:w="560" w:type="pct"/>
                <w:vAlign w:val="center"/>
              </w:tcPr>
              <w:p>
                <w:pPr>
                  <w:snapToGrid w:val="0"/>
                  <w:spacing w:line="240" w:lineRule="atLeast"/>
                  <w:rPr>
                    <w:rFonts w:ascii="宋体" w:hAnsi="宋体" w:cs="宋体"/>
                  </w:rPr>
                </w:pPr>
                <w:r>
                  <w:rPr>
                    <w:rFonts w:ascii="宋体" w:hAnsi="宋体" w:cs="宋体" w:hint="eastAsia"/>
                  </w:rPr>
                  <w:t>山东泰安</w:t>
                </w:r>
              </w:p>
            </w:tc>
            <w:tc>
              <w:tcPr>
                <w:tcW w:w="879" w:type="pct"/>
                <w:vAlign w:val="center"/>
              </w:tcPr>
              <w:p>
                <w:pPr>
                  <w:snapToGrid w:val="0"/>
                  <w:spacing w:line="240" w:lineRule="atLeast"/>
                  <w:rPr>
                    <w:rFonts w:ascii="宋体" w:hAnsi="宋体" w:cs="宋体"/>
                  </w:rPr>
                </w:pPr>
                <w:r>
                  <w:rPr>
                    <w:rFonts w:ascii="宋体" w:hAnsi="宋体" w:cs="宋体" w:hint="eastAsia"/>
                  </w:rPr>
                  <w:t>91,997万人民币</w:t>
                </w:r>
              </w:p>
            </w:tc>
            <w:tc>
              <w:tcPr>
                <w:tcW w:w="1370" w:type="pct"/>
                <w:vAlign w:val="center"/>
              </w:tcPr>
              <w:p>
                <w:pPr>
                  <w:snapToGrid w:val="0"/>
                  <w:spacing w:line="240" w:lineRule="atLeast"/>
                  <w:rPr>
                    <w:rFonts w:ascii="宋体" w:hAnsi="宋体" w:cs="宋体"/>
                  </w:rPr>
                </w:pPr>
                <w:r>
                  <w:rPr>
                    <w:rFonts w:ascii="宋体" w:hAnsi="宋体" w:cs="宋体" w:hint="eastAsia"/>
                  </w:rPr>
                  <w:t>煤炭贸易，港口、铁路运输</w:t>
                </w:r>
              </w:p>
            </w:tc>
            <w:tc>
              <w:tcPr>
                <w:tcW w:w="591" w:type="pct"/>
                <w:vAlign w:val="center"/>
              </w:tcPr>
              <w:p>
                <w:pPr>
                  <w:snapToGrid w:val="0"/>
                  <w:spacing w:line="240" w:lineRule="atLeast"/>
                  <w:jc w:val="center"/>
                  <w:rPr>
                    <w:rFonts w:ascii="宋体" w:hAnsi="宋体" w:cs="宋体"/>
                  </w:rPr>
                </w:pPr>
                <w:r>
                  <w:rPr>
                    <w:rFonts w:ascii="宋体" w:hAnsi="宋体" w:cs="宋体" w:hint="eastAsia"/>
                  </w:rPr>
                  <w:t>81.09</w:t>
                </w:r>
              </w:p>
            </w:tc>
          </w:tr>
          <w:tr>
            <w:trPr>
              <w:trHeight w:val="397"/>
            </w:trPr>
            <w:tc>
              <w:tcPr>
                <w:tcW w:w="1598" w:type="pct"/>
                <w:vAlign w:val="center"/>
              </w:tcPr>
              <w:p>
                <w:pPr>
                  <w:snapToGrid w:val="0"/>
                  <w:spacing w:line="240" w:lineRule="atLeast"/>
                  <w:rPr>
                    <w:rFonts w:ascii="宋体" w:hAnsi="宋体" w:cs="宋体"/>
                  </w:rPr>
                </w:pPr>
                <w:r>
                  <w:rPr>
                    <w:rFonts w:ascii="宋体" w:hAnsi="宋体" w:cs="宋体" w:hint="eastAsia"/>
                  </w:rPr>
                  <w:t>中垠（济宁）融资租赁有限公司</w:t>
                </w:r>
              </w:p>
            </w:tc>
            <w:tc>
              <w:tcPr>
                <w:tcW w:w="560" w:type="pct"/>
                <w:vAlign w:val="center"/>
              </w:tcPr>
              <w:p>
                <w:pPr>
                  <w:snapToGrid w:val="0"/>
                  <w:spacing w:line="240" w:lineRule="atLeast"/>
                  <w:rPr>
                    <w:rFonts w:ascii="宋体" w:hAnsi="宋体" w:cs="宋体"/>
                  </w:rPr>
                </w:pPr>
                <w:r>
                  <w:rPr>
                    <w:rFonts w:ascii="宋体" w:hAnsi="宋体" w:cs="宋体" w:hint="eastAsia"/>
                  </w:rPr>
                  <w:t>山东济宁</w:t>
                </w:r>
              </w:p>
            </w:tc>
            <w:tc>
              <w:tcPr>
                <w:tcW w:w="879" w:type="pct"/>
                <w:vAlign w:val="center"/>
              </w:tcPr>
              <w:p>
                <w:pPr>
                  <w:snapToGrid w:val="0"/>
                  <w:spacing w:line="240" w:lineRule="atLeast"/>
                  <w:rPr>
                    <w:rFonts w:ascii="宋体" w:hAnsi="宋体" w:cs="宋体"/>
                  </w:rPr>
                </w:pPr>
                <w:r>
                  <w:rPr>
                    <w:rFonts w:ascii="宋体" w:hAnsi="宋体" w:cs="宋体" w:hint="eastAsia"/>
                  </w:rPr>
                  <w:t>1,400万美元</w:t>
                </w:r>
              </w:p>
            </w:tc>
            <w:tc>
              <w:tcPr>
                <w:tcW w:w="1370" w:type="pct"/>
                <w:vAlign w:val="center"/>
              </w:tcPr>
              <w:p>
                <w:pPr>
                  <w:snapToGrid w:val="0"/>
                  <w:spacing w:line="240" w:lineRule="atLeast"/>
                  <w:rPr>
                    <w:rFonts w:ascii="宋体" w:hAnsi="宋体" w:cs="宋体"/>
                  </w:rPr>
                </w:pPr>
                <w:r>
                  <w:rPr>
                    <w:rFonts w:ascii="宋体" w:hAnsi="宋体" w:cs="宋体" w:hint="eastAsia"/>
                  </w:rPr>
                  <w:t>融资租赁业务</w:t>
                </w:r>
              </w:p>
            </w:tc>
            <w:tc>
              <w:tcPr>
                <w:tcW w:w="591" w:type="pct"/>
                <w:vAlign w:val="center"/>
              </w:tcPr>
              <w:p>
                <w:pPr>
                  <w:snapToGrid w:val="0"/>
                  <w:spacing w:line="240" w:lineRule="atLeast"/>
                  <w:jc w:val="center"/>
                  <w:rPr>
                    <w:rFonts w:ascii="宋体" w:hAnsi="宋体" w:cs="宋体"/>
                  </w:rPr>
                </w:pPr>
                <w:r>
                  <w:rPr>
                    <w:rFonts w:ascii="宋体" w:hAnsi="宋体" w:cs="宋体" w:hint="eastAsia"/>
                  </w:rPr>
                  <w:t>100</w:t>
                </w:r>
              </w:p>
            </w:tc>
          </w:tr>
        </w:tbl>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香港公司主要控股子公司如下：</w:t>
          </w:r>
        </w:p>
        <w:p>
          <w:pPr>
            <w:autoSpaceDE w:val="0"/>
            <w:autoSpaceDN w:val="0"/>
            <w:adjustRightInd w:val="0"/>
            <w:spacing w:line="360" w:lineRule="exact"/>
            <w:ind w:firstLineChars="200" w:firstLine="420"/>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3)兖矿能源（鄂尔多斯）有限公司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能源（鄂尔多斯）有限公司（以下简称“鄂尔多斯公司”）系本集团全资子公司，成立于2009年12月18日，注册资本人民币50,000万元。2011年1月，本集团对鄂尔多斯公司增资260,000万元，注册资本增加至310,000万元。2014年11月，本集团再次对鄂尔多斯公司增资500,000万元，注册资本增加至810,000万元。2019年9月2日，本集团再次对鄂尔多斯公司增资270,000万元，注册资本增加至1,080,000万元。公司法人营业执照统一社会信用代码：91150691695945851D，法定代表人：张伟，主要业务为煤炭、铁矿石销售，对煤炭、化工企业投资，煤矿机械设备、材料销售，煤矿器械设备维修租赁。</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鄂尔多斯公司主要控股子公司如下：</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56|0|desc|||0|1"/>
          </w:tblPr>
          <w:tblGrid>
            <w:gridCol w:w="2625"/>
            <w:gridCol w:w="1021"/>
            <w:gridCol w:w="1747"/>
            <w:gridCol w:w="2329"/>
            <w:gridCol w:w="1101"/>
          </w:tblGrid>
          <w:tr>
            <w:trPr>
              <w:trHeight w:val="397"/>
              <w:tblHeader/>
              <w:jc w:val="center"/>
            </w:trPr>
            <w:tc>
              <w:tcPr>
                <w:tcW w:w="1487"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lastRenderedPageBreak/>
                  <w:t>公司名称</w:t>
                </w:r>
              </w:p>
            </w:tc>
            <w:tc>
              <w:tcPr>
                <w:tcW w:w="578"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990"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p>
                <w:pPr>
                  <w:jc w:val="center"/>
                  <w:rPr>
                    <w:rFonts w:ascii="宋体" w:hAnsi="宋体" w:cs="宋体"/>
                    <w:b/>
                    <w:bCs/>
                    <w:color w:val="000000"/>
                  </w:rPr>
                </w:pPr>
                <w:r>
                  <w:rPr>
                    <w:rFonts w:ascii="宋体" w:hAnsi="宋体" w:cs="宋体" w:hint="eastAsia"/>
                    <w:b/>
                    <w:bCs/>
                    <w:color w:val="000000"/>
                  </w:rPr>
                  <w:t>（人民币）</w:t>
                </w:r>
              </w:p>
            </w:tc>
            <w:tc>
              <w:tcPr>
                <w:tcW w:w="1320"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624"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1487" w:type="pct"/>
                <w:shd w:val="clear" w:color="auto" w:fill="auto"/>
                <w:noWrap/>
                <w:vAlign w:val="center"/>
              </w:tcPr>
              <w:p>
                <w:pPr>
                  <w:rPr>
                    <w:rFonts w:ascii="宋体" w:hAnsi="宋体" w:cs="宋体"/>
                    <w:color w:val="000000"/>
                  </w:rPr>
                </w:pPr>
                <w:r>
                  <w:rPr>
                    <w:rFonts w:ascii="宋体" w:hAnsi="宋体" w:cs="宋体" w:hint="eastAsia"/>
                    <w:color w:val="000000"/>
                  </w:rPr>
                  <w:t>内蒙古荣信化工有限公司</w:t>
                </w:r>
              </w:p>
            </w:tc>
            <w:tc>
              <w:tcPr>
                <w:tcW w:w="578" w:type="pct"/>
                <w:shd w:val="clear" w:color="auto" w:fill="auto"/>
                <w:noWrap/>
                <w:vAlign w:val="center"/>
              </w:tcPr>
              <w:p>
                <w:pPr>
                  <w:jc w:val="center"/>
                  <w:rPr>
                    <w:rFonts w:ascii="宋体" w:hAnsi="宋体" w:cs="宋体"/>
                    <w:color w:val="000000"/>
                  </w:rPr>
                </w:pPr>
                <w:r>
                  <w:rPr>
                    <w:rFonts w:ascii="宋体" w:hAnsi="宋体" w:cs="宋体" w:hint="eastAsia"/>
                    <w:color w:val="000000"/>
                  </w:rPr>
                  <w:t>鄂尔多斯</w:t>
                </w:r>
              </w:p>
            </w:tc>
            <w:tc>
              <w:tcPr>
                <w:tcW w:w="990" w:type="pct"/>
                <w:shd w:val="clear" w:color="auto" w:fill="auto"/>
                <w:noWrap/>
                <w:vAlign w:val="center"/>
              </w:tcPr>
              <w:p>
                <w:pPr>
                  <w:jc w:val="center"/>
                  <w:rPr>
                    <w:rFonts w:ascii="宋体" w:hAnsi="宋体" w:cs="宋体"/>
                    <w:color w:val="000000"/>
                  </w:rPr>
                </w:pPr>
                <w:r>
                  <w:rPr>
                    <w:rFonts w:ascii="宋体" w:hAnsi="宋体" w:cs="宋体" w:hint="eastAsia"/>
                    <w:color w:val="000000"/>
                  </w:rPr>
                  <w:t>500,000万元</w:t>
                </w:r>
              </w:p>
            </w:tc>
            <w:tc>
              <w:tcPr>
                <w:tcW w:w="1320" w:type="pct"/>
                <w:shd w:val="clear" w:color="auto" w:fill="auto"/>
                <w:noWrap/>
                <w:vAlign w:val="center"/>
              </w:tcPr>
              <w:p>
                <w:pPr>
                  <w:rPr>
                    <w:rFonts w:ascii="宋体" w:hAnsi="宋体" w:cs="宋体"/>
                    <w:color w:val="000000"/>
                  </w:rPr>
                </w:pPr>
                <w:r>
                  <w:rPr>
                    <w:rFonts w:ascii="宋体" w:hAnsi="宋体" w:cs="宋体" w:hint="eastAsia"/>
                    <w:color w:val="000000"/>
                  </w:rPr>
                  <w:t>从事煤制甲醇生产、销售</w:t>
                </w:r>
              </w:p>
            </w:tc>
            <w:tc>
              <w:tcPr>
                <w:tcW w:w="624" w:type="pct"/>
                <w:shd w:val="clear" w:color="auto" w:fill="auto"/>
                <w:noWrap/>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1487" w:type="pct"/>
                <w:shd w:val="clear" w:color="auto" w:fill="auto"/>
                <w:noWrap/>
                <w:vAlign w:val="center"/>
              </w:tcPr>
              <w:p>
                <w:pPr>
                  <w:rPr>
                    <w:rFonts w:ascii="宋体" w:hAnsi="宋体" w:cs="宋体"/>
                    <w:color w:val="000000"/>
                  </w:rPr>
                </w:pPr>
                <w:r>
                  <w:rPr>
                    <w:rFonts w:ascii="宋体" w:hAnsi="宋体" w:cs="宋体" w:hint="eastAsia"/>
                    <w:color w:val="000000"/>
                  </w:rPr>
                  <w:t>内蒙古鑫泰煤炭有限公司</w:t>
                </w:r>
              </w:p>
            </w:tc>
            <w:tc>
              <w:tcPr>
                <w:tcW w:w="578" w:type="pct"/>
                <w:shd w:val="clear" w:color="auto" w:fill="auto"/>
                <w:noWrap/>
                <w:vAlign w:val="center"/>
              </w:tcPr>
              <w:p>
                <w:pPr>
                  <w:jc w:val="center"/>
                  <w:rPr>
                    <w:rFonts w:ascii="宋体" w:hAnsi="宋体" w:cs="宋体"/>
                    <w:color w:val="000000"/>
                  </w:rPr>
                </w:pPr>
                <w:r>
                  <w:rPr>
                    <w:rFonts w:ascii="宋体" w:hAnsi="宋体" w:cs="宋体" w:hint="eastAsia"/>
                    <w:color w:val="000000"/>
                  </w:rPr>
                  <w:t>鄂尔多斯</w:t>
                </w:r>
              </w:p>
            </w:tc>
            <w:tc>
              <w:tcPr>
                <w:tcW w:w="990" w:type="pct"/>
                <w:shd w:val="clear" w:color="auto" w:fill="auto"/>
                <w:noWrap/>
                <w:vAlign w:val="center"/>
              </w:tcPr>
              <w:p>
                <w:pPr>
                  <w:jc w:val="center"/>
                  <w:rPr>
                    <w:rFonts w:ascii="宋体" w:hAnsi="宋体" w:cs="宋体"/>
                    <w:color w:val="000000"/>
                  </w:rPr>
                </w:pPr>
                <w:r>
                  <w:rPr>
                    <w:rFonts w:ascii="宋体" w:hAnsi="宋体" w:cs="宋体" w:hint="eastAsia"/>
                    <w:color w:val="000000"/>
                  </w:rPr>
                  <w:t>500万元</w:t>
                </w:r>
              </w:p>
            </w:tc>
            <w:tc>
              <w:tcPr>
                <w:tcW w:w="1320" w:type="pct"/>
                <w:shd w:val="clear" w:color="auto" w:fill="auto"/>
                <w:noWrap/>
                <w:vAlign w:val="center"/>
              </w:tcPr>
              <w:p>
                <w:pPr>
                  <w:rPr>
                    <w:rFonts w:ascii="宋体" w:hAnsi="宋体" w:cs="宋体"/>
                    <w:color w:val="000000"/>
                  </w:rPr>
                </w:pPr>
                <w:r>
                  <w:rPr>
                    <w:rFonts w:ascii="宋体" w:hAnsi="宋体" w:cs="宋体" w:hint="eastAsia"/>
                    <w:color w:val="000000"/>
                  </w:rPr>
                  <w:t>从事煤炭采掘与销售</w:t>
                </w:r>
              </w:p>
            </w:tc>
            <w:tc>
              <w:tcPr>
                <w:tcW w:w="624" w:type="pct"/>
                <w:shd w:val="clear" w:color="auto" w:fill="auto"/>
                <w:noWrap/>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1487" w:type="pct"/>
                <w:shd w:val="clear" w:color="auto" w:fill="auto"/>
                <w:noWrap/>
                <w:vAlign w:val="center"/>
              </w:tcPr>
              <w:p>
                <w:pPr>
                  <w:rPr>
                    <w:rFonts w:ascii="宋体" w:hAnsi="宋体" w:cs="宋体"/>
                    <w:color w:val="000000"/>
                  </w:rPr>
                </w:pPr>
                <w:r>
                  <w:rPr>
                    <w:rFonts w:ascii="宋体" w:hAnsi="宋体" w:cs="宋体" w:hint="eastAsia"/>
                    <w:color w:val="000000"/>
                  </w:rPr>
                  <w:t>鄂尔多斯市转龙湾煤炭有限公司</w:t>
                </w:r>
              </w:p>
            </w:tc>
            <w:tc>
              <w:tcPr>
                <w:tcW w:w="578" w:type="pct"/>
                <w:shd w:val="clear" w:color="auto" w:fill="auto"/>
                <w:noWrap/>
                <w:vAlign w:val="center"/>
              </w:tcPr>
              <w:p>
                <w:pPr>
                  <w:jc w:val="center"/>
                  <w:rPr>
                    <w:rFonts w:ascii="宋体" w:hAnsi="宋体" w:cs="宋体"/>
                    <w:color w:val="000000"/>
                  </w:rPr>
                </w:pPr>
                <w:r>
                  <w:rPr>
                    <w:rFonts w:ascii="宋体" w:hAnsi="宋体" w:cs="宋体" w:hint="eastAsia"/>
                    <w:color w:val="000000"/>
                  </w:rPr>
                  <w:t>鄂尔多斯</w:t>
                </w:r>
              </w:p>
            </w:tc>
            <w:tc>
              <w:tcPr>
                <w:tcW w:w="990" w:type="pct"/>
                <w:shd w:val="clear" w:color="auto" w:fill="auto"/>
                <w:noWrap/>
                <w:vAlign w:val="center"/>
              </w:tcPr>
              <w:p>
                <w:pPr>
                  <w:jc w:val="center"/>
                  <w:rPr>
                    <w:rFonts w:ascii="宋体" w:hAnsi="宋体" w:cs="宋体"/>
                    <w:color w:val="000000"/>
                  </w:rPr>
                </w:pPr>
                <w:r>
                  <w:rPr>
                    <w:rFonts w:ascii="宋体" w:hAnsi="宋体" w:cs="宋体" w:hint="eastAsia"/>
                    <w:color w:val="000000"/>
                  </w:rPr>
                  <w:t>505,000万元</w:t>
                </w:r>
              </w:p>
            </w:tc>
            <w:tc>
              <w:tcPr>
                <w:tcW w:w="1320" w:type="pct"/>
                <w:shd w:val="clear" w:color="auto" w:fill="auto"/>
                <w:noWrap/>
                <w:vAlign w:val="center"/>
              </w:tcPr>
              <w:p>
                <w:pPr>
                  <w:rPr>
                    <w:rFonts w:ascii="宋体" w:hAnsi="宋体" w:cs="宋体"/>
                    <w:color w:val="000000"/>
                  </w:rPr>
                </w:pPr>
                <w:r>
                  <w:rPr>
                    <w:rFonts w:ascii="宋体" w:hAnsi="宋体" w:cs="宋体" w:hint="eastAsia"/>
                    <w:color w:val="000000"/>
                  </w:rPr>
                  <w:t>煤炭销售、煤矿机械设备生产与销售</w:t>
                </w:r>
              </w:p>
            </w:tc>
            <w:tc>
              <w:tcPr>
                <w:tcW w:w="624" w:type="pct"/>
                <w:shd w:val="clear" w:color="auto" w:fill="auto"/>
                <w:noWrap/>
                <w:vAlign w:val="center"/>
              </w:tcPr>
              <w:p>
                <w:pPr>
                  <w:jc w:val="center"/>
                  <w:rPr>
                    <w:rFonts w:ascii="宋体" w:hAnsi="宋体" w:cs="宋体"/>
                    <w:color w:val="000000"/>
                  </w:rPr>
                </w:pPr>
                <w:r>
                  <w:rPr>
                    <w:rFonts w:ascii="宋体" w:hAnsi="宋体" w:cs="宋体" w:hint="eastAsia"/>
                    <w:color w:val="000000"/>
                  </w:rPr>
                  <w:t>100</w:t>
                </w:r>
              </w:p>
            </w:tc>
          </w:tr>
        </w:tbl>
        <w:p>
          <w:pPr>
            <w:autoSpaceDE w:val="0"/>
            <w:autoSpaceDN w:val="0"/>
            <w:adjustRightInd w:val="0"/>
            <w:spacing w:line="360" w:lineRule="exact"/>
            <w:ind w:firstLineChars="200" w:firstLine="420"/>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4)兖矿东华重工有限公司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东华重工有限公司（以下简称“东华重工”）成立于2013年1月，由兖矿东华集团有限公司出资成立，2015年7月兖矿东华集团有限公司持有的东华重工100%股权全部转让给本集团之控股股东山东能源集团有限公司，本集团之控股股东山东能源集团有限公司持有的东华重工100%股权全部转让给本集团。注册资本为127,789万元，2021年11月，本集团对东华重工增资100,000万元，2024年3月，本集团再次对东华重工增资210,000万元，注册资本增加至437,789万元。公司法人营业执照统一社会信用代码：91370883061983346A，公司法定代表人：张立，公司注册地址：邹城市西外环路5289号。主要从事矿用设备、机电设备、橡胶制品等的生产销售。</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东华重工主要控股子公司如下：</w:t>
          </w:r>
        </w:p>
        <w:tbl>
          <w:tblPr>
            <w:tblStyle w:val="Style100"/>
            <w:tblW w:w="5205"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57|0|desc|||0|1"/>
          </w:tblPr>
          <w:tblGrid>
            <w:gridCol w:w="3331"/>
            <w:gridCol w:w="965"/>
            <w:gridCol w:w="1539"/>
            <w:gridCol w:w="2476"/>
            <w:gridCol w:w="874"/>
          </w:tblGrid>
          <w:tr>
            <w:trPr>
              <w:trHeight w:val="397"/>
              <w:tblHeader/>
              <w:jc w:val="center"/>
            </w:trPr>
            <w:tc>
              <w:tcPr>
                <w:tcW w:w="1813"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公司名称</w:t>
                </w:r>
              </w:p>
            </w:tc>
            <w:tc>
              <w:tcPr>
                <w:tcW w:w="525"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838"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p>
                <w:pPr>
                  <w:jc w:val="center"/>
                  <w:rPr>
                    <w:rFonts w:ascii="宋体" w:hAnsi="宋体" w:cs="宋体"/>
                    <w:b/>
                    <w:bCs/>
                    <w:color w:val="000000"/>
                  </w:rPr>
                </w:pPr>
                <w:r>
                  <w:rPr>
                    <w:rFonts w:ascii="宋体" w:hAnsi="宋体" w:cs="宋体" w:hint="eastAsia"/>
                    <w:b/>
                    <w:bCs/>
                    <w:color w:val="000000"/>
                  </w:rPr>
                  <w:t>（人民币）</w:t>
                </w:r>
              </w:p>
            </w:tc>
            <w:tc>
              <w:tcPr>
                <w:tcW w:w="1348"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476"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1813" w:type="pct"/>
                <w:shd w:val="clear" w:color="auto" w:fill="auto"/>
                <w:noWrap/>
                <w:vAlign w:val="center"/>
              </w:tcPr>
              <w:p>
                <w:pPr>
                  <w:rPr>
                    <w:rFonts w:ascii="宋体" w:hAnsi="宋体" w:cs="宋体"/>
                    <w:color w:val="000000"/>
                  </w:rPr>
                </w:pPr>
                <w:r>
                  <w:rPr>
                    <w:rFonts w:ascii="宋体" w:hAnsi="宋体" w:cs="宋体" w:hint="eastAsia"/>
                    <w:color w:val="000000"/>
                  </w:rPr>
                  <w:t>兖矿集团邹城金通橡胶有限公司</w:t>
                </w:r>
              </w:p>
            </w:tc>
            <w:tc>
              <w:tcPr>
                <w:tcW w:w="525" w:type="pct"/>
                <w:shd w:val="clear" w:color="auto" w:fill="auto"/>
                <w:noWrap/>
                <w:vAlign w:val="center"/>
              </w:tcPr>
              <w:p>
                <w:pPr>
                  <w:jc w:val="center"/>
                  <w:rPr>
                    <w:rFonts w:ascii="宋体" w:hAnsi="宋体" w:cs="宋体"/>
                    <w:color w:val="000000"/>
                  </w:rPr>
                </w:pPr>
                <w:r>
                  <w:rPr>
                    <w:rFonts w:ascii="宋体" w:hAnsi="宋体" w:cs="宋体" w:hint="eastAsia"/>
                    <w:color w:val="000000"/>
                  </w:rPr>
                  <w:t>山东邹城</w:t>
                </w:r>
              </w:p>
            </w:tc>
            <w:tc>
              <w:tcPr>
                <w:tcW w:w="838" w:type="pct"/>
                <w:shd w:val="clear" w:color="auto" w:fill="auto"/>
                <w:noWrap/>
                <w:vAlign w:val="center"/>
              </w:tcPr>
              <w:p>
                <w:pPr>
                  <w:jc w:val="center"/>
                  <w:rPr>
                    <w:rFonts w:ascii="宋体" w:hAnsi="宋体" w:cs="宋体"/>
                    <w:color w:val="000000"/>
                  </w:rPr>
                </w:pPr>
                <w:r>
                  <w:rPr>
                    <w:rFonts w:ascii="宋体" w:hAnsi="宋体" w:cs="宋体" w:hint="eastAsia"/>
                    <w:color w:val="000000"/>
                  </w:rPr>
                  <w:t>660万元</w:t>
                </w:r>
              </w:p>
            </w:tc>
            <w:tc>
              <w:tcPr>
                <w:tcW w:w="1348" w:type="pct"/>
                <w:shd w:val="clear" w:color="auto" w:fill="auto"/>
                <w:noWrap/>
                <w:vAlign w:val="center"/>
              </w:tcPr>
              <w:p>
                <w:pPr>
                  <w:rPr>
                    <w:rFonts w:ascii="宋体" w:hAnsi="宋体" w:cs="宋体"/>
                    <w:color w:val="000000"/>
                  </w:rPr>
                </w:pPr>
                <w:r>
                  <w:rPr>
                    <w:rFonts w:ascii="宋体" w:hAnsi="宋体" w:cs="宋体" w:hint="eastAsia"/>
                    <w:color w:val="000000"/>
                  </w:rPr>
                  <w:t>高、中、低压橡胶软管制造</w:t>
                </w:r>
              </w:p>
            </w:tc>
            <w:tc>
              <w:tcPr>
                <w:tcW w:w="476" w:type="pct"/>
                <w:shd w:val="clear" w:color="auto" w:fill="auto"/>
                <w:noWrap/>
                <w:vAlign w:val="center"/>
              </w:tcPr>
              <w:p>
                <w:pPr>
                  <w:jc w:val="center"/>
                  <w:rPr>
                    <w:rFonts w:ascii="宋体" w:hAnsi="宋体" w:cs="宋体"/>
                    <w:color w:val="000000"/>
                  </w:rPr>
                </w:pPr>
                <w:r>
                  <w:rPr>
                    <w:rFonts w:ascii="宋体" w:hAnsi="宋体" w:cs="宋体" w:hint="eastAsia"/>
                    <w:color w:val="000000"/>
                  </w:rPr>
                  <w:t>54.55</w:t>
                </w:r>
              </w:p>
            </w:tc>
          </w:tr>
          <w:tr>
            <w:trPr>
              <w:trHeight w:val="397"/>
              <w:jc w:val="center"/>
            </w:trPr>
            <w:tc>
              <w:tcPr>
                <w:tcW w:w="1813" w:type="pct"/>
                <w:shd w:val="clear" w:color="auto" w:fill="auto"/>
                <w:noWrap/>
                <w:vAlign w:val="center"/>
              </w:tcPr>
              <w:p>
                <w:pPr>
                  <w:rPr>
                    <w:rFonts w:ascii="宋体" w:hAnsi="宋体" w:cs="宋体"/>
                    <w:color w:val="000000"/>
                  </w:rPr>
                </w:pPr>
                <w:r>
                  <w:rPr>
                    <w:rFonts w:ascii="宋体" w:hAnsi="宋体" w:cs="宋体" w:hint="eastAsia"/>
                  </w:rPr>
                  <w:t>兖矿集团唐村实业有限公司</w:t>
                </w:r>
              </w:p>
            </w:tc>
            <w:tc>
              <w:tcPr>
                <w:tcW w:w="525" w:type="pct"/>
                <w:shd w:val="clear" w:color="auto" w:fill="auto"/>
                <w:noWrap/>
                <w:vAlign w:val="center"/>
              </w:tcPr>
              <w:p>
                <w:pPr>
                  <w:jc w:val="center"/>
                  <w:rPr>
                    <w:rFonts w:ascii="宋体" w:hAnsi="宋体" w:cs="宋体"/>
                    <w:color w:val="000000"/>
                  </w:rPr>
                </w:pPr>
                <w:r>
                  <w:rPr>
                    <w:rFonts w:ascii="宋体" w:hAnsi="宋体" w:cs="宋体" w:hint="eastAsia"/>
                  </w:rPr>
                  <w:t>山东邹城</w:t>
                </w:r>
              </w:p>
            </w:tc>
            <w:tc>
              <w:tcPr>
                <w:tcW w:w="838" w:type="pct"/>
                <w:shd w:val="clear" w:color="auto" w:fill="auto"/>
                <w:noWrap/>
                <w:vAlign w:val="center"/>
              </w:tcPr>
              <w:p>
                <w:pPr>
                  <w:jc w:val="center"/>
                  <w:rPr>
                    <w:rFonts w:ascii="宋体" w:hAnsi="宋体" w:cs="宋体"/>
                    <w:color w:val="000000"/>
                  </w:rPr>
                </w:pPr>
                <w:r>
                  <w:rPr>
                    <w:rFonts w:ascii="宋体" w:hAnsi="宋体" w:cs="宋体" w:hint="eastAsia"/>
                  </w:rPr>
                  <w:t>5,100万元</w:t>
                </w:r>
              </w:p>
            </w:tc>
            <w:tc>
              <w:tcPr>
                <w:tcW w:w="1348" w:type="pct"/>
                <w:shd w:val="clear" w:color="auto" w:fill="auto"/>
                <w:noWrap/>
                <w:vAlign w:val="center"/>
              </w:tcPr>
              <w:p>
                <w:pPr>
                  <w:rPr>
                    <w:rFonts w:ascii="宋体" w:hAnsi="宋体" w:cs="宋体"/>
                    <w:color w:val="000000"/>
                  </w:rPr>
                </w:pPr>
                <w:r>
                  <w:rPr>
                    <w:rFonts w:ascii="宋体" w:hAnsi="宋体" w:cs="宋体" w:hint="eastAsia"/>
                  </w:rPr>
                  <w:t>橡胶输送带、电缆制造</w:t>
                </w:r>
              </w:p>
            </w:tc>
            <w:tc>
              <w:tcPr>
                <w:tcW w:w="476" w:type="pct"/>
                <w:shd w:val="clear" w:color="auto" w:fill="auto"/>
                <w:noWrap/>
                <w:vAlign w:val="center"/>
              </w:tcPr>
              <w:p>
                <w:pPr>
                  <w:jc w:val="center"/>
                  <w:rPr>
                    <w:rFonts w:ascii="宋体" w:hAnsi="宋体" w:cs="宋体"/>
                    <w:color w:val="000000"/>
                  </w:rPr>
                </w:pPr>
                <w:r>
                  <w:rPr>
                    <w:rFonts w:ascii="宋体" w:hAnsi="宋体" w:cs="宋体" w:hint="eastAsia"/>
                  </w:rPr>
                  <w:t>100</w:t>
                </w:r>
              </w:p>
            </w:tc>
          </w:tr>
          <w:tr>
            <w:trPr>
              <w:trHeight w:val="397"/>
              <w:jc w:val="center"/>
            </w:trPr>
            <w:tc>
              <w:tcPr>
                <w:tcW w:w="1813" w:type="pct"/>
                <w:shd w:val="clear" w:color="auto" w:fill="auto"/>
                <w:noWrap/>
                <w:vAlign w:val="center"/>
              </w:tcPr>
              <w:p>
                <w:pPr>
                  <w:rPr>
                    <w:rFonts w:ascii="宋体" w:hAnsi="宋体" w:cs="宋体"/>
                    <w:color w:val="000000"/>
                  </w:rPr>
                </w:pPr>
                <w:r>
                  <w:rPr>
                    <w:rFonts w:ascii="宋体" w:hAnsi="宋体" w:cs="宋体" w:hint="eastAsia"/>
                  </w:rPr>
                  <w:t>山东兖矿智能制造有限公司</w:t>
                </w:r>
              </w:p>
            </w:tc>
            <w:tc>
              <w:tcPr>
                <w:tcW w:w="525" w:type="pct"/>
                <w:shd w:val="clear" w:color="auto" w:fill="auto"/>
                <w:noWrap/>
                <w:vAlign w:val="center"/>
              </w:tcPr>
              <w:p>
                <w:pPr>
                  <w:jc w:val="center"/>
                  <w:rPr>
                    <w:rFonts w:ascii="宋体" w:hAnsi="宋体" w:cs="宋体"/>
                    <w:color w:val="000000"/>
                  </w:rPr>
                </w:pPr>
                <w:r>
                  <w:rPr>
                    <w:rFonts w:ascii="宋体" w:hAnsi="宋体" w:cs="宋体" w:hint="eastAsia"/>
                  </w:rPr>
                  <w:t>山东邹城</w:t>
                </w:r>
              </w:p>
            </w:tc>
            <w:tc>
              <w:tcPr>
                <w:tcW w:w="838" w:type="pct"/>
                <w:shd w:val="clear" w:color="auto" w:fill="auto"/>
                <w:noWrap/>
                <w:vAlign w:val="center"/>
              </w:tcPr>
              <w:p>
                <w:pPr>
                  <w:jc w:val="center"/>
                  <w:rPr>
                    <w:rFonts w:ascii="宋体" w:hAnsi="宋体" w:cs="宋体"/>
                    <w:color w:val="000000"/>
                  </w:rPr>
                </w:pPr>
                <w:r>
                  <w:rPr>
                    <w:rFonts w:ascii="宋体" w:hAnsi="宋体" w:cs="宋体" w:hint="eastAsia"/>
                  </w:rPr>
                  <w:t>120,000万元</w:t>
                </w:r>
              </w:p>
            </w:tc>
            <w:tc>
              <w:tcPr>
                <w:tcW w:w="1348" w:type="pct"/>
                <w:shd w:val="clear" w:color="auto" w:fill="auto"/>
                <w:noWrap/>
                <w:vAlign w:val="center"/>
              </w:tcPr>
              <w:p>
                <w:pPr>
                  <w:rPr>
                    <w:rFonts w:ascii="宋体" w:hAnsi="宋体" w:cs="宋体"/>
                    <w:color w:val="000000"/>
                  </w:rPr>
                </w:pPr>
                <w:r>
                  <w:rPr>
                    <w:rFonts w:ascii="宋体" w:hAnsi="宋体" w:cs="宋体" w:hint="eastAsia"/>
                  </w:rPr>
                  <w:t>设备制造、修理</w:t>
                </w:r>
              </w:p>
            </w:tc>
            <w:tc>
              <w:tcPr>
                <w:tcW w:w="476" w:type="pct"/>
                <w:shd w:val="clear" w:color="auto" w:fill="auto"/>
                <w:noWrap/>
                <w:vAlign w:val="center"/>
              </w:tcPr>
              <w:p>
                <w:pPr>
                  <w:jc w:val="center"/>
                  <w:rPr>
                    <w:rFonts w:ascii="宋体" w:hAnsi="宋体" w:cs="宋体"/>
                    <w:color w:val="000000"/>
                  </w:rPr>
                </w:pPr>
                <w:r>
                  <w:rPr>
                    <w:rFonts w:ascii="宋体" w:hAnsi="宋体" w:cs="宋体" w:hint="eastAsia"/>
                  </w:rPr>
                  <w:t>100</w:t>
                </w:r>
              </w:p>
            </w:tc>
          </w:tr>
          <w:tr>
            <w:trPr>
              <w:trHeight w:val="397"/>
              <w:jc w:val="center"/>
            </w:trPr>
            <w:tc>
              <w:tcPr>
                <w:tcW w:w="1813" w:type="pct"/>
                <w:shd w:val="clear" w:color="auto" w:fill="auto"/>
                <w:noWrap/>
                <w:vAlign w:val="center"/>
              </w:tcPr>
              <w:p>
                <w:pPr>
                  <w:rPr>
                    <w:rFonts w:ascii="宋体" w:hAnsi="宋体" w:cs="宋体"/>
                    <w:color w:val="000000"/>
                  </w:rPr>
                </w:pPr>
                <w:r>
                  <w:rPr>
                    <w:rFonts w:ascii="宋体" w:hAnsi="宋体" w:cs="宋体" w:hint="eastAsia"/>
                  </w:rPr>
                  <w:t>山东兖矿集团长龙电缆制造有限公司</w:t>
                </w:r>
              </w:p>
            </w:tc>
            <w:tc>
              <w:tcPr>
                <w:tcW w:w="525" w:type="pct"/>
                <w:shd w:val="clear" w:color="auto" w:fill="auto"/>
                <w:noWrap/>
                <w:vAlign w:val="center"/>
              </w:tcPr>
              <w:p>
                <w:pPr>
                  <w:jc w:val="center"/>
                  <w:rPr>
                    <w:rFonts w:ascii="宋体" w:hAnsi="宋体" w:cs="宋体"/>
                    <w:color w:val="000000"/>
                  </w:rPr>
                </w:pPr>
                <w:r>
                  <w:rPr>
                    <w:rFonts w:ascii="宋体" w:hAnsi="宋体" w:cs="宋体" w:hint="eastAsia"/>
                  </w:rPr>
                  <w:t>山东邹城</w:t>
                </w:r>
              </w:p>
            </w:tc>
            <w:tc>
              <w:tcPr>
                <w:tcW w:w="838" w:type="pct"/>
                <w:shd w:val="clear" w:color="auto" w:fill="auto"/>
                <w:noWrap/>
                <w:vAlign w:val="center"/>
              </w:tcPr>
              <w:p>
                <w:pPr>
                  <w:jc w:val="center"/>
                  <w:rPr>
                    <w:rFonts w:ascii="宋体" w:hAnsi="宋体" w:cs="宋体"/>
                    <w:color w:val="000000"/>
                  </w:rPr>
                </w:pPr>
                <w:r>
                  <w:rPr>
                    <w:rFonts w:ascii="宋体" w:hAnsi="宋体" w:cs="宋体" w:hint="eastAsia"/>
                  </w:rPr>
                  <w:t>2,000万元</w:t>
                </w:r>
              </w:p>
            </w:tc>
            <w:tc>
              <w:tcPr>
                <w:tcW w:w="1348" w:type="pct"/>
                <w:shd w:val="clear" w:color="auto" w:fill="auto"/>
                <w:noWrap/>
                <w:vAlign w:val="center"/>
              </w:tcPr>
              <w:p>
                <w:pPr>
                  <w:rPr>
                    <w:rFonts w:ascii="宋体" w:hAnsi="宋体" w:cs="宋体"/>
                    <w:color w:val="000000"/>
                  </w:rPr>
                </w:pPr>
                <w:r>
                  <w:rPr>
                    <w:rFonts w:ascii="宋体" w:hAnsi="宋体" w:cs="宋体" w:hint="eastAsia"/>
                  </w:rPr>
                  <w:t>电缆、电线、电缆附件及原料的制造，销售</w:t>
                </w:r>
              </w:p>
            </w:tc>
            <w:tc>
              <w:tcPr>
                <w:tcW w:w="476" w:type="pct"/>
                <w:shd w:val="clear" w:color="auto" w:fill="auto"/>
                <w:noWrap/>
                <w:vAlign w:val="center"/>
              </w:tcPr>
              <w:p>
                <w:pPr>
                  <w:jc w:val="center"/>
                  <w:rPr>
                    <w:rFonts w:ascii="宋体" w:hAnsi="宋体" w:cs="宋体"/>
                    <w:color w:val="000000"/>
                  </w:rPr>
                </w:pPr>
                <w:r>
                  <w:rPr>
                    <w:rFonts w:ascii="宋体" w:hAnsi="宋体" w:cs="宋体" w:hint="eastAsia"/>
                  </w:rPr>
                  <w:t>95</w:t>
                </w:r>
              </w:p>
            </w:tc>
          </w:tr>
          <w:tr>
            <w:trPr>
              <w:trHeight w:val="397"/>
              <w:jc w:val="center"/>
            </w:trPr>
            <w:tc>
              <w:tcPr>
                <w:tcW w:w="1813" w:type="pct"/>
                <w:shd w:val="clear" w:color="auto" w:fill="auto"/>
                <w:noWrap/>
                <w:vAlign w:val="center"/>
              </w:tcPr>
              <w:p>
                <w:pPr>
                  <w:rPr>
                    <w:rFonts w:ascii="宋体" w:hAnsi="宋体" w:cs="宋体"/>
                    <w:color w:val="000000"/>
                  </w:rPr>
                </w:pPr>
                <w:r>
                  <w:rPr>
                    <w:rFonts w:ascii="宋体" w:hAnsi="宋体" w:cs="宋体" w:hint="eastAsia"/>
                    <w:color w:val="000000"/>
                  </w:rPr>
                  <w:t>山东博创凯盛工业科技有限公司</w:t>
                </w:r>
              </w:p>
            </w:tc>
            <w:tc>
              <w:tcPr>
                <w:tcW w:w="525" w:type="pct"/>
                <w:shd w:val="clear" w:color="auto" w:fill="auto"/>
                <w:noWrap/>
                <w:vAlign w:val="center"/>
              </w:tcPr>
              <w:p>
                <w:pPr>
                  <w:jc w:val="center"/>
                  <w:rPr>
                    <w:rFonts w:ascii="宋体" w:hAnsi="宋体" w:cs="宋体"/>
                    <w:color w:val="000000"/>
                  </w:rPr>
                </w:pPr>
                <w:r>
                  <w:rPr>
                    <w:rFonts w:ascii="宋体" w:hAnsi="宋体" w:cs="宋体" w:hint="eastAsia"/>
                  </w:rPr>
                  <w:t>山东邹城</w:t>
                </w:r>
              </w:p>
            </w:tc>
            <w:tc>
              <w:tcPr>
                <w:tcW w:w="838" w:type="pct"/>
                <w:shd w:val="clear" w:color="auto" w:fill="auto"/>
                <w:noWrap/>
                <w:vAlign w:val="center"/>
              </w:tcPr>
              <w:p>
                <w:pPr>
                  <w:jc w:val="center"/>
                  <w:rPr>
                    <w:rFonts w:ascii="宋体" w:hAnsi="宋体" w:cs="宋体"/>
                    <w:color w:val="000000"/>
                  </w:rPr>
                </w:pPr>
                <w:r>
                  <w:rPr>
                    <w:rFonts w:ascii="宋体" w:hAnsi="宋体" w:cs="宋体" w:hint="eastAsia"/>
                  </w:rPr>
                  <w:t>10,000万元</w:t>
                </w:r>
              </w:p>
            </w:tc>
            <w:tc>
              <w:tcPr>
                <w:tcW w:w="1348" w:type="pct"/>
                <w:shd w:val="clear" w:color="auto" w:fill="auto"/>
                <w:noWrap/>
                <w:vAlign w:val="center"/>
              </w:tcPr>
              <w:p>
                <w:pPr>
                  <w:rPr>
                    <w:rFonts w:ascii="宋体" w:hAnsi="宋体" w:cs="宋体"/>
                    <w:color w:val="000000"/>
                  </w:rPr>
                </w:pPr>
                <w:r>
                  <w:rPr>
                    <w:rFonts w:ascii="宋体" w:hAnsi="宋体" w:cs="宋体" w:hint="eastAsia"/>
                  </w:rPr>
                  <w:t>矿山机械制造</w:t>
                </w:r>
              </w:p>
            </w:tc>
            <w:tc>
              <w:tcPr>
                <w:tcW w:w="476" w:type="pct"/>
                <w:shd w:val="clear" w:color="auto" w:fill="auto"/>
                <w:noWrap/>
                <w:vAlign w:val="center"/>
              </w:tcPr>
              <w:p>
                <w:pPr>
                  <w:jc w:val="center"/>
                  <w:rPr>
                    <w:rFonts w:ascii="宋体" w:hAnsi="宋体" w:cs="宋体"/>
                    <w:color w:val="000000"/>
                  </w:rPr>
                </w:pPr>
                <w:r>
                  <w:rPr>
                    <w:rFonts w:ascii="宋体" w:hAnsi="宋体" w:cs="宋体" w:hint="eastAsia"/>
                  </w:rPr>
                  <w:t>50</w:t>
                </w:r>
              </w:p>
            </w:tc>
          </w:tr>
          <w:tr>
            <w:trPr>
              <w:trHeight w:val="397"/>
              <w:jc w:val="center"/>
            </w:trPr>
            <w:tc>
              <w:tcPr>
                <w:tcW w:w="1813" w:type="pct"/>
                <w:shd w:val="clear" w:color="auto" w:fill="auto"/>
                <w:noWrap/>
                <w:vAlign w:val="center"/>
              </w:tcPr>
              <w:p>
                <w:pPr>
                  <w:rPr>
                    <w:rFonts w:ascii="宋体" w:hAnsi="宋体" w:cs="宋体"/>
                    <w:color w:val="000000"/>
                  </w:rPr>
                </w:pPr>
                <w:r>
                  <w:rPr>
                    <w:rFonts w:ascii="宋体" w:hAnsi="宋体" w:cs="宋体" w:hint="eastAsia"/>
                    <w:color w:val="000000"/>
                  </w:rPr>
                  <w:t>兖矿东华装备制造（泰安）有限公司</w:t>
                </w:r>
              </w:p>
            </w:tc>
            <w:tc>
              <w:tcPr>
                <w:tcW w:w="525" w:type="pct"/>
                <w:shd w:val="clear" w:color="auto" w:fill="auto"/>
                <w:noWrap/>
                <w:vAlign w:val="center"/>
              </w:tcPr>
              <w:p>
                <w:pPr>
                  <w:jc w:val="center"/>
                  <w:rPr>
                    <w:rFonts w:ascii="宋体" w:hAnsi="宋体" w:cs="宋体"/>
                    <w:color w:val="000000"/>
                  </w:rPr>
                </w:pPr>
                <w:r>
                  <w:rPr>
                    <w:rFonts w:ascii="宋体" w:hAnsi="宋体" w:cs="宋体" w:hint="eastAsia"/>
                    <w:color w:val="000000"/>
                  </w:rPr>
                  <w:t>山东泰安</w:t>
                </w:r>
              </w:p>
            </w:tc>
            <w:tc>
              <w:tcPr>
                <w:tcW w:w="838" w:type="pct"/>
                <w:shd w:val="clear" w:color="auto" w:fill="auto"/>
                <w:noWrap/>
                <w:vAlign w:val="center"/>
              </w:tcPr>
              <w:p>
                <w:pPr>
                  <w:jc w:val="center"/>
                  <w:rPr>
                    <w:rFonts w:ascii="宋体" w:hAnsi="宋体" w:cs="宋体"/>
                    <w:color w:val="000000"/>
                  </w:rPr>
                </w:pPr>
                <w:r>
                  <w:rPr>
                    <w:rFonts w:ascii="宋体" w:hAnsi="宋体" w:cs="宋体" w:hint="eastAsia"/>
                    <w:color w:val="000000"/>
                  </w:rPr>
                  <w:t>30,000万元</w:t>
                </w:r>
              </w:p>
            </w:tc>
            <w:tc>
              <w:tcPr>
                <w:tcW w:w="1348" w:type="pct"/>
                <w:shd w:val="clear" w:color="auto" w:fill="auto"/>
                <w:noWrap/>
                <w:vAlign w:val="center"/>
              </w:tcPr>
              <w:p>
                <w:pPr>
                  <w:rPr>
                    <w:rFonts w:ascii="宋体" w:hAnsi="宋体" w:cs="宋体"/>
                    <w:color w:val="000000"/>
                  </w:rPr>
                </w:pPr>
                <w:r>
                  <w:rPr>
                    <w:rFonts w:ascii="宋体" w:hAnsi="宋体" w:cs="宋体" w:hint="eastAsia"/>
                  </w:rPr>
                  <w:t>矿山机械制造</w:t>
                </w:r>
              </w:p>
            </w:tc>
            <w:tc>
              <w:tcPr>
                <w:tcW w:w="476" w:type="pct"/>
                <w:shd w:val="clear" w:color="auto" w:fill="auto"/>
                <w:noWrap/>
                <w:vAlign w:val="center"/>
              </w:tcPr>
              <w:p>
                <w:pPr>
                  <w:jc w:val="center"/>
                  <w:rPr>
                    <w:rFonts w:ascii="宋体" w:hAnsi="宋体" w:cs="宋体"/>
                    <w:color w:val="000000"/>
                  </w:rPr>
                </w:pPr>
                <w:r>
                  <w:rPr>
                    <w:rFonts w:ascii="宋体" w:hAnsi="宋体" w:cs="宋体" w:hint="eastAsia"/>
                  </w:rPr>
                  <w:t>100</w:t>
                </w:r>
              </w:p>
            </w:tc>
          </w:tr>
        </w:tbl>
        <w:p>
          <w:pPr>
            <w:autoSpaceDE w:val="0"/>
            <w:autoSpaceDN w:val="0"/>
            <w:adjustRightInd w:val="0"/>
            <w:spacing w:line="360" w:lineRule="exact"/>
            <w:ind w:firstLineChars="200" w:firstLine="420"/>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5)兖煤菏泽能化有限公司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煤菏泽能化有限公司（以下简称“菏泽能化”）系由本集团、煤炭工业济南设计研究院有限公司、山东省煤炭地质局于2002年10月共同出资设立之公司，实收资本60,000万元，本集团持有其95.67%股权；2007年7月，菏泽能化增资扩股，注册资本增加至150,000万元，本集团股权占比增加至96.67%。2010年5月，本集团对菏泽能化增资150,000万元，注册资本增加至300,000万元，本集团股权占比增加至98.33%。公司法人营业执照统一社会信用代码：91370000754456581B，法定代表人：齐俊铭，主要从事巨野煤田煤炭开采及销售。</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菏泽能化主要控股子公司如下：</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58|0|desc|||0|1"/>
          </w:tblPr>
          <w:tblGrid>
            <w:gridCol w:w="2382"/>
            <w:gridCol w:w="1085"/>
            <w:gridCol w:w="2172"/>
            <w:gridCol w:w="1735"/>
            <w:gridCol w:w="1449"/>
          </w:tblGrid>
          <w:tr>
            <w:trPr>
              <w:trHeight w:val="397"/>
              <w:tblHeader/>
              <w:jc w:val="center"/>
            </w:trPr>
            <w:tc>
              <w:tcPr>
                <w:tcW w:w="1350"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lastRenderedPageBreak/>
                  <w:t>公司名称</w:t>
                </w:r>
              </w:p>
            </w:tc>
            <w:tc>
              <w:tcPr>
                <w:tcW w:w="615"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1231"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注册资本（人民币）</w:t>
                </w:r>
              </w:p>
            </w:tc>
            <w:tc>
              <w:tcPr>
                <w:tcW w:w="983"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821"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1350" w:type="pct"/>
                <w:shd w:val="clear" w:color="auto" w:fill="auto"/>
                <w:noWrap/>
                <w:vAlign w:val="center"/>
              </w:tcPr>
              <w:p>
                <w:pPr>
                  <w:rPr>
                    <w:rFonts w:ascii="宋体" w:hAnsi="宋体" w:cs="宋体"/>
                    <w:color w:val="000000"/>
                  </w:rPr>
                </w:pPr>
                <w:r>
                  <w:rPr>
                    <w:rFonts w:ascii="宋体" w:hAnsi="宋体" w:cs="宋体" w:hint="eastAsia"/>
                    <w:color w:val="000000"/>
                  </w:rPr>
                  <w:t>兖煤万福能源有限公司</w:t>
                </w:r>
              </w:p>
            </w:tc>
            <w:tc>
              <w:tcPr>
                <w:tcW w:w="615" w:type="pct"/>
                <w:shd w:val="clear" w:color="auto" w:fill="auto"/>
                <w:noWrap/>
                <w:vAlign w:val="center"/>
              </w:tcPr>
              <w:p>
                <w:pPr>
                  <w:jc w:val="center"/>
                  <w:rPr>
                    <w:rFonts w:ascii="宋体" w:hAnsi="宋体" w:cs="宋体"/>
                    <w:color w:val="000000"/>
                  </w:rPr>
                </w:pPr>
                <w:r>
                  <w:rPr>
                    <w:rFonts w:ascii="宋体" w:hAnsi="宋体" w:cs="宋体" w:hint="eastAsia"/>
                    <w:color w:val="000000"/>
                  </w:rPr>
                  <w:t>山东菏泽</w:t>
                </w:r>
              </w:p>
            </w:tc>
            <w:tc>
              <w:tcPr>
                <w:tcW w:w="1231" w:type="pct"/>
                <w:shd w:val="clear" w:color="auto" w:fill="auto"/>
                <w:noWrap/>
                <w:vAlign w:val="center"/>
              </w:tcPr>
              <w:p>
                <w:pPr>
                  <w:jc w:val="center"/>
                  <w:rPr>
                    <w:rFonts w:ascii="宋体" w:hAnsi="宋体" w:cs="宋体"/>
                    <w:color w:val="000000"/>
                  </w:rPr>
                </w:pPr>
                <w:r>
                  <w:rPr>
                    <w:rFonts w:ascii="宋体" w:hAnsi="宋体" w:cs="宋体" w:hint="eastAsia"/>
                    <w:color w:val="000000"/>
                  </w:rPr>
                  <w:t>60,000万元</w:t>
                </w:r>
              </w:p>
            </w:tc>
            <w:tc>
              <w:tcPr>
                <w:tcW w:w="983" w:type="pct"/>
                <w:shd w:val="clear" w:color="auto" w:fill="auto"/>
                <w:noWrap/>
                <w:vAlign w:val="center"/>
              </w:tcPr>
              <w:p>
                <w:pPr>
                  <w:rPr>
                    <w:rFonts w:ascii="宋体" w:hAnsi="宋体" w:cs="宋体"/>
                    <w:color w:val="000000"/>
                  </w:rPr>
                </w:pPr>
                <w:r>
                  <w:rPr>
                    <w:rFonts w:ascii="宋体" w:hAnsi="宋体" w:cs="宋体" w:hint="eastAsia"/>
                  </w:rPr>
                  <w:t>煤炭开采及销售</w:t>
                </w:r>
              </w:p>
            </w:tc>
            <w:tc>
              <w:tcPr>
                <w:tcW w:w="821" w:type="pct"/>
                <w:shd w:val="clear" w:color="auto" w:fill="auto"/>
                <w:noWrap/>
                <w:vAlign w:val="center"/>
              </w:tcPr>
              <w:p>
                <w:pPr>
                  <w:jc w:val="center"/>
                  <w:rPr>
                    <w:rFonts w:ascii="宋体" w:hAnsi="宋体" w:cs="宋体"/>
                    <w:color w:val="000000"/>
                  </w:rPr>
                </w:pPr>
                <w:r>
                  <w:rPr>
                    <w:rFonts w:ascii="宋体" w:hAnsi="宋体" w:cs="宋体" w:hint="eastAsia"/>
                  </w:rPr>
                  <w:t>90</w:t>
                </w:r>
              </w:p>
            </w:tc>
          </w:tr>
        </w:tbl>
        <w:p>
          <w:pPr>
            <w:autoSpaceDE w:val="0"/>
            <w:autoSpaceDN w:val="0"/>
            <w:adjustRightInd w:val="0"/>
            <w:spacing w:line="360" w:lineRule="exact"/>
            <w:ind w:firstLineChars="200" w:firstLine="420"/>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6)内蒙古昊盛煤业有限公司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内蒙古昊盛煤业有限公司（以下简称“昊盛公司”），由上海华谊控股集团有限公司、内蒙古久泰新材料科技股份有限公司、鄂尔多斯市金诚泰化工有限责任公司于2010年3月共同出资组建，初期注册资本15,000万元，后经多次股权变动及增资，截至2025年12月31日，昊盛公司注册资本为164,996万元，本集团持股比例为42.64%。公司法人营业执照统一社会信用代码：91150627552806504A，法定代表人为张全明，主要从事煤炭洗选、销售；煤矿机械设备及配件销售。</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7)兖矿能源集团国际贸易有限公司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能源集团国际贸易有限公司（以下简称“兖矿国贸”）系本集团全资子公司，成立于2015年9月17日，注册资本30,000万元。公司法人营业执照统一社会信用代码：91370100353493269U，法定代表人为董志华，主要从事煤炭、煤矿机械设备及配件、采矿专用设备、金属材料、矿用材料等的销售。</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8)兖矿瑞丰国际贸易有限公司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瑞丰国际贸易有限公司（以下简称“兖矿瑞丰”）系本集团和青岛世纪瑞丰集团有限公司共同出资设立，成立于2015年11月，注册资本20,000万元，其中本集团出资10,200万元，持股51%，青岛世纪瑞丰集团有限公司出资9,800万元，持股49%。公司法人营业执照统一社会信用代码：91370220MA3COK0918，法定代表人为任义飞，主要从事国际贸易、转口贸易、区内企业之间贸易及贸易项下加工整理等。</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兖矿瑞丰主要控股子公司如下：</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60|0|desc|||0|1"/>
          </w:tblPr>
          <w:tblGrid>
            <w:gridCol w:w="2942"/>
            <w:gridCol w:w="1212"/>
            <w:gridCol w:w="1581"/>
            <w:gridCol w:w="1581"/>
            <w:gridCol w:w="1507"/>
          </w:tblGrid>
          <w:tr>
            <w:trPr>
              <w:trHeight w:val="397"/>
              <w:tblHeader/>
              <w:jc w:val="center"/>
            </w:trPr>
            <w:tc>
              <w:tcPr>
                <w:tcW w:w="1667"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公司名称</w:t>
                </w:r>
              </w:p>
            </w:tc>
            <w:tc>
              <w:tcPr>
                <w:tcW w:w="687"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896"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tc>
            <w:tc>
              <w:tcPr>
                <w:tcW w:w="896"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854"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1667" w:type="pct"/>
                <w:shd w:val="clear" w:color="auto" w:fill="auto"/>
                <w:noWrap/>
                <w:vAlign w:val="center"/>
              </w:tcPr>
              <w:p>
                <w:pPr>
                  <w:rPr>
                    <w:rFonts w:ascii="宋体" w:hAnsi="宋体" w:cs="宋体"/>
                    <w:color w:val="000000"/>
                  </w:rPr>
                </w:pPr>
                <w:r>
                  <w:rPr>
                    <w:rFonts w:ascii="宋体" w:hAnsi="宋体" w:cs="宋体" w:hint="eastAsia"/>
                    <w:color w:val="000000"/>
                  </w:rPr>
                  <w:t>兖矿瑞丰（香港）有限公司</w:t>
                </w:r>
              </w:p>
            </w:tc>
            <w:tc>
              <w:tcPr>
                <w:tcW w:w="687" w:type="pct"/>
                <w:shd w:val="clear" w:color="auto" w:fill="auto"/>
                <w:noWrap/>
                <w:vAlign w:val="center"/>
              </w:tcPr>
              <w:p>
                <w:pPr>
                  <w:jc w:val="center"/>
                  <w:rPr>
                    <w:rFonts w:ascii="宋体" w:hAnsi="宋体" w:cs="宋体"/>
                    <w:color w:val="000000"/>
                  </w:rPr>
                </w:pPr>
                <w:r>
                  <w:rPr>
                    <w:rFonts w:ascii="宋体" w:hAnsi="宋体" w:cs="宋体" w:hint="eastAsia"/>
                    <w:color w:val="000000"/>
                  </w:rPr>
                  <w:t>香港</w:t>
                </w:r>
              </w:p>
            </w:tc>
            <w:tc>
              <w:tcPr>
                <w:tcW w:w="896" w:type="pct"/>
                <w:shd w:val="clear" w:color="auto" w:fill="auto"/>
                <w:noWrap/>
                <w:vAlign w:val="center"/>
              </w:tcPr>
              <w:p>
                <w:pPr>
                  <w:jc w:val="center"/>
                  <w:rPr>
                    <w:rFonts w:ascii="宋体" w:hAnsi="宋体" w:cs="宋体"/>
                    <w:color w:val="000000"/>
                  </w:rPr>
                </w:pPr>
                <w:r>
                  <w:rPr>
                    <w:rFonts w:ascii="宋体" w:hAnsi="宋体" w:cs="宋体" w:hint="eastAsia"/>
                    <w:color w:val="000000"/>
                  </w:rPr>
                  <w:t>128.52万美元</w:t>
                </w:r>
              </w:p>
            </w:tc>
            <w:tc>
              <w:tcPr>
                <w:tcW w:w="896" w:type="pct"/>
                <w:shd w:val="clear" w:color="auto" w:fill="auto"/>
                <w:noWrap/>
                <w:vAlign w:val="center"/>
              </w:tcPr>
              <w:p>
                <w:pPr>
                  <w:rPr>
                    <w:rFonts w:ascii="宋体" w:hAnsi="宋体" w:cs="宋体"/>
                    <w:color w:val="000000"/>
                  </w:rPr>
                </w:pPr>
                <w:r>
                  <w:rPr>
                    <w:rFonts w:ascii="宋体" w:hAnsi="宋体" w:cs="宋体" w:hint="eastAsia"/>
                    <w:color w:val="000000"/>
                  </w:rPr>
                  <w:t>国际贸易</w:t>
                </w:r>
              </w:p>
            </w:tc>
            <w:tc>
              <w:tcPr>
                <w:tcW w:w="854" w:type="pct"/>
                <w:shd w:val="clear" w:color="auto" w:fill="auto"/>
                <w:noWrap/>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1667" w:type="pct"/>
                <w:shd w:val="clear" w:color="auto" w:fill="auto"/>
                <w:noWrap/>
                <w:vAlign w:val="center"/>
              </w:tcPr>
              <w:p>
                <w:pPr>
                  <w:rPr>
                    <w:rFonts w:ascii="宋体" w:hAnsi="宋体" w:cs="宋体"/>
                    <w:color w:val="000000"/>
                  </w:rPr>
                </w:pPr>
                <w:r>
                  <w:rPr>
                    <w:rFonts w:ascii="宋体" w:hAnsi="宋体" w:cs="宋体" w:hint="eastAsia"/>
                    <w:color w:val="000000"/>
                  </w:rPr>
                  <w:t>兖矿再生资源有限公司</w:t>
                </w:r>
              </w:p>
            </w:tc>
            <w:tc>
              <w:tcPr>
                <w:tcW w:w="687" w:type="pct"/>
                <w:shd w:val="clear" w:color="auto" w:fill="auto"/>
                <w:noWrap/>
                <w:vAlign w:val="center"/>
              </w:tcPr>
              <w:p>
                <w:pPr>
                  <w:jc w:val="center"/>
                  <w:rPr>
                    <w:rFonts w:ascii="宋体" w:hAnsi="宋体" w:cs="宋体"/>
                    <w:color w:val="000000"/>
                  </w:rPr>
                </w:pPr>
                <w:r>
                  <w:rPr>
                    <w:rFonts w:ascii="宋体" w:hAnsi="宋体" w:cs="宋体" w:hint="eastAsia"/>
                    <w:color w:val="000000"/>
                  </w:rPr>
                  <w:t>山东邹城</w:t>
                </w:r>
              </w:p>
            </w:tc>
            <w:tc>
              <w:tcPr>
                <w:tcW w:w="896" w:type="pct"/>
                <w:shd w:val="clear" w:color="auto" w:fill="auto"/>
                <w:noWrap/>
                <w:vAlign w:val="center"/>
              </w:tcPr>
              <w:p>
                <w:pPr>
                  <w:jc w:val="center"/>
                  <w:rPr>
                    <w:rFonts w:ascii="宋体" w:hAnsi="宋体" w:cs="宋体"/>
                    <w:color w:val="000000"/>
                  </w:rPr>
                </w:pPr>
                <w:r>
                  <w:rPr>
                    <w:rFonts w:ascii="宋体" w:hAnsi="宋体" w:cs="宋体" w:hint="eastAsia"/>
                    <w:color w:val="000000"/>
                  </w:rPr>
                  <w:t>10,000万元</w:t>
                </w:r>
              </w:p>
            </w:tc>
            <w:tc>
              <w:tcPr>
                <w:tcW w:w="896" w:type="pct"/>
                <w:shd w:val="clear" w:color="auto" w:fill="auto"/>
                <w:noWrap/>
                <w:vAlign w:val="center"/>
              </w:tcPr>
              <w:p>
                <w:pPr>
                  <w:rPr>
                    <w:rFonts w:ascii="宋体" w:hAnsi="宋体" w:cs="宋体"/>
                    <w:color w:val="000000"/>
                  </w:rPr>
                </w:pPr>
                <w:r>
                  <w:rPr>
                    <w:rFonts w:ascii="宋体" w:hAnsi="宋体" w:cs="宋体" w:hint="eastAsia"/>
                    <w:color w:val="000000"/>
                  </w:rPr>
                  <w:t>再生资源回收</w:t>
                </w:r>
              </w:p>
            </w:tc>
            <w:tc>
              <w:tcPr>
                <w:tcW w:w="854" w:type="pct"/>
                <w:shd w:val="clear" w:color="auto" w:fill="auto"/>
                <w:noWrap/>
                <w:vAlign w:val="center"/>
              </w:tcPr>
              <w:p>
                <w:pPr>
                  <w:jc w:val="center"/>
                  <w:rPr>
                    <w:rFonts w:ascii="宋体" w:hAnsi="宋体" w:cs="宋体"/>
                    <w:color w:val="000000"/>
                  </w:rPr>
                </w:pPr>
                <w:r>
                  <w:rPr>
                    <w:rFonts w:ascii="宋体" w:hAnsi="宋体" w:cs="宋体" w:hint="eastAsia"/>
                    <w:color w:val="000000"/>
                  </w:rPr>
                  <w:t>70</w:t>
                </w:r>
              </w:p>
            </w:tc>
          </w:tr>
        </w:tbl>
        <w:p>
          <w:pPr>
            <w:autoSpaceDE w:val="0"/>
            <w:autoSpaceDN w:val="0"/>
            <w:adjustRightInd w:val="0"/>
            <w:spacing w:line="360" w:lineRule="exact"/>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9)兖矿融资租赁有限公司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融资租赁有限公司（以下简称“兖矿融资租赁”）成立于2014年5月，由本集团及本集团之子公司香港公司共同出资设立，注册资本合计50,000万元，其中本集团以现金出资37,500万元，持股75%；香港公司以现金出资12,500万元，持股25%。</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2015年，兖矿融资租赁增加注册资本156,000万元，增资后注册资本合计206,000万元，其中本集团增资112,500万元，增资后为150,000万元，持股72.82%；香港公司增资37,500万元，增资后为50,000万元，持股24.27%；第三方山东永正投资发展有限公司投资6,000万元，持股2.91%。2016年，兖矿融资租赁增加注册资本500,000万元，增资后注册资本合计706,000万元。2017年，</w:t>
          </w:r>
          <w:r>
            <w:rPr>
              <w:rFonts w:ascii="宋体" w:hAnsi="宋体" w:cs="宋体" w:hint="eastAsia"/>
            </w:rPr>
            <w:lastRenderedPageBreak/>
            <w:t>兖矿融资租赁召开第一届董事会第四次会议，通过议案同意山东永正投资发展有限公司于2017年12月31日减资6,000万元，减资后为700,000万元，本集团持股100%。公司法人营业执照统一社会信用代码：91310000094402317P，法定代表人：李峰，主要从事融资租赁业务等。</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兖矿融资租赁主要控股子公司如下：</w:t>
          </w:r>
        </w:p>
        <w:tbl>
          <w:tblPr>
            <w:tblStyle w:val="Style100"/>
            <w:tblW w:w="544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61|0|desc|||0|1"/>
          </w:tblPr>
          <w:tblGrid>
            <w:gridCol w:w="3156"/>
            <w:gridCol w:w="849"/>
            <w:gridCol w:w="1424"/>
            <w:gridCol w:w="3366"/>
            <w:gridCol w:w="1377"/>
          </w:tblGrid>
          <w:tr>
            <w:trPr>
              <w:trHeight w:val="397"/>
              <w:tblHeader/>
              <w:jc w:val="center"/>
            </w:trPr>
            <w:tc>
              <w:tcPr>
                <w:tcW w:w="1350"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公司名称</w:t>
                </w:r>
              </w:p>
            </w:tc>
            <w:tc>
              <w:tcPr>
                <w:tcW w:w="442"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741"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tc>
            <w:tc>
              <w:tcPr>
                <w:tcW w:w="1751"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716"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1350" w:type="pct"/>
                <w:shd w:val="clear" w:color="auto" w:fill="auto"/>
                <w:noWrap/>
                <w:vAlign w:val="center"/>
              </w:tcPr>
              <w:p>
                <w:pPr>
                  <w:rPr>
                    <w:rFonts w:ascii="宋体" w:hAnsi="宋体" w:cs="宋体"/>
                    <w:color w:val="000000"/>
                  </w:rPr>
                </w:pPr>
                <w:r>
                  <w:rPr>
                    <w:rFonts w:ascii="宋体" w:hAnsi="宋体" w:cs="宋体" w:hint="eastAsia"/>
                    <w:color w:val="000000"/>
                  </w:rPr>
                  <w:t>兖矿融资租赁（泰安）有限公司</w:t>
                </w:r>
              </w:p>
            </w:tc>
            <w:tc>
              <w:tcPr>
                <w:tcW w:w="442" w:type="pct"/>
                <w:shd w:val="clear" w:color="auto" w:fill="auto"/>
                <w:noWrap/>
                <w:vAlign w:val="center"/>
              </w:tcPr>
              <w:p>
                <w:pPr>
                  <w:jc w:val="center"/>
                  <w:rPr>
                    <w:rFonts w:ascii="宋体" w:hAnsi="宋体" w:cs="宋体"/>
                    <w:color w:val="000000"/>
                  </w:rPr>
                </w:pPr>
                <w:r>
                  <w:rPr>
                    <w:rFonts w:ascii="宋体" w:hAnsi="宋体" w:cs="宋体" w:hint="eastAsia"/>
                    <w:color w:val="000000"/>
                  </w:rPr>
                  <w:t>山东</w:t>
                </w:r>
              </w:p>
            </w:tc>
            <w:tc>
              <w:tcPr>
                <w:tcW w:w="741" w:type="pct"/>
                <w:shd w:val="clear" w:color="auto" w:fill="auto"/>
                <w:noWrap/>
                <w:vAlign w:val="center"/>
              </w:tcPr>
              <w:p>
                <w:pPr>
                  <w:jc w:val="center"/>
                  <w:rPr>
                    <w:rFonts w:ascii="宋体" w:hAnsi="宋体" w:cs="宋体"/>
                    <w:color w:val="000000"/>
                  </w:rPr>
                </w:pPr>
                <w:r>
                  <w:rPr>
                    <w:rFonts w:ascii="宋体" w:hAnsi="宋体" w:cs="宋体" w:hint="eastAsia"/>
                    <w:color w:val="000000"/>
                  </w:rPr>
                  <w:t>159,300万元</w:t>
                </w:r>
              </w:p>
            </w:tc>
            <w:tc>
              <w:tcPr>
                <w:tcW w:w="1751" w:type="pct"/>
                <w:shd w:val="clear" w:color="auto" w:fill="auto"/>
                <w:noWrap/>
                <w:vAlign w:val="center"/>
              </w:tcPr>
              <w:p>
                <w:pPr>
                  <w:rPr>
                    <w:rFonts w:ascii="宋体" w:hAnsi="宋体" w:cs="宋体"/>
                    <w:color w:val="000000"/>
                  </w:rPr>
                </w:pPr>
                <w:r>
                  <w:rPr>
                    <w:rFonts w:ascii="宋体" w:hAnsi="宋体" w:cs="宋体" w:hint="eastAsia"/>
                  </w:rPr>
                  <w:t>商务服务业</w:t>
                </w:r>
              </w:p>
            </w:tc>
            <w:tc>
              <w:tcPr>
                <w:tcW w:w="716" w:type="pct"/>
                <w:shd w:val="clear" w:color="auto" w:fill="auto"/>
                <w:noWrap/>
                <w:vAlign w:val="center"/>
              </w:tcPr>
              <w:p>
                <w:pPr>
                  <w:jc w:val="center"/>
                  <w:rPr>
                    <w:rFonts w:ascii="宋体" w:hAnsi="宋体" w:cs="宋体"/>
                    <w:color w:val="000000"/>
                  </w:rPr>
                </w:pPr>
                <w:r>
                  <w:rPr>
                    <w:rFonts w:ascii="宋体" w:hAnsi="宋体" w:cs="宋体" w:hint="eastAsia"/>
                  </w:rPr>
                  <w:t>28.25</w:t>
                </w:r>
              </w:p>
            </w:tc>
          </w:tr>
          <w:tr>
            <w:trPr>
              <w:trHeight w:val="397"/>
              <w:jc w:val="center"/>
            </w:trPr>
            <w:tc>
              <w:tcPr>
                <w:tcW w:w="1350" w:type="pct"/>
                <w:shd w:val="clear" w:color="auto" w:fill="auto"/>
                <w:noWrap/>
                <w:vAlign w:val="center"/>
              </w:tcPr>
              <w:p>
                <w:pPr>
                  <w:rPr>
                    <w:rFonts w:ascii="宋体" w:hAnsi="宋体" w:cs="宋体"/>
                    <w:color w:val="000000"/>
                  </w:rPr>
                </w:pPr>
                <w:r>
                  <w:rPr>
                    <w:rFonts w:ascii="宋体" w:hAnsi="宋体" w:cs="宋体" w:hint="eastAsia"/>
                    <w:color w:val="000000"/>
                  </w:rPr>
                  <w:t>中垠（香港）有限公司</w:t>
                </w:r>
              </w:p>
            </w:tc>
            <w:tc>
              <w:tcPr>
                <w:tcW w:w="442" w:type="pct"/>
                <w:shd w:val="clear" w:color="auto" w:fill="auto"/>
                <w:noWrap/>
                <w:vAlign w:val="center"/>
              </w:tcPr>
              <w:p>
                <w:pPr>
                  <w:jc w:val="center"/>
                  <w:rPr>
                    <w:rFonts w:ascii="宋体" w:hAnsi="宋体" w:cs="宋体"/>
                    <w:color w:val="000000"/>
                  </w:rPr>
                </w:pPr>
                <w:r>
                  <w:rPr>
                    <w:rFonts w:ascii="宋体" w:hAnsi="宋体" w:cs="宋体" w:hint="eastAsia"/>
                    <w:color w:val="000000"/>
                  </w:rPr>
                  <w:t>香港</w:t>
                </w:r>
              </w:p>
            </w:tc>
            <w:tc>
              <w:tcPr>
                <w:tcW w:w="741" w:type="pct"/>
                <w:shd w:val="clear" w:color="auto" w:fill="auto"/>
                <w:noWrap/>
                <w:vAlign w:val="center"/>
              </w:tcPr>
              <w:p>
                <w:pPr>
                  <w:jc w:val="center"/>
                  <w:rPr>
                    <w:rFonts w:ascii="宋体" w:hAnsi="宋体" w:cs="宋体"/>
                    <w:color w:val="000000"/>
                  </w:rPr>
                </w:pPr>
                <w:r>
                  <w:rPr>
                    <w:rFonts w:ascii="宋体" w:hAnsi="宋体" w:cs="宋体" w:hint="eastAsia"/>
                    <w:color w:val="000000"/>
                  </w:rPr>
                  <w:t>9,857万元</w:t>
                </w:r>
              </w:p>
            </w:tc>
            <w:tc>
              <w:tcPr>
                <w:tcW w:w="1751" w:type="pct"/>
                <w:shd w:val="clear" w:color="auto" w:fill="auto"/>
                <w:noWrap/>
                <w:vAlign w:val="center"/>
              </w:tcPr>
              <w:p>
                <w:pPr>
                  <w:rPr>
                    <w:rFonts w:ascii="宋体" w:hAnsi="宋体" w:cs="宋体"/>
                    <w:color w:val="000000"/>
                  </w:rPr>
                </w:pPr>
                <w:r>
                  <w:rPr>
                    <w:rFonts w:ascii="宋体" w:hAnsi="宋体" w:cs="宋体" w:hint="eastAsia"/>
                  </w:rPr>
                  <w:t>融资租赁、租赁、贸易、商业保理</w:t>
                </w:r>
              </w:p>
            </w:tc>
            <w:tc>
              <w:tcPr>
                <w:tcW w:w="716" w:type="pct"/>
                <w:shd w:val="clear" w:color="auto" w:fill="auto"/>
                <w:noWrap/>
                <w:vAlign w:val="center"/>
              </w:tcPr>
              <w:p>
                <w:pPr>
                  <w:jc w:val="center"/>
                  <w:rPr>
                    <w:rFonts w:ascii="宋体" w:hAnsi="宋体" w:cs="宋体"/>
                    <w:color w:val="000000"/>
                  </w:rPr>
                </w:pPr>
                <w:r>
                  <w:rPr>
                    <w:rFonts w:ascii="宋体" w:hAnsi="宋体" w:cs="宋体" w:hint="eastAsia"/>
                  </w:rPr>
                  <w:t>100</w:t>
                </w:r>
              </w:p>
            </w:tc>
          </w:tr>
          <w:tr>
            <w:trPr>
              <w:trHeight w:val="397"/>
              <w:jc w:val="center"/>
            </w:trPr>
            <w:tc>
              <w:tcPr>
                <w:tcW w:w="1350" w:type="pct"/>
                <w:shd w:val="clear" w:color="auto" w:fill="auto"/>
                <w:noWrap/>
                <w:vAlign w:val="center"/>
              </w:tcPr>
              <w:p>
                <w:pPr>
                  <w:rPr>
                    <w:rFonts w:ascii="宋体" w:hAnsi="宋体" w:cs="宋体"/>
                    <w:color w:val="000000"/>
                  </w:rPr>
                </w:pPr>
                <w:r>
                  <w:rPr>
                    <w:rFonts w:ascii="宋体" w:hAnsi="宋体" w:cs="宋体" w:hint="eastAsia"/>
                    <w:color w:val="000000"/>
                  </w:rPr>
                  <w:t>兖矿商业保理（上海）有限公司</w:t>
                </w:r>
              </w:p>
            </w:tc>
            <w:tc>
              <w:tcPr>
                <w:tcW w:w="442" w:type="pct"/>
                <w:shd w:val="clear" w:color="auto" w:fill="auto"/>
                <w:noWrap/>
                <w:vAlign w:val="center"/>
              </w:tcPr>
              <w:p>
                <w:pPr>
                  <w:jc w:val="center"/>
                  <w:rPr>
                    <w:rFonts w:ascii="宋体" w:hAnsi="宋体" w:cs="宋体"/>
                    <w:color w:val="000000"/>
                  </w:rPr>
                </w:pPr>
                <w:r>
                  <w:rPr>
                    <w:rFonts w:ascii="宋体" w:hAnsi="宋体" w:cs="宋体" w:hint="eastAsia"/>
                    <w:color w:val="000000"/>
                  </w:rPr>
                  <w:t>上海</w:t>
                </w:r>
              </w:p>
            </w:tc>
            <w:tc>
              <w:tcPr>
                <w:tcW w:w="741" w:type="pct"/>
                <w:shd w:val="clear" w:color="auto" w:fill="auto"/>
                <w:noWrap/>
                <w:vAlign w:val="center"/>
              </w:tcPr>
              <w:p>
                <w:pPr>
                  <w:jc w:val="center"/>
                  <w:rPr>
                    <w:rFonts w:ascii="宋体" w:hAnsi="宋体" w:cs="宋体"/>
                    <w:color w:val="000000"/>
                  </w:rPr>
                </w:pPr>
                <w:r>
                  <w:rPr>
                    <w:rFonts w:ascii="宋体" w:hAnsi="宋体" w:cs="宋体" w:hint="eastAsia"/>
                    <w:color w:val="000000"/>
                  </w:rPr>
                  <w:t>9,800万元</w:t>
                </w:r>
              </w:p>
            </w:tc>
            <w:tc>
              <w:tcPr>
                <w:tcW w:w="1751" w:type="pct"/>
                <w:shd w:val="clear" w:color="auto" w:fill="auto"/>
                <w:noWrap/>
                <w:vAlign w:val="center"/>
              </w:tcPr>
              <w:p>
                <w:pPr>
                  <w:rPr>
                    <w:rFonts w:ascii="宋体" w:hAnsi="宋体" w:cs="宋体"/>
                    <w:color w:val="000000"/>
                  </w:rPr>
                </w:pPr>
                <w:r>
                  <w:rPr>
                    <w:rFonts w:ascii="宋体" w:hAnsi="宋体" w:cs="宋体" w:hint="eastAsia"/>
                  </w:rPr>
                  <w:t>融资租赁、租赁、贸易、商业保理</w:t>
                </w:r>
              </w:p>
            </w:tc>
            <w:tc>
              <w:tcPr>
                <w:tcW w:w="716" w:type="pct"/>
                <w:shd w:val="clear" w:color="auto" w:fill="auto"/>
                <w:noWrap/>
                <w:vAlign w:val="center"/>
              </w:tcPr>
              <w:p>
                <w:pPr>
                  <w:jc w:val="center"/>
                  <w:rPr>
                    <w:rFonts w:ascii="宋体" w:hAnsi="宋体" w:cs="宋体"/>
                    <w:color w:val="000000"/>
                  </w:rPr>
                </w:pPr>
                <w:r>
                  <w:rPr>
                    <w:rFonts w:ascii="宋体" w:hAnsi="宋体" w:cs="宋体" w:hint="eastAsia"/>
                  </w:rPr>
                  <w:t>100</w:t>
                </w:r>
              </w:p>
            </w:tc>
          </w:tr>
          <w:tr>
            <w:trPr>
              <w:trHeight w:val="397"/>
              <w:jc w:val="center"/>
            </w:trPr>
            <w:tc>
              <w:tcPr>
                <w:tcW w:w="1350" w:type="pct"/>
                <w:shd w:val="clear" w:color="auto" w:fill="auto"/>
                <w:noWrap/>
                <w:vAlign w:val="center"/>
              </w:tcPr>
              <w:p>
                <w:pPr>
                  <w:rPr>
                    <w:rFonts w:ascii="宋体" w:hAnsi="宋体" w:cs="宋体"/>
                    <w:color w:val="000000"/>
                  </w:rPr>
                </w:pPr>
                <w:r>
                  <w:rPr>
                    <w:rFonts w:ascii="宋体" w:hAnsi="宋体" w:cs="宋体" w:hint="eastAsia"/>
                    <w:color w:val="000000"/>
                  </w:rPr>
                  <w:t>兖矿商业保理（天津）有限公司</w:t>
                </w:r>
              </w:p>
            </w:tc>
            <w:tc>
              <w:tcPr>
                <w:tcW w:w="442" w:type="pct"/>
                <w:shd w:val="clear" w:color="auto" w:fill="auto"/>
                <w:noWrap/>
                <w:vAlign w:val="center"/>
              </w:tcPr>
              <w:p>
                <w:pPr>
                  <w:jc w:val="center"/>
                  <w:rPr>
                    <w:rFonts w:ascii="宋体" w:hAnsi="宋体" w:cs="宋体"/>
                    <w:color w:val="000000"/>
                  </w:rPr>
                </w:pPr>
                <w:r>
                  <w:rPr>
                    <w:rFonts w:ascii="宋体" w:hAnsi="宋体" w:cs="宋体" w:hint="eastAsia"/>
                    <w:color w:val="000000"/>
                  </w:rPr>
                  <w:t>天津</w:t>
                </w:r>
              </w:p>
            </w:tc>
            <w:tc>
              <w:tcPr>
                <w:tcW w:w="741" w:type="pct"/>
                <w:shd w:val="clear" w:color="auto" w:fill="auto"/>
                <w:noWrap/>
                <w:vAlign w:val="center"/>
              </w:tcPr>
              <w:p>
                <w:pPr>
                  <w:jc w:val="center"/>
                  <w:rPr>
                    <w:rFonts w:ascii="宋体" w:hAnsi="宋体" w:cs="宋体"/>
                    <w:color w:val="000000"/>
                  </w:rPr>
                </w:pPr>
                <w:r>
                  <w:rPr>
                    <w:rFonts w:ascii="宋体" w:hAnsi="宋体" w:cs="宋体" w:hint="eastAsia"/>
                    <w:color w:val="000000"/>
                  </w:rPr>
                  <w:t>9,000万元</w:t>
                </w:r>
              </w:p>
            </w:tc>
            <w:tc>
              <w:tcPr>
                <w:tcW w:w="1751" w:type="pct"/>
                <w:shd w:val="clear" w:color="auto" w:fill="auto"/>
                <w:noWrap/>
                <w:vAlign w:val="center"/>
              </w:tcPr>
              <w:p>
                <w:pPr>
                  <w:rPr>
                    <w:rFonts w:ascii="宋体" w:hAnsi="宋体" w:cs="宋体"/>
                    <w:color w:val="000000"/>
                  </w:rPr>
                </w:pPr>
                <w:r>
                  <w:rPr>
                    <w:rFonts w:ascii="宋体" w:hAnsi="宋体" w:cs="宋体" w:hint="eastAsia"/>
                  </w:rPr>
                  <w:t>融资租赁、租赁、贸易、商业保理</w:t>
                </w:r>
              </w:p>
            </w:tc>
            <w:tc>
              <w:tcPr>
                <w:tcW w:w="716" w:type="pct"/>
                <w:shd w:val="clear" w:color="auto" w:fill="auto"/>
                <w:noWrap/>
                <w:vAlign w:val="center"/>
              </w:tcPr>
              <w:p>
                <w:pPr>
                  <w:jc w:val="center"/>
                  <w:rPr>
                    <w:rFonts w:ascii="宋体" w:hAnsi="宋体" w:cs="宋体"/>
                    <w:color w:val="000000"/>
                  </w:rPr>
                </w:pPr>
                <w:r>
                  <w:rPr>
                    <w:rFonts w:ascii="宋体" w:hAnsi="宋体" w:cs="宋体" w:hint="eastAsia"/>
                  </w:rPr>
                  <w:t>51</w:t>
                </w:r>
              </w:p>
            </w:tc>
          </w:tr>
        </w:tbl>
        <w:p>
          <w:pPr>
            <w:autoSpaceDE w:val="0"/>
            <w:autoSpaceDN w:val="0"/>
            <w:adjustRightInd w:val="0"/>
            <w:spacing w:line="360" w:lineRule="exact"/>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10)陕西未来能源化工有限公司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陕西未来能源化工有限公司（以下简称“未来能源”）系本集团之子公司，成立于2011年，注册资本540,000万元。公司法人营业执照统一社会信用代码：9161000056714796XP。法定代表人：马洪光，主要从事化工产品、油品的研发，电力生产销售，煤炭开采等。</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未来能源主要控股子公司如下：</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62|0|desc|||0|1"/>
          </w:tblPr>
          <w:tblGrid>
            <w:gridCol w:w="3675"/>
            <w:gridCol w:w="985"/>
            <w:gridCol w:w="1130"/>
            <w:gridCol w:w="1754"/>
            <w:gridCol w:w="1279"/>
          </w:tblGrid>
          <w:tr>
            <w:trPr>
              <w:trHeight w:val="397"/>
              <w:tblHeader/>
              <w:jc w:val="center"/>
            </w:trPr>
            <w:tc>
              <w:tcPr>
                <w:tcW w:w="1925"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公司名称</w:t>
                </w:r>
              </w:p>
            </w:tc>
            <w:tc>
              <w:tcPr>
                <w:tcW w:w="716"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640"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tc>
            <w:tc>
              <w:tcPr>
                <w:tcW w:w="994"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725"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1925" w:type="pct"/>
                <w:shd w:val="clear" w:color="auto" w:fill="auto"/>
                <w:noWrap/>
                <w:vAlign w:val="center"/>
              </w:tcPr>
              <w:p>
                <w:pPr>
                  <w:rPr>
                    <w:rFonts w:ascii="宋体" w:hAnsi="宋体" w:cs="宋体"/>
                    <w:color w:val="000000"/>
                  </w:rPr>
                </w:pPr>
                <w:r>
                  <w:rPr>
                    <w:rFonts w:ascii="宋体" w:hAnsi="宋体" w:cs="宋体" w:hint="eastAsia"/>
                    <w:color w:val="000000"/>
                  </w:rPr>
                  <w:t>陕西未来清洁化学品有限公司</w:t>
                </w:r>
              </w:p>
            </w:tc>
            <w:tc>
              <w:tcPr>
                <w:tcW w:w="716" w:type="pct"/>
                <w:shd w:val="clear" w:color="auto" w:fill="auto"/>
                <w:noWrap/>
                <w:vAlign w:val="center"/>
              </w:tcPr>
              <w:p>
                <w:pPr>
                  <w:jc w:val="center"/>
                  <w:rPr>
                    <w:rFonts w:ascii="宋体" w:hAnsi="宋体" w:cs="宋体"/>
                    <w:color w:val="000000"/>
                  </w:rPr>
                </w:pPr>
                <w:r>
                  <w:rPr>
                    <w:rFonts w:ascii="宋体" w:hAnsi="宋体" w:cs="宋体" w:hint="eastAsia"/>
                  </w:rPr>
                  <w:t>陕西榆林</w:t>
                </w:r>
              </w:p>
            </w:tc>
            <w:tc>
              <w:tcPr>
                <w:tcW w:w="640" w:type="pct"/>
                <w:shd w:val="clear" w:color="auto" w:fill="auto"/>
                <w:noWrap/>
                <w:vAlign w:val="center"/>
              </w:tcPr>
              <w:p>
                <w:pPr>
                  <w:jc w:val="center"/>
                  <w:rPr>
                    <w:rFonts w:ascii="宋体" w:hAnsi="宋体" w:cs="宋体"/>
                    <w:color w:val="000000"/>
                  </w:rPr>
                </w:pPr>
                <w:r>
                  <w:rPr>
                    <w:rFonts w:ascii="宋体" w:hAnsi="宋体" w:cs="宋体" w:hint="eastAsia"/>
                  </w:rPr>
                  <w:t>3,000万元</w:t>
                </w:r>
              </w:p>
            </w:tc>
            <w:tc>
              <w:tcPr>
                <w:tcW w:w="994" w:type="pct"/>
                <w:shd w:val="clear" w:color="auto" w:fill="auto"/>
                <w:noWrap/>
                <w:vAlign w:val="center"/>
              </w:tcPr>
              <w:p>
                <w:pPr>
                  <w:rPr>
                    <w:rFonts w:ascii="宋体" w:hAnsi="宋体" w:cs="宋体"/>
                    <w:color w:val="000000"/>
                  </w:rPr>
                </w:pPr>
                <w:r>
                  <w:rPr>
                    <w:rFonts w:ascii="宋体" w:hAnsi="宋体" w:cs="宋体" w:hint="eastAsia"/>
                  </w:rPr>
                  <w:t>其他合成材料制造</w:t>
                </w:r>
              </w:p>
            </w:tc>
            <w:tc>
              <w:tcPr>
                <w:tcW w:w="725" w:type="pct"/>
                <w:shd w:val="clear" w:color="auto" w:fill="auto"/>
                <w:noWrap/>
                <w:vAlign w:val="center"/>
              </w:tcPr>
              <w:p>
                <w:pPr>
                  <w:jc w:val="center"/>
                  <w:rPr>
                    <w:rFonts w:ascii="宋体" w:hAnsi="宋体" w:cs="宋体"/>
                    <w:color w:val="000000"/>
                  </w:rPr>
                </w:pPr>
                <w:r>
                  <w:rPr>
                    <w:rFonts w:ascii="宋体" w:hAnsi="宋体" w:cs="宋体" w:hint="eastAsia"/>
                  </w:rPr>
                  <w:t>51</w:t>
                </w:r>
              </w:p>
            </w:tc>
          </w:tr>
          <w:tr>
            <w:trPr>
              <w:trHeight w:val="397"/>
              <w:jc w:val="center"/>
            </w:trPr>
            <w:tc>
              <w:tcPr>
                <w:tcW w:w="1925" w:type="pct"/>
                <w:shd w:val="clear" w:color="auto" w:fill="auto"/>
                <w:noWrap/>
                <w:vAlign w:val="center"/>
              </w:tcPr>
              <w:p>
                <w:pPr>
                  <w:rPr>
                    <w:rFonts w:ascii="宋体" w:hAnsi="宋体" w:cs="宋体"/>
                    <w:color w:val="000000"/>
                  </w:rPr>
                </w:pPr>
                <w:r>
                  <w:rPr>
                    <w:rFonts w:ascii="宋体" w:hAnsi="宋体" w:cs="宋体" w:hint="eastAsia"/>
                    <w:color w:val="000000"/>
                  </w:rPr>
                  <w:t>陕西未来清洁油品与化学品销售有限公司</w:t>
                </w:r>
              </w:p>
            </w:tc>
            <w:tc>
              <w:tcPr>
                <w:tcW w:w="716" w:type="pct"/>
                <w:shd w:val="clear" w:color="auto" w:fill="auto"/>
                <w:noWrap/>
                <w:vAlign w:val="center"/>
              </w:tcPr>
              <w:p>
                <w:pPr>
                  <w:jc w:val="center"/>
                  <w:rPr>
                    <w:rFonts w:ascii="宋体" w:hAnsi="宋体" w:cs="宋体"/>
                    <w:color w:val="000000"/>
                  </w:rPr>
                </w:pPr>
                <w:r>
                  <w:rPr>
                    <w:rFonts w:ascii="宋体" w:hAnsi="宋体" w:cs="宋体" w:hint="eastAsia"/>
                  </w:rPr>
                  <w:t>陕西榆林</w:t>
                </w:r>
              </w:p>
            </w:tc>
            <w:tc>
              <w:tcPr>
                <w:tcW w:w="640" w:type="pct"/>
                <w:shd w:val="clear" w:color="auto" w:fill="auto"/>
                <w:noWrap/>
                <w:vAlign w:val="center"/>
              </w:tcPr>
              <w:p>
                <w:pPr>
                  <w:jc w:val="center"/>
                  <w:rPr>
                    <w:rFonts w:ascii="宋体" w:hAnsi="宋体" w:cs="宋体"/>
                    <w:color w:val="000000"/>
                  </w:rPr>
                </w:pPr>
                <w:r>
                  <w:rPr>
                    <w:rFonts w:ascii="宋体" w:hAnsi="宋体" w:cs="宋体" w:hint="eastAsia"/>
                  </w:rPr>
                  <w:t>5,000万元</w:t>
                </w:r>
              </w:p>
            </w:tc>
            <w:tc>
              <w:tcPr>
                <w:tcW w:w="994" w:type="pct"/>
                <w:shd w:val="clear" w:color="auto" w:fill="auto"/>
                <w:noWrap/>
                <w:vAlign w:val="center"/>
              </w:tcPr>
              <w:p>
                <w:pPr>
                  <w:rPr>
                    <w:rFonts w:ascii="宋体" w:hAnsi="宋体" w:cs="宋体"/>
                    <w:color w:val="000000"/>
                  </w:rPr>
                </w:pPr>
                <w:r>
                  <w:rPr>
                    <w:rFonts w:ascii="宋体" w:hAnsi="宋体" w:cs="宋体" w:hint="eastAsia"/>
                  </w:rPr>
                  <w:t>石油及制品批发</w:t>
                </w:r>
              </w:p>
            </w:tc>
            <w:tc>
              <w:tcPr>
                <w:tcW w:w="725" w:type="pct"/>
                <w:shd w:val="clear" w:color="auto" w:fill="auto"/>
                <w:noWrap/>
                <w:vAlign w:val="center"/>
              </w:tcPr>
              <w:p>
                <w:pPr>
                  <w:jc w:val="center"/>
                  <w:rPr>
                    <w:rFonts w:ascii="宋体" w:hAnsi="宋体" w:cs="宋体"/>
                    <w:color w:val="000000"/>
                  </w:rPr>
                </w:pPr>
                <w:r>
                  <w:rPr>
                    <w:rFonts w:ascii="宋体" w:hAnsi="宋体" w:cs="宋体" w:hint="eastAsia"/>
                  </w:rPr>
                  <w:t>100</w:t>
                </w:r>
              </w:p>
            </w:tc>
          </w:tr>
        </w:tbl>
        <w:p>
          <w:pPr>
            <w:autoSpaceDE w:val="0"/>
            <w:autoSpaceDN w:val="0"/>
            <w:adjustRightInd w:val="0"/>
            <w:spacing w:line="360" w:lineRule="exact"/>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11)兖矿鲁南化工有限公司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鲁南化工有限公司（以下简称“鲁南化工”）系本集团之子公司，成立于2007年，注册资本504,069万元。公司法人营业执照统一社会信用代码：913704006644327461。法定代表人：李志远，主要从事化工产品生产、销售等。</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12)内蒙古矿业（集团）有限责任公司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内蒙古矿业（集团）有限责任公司（以下简称“内蒙矿业”）系本集团之子公司，成立于2013年，注册资本699,730万元。公司法人营业执照统一社会信用代码：91150000065019167L。本集团于2020年10月与内蒙古地质矿产（集团）有限责任公司（以下简称“地矿集团”）签订《增资协议》，以人民币3,962,290千元认缴内蒙矿业新增注册资本3,568,626千元，本次增资后，本集团、地矿集团持股比例分别51%、49%。法定代表人：张伟。内蒙矿业主要从事对矿产资源的投资与管理、煤炭开采和洗选业等。</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内蒙矿业主要控股子公司如下：</w:t>
          </w:r>
        </w:p>
        <w:tbl>
          <w:tblPr>
            <w:tblStyle w:val="Style100"/>
            <w:tblW w:w="49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63|0|desc|||0|1"/>
          </w:tblPr>
          <w:tblGrid>
            <w:gridCol w:w="2840"/>
            <w:gridCol w:w="833"/>
            <w:gridCol w:w="1104"/>
            <w:gridCol w:w="2840"/>
            <w:gridCol w:w="1069"/>
          </w:tblGrid>
          <w:tr>
            <w:trPr>
              <w:trHeight w:val="397"/>
              <w:tblHeader/>
            </w:trPr>
            <w:tc>
              <w:tcPr>
                <w:tcW w:w="1206"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lastRenderedPageBreak/>
                  <w:t>公司名称</w:t>
                </w:r>
              </w:p>
            </w:tc>
            <w:tc>
              <w:tcPr>
                <w:tcW w:w="612"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824"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tc>
            <w:tc>
              <w:tcPr>
                <w:tcW w:w="1536"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823" w:type="pct"/>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trPr>
            <w:tc>
              <w:tcPr>
                <w:tcW w:w="1206" w:type="pct"/>
                <w:shd w:val="clear" w:color="auto" w:fill="auto"/>
                <w:noWrap/>
                <w:vAlign w:val="center"/>
              </w:tcPr>
              <w:p>
                <w:pPr>
                  <w:jc w:val="both"/>
                  <w:rPr>
                    <w:rFonts w:ascii="宋体" w:hAnsi="宋体" w:cs="宋体"/>
                    <w:color w:val="000000"/>
                  </w:rPr>
                </w:pPr>
                <w:r>
                  <w:rPr>
                    <w:rFonts w:hint="eastAsia"/>
                  </w:rPr>
                  <w:t>乌兰察布市宏大实业有限公司</w:t>
                </w:r>
              </w:p>
            </w:tc>
            <w:tc>
              <w:tcPr>
                <w:tcW w:w="612" w:type="pct"/>
                <w:shd w:val="clear" w:color="auto" w:fill="auto"/>
                <w:noWrap/>
                <w:vAlign w:val="center"/>
              </w:tcPr>
              <w:p>
                <w:pPr>
                  <w:jc w:val="center"/>
                  <w:rPr>
                    <w:rFonts w:ascii="宋体" w:hAnsi="宋体" w:cs="宋体"/>
                    <w:color w:val="000000"/>
                  </w:rPr>
                </w:pPr>
                <w:r>
                  <w:rPr>
                    <w:rFonts w:hint="eastAsia"/>
                  </w:rPr>
                  <w:t>乌兰察布</w:t>
                </w:r>
              </w:p>
            </w:tc>
            <w:tc>
              <w:tcPr>
                <w:tcW w:w="824" w:type="pct"/>
                <w:shd w:val="clear" w:color="auto" w:fill="auto"/>
                <w:noWrap/>
                <w:vAlign w:val="center"/>
              </w:tcPr>
              <w:p>
                <w:pPr>
                  <w:jc w:val="center"/>
                  <w:rPr>
                    <w:rFonts w:ascii="宋体" w:hAnsi="宋体" w:cs="宋体"/>
                    <w:color w:val="000000"/>
                  </w:rPr>
                </w:pPr>
                <w:r>
                  <w:rPr>
                    <w:rFonts w:ascii="宋体" w:hAnsi="宋体" w:hint="eastAsia"/>
                  </w:rPr>
                  <w:t>55,000万元</w:t>
                </w:r>
              </w:p>
            </w:tc>
            <w:tc>
              <w:tcPr>
                <w:tcW w:w="1536" w:type="pct"/>
                <w:shd w:val="clear" w:color="auto" w:fill="auto"/>
                <w:noWrap/>
                <w:vAlign w:val="center"/>
              </w:tcPr>
              <w:p>
                <w:pPr>
                  <w:jc w:val="center"/>
                  <w:rPr>
                    <w:rFonts w:ascii="宋体" w:hAnsi="宋体" w:cs="宋体"/>
                    <w:color w:val="000000"/>
                  </w:rPr>
                </w:pPr>
                <w:r>
                  <w:rPr>
                    <w:rFonts w:ascii="宋体" w:hAnsi="宋体" w:hint="eastAsia"/>
                  </w:rPr>
                  <w:t>运营电力</w:t>
                </w:r>
              </w:p>
            </w:tc>
            <w:tc>
              <w:tcPr>
                <w:tcW w:w="823" w:type="pct"/>
                <w:shd w:val="clear" w:color="auto" w:fill="auto"/>
                <w:noWrap/>
                <w:vAlign w:val="center"/>
              </w:tcPr>
              <w:p>
                <w:pPr>
                  <w:jc w:val="center"/>
                  <w:rPr>
                    <w:rFonts w:ascii="宋体" w:hAnsi="宋体" w:cs="宋体"/>
                    <w:color w:val="000000"/>
                  </w:rPr>
                </w:pPr>
                <w:r>
                  <w:rPr>
                    <w:rFonts w:ascii="宋体" w:hAnsi="宋体" w:hint="eastAsia"/>
                  </w:rPr>
                  <w:t>100</w:t>
                </w:r>
              </w:p>
            </w:tc>
          </w:tr>
          <w:tr>
            <w:trPr>
              <w:trHeight w:val="397"/>
            </w:trPr>
            <w:tc>
              <w:tcPr>
                <w:tcW w:w="1206" w:type="pct"/>
                <w:shd w:val="clear" w:color="auto" w:fill="auto"/>
                <w:noWrap/>
                <w:vAlign w:val="center"/>
              </w:tcPr>
              <w:p>
                <w:pPr>
                  <w:jc w:val="both"/>
                  <w:rPr>
                    <w:rFonts w:ascii="宋体" w:hAnsi="宋体" w:cs="宋体"/>
                    <w:color w:val="000000"/>
                  </w:rPr>
                </w:pPr>
                <w:r>
                  <w:rPr>
                    <w:rFonts w:hint="eastAsia"/>
                  </w:rPr>
                  <w:t>鄂尔多斯市锋威光电有限公司</w:t>
                </w:r>
              </w:p>
            </w:tc>
            <w:tc>
              <w:tcPr>
                <w:tcW w:w="612" w:type="pct"/>
                <w:shd w:val="clear" w:color="auto" w:fill="auto"/>
                <w:noWrap/>
                <w:vAlign w:val="center"/>
              </w:tcPr>
              <w:p>
                <w:pPr>
                  <w:jc w:val="center"/>
                  <w:rPr>
                    <w:rFonts w:ascii="宋体" w:hAnsi="宋体" w:cs="宋体"/>
                    <w:color w:val="000000"/>
                  </w:rPr>
                </w:pPr>
                <w:r>
                  <w:rPr>
                    <w:rFonts w:hint="eastAsia"/>
                  </w:rPr>
                  <w:t>鄂尔多斯</w:t>
                </w:r>
              </w:p>
            </w:tc>
            <w:tc>
              <w:tcPr>
                <w:tcW w:w="824" w:type="pct"/>
                <w:shd w:val="clear" w:color="auto" w:fill="auto"/>
                <w:noWrap/>
                <w:vAlign w:val="center"/>
              </w:tcPr>
              <w:p>
                <w:pPr>
                  <w:jc w:val="center"/>
                  <w:rPr>
                    <w:rFonts w:ascii="宋体" w:hAnsi="宋体" w:cs="宋体"/>
                    <w:color w:val="000000"/>
                  </w:rPr>
                </w:pPr>
                <w:r>
                  <w:rPr>
                    <w:rFonts w:ascii="宋体" w:hAnsi="宋体" w:hint="eastAsia"/>
                  </w:rPr>
                  <w:t>18,000万元</w:t>
                </w:r>
              </w:p>
            </w:tc>
            <w:tc>
              <w:tcPr>
                <w:tcW w:w="1536" w:type="pct"/>
                <w:shd w:val="clear" w:color="auto" w:fill="auto"/>
                <w:noWrap/>
                <w:vAlign w:val="center"/>
              </w:tcPr>
              <w:p>
                <w:pPr>
                  <w:jc w:val="center"/>
                  <w:rPr>
                    <w:rFonts w:ascii="宋体" w:hAnsi="宋体" w:cs="宋体"/>
                    <w:color w:val="000000"/>
                  </w:rPr>
                </w:pPr>
                <w:r>
                  <w:rPr>
                    <w:rFonts w:ascii="宋体" w:hAnsi="宋体" w:hint="eastAsia"/>
                  </w:rPr>
                  <w:t>太阳能、风能发电项目建设及生产运营</w:t>
                </w:r>
              </w:p>
            </w:tc>
            <w:tc>
              <w:tcPr>
                <w:tcW w:w="823" w:type="pct"/>
                <w:shd w:val="clear" w:color="auto" w:fill="auto"/>
                <w:noWrap/>
                <w:vAlign w:val="center"/>
              </w:tcPr>
              <w:p>
                <w:pPr>
                  <w:jc w:val="center"/>
                  <w:rPr>
                    <w:rFonts w:ascii="宋体" w:hAnsi="宋体" w:cs="宋体"/>
                    <w:color w:val="000000"/>
                  </w:rPr>
                </w:pPr>
                <w:r>
                  <w:rPr>
                    <w:rFonts w:ascii="宋体" w:hAnsi="宋体" w:hint="eastAsia"/>
                  </w:rPr>
                  <w:t>100</w:t>
                </w:r>
              </w:p>
            </w:tc>
          </w:tr>
          <w:tr>
            <w:trPr>
              <w:trHeight w:val="397"/>
            </w:trPr>
            <w:tc>
              <w:tcPr>
                <w:tcW w:w="1206" w:type="pct"/>
                <w:shd w:val="clear" w:color="auto" w:fill="auto"/>
                <w:noWrap/>
                <w:vAlign w:val="center"/>
              </w:tcPr>
              <w:p>
                <w:pPr>
                  <w:jc w:val="both"/>
                  <w:rPr>
                    <w:rFonts w:ascii="宋体" w:hAnsi="宋体" w:cs="宋体"/>
                    <w:color w:val="000000"/>
                  </w:rPr>
                </w:pPr>
                <w:r>
                  <w:rPr>
                    <w:rFonts w:hint="eastAsia"/>
                  </w:rPr>
                  <w:t>兖矿（兴和）钼业有限公司</w:t>
                </w:r>
              </w:p>
            </w:tc>
            <w:tc>
              <w:tcPr>
                <w:tcW w:w="612" w:type="pct"/>
                <w:shd w:val="clear" w:color="auto" w:fill="auto"/>
                <w:noWrap/>
                <w:vAlign w:val="center"/>
              </w:tcPr>
              <w:p>
                <w:pPr>
                  <w:jc w:val="center"/>
                  <w:rPr>
                    <w:rFonts w:ascii="宋体" w:hAnsi="宋体" w:cs="宋体"/>
                    <w:color w:val="000000"/>
                  </w:rPr>
                </w:pPr>
                <w:r>
                  <w:rPr>
                    <w:rFonts w:hint="eastAsia"/>
                  </w:rPr>
                  <w:t>乌兰察布</w:t>
                </w:r>
              </w:p>
            </w:tc>
            <w:tc>
              <w:tcPr>
                <w:tcW w:w="824" w:type="pct"/>
                <w:shd w:val="clear" w:color="auto" w:fill="auto"/>
                <w:noWrap/>
                <w:vAlign w:val="center"/>
              </w:tcPr>
              <w:p>
                <w:pPr>
                  <w:jc w:val="center"/>
                  <w:rPr>
                    <w:rFonts w:ascii="宋体" w:hAnsi="宋体" w:cs="宋体"/>
                    <w:color w:val="000000"/>
                  </w:rPr>
                </w:pPr>
                <w:r>
                  <w:rPr>
                    <w:rFonts w:ascii="宋体" w:hAnsi="宋体" w:hint="eastAsia"/>
                  </w:rPr>
                  <w:t>40,000万元</w:t>
                </w:r>
              </w:p>
            </w:tc>
            <w:tc>
              <w:tcPr>
                <w:tcW w:w="1536" w:type="pct"/>
                <w:shd w:val="clear" w:color="auto" w:fill="auto"/>
                <w:noWrap/>
                <w:vAlign w:val="center"/>
              </w:tcPr>
              <w:p>
                <w:pPr>
                  <w:jc w:val="center"/>
                  <w:rPr>
                    <w:rFonts w:ascii="宋体" w:hAnsi="宋体" w:cs="宋体"/>
                    <w:color w:val="000000"/>
                  </w:rPr>
                </w:pPr>
                <w:r>
                  <w:rPr>
                    <w:rFonts w:ascii="宋体" w:hAnsi="宋体" w:hint="eastAsia"/>
                  </w:rPr>
                  <w:t>投资与资产管理</w:t>
                </w:r>
              </w:p>
            </w:tc>
            <w:tc>
              <w:tcPr>
                <w:tcW w:w="823" w:type="pct"/>
                <w:shd w:val="clear" w:color="auto" w:fill="auto"/>
                <w:noWrap/>
                <w:vAlign w:val="center"/>
              </w:tcPr>
              <w:p>
                <w:pPr>
                  <w:jc w:val="center"/>
                  <w:rPr>
                    <w:rFonts w:ascii="宋体" w:hAnsi="宋体" w:cs="宋体"/>
                    <w:color w:val="000000"/>
                  </w:rPr>
                </w:pPr>
                <w:r>
                  <w:rPr>
                    <w:rFonts w:ascii="宋体" w:hAnsi="宋体" w:hint="eastAsia"/>
                  </w:rPr>
                  <w:t>100</w:t>
                </w:r>
              </w:p>
            </w:tc>
          </w:tr>
          <w:tr>
            <w:trPr>
              <w:trHeight w:val="397"/>
            </w:trPr>
            <w:tc>
              <w:tcPr>
                <w:tcW w:w="1206" w:type="pct"/>
                <w:shd w:val="clear" w:color="auto" w:fill="auto"/>
                <w:noWrap/>
                <w:vAlign w:val="center"/>
              </w:tcPr>
              <w:p>
                <w:pPr>
                  <w:jc w:val="both"/>
                  <w:rPr>
                    <w:rFonts w:ascii="宋体" w:hAnsi="宋体" w:cs="宋体"/>
                    <w:color w:val="000000"/>
                  </w:rPr>
                </w:pPr>
                <w:r>
                  <w:rPr>
                    <w:rFonts w:hint="eastAsia"/>
                  </w:rPr>
                  <w:t>鄂尔多斯文化产业园文化教育有限公司</w:t>
                </w:r>
              </w:p>
            </w:tc>
            <w:tc>
              <w:tcPr>
                <w:tcW w:w="612" w:type="pct"/>
                <w:shd w:val="clear" w:color="auto" w:fill="auto"/>
                <w:noWrap/>
                <w:vAlign w:val="center"/>
              </w:tcPr>
              <w:p>
                <w:pPr>
                  <w:jc w:val="center"/>
                  <w:rPr>
                    <w:rFonts w:ascii="宋体" w:hAnsi="宋体" w:cs="宋体"/>
                    <w:color w:val="000000"/>
                  </w:rPr>
                </w:pPr>
                <w:r>
                  <w:rPr>
                    <w:rFonts w:hint="eastAsia"/>
                  </w:rPr>
                  <w:t>鄂尔多斯</w:t>
                </w:r>
              </w:p>
            </w:tc>
            <w:tc>
              <w:tcPr>
                <w:tcW w:w="824" w:type="pct"/>
                <w:shd w:val="clear" w:color="auto" w:fill="auto"/>
                <w:noWrap/>
                <w:vAlign w:val="center"/>
              </w:tcPr>
              <w:p>
                <w:pPr>
                  <w:jc w:val="center"/>
                  <w:rPr>
                    <w:rFonts w:ascii="宋体" w:hAnsi="宋体" w:cs="宋体"/>
                    <w:color w:val="000000"/>
                  </w:rPr>
                </w:pPr>
                <w:r>
                  <w:rPr>
                    <w:rFonts w:ascii="宋体" w:hAnsi="宋体" w:hint="eastAsia"/>
                  </w:rPr>
                  <w:t>20,903万元</w:t>
                </w:r>
              </w:p>
            </w:tc>
            <w:tc>
              <w:tcPr>
                <w:tcW w:w="1536" w:type="pct"/>
                <w:shd w:val="clear" w:color="auto" w:fill="auto"/>
                <w:noWrap/>
                <w:vAlign w:val="center"/>
              </w:tcPr>
              <w:p>
                <w:pPr>
                  <w:jc w:val="center"/>
                  <w:rPr>
                    <w:rFonts w:ascii="宋体" w:hAnsi="宋体" w:cs="宋体"/>
                    <w:color w:val="000000"/>
                  </w:rPr>
                </w:pPr>
                <w:r>
                  <w:rPr>
                    <w:rFonts w:ascii="宋体" w:hAnsi="宋体" w:hint="eastAsia"/>
                  </w:rPr>
                  <w:t>教育软件研发、活动策划</w:t>
                </w:r>
              </w:p>
            </w:tc>
            <w:tc>
              <w:tcPr>
                <w:tcW w:w="823" w:type="pct"/>
                <w:shd w:val="clear" w:color="auto" w:fill="auto"/>
                <w:noWrap/>
                <w:vAlign w:val="center"/>
              </w:tcPr>
              <w:p>
                <w:pPr>
                  <w:jc w:val="center"/>
                  <w:rPr>
                    <w:rFonts w:ascii="宋体" w:hAnsi="宋体" w:cs="宋体"/>
                    <w:color w:val="000000"/>
                  </w:rPr>
                </w:pPr>
                <w:r>
                  <w:rPr>
                    <w:rFonts w:ascii="宋体" w:hAnsi="宋体" w:hint="eastAsia"/>
                  </w:rPr>
                  <w:t>63.30</w:t>
                </w:r>
              </w:p>
            </w:tc>
          </w:tr>
          <w:tr>
            <w:trPr>
              <w:trHeight w:val="397"/>
            </w:trPr>
            <w:tc>
              <w:tcPr>
                <w:tcW w:w="1206" w:type="pct"/>
                <w:shd w:val="clear" w:color="auto" w:fill="auto"/>
                <w:noWrap/>
                <w:vAlign w:val="center"/>
              </w:tcPr>
              <w:p>
                <w:pPr>
                  <w:jc w:val="both"/>
                  <w:rPr>
                    <w:rFonts w:ascii="宋体" w:hAnsi="宋体" w:cs="宋体"/>
                    <w:color w:val="000000"/>
                  </w:rPr>
                </w:pPr>
                <w:r>
                  <w:rPr>
                    <w:rFonts w:hint="eastAsia"/>
                  </w:rPr>
                  <w:t>内蒙古金控融资租赁有限公司</w:t>
                </w:r>
              </w:p>
            </w:tc>
            <w:tc>
              <w:tcPr>
                <w:tcW w:w="612" w:type="pct"/>
                <w:shd w:val="clear" w:color="auto" w:fill="auto"/>
                <w:noWrap/>
                <w:vAlign w:val="center"/>
              </w:tcPr>
              <w:p>
                <w:pPr>
                  <w:jc w:val="center"/>
                  <w:rPr>
                    <w:rFonts w:ascii="宋体" w:hAnsi="宋体" w:cs="宋体"/>
                    <w:color w:val="000000"/>
                  </w:rPr>
                </w:pPr>
                <w:r>
                  <w:rPr>
                    <w:rFonts w:hint="eastAsia"/>
                  </w:rPr>
                  <w:t>呼伦贝尔</w:t>
                </w:r>
              </w:p>
            </w:tc>
            <w:tc>
              <w:tcPr>
                <w:tcW w:w="824" w:type="pct"/>
                <w:shd w:val="clear" w:color="auto" w:fill="auto"/>
                <w:noWrap/>
                <w:vAlign w:val="center"/>
              </w:tcPr>
              <w:p>
                <w:pPr>
                  <w:jc w:val="center"/>
                  <w:rPr>
                    <w:rFonts w:ascii="宋体" w:hAnsi="宋体" w:cs="宋体"/>
                    <w:color w:val="000000"/>
                  </w:rPr>
                </w:pPr>
                <w:r>
                  <w:rPr>
                    <w:rFonts w:ascii="宋体" w:hAnsi="宋体" w:hint="eastAsia"/>
                  </w:rPr>
                  <w:t>120,000万元</w:t>
                </w:r>
              </w:p>
            </w:tc>
            <w:tc>
              <w:tcPr>
                <w:tcW w:w="1536" w:type="pct"/>
                <w:shd w:val="clear" w:color="auto" w:fill="auto"/>
                <w:noWrap/>
                <w:vAlign w:val="center"/>
              </w:tcPr>
              <w:p>
                <w:pPr>
                  <w:jc w:val="center"/>
                  <w:rPr>
                    <w:rFonts w:ascii="宋体" w:hAnsi="宋体" w:cs="宋体"/>
                    <w:color w:val="000000"/>
                  </w:rPr>
                </w:pPr>
                <w:r>
                  <w:rPr>
                    <w:rFonts w:ascii="宋体" w:hAnsi="宋体" w:hint="eastAsia"/>
                  </w:rPr>
                  <w:t>租赁业务</w:t>
                </w:r>
              </w:p>
            </w:tc>
            <w:tc>
              <w:tcPr>
                <w:tcW w:w="823" w:type="pct"/>
                <w:shd w:val="clear" w:color="auto" w:fill="auto"/>
                <w:noWrap/>
                <w:vAlign w:val="center"/>
              </w:tcPr>
              <w:p>
                <w:pPr>
                  <w:jc w:val="center"/>
                  <w:rPr>
                    <w:rFonts w:ascii="宋体" w:hAnsi="宋体" w:cs="宋体"/>
                    <w:color w:val="000000"/>
                  </w:rPr>
                </w:pPr>
                <w:r>
                  <w:rPr>
                    <w:rFonts w:ascii="宋体" w:hAnsi="宋体" w:hint="eastAsia"/>
                  </w:rPr>
                  <w:t>55</w:t>
                </w:r>
              </w:p>
            </w:tc>
          </w:tr>
          <w:tr>
            <w:trPr>
              <w:trHeight w:val="397"/>
            </w:trPr>
            <w:tc>
              <w:tcPr>
                <w:tcW w:w="1206" w:type="pct"/>
                <w:shd w:val="clear" w:color="auto" w:fill="auto"/>
                <w:noWrap/>
                <w:vAlign w:val="center"/>
              </w:tcPr>
              <w:p>
                <w:pPr>
                  <w:jc w:val="both"/>
                  <w:rPr>
                    <w:rFonts w:ascii="宋体" w:hAnsi="宋体" w:cs="宋体"/>
                    <w:color w:val="000000"/>
                  </w:rPr>
                </w:pPr>
                <w:r>
                  <w:rPr>
                    <w:rFonts w:hint="eastAsia"/>
                  </w:rPr>
                  <w:t>内蒙古伊泰嘎鲁图矿业有限公司</w:t>
                </w:r>
              </w:p>
            </w:tc>
            <w:tc>
              <w:tcPr>
                <w:tcW w:w="612" w:type="pct"/>
                <w:shd w:val="clear" w:color="auto" w:fill="auto"/>
                <w:noWrap/>
                <w:vAlign w:val="center"/>
              </w:tcPr>
              <w:p>
                <w:pPr>
                  <w:jc w:val="center"/>
                  <w:rPr>
                    <w:rFonts w:ascii="宋体" w:hAnsi="宋体" w:cs="宋体"/>
                    <w:color w:val="000000"/>
                  </w:rPr>
                </w:pPr>
                <w:r>
                  <w:rPr>
                    <w:rFonts w:hint="eastAsia"/>
                  </w:rPr>
                  <w:t>鄂尔多斯</w:t>
                </w:r>
              </w:p>
            </w:tc>
            <w:tc>
              <w:tcPr>
                <w:tcW w:w="824" w:type="pct"/>
                <w:shd w:val="clear" w:color="auto" w:fill="auto"/>
                <w:noWrap/>
                <w:vAlign w:val="center"/>
              </w:tcPr>
              <w:p>
                <w:pPr>
                  <w:jc w:val="center"/>
                  <w:rPr>
                    <w:rFonts w:ascii="宋体" w:hAnsi="宋体" w:cs="宋体"/>
                    <w:color w:val="000000"/>
                  </w:rPr>
                </w:pPr>
                <w:r>
                  <w:rPr>
                    <w:rFonts w:ascii="宋体" w:hAnsi="宋体" w:hint="eastAsia"/>
                  </w:rPr>
                  <w:t>100,000万元</w:t>
                </w:r>
              </w:p>
            </w:tc>
            <w:tc>
              <w:tcPr>
                <w:tcW w:w="1536" w:type="pct"/>
                <w:shd w:val="clear" w:color="auto" w:fill="auto"/>
                <w:noWrap/>
                <w:vAlign w:val="center"/>
              </w:tcPr>
              <w:p>
                <w:pPr>
                  <w:jc w:val="center"/>
                  <w:rPr>
                    <w:rFonts w:ascii="宋体" w:hAnsi="宋体" w:cs="宋体"/>
                    <w:color w:val="000000"/>
                  </w:rPr>
                </w:pPr>
                <w:r>
                  <w:rPr>
                    <w:rFonts w:ascii="宋体" w:hAnsi="宋体" w:hint="eastAsia"/>
                  </w:rPr>
                  <w:t>煤炭开采和洗选业</w:t>
                </w:r>
              </w:p>
            </w:tc>
            <w:tc>
              <w:tcPr>
                <w:tcW w:w="823" w:type="pct"/>
                <w:shd w:val="clear" w:color="auto" w:fill="auto"/>
                <w:noWrap/>
                <w:vAlign w:val="center"/>
              </w:tcPr>
              <w:p>
                <w:pPr>
                  <w:jc w:val="center"/>
                  <w:rPr>
                    <w:rFonts w:ascii="宋体" w:hAnsi="宋体" w:cs="宋体"/>
                    <w:color w:val="000000"/>
                  </w:rPr>
                </w:pPr>
                <w:r>
                  <w:rPr>
                    <w:rFonts w:ascii="宋体" w:hAnsi="宋体" w:hint="eastAsia"/>
                  </w:rPr>
                  <w:t>52.77</w:t>
                </w:r>
              </w:p>
            </w:tc>
          </w:tr>
          <w:tr>
            <w:trPr>
              <w:trHeight w:val="397"/>
            </w:trPr>
            <w:tc>
              <w:tcPr>
                <w:tcW w:w="1206" w:type="pct"/>
                <w:shd w:val="clear" w:color="auto" w:fill="auto"/>
                <w:noWrap/>
                <w:vAlign w:val="center"/>
              </w:tcPr>
              <w:p>
                <w:pPr>
                  <w:jc w:val="both"/>
                  <w:rPr>
                    <w:rFonts w:ascii="宋体" w:hAnsi="宋体" w:cs="宋体"/>
                    <w:color w:val="000000"/>
                  </w:rPr>
                </w:pPr>
                <w:r>
                  <w:rPr>
                    <w:rFonts w:hint="eastAsia"/>
                  </w:rPr>
                  <w:t>鄂尔多斯市营盘壕煤炭有限公司</w:t>
                </w:r>
              </w:p>
            </w:tc>
            <w:tc>
              <w:tcPr>
                <w:tcW w:w="612" w:type="pct"/>
                <w:shd w:val="clear" w:color="auto" w:fill="auto"/>
                <w:noWrap/>
                <w:vAlign w:val="center"/>
              </w:tcPr>
              <w:p>
                <w:pPr>
                  <w:jc w:val="center"/>
                  <w:rPr>
                    <w:rFonts w:ascii="宋体" w:hAnsi="宋体" w:cs="宋体"/>
                    <w:color w:val="000000"/>
                  </w:rPr>
                </w:pPr>
                <w:r>
                  <w:rPr>
                    <w:rFonts w:hint="eastAsia"/>
                  </w:rPr>
                  <w:t>鄂尔多斯</w:t>
                </w:r>
              </w:p>
            </w:tc>
            <w:tc>
              <w:tcPr>
                <w:tcW w:w="824" w:type="pct"/>
                <w:shd w:val="clear" w:color="auto" w:fill="auto"/>
                <w:noWrap/>
                <w:vAlign w:val="center"/>
              </w:tcPr>
              <w:p>
                <w:pPr>
                  <w:jc w:val="center"/>
                  <w:rPr>
                    <w:rFonts w:ascii="宋体" w:hAnsi="宋体" w:cs="宋体"/>
                    <w:color w:val="000000"/>
                  </w:rPr>
                </w:pPr>
                <w:r>
                  <w:rPr>
                    <w:rFonts w:ascii="宋体" w:hAnsi="宋体" w:hint="eastAsia"/>
                  </w:rPr>
                  <w:t>300,000万元</w:t>
                </w:r>
              </w:p>
            </w:tc>
            <w:tc>
              <w:tcPr>
                <w:tcW w:w="1536" w:type="pct"/>
                <w:shd w:val="clear" w:color="auto" w:fill="auto"/>
                <w:noWrap/>
                <w:vAlign w:val="center"/>
              </w:tcPr>
              <w:p>
                <w:pPr>
                  <w:jc w:val="center"/>
                  <w:rPr>
                    <w:rFonts w:ascii="宋体" w:hAnsi="宋体" w:cs="宋体"/>
                    <w:color w:val="000000"/>
                  </w:rPr>
                </w:pPr>
                <w:r>
                  <w:rPr>
                    <w:rFonts w:ascii="宋体" w:hAnsi="宋体" w:hint="eastAsia"/>
                  </w:rPr>
                  <w:t>煤炭销售、煤矿机械设备生产与销售</w:t>
                </w:r>
              </w:p>
            </w:tc>
            <w:tc>
              <w:tcPr>
                <w:tcW w:w="823" w:type="pct"/>
                <w:shd w:val="clear" w:color="auto" w:fill="auto"/>
                <w:noWrap/>
                <w:vAlign w:val="center"/>
              </w:tcPr>
              <w:p>
                <w:pPr>
                  <w:jc w:val="center"/>
                  <w:rPr>
                    <w:rFonts w:ascii="宋体" w:hAnsi="宋体" w:cs="宋体"/>
                    <w:color w:val="000000"/>
                  </w:rPr>
                </w:pPr>
                <w:r>
                  <w:rPr>
                    <w:rFonts w:ascii="宋体" w:hAnsi="宋体" w:hint="eastAsia"/>
                  </w:rPr>
                  <w:t>57.75</w:t>
                </w:r>
              </w:p>
            </w:tc>
          </w:tr>
          <w:tr>
            <w:trPr>
              <w:trHeight w:val="397"/>
            </w:trPr>
            <w:tc>
              <w:tcPr>
                <w:tcW w:w="1206" w:type="pct"/>
                <w:shd w:val="clear" w:color="auto" w:fill="auto"/>
                <w:noWrap/>
                <w:vAlign w:val="center"/>
              </w:tcPr>
              <w:p>
                <w:pPr>
                  <w:jc w:val="both"/>
                  <w:rPr>
                    <w:rFonts w:ascii="宋体" w:hAnsi="宋体" w:cs="宋体"/>
                    <w:color w:val="000000"/>
                  </w:rPr>
                </w:pPr>
                <w:r>
                  <w:rPr>
                    <w:rFonts w:hint="eastAsia"/>
                  </w:rPr>
                  <w:t>内蒙古博珢泰煤炭有限公司</w:t>
                </w:r>
              </w:p>
            </w:tc>
            <w:tc>
              <w:tcPr>
                <w:tcW w:w="612" w:type="pct"/>
                <w:shd w:val="clear" w:color="auto" w:fill="auto"/>
                <w:noWrap/>
                <w:vAlign w:val="center"/>
              </w:tcPr>
              <w:p>
                <w:pPr>
                  <w:jc w:val="center"/>
                  <w:rPr>
                    <w:rFonts w:ascii="宋体" w:hAnsi="宋体" w:cs="宋体"/>
                    <w:color w:val="000000"/>
                  </w:rPr>
                </w:pPr>
                <w:r>
                  <w:rPr>
                    <w:rFonts w:hint="eastAsia"/>
                  </w:rPr>
                  <w:t>鄂尔多斯</w:t>
                </w:r>
              </w:p>
            </w:tc>
            <w:tc>
              <w:tcPr>
                <w:tcW w:w="824" w:type="pct"/>
                <w:shd w:val="clear" w:color="auto" w:fill="auto"/>
                <w:noWrap/>
                <w:vAlign w:val="center"/>
              </w:tcPr>
              <w:p>
                <w:pPr>
                  <w:jc w:val="center"/>
                  <w:rPr>
                    <w:rFonts w:ascii="宋体" w:hAnsi="宋体" w:cs="宋体"/>
                    <w:color w:val="000000"/>
                  </w:rPr>
                </w:pPr>
                <w:r>
                  <w:rPr>
                    <w:rFonts w:ascii="宋体" w:hAnsi="宋体" w:hint="eastAsia"/>
                  </w:rPr>
                  <w:t>300,000万元</w:t>
                </w:r>
              </w:p>
            </w:tc>
            <w:tc>
              <w:tcPr>
                <w:tcW w:w="1536" w:type="pct"/>
                <w:shd w:val="clear" w:color="auto" w:fill="auto"/>
                <w:noWrap/>
                <w:vAlign w:val="center"/>
              </w:tcPr>
              <w:p>
                <w:pPr>
                  <w:jc w:val="center"/>
                  <w:rPr>
                    <w:rFonts w:ascii="宋体" w:hAnsi="宋体" w:cs="宋体"/>
                    <w:color w:val="000000"/>
                  </w:rPr>
                </w:pPr>
                <w:r>
                  <w:rPr>
                    <w:rFonts w:ascii="宋体" w:hAnsi="宋体" w:hint="eastAsia"/>
                  </w:rPr>
                  <w:t>煤炭开采和洗选业</w:t>
                </w:r>
              </w:p>
            </w:tc>
            <w:tc>
              <w:tcPr>
                <w:tcW w:w="823" w:type="pct"/>
                <w:shd w:val="clear" w:color="auto" w:fill="auto"/>
                <w:noWrap/>
                <w:vAlign w:val="center"/>
              </w:tcPr>
              <w:p>
                <w:pPr>
                  <w:jc w:val="center"/>
                  <w:rPr>
                    <w:rFonts w:ascii="宋体" w:hAnsi="宋体" w:cs="宋体"/>
                    <w:color w:val="000000"/>
                  </w:rPr>
                </w:pPr>
                <w:r>
                  <w:rPr>
                    <w:rFonts w:ascii="宋体" w:hAnsi="宋体" w:hint="eastAsia"/>
                  </w:rPr>
                  <w:t>100</w:t>
                </w:r>
              </w:p>
            </w:tc>
          </w:tr>
        </w:tbl>
        <w:p>
          <w:pPr>
            <w:autoSpaceDE w:val="0"/>
            <w:autoSpaceDN w:val="0"/>
            <w:adjustRightInd w:val="0"/>
            <w:spacing w:line="360" w:lineRule="exact"/>
            <w:ind w:firstLineChars="200" w:firstLine="420"/>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13)青岛中兖贸易有限公司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青岛中兖贸易有限公司（以下简称“青岛中兖”)系本集团之子公司，成立于1997年，注册资本5,000万元人民币，公司法人营业执照统一社会信用代码：91370220163625005T,法定代表人:高峰。主要从事保税区内贸易及仓储。</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14)兖州煤业榆林能化有限公司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州煤业榆林能化有限公司（以下简称“榆林能化”)系本集团之子公司，成立于2004年，注册资本140,000万人民币，公司法人营业执照统一社会信用代码：916108007588160388,法定代表人:孙清涛。主要从事热力生产和供应；煤炭及制品销售。</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15)山东能源集团鲁西矿业有限公司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山东能源集团鲁西矿业有限公司（以下简称“鲁西矿业”）系本集团之子公司，成立于2021年，注册资本500,000万元。公司法人营业执照统一社会信用代码：91371725MA7EK74Q90。本集团于2023年以支付现金的方式收购鲁西矿业51%股权，本次变更后，本集团持股比例为51.00%，新汶矿业集团有限责任公司持股比例为27.00%、淄博矿业集团有限责任公司持股比例为7.00%、龙口矿业集团有限公司持股比例为5.00%、肥城肥矿煤业有限公司持股比例为10.00%。鲁西矿业主要从事煤炭开采和洗选业等。</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鲁西矿业主要控股子公司如下：</w:t>
          </w:r>
        </w:p>
        <w:tbl>
          <w:tblPr>
            <w:tblStyle w:val="Style100"/>
            <w:tblW w:w="906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64|0|desc|||0|1"/>
          </w:tblPr>
          <w:tblGrid>
            <w:gridCol w:w="3276"/>
            <w:gridCol w:w="936"/>
            <w:gridCol w:w="1170"/>
            <w:gridCol w:w="2268"/>
            <w:gridCol w:w="1417"/>
          </w:tblGrid>
          <w:tr>
            <w:trPr>
              <w:trHeight w:val="397"/>
              <w:tblHeader/>
              <w:jc w:val="center"/>
            </w:trPr>
            <w:tc>
              <w:tcPr>
                <w:tcW w:w="3276"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公司名称</w:t>
                </w:r>
              </w:p>
            </w:tc>
            <w:tc>
              <w:tcPr>
                <w:tcW w:w="936"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1170"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tc>
            <w:tc>
              <w:tcPr>
                <w:tcW w:w="2268"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经营范围</w:t>
                </w:r>
              </w:p>
            </w:tc>
            <w:tc>
              <w:tcPr>
                <w:tcW w:w="1417"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color w:val="000000"/>
                  </w:rPr>
                  <w:t>山东李楼煤业有限公司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color w:val="000000"/>
                  </w:rPr>
                  <w:t>山东菏泽</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color w:val="000000"/>
                  </w:rPr>
                  <w:t>64,352.6万元</w:t>
                </w:r>
              </w:p>
            </w:tc>
            <w:tc>
              <w:tcPr>
                <w:tcW w:w="2268" w:type="dxa"/>
                <w:shd w:val="clear" w:color="auto" w:fill="auto"/>
                <w:noWrap/>
                <w:vAlign w:val="center"/>
              </w:tcPr>
              <w:p>
                <w:pPr>
                  <w:rPr>
                    <w:rFonts w:ascii="宋体" w:hAnsi="宋体" w:cs="宋体"/>
                    <w:color w:val="000000"/>
                  </w:rPr>
                </w:pPr>
                <w:r>
                  <w:rPr>
                    <w:rFonts w:ascii="宋体" w:hAnsi="宋体" w:cs="宋体" w:hint="eastAsia"/>
                  </w:rPr>
                  <w:t>煤炭开采及销售</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rPr>
                  <w:t>100</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color w:val="000000"/>
                  </w:rPr>
                  <w:t>肥城矿业集团梁宝寺能源有限责任公司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color w:val="000000"/>
                  </w:rPr>
                  <w:t>山东济宁</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color w:val="000000"/>
                  </w:rPr>
                  <w:t>50,000万元</w:t>
                </w:r>
              </w:p>
            </w:tc>
            <w:tc>
              <w:tcPr>
                <w:tcW w:w="2268" w:type="dxa"/>
                <w:shd w:val="clear" w:color="auto" w:fill="auto"/>
                <w:noWrap/>
                <w:vAlign w:val="center"/>
              </w:tcPr>
              <w:p>
                <w:pPr>
                  <w:rPr>
                    <w:rFonts w:ascii="宋体" w:hAnsi="宋体" w:cs="宋体"/>
                    <w:color w:val="000000"/>
                  </w:rPr>
                </w:pPr>
                <w:r>
                  <w:rPr>
                    <w:rFonts w:ascii="宋体" w:hAnsi="宋体" w:cs="宋体" w:hint="eastAsia"/>
                  </w:rPr>
                  <w:t>煤炭开采及销售</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rPr>
                  <w:t>85</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color w:val="000000"/>
                  </w:rPr>
                  <w:lastRenderedPageBreak/>
                  <w:t>山东新巨龙能源有限责任公司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color w:val="000000"/>
                  </w:rPr>
                  <w:t>山东菏泽</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color w:val="000000"/>
                  </w:rPr>
                  <w:t>100,000万元</w:t>
                </w:r>
              </w:p>
            </w:tc>
            <w:tc>
              <w:tcPr>
                <w:tcW w:w="2268" w:type="dxa"/>
                <w:shd w:val="clear" w:color="auto" w:fill="auto"/>
                <w:noWrap/>
                <w:vAlign w:val="center"/>
              </w:tcPr>
              <w:p>
                <w:pPr>
                  <w:rPr>
                    <w:rFonts w:ascii="宋体" w:hAnsi="宋体" w:cs="宋体"/>
                    <w:color w:val="000000"/>
                  </w:rPr>
                </w:pPr>
                <w:r>
                  <w:rPr>
                    <w:rFonts w:ascii="宋体" w:hAnsi="宋体" w:cs="宋体" w:hint="eastAsia"/>
                  </w:rPr>
                  <w:t>煤炭开采及销售</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rPr>
                  <w:t>60</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color w:val="000000"/>
                  </w:rPr>
                  <w:t>新矿巨野选煤有限公司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color w:val="000000"/>
                  </w:rPr>
                  <w:t>山东菏泽</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rPr>
                  <w:t>1,000万元</w:t>
                </w:r>
              </w:p>
            </w:tc>
            <w:tc>
              <w:tcPr>
                <w:tcW w:w="2268" w:type="dxa"/>
                <w:shd w:val="clear" w:color="auto" w:fill="auto"/>
                <w:noWrap/>
                <w:vAlign w:val="center"/>
              </w:tcPr>
              <w:p>
                <w:pPr>
                  <w:rPr>
                    <w:rFonts w:ascii="宋体" w:hAnsi="宋体" w:cs="宋体"/>
                    <w:color w:val="000000"/>
                  </w:rPr>
                </w:pPr>
                <w:r>
                  <w:rPr>
                    <w:rFonts w:ascii="宋体" w:hAnsi="宋体" w:cs="宋体" w:hint="eastAsia"/>
                  </w:rPr>
                  <w:t>煤炭产品的洗选加工</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rPr>
                  <w:t>100</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rPr>
                  <w:t>临沂矿业集团菏泽煤电有限公司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rPr>
                  <w:t>山东菏泽</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rPr>
                  <w:t>85,000万元</w:t>
                </w:r>
              </w:p>
            </w:tc>
            <w:tc>
              <w:tcPr>
                <w:tcW w:w="2268" w:type="dxa"/>
                <w:shd w:val="clear" w:color="auto" w:fill="auto"/>
                <w:noWrap/>
                <w:vAlign w:val="center"/>
              </w:tcPr>
              <w:p>
                <w:pPr>
                  <w:rPr>
                    <w:rFonts w:ascii="宋体" w:hAnsi="宋体" w:cs="宋体"/>
                    <w:color w:val="000000"/>
                  </w:rPr>
                </w:pPr>
                <w:r>
                  <w:rPr>
                    <w:rFonts w:ascii="宋体" w:hAnsi="宋体" w:cs="宋体" w:hint="eastAsia"/>
                  </w:rPr>
                  <w:t>煤炭开采及销售</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rPr>
                  <w:t>83.59</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rPr>
                  <w:t>肥城矿业集团单县能源有限责任公司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rPr>
                  <w:t>山东菏泽</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rPr>
                  <w:t>70,000万元</w:t>
                </w:r>
              </w:p>
            </w:tc>
            <w:tc>
              <w:tcPr>
                <w:tcW w:w="2268" w:type="dxa"/>
                <w:shd w:val="clear" w:color="auto" w:fill="auto"/>
                <w:noWrap/>
                <w:vAlign w:val="center"/>
              </w:tcPr>
              <w:p>
                <w:pPr>
                  <w:rPr>
                    <w:rFonts w:ascii="宋体" w:hAnsi="宋体" w:cs="宋体"/>
                    <w:color w:val="000000"/>
                  </w:rPr>
                </w:pPr>
                <w:r>
                  <w:rPr>
                    <w:rFonts w:ascii="宋体" w:hAnsi="宋体" w:cs="宋体" w:hint="eastAsia"/>
                  </w:rPr>
                  <w:t>煤炭开采及销售</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rPr>
                  <w:t>100</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color w:val="000000"/>
                  </w:rPr>
                  <w:t>山东唐口煤业有限公司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rPr>
                  <w:t>山东济宁</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rPr>
                  <w:t>51,382.85万元</w:t>
                </w:r>
              </w:p>
            </w:tc>
            <w:tc>
              <w:tcPr>
                <w:tcW w:w="2268" w:type="dxa"/>
                <w:shd w:val="clear" w:color="auto" w:fill="auto"/>
                <w:noWrap/>
                <w:vAlign w:val="center"/>
              </w:tcPr>
              <w:p>
                <w:pPr>
                  <w:rPr>
                    <w:rFonts w:ascii="宋体" w:hAnsi="宋体" w:cs="宋体"/>
                    <w:color w:val="000000"/>
                  </w:rPr>
                </w:pPr>
                <w:r>
                  <w:rPr>
                    <w:rFonts w:ascii="宋体" w:hAnsi="宋体" w:cs="宋体" w:hint="eastAsia"/>
                  </w:rPr>
                  <w:t>煤炭开采及销售</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rPr>
                  <w:t>100</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color w:val="000000"/>
                  </w:rPr>
                  <w:t>卡松科技股份有限公司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rPr>
                  <w:t>山东济宁</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rPr>
                  <w:t>7,639.31万元</w:t>
                </w:r>
              </w:p>
            </w:tc>
            <w:tc>
              <w:tcPr>
                <w:tcW w:w="2268" w:type="dxa"/>
                <w:shd w:val="clear" w:color="auto" w:fill="auto"/>
                <w:noWrap/>
                <w:vAlign w:val="center"/>
              </w:tcPr>
              <w:p>
                <w:pPr>
                  <w:rPr>
                    <w:rFonts w:ascii="宋体" w:hAnsi="宋体" w:cs="宋体"/>
                    <w:color w:val="000000"/>
                  </w:rPr>
                </w:pPr>
                <w:r>
                  <w:rPr>
                    <w:rFonts w:ascii="宋体" w:hAnsi="宋体" w:cs="宋体" w:hint="eastAsia"/>
                  </w:rPr>
                  <w:t>化学原料和化学制品制造业</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rPr>
                  <w:t>51</w:t>
                </w:r>
              </w:p>
            </w:tc>
          </w:tr>
          <w:tr>
            <w:trPr>
              <w:trHeight w:val="397"/>
              <w:jc w:val="center"/>
            </w:trPr>
            <w:tc>
              <w:tcPr>
                <w:tcW w:w="3276" w:type="dxa"/>
                <w:shd w:val="clear" w:color="auto" w:fill="auto"/>
                <w:noWrap/>
                <w:vAlign w:val="center"/>
              </w:tcPr>
              <w:p>
                <w:pPr>
                  <w:rPr>
                    <w:rFonts w:ascii="宋体" w:hAnsi="宋体" w:cs="宋体"/>
                    <w:color w:val="000000"/>
                  </w:rPr>
                </w:pPr>
                <w:r>
                  <w:rPr>
                    <w:rFonts w:ascii="宋体" w:hAnsi="宋体" w:cs="宋体" w:hint="eastAsia"/>
                    <w:color w:val="000000"/>
                  </w:rPr>
                  <w:t>山东盟鲁采矿工程有限公司</w:t>
                </w:r>
              </w:p>
            </w:tc>
            <w:tc>
              <w:tcPr>
                <w:tcW w:w="936" w:type="dxa"/>
                <w:shd w:val="clear" w:color="auto" w:fill="auto"/>
                <w:noWrap/>
                <w:vAlign w:val="center"/>
              </w:tcPr>
              <w:p>
                <w:pPr>
                  <w:jc w:val="center"/>
                  <w:rPr>
                    <w:rFonts w:ascii="宋体" w:hAnsi="宋体" w:cs="宋体"/>
                    <w:color w:val="000000"/>
                  </w:rPr>
                </w:pPr>
                <w:r>
                  <w:rPr>
                    <w:rFonts w:ascii="宋体" w:hAnsi="宋体" w:cs="宋体" w:hint="eastAsia"/>
                    <w:color w:val="000000"/>
                  </w:rPr>
                  <w:t>山东济宁</w:t>
                </w:r>
              </w:p>
            </w:tc>
            <w:tc>
              <w:tcPr>
                <w:tcW w:w="1170" w:type="dxa"/>
                <w:shd w:val="clear" w:color="auto" w:fill="auto"/>
                <w:noWrap/>
                <w:vAlign w:val="center"/>
              </w:tcPr>
              <w:p>
                <w:pPr>
                  <w:jc w:val="center"/>
                  <w:rPr>
                    <w:rFonts w:ascii="宋体" w:hAnsi="宋体" w:cs="宋体"/>
                    <w:color w:val="000000"/>
                  </w:rPr>
                </w:pPr>
                <w:r>
                  <w:rPr>
                    <w:rFonts w:ascii="宋体" w:hAnsi="宋体" w:cs="宋体" w:hint="eastAsia"/>
                    <w:color w:val="000000"/>
                  </w:rPr>
                  <w:t>5,000万元</w:t>
                </w:r>
              </w:p>
            </w:tc>
            <w:tc>
              <w:tcPr>
                <w:tcW w:w="2268" w:type="dxa"/>
                <w:shd w:val="clear" w:color="auto" w:fill="auto"/>
                <w:noWrap/>
                <w:vAlign w:val="center"/>
              </w:tcPr>
              <w:p>
                <w:pPr>
                  <w:rPr>
                    <w:rFonts w:ascii="宋体" w:hAnsi="宋体" w:cs="宋体"/>
                    <w:color w:val="000000"/>
                  </w:rPr>
                </w:pPr>
                <w:r>
                  <w:rPr>
                    <w:rFonts w:ascii="宋体" w:hAnsi="宋体" w:cs="宋体" w:hint="eastAsia"/>
                    <w:color w:val="000000"/>
                  </w:rPr>
                  <w:t>建筑安装</w:t>
                </w:r>
              </w:p>
            </w:tc>
            <w:tc>
              <w:tcPr>
                <w:tcW w:w="1417" w:type="dxa"/>
                <w:shd w:val="clear" w:color="auto" w:fill="auto"/>
                <w:noWrap/>
                <w:vAlign w:val="center"/>
              </w:tcPr>
              <w:p>
                <w:pPr>
                  <w:jc w:val="center"/>
                  <w:rPr>
                    <w:rFonts w:ascii="宋体" w:hAnsi="宋体" w:cs="宋体"/>
                    <w:color w:val="000000"/>
                  </w:rPr>
                </w:pPr>
                <w:r>
                  <w:rPr>
                    <w:rFonts w:ascii="宋体" w:hAnsi="宋体" w:cs="宋体" w:hint="eastAsia"/>
                    <w:color w:val="000000"/>
                  </w:rPr>
                  <w:t>100</w:t>
                </w:r>
              </w:p>
            </w:tc>
          </w:tr>
        </w:tbl>
        <w:p>
          <w:pPr>
            <w:autoSpaceDE w:val="0"/>
            <w:autoSpaceDN w:val="0"/>
            <w:adjustRightInd w:val="0"/>
            <w:spacing w:line="360" w:lineRule="exact"/>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16)兖矿新疆能化有限公司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兖矿新疆能化有限公司(以下简称新疆能化)由兖矿集团有限公司与兖矿鲁南化肥厂，根据山东省人民政府国有资产监督管理委员会《关于同意设立兖矿新疆能化有限公司的批复》（鲁国资企改函【2007】43号）于2007年8月3日共同出资设立。2023年4月28日，本集团与新矿集团、山东能源签署关于股权转让协议，以支付现金方式收购新矿集团持有的新疆能化7.84%股权以及山东能源持有的新疆能化43.16%股权。</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新疆能化主要控股子公司如下：</w:t>
          </w:r>
        </w:p>
        <w:tbl>
          <w:tblPr>
            <w:tblStyle w:val="Style100"/>
            <w:tblW w:w="882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65|0|desc|||0|1"/>
          </w:tblPr>
          <w:tblGrid>
            <w:gridCol w:w="3180"/>
            <w:gridCol w:w="1105"/>
            <w:gridCol w:w="1068"/>
            <w:gridCol w:w="2291"/>
            <w:gridCol w:w="1179"/>
          </w:tblGrid>
          <w:tr>
            <w:trPr>
              <w:trHeight w:val="397"/>
              <w:tblHeader/>
              <w:jc w:val="center"/>
            </w:trPr>
            <w:tc>
              <w:tcPr>
                <w:tcW w:w="1810" w:type="pct"/>
                <w:shd w:val="clear" w:color="auto" w:fill="auto"/>
                <w:noWrap/>
                <w:vAlign w:val="center"/>
              </w:tcPr>
              <w:p>
                <w:pPr>
                  <w:jc w:val="center"/>
                  <w:rPr>
                    <w:rFonts w:ascii="宋体" w:hAnsi="宋体" w:cs="宋体"/>
                    <w:b/>
                    <w:bCs/>
                    <w:color w:val="000000"/>
                  </w:rPr>
                </w:pPr>
                <w:bookmarkStart w:id="526" w:name="_Hlk224719039"/>
                <w:r>
                  <w:rPr>
                    <w:rFonts w:ascii="宋体" w:hAnsi="宋体" w:hint="eastAsia"/>
                  </w:rPr>
                  <w:t>公司名称</w:t>
                </w:r>
              </w:p>
            </w:tc>
            <w:tc>
              <w:tcPr>
                <w:tcW w:w="628" w:type="pct"/>
                <w:shd w:val="clear" w:color="auto" w:fill="auto"/>
                <w:noWrap/>
                <w:vAlign w:val="center"/>
              </w:tcPr>
              <w:p>
                <w:pPr>
                  <w:jc w:val="center"/>
                  <w:rPr>
                    <w:rFonts w:ascii="宋体" w:hAnsi="宋体" w:cs="宋体"/>
                    <w:b/>
                    <w:bCs/>
                    <w:color w:val="000000"/>
                  </w:rPr>
                </w:pPr>
                <w:r>
                  <w:rPr>
                    <w:rFonts w:ascii="宋体" w:hAnsi="宋体" w:hint="eastAsia"/>
                  </w:rPr>
                  <w:t>注册地</w:t>
                </w:r>
              </w:p>
            </w:tc>
            <w:tc>
              <w:tcPr>
                <w:tcW w:w="772" w:type="pct"/>
                <w:shd w:val="clear" w:color="auto" w:fill="auto"/>
                <w:noWrap/>
                <w:vAlign w:val="center"/>
              </w:tcPr>
              <w:p>
                <w:pPr>
                  <w:jc w:val="center"/>
                  <w:rPr>
                    <w:rFonts w:ascii="宋体" w:hAnsi="宋体" w:cs="宋体"/>
                    <w:b/>
                    <w:bCs/>
                    <w:color w:val="000000"/>
                  </w:rPr>
                </w:pPr>
                <w:r>
                  <w:rPr>
                    <w:rFonts w:ascii="宋体" w:hAnsi="宋体" w:hint="eastAsia"/>
                  </w:rPr>
                  <w:t>注册资本</w:t>
                </w:r>
              </w:p>
            </w:tc>
            <w:tc>
              <w:tcPr>
                <w:tcW w:w="1119" w:type="pct"/>
                <w:shd w:val="clear" w:color="auto" w:fill="auto"/>
                <w:noWrap/>
                <w:vAlign w:val="center"/>
              </w:tcPr>
              <w:p>
                <w:pPr>
                  <w:jc w:val="center"/>
                  <w:rPr>
                    <w:rFonts w:ascii="宋体" w:hAnsi="宋体" w:cs="宋体"/>
                    <w:b/>
                    <w:bCs/>
                    <w:color w:val="000000"/>
                  </w:rPr>
                </w:pPr>
                <w:r>
                  <w:rPr>
                    <w:rFonts w:ascii="宋体" w:hAnsi="宋体" w:hint="eastAsia"/>
                  </w:rPr>
                  <w:t>业务性质</w:t>
                </w:r>
              </w:p>
            </w:tc>
            <w:tc>
              <w:tcPr>
                <w:tcW w:w="671" w:type="pct"/>
                <w:shd w:val="clear" w:color="auto" w:fill="auto"/>
                <w:noWrap/>
                <w:vAlign w:val="center"/>
              </w:tcPr>
              <w:p>
                <w:pPr>
                  <w:jc w:val="center"/>
                  <w:rPr>
                    <w:rFonts w:ascii="宋体" w:hAnsi="宋体" w:cs="宋体"/>
                    <w:b/>
                    <w:bCs/>
                    <w:color w:val="000000"/>
                  </w:rPr>
                </w:pPr>
                <w:r>
                  <w:rPr>
                    <w:rFonts w:ascii="宋体" w:hAnsi="宋体" w:hint="eastAsia"/>
                  </w:rPr>
                  <w:t>持股比例（%）</w:t>
                </w:r>
              </w:p>
            </w:tc>
          </w:tr>
          <w:tr>
            <w:trPr>
              <w:trHeight w:val="397"/>
              <w:jc w:val="center"/>
            </w:trPr>
            <w:tc>
              <w:tcPr>
                <w:tcW w:w="1810" w:type="pct"/>
                <w:shd w:val="clear" w:color="auto" w:fill="auto"/>
                <w:noWrap/>
                <w:vAlign w:val="center"/>
              </w:tcPr>
              <w:p>
                <w:pPr>
                  <w:jc w:val="both"/>
                  <w:rPr>
                    <w:rFonts w:ascii="宋体" w:hAnsi="宋体" w:cs="宋体"/>
                    <w:color w:val="000000"/>
                  </w:rPr>
                </w:pPr>
                <w:r>
                  <w:rPr>
                    <w:rFonts w:ascii="宋体" w:hAnsi="宋体" w:hint="eastAsia"/>
                  </w:rPr>
                  <w:t>新疆兖矿其能煤业有限公司</w:t>
                </w:r>
              </w:p>
            </w:tc>
            <w:tc>
              <w:tcPr>
                <w:tcW w:w="628" w:type="pct"/>
                <w:shd w:val="clear" w:color="auto" w:fill="auto"/>
                <w:noWrap/>
                <w:vAlign w:val="center"/>
              </w:tcPr>
              <w:p>
                <w:pPr>
                  <w:jc w:val="center"/>
                  <w:rPr>
                    <w:rFonts w:ascii="宋体" w:hAnsi="宋体" w:cs="宋体"/>
                    <w:color w:val="000000"/>
                  </w:rPr>
                </w:pPr>
                <w:r>
                  <w:rPr>
                    <w:rFonts w:ascii="宋体" w:hAnsi="宋体" w:hint="eastAsia"/>
                  </w:rPr>
                  <w:t>新疆昌吉</w:t>
                </w:r>
              </w:p>
            </w:tc>
            <w:tc>
              <w:tcPr>
                <w:tcW w:w="772" w:type="pct"/>
                <w:shd w:val="clear" w:color="auto" w:fill="auto"/>
                <w:noWrap/>
                <w:vAlign w:val="center"/>
              </w:tcPr>
              <w:p>
                <w:pPr>
                  <w:jc w:val="center"/>
                  <w:rPr>
                    <w:rFonts w:ascii="宋体" w:hAnsi="宋体" w:cs="宋体"/>
                    <w:color w:val="000000"/>
                  </w:rPr>
                </w:pPr>
                <w:r>
                  <w:rPr>
                    <w:rFonts w:ascii="宋体" w:hAnsi="宋体" w:hint="eastAsia"/>
                  </w:rPr>
                  <w:t>10,000万元</w:t>
                </w:r>
              </w:p>
            </w:tc>
            <w:tc>
              <w:tcPr>
                <w:tcW w:w="1119" w:type="pct"/>
                <w:shd w:val="clear" w:color="auto" w:fill="auto"/>
                <w:noWrap/>
                <w:vAlign w:val="center"/>
              </w:tcPr>
              <w:p>
                <w:pPr>
                  <w:jc w:val="both"/>
                  <w:rPr>
                    <w:rFonts w:ascii="宋体" w:hAnsi="宋体" w:cs="宋体"/>
                    <w:color w:val="000000"/>
                  </w:rPr>
                </w:pPr>
                <w:r>
                  <w:rPr>
                    <w:rFonts w:ascii="宋体" w:hAnsi="宋体" w:hint="eastAsia"/>
                  </w:rPr>
                  <w:t>煤炭开采及销售</w:t>
                </w:r>
              </w:p>
            </w:tc>
            <w:tc>
              <w:tcPr>
                <w:tcW w:w="671" w:type="pct"/>
                <w:shd w:val="clear" w:color="auto" w:fill="auto"/>
                <w:noWrap/>
                <w:vAlign w:val="center"/>
              </w:tcPr>
              <w:p>
                <w:pPr>
                  <w:jc w:val="center"/>
                  <w:rPr>
                    <w:rFonts w:ascii="宋体" w:hAnsi="宋体" w:cs="宋体"/>
                    <w:color w:val="000000"/>
                  </w:rPr>
                </w:pPr>
                <w:r>
                  <w:rPr>
                    <w:rFonts w:ascii="宋体" w:hAnsi="宋体" w:hint="eastAsia"/>
                  </w:rPr>
                  <w:t>76</w:t>
                </w:r>
              </w:p>
            </w:tc>
          </w:tr>
          <w:tr>
            <w:trPr>
              <w:trHeight w:val="397"/>
              <w:jc w:val="center"/>
            </w:trPr>
            <w:tc>
              <w:tcPr>
                <w:tcW w:w="1810" w:type="pct"/>
                <w:shd w:val="clear" w:color="auto" w:fill="auto"/>
                <w:noWrap/>
                <w:vAlign w:val="center"/>
              </w:tcPr>
              <w:p>
                <w:pPr>
                  <w:jc w:val="both"/>
                  <w:rPr>
                    <w:rFonts w:ascii="宋体" w:hAnsi="宋体" w:cs="宋体"/>
                    <w:color w:val="000000"/>
                  </w:rPr>
                </w:pPr>
                <w:r>
                  <w:rPr>
                    <w:rFonts w:ascii="宋体" w:hAnsi="宋体" w:hint="eastAsia"/>
                  </w:rPr>
                  <w:t>兖矿新疆矿业有限公司</w:t>
                </w:r>
              </w:p>
            </w:tc>
            <w:tc>
              <w:tcPr>
                <w:tcW w:w="628" w:type="pct"/>
                <w:shd w:val="clear" w:color="auto" w:fill="auto"/>
                <w:noWrap/>
                <w:vAlign w:val="center"/>
              </w:tcPr>
              <w:p>
                <w:pPr>
                  <w:jc w:val="center"/>
                  <w:rPr>
                    <w:rFonts w:ascii="宋体" w:hAnsi="宋体" w:cs="宋体"/>
                    <w:color w:val="000000"/>
                  </w:rPr>
                </w:pPr>
                <w:r>
                  <w:rPr>
                    <w:rFonts w:ascii="宋体" w:hAnsi="宋体" w:hint="eastAsia"/>
                  </w:rPr>
                  <w:t>新疆昌吉</w:t>
                </w:r>
              </w:p>
            </w:tc>
            <w:tc>
              <w:tcPr>
                <w:tcW w:w="772" w:type="pct"/>
                <w:shd w:val="clear" w:color="auto" w:fill="auto"/>
                <w:noWrap/>
                <w:vAlign w:val="center"/>
              </w:tcPr>
              <w:p>
                <w:pPr>
                  <w:jc w:val="center"/>
                  <w:rPr>
                    <w:rFonts w:ascii="宋体" w:hAnsi="宋体" w:cs="宋体"/>
                    <w:color w:val="000000"/>
                  </w:rPr>
                </w:pPr>
                <w:r>
                  <w:rPr>
                    <w:rFonts w:ascii="宋体" w:hAnsi="宋体" w:hint="eastAsia"/>
                  </w:rPr>
                  <w:t>38,333万元</w:t>
                </w:r>
              </w:p>
            </w:tc>
            <w:tc>
              <w:tcPr>
                <w:tcW w:w="1119" w:type="pct"/>
                <w:shd w:val="clear" w:color="auto" w:fill="auto"/>
                <w:noWrap/>
                <w:vAlign w:val="center"/>
              </w:tcPr>
              <w:p>
                <w:pPr>
                  <w:jc w:val="both"/>
                  <w:rPr>
                    <w:rFonts w:ascii="宋体" w:hAnsi="宋体" w:cs="宋体"/>
                    <w:color w:val="000000"/>
                  </w:rPr>
                </w:pPr>
                <w:r>
                  <w:rPr>
                    <w:rFonts w:ascii="宋体" w:hAnsi="宋体" w:hint="eastAsia"/>
                  </w:rPr>
                  <w:t>煤炭开采及销售</w:t>
                </w:r>
              </w:p>
            </w:tc>
            <w:tc>
              <w:tcPr>
                <w:tcW w:w="671" w:type="pct"/>
                <w:shd w:val="clear" w:color="auto" w:fill="auto"/>
                <w:noWrap/>
                <w:vAlign w:val="center"/>
              </w:tcPr>
              <w:p>
                <w:pPr>
                  <w:jc w:val="center"/>
                  <w:rPr>
                    <w:rFonts w:ascii="宋体" w:hAnsi="宋体" w:cs="宋体"/>
                    <w:color w:val="000000"/>
                  </w:rPr>
                </w:pPr>
                <w:r>
                  <w:rPr>
                    <w:rFonts w:ascii="宋体" w:hAnsi="宋体" w:hint="eastAsia"/>
                  </w:rPr>
                  <w:t>51</w:t>
                </w:r>
              </w:p>
            </w:tc>
          </w:tr>
          <w:tr>
            <w:trPr>
              <w:trHeight w:val="397"/>
              <w:jc w:val="center"/>
            </w:trPr>
            <w:tc>
              <w:tcPr>
                <w:tcW w:w="1810" w:type="pct"/>
                <w:shd w:val="clear" w:color="auto" w:fill="auto"/>
                <w:noWrap/>
                <w:vAlign w:val="center"/>
              </w:tcPr>
              <w:p>
                <w:pPr>
                  <w:jc w:val="both"/>
                  <w:rPr>
                    <w:rFonts w:ascii="宋体" w:hAnsi="宋体" w:cs="宋体"/>
                    <w:color w:val="000000"/>
                  </w:rPr>
                </w:pPr>
                <w:r>
                  <w:rPr>
                    <w:rFonts w:ascii="宋体" w:hAnsi="宋体" w:hint="eastAsia"/>
                  </w:rPr>
                  <w:t>新疆山能化工有限公司</w:t>
                </w:r>
              </w:p>
            </w:tc>
            <w:tc>
              <w:tcPr>
                <w:tcW w:w="628" w:type="pct"/>
                <w:shd w:val="clear" w:color="auto" w:fill="auto"/>
                <w:noWrap/>
                <w:vAlign w:val="center"/>
              </w:tcPr>
              <w:p>
                <w:pPr>
                  <w:jc w:val="center"/>
                  <w:rPr>
                    <w:rFonts w:ascii="宋体" w:hAnsi="宋体" w:cs="宋体"/>
                    <w:color w:val="000000"/>
                  </w:rPr>
                </w:pPr>
                <w:r>
                  <w:rPr>
                    <w:rFonts w:ascii="宋体" w:hAnsi="宋体" w:hint="eastAsia"/>
                  </w:rPr>
                  <w:t>新疆乌鲁木齐</w:t>
                </w:r>
              </w:p>
            </w:tc>
            <w:tc>
              <w:tcPr>
                <w:tcW w:w="772" w:type="pct"/>
                <w:shd w:val="clear" w:color="auto" w:fill="auto"/>
                <w:noWrap/>
                <w:vAlign w:val="center"/>
              </w:tcPr>
              <w:p>
                <w:pPr>
                  <w:jc w:val="center"/>
                  <w:rPr>
                    <w:rFonts w:ascii="宋体" w:hAnsi="宋体" w:cs="宋体"/>
                    <w:color w:val="000000"/>
                  </w:rPr>
                </w:pPr>
                <w:r>
                  <w:rPr>
                    <w:rFonts w:ascii="宋体" w:hAnsi="宋体" w:hint="eastAsia"/>
                  </w:rPr>
                  <w:t>500,000万元</w:t>
                </w:r>
              </w:p>
            </w:tc>
            <w:tc>
              <w:tcPr>
                <w:tcW w:w="1119" w:type="pct"/>
                <w:shd w:val="clear" w:color="auto" w:fill="auto"/>
                <w:noWrap/>
                <w:vAlign w:val="center"/>
              </w:tcPr>
              <w:p>
                <w:pPr>
                  <w:jc w:val="both"/>
                  <w:rPr>
                    <w:rFonts w:ascii="宋体" w:hAnsi="宋体" w:cs="宋体"/>
                    <w:color w:val="000000"/>
                  </w:rPr>
                </w:pPr>
                <w:r>
                  <w:rPr>
                    <w:rFonts w:ascii="宋体" w:hAnsi="宋体" w:hint="eastAsia"/>
                  </w:rPr>
                  <w:t>甲醇、尿素等产品的生产与销售</w:t>
                </w:r>
              </w:p>
            </w:tc>
            <w:tc>
              <w:tcPr>
                <w:tcW w:w="671" w:type="pct"/>
                <w:shd w:val="clear" w:color="auto" w:fill="auto"/>
                <w:noWrap/>
                <w:vAlign w:val="center"/>
              </w:tcPr>
              <w:p>
                <w:pPr>
                  <w:jc w:val="center"/>
                  <w:rPr>
                    <w:rFonts w:ascii="宋体" w:hAnsi="宋体" w:cs="宋体"/>
                    <w:color w:val="000000"/>
                  </w:rPr>
                </w:pPr>
                <w:r>
                  <w:rPr>
                    <w:rFonts w:ascii="宋体" w:hAnsi="宋体" w:hint="eastAsia"/>
                  </w:rPr>
                  <w:t>100</w:t>
                </w:r>
              </w:p>
            </w:tc>
          </w:tr>
          <w:tr>
            <w:trPr>
              <w:trHeight w:val="397"/>
              <w:jc w:val="center"/>
            </w:trPr>
            <w:tc>
              <w:tcPr>
                <w:tcW w:w="1810" w:type="pct"/>
                <w:shd w:val="clear" w:color="auto" w:fill="auto"/>
                <w:noWrap/>
                <w:vAlign w:val="center"/>
              </w:tcPr>
              <w:p>
                <w:pPr>
                  <w:jc w:val="both"/>
                  <w:rPr>
                    <w:rFonts w:ascii="宋体" w:hAnsi="宋体" w:cs="宋体"/>
                    <w:color w:val="000000"/>
                  </w:rPr>
                </w:pPr>
                <w:r>
                  <w:rPr>
                    <w:rFonts w:ascii="宋体" w:hAnsi="宋体" w:hint="eastAsia"/>
                  </w:rPr>
                  <w:t>新汶矿业集团（伊犁）能源开发有限责任公司</w:t>
                </w:r>
              </w:p>
            </w:tc>
            <w:tc>
              <w:tcPr>
                <w:tcW w:w="628" w:type="pct"/>
                <w:shd w:val="clear" w:color="auto" w:fill="auto"/>
                <w:noWrap/>
                <w:vAlign w:val="center"/>
              </w:tcPr>
              <w:p>
                <w:pPr>
                  <w:jc w:val="center"/>
                  <w:rPr>
                    <w:rFonts w:ascii="宋体" w:hAnsi="宋体" w:cs="宋体"/>
                    <w:color w:val="000000"/>
                  </w:rPr>
                </w:pPr>
                <w:r>
                  <w:rPr>
                    <w:rFonts w:ascii="宋体" w:hAnsi="宋体" w:hint="eastAsia"/>
                  </w:rPr>
                  <w:t>新疆昌吉</w:t>
                </w:r>
              </w:p>
            </w:tc>
            <w:tc>
              <w:tcPr>
                <w:tcW w:w="772" w:type="pct"/>
                <w:shd w:val="clear" w:color="auto" w:fill="auto"/>
                <w:noWrap/>
                <w:vAlign w:val="center"/>
              </w:tcPr>
              <w:p>
                <w:pPr>
                  <w:jc w:val="center"/>
                  <w:rPr>
                    <w:rFonts w:ascii="宋体" w:hAnsi="宋体" w:cs="宋体"/>
                    <w:color w:val="000000"/>
                  </w:rPr>
                </w:pPr>
                <w:r>
                  <w:rPr>
                    <w:rFonts w:ascii="宋体" w:hAnsi="宋体" w:hint="eastAsia"/>
                  </w:rPr>
                  <w:t>100,000万元</w:t>
                </w:r>
              </w:p>
            </w:tc>
            <w:tc>
              <w:tcPr>
                <w:tcW w:w="1119" w:type="pct"/>
                <w:shd w:val="clear" w:color="auto" w:fill="auto"/>
                <w:noWrap/>
                <w:vAlign w:val="center"/>
              </w:tcPr>
              <w:p>
                <w:pPr>
                  <w:jc w:val="both"/>
                  <w:rPr>
                    <w:rFonts w:ascii="宋体" w:hAnsi="宋体" w:cs="宋体"/>
                    <w:color w:val="000000"/>
                  </w:rPr>
                </w:pPr>
                <w:r>
                  <w:rPr>
                    <w:rFonts w:ascii="宋体" w:hAnsi="宋体" w:hint="eastAsia"/>
                  </w:rPr>
                  <w:t>煤炭化工</w:t>
                </w:r>
              </w:p>
            </w:tc>
            <w:tc>
              <w:tcPr>
                <w:tcW w:w="671" w:type="pct"/>
                <w:shd w:val="clear" w:color="auto" w:fill="auto"/>
                <w:noWrap/>
                <w:vAlign w:val="center"/>
              </w:tcPr>
              <w:p>
                <w:pPr>
                  <w:jc w:val="center"/>
                  <w:rPr>
                    <w:rFonts w:ascii="宋体" w:hAnsi="宋体" w:cs="宋体"/>
                    <w:color w:val="000000"/>
                  </w:rPr>
                </w:pPr>
                <w:r>
                  <w:rPr>
                    <w:rFonts w:ascii="宋体" w:hAnsi="宋体" w:hint="eastAsia"/>
                  </w:rPr>
                  <w:t>100</w:t>
                </w:r>
              </w:p>
            </w:tc>
          </w:tr>
          <w:tr>
            <w:trPr>
              <w:trHeight w:val="397"/>
              <w:jc w:val="center"/>
            </w:trPr>
            <w:tc>
              <w:tcPr>
                <w:tcW w:w="1810" w:type="pct"/>
                <w:shd w:val="clear" w:color="auto" w:fill="auto"/>
                <w:noWrap/>
                <w:vAlign w:val="center"/>
              </w:tcPr>
              <w:p>
                <w:pPr>
                  <w:jc w:val="both"/>
                  <w:rPr>
                    <w:rFonts w:ascii="宋体" w:hAnsi="宋体" w:cs="宋体"/>
                    <w:color w:val="000000"/>
                  </w:rPr>
                </w:pPr>
                <w:r>
                  <w:rPr>
                    <w:rFonts w:ascii="宋体" w:hAnsi="宋体" w:hint="eastAsia"/>
                  </w:rPr>
                  <w:t>兖矿新疆煤化工有限公司</w:t>
                </w:r>
              </w:p>
            </w:tc>
            <w:tc>
              <w:tcPr>
                <w:tcW w:w="628" w:type="pct"/>
                <w:shd w:val="clear" w:color="auto" w:fill="auto"/>
                <w:noWrap/>
                <w:vAlign w:val="center"/>
              </w:tcPr>
              <w:p>
                <w:pPr>
                  <w:jc w:val="center"/>
                  <w:rPr>
                    <w:rFonts w:ascii="宋体" w:hAnsi="宋体" w:cs="宋体"/>
                    <w:color w:val="000000"/>
                  </w:rPr>
                </w:pPr>
                <w:r>
                  <w:rPr>
                    <w:rFonts w:ascii="宋体" w:hAnsi="宋体" w:hint="eastAsia"/>
                  </w:rPr>
                  <w:t>新疆乌鲁木齐</w:t>
                </w:r>
              </w:p>
            </w:tc>
            <w:tc>
              <w:tcPr>
                <w:tcW w:w="772" w:type="pct"/>
                <w:shd w:val="clear" w:color="auto" w:fill="auto"/>
                <w:noWrap/>
                <w:vAlign w:val="center"/>
              </w:tcPr>
              <w:p>
                <w:pPr>
                  <w:jc w:val="center"/>
                  <w:rPr>
                    <w:rFonts w:ascii="宋体" w:hAnsi="宋体" w:cs="宋体"/>
                    <w:color w:val="000000"/>
                  </w:rPr>
                </w:pPr>
                <w:r>
                  <w:rPr>
                    <w:rFonts w:ascii="宋体" w:hAnsi="宋体" w:hint="eastAsia"/>
                  </w:rPr>
                  <w:t>313,000万元</w:t>
                </w:r>
              </w:p>
            </w:tc>
            <w:tc>
              <w:tcPr>
                <w:tcW w:w="1119" w:type="pct"/>
                <w:shd w:val="clear" w:color="auto" w:fill="auto"/>
                <w:noWrap/>
                <w:vAlign w:val="center"/>
              </w:tcPr>
              <w:p>
                <w:pPr>
                  <w:jc w:val="both"/>
                  <w:rPr>
                    <w:rFonts w:ascii="宋体" w:hAnsi="宋体" w:cs="宋体"/>
                    <w:color w:val="000000"/>
                  </w:rPr>
                </w:pPr>
                <w:r>
                  <w:rPr>
                    <w:rFonts w:ascii="宋体" w:hAnsi="宋体" w:hint="eastAsia"/>
                  </w:rPr>
                  <w:t>化学原料和化学制品制造业</w:t>
                </w:r>
              </w:p>
            </w:tc>
            <w:tc>
              <w:tcPr>
                <w:tcW w:w="671" w:type="pct"/>
                <w:shd w:val="clear" w:color="auto" w:fill="auto"/>
                <w:noWrap/>
                <w:vAlign w:val="center"/>
              </w:tcPr>
              <w:p>
                <w:pPr>
                  <w:jc w:val="center"/>
                  <w:rPr>
                    <w:rFonts w:ascii="宋体" w:hAnsi="宋体" w:cs="宋体"/>
                    <w:color w:val="000000"/>
                  </w:rPr>
                </w:pPr>
                <w:r>
                  <w:rPr>
                    <w:rFonts w:ascii="宋体" w:hAnsi="宋体" w:hint="eastAsia"/>
                  </w:rPr>
                  <w:t>100</w:t>
                </w:r>
              </w:p>
            </w:tc>
          </w:tr>
          <w:bookmarkEnd w:id="526"/>
        </w:tbl>
        <w:p>
          <w:pPr>
            <w:autoSpaceDE w:val="0"/>
            <w:autoSpaceDN w:val="0"/>
            <w:adjustRightInd w:val="0"/>
            <w:spacing w:line="360" w:lineRule="exact"/>
            <w:rPr>
              <w:rFonts w:ascii="宋体" w:hAnsi="宋体" w:cs="宋体"/>
            </w:rPr>
          </w:pP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17)山东能源集团财务有限公司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山东能源集团财务有限公司(以下简称山能财司)系由山东能源集团有限公司投资设立。2023年11月6日，山能财司吸收合并本集团之子公司兖矿财司。交易完成后兖矿财司注销，其资产、负债、业务以及人员全部由新山能财司依法承继，本集团完成对山能财司控股。山能财司注册资本700,000万元。公司法人营业执照统一社会信用代码：9137000008978789X0。主要提供企业集团财务公司服务。</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lastRenderedPageBreak/>
            <w:t>18)物泊科技股份有限公司</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物泊科技股份有限公司系本集团之子公司，成立于2018年，注册资本99,726.2231万元。公司法人营业执照统一社会信用代码：91350305MA31M7846M。本集团2024年5月与东铭实业集团有限公司、福建东聚科技有限公司（以下简称“福建东聚”）签订《增资协议》，以人民币1,554,545千元认购物泊科技新增注册资本448,768千元，本次增资后，本集团持有物泊科技45%股权。增资协议同时约定：福建东沃投资中心（有限合伙）、福建东创投资中心（有限合伙）一致同意分别将其实缴的33,000千元出资（占本次增资后物泊科技全部股权的3.31%）、30,000千元出资（占本次增资后物泊科技全部股权的3.01%）所对应的全部表决权独家无条件且不可撤销地全权授予受托方，自此本集团可实际行使的表决权物泊科技全部实缴出资对应表决权的51.32%。法定代表人：王怀宇。</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19)SMTScharfAG</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SMTScharfAG（以下简称“沙尔夫”）于2000年5月31日在德国注册成立，注册地址：Römerstrasse104,59075Hamm,Germany,本集团在哈姆地区法院进行商业登记，登记编号为5845。沙尔夫于2007年4月11日在慕尼黑证券交易所首次上市，股票ISIN编码为DE000A3DRAE2。沙尔夫及其子公司所属行业为机械制造业，主要应用于采矿行业。2024年9月，本集团分别向ShareholderValueManagementAktiengesellschaft牵头的10位股东和FamousHoldingGmbH收购沙尔夫52.66%和1.66%的股份，完成对沙尔夫的控股。</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沙尔夫主要控股子公司如下：</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66|0|desc|||0|1"/>
          </w:tblPr>
          <w:tblGrid>
            <w:gridCol w:w="2818"/>
            <w:gridCol w:w="1018"/>
            <w:gridCol w:w="1343"/>
            <w:gridCol w:w="1777"/>
            <w:gridCol w:w="1623"/>
          </w:tblGrid>
          <w:tr>
            <w:trPr>
              <w:trHeight w:val="397"/>
              <w:tblHeader/>
              <w:jc w:val="center"/>
            </w:trPr>
            <w:tc>
              <w:tcPr>
                <w:tcW w:w="2818" w:type="dxa"/>
                <w:shd w:val="clear" w:color="auto" w:fill="auto"/>
                <w:noWrap/>
                <w:vAlign w:val="center"/>
              </w:tcPr>
              <w:p>
                <w:pPr>
                  <w:jc w:val="center"/>
                  <w:rPr>
                    <w:rFonts w:ascii="宋体" w:hAnsi="宋体" w:cs="宋体"/>
                    <w:b/>
                    <w:bCs/>
                    <w:color w:val="000000"/>
                  </w:rPr>
                </w:pPr>
                <w:bookmarkStart w:id="527" w:name="RANGE!C5147:G5157"/>
                <w:r>
                  <w:rPr>
                    <w:rFonts w:ascii="宋体" w:hAnsi="宋体" w:cs="宋体" w:hint="eastAsia"/>
                    <w:b/>
                    <w:bCs/>
                    <w:color w:val="000000"/>
                  </w:rPr>
                  <w:t>公司名称</w:t>
                </w:r>
                <w:bookmarkEnd w:id="527"/>
              </w:p>
            </w:tc>
            <w:tc>
              <w:tcPr>
                <w:tcW w:w="1018"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1343"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tc>
            <w:tc>
              <w:tcPr>
                <w:tcW w:w="1777"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业务性质</w:t>
                </w:r>
              </w:p>
            </w:tc>
            <w:tc>
              <w:tcPr>
                <w:tcW w:w="1623"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SMTScharfGmbH</w:t>
                </w:r>
              </w:p>
            </w:tc>
            <w:tc>
              <w:tcPr>
                <w:tcW w:w="1018" w:type="dxa"/>
                <w:vAlign w:val="center"/>
              </w:tcPr>
              <w:p>
                <w:pPr>
                  <w:snapToGrid w:val="0"/>
                  <w:spacing w:line="240" w:lineRule="atLeast"/>
                  <w:rPr>
                    <w:rFonts w:ascii="宋体" w:hAnsi="宋体" w:cs="宋体"/>
                  </w:rPr>
                </w:pPr>
                <w:r>
                  <w:rPr>
                    <w:rFonts w:ascii="宋体" w:hAnsi="宋体" w:cs="宋体" w:hint="eastAsia"/>
                  </w:rPr>
                  <w:t>德国</w:t>
                </w:r>
              </w:p>
            </w:tc>
            <w:tc>
              <w:tcPr>
                <w:tcW w:w="1343" w:type="dxa"/>
                <w:vAlign w:val="center"/>
              </w:tcPr>
              <w:p>
                <w:pPr>
                  <w:snapToGrid w:val="0"/>
                  <w:spacing w:line="240" w:lineRule="atLeast"/>
                  <w:rPr>
                    <w:rFonts w:ascii="宋体" w:hAnsi="宋体" w:cs="宋体"/>
                  </w:rPr>
                </w:pPr>
                <w:r>
                  <w:rPr>
                    <w:rFonts w:ascii="宋体" w:hAnsi="宋体" w:cs="宋体" w:hint="eastAsia"/>
                  </w:rPr>
                  <w:t>EUR25,001</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SerelektronikGmbH</w:t>
                </w:r>
              </w:p>
            </w:tc>
            <w:tc>
              <w:tcPr>
                <w:tcW w:w="1018" w:type="dxa"/>
                <w:vAlign w:val="center"/>
              </w:tcPr>
              <w:p>
                <w:pPr>
                  <w:snapToGrid w:val="0"/>
                  <w:spacing w:line="240" w:lineRule="atLeast"/>
                  <w:rPr>
                    <w:rFonts w:ascii="宋体" w:hAnsi="宋体" w:cs="宋体"/>
                  </w:rPr>
                </w:pPr>
                <w:r>
                  <w:rPr>
                    <w:rFonts w:ascii="宋体" w:hAnsi="宋体" w:cs="宋体" w:hint="eastAsia"/>
                  </w:rPr>
                  <w:t>德国</w:t>
                </w:r>
              </w:p>
            </w:tc>
            <w:tc>
              <w:tcPr>
                <w:tcW w:w="1343" w:type="dxa"/>
                <w:vAlign w:val="center"/>
              </w:tcPr>
              <w:p>
                <w:pPr>
                  <w:snapToGrid w:val="0"/>
                  <w:spacing w:line="240" w:lineRule="atLeast"/>
                  <w:rPr>
                    <w:rFonts w:ascii="宋体" w:hAnsi="宋体" w:cs="宋体"/>
                  </w:rPr>
                </w:pPr>
                <w:r>
                  <w:rPr>
                    <w:rFonts w:ascii="宋体" w:hAnsi="宋体" w:cs="宋体" w:hint="eastAsia"/>
                  </w:rPr>
                  <w:t>EUR30,600</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51</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SMTScharfPolskaSp.z.o.o.</w:t>
                </w:r>
              </w:p>
            </w:tc>
            <w:tc>
              <w:tcPr>
                <w:tcW w:w="1018" w:type="dxa"/>
                <w:vAlign w:val="center"/>
              </w:tcPr>
              <w:p>
                <w:pPr>
                  <w:snapToGrid w:val="0"/>
                  <w:spacing w:line="240" w:lineRule="atLeast"/>
                  <w:rPr>
                    <w:rFonts w:ascii="宋体" w:hAnsi="宋体" w:cs="宋体"/>
                  </w:rPr>
                </w:pPr>
                <w:r>
                  <w:rPr>
                    <w:rFonts w:ascii="宋体" w:hAnsi="宋体" w:cs="宋体" w:hint="eastAsia"/>
                  </w:rPr>
                  <w:t>波兰</w:t>
                </w:r>
              </w:p>
            </w:tc>
            <w:tc>
              <w:tcPr>
                <w:tcW w:w="1343" w:type="dxa"/>
                <w:vAlign w:val="center"/>
              </w:tcPr>
              <w:p>
                <w:pPr>
                  <w:snapToGrid w:val="0"/>
                  <w:spacing w:line="240" w:lineRule="atLeast"/>
                  <w:rPr>
                    <w:rFonts w:ascii="宋体" w:hAnsi="宋体" w:cs="宋体"/>
                  </w:rPr>
                </w:pPr>
                <w:r>
                  <w:rPr>
                    <w:rFonts w:ascii="宋体" w:hAnsi="宋体" w:cs="宋体" w:hint="eastAsia"/>
                  </w:rPr>
                  <w:t>PLN149,000</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SMTScharfAfrica(Pty.)Ltd</w:t>
                </w:r>
              </w:p>
            </w:tc>
            <w:tc>
              <w:tcPr>
                <w:tcW w:w="1018" w:type="dxa"/>
                <w:vAlign w:val="center"/>
              </w:tcPr>
              <w:p>
                <w:pPr>
                  <w:snapToGrid w:val="0"/>
                  <w:spacing w:line="240" w:lineRule="atLeast"/>
                  <w:rPr>
                    <w:rFonts w:ascii="宋体" w:hAnsi="宋体" w:cs="宋体"/>
                  </w:rPr>
                </w:pPr>
                <w:r>
                  <w:rPr>
                    <w:rFonts w:ascii="宋体" w:hAnsi="宋体" w:cs="宋体" w:hint="eastAsia"/>
                  </w:rPr>
                  <w:t>南非</w:t>
                </w:r>
              </w:p>
            </w:tc>
            <w:tc>
              <w:tcPr>
                <w:tcW w:w="1343" w:type="dxa"/>
                <w:vAlign w:val="center"/>
              </w:tcPr>
              <w:p>
                <w:pPr>
                  <w:snapToGrid w:val="0"/>
                  <w:spacing w:line="240" w:lineRule="atLeast"/>
                  <w:rPr>
                    <w:rFonts w:ascii="宋体" w:hAnsi="宋体" w:cs="宋体"/>
                  </w:rPr>
                </w:pPr>
                <w:r>
                  <w:rPr>
                    <w:rFonts w:ascii="宋体" w:hAnsi="宋体" w:cs="宋体" w:hint="eastAsia"/>
                  </w:rPr>
                  <w:t>ZAR100</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70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SMTScharfSudamericaSpA</w:t>
                </w:r>
              </w:p>
            </w:tc>
            <w:tc>
              <w:tcPr>
                <w:tcW w:w="1018" w:type="dxa"/>
                <w:vAlign w:val="center"/>
              </w:tcPr>
              <w:p>
                <w:pPr>
                  <w:snapToGrid w:val="0"/>
                  <w:spacing w:line="240" w:lineRule="atLeast"/>
                  <w:rPr>
                    <w:rFonts w:ascii="宋体" w:hAnsi="宋体" w:cs="宋体"/>
                  </w:rPr>
                </w:pPr>
                <w:r>
                  <w:rPr>
                    <w:rFonts w:ascii="宋体" w:hAnsi="宋体" w:cs="宋体" w:hint="eastAsia"/>
                  </w:rPr>
                  <w:t>智利</w:t>
                </w:r>
              </w:p>
            </w:tc>
            <w:tc>
              <w:tcPr>
                <w:tcW w:w="1343" w:type="dxa"/>
                <w:vAlign w:val="center"/>
              </w:tcPr>
              <w:p>
                <w:pPr>
                  <w:snapToGrid w:val="0"/>
                  <w:spacing w:line="240" w:lineRule="atLeast"/>
                  <w:rPr>
                    <w:rFonts w:ascii="宋体" w:hAnsi="宋体" w:cs="宋体"/>
                  </w:rPr>
                </w:pPr>
                <w:r>
                  <w:rPr>
                    <w:rFonts w:ascii="宋体" w:hAnsi="宋体" w:cs="宋体" w:hint="eastAsia"/>
                  </w:rPr>
                  <w:t>CLP75,221,158</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RDHMiningEquipment</w:t>
                </w:r>
              </w:p>
            </w:tc>
            <w:tc>
              <w:tcPr>
                <w:tcW w:w="1018" w:type="dxa"/>
                <w:vAlign w:val="center"/>
              </w:tcPr>
              <w:p>
                <w:pPr>
                  <w:snapToGrid w:val="0"/>
                  <w:spacing w:line="240" w:lineRule="atLeast"/>
                  <w:rPr>
                    <w:rFonts w:ascii="宋体" w:hAnsi="宋体" w:cs="宋体"/>
                  </w:rPr>
                </w:pPr>
                <w:r>
                  <w:rPr>
                    <w:rFonts w:ascii="宋体" w:hAnsi="宋体" w:cs="宋体" w:hint="eastAsia"/>
                  </w:rPr>
                  <w:t>加拿大</w:t>
                </w:r>
              </w:p>
            </w:tc>
            <w:tc>
              <w:tcPr>
                <w:tcW w:w="1343" w:type="dxa"/>
                <w:vAlign w:val="center"/>
              </w:tcPr>
              <w:p>
                <w:pPr>
                  <w:snapToGrid w:val="0"/>
                  <w:spacing w:line="240" w:lineRule="atLeast"/>
                  <w:rPr>
                    <w:rFonts w:ascii="宋体" w:hAnsi="宋体" w:cs="宋体"/>
                  </w:rPr>
                </w:pPr>
                <w:r>
                  <w:rPr>
                    <w:rFonts w:ascii="宋体" w:hAnsi="宋体" w:cs="宋体" w:hint="eastAsia"/>
                  </w:rPr>
                  <w:t>CAD400,004</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OOOSMTScharf</w:t>
                </w:r>
              </w:p>
            </w:tc>
            <w:tc>
              <w:tcPr>
                <w:tcW w:w="1018" w:type="dxa"/>
                <w:vAlign w:val="center"/>
              </w:tcPr>
              <w:p>
                <w:pPr>
                  <w:snapToGrid w:val="0"/>
                  <w:spacing w:line="240" w:lineRule="atLeast"/>
                  <w:rPr>
                    <w:rFonts w:ascii="宋体" w:hAnsi="宋体" w:cs="宋体"/>
                  </w:rPr>
                </w:pPr>
                <w:r>
                  <w:rPr>
                    <w:rFonts w:ascii="宋体" w:hAnsi="宋体" w:cs="宋体" w:hint="eastAsia"/>
                  </w:rPr>
                  <w:t>俄罗斯</w:t>
                </w:r>
              </w:p>
            </w:tc>
            <w:tc>
              <w:tcPr>
                <w:tcW w:w="1343" w:type="dxa"/>
                <w:vAlign w:val="center"/>
              </w:tcPr>
              <w:p>
                <w:pPr>
                  <w:snapToGrid w:val="0"/>
                  <w:spacing w:line="240" w:lineRule="atLeast"/>
                  <w:rPr>
                    <w:rFonts w:ascii="宋体" w:hAnsi="宋体" w:cs="宋体"/>
                  </w:rPr>
                </w:pPr>
                <w:r>
                  <w:rPr>
                    <w:rFonts w:ascii="宋体" w:hAnsi="宋体" w:cs="宋体" w:hint="eastAsia"/>
                  </w:rPr>
                  <w:t>RUB4,000,000</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OOOSMTScharfService</w:t>
                </w:r>
              </w:p>
            </w:tc>
            <w:tc>
              <w:tcPr>
                <w:tcW w:w="1018" w:type="dxa"/>
                <w:vAlign w:val="center"/>
              </w:tcPr>
              <w:p>
                <w:pPr>
                  <w:snapToGrid w:val="0"/>
                  <w:spacing w:line="240" w:lineRule="atLeast"/>
                  <w:rPr>
                    <w:rFonts w:ascii="宋体" w:hAnsi="宋体" w:cs="宋体"/>
                  </w:rPr>
                </w:pPr>
                <w:r>
                  <w:rPr>
                    <w:rFonts w:ascii="宋体" w:hAnsi="宋体" w:cs="宋体" w:hint="eastAsia"/>
                  </w:rPr>
                  <w:t>俄罗斯</w:t>
                </w:r>
              </w:p>
            </w:tc>
            <w:tc>
              <w:tcPr>
                <w:tcW w:w="1343" w:type="dxa"/>
                <w:vAlign w:val="center"/>
              </w:tcPr>
              <w:p>
                <w:pPr>
                  <w:snapToGrid w:val="0"/>
                  <w:spacing w:line="240" w:lineRule="atLeast"/>
                  <w:rPr>
                    <w:rFonts w:ascii="宋体" w:hAnsi="宋体" w:cs="宋体"/>
                  </w:rPr>
                </w:pPr>
                <w:r>
                  <w:rPr>
                    <w:rFonts w:ascii="宋体" w:hAnsi="宋体" w:cs="宋体" w:hint="eastAsia"/>
                  </w:rPr>
                  <w:t>RUB10,000</w:t>
                </w:r>
              </w:p>
            </w:tc>
            <w:tc>
              <w:tcPr>
                <w:tcW w:w="1777" w:type="dxa"/>
                <w:vAlign w:val="center"/>
              </w:tcPr>
              <w:p>
                <w:pPr>
                  <w:snapToGrid w:val="0"/>
                  <w:spacing w:line="240" w:lineRule="atLeast"/>
                  <w:rPr>
                    <w:rFonts w:ascii="宋体" w:hAnsi="宋体" w:cs="宋体"/>
                  </w:rPr>
                </w:pPr>
                <w:r>
                  <w:rPr>
                    <w:rFonts w:ascii="宋体" w:hAnsi="宋体" w:cs="宋体" w:hint="eastAsia"/>
                  </w:rPr>
                  <w:t>设备安装及服务</w:t>
                </w:r>
              </w:p>
            </w:tc>
            <w:tc>
              <w:tcPr>
                <w:tcW w:w="1623" w:type="dxa"/>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沙尔夫矿山机械（北京）有限公司</w:t>
                </w:r>
              </w:p>
            </w:tc>
            <w:tc>
              <w:tcPr>
                <w:tcW w:w="1018" w:type="dxa"/>
                <w:vAlign w:val="center"/>
              </w:tcPr>
              <w:p>
                <w:pPr>
                  <w:snapToGrid w:val="0"/>
                  <w:spacing w:line="240" w:lineRule="atLeast"/>
                  <w:rPr>
                    <w:rFonts w:ascii="宋体" w:hAnsi="宋体" w:cs="宋体"/>
                  </w:rPr>
                </w:pPr>
                <w:r>
                  <w:rPr>
                    <w:rFonts w:ascii="宋体" w:hAnsi="宋体" w:cs="宋体" w:hint="eastAsia"/>
                  </w:rPr>
                  <w:t>中国</w:t>
                </w:r>
              </w:p>
            </w:tc>
            <w:tc>
              <w:tcPr>
                <w:tcW w:w="1343" w:type="dxa"/>
                <w:vAlign w:val="center"/>
              </w:tcPr>
              <w:p>
                <w:pPr>
                  <w:snapToGrid w:val="0"/>
                  <w:spacing w:line="240" w:lineRule="atLeast"/>
                  <w:rPr>
                    <w:rFonts w:ascii="宋体" w:hAnsi="宋体" w:cs="宋体"/>
                  </w:rPr>
                </w:pPr>
                <w:r>
                  <w:rPr>
                    <w:rFonts w:ascii="宋体" w:hAnsi="宋体" w:cs="宋体" w:hint="eastAsia"/>
                  </w:rPr>
                  <w:t>107.518万元</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沙尔夫矿山机械（徐州）有限公司</w:t>
                </w:r>
              </w:p>
            </w:tc>
            <w:tc>
              <w:tcPr>
                <w:tcW w:w="1018" w:type="dxa"/>
                <w:vAlign w:val="center"/>
              </w:tcPr>
              <w:p>
                <w:pPr>
                  <w:snapToGrid w:val="0"/>
                  <w:spacing w:line="240" w:lineRule="atLeast"/>
                  <w:rPr>
                    <w:rFonts w:ascii="宋体" w:hAnsi="宋体" w:cs="宋体"/>
                  </w:rPr>
                </w:pPr>
                <w:r>
                  <w:rPr>
                    <w:rFonts w:ascii="宋体" w:hAnsi="宋体" w:cs="宋体" w:hint="eastAsia"/>
                  </w:rPr>
                  <w:t>中国</w:t>
                </w:r>
              </w:p>
            </w:tc>
            <w:tc>
              <w:tcPr>
                <w:tcW w:w="1343" w:type="dxa"/>
                <w:vAlign w:val="center"/>
              </w:tcPr>
              <w:p>
                <w:pPr>
                  <w:snapToGrid w:val="0"/>
                  <w:spacing w:line="240" w:lineRule="atLeast"/>
                  <w:rPr>
                    <w:rFonts w:ascii="宋体" w:hAnsi="宋体" w:cs="宋体"/>
                  </w:rPr>
                </w:pPr>
                <w:r>
                  <w:rPr>
                    <w:rFonts w:ascii="宋体" w:hAnsi="宋体" w:cs="宋体" w:hint="eastAsia"/>
                  </w:rPr>
                  <w:t>100万元</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100</w:t>
                </w:r>
              </w:p>
            </w:tc>
          </w:tr>
          <w:tr>
            <w:trPr>
              <w:trHeight w:val="397"/>
              <w:jc w:val="center"/>
            </w:trPr>
            <w:tc>
              <w:tcPr>
                <w:tcW w:w="2818" w:type="dxa"/>
                <w:vAlign w:val="center"/>
              </w:tcPr>
              <w:p>
                <w:pPr>
                  <w:snapToGrid w:val="0"/>
                  <w:spacing w:line="240" w:lineRule="atLeast"/>
                  <w:rPr>
                    <w:rFonts w:ascii="宋体" w:hAnsi="宋体" w:cs="宋体"/>
                  </w:rPr>
                </w:pPr>
                <w:r>
                  <w:rPr>
                    <w:rFonts w:ascii="宋体" w:hAnsi="宋体" w:cs="宋体" w:hint="eastAsia"/>
                  </w:rPr>
                  <w:t>山东新沙单轨运输装备有限公司</w:t>
                </w:r>
              </w:p>
            </w:tc>
            <w:tc>
              <w:tcPr>
                <w:tcW w:w="1018" w:type="dxa"/>
                <w:vAlign w:val="center"/>
              </w:tcPr>
              <w:p>
                <w:pPr>
                  <w:snapToGrid w:val="0"/>
                  <w:spacing w:line="240" w:lineRule="atLeast"/>
                  <w:rPr>
                    <w:rFonts w:ascii="宋体" w:hAnsi="宋体" w:cs="宋体"/>
                  </w:rPr>
                </w:pPr>
                <w:r>
                  <w:rPr>
                    <w:rFonts w:ascii="宋体" w:hAnsi="宋体" w:cs="宋体" w:hint="eastAsia"/>
                  </w:rPr>
                  <w:t>中国</w:t>
                </w:r>
              </w:p>
            </w:tc>
            <w:tc>
              <w:tcPr>
                <w:tcW w:w="1343" w:type="dxa"/>
                <w:vAlign w:val="center"/>
              </w:tcPr>
              <w:p>
                <w:pPr>
                  <w:snapToGrid w:val="0"/>
                  <w:spacing w:line="240" w:lineRule="atLeast"/>
                  <w:rPr>
                    <w:rFonts w:ascii="宋体" w:hAnsi="宋体" w:cs="宋体"/>
                  </w:rPr>
                </w:pPr>
                <w:r>
                  <w:rPr>
                    <w:rFonts w:ascii="宋体" w:hAnsi="宋体" w:cs="宋体" w:hint="eastAsia"/>
                  </w:rPr>
                  <w:t>7050万元</w:t>
                </w:r>
              </w:p>
            </w:tc>
            <w:tc>
              <w:tcPr>
                <w:tcW w:w="1777" w:type="dxa"/>
                <w:vAlign w:val="center"/>
              </w:tcPr>
              <w:p>
                <w:pPr>
                  <w:snapToGrid w:val="0"/>
                  <w:spacing w:line="240" w:lineRule="atLeast"/>
                  <w:rPr>
                    <w:rFonts w:ascii="宋体" w:hAnsi="宋体" w:cs="宋体"/>
                  </w:rPr>
                </w:pPr>
                <w:r>
                  <w:rPr>
                    <w:rFonts w:ascii="宋体" w:hAnsi="宋体" w:cs="宋体" w:hint="eastAsia"/>
                  </w:rPr>
                  <w:t>机械制造及设备安装</w:t>
                </w:r>
              </w:p>
            </w:tc>
            <w:tc>
              <w:tcPr>
                <w:tcW w:w="1623" w:type="dxa"/>
                <w:vAlign w:val="center"/>
              </w:tcPr>
              <w:p>
                <w:pPr>
                  <w:snapToGrid w:val="0"/>
                  <w:spacing w:line="240" w:lineRule="atLeast"/>
                  <w:jc w:val="center"/>
                  <w:rPr>
                    <w:rFonts w:ascii="宋体" w:hAnsi="宋体" w:cs="宋体"/>
                  </w:rPr>
                </w:pPr>
                <w:r>
                  <w:rPr>
                    <w:rFonts w:ascii="宋体" w:hAnsi="宋体" w:cs="宋体" w:hint="eastAsia"/>
                  </w:rPr>
                  <w:t>50</w:t>
                </w:r>
              </w:p>
            </w:tc>
          </w:tr>
        </w:tbl>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20)山东能源集团西北矿业有限公司</w:t>
          </w:r>
        </w:p>
        <w:p>
          <w:pPr>
            <w:autoSpaceDE w:val="0"/>
            <w:autoSpaceDN w:val="0"/>
            <w:adjustRightInd w:val="0"/>
            <w:spacing w:line="360" w:lineRule="exact"/>
            <w:ind w:firstLine="420"/>
            <w:rPr>
              <w:rFonts w:ascii="宋体" w:hAnsi="宋体" w:cs="宋体"/>
            </w:rPr>
          </w:pPr>
          <w:r>
            <w:rPr>
              <w:rFonts w:ascii="宋体" w:hAnsi="宋体" w:cs="宋体" w:hint="eastAsia"/>
            </w:rPr>
            <w:lastRenderedPageBreak/>
            <w:t>山东能源集团西北矿业有限公司（以下简称“西北矿业”）系本集团之子公司，成立于2021年12月14日，注册资本为755,102.0408万元人民币。公司法人营业执照统一社会信用代码：91610132MA7E2WGU8C。本集团于2025年以支付现金的方式收购西北矿业51%股权，本次变更后本集团持股比例为51%；淄博矿业集团有限责任公司持股比例为49%。西北矿业主要从事煤炭洗选及矿山机械制造等。</w:t>
          </w:r>
        </w:p>
        <w:p>
          <w:pPr>
            <w:autoSpaceDE w:val="0"/>
            <w:autoSpaceDN w:val="0"/>
            <w:adjustRightInd w:val="0"/>
            <w:spacing w:line="360" w:lineRule="exact"/>
            <w:ind w:firstLine="420"/>
            <w:rPr>
              <w:rFonts w:ascii="宋体" w:hAnsi="宋体" w:cs="宋体"/>
            </w:rPr>
          </w:pPr>
          <w:r>
            <w:rPr>
              <w:rFonts w:ascii="宋体" w:hAnsi="宋体" w:cs="宋体" w:hint="eastAsia"/>
            </w:rPr>
            <w:t>西北矿业主要控股子公司如下：</w:t>
          </w:r>
        </w:p>
        <w:tbl>
          <w:tblPr>
            <w:tblStyle w:val="Style100"/>
            <w:tblW w:w="921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66|0|desc|||0|1"/>
          </w:tblPr>
          <w:tblGrid>
            <w:gridCol w:w="2972"/>
            <w:gridCol w:w="1502"/>
            <w:gridCol w:w="1649"/>
            <w:gridCol w:w="1753"/>
            <w:gridCol w:w="1341"/>
          </w:tblGrid>
          <w:tr>
            <w:trPr>
              <w:trHeight w:val="397"/>
              <w:tblHeader/>
              <w:jc w:val="center"/>
            </w:trPr>
            <w:tc>
              <w:tcPr>
                <w:tcW w:w="2972" w:type="dxa"/>
                <w:shd w:val="clear" w:color="auto" w:fill="auto"/>
                <w:noWrap/>
                <w:vAlign w:val="center"/>
              </w:tcPr>
              <w:p>
                <w:pPr>
                  <w:jc w:val="center"/>
                  <w:rPr>
                    <w:rFonts w:ascii="宋体" w:hAnsi="宋体" w:cs="宋体"/>
                    <w:b/>
                    <w:bCs/>
                    <w:color w:val="000000"/>
                  </w:rPr>
                </w:pPr>
                <w:bookmarkStart w:id="528" w:name="_Hlk224591646"/>
                <w:r>
                  <w:rPr>
                    <w:rFonts w:ascii="宋体" w:hAnsi="宋体" w:cs="宋体" w:hint="eastAsia"/>
                    <w:b/>
                    <w:bCs/>
                    <w:color w:val="000000"/>
                  </w:rPr>
                  <w:t>公司名称</w:t>
                </w:r>
              </w:p>
            </w:tc>
            <w:tc>
              <w:tcPr>
                <w:tcW w:w="1502"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注册地</w:t>
                </w:r>
              </w:p>
            </w:tc>
            <w:tc>
              <w:tcPr>
                <w:tcW w:w="1649"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注册资本</w:t>
                </w:r>
              </w:p>
            </w:tc>
            <w:tc>
              <w:tcPr>
                <w:tcW w:w="1753"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业务性质</w:t>
                </w:r>
              </w:p>
            </w:tc>
            <w:tc>
              <w:tcPr>
                <w:tcW w:w="1341" w:type="dxa"/>
                <w:shd w:val="clear" w:color="auto" w:fill="auto"/>
                <w:noWrap/>
                <w:vAlign w:val="center"/>
              </w:tcPr>
              <w:p>
                <w:pPr>
                  <w:jc w:val="center"/>
                  <w:rPr>
                    <w:rFonts w:ascii="宋体" w:hAnsi="宋体" w:cs="宋体"/>
                    <w:b/>
                    <w:bCs/>
                    <w:color w:val="000000"/>
                  </w:rPr>
                </w:pPr>
                <w:r>
                  <w:rPr>
                    <w:rFonts w:ascii="宋体" w:hAnsi="宋体" w:cs="宋体" w:hint="eastAsia"/>
                    <w:b/>
                    <w:bCs/>
                    <w:color w:val="000000"/>
                  </w:rPr>
                  <w:t>持股比例（%）</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陕西正通煤业有限责任公司</w:t>
                </w:r>
              </w:p>
            </w:tc>
            <w:tc>
              <w:tcPr>
                <w:tcW w:w="1502" w:type="dxa"/>
                <w:vAlign w:val="center"/>
              </w:tcPr>
              <w:p>
                <w:pPr>
                  <w:rPr>
                    <w:rFonts w:ascii="宋体" w:hAnsi="宋体" w:cs="宋体"/>
                    <w:color w:val="000000"/>
                  </w:rPr>
                </w:pPr>
                <w:r>
                  <w:rPr>
                    <w:rFonts w:ascii="宋体" w:hAnsi="宋体" w:cs="宋体" w:hint="eastAsia"/>
                    <w:color w:val="000000"/>
                  </w:rPr>
                  <w:t>陕西长武</w:t>
                </w:r>
              </w:p>
            </w:tc>
            <w:tc>
              <w:tcPr>
                <w:tcW w:w="1649" w:type="dxa"/>
                <w:vAlign w:val="center"/>
              </w:tcPr>
              <w:p>
                <w:pPr>
                  <w:rPr>
                    <w:rFonts w:ascii="宋体" w:hAnsi="宋体" w:cs="宋体"/>
                    <w:color w:val="000000"/>
                  </w:rPr>
                </w:pPr>
                <w:r>
                  <w:rPr>
                    <w:rFonts w:ascii="宋体" w:hAnsi="宋体" w:cs="宋体" w:hint="eastAsia"/>
                    <w:color w:val="000000"/>
                  </w:rPr>
                  <w:t>200,000万元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甘肃灵台邵寨煤业有限公司</w:t>
                </w:r>
              </w:p>
            </w:tc>
            <w:tc>
              <w:tcPr>
                <w:tcW w:w="1502" w:type="dxa"/>
                <w:vAlign w:val="center"/>
              </w:tcPr>
              <w:p>
                <w:pPr>
                  <w:rPr>
                    <w:rFonts w:ascii="宋体" w:hAnsi="宋体" w:cs="宋体"/>
                    <w:color w:val="000000"/>
                  </w:rPr>
                </w:pPr>
                <w:r>
                  <w:rPr>
                    <w:rFonts w:ascii="宋体" w:hAnsi="宋体" w:cs="宋体" w:hint="eastAsia"/>
                    <w:color w:val="000000"/>
                  </w:rPr>
                  <w:t>甘肃平凉</w:t>
                </w:r>
              </w:p>
            </w:tc>
            <w:tc>
              <w:tcPr>
                <w:tcW w:w="1649" w:type="dxa"/>
                <w:vAlign w:val="center"/>
              </w:tcPr>
              <w:p>
                <w:pPr>
                  <w:rPr>
                    <w:rFonts w:ascii="宋体" w:hAnsi="宋体" w:cs="宋体"/>
                    <w:color w:val="000000"/>
                  </w:rPr>
                </w:pPr>
                <w:r>
                  <w:rPr>
                    <w:rFonts w:ascii="宋体" w:hAnsi="宋体" w:cs="宋体" w:hint="eastAsia"/>
                    <w:color w:val="000000"/>
                  </w:rPr>
                  <w:t>108,000万元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平凉五举煤业有限公司</w:t>
                </w:r>
              </w:p>
            </w:tc>
            <w:tc>
              <w:tcPr>
                <w:tcW w:w="1502" w:type="dxa"/>
                <w:vAlign w:val="center"/>
              </w:tcPr>
              <w:p>
                <w:pPr>
                  <w:rPr>
                    <w:rFonts w:ascii="宋体" w:hAnsi="宋体" w:cs="宋体"/>
                    <w:color w:val="000000"/>
                  </w:rPr>
                </w:pPr>
                <w:r>
                  <w:rPr>
                    <w:rFonts w:ascii="宋体" w:hAnsi="宋体" w:cs="宋体" w:hint="eastAsia"/>
                    <w:color w:val="000000"/>
                  </w:rPr>
                  <w:t>甘肃平凉</w:t>
                </w:r>
              </w:p>
            </w:tc>
            <w:tc>
              <w:tcPr>
                <w:tcW w:w="1649" w:type="dxa"/>
                <w:vAlign w:val="center"/>
              </w:tcPr>
              <w:p>
                <w:pPr>
                  <w:rPr>
                    <w:rFonts w:ascii="宋体" w:hAnsi="宋体" w:cs="宋体"/>
                    <w:color w:val="000000"/>
                  </w:rPr>
                </w:pPr>
                <w:r>
                  <w:rPr>
                    <w:rFonts w:ascii="宋体" w:hAnsi="宋体" w:cs="宋体" w:hint="eastAsia"/>
                    <w:color w:val="000000"/>
                  </w:rPr>
                  <w:t>165,401.28万元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60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平煤长安能源开发有限公司</w:t>
                </w:r>
              </w:p>
            </w:tc>
            <w:tc>
              <w:tcPr>
                <w:tcW w:w="1502" w:type="dxa"/>
                <w:vAlign w:val="center"/>
              </w:tcPr>
              <w:p>
                <w:pPr>
                  <w:rPr>
                    <w:rFonts w:ascii="宋体" w:hAnsi="宋体" w:cs="宋体"/>
                    <w:color w:val="000000"/>
                  </w:rPr>
                </w:pPr>
                <w:r>
                  <w:rPr>
                    <w:rFonts w:ascii="宋体" w:hAnsi="宋体" w:cs="宋体" w:hint="eastAsia"/>
                    <w:color w:val="000000"/>
                  </w:rPr>
                  <w:t>陕西长武</w:t>
                </w:r>
              </w:p>
            </w:tc>
            <w:tc>
              <w:tcPr>
                <w:tcW w:w="1649" w:type="dxa"/>
                <w:vAlign w:val="center"/>
              </w:tcPr>
              <w:p>
                <w:pPr>
                  <w:rPr>
                    <w:rFonts w:ascii="宋体" w:hAnsi="宋体" w:cs="宋体"/>
                    <w:color w:val="000000"/>
                  </w:rPr>
                </w:pPr>
                <w:r>
                  <w:rPr>
                    <w:rFonts w:ascii="宋体" w:hAnsi="宋体" w:cs="宋体" w:hint="eastAsia"/>
                    <w:color w:val="000000"/>
                  </w:rPr>
                  <w:t>100,000万元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60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陕西盈动矿业有限责任公司</w:t>
                </w:r>
              </w:p>
            </w:tc>
            <w:tc>
              <w:tcPr>
                <w:tcW w:w="1502" w:type="dxa"/>
                <w:vAlign w:val="center"/>
              </w:tcPr>
              <w:p>
                <w:pPr>
                  <w:rPr>
                    <w:rFonts w:ascii="宋体" w:hAnsi="宋体" w:cs="宋体"/>
                    <w:color w:val="000000"/>
                  </w:rPr>
                </w:pPr>
                <w:r>
                  <w:rPr>
                    <w:rFonts w:ascii="宋体" w:hAnsi="宋体" w:cs="宋体" w:hint="eastAsia"/>
                    <w:color w:val="000000"/>
                  </w:rPr>
                  <w:t>陕西长武</w:t>
                </w:r>
              </w:p>
            </w:tc>
            <w:tc>
              <w:tcPr>
                <w:tcW w:w="1649" w:type="dxa"/>
                <w:vAlign w:val="center"/>
              </w:tcPr>
              <w:p>
                <w:pPr>
                  <w:rPr>
                    <w:rFonts w:ascii="宋体" w:hAnsi="宋体" w:cs="宋体"/>
                    <w:color w:val="000000"/>
                  </w:rPr>
                </w:pPr>
                <w:r>
                  <w:rPr>
                    <w:rFonts w:ascii="宋体" w:hAnsi="宋体" w:cs="宋体" w:hint="eastAsia"/>
                    <w:color w:val="000000"/>
                  </w:rPr>
                  <w:t>10,500万元</w:t>
                </w:r>
              </w:p>
            </w:tc>
            <w:tc>
              <w:tcPr>
                <w:tcW w:w="1753" w:type="dxa"/>
                <w:vAlign w:val="center"/>
              </w:tcPr>
              <w:p>
                <w:pPr>
                  <w:rPr>
                    <w:rFonts w:ascii="宋体" w:hAnsi="宋体" w:cs="宋体"/>
                    <w:color w:val="000000"/>
                  </w:rPr>
                </w:pPr>
                <w:r>
                  <w:rPr>
                    <w:rFonts w:ascii="宋体" w:hAnsi="宋体" w:cs="宋体" w:hint="eastAsia"/>
                    <w:color w:val="000000"/>
                  </w:rPr>
                  <w:t>煤炭及制品批发</w:t>
                </w:r>
              </w:p>
            </w:tc>
            <w:tc>
              <w:tcPr>
                <w:tcW w:w="1341" w:type="dxa"/>
                <w:vAlign w:val="center"/>
              </w:tcPr>
              <w:p>
                <w:pPr>
                  <w:jc w:val="center"/>
                  <w:rPr>
                    <w:rFonts w:ascii="宋体" w:hAnsi="宋体" w:cs="宋体"/>
                    <w:color w:val="000000"/>
                  </w:rPr>
                </w:pPr>
                <w:r>
                  <w:rPr>
                    <w:rFonts w:ascii="宋体" w:hAnsi="宋体" w:cs="宋体" w:hint="eastAsia"/>
                    <w:color w:val="000000"/>
                  </w:rPr>
                  <w:t>77</w:t>
                </w:r>
                <w:r>
                  <w:rPr>
                    <w:rFonts w:ascii="宋体" w:hAnsi="宋体" w:cs="宋体"/>
                    <w:color w:val="000000"/>
                  </w:rPr>
                  <w:t>.54</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陕西长武亭南煤业有限责任公司</w:t>
                </w:r>
              </w:p>
            </w:tc>
            <w:tc>
              <w:tcPr>
                <w:tcW w:w="1502" w:type="dxa"/>
                <w:vAlign w:val="center"/>
              </w:tcPr>
              <w:p>
                <w:pPr>
                  <w:rPr>
                    <w:rFonts w:ascii="宋体" w:hAnsi="宋体" w:cs="宋体"/>
                    <w:color w:val="000000"/>
                  </w:rPr>
                </w:pPr>
                <w:r>
                  <w:rPr>
                    <w:rFonts w:ascii="宋体" w:hAnsi="宋体" w:cs="宋体" w:hint="eastAsia"/>
                    <w:color w:val="000000"/>
                  </w:rPr>
                  <w:t>陕西长武</w:t>
                </w:r>
              </w:p>
            </w:tc>
            <w:tc>
              <w:tcPr>
                <w:tcW w:w="1649" w:type="dxa"/>
                <w:vAlign w:val="center"/>
              </w:tcPr>
              <w:p>
                <w:pPr>
                  <w:rPr>
                    <w:rFonts w:ascii="宋体" w:hAnsi="宋体" w:cs="宋体"/>
                    <w:color w:val="000000"/>
                  </w:rPr>
                </w:pPr>
                <w:r>
                  <w:rPr>
                    <w:rFonts w:ascii="宋体" w:hAnsi="宋体" w:cs="宋体" w:hint="eastAsia"/>
                    <w:color w:val="000000"/>
                  </w:rPr>
                  <w:t>30,000万元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内蒙古双欣矿业有限公司</w:t>
                </w:r>
              </w:p>
            </w:tc>
            <w:tc>
              <w:tcPr>
                <w:tcW w:w="1502" w:type="dxa"/>
                <w:vAlign w:val="center"/>
              </w:tcPr>
              <w:p>
                <w:pPr>
                  <w:rPr>
                    <w:rFonts w:ascii="宋体" w:hAnsi="宋体" w:cs="宋体"/>
                    <w:color w:val="000000"/>
                  </w:rPr>
                </w:pPr>
                <w:r>
                  <w:rPr>
                    <w:rFonts w:ascii="宋体" w:hAnsi="宋体" w:cs="宋体" w:hint="eastAsia"/>
                    <w:color w:val="000000"/>
                  </w:rPr>
                  <w:t>内蒙古鄂尔多斯</w:t>
                </w:r>
              </w:p>
            </w:tc>
            <w:tc>
              <w:tcPr>
                <w:tcW w:w="1649" w:type="dxa"/>
                <w:vAlign w:val="center"/>
              </w:tcPr>
              <w:p>
                <w:pPr>
                  <w:rPr>
                    <w:rFonts w:ascii="宋体" w:hAnsi="宋体" w:cs="宋体"/>
                    <w:color w:val="000000"/>
                  </w:rPr>
                </w:pPr>
                <w:r>
                  <w:rPr>
                    <w:rFonts w:ascii="宋体" w:hAnsi="宋体" w:cs="宋体" w:hint="eastAsia"/>
                    <w:color w:val="000000"/>
                  </w:rPr>
                  <w:t>50,000万元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55</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陕西博选科技有限公司</w:t>
                </w:r>
              </w:p>
            </w:tc>
            <w:tc>
              <w:tcPr>
                <w:tcW w:w="1502" w:type="dxa"/>
                <w:vAlign w:val="center"/>
              </w:tcPr>
              <w:p>
                <w:pPr>
                  <w:rPr>
                    <w:rFonts w:ascii="宋体" w:hAnsi="宋体" w:cs="宋体"/>
                    <w:color w:val="000000"/>
                  </w:rPr>
                </w:pPr>
                <w:r>
                  <w:rPr>
                    <w:rFonts w:ascii="宋体" w:hAnsi="宋体" w:cs="宋体" w:hint="eastAsia"/>
                    <w:color w:val="000000"/>
                  </w:rPr>
                  <w:t>陕西西安</w:t>
                </w:r>
              </w:p>
            </w:tc>
            <w:tc>
              <w:tcPr>
                <w:tcW w:w="1649" w:type="dxa"/>
                <w:vAlign w:val="center"/>
              </w:tcPr>
              <w:p>
                <w:pPr>
                  <w:rPr>
                    <w:rFonts w:ascii="宋体" w:hAnsi="宋体" w:cs="宋体"/>
                    <w:color w:val="000000"/>
                  </w:rPr>
                </w:pPr>
                <w:r>
                  <w:rPr>
                    <w:rFonts w:ascii="宋体" w:hAnsi="宋体" w:cs="宋体" w:hint="eastAsia"/>
                    <w:color w:val="000000"/>
                  </w:rPr>
                  <w:t>15,000万元</w:t>
                </w:r>
              </w:p>
            </w:tc>
            <w:tc>
              <w:tcPr>
                <w:tcW w:w="1753" w:type="dxa"/>
                <w:vAlign w:val="center"/>
              </w:tcPr>
              <w:p>
                <w:pPr>
                  <w:rPr>
                    <w:rFonts w:ascii="宋体" w:hAnsi="宋体" w:cs="宋体"/>
                    <w:color w:val="000000"/>
                  </w:rPr>
                </w:pPr>
                <w:r>
                  <w:rPr>
                    <w:rFonts w:ascii="宋体" w:hAnsi="宋体" w:cs="宋体" w:hint="eastAsia"/>
                    <w:color w:val="000000"/>
                  </w:rPr>
                  <w:t>商务服务业</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淄博爱科工矿机械有限公司</w:t>
                </w:r>
              </w:p>
            </w:tc>
            <w:tc>
              <w:tcPr>
                <w:tcW w:w="1502" w:type="dxa"/>
                <w:vAlign w:val="center"/>
              </w:tcPr>
              <w:p>
                <w:pPr>
                  <w:rPr>
                    <w:rFonts w:ascii="宋体" w:hAnsi="宋体" w:cs="宋体"/>
                    <w:color w:val="000000"/>
                  </w:rPr>
                </w:pPr>
                <w:r>
                  <w:rPr>
                    <w:rFonts w:ascii="宋体" w:hAnsi="宋体" w:cs="宋体" w:hint="eastAsia"/>
                    <w:color w:val="000000"/>
                  </w:rPr>
                  <w:t>山东淄博</w:t>
                </w:r>
              </w:p>
            </w:tc>
            <w:tc>
              <w:tcPr>
                <w:tcW w:w="1649" w:type="dxa"/>
                <w:vAlign w:val="center"/>
              </w:tcPr>
              <w:p>
                <w:pPr>
                  <w:rPr>
                    <w:rFonts w:ascii="宋体" w:hAnsi="宋体" w:cs="宋体"/>
                    <w:color w:val="000000"/>
                  </w:rPr>
                </w:pPr>
                <w:r>
                  <w:rPr>
                    <w:rFonts w:ascii="宋体" w:hAnsi="宋体" w:cs="宋体" w:hint="eastAsia"/>
                    <w:color w:val="000000"/>
                  </w:rPr>
                  <w:t>15,000万元</w:t>
                </w:r>
              </w:p>
            </w:tc>
            <w:tc>
              <w:tcPr>
                <w:tcW w:w="1753" w:type="dxa"/>
                <w:vAlign w:val="center"/>
              </w:tcPr>
              <w:p>
                <w:pPr>
                  <w:rPr>
                    <w:rFonts w:ascii="宋体" w:hAnsi="宋体" w:cs="宋体"/>
                    <w:color w:val="000000"/>
                  </w:rPr>
                </w:pPr>
                <w:r>
                  <w:rPr>
                    <w:rFonts w:ascii="宋体" w:hAnsi="宋体" w:cs="宋体" w:hint="eastAsia"/>
                    <w:color w:val="000000"/>
                  </w:rPr>
                  <w:t>其他金属加工机械制造</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陕西万华煤矿装备制造有限公司</w:t>
                </w:r>
              </w:p>
            </w:tc>
            <w:tc>
              <w:tcPr>
                <w:tcW w:w="1502" w:type="dxa"/>
                <w:vAlign w:val="center"/>
              </w:tcPr>
              <w:p>
                <w:pPr>
                  <w:rPr>
                    <w:rFonts w:ascii="宋体" w:hAnsi="宋体" w:cs="宋体"/>
                    <w:color w:val="000000"/>
                  </w:rPr>
                </w:pPr>
                <w:r>
                  <w:rPr>
                    <w:rFonts w:ascii="宋体" w:hAnsi="宋体" w:cs="宋体" w:hint="eastAsia"/>
                    <w:color w:val="000000"/>
                  </w:rPr>
                  <w:t>陕西长武</w:t>
                </w:r>
              </w:p>
            </w:tc>
            <w:tc>
              <w:tcPr>
                <w:tcW w:w="1649" w:type="dxa"/>
                <w:vAlign w:val="center"/>
              </w:tcPr>
              <w:p>
                <w:pPr>
                  <w:rPr>
                    <w:rFonts w:ascii="宋体" w:hAnsi="宋体" w:cs="宋体"/>
                    <w:color w:val="000000"/>
                  </w:rPr>
                </w:pPr>
                <w:r>
                  <w:rPr>
                    <w:rFonts w:ascii="宋体" w:hAnsi="宋体" w:cs="宋体" w:hint="eastAsia"/>
                    <w:color w:val="000000"/>
                  </w:rPr>
                  <w:t>2,100万元</w:t>
                </w:r>
              </w:p>
            </w:tc>
            <w:tc>
              <w:tcPr>
                <w:tcW w:w="1753" w:type="dxa"/>
                <w:vAlign w:val="center"/>
              </w:tcPr>
              <w:p>
                <w:pPr>
                  <w:rPr>
                    <w:rFonts w:ascii="宋体" w:hAnsi="宋体" w:cs="宋体"/>
                    <w:color w:val="000000"/>
                  </w:rPr>
                </w:pPr>
                <w:r>
                  <w:rPr>
                    <w:rFonts w:ascii="宋体" w:hAnsi="宋体" w:cs="宋体" w:hint="eastAsia"/>
                    <w:color w:val="000000"/>
                  </w:rPr>
                  <w:t>矿山机械制造</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蚂蚁城（西安）科技有限公司</w:t>
                </w:r>
              </w:p>
            </w:tc>
            <w:tc>
              <w:tcPr>
                <w:tcW w:w="1502" w:type="dxa"/>
                <w:vAlign w:val="center"/>
              </w:tcPr>
              <w:p>
                <w:pPr>
                  <w:rPr>
                    <w:rFonts w:ascii="宋体" w:hAnsi="宋体" w:cs="宋体"/>
                    <w:color w:val="000000"/>
                  </w:rPr>
                </w:pPr>
                <w:r>
                  <w:rPr>
                    <w:rFonts w:ascii="宋体" w:hAnsi="宋体" w:cs="宋体" w:hint="eastAsia"/>
                    <w:color w:val="000000"/>
                  </w:rPr>
                  <w:t>陕西西安</w:t>
                </w:r>
              </w:p>
            </w:tc>
            <w:tc>
              <w:tcPr>
                <w:tcW w:w="1649" w:type="dxa"/>
                <w:vAlign w:val="center"/>
              </w:tcPr>
              <w:p>
                <w:pPr>
                  <w:rPr>
                    <w:rFonts w:ascii="宋体" w:hAnsi="宋体" w:cs="宋体"/>
                    <w:color w:val="000000"/>
                  </w:rPr>
                </w:pPr>
                <w:r>
                  <w:rPr>
                    <w:rFonts w:ascii="宋体" w:hAnsi="宋体" w:cs="宋体" w:hint="eastAsia"/>
                    <w:color w:val="000000"/>
                  </w:rPr>
                  <w:t>600万元</w:t>
                </w:r>
              </w:p>
            </w:tc>
            <w:tc>
              <w:tcPr>
                <w:tcW w:w="1753" w:type="dxa"/>
                <w:vAlign w:val="center"/>
              </w:tcPr>
              <w:p>
                <w:pPr>
                  <w:rPr>
                    <w:rFonts w:ascii="宋体" w:hAnsi="宋体" w:cs="宋体"/>
                    <w:color w:val="000000"/>
                  </w:rPr>
                </w:pPr>
                <w:r>
                  <w:rPr>
                    <w:rFonts w:ascii="宋体" w:hAnsi="宋体" w:cs="宋体" w:hint="eastAsia"/>
                    <w:color w:val="000000"/>
                  </w:rPr>
                  <w:t>商务服务业</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陕西永明煤矿有限公司</w:t>
                </w:r>
              </w:p>
            </w:tc>
            <w:tc>
              <w:tcPr>
                <w:tcW w:w="1502" w:type="dxa"/>
                <w:vAlign w:val="center"/>
              </w:tcPr>
              <w:p>
                <w:pPr>
                  <w:rPr>
                    <w:rFonts w:ascii="宋体" w:hAnsi="宋体" w:cs="宋体"/>
                    <w:color w:val="000000"/>
                  </w:rPr>
                </w:pPr>
                <w:r>
                  <w:rPr>
                    <w:rFonts w:ascii="宋体" w:hAnsi="宋体" w:cs="宋体" w:hint="eastAsia"/>
                    <w:color w:val="000000"/>
                  </w:rPr>
                  <w:t>陕西延安</w:t>
                </w:r>
              </w:p>
            </w:tc>
            <w:tc>
              <w:tcPr>
                <w:tcW w:w="1649" w:type="dxa"/>
                <w:vAlign w:val="center"/>
              </w:tcPr>
              <w:p>
                <w:pPr>
                  <w:rPr>
                    <w:rFonts w:ascii="宋体" w:hAnsi="宋体" w:cs="宋体"/>
                    <w:color w:val="000000"/>
                  </w:rPr>
                </w:pPr>
                <w:r>
                  <w:rPr>
                    <w:rFonts w:ascii="宋体" w:hAnsi="宋体" w:cs="宋体" w:hint="eastAsia"/>
                    <w:color w:val="000000"/>
                  </w:rPr>
                  <w:t>1,000万元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51</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山西龙矿能源投资开发有限公司</w:t>
                </w:r>
              </w:p>
            </w:tc>
            <w:tc>
              <w:tcPr>
                <w:tcW w:w="1502" w:type="dxa"/>
                <w:vAlign w:val="center"/>
              </w:tcPr>
              <w:p>
                <w:pPr>
                  <w:rPr>
                    <w:rFonts w:ascii="宋体" w:hAnsi="宋体" w:cs="宋体"/>
                    <w:color w:val="000000"/>
                  </w:rPr>
                </w:pPr>
                <w:r>
                  <w:rPr>
                    <w:rFonts w:ascii="宋体" w:hAnsi="宋体" w:cs="宋体" w:hint="eastAsia"/>
                    <w:color w:val="000000"/>
                  </w:rPr>
                  <w:t>山西朔州</w:t>
                </w:r>
              </w:p>
            </w:tc>
            <w:tc>
              <w:tcPr>
                <w:tcW w:w="1649" w:type="dxa"/>
                <w:vAlign w:val="center"/>
              </w:tcPr>
              <w:p>
                <w:pPr>
                  <w:rPr>
                    <w:rFonts w:ascii="宋体" w:hAnsi="宋体" w:cs="宋体"/>
                    <w:color w:val="000000"/>
                  </w:rPr>
                </w:pPr>
                <w:r>
                  <w:rPr>
                    <w:rFonts w:ascii="宋体" w:hAnsi="宋体" w:cs="宋体" w:hint="eastAsia"/>
                    <w:color w:val="000000"/>
                  </w:rPr>
                  <w:t>5,000万元</w:t>
                </w:r>
              </w:p>
            </w:tc>
            <w:tc>
              <w:tcPr>
                <w:tcW w:w="1753" w:type="dxa"/>
                <w:vAlign w:val="center"/>
              </w:tcPr>
              <w:p>
                <w:pPr>
                  <w:rPr>
                    <w:rFonts w:ascii="宋体" w:hAnsi="宋体" w:cs="宋体"/>
                    <w:color w:val="000000"/>
                  </w:rPr>
                </w:pPr>
                <w:r>
                  <w:rPr>
                    <w:rFonts w:ascii="宋体" w:hAnsi="宋体" w:cs="宋体" w:hint="eastAsia"/>
                    <w:color w:val="000000"/>
                  </w:rPr>
                  <w:t>煤炭及制品批发</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山西朔州平鲁区龙矿大恒煤业有限公司</w:t>
                </w:r>
              </w:p>
            </w:tc>
            <w:tc>
              <w:tcPr>
                <w:tcW w:w="1502" w:type="dxa"/>
                <w:vAlign w:val="center"/>
              </w:tcPr>
              <w:p>
                <w:pPr>
                  <w:rPr>
                    <w:rFonts w:ascii="宋体" w:hAnsi="宋体" w:cs="宋体"/>
                    <w:color w:val="000000"/>
                  </w:rPr>
                </w:pPr>
                <w:r>
                  <w:rPr>
                    <w:rFonts w:ascii="宋体" w:hAnsi="宋体" w:cs="宋体" w:hint="eastAsia"/>
                    <w:color w:val="000000"/>
                  </w:rPr>
                  <w:t>山西朔州</w:t>
                </w:r>
              </w:p>
            </w:tc>
            <w:tc>
              <w:tcPr>
                <w:tcW w:w="1649" w:type="dxa"/>
                <w:vAlign w:val="center"/>
              </w:tcPr>
              <w:p>
                <w:pPr>
                  <w:rPr>
                    <w:rFonts w:ascii="宋体" w:hAnsi="宋体" w:cs="宋体"/>
                    <w:color w:val="000000"/>
                  </w:rPr>
                </w:pPr>
                <w:r>
                  <w:rPr>
                    <w:rFonts w:ascii="宋体" w:hAnsi="宋体" w:cs="宋体" w:hint="eastAsia"/>
                    <w:color w:val="000000"/>
                  </w:rPr>
                  <w:t>300万元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80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山西忻州神达望田煤业有限公司</w:t>
                </w:r>
              </w:p>
            </w:tc>
            <w:tc>
              <w:tcPr>
                <w:tcW w:w="1502" w:type="dxa"/>
                <w:vAlign w:val="center"/>
              </w:tcPr>
              <w:p>
                <w:pPr>
                  <w:rPr>
                    <w:rFonts w:ascii="宋体" w:hAnsi="宋体" w:cs="宋体"/>
                    <w:color w:val="000000"/>
                  </w:rPr>
                </w:pPr>
                <w:r>
                  <w:rPr>
                    <w:rFonts w:ascii="宋体" w:hAnsi="宋体" w:cs="宋体" w:hint="eastAsia"/>
                    <w:color w:val="000000"/>
                  </w:rPr>
                  <w:t>山西朔州</w:t>
                </w:r>
              </w:p>
            </w:tc>
            <w:tc>
              <w:tcPr>
                <w:tcW w:w="1649" w:type="dxa"/>
                <w:vAlign w:val="center"/>
              </w:tcPr>
              <w:p>
                <w:pPr>
                  <w:rPr>
                    <w:rFonts w:ascii="宋体" w:hAnsi="宋体" w:cs="宋体"/>
                    <w:color w:val="000000"/>
                  </w:rPr>
                </w:pPr>
                <w:r>
                  <w:rPr>
                    <w:rFonts w:ascii="宋体" w:hAnsi="宋体" w:cs="宋体" w:hint="eastAsia"/>
                    <w:color w:val="000000"/>
                  </w:rPr>
                  <w:t>24,540万元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杭锦旗聚能能源有限公司</w:t>
                </w:r>
              </w:p>
            </w:tc>
            <w:tc>
              <w:tcPr>
                <w:tcW w:w="1502" w:type="dxa"/>
                <w:vAlign w:val="center"/>
              </w:tcPr>
              <w:p>
                <w:pPr>
                  <w:rPr>
                    <w:rFonts w:ascii="宋体" w:hAnsi="宋体" w:cs="宋体"/>
                    <w:color w:val="000000"/>
                  </w:rPr>
                </w:pPr>
                <w:r>
                  <w:rPr>
                    <w:rFonts w:ascii="宋体" w:hAnsi="宋体" w:cs="宋体" w:hint="eastAsia"/>
                    <w:color w:val="000000"/>
                  </w:rPr>
                  <w:t>内蒙古鄂尔多斯</w:t>
                </w:r>
              </w:p>
            </w:tc>
            <w:tc>
              <w:tcPr>
                <w:tcW w:w="1649" w:type="dxa"/>
                <w:vAlign w:val="center"/>
              </w:tcPr>
              <w:p>
                <w:pPr>
                  <w:rPr>
                    <w:rFonts w:ascii="宋体" w:hAnsi="宋体" w:cs="宋体"/>
                    <w:color w:val="000000"/>
                  </w:rPr>
                </w:pPr>
                <w:r>
                  <w:rPr>
                    <w:rFonts w:ascii="宋体" w:hAnsi="宋体" w:cs="宋体" w:hint="eastAsia"/>
                    <w:color w:val="000000"/>
                  </w:rPr>
                  <w:t>30,000万元</w:t>
                </w:r>
              </w:p>
            </w:tc>
            <w:tc>
              <w:tcPr>
                <w:tcW w:w="1753" w:type="dxa"/>
                <w:vAlign w:val="center"/>
              </w:tcPr>
              <w:p>
                <w:pPr>
                  <w:rPr>
                    <w:rFonts w:ascii="宋体" w:hAnsi="宋体" w:cs="宋体"/>
                    <w:color w:val="000000"/>
                  </w:rPr>
                </w:pPr>
                <w:r>
                  <w:rPr>
                    <w:rFonts w:ascii="宋体" w:hAnsi="宋体" w:cs="宋体" w:hint="eastAsia"/>
                    <w:color w:val="000000"/>
                  </w:rPr>
                  <w:t>其他采矿业</w:t>
                </w:r>
              </w:p>
            </w:tc>
            <w:tc>
              <w:tcPr>
                <w:tcW w:w="1341" w:type="dxa"/>
                <w:vAlign w:val="center"/>
              </w:tcPr>
              <w:p>
                <w:pPr>
                  <w:jc w:val="center"/>
                  <w:rPr>
                    <w:rFonts w:ascii="宋体" w:hAnsi="宋体" w:cs="宋体"/>
                    <w:color w:val="000000"/>
                  </w:rPr>
                </w:pPr>
                <w:r>
                  <w:rPr>
                    <w:rFonts w:ascii="宋体" w:hAnsi="宋体" w:cs="宋体" w:hint="eastAsia"/>
                    <w:color w:val="000000"/>
                  </w:rPr>
                  <w:t>100</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甘肃华能天竣能源有限公司</w:t>
                </w:r>
              </w:p>
            </w:tc>
            <w:tc>
              <w:tcPr>
                <w:tcW w:w="1502" w:type="dxa"/>
                <w:vAlign w:val="center"/>
              </w:tcPr>
              <w:p>
                <w:pPr>
                  <w:rPr>
                    <w:rFonts w:ascii="宋体" w:hAnsi="宋体" w:cs="宋体"/>
                    <w:color w:val="000000"/>
                  </w:rPr>
                </w:pPr>
                <w:r>
                  <w:rPr>
                    <w:rFonts w:ascii="宋体" w:hAnsi="宋体" w:cs="宋体" w:hint="eastAsia"/>
                    <w:color w:val="000000"/>
                  </w:rPr>
                  <w:t>甘肃庆阳</w:t>
                </w:r>
              </w:p>
            </w:tc>
            <w:tc>
              <w:tcPr>
                <w:tcW w:w="1649" w:type="dxa"/>
                <w:vAlign w:val="center"/>
              </w:tcPr>
              <w:p>
                <w:pPr>
                  <w:rPr>
                    <w:rFonts w:ascii="宋体" w:hAnsi="宋体" w:cs="宋体"/>
                    <w:color w:val="000000"/>
                  </w:rPr>
                </w:pPr>
                <w:r>
                  <w:rPr>
                    <w:rFonts w:ascii="宋体" w:hAnsi="宋体" w:cs="宋体" w:hint="eastAsia"/>
                    <w:color w:val="000000"/>
                  </w:rPr>
                  <w:t>264,521.6万元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55</w:t>
                </w:r>
              </w:p>
            </w:tc>
          </w:tr>
          <w:tr>
            <w:trPr>
              <w:trHeight w:val="397"/>
              <w:jc w:val="center"/>
            </w:trPr>
            <w:tc>
              <w:tcPr>
                <w:tcW w:w="2972" w:type="dxa"/>
                <w:vAlign w:val="center"/>
              </w:tcPr>
              <w:p>
                <w:pPr>
                  <w:rPr>
                    <w:rFonts w:ascii="宋体" w:hAnsi="宋体" w:cs="宋体"/>
                    <w:color w:val="000000"/>
                  </w:rPr>
                </w:pPr>
                <w:r>
                  <w:rPr>
                    <w:rFonts w:ascii="宋体" w:hAnsi="宋体" w:cs="宋体" w:hint="eastAsia"/>
                    <w:color w:val="000000"/>
                  </w:rPr>
                  <w:t>内蒙古黄陶勒盖煤炭有限责任公司</w:t>
                </w:r>
              </w:p>
            </w:tc>
            <w:tc>
              <w:tcPr>
                <w:tcW w:w="1502" w:type="dxa"/>
                <w:vAlign w:val="center"/>
              </w:tcPr>
              <w:p>
                <w:pPr>
                  <w:rPr>
                    <w:rFonts w:ascii="宋体" w:hAnsi="宋体" w:cs="宋体"/>
                    <w:color w:val="000000"/>
                  </w:rPr>
                </w:pPr>
                <w:r>
                  <w:rPr>
                    <w:rFonts w:ascii="宋体" w:hAnsi="宋体" w:cs="宋体" w:hint="eastAsia"/>
                    <w:color w:val="000000"/>
                  </w:rPr>
                  <w:t>内蒙古鄂尔多斯</w:t>
                </w:r>
              </w:p>
            </w:tc>
            <w:tc>
              <w:tcPr>
                <w:tcW w:w="1649" w:type="dxa"/>
                <w:vAlign w:val="center"/>
              </w:tcPr>
              <w:p>
                <w:pPr>
                  <w:rPr>
                    <w:rFonts w:ascii="宋体" w:hAnsi="宋体" w:cs="宋体"/>
                    <w:color w:val="000000"/>
                  </w:rPr>
                </w:pPr>
                <w:r>
                  <w:rPr>
                    <w:rFonts w:ascii="宋体" w:hAnsi="宋体" w:cs="宋体" w:hint="eastAsia"/>
                    <w:color w:val="000000"/>
                  </w:rPr>
                  <w:t>158,000万元</w:t>
                </w:r>
              </w:p>
            </w:tc>
            <w:tc>
              <w:tcPr>
                <w:tcW w:w="1753" w:type="dxa"/>
                <w:vAlign w:val="center"/>
              </w:tcPr>
              <w:p>
                <w:pPr>
                  <w:rPr>
                    <w:rFonts w:ascii="宋体" w:hAnsi="宋体" w:cs="宋体"/>
                    <w:color w:val="000000"/>
                  </w:rPr>
                </w:pPr>
                <w:r>
                  <w:rPr>
                    <w:rFonts w:ascii="宋体" w:hAnsi="宋体" w:cs="宋体" w:hint="eastAsia"/>
                    <w:color w:val="000000"/>
                  </w:rPr>
                  <w:t>煤炭开采及销售</w:t>
                </w:r>
              </w:p>
            </w:tc>
            <w:tc>
              <w:tcPr>
                <w:tcW w:w="1341" w:type="dxa"/>
                <w:vAlign w:val="center"/>
              </w:tcPr>
              <w:p>
                <w:pPr>
                  <w:jc w:val="center"/>
                  <w:rPr>
                    <w:rFonts w:ascii="宋体" w:hAnsi="宋体" w:cs="宋体"/>
                    <w:color w:val="000000"/>
                  </w:rPr>
                </w:pPr>
                <w:r>
                  <w:rPr>
                    <w:rFonts w:ascii="宋体" w:hAnsi="宋体" w:cs="宋体" w:hint="eastAsia"/>
                    <w:color w:val="000000"/>
                  </w:rPr>
                  <w:t>60</w:t>
                </w:r>
              </w:p>
            </w:tc>
          </w:tr>
        </w:tbl>
      </w:sdtContent>
    </w:sdt>
    <w:bookmarkEnd w:id="528"/>
    <w:p>
      <w:pPr>
        <w:pStyle w:val="Style179"/>
        <w:numPr>
          <w:ilvl w:val="3"/>
          <w:numId w:val="119"/>
        </w:numPr>
        <w:ind w:left="406" w:hangingChars="202" w:hanging="406"/>
      </w:pPr>
      <w:r>
        <w:rPr>
          <w:rFonts w:hint="eastAsia"/>
        </w:rPr>
        <w:t>重要的非全资子公司</w:t>
      </w:r>
    </w:p>
    <w:sdt>
      <w:sdtPr>
        <w:alias w:val="是否适用：重要的非全资子公司[双击切换]"/>
        <w:tag w:val="_GBC_51a84bfe201248b8bd5edb53b6cd6283"/>
        <w:id w:val="68278389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非全资子公司"/>
          <w:tag w:val="_GBC_e5936e9952394755bacf71d437afcd44"/>
          <w:id w:val="17898582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重要的非全资子公司"/>
          <w:tag w:val="_GBC_5ffac6aa0e464031b94de604fccc76c7"/>
          <w:id w:val="-17298394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813"/>
        <w:gridCol w:w="1936"/>
        <w:gridCol w:w="1941"/>
        <w:gridCol w:w="1742"/>
      </w:tblGrid>
      <w:tr>
        <w:trPr>
          <w:trHeight w:val="241"/>
        </w:trPr>
        <w:sdt>
          <w:sdtPr>
            <w:tag w:val="_PLD_5428bb469efb45b09d2152fb27b33f8a"/>
            <w:id w:val="-523786200"/>
          </w:sdtPr>
          <w:sdtContent>
            <w:tc>
              <w:tcPr>
                <w:tcW w:w="1610" w:type="dxa"/>
                <w:vAlign w:val="center"/>
              </w:tcPr>
              <w:p>
                <w:pPr>
                  <w:jc w:val="center"/>
                  <w:rPr>
                    <w:rFonts w:cs="Arial"/>
                  </w:rPr>
                </w:pPr>
                <w:r>
                  <w:rPr>
                    <w:rFonts w:cs="Arial" w:hint="eastAsia"/>
                    <w:lang w:val="en-GB"/>
                  </w:rPr>
                  <w:t>子公司名称</w:t>
                </w:r>
              </w:p>
            </w:tc>
          </w:sdtContent>
        </w:sdt>
        <w:sdt>
          <w:sdtPr>
            <w:tag w:val="_PLD_6f42810edcef4f808238b34484325c1a"/>
            <w:id w:val="1832872667"/>
          </w:sdtPr>
          <w:sdtContent>
            <w:tc>
              <w:tcPr>
                <w:tcW w:w="1813" w:type="dxa"/>
                <w:vAlign w:val="center"/>
              </w:tcPr>
              <w:p>
                <w:pPr>
                  <w:jc w:val="center"/>
                  <w:rPr>
                    <w:rFonts w:cs="Arial"/>
                    <w:bCs/>
                    <w:lang w:val="en-GB"/>
                  </w:rPr>
                </w:pPr>
                <w:r>
                  <w:rPr>
                    <w:rFonts w:cs="Arial" w:hint="eastAsia"/>
                    <w:bCs/>
                    <w:lang w:val="en-GB"/>
                  </w:rPr>
                  <w:t>少数股东持股</w:t>
                </w:r>
              </w:p>
              <w:p>
                <w:pPr>
                  <w:jc w:val="center"/>
                  <w:rPr>
                    <w:rFonts w:cs="Arial"/>
                  </w:rPr>
                </w:pPr>
                <w:r>
                  <w:rPr>
                    <w:rFonts w:cs="Arial" w:hint="eastAsia"/>
                    <w:bCs/>
                    <w:lang w:val="en-GB"/>
                  </w:rPr>
                  <w:t>比例</w:t>
                </w:r>
              </w:p>
            </w:tc>
          </w:sdtContent>
        </w:sdt>
        <w:sdt>
          <w:sdtPr>
            <w:tag w:val="_PLD_5fe25832d2ec4782a2b0dd4183a7a18d"/>
            <w:id w:val="-1480059614"/>
          </w:sdtPr>
          <w:sdtContent>
            <w:tc>
              <w:tcPr>
                <w:tcW w:w="1936" w:type="dxa"/>
                <w:vAlign w:val="center"/>
              </w:tcPr>
              <w:p>
                <w:pPr>
                  <w:jc w:val="center"/>
                  <w:rPr>
                    <w:rFonts w:cs="Arial"/>
                  </w:rPr>
                </w:pPr>
                <w:r>
                  <w:rPr>
                    <w:rFonts w:cs="Arial" w:hint="eastAsia"/>
                    <w:bCs/>
                    <w:lang w:val="en-GB"/>
                  </w:rPr>
                  <w:t>本期归属于少数股东的损益</w:t>
                </w:r>
              </w:p>
            </w:tc>
          </w:sdtContent>
        </w:sdt>
        <w:sdt>
          <w:sdtPr>
            <w:tag w:val="_PLD_2a49e43dba264aa2a5a6a65baca97c74"/>
            <w:id w:val="-17318123"/>
          </w:sdtPr>
          <w:sdtContent>
            <w:tc>
              <w:tcPr>
                <w:tcW w:w="1941" w:type="dxa"/>
                <w:vAlign w:val="center"/>
              </w:tcPr>
              <w:p>
                <w:pPr>
                  <w:jc w:val="center"/>
                  <w:rPr>
                    <w:rFonts w:cs="Arial"/>
                  </w:rPr>
                </w:pPr>
                <w:r>
                  <w:rPr>
                    <w:rFonts w:cs="Arial" w:hint="eastAsia"/>
                    <w:bCs/>
                    <w:lang w:val="en-GB"/>
                  </w:rPr>
                  <w:t>本期向少数股东宣告分派的股利</w:t>
                </w:r>
              </w:p>
            </w:tc>
          </w:sdtContent>
        </w:sdt>
        <w:sdt>
          <w:sdtPr>
            <w:tag w:val="_PLD_fb758b5ac95741fa930b476448e32371"/>
            <w:id w:val="-482006240"/>
          </w:sdtPr>
          <w:sdtContent>
            <w:tc>
              <w:tcPr>
                <w:tcW w:w="1742" w:type="dxa"/>
                <w:vAlign w:val="center"/>
              </w:tcPr>
              <w:p>
                <w:pPr>
                  <w:ind w:right="-16"/>
                  <w:jc w:val="center"/>
                  <w:rPr>
                    <w:rFonts w:cs="Arial"/>
                    <w:bCs/>
                  </w:rPr>
                </w:pPr>
                <w:r>
                  <w:rPr>
                    <w:rFonts w:cs="Arial" w:hint="eastAsia"/>
                    <w:bCs/>
                    <w:lang w:val="en-GB"/>
                  </w:rPr>
                  <w:t>期末少数股东权益余额</w:t>
                </w:r>
              </w:p>
            </w:tc>
          </w:sdtContent>
        </w:sdt>
      </w:tr>
      <w:tr>
        <w:tc>
          <w:tcPr>
            <w:tcW w:w="1610" w:type="dxa"/>
          </w:tcPr>
          <w:p>
            <w:pPr>
              <w:rPr>
                <w:rFonts w:ascii="宋体" w:hAnsi="宋体"/>
              </w:rPr>
            </w:pPr>
            <w:r>
              <w:rPr>
                <w:rFonts w:ascii="宋体" w:hAnsi="宋体" w:hint="eastAsia"/>
              </w:rPr>
              <w:t>澳洲公司</w:t>
            </w:r>
          </w:p>
        </w:tc>
        <w:tc>
          <w:tcPr>
            <w:tcW w:w="1813" w:type="dxa"/>
          </w:tcPr>
          <w:p>
            <w:pPr>
              <w:jc w:val="right"/>
              <w:rPr>
                <w:rFonts w:ascii="宋体" w:hAnsi="宋体"/>
              </w:rPr>
            </w:pPr>
            <w:r>
              <w:rPr>
                <w:rFonts w:ascii="宋体" w:hAnsi="宋体" w:cs="宋体" w:hint="eastAsia"/>
              </w:rPr>
              <w:t>37.74%</w:t>
            </w:r>
          </w:p>
        </w:tc>
        <w:tc>
          <w:tcPr>
            <w:tcW w:w="1936" w:type="dxa"/>
          </w:tcPr>
          <w:p>
            <w:pPr>
              <w:jc w:val="right"/>
              <w:rPr>
                <w:rFonts w:ascii="宋体" w:hAnsi="宋体"/>
              </w:rPr>
            </w:pPr>
            <w:r>
              <w:rPr>
                <w:rFonts w:ascii="宋体" w:hAnsi="宋体" w:cs="宋体"/>
              </w:rPr>
              <w:t>1,468,701</w:t>
            </w:r>
          </w:p>
        </w:tc>
        <w:tc>
          <w:tcPr>
            <w:tcW w:w="1941" w:type="dxa"/>
          </w:tcPr>
          <w:p>
            <w:pPr>
              <w:jc w:val="right"/>
              <w:rPr>
                <w:rFonts w:ascii="宋体" w:hAnsi="宋体"/>
              </w:rPr>
            </w:pPr>
            <w:r>
              <w:rPr>
                <w:rFonts w:ascii="宋体" w:hAnsi="宋体" w:cs="宋体" w:hint="eastAsia"/>
              </w:rPr>
              <w:t>1,341,077</w:t>
            </w:r>
          </w:p>
        </w:tc>
        <w:tc>
          <w:tcPr>
            <w:tcW w:w="1742" w:type="dxa"/>
          </w:tcPr>
          <w:p>
            <w:pPr>
              <w:jc w:val="right"/>
              <w:rPr>
                <w:rFonts w:ascii="宋体" w:hAnsi="宋体"/>
              </w:rPr>
            </w:pPr>
            <w:r>
              <w:rPr>
                <w:rFonts w:ascii="宋体" w:hAnsi="宋体" w:cs="宋体"/>
              </w:rPr>
              <w:t>15,987,393</w:t>
            </w:r>
          </w:p>
        </w:tc>
      </w:tr>
      <w:tr>
        <w:tc>
          <w:tcPr>
            <w:tcW w:w="1610" w:type="dxa"/>
          </w:tcPr>
          <w:p>
            <w:pPr>
              <w:rPr>
                <w:rFonts w:ascii="宋体" w:hAnsi="宋体"/>
              </w:rPr>
            </w:pPr>
            <w:r>
              <w:rPr>
                <w:rFonts w:ascii="宋体" w:hAnsi="宋体" w:hint="eastAsia"/>
              </w:rPr>
              <w:t>未来能源</w:t>
            </w:r>
          </w:p>
        </w:tc>
        <w:tc>
          <w:tcPr>
            <w:tcW w:w="1813" w:type="dxa"/>
          </w:tcPr>
          <w:p>
            <w:pPr>
              <w:jc w:val="right"/>
              <w:rPr>
                <w:rFonts w:ascii="宋体" w:hAnsi="宋体"/>
              </w:rPr>
            </w:pPr>
            <w:r>
              <w:rPr>
                <w:rFonts w:ascii="宋体" w:hAnsi="宋体" w:cs="宋体" w:hint="eastAsia"/>
              </w:rPr>
              <w:t>26.03%</w:t>
            </w:r>
          </w:p>
        </w:tc>
        <w:tc>
          <w:tcPr>
            <w:tcW w:w="1936" w:type="dxa"/>
          </w:tcPr>
          <w:p>
            <w:pPr>
              <w:jc w:val="right"/>
              <w:rPr>
                <w:rFonts w:ascii="宋体" w:hAnsi="宋体"/>
              </w:rPr>
            </w:pPr>
            <w:r>
              <w:rPr>
                <w:rFonts w:ascii="宋体" w:hAnsi="宋体" w:cs="宋体"/>
              </w:rPr>
              <w:t>1,150,904</w:t>
            </w:r>
          </w:p>
        </w:tc>
        <w:tc>
          <w:tcPr>
            <w:tcW w:w="1941" w:type="dxa"/>
          </w:tcPr>
          <w:p>
            <w:pPr>
              <w:jc w:val="right"/>
              <w:rPr>
                <w:rFonts w:ascii="宋体" w:hAnsi="宋体"/>
              </w:rPr>
            </w:pPr>
          </w:p>
        </w:tc>
        <w:tc>
          <w:tcPr>
            <w:tcW w:w="1742" w:type="dxa"/>
          </w:tcPr>
          <w:p>
            <w:pPr>
              <w:jc w:val="right"/>
              <w:rPr>
                <w:rFonts w:ascii="宋体" w:hAnsi="宋体"/>
              </w:rPr>
            </w:pPr>
            <w:r>
              <w:rPr>
                <w:rFonts w:ascii="宋体" w:hAnsi="宋体" w:cs="宋体"/>
              </w:rPr>
              <w:t>12,698,313</w:t>
            </w:r>
          </w:p>
        </w:tc>
      </w:tr>
      <w:tr>
        <w:tc>
          <w:tcPr>
            <w:tcW w:w="1610" w:type="dxa"/>
          </w:tcPr>
          <w:p>
            <w:pPr>
              <w:rPr>
                <w:rFonts w:ascii="宋体" w:hAnsi="宋体"/>
              </w:rPr>
            </w:pPr>
            <w:r>
              <w:rPr>
                <w:rFonts w:ascii="宋体" w:hAnsi="宋体" w:hint="eastAsia"/>
              </w:rPr>
              <w:lastRenderedPageBreak/>
              <w:t>鲁西矿业</w:t>
            </w:r>
          </w:p>
        </w:tc>
        <w:tc>
          <w:tcPr>
            <w:tcW w:w="1813" w:type="dxa"/>
          </w:tcPr>
          <w:p>
            <w:pPr>
              <w:jc w:val="right"/>
              <w:rPr>
                <w:rFonts w:ascii="宋体" w:hAnsi="宋体"/>
              </w:rPr>
            </w:pPr>
            <w:r>
              <w:rPr>
                <w:rFonts w:ascii="宋体" w:hAnsi="宋体" w:cs="宋体" w:hint="eastAsia"/>
              </w:rPr>
              <w:t>49%</w:t>
            </w:r>
          </w:p>
        </w:tc>
        <w:tc>
          <w:tcPr>
            <w:tcW w:w="1936" w:type="dxa"/>
          </w:tcPr>
          <w:p>
            <w:pPr>
              <w:jc w:val="right"/>
              <w:rPr>
                <w:rFonts w:ascii="宋体" w:hAnsi="宋体"/>
              </w:rPr>
            </w:pPr>
            <w:r>
              <w:rPr>
                <w:rFonts w:ascii="宋体" w:hAnsi="宋体" w:cs="宋体"/>
              </w:rPr>
              <w:t>11,654,310</w:t>
            </w:r>
          </w:p>
        </w:tc>
        <w:tc>
          <w:tcPr>
            <w:tcW w:w="1941" w:type="dxa"/>
          </w:tcPr>
          <w:p>
            <w:pPr>
              <w:jc w:val="right"/>
              <w:rPr>
                <w:rFonts w:ascii="宋体" w:hAnsi="宋体"/>
              </w:rPr>
            </w:pPr>
            <w:r>
              <w:rPr>
                <w:rFonts w:ascii="宋体" w:hAnsi="宋体" w:cs="宋体" w:hint="eastAsia"/>
              </w:rPr>
              <w:t>190,576</w:t>
            </w:r>
          </w:p>
        </w:tc>
        <w:tc>
          <w:tcPr>
            <w:tcW w:w="1742" w:type="dxa"/>
          </w:tcPr>
          <w:p>
            <w:pPr>
              <w:jc w:val="right"/>
              <w:rPr>
                <w:rFonts w:ascii="宋体" w:hAnsi="宋体"/>
              </w:rPr>
            </w:pPr>
            <w:r>
              <w:rPr>
                <w:rFonts w:ascii="宋体" w:hAnsi="宋体" w:cs="宋体"/>
              </w:rPr>
              <w:t>11,790,975</w:t>
            </w:r>
          </w:p>
        </w:tc>
      </w:tr>
      <w:tr>
        <w:tc>
          <w:tcPr>
            <w:tcW w:w="1610" w:type="dxa"/>
          </w:tcPr>
          <w:p>
            <w:pPr>
              <w:rPr>
                <w:rFonts w:ascii="宋体" w:hAnsi="宋体"/>
              </w:rPr>
            </w:pPr>
            <w:r>
              <w:rPr>
                <w:rFonts w:ascii="宋体" w:hAnsi="宋体" w:hint="eastAsia"/>
              </w:rPr>
              <w:t>西北矿业</w:t>
            </w:r>
          </w:p>
        </w:tc>
        <w:tc>
          <w:tcPr>
            <w:tcW w:w="1813" w:type="dxa"/>
          </w:tcPr>
          <w:p>
            <w:pPr>
              <w:jc w:val="right"/>
              <w:rPr>
                <w:rFonts w:ascii="宋体" w:hAnsi="宋体"/>
              </w:rPr>
            </w:pPr>
            <w:r>
              <w:rPr>
                <w:rFonts w:ascii="宋体" w:hAnsi="宋体" w:cs="宋体" w:hint="eastAsia"/>
              </w:rPr>
              <w:t>49%</w:t>
            </w:r>
          </w:p>
        </w:tc>
        <w:tc>
          <w:tcPr>
            <w:tcW w:w="1936" w:type="dxa"/>
          </w:tcPr>
          <w:p>
            <w:pPr>
              <w:jc w:val="right"/>
              <w:rPr>
                <w:rFonts w:ascii="宋体" w:hAnsi="宋体"/>
              </w:rPr>
            </w:pPr>
            <w:r>
              <w:rPr>
                <w:rFonts w:ascii="宋体" w:hAnsi="宋体" w:cs="宋体"/>
              </w:rPr>
              <w:t>19,212,268</w:t>
            </w:r>
          </w:p>
        </w:tc>
        <w:tc>
          <w:tcPr>
            <w:tcW w:w="1941" w:type="dxa"/>
          </w:tcPr>
          <w:p>
            <w:pPr>
              <w:jc w:val="right"/>
              <w:rPr>
                <w:rFonts w:ascii="宋体" w:hAnsi="宋体"/>
              </w:rPr>
            </w:pPr>
            <w:r>
              <w:rPr>
                <w:rFonts w:ascii="宋体" w:hAnsi="宋体" w:cs="宋体" w:hint="eastAsia"/>
              </w:rPr>
              <w:t>7,727,000</w:t>
            </w:r>
          </w:p>
        </w:tc>
        <w:tc>
          <w:tcPr>
            <w:tcW w:w="1742" w:type="dxa"/>
          </w:tcPr>
          <w:p>
            <w:pPr>
              <w:jc w:val="right"/>
              <w:rPr>
                <w:rFonts w:ascii="宋体" w:hAnsi="宋体"/>
              </w:rPr>
            </w:pPr>
            <w:r>
              <w:rPr>
                <w:rFonts w:ascii="宋体" w:hAnsi="宋体" w:cs="宋体"/>
              </w:rPr>
              <w:t>15,263,871</w:t>
            </w:r>
          </w:p>
        </w:tc>
      </w:tr>
    </w:tbl>
    <w:p>
      <w:pPr>
        <w:rPr>
          <w:rFonts w:cs="Arial"/>
        </w:rPr>
      </w:pPr>
      <w:r>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eb13eae90d024e1384cf2a06768aea73"/>
        <w:id w:val="-1268388767"/>
        <w:placeholder>
          <w:docPart w:val="GBC22222222222222222222222222222"/>
        </w:placeholder>
      </w:sdtPr>
      <w:sdtContent>
        <w:p>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pPr>
        <w:rPr>
          <w:rFonts w:cs="Arial"/>
        </w:rPr>
      </w:pPr>
    </w:p>
    <w:p>
      <w:pPr>
        <w:rPr>
          <w:rFonts w:cs="Arial"/>
        </w:rPr>
      </w:pPr>
      <w:r>
        <w:rPr>
          <w:rFonts w:cs="Arial" w:hint="eastAsia"/>
        </w:rPr>
        <w:t>其他说明：</w:t>
      </w:r>
    </w:p>
    <w:p>
      <w:pPr>
        <w:tabs>
          <w:tab w:val="left" w:pos="2326"/>
        </w:tabs>
        <w:rPr>
          <w:rFonts w:cs="Arial"/>
        </w:rPr>
        <w:sectPr>
          <w:pgSz w:w="11906" w:h="16838"/>
          <w:pgMar w:top="1525" w:right="1276" w:bottom="1440" w:left="1797" w:header="856" w:footer="992" w:gutter="0"/>
          <w:cols w:space="425"/>
          <w:docGrid w:linePitch="312"/>
        </w:sectPr>
      </w:pPr>
      <w:sdt>
        <w:sdtPr>
          <w:rPr>
            <w:rFonts w:cs="Arial"/>
          </w:rPr>
          <w:alias w:val="是否适用：重要的非全资子公司其他说明[双击切换]"/>
          <w:tag w:val="_GBC_eb65403cb5164cc9a0cf4afea08b150d"/>
          <w:id w:val="-1132779220"/>
          <w:placeholder>
            <w:docPart w:val="GBC22222222222222222222222222222"/>
          </w:placeholder>
        </w:sdtPr>
        <w:sdtContent>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sdtContent>
      </w:sdt>
    </w:p>
    <w:p>
      <w:pPr>
        <w:rPr>
          <w:rFonts w:cs="Arial"/>
        </w:rPr>
      </w:pPr>
    </w:p>
    <w:p>
      <w:pPr>
        <w:pStyle w:val="Style179"/>
        <w:numPr>
          <w:ilvl w:val="3"/>
          <w:numId w:val="119"/>
        </w:numPr>
        <w:ind w:left="406" w:hangingChars="202" w:hanging="406"/>
      </w:pPr>
      <w:r>
        <w:rPr>
          <w:rFonts w:hint="eastAsia"/>
        </w:rPr>
        <w:t>重要非全资子公司的主要财务信息</w:t>
      </w:r>
    </w:p>
    <w:sdt>
      <w:sdtPr>
        <w:alias w:val="是否适用：重要非全资子公司的主要财务信息[双击切换]"/>
        <w:tag w:val="_GBC_04ab753eff3c46fda94161ee757bd1fa"/>
        <w:id w:val="-97406724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非全资子公司的主要财务信息"/>
          <w:tag w:val="_GBC_ba918360b15748859fb63cacad1f617d"/>
          <w:id w:val="-7312342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重要非全资子公司的主要财务信息"/>
          <w:tag w:val="_GBC_af5cc4f1e7a74e3d8f9c9fea25fdf05f"/>
          <w:id w:val="-2599084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630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77"/>
        <w:gridCol w:w="1417"/>
        <w:gridCol w:w="1418"/>
        <w:gridCol w:w="1276"/>
        <w:gridCol w:w="1275"/>
        <w:gridCol w:w="1276"/>
        <w:gridCol w:w="1276"/>
        <w:gridCol w:w="1276"/>
        <w:gridCol w:w="1275"/>
        <w:gridCol w:w="1276"/>
        <w:gridCol w:w="1276"/>
        <w:gridCol w:w="1276"/>
      </w:tblGrid>
      <w:tr>
        <w:trPr>
          <w:trHeight w:val="241"/>
        </w:trPr>
        <w:bookmarkStart w:id="529" w:name="_Hlk224718673" w:displacedByCustomXml="next"/>
        <w:sdt>
          <w:sdtPr>
            <w:tag w:val="_PLD_d5dae06c1d0c4fdea02e2f6e645a1e09"/>
            <w:id w:val="-429283624"/>
          </w:sdtPr>
          <w:sdtContent>
            <w:tc>
              <w:tcPr>
                <w:tcW w:w="708" w:type="dxa"/>
                <w:vMerge w:val="restart"/>
                <w:vAlign w:val="center"/>
              </w:tcPr>
              <w:p>
                <w:pPr>
                  <w:ind w:right="-16"/>
                  <w:jc w:val="center"/>
                  <w:rPr>
                    <w:rFonts w:cs="Arial"/>
                    <w:bCs/>
                  </w:rPr>
                </w:pPr>
                <w:r>
                  <w:rPr>
                    <w:rFonts w:cs="Arial" w:hint="eastAsia"/>
                    <w:bCs/>
                    <w:lang w:val="en-GB"/>
                  </w:rPr>
                  <w:t>子公司名称</w:t>
                </w:r>
              </w:p>
            </w:tc>
          </w:sdtContent>
        </w:sdt>
        <w:sdt>
          <w:sdtPr>
            <w:tag w:val="_PLD_6cc7af9079654f428ee1cf0edd2c70b1"/>
            <w:id w:val="72016758"/>
          </w:sdtPr>
          <w:sdtContent>
            <w:tc>
              <w:tcPr>
                <w:tcW w:w="7939" w:type="dxa"/>
                <w:gridSpan w:val="6"/>
                <w:vAlign w:val="center"/>
              </w:tcPr>
              <w:p>
                <w:pPr>
                  <w:ind w:right="-16"/>
                  <w:jc w:val="center"/>
                  <w:rPr>
                    <w:rFonts w:cs="Arial"/>
                    <w:bCs/>
                  </w:rPr>
                </w:pPr>
                <w:r>
                  <w:rPr>
                    <w:rFonts w:cs="Arial" w:hint="eastAsia"/>
                    <w:bCs/>
                    <w:lang w:val="en-GB"/>
                  </w:rPr>
                  <w:t>期末余额</w:t>
                </w:r>
              </w:p>
            </w:tc>
          </w:sdtContent>
        </w:sdt>
        <w:sdt>
          <w:sdtPr>
            <w:tag w:val="_PLD_64749f66f68948bd92fb0a885f835f78"/>
            <w:id w:val="-1540268300"/>
          </w:sdtPr>
          <w:sdtContent>
            <w:tc>
              <w:tcPr>
                <w:tcW w:w="7655" w:type="dxa"/>
                <w:gridSpan w:val="6"/>
                <w:vAlign w:val="center"/>
              </w:tcPr>
              <w:p>
                <w:pPr>
                  <w:ind w:right="-16"/>
                  <w:jc w:val="center"/>
                  <w:rPr>
                    <w:rFonts w:cs="Arial"/>
                    <w:bCs/>
                  </w:rPr>
                </w:pPr>
                <w:r>
                  <w:rPr>
                    <w:rFonts w:cs="Arial" w:hint="eastAsia"/>
                    <w:bCs/>
                    <w:lang w:val="en-GB"/>
                  </w:rPr>
                  <w:t>期初余额</w:t>
                </w:r>
              </w:p>
            </w:tc>
          </w:sdtContent>
        </w:sdt>
      </w:tr>
      <w:tr>
        <w:trPr>
          <w:trHeight w:val="241"/>
        </w:trPr>
        <w:tc>
          <w:tcPr>
            <w:tcW w:w="708" w:type="dxa"/>
            <w:vMerge/>
            <w:vAlign w:val="center"/>
          </w:tcPr>
          <w:p>
            <w:pPr>
              <w:rPr>
                <w:rFonts w:cs="Arial"/>
                <w:bCs/>
              </w:rPr>
            </w:pPr>
          </w:p>
        </w:tc>
        <w:sdt>
          <w:sdtPr>
            <w:tag w:val="_PLD_bfcbeed8b46d4b8da13c03613130a3c9"/>
            <w:id w:val="469330305"/>
          </w:sdtPr>
          <w:sdtContent>
            <w:tc>
              <w:tcPr>
                <w:tcW w:w="1277" w:type="dxa"/>
                <w:vAlign w:val="center"/>
              </w:tcPr>
              <w:p>
                <w:pPr>
                  <w:jc w:val="center"/>
                  <w:rPr>
                    <w:rFonts w:cs="Arial"/>
                  </w:rPr>
                </w:pPr>
                <w:r>
                  <w:rPr>
                    <w:rFonts w:cs="Arial" w:hint="eastAsia"/>
                    <w:lang w:val="en-GB"/>
                  </w:rPr>
                  <w:t>流动资产</w:t>
                </w:r>
              </w:p>
            </w:tc>
          </w:sdtContent>
        </w:sdt>
        <w:sdt>
          <w:sdtPr>
            <w:tag w:val="_PLD_22bcaa48c51f400d9b2d6a387002778f"/>
            <w:id w:val="-976606305"/>
          </w:sdtPr>
          <w:sdtContent>
            <w:tc>
              <w:tcPr>
                <w:tcW w:w="1417" w:type="dxa"/>
                <w:vAlign w:val="center"/>
              </w:tcPr>
              <w:p>
                <w:pPr>
                  <w:ind w:left="-40" w:right="-97"/>
                  <w:jc w:val="center"/>
                  <w:rPr>
                    <w:rFonts w:cs="Arial"/>
                  </w:rPr>
                </w:pPr>
                <w:r>
                  <w:rPr>
                    <w:rFonts w:cs="Arial" w:hint="eastAsia"/>
                    <w:lang w:val="en-GB"/>
                  </w:rPr>
                  <w:t>非流动资产</w:t>
                </w:r>
              </w:p>
            </w:tc>
          </w:sdtContent>
        </w:sdt>
        <w:sdt>
          <w:sdtPr>
            <w:tag w:val="_PLD_a7790df686914e0f8cc8668009824e9e"/>
            <w:id w:val="-1179420173"/>
          </w:sdtPr>
          <w:sdtContent>
            <w:tc>
              <w:tcPr>
                <w:tcW w:w="1418" w:type="dxa"/>
                <w:vAlign w:val="center"/>
              </w:tcPr>
              <w:p>
                <w:pPr>
                  <w:jc w:val="center"/>
                  <w:rPr>
                    <w:rFonts w:cs="Arial"/>
                  </w:rPr>
                </w:pPr>
                <w:r>
                  <w:rPr>
                    <w:rFonts w:cs="Arial" w:hint="eastAsia"/>
                    <w:lang w:val="en-GB"/>
                  </w:rPr>
                  <w:t>资产合计</w:t>
                </w:r>
              </w:p>
            </w:tc>
          </w:sdtContent>
        </w:sdt>
        <w:sdt>
          <w:sdtPr>
            <w:tag w:val="_PLD_a6a87cbf1eb046db9bbca57bcceaf08a"/>
            <w:id w:val="-1309700268"/>
          </w:sdtPr>
          <w:sdtContent>
            <w:tc>
              <w:tcPr>
                <w:tcW w:w="1276" w:type="dxa"/>
                <w:vAlign w:val="center"/>
              </w:tcPr>
              <w:p>
                <w:pPr>
                  <w:jc w:val="center"/>
                  <w:rPr>
                    <w:rFonts w:cs="Arial"/>
                  </w:rPr>
                </w:pPr>
                <w:r>
                  <w:rPr>
                    <w:rFonts w:cs="Arial" w:hint="eastAsia"/>
                    <w:lang w:val="en-GB"/>
                  </w:rPr>
                  <w:t>流动负债</w:t>
                </w:r>
              </w:p>
            </w:tc>
          </w:sdtContent>
        </w:sdt>
        <w:sdt>
          <w:sdtPr>
            <w:tag w:val="_PLD_bed2f2ec1880450a93ab1b045e836c87"/>
            <w:id w:val="-258208710"/>
          </w:sdtPr>
          <w:sdtContent>
            <w:tc>
              <w:tcPr>
                <w:tcW w:w="1275" w:type="dxa"/>
                <w:vAlign w:val="center"/>
              </w:tcPr>
              <w:p>
                <w:pPr>
                  <w:ind w:left="-40" w:right="-97"/>
                  <w:jc w:val="center"/>
                  <w:rPr>
                    <w:rFonts w:cs="Arial"/>
                  </w:rPr>
                </w:pPr>
                <w:r>
                  <w:rPr>
                    <w:rFonts w:cs="Arial" w:hint="eastAsia"/>
                    <w:lang w:val="en-GB"/>
                  </w:rPr>
                  <w:t>非流动负债</w:t>
                </w:r>
              </w:p>
            </w:tc>
          </w:sdtContent>
        </w:sdt>
        <w:sdt>
          <w:sdtPr>
            <w:tag w:val="_PLD_3609f15b31554b67a5a1ff617bd5582d"/>
            <w:id w:val="1717544165"/>
          </w:sdtPr>
          <w:sdtContent>
            <w:tc>
              <w:tcPr>
                <w:tcW w:w="1276" w:type="dxa"/>
                <w:vAlign w:val="center"/>
              </w:tcPr>
              <w:p>
                <w:pPr>
                  <w:jc w:val="center"/>
                  <w:rPr>
                    <w:rFonts w:cs="Arial"/>
                  </w:rPr>
                </w:pPr>
                <w:r>
                  <w:rPr>
                    <w:rFonts w:cs="Arial" w:hint="eastAsia"/>
                    <w:lang w:val="en-GB"/>
                  </w:rPr>
                  <w:t>负债合计</w:t>
                </w:r>
              </w:p>
            </w:tc>
          </w:sdtContent>
        </w:sdt>
        <w:sdt>
          <w:sdtPr>
            <w:tag w:val="_PLD_35c03e5c5e124d339d35180c4515f97a"/>
            <w:id w:val="1197734759"/>
          </w:sdtPr>
          <w:sdtContent>
            <w:tc>
              <w:tcPr>
                <w:tcW w:w="1276" w:type="dxa"/>
                <w:vAlign w:val="center"/>
              </w:tcPr>
              <w:p>
                <w:pPr>
                  <w:jc w:val="center"/>
                  <w:rPr>
                    <w:rFonts w:cs="Arial"/>
                  </w:rPr>
                </w:pPr>
                <w:r>
                  <w:rPr>
                    <w:rFonts w:cs="Arial" w:hint="eastAsia"/>
                    <w:lang w:val="en-GB"/>
                  </w:rPr>
                  <w:t>流动资产</w:t>
                </w:r>
              </w:p>
            </w:tc>
          </w:sdtContent>
        </w:sdt>
        <w:sdt>
          <w:sdtPr>
            <w:tag w:val="_PLD_c9852fe654ce474bb582d7b8dab46c0a"/>
            <w:id w:val="271751835"/>
          </w:sdtPr>
          <w:sdtContent>
            <w:tc>
              <w:tcPr>
                <w:tcW w:w="1276" w:type="dxa"/>
                <w:vAlign w:val="center"/>
              </w:tcPr>
              <w:p>
                <w:pPr>
                  <w:ind w:left="-40" w:right="-97"/>
                  <w:jc w:val="center"/>
                  <w:rPr>
                    <w:rFonts w:cs="Arial"/>
                  </w:rPr>
                </w:pPr>
                <w:r>
                  <w:rPr>
                    <w:rFonts w:cs="Arial" w:hint="eastAsia"/>
                    <w:lang w:val="en-GB"/>
                  </w:rPr>
                  <w:t>非流动资产</w:t>
                </w:r>
              </w:p>
            </w:tc>
          </w:sdtContent>
        </w:sdt>
        <w:sdt>
          <w:sdtPr>
            <w:tag w:val="_PLD_e7455f798f7740fdafaf89940e8195c3"/>
            <w:id w:val="2095586332"/>
          </w:sdtPr>
          <w:sdtContent>
            <w:tc>
              <w:tcPr>
                <w:tcW w:w="1275" w:type="dxa"/>
                <w:vAlign w:val="center"/>
              </w:tcPr>
              <w:p>
                <w:pPr>
                  <w:jc w:val="center"/>
                  <w:rPr>
                    <w:rFonts w:cs="Arial"/>
                  </w:rPr>
                </w:pPr>
                <w:r>
                  <w:rPr>
                    <w:rFonts w:cs="Arial" w:hint="eastAsia"/>
                    <w:lang w:val="en-GB"/>
                  </w:rPr>
                  <w:t>资产合计</w:t>
                </w:r>
              </w:p>
            </w:tc>
          </w:sdtContent>
        </w:sdt>
        <w:sdt>
          <w:sdtPr>
            <w:tag w:val="_PLD_b590bdfc5abd4f30a4b1c3cf13a2772b"/>
            <w:id w:val="-1439285307"/>
          </w:sdtPr>
          <w:sdtContent>
            <w:tc>
              <w:tcPr>
                <w:tcW w:w="1276" w:type="dxa"/>
                <w:vAlign w:val="center"/>
              </w:tcPr>
              <w:p>
                <w:pPr>
                  <w:jc w:val="center"/>
                  <w:rPr>
                    <w:rFonts w:cs="Arial"/>
                  </w:rPr>
                </w:pPr>
                <w:r>
                  <w:rPr>
                    <w:rFonts w:cs="Arial" w:hint="eastAsia"/>
                    <w:lang w:val="en-GB"/>
                  </w:rPr>
                  <w:t>流动负债</w:t>
                </w:r>
              </w:p>
            </w:tc>
          </w:sdtContent>
        </w:sdt>
        <w:sdt>
          <w:sdtPr>
            <w:tag w:val="_PLD_acc4c516f1954954b9ffdd4ee0900cfe"/>
            <w:id w:val="-909538137"/>
          </w:sdtPr>
          <w:sdtContent>
            <w:tc>
              <w:tcPr>
                <w:tcW w:w="1276" w:type="dxa"/>
                <w:vAlign w:val="center"/>
              </w:tcPr>
              <w:p>
                <w:pPr>
                  <w:ind w:left="-40" w:right="-97"/>
                  <w:jc w:val="center"/>
                  <w:rPr>
                    <w:rFonts w:cs="Arial"/>
                  </w:rPr>
                </w:pPr>
                <w:r>
                  <w:rPr>
                    <w:rFonts w:cs="Arial" w:hint="eastAsia"/>
                    <w:lang w:val="en-GB"/>
                  </w:rPr>
                  <w:t>非流动负债</w:t>
                </w:r>
              </w:p>
            </w:tc>
          </w:sdtContent>
        </w:sdt>
        <w:sdt>
          <w:sdtPr>
            <w:tag w:val="_PLD_397eebedf0c14a0e8060aa378e6e579d"/>
            <w:id w:val="1165903153"/>
          </w:sdtPr>
          <w:sdtContent>
            <w:tc>
              <w:tcPr>
                <w:tcW w:w="1276" w:type="dxa"/>
                <w:vAlign w:val="center"/>
              </w:tcPr>
              <w:p>
                <w:pPr>
                  <w:jc w:val="center"/>
                  <w:rPr>
                    <w:rFonts w:cs="Arial"/>
                  </w:rPr>
                </w:pPr>
                <w:r>
                  <w:rPr>
                    <w:rFonts w:cs="Arial" w:hint="eastAsia"/>
                    <w:lang w:val="en-GB"/>
                  </w:rPr>
                  <w:t>负债合计</w:t>
                </w:r>
              </w:p>
            </w:tc>
          </w:sdtContent>
        </w:sdt>
      </w:tr>
      <w:tr>
        <w:tc>
          <w:tcPr>
            <w:tcW w:w="708" w:type="dxa"/>
            <w:vAlign w:val="center"/>
          </w:tcPr>
          <w:p>
            <w:pPr>
              <w:jc w:val="both"/>
              <w:rPr>
                <w:rFonts w:ascii="宋体" w:hAnsi="宋体"/>
              </w:rPr>
            </w:pPr>
            <w:r>
              <w:rPr>
                <w:rFonts w:ascii="宋体" w:hAnsi="宋体" w:hint="eastAsia"/>
              </w:rPr>
              <w:t>澳洲公司</w:t>
            </w:r>
          </w:p>
        </w:tc>
        <w:tc>
          <w:tcPr>
            <w:tcW w:w="1277" w:type="dxa"/>
            <w:vAlign w:val="center"/>
          </w:tcPr>
          <w:p>
            <w:pPr>
              <w:jc w:val="right"/>
              <w:rPr>
                <w:rFonts w:ascii="宋体" w:hAnsi="宋体"/>
              </w:rPr>
            </w:pPr>
            <w:r>
              <w:rPr>
                <w:rFonts w:ascii="宋体" w:hAnsi="宋体"/>
              </w:rPr>
              <w:t>14,989,072</w:t>
            </w:r>
          </w:p>
        </w:tc>
        <w:tc>
          <w:tcPr>
            <w:tcW w:w="1417" w:type="dxa"/>
            <w:vAlign w:val="center"/>
          </w:tcPr>
          <w:p>
            <w:pPr>
              <w:jc w:val="right"/>
              <w:rPr>
                <w:rFonts w:ascii="宋体" w:hAnsi="宋体"/>
              </w:rPr>
            </w:pPr>
            <w:r>
              <w:rPr>
                <w:rFonts w:ascii="宋体" w:hAnsi="宋体"/>
              </w:rPr>
              <w:t>42,097,527</w:t>
            </w:r>
          </w:p>
        </w:tc>
        <w:tc>
          <w:tcPr>
            <w:tcW w:w="1418" w:type="dxa"/>
            <w:vAlign w:val="center"/>
          </w:tcPr>
          <w:p>
            <w:pPr>
              <w:jc w:val="right"/>
              <w:rPr>
                <w:rFonts w:ascii="宋体" w:hAnsi="宋体"/>
              </w:rPr>
            </w:pPr>
            <w:r>
              <w:rPr>
                <w:rFonts w:ascii="宋体" w:hAnsi="宋体"/>
              </w:rPr>
              <w:t>57,086,599</w:t>
            </w:r>
          </w:p>
        </w:tc>
        <w:tc>
          <w:tcPr>
            <w:tcW w:w="1276" w:type="dxa"/>
            <w:vAlign w:val="center"/>
          </w:tcPr>
          <w:p>
            <w:pPr>
              <w:jc w:val="right"/>
              <w:rPr>
                <w:rFonts w:ascii="宋体" w:hAnsi="宋体"/>
              </w:rPr>
            </w:pPr>
            <w:r>
              <w:rPr>
                <w:rFonts w:ascii="宋体" w:hAnsi="宋体"/>
              </w:rPr>
              <w:t>6,717,264</w:t>
            </w:r>
          </w:p>
        </w:tc>
        <w:tc>
          <w:tcPr>
            <w:tcW w:w="1275" w:type="dxa"/>
            <w:vAlign w:val="center"/>
          </w:tcPr>
          <w:p>
            <w:pPr>
              <w:jc w:val="right"/>
              <w:rPr>
                <w:rFonts w:ascii="宋体" w:hAnsi="宋体"/>
              </w:rPr>
            </w:pPr>
            <w:r>
              <w:rPr>
                <w:rFonts w:ascii="宋体" w:hAnsi="宋体"/>
              </w:rPr>
              <w:t>7,999,219</w:t>
            </w:r>
          </w:p>
        </w:tc>
        <w:tc>
          <w:tcPr>
            <w:tcW w:w="1276" w:type="dxa"/>
            <w:vAlign w:val="center"/>
          </w:tcPr>
          <w:p>
            <w:pPr>
              <w:jc w:val="right"/>
              <w:rPr>
                <w:rFonts w:ascii="宋体" w:hAnsi="宋体"/>
              </w:rPr>
            </w:pPr>
            <w:r>
              <w:rPr>
                <w:rFonts w:ascii="宋体" w:hAnsi="宋体"/>
              </w:rPr>
              <w:t>14,716,483</w:t>
            </w:r>
          </w:p>
        </w:tc>
        <w:tc>
          <w:tcPr>
            <w:tcW w:w="1276" w:type="dxa"/>
            <w:vAlign w:val="center"/>
          </w:tcPr>
          <w:p>
            <w:pPr>
              <w:jc w:val="right"/>
              <w:rPr>
                <w:rFonts w:ascii="宋体" w:hAnsi="宋体"/>
              </w:rPr>
            </w:pPr>
            <w:r>
              <w:rPr>
                <w:rFonts w:ascii="宋体" w:hAnsi="宋体"/>
              </w:rPr>
              <w:t>15,761,234</w:t>
            </w:r>
          </w:p>
        </w:tc>
        <w:tc>
          <w:tcPr>
            <w:tcW w:w="1276" w:type="dxa"/>
            <w:vAlign w:val="center"/>
          </w:tcPr>
          <w:p>
            <w:pPr>
              <w:jc w:val="right"/>
              <w:rPr>
                <w:rFonts w:ascii="宋体" w:hAnsi="宋体"/>
              </w:rPr>
            </w:pPr>
            <w:r>
              <w:rPr>
                <w:rFonts w:ascii="宋体" w:hAnsi="宋体"/>
              </w:rPr>
              <w:t>39,733,653</w:t>
            </w:r>
          </w:p>
        </w:tc>
        <w:tc>
          <w:tcPr>
            <w:tcW w:w="1275" w:type="dxa"/>
            <w:vAlign w:val="center"/>
          </w:tcPr>
          <w:p>
            <w:pPr>
              <w:jc w:val="right"/>
              <w:rPr>
                <w:rFonts w:ascii="宋体" w:hAnsi="宋体"/>
              </w:rPr>
            </w:pPr>
            <w:r>
              <w:rPr>
                <w:rFonts w:ascii="宋体" w:hAnsi="宋体"/>
              </w:rPr>
              <w:t>55,494,887</w:t>
            </w:r>
          </w:p>
        </w:tc>
        <w:tc>
          <w:tcPr>
            <w:tcW w:w="1276" w:type="dxa"/>
            <w:vAlign w:val="center"/>
          </w:tcPr>
          <w:p>
            <w:pPr>
              <w:jc w:val="right"/>
              <w:rPr>
                <w:rFonts w:ascii="宋体" w:hAnsi="宋体"/>
              </w:rPr>
            </w:pPr>
            <w:r>
              <w:rPr>
                <w:rFonts w:ascii="宋体" w:hAnsi="宋体"/>
              </w:rPr>
              <w:t>5,901,232</w:t>
            </w:r>
          </w:p>
        </w:tc>
        <w:tc>
          <w:tcPr>
            <w:tcW w:w="1276" w:type="dxa"/>
            <w:vAlign w:val="center"/>
          </w:tcPr>
          <w:p>
            <w:pPr>
              <w:jc w:val="right"/>
              <w:rPr>
                <w:rFonts w:ascii="宋体" w:hAnsi="宋体"/>
              </w:rPr>
            </w:pPr>
            <w:r>
              <w:rPr>
                <w:rFonts w:ascii="宋体" w:hAnsi="宋体"/>
              </w:rPr>
              <w:t>7,605,498</w:t>
            </w:r>
          </w:p>
        </w:tc>
        <w:tc>
          <w:tcPr>
            <w:tcW w:w="1276" w:type="dxa"/>
            <w:vAlign w:val="center"/>
          </w:tcPr>
          <w:p>
            <w:pPr>
              <w:jc w:val="right"/>
              <w:rPr>
                <w:rFonts w:ascii="宋体" w:hAnsi="宋体"/>
              </w:rPr>
            </w:pPr>
            <w:r>
              <w:rPr>
                <w:rFonts w:ascii="宋体" w:hAnsi="宋体"/>
              </w:rPr>
              <w:t>13,506,730</w:t>
            </w:r>
          </w:p>
        </w:tc>
      </w:tr>
      <w:tr>
        <w:tc>
          <w:tcPr>
            <w:tcW w:w="708" w:type="dxa"/>
            <w:vAlign w:val="center"/>
          </w:tcPr>
          <w:p>
            <w:pPr>
              <w:jc w:val="both"/>
              <w:rPr>
                <w:rFonts w:ascii="宋体" w:hAnsi="宋体"/>
              </w:rPr>
            </w:pPr>
            <w:r>
              <w:rPr>
                <w:rFonts w:ascii="宋体" w:hAnsi="宋体" w:hint="eastAsia"/>
              </w:rPr>
              <w:t>未来能源</w:t>
            </w:r>
          </w:p>
        </w:tc>
        <w:tc>
          <w:tcPr>
            <w:tcW w:w="1277" w:type="dxa"/>
            <w:vAlign w:val="center"/>
          </w:tcPr>
          <w:p>
            <w:pPr>
              <w:jc w:val="right"/>
              <w:rPr>
                <w:rFonts w:ascii="宋体" w:hAnsi="宋体"/>
              </w:rPr>
            </w:pPr>
            <w:r>
              <w:rPr>
                <w:rFonts w:ascii="宋体" w:hAnsi="宋体" w:cs="宋体"/>
              </w:rPr>
              <w:t>22,287,209</w:t>
            </w:r>
          </w:p>
        </w:tc>
        <w:tc>
          <w:tcPr>
            <w:tcW w:w="1417" w:type="dxa"/>
            <w:vAlign w:val="center"/>
          </w:tcPr>
          <w:p>
            <w:pPr>
              <w:jc w:val="right"/>
              <w:rPr>
                <w:rFonts w:ascii="宋体" w:hAnsi="宋体"/>
              </w:rPr>
            </w:pPr>
            <w:r>
              <w:rPr>
                <w:rFonts w:ascii="宋体" w:hAnsi="宋体" w:cs="宋体"/>
              </w:rPr>
              <w:t>14,100,690</w:t>
            </w:r>
          </w:p>
        </w:tc>
        <w:tc>
          <w:tcPr>
            <w:tcW w:w="1418" w:type="dxa"/>
            <w:vAlign w:val="center"/>
          </w:tcPr>
          <w:p>
            <w:pPr>
              <w:jc w:val="right"/>
              <w:rPr>
                <w:rFonts w:ascii="宋体" w:hAnsi="宋体"/>
              </w:rPr>
            </w:pPr>
            <w:r>
              <w:rPr>
                <w:rFonts w:ascii="宋体" w:hAnsi="宋体" w:cs="宋体"/>
              </w:rPr>
              <w:t>36,387,899</w:t>
            </w:r>
          </w:p>
        </w:tc>
        <w:tc>
          <w:tcPr>
            <w:tcW w:w="1276" w:type="dxa"/>
            <w:vAlign w:val="center"/>
          </w:tcPr>
          <w:p>
            <w:pPr>
              <w:jc w:val="right"/>
              <w:rPr>
                <w:rFonts w:ascii="宋体" w:hAnsi="宋体"/>
              </w:rPr>
            </w:pPr>
            <w:r>
              <w:rPr>
                <w:rFonts w:ascii="宋体" w:hAnsi="宋体" w:cs="宋体"/>
              </w:rPr>
              <w:t xml:space="preserve">2,101,545 </w:t>
            </w:r>
          </w:p>
        </w:tc>
        <w:tc>
          <w:tcPr>
            <w:tcW w:w="1275" w:type="dxa"/>
            <w:vAlign w:val="center"/>
          </w:tcPr>
          <w:p>
            <w:pPr>
              <w:jc w:val="right"/>
              <w:rPr>
                <w:rFonts w:ascii="宋体" w:hAnsi="宋体"/>
              </w:rPr>
            </w:pPr>
            <w:r>
              <w:rPr>
                <w:rFonts w:ascii="宋体" w:hAnsi="宋体" w:cs="宋体"/>
              </w:rPr>
              <w:t xml:space="preserve">2,593,588 </w:t>
            </w:r>
          </w:p>
        </w:tc>
        <w:tc>
          <w:tcPr>
            <w:tcW w:w="1276" w:type="dxa"/>
            <w:vAlign w:val="center"/>
          </w:tcPr>
          <w:p>
            <w:pPr>
              <w:jc w:val="right"/>
              <w:rPr>
                <w:rFonts w:ascii="宋体" w:hAnsi="宋体"/>
              </w:rPr>
            </w:pPr>
            <w:r>
              <w:rPr>
                <w:rFonts w:ascii="宋体" w:hAnsi="宋体" w:cs="宋体"/>
              </w:rPr>
              <w:t xml:space="preserve">4,695,133 </w:t>
            </w:r>
          </w:p>
        </w:tc>
        <w:tc>
          <w:tcPr>
            <w:tcW w:w="1276" w:type="dxa"/>
            <w:vAlign w:val="center"/>
          </w:tcPr>
          <w:p>
            <w:pPr>
              <w:jc w:val="right"/>
              <w:rPr>
                <w:rFonts w:ascii="宋体" w:hAnsi="宋体"/>
              </w:rPr>
            </w:pPr>
            <w:r>
              <w:rPr>
                <w:rFonts w:ascii="宋体" w:hAnsi="宋体"/>
              </w:rPr>
              <w:t>17,491,502</w:t>
            </w:r>
          </w:p>
        </w:tc>
        <w:tc>
          <w:tcPr>
            <w:tcW w:w="1276" w:type="dxa"/>
            <w:vAlign w:val="center"/>
          </w:tcPr>
          <w:p>
            <w:pPr>
              <w:jc w:val="right"/>
              <w:rPr>
                <w:rFonts w:ascii="宋体" w:hAnsi="宋体"/>
              </w:rPr>
            </w:pPr>
            <w:r>
              <w:rPr>
                <w:rFonts w:ascii="宋体" w:hAnsi="宋体"/>
              </w:rPr>
              <w:t>14,972,532</w:t>
            </w:r>
          </w:p>
        </w:tc>
        <w:tc>
          <w:tcPr>
            <w:tcW w:w="1275" w:type="dxa"/>
            <w:vAlign w:val="center"/>
          </w:tcPr>
          <w:p>
            <w:pPr>
              <w:jc w:val="right"/>
              <w:rPr>
                <w:rFonts w:ascii="宋体" w:hAnsi="宋体"/>
              </w:rPr>
            </w:pPr>
            <w:r>
              <w:rPr>
                <w:rFonts w:ascii="宋体" w:hAnsi="宋体"/>
              </w:rPr>
              <w:t>32,464,034</w:t>
            </w:r>
          </w:p>
        </w:tc>
        <w:tc>
          <w:tcPr>
            <w:tcW w:w="1276" w:type="dxa"/>
            <w:vAlign w:val="center"/>
          </w:tcPr>
          <w:p>
            <w:pPr>
              <w:jc w:val="right"/>
              <w:rPr>
                <w:rFonts w:ascii="宋体" w:hAnsi="宋体"/>
              </w:rPr>
            </w:pPr>
            <w:r>
              <w:rPr>
                <w:rFonts w:ascii="宋体" w:hAnsi="宋体"/>
              </w:rPr>
              <w:t>2,274,434</w:t>
            </w:r>
          </w:p>
        </w:tc>
        <w:tc>
          <w:tcPr>
            <w:tcW w:w="1276" w:type="dxa"/>
            <w:vAlign w:val="center"/>
          </w:tcPr>
          <w:p>
            <w:pPr>
              <w:jc w:val="right"/>
              <w:rPr>
                <w:rFonts w:ascii="宋体" w:hAnsi="宋体"/>
              </w:rPr>
            </w:pPr>
            <w:r>
              <w:rPr>
                <w:rFonts w:ascii="宋体" w:hAnsi="宋体"/>
              </w:rPr>
              <w:t>2,890,190</w:t>
            </w:r>
          </w:p>
        </w:tc>
        <w:tc>
          <w:tcPr>
            <w:tcW w:w="1276" w:type="dxa"/>
            <w:vAlign w:val="center"/>
          </w:tcPr>
          <w:p>
            <w:pPr>
              <w:jc w:val="right"/>
              <w:rPr>
                <w:rFonts w:ascii="宋体" w:hAnsi="宋体"/>
              </w:rPr>
            </w:pPr>
            <w:r>
              <w:rPr>
                <w:rFonts w:ascii="宋体" w:hAnsi="宋体"/>
              </w:rPr>
              <w:t>5,164,624</w:t>
            </w:r>
          </w:p>
        </w:tc>
      </w:tr>
      <w:tr>
        <w:tc>
          <w:tcPr>
            <w:tcW w:w="708" w:type="dxa"/>
            <w:vAlign w:val="center"/>
          </w:tcPr>
          <w:p>
            <w:pPr>
              <w:jc w:val="both"/>
              <w:rPr>
                <w:rFonts w:ascii="宋体" w:hAnsi="宋体"/>
              </w:rPr>
            </w:pPr>
            <w:r>
              <w:rPr>
                <w:rFonts w:ascii="宋体" w:hAnsi="宋体" w:hint="eastAsia"/>
              </w:rPr>
              <w:t>鲁西矿业</w:t>
            </w:r>
          </w:p>
        </w:tc>
        <w:tc>
          <w:tcPr>
            <w:tcW w:w="1277" w:type="dxa"/>
            <w:vAlign w:val="center"/>
          </w:tcPr>
          <w:p>
            <w:pPr>
              <w:jc w:val="right"/>
              <w:rPr>
                <w:rFonts w:ascii="宋体" w:hAnsi="宋体"/>
              </w:rPr>
            </w:pPr>
            <w:r>
              <w:rPr>
                <w:rFonts w:ascii="宋体" w:hAnsi="宋体"/>
              </w:rPr>
              <w:t>13,295,729</w:t>
            </w:r>
          </w:p>
        </w:tc>
        <w:tc>
          <w:tcPr>
            <w:tcW w:w="1417" w:type="dxa"/>
            <w:vAlign w:val="center"/>
          </w:tcPr>
          <w:p>
            <w:pPr>
              <w:jc w:val="right"/>
              <w:rPr>
                <w:rFonts w:ascii="宋体" w:hAnsi="宋体"/>
              </w:rPr>
            </w:pPr>
            <w:r>
              <w:rPr>
                <w:rFonts w:ascii="宋体" w:hAnsi="宋体"/>
              </w:rPr>
              <w:t>29,290,693</w:t>
            </w:r>
          </w:p>
        </w:tc>
        <w:tc>
          <w:tcPr>
            <w:tcW w:w="1418" w:type="dxa"/>
            <w:vAlign w:val="center"/>
          </w:tcPr>
          <w:p>
            <w:pPr>
              <w:jc w:val="right"/>
              <w:rPr>
                <w:rFonts w:ascii="宋体" w:hAnsi="宋体"/>
              </w:rPr>
            </w:pPr>
            <w:r>
              <w:rPr>
                <w:rFonts w:ascii="宋体" w:hAnsi="宋体"/>
              </w:rPr>
              <w:t>42,586,422</w:t>
            </w:r>
          </w:p>
        </w:tc>
        <w:tc>
          <w:tcPr>
            <w:tcW w:w="1276" w:type="dxa"/>
            <w:vAlign w:val="center"/>
          </w:tcPr>
          <w:p>
            <w:pPr>
              <w:jc w:val="right"/>
              <w:rPr>
                <w:rFonts w:ascii="宋体" w:hAnsi="宋体"/>
              </w:rPr>
            </w:pPr>
            <w:r>
              <w:rPr>
                <w:rFonts w:ascii="宋体" w:hAnsi="宋体"/>
              </w:rPr>
              <w:t>18,986,242</w:t>
            </w:r>
          </w:p>
        </w:tc>
        <w:tc>
          <w:tcPr>
            <w:tcW w:w="1275" w:type="dxa"/>
            <w:vAlign w:val="center"/>
          </w:tcPr>
          <w:p>
            <w:pPr>
              <w:jc w:val="right"/>
              <w:rPr>
                <w:rFonts w:ascii="宋体" w:hAnsi="宋体"/>
              </w:rPr>
            </w:pPr>
            <w:r>
              <w:rPr>
                <w:rFonts w:ascii="宋体" w:hAnsi="宋体"/>
              </w:rPr>
              <w:t>10,138,588</w:t>
            </w:r>
          </w:p>
        </w:tc>
        <w:tc>
          <w:tcPr>
            <w:tcW w:w="1276" w:type="dxa"/>
            <w:vAlign w:val="center"/>
          </w:tcPr>
          <w:p>
            <w:pPr>
              <w:jc w:val="right"/>
              <w:rPr>
                <w:rFonts w:ascii="宋体" w:hAnsi="宋体"/>
              </w:rPr>
            </w:pPr>
            <w:r>
              <w:rPr>
                <w:rFonts w:ascii="宋体" w:hAnsi="宋体"/>
              </w:rPr>
              <w:t>29,124,830</w:t>
            </w:r>
          </w:p>
        </w:tc>
        <w:tc>
          <w:tcPr>
            <w:tcW w:w="1276" w:type="dxa"/>
            <w:vAlign w:val="center"/>
          </w:tcPr>
          <w:p>
            <w:pPr>
              <w:jc w:val="right"/>
              <w:rPr>
                <w:rFonts w:ascii="宋体" w:hAnsi="宋体"/>
              </w:rPr>
            </w:pPr>
            <w:r>
              <w:rPr>
                <w:rFonts w:ascii="宋体" w:hAnsi="宋体"/>
              </w:rPr>
              <w:t>15,050,797</w:t>
            </w:r>
          </w:p>
        </w:tc>
        <w:tc>
          <w:tcPr>
            <w:tcW w:w="1276" w:type="dxa"/>
            <w:vAlign w:val="center"/>
          </w:tcPr>
          <w:p>
            <w:pPr>
              <w:jc w:val="right"/>
              <w:rPr>
                <w:rFonts w:ascii="宋体" w:hAnsi="宋体"/>
              </w:rPr>
            </w:pPr>
            <w:r>
              <w:rPr>
                <w:rFonts w:ascii="宋体" w:hAnsi="宋体"/>
              </w:rPr>
              <w:t>29,388,826</w:t>
            </w:r>
          </w:p>
        </w:tc>
        <w:tc>
          <w:tcPr>
            <w:tcW w:w="1275" w:type="dxa"/>
            <w:vAlign w:val="center"/>
          </w:tcPr>
          <w:p>
            <w:pPr>
              <w:jc w:val="right"/>
              <w:rPr>
                <w:rFonts w:ascii="宋体" w:hAnsi="宋体"/>
              </w:rPr>
            </w:pPr>
            <w:r>
              <w:rPr>
                <w:rFonts w:ascii="宋体" w:hAnsi="宋体"/>
              </w:rPr>
              <w:t>44,439,623</w:t>
            </w:r>
          </w:p>
        </w:tc>
        <w:tc>
          <w:tcPr>
            <w:tcW w:w="1276" w:type="dxa"/>
            <w:vAlign w:val="center"/>
          </w:tcPr>
          <w:p>
            <w:pPr>
              <w:jc w:val="right"/>
              <w:rPr>
                <w:rFonts w:ascii="宋体" w:hAnsi="宋体"/>
              </w:rPr>
            </w:pPr>
            <w:r>
              <w:rPr>
                <w:rFonts w:ascii="宋体" w:hAnsi="宋体"/>
              </w:rPr>
              <w:t>22,848,679</w:t>
            </w:r>
          </w:p>
        </w:tc>
        <w:tc>
          <w:tcPr>
            <w:tcW w:w="1276" w:type="dxa"/>
            <w:vAlign w:val="center"/>
          </w:tcPr>
          <w:p>
            <w:pPr>
              <w:jc w:val="right"/>
              <w:rPr>
                <w:rFonts w:ascii="宋体" w:hAnsi="宋体"/>
              </w:rPr>
            </w:pPr>
            <w:r>
              <w:rPr>
                <w:rFonts w:ascii="宋体" w:hAnsi="宋体"/>
              </w:rPr>
              <w:t>11,654,310</w:t>
            </w:r>
          </w:p>
        </w:tc>
        <w:tc>
          <w:tcPr>
            <w:tcW w:w="1276" w:type="dxa"/>
            <w:vAlign w:val="center"/>
          </w:tcPr>
          <w:p>
            <w:pPr>
              <w:jc w:val="right"/>
              <w:rPr>
                <w:rFonts w:ascii="宋体" w:hAnsi="宋体"/>
              </w:rPr>
            </w:pPr>
            <w:r>
              <w:rPr>
                <w:rFonts w:ascii="宋体" w:hAnsi="宋体"/>
              </w:rPr>
              <w:t>34,502,989</w:t>
            </w:r>
          </w:p>
        </w:tc>
      </w:tr>
      <w:tr>
        <w:tc>
          <w:tcPr>
            <w:tcW w:w="708" w:type="dxa"/>
            <w:vAlign w:val="center"/>
          </w:tcPr>
          <w:p>
            <w:pPr>
              <w:jc w:val="both"/>
              <w:rPr>
                <w:rFonts w:ascii="宋体" w:hAnsi="宋体"/>
              </w:rPr>
            </w:pPr>
            <w:r>
              <w:rPr>
                <w:rFonts w:ascii="宋体" w:hAnsi="宋体" w:hint="eastAsia"/>
              </w:rPr>
              <w:t>西北矿业</w:t>
            </w:r>
          </w:p>
        </w:tc>
        <w:tc>
          <w:tcPr>
            <w:tcW w:w="1277" w:type="dxa"/>
            <w:vAlign w:val="center"/>
          </w:tcPr>
          <w:p>
            <w:pPr>
              <w:jc w:val="right"/>
              <w:rPr>
                <w:rFonts w:ascii="宋体" w:hAnsi="宋体"/>
              </w:rPr>
            </w:pPr>
            <w:r>
              <w:rPr>
                <w:rFonts w:ascii="宋体" w:hAnsi="宋体"/>
              </w:rPr>
              <w:t>5,171,363</w:t>
            </w:r>
          </w:p>
        </w:tc>
        <w:tc>
          <w:tcPr>
            <w:tcW w:w="1417" w:type="dxa"/>
            <w:vAlign w:val="center"/>
          </w:tcPr>
          <w:p>
            <w:pPr>
              <w:jc w:val="right"/>
              <w:rPr>
                <w:rFonts w:ascii="宋体" w:hAnsi="宋体"/>
              </w:rPr>
            </w:pPr>
            <w:r>
              <w:rPr>
                <w:rFonts w:ascii="宋体" w:hAnsi="宋体" w:cs="宋体"/>
              </w:rPr>
              <w:t>48,321,582</w:t>
            </w:r>
          </w:p>
        </w:tc>
        <w:tc>
          <w:tcPr>
            <w:tcW w:w="1418" w:type="dxa"/>
            <w:vAlign w:val="center"/>
          </w:tcPr>
          <w:p>
            <w:pPr>
              <w:jc w:val="right"/>
              <w:rPr>
                <w:rFonts w:ascii="宋体" w:hAnsi="宋体"/>
              </w:rPr>
            </w:pPr>
            <w:r>
              <w:rPr>
                <w:rFonts w:ascii="宋体" w:hAnsi="宋体" w:cs="宋体"/>
              </w:rPr>
              <w:t>53,492,945</w:t>
            </w:r>
          </w:p>
        </w:tc>
        <w:tc>
          <w:tcPr>
            <w:tcW w:w="1276" w:type="dxa"/>
            <w:vAlign w:val="center"/>
          </w:tcPr>
          <w:p>
            <w:pPr>
              <w:jc w:val="right"/>
              <w:rPr>
                <w:rFonts w:ascii="宋体" w:hAnsi="宋体"/>
              </w:rPr>
            </w:pPr>
            <w:r>
              <w:rPr>
                <w:rFonts w:ascii="宋体" w:hAnsi="宋体"/>
              </w:rPr>
              <w:t>21,660,762</w:t>
            </w:r>
          </w:p>
        </w:tc>
        <w:tc>
          <w:tcPr>
            <w:tcW w:w="1275" w:type="dxa"/>
            <w:vAlign w:val="center"/>
          </w:tcPr>
          <w:p>
            <w:pPr>
              <w:jc w:val="right"/>
              <w:rPr>
                <w:rFonts w:ascii="宋体" w:hAnsi="宋体"/>
              </w:rPr>
            </w:pPr>
            <w:r>
              <w:rPr>
                <w:rFonts w:ascii="宋体" w:hAnsi="宋体"/>
              </w:rPr>
              <w:t>18,445,765</w:t>
            </w:r>
          </w:p>
        </w:tc>
        <w:tc>
          <w:tcPr>
            <w:tcW w:w="1276" w:type="dxa"/>
            <w:vAlign w:val="center"/>
          </w:tcPr>
          <w:p>
            <w:pPr>
              <w:jc w:val="right"/>
              <w:rPr>
                <w:rFonts w:ascii="宋体" w:hAnsi="宋体"/>
              </w:rPr>
            </w:pPr>
            <w:r>
              <w:rPr>
                <w:rFonts w:ascii="宋体" w:hAnsi="宋体"/>
              </w:rPr>
              <w:t>40,106,527</w:t>
            </w:r>
          </w:p>
        </w:tc>
        <w:tc>
          <w:tcPr>
            <w:tcW w:w="1276" w:type="dxa"/>
            <w:vAlign w:val="center"/>
          </w:tcPr>
          <w:p>
            <w:pPr>
              <w:jc w:val="right"/>
              <w:rPr>
                <w:rFonts w:ascii="宋体" w:hAnsi="宋体"/>
              </w:rPr>
            </w:pPr>
            <w:r>
              <w:rPr>
                <w:rFonts w:ascii="宋体" w:hAnsi="宋体"/>
              </w:rPr>
              <w:t>5,716,577</w:t>
            </w:r>
          </w:p>
        </w:tc>
        <w:tc>
          <w:tcPr>
            <w:tcW w:w="1276" w:type="dxa"/>
            <w:vAlign w:val="center"/>
          </w:tcPr>
          <w:p>
            <w:pPr>
              <w:jc w:val="right"/>
              <w:rPr>
                <w:rFonts w:ascii="宋体" w:hAnsi="宋体"/>
              </w:rPr>
            </w:pPr>
            <w:r>
              <w:rPr>
                <w:rFonts w:ascii="宋体" w:hAnsi="宋体"/>
              </w:rPr>
              <w:t>48,069,430</w:t>
            </w:r>
          </w:p>
        </w:tc>
        <w:tc>
          <w:tcPr>
            <w:tcW w:w="1275" w:type="dxa"/>
            <w:vAlign w:val="center"/>
          </w:tcPr>
          <w:p>
            <w:pPr>
              <w:jc w:val="right"/>
              <w:rPr>
                <w:rFonts w:ascii="宋体" w:hAnsi="宋体"/>
              </w:rPr>
            </w:pPr>
            <w:r>
              <w:rPr>
                <w:rFonts w:ascii="宋体" w:hAnsi="宋体"/>
              </w:rPr>
              <w:t>53,786,007</w:t>
            </w:r>
          </w:p>
        </w:tc>
        <w:tc>
          <w:tcPr>
            <w:tcW w:w="1276" w:type="dxa"/>
            <w:vAlign w:val="center"/>
          </w:tcPr>
          <w:p>
            <w:pPr>
              <w:jc w:val="right"/>
              <w:rPr>
                <w:rFonts w:ascii="宋体" w:hAnsi="宋体"/>
              </w:rPr>
            </w:pPr>
            <w:r>
              <w:rPr>
                <w:rFonts w:ascii="宋体" w:hAnsi="宋体"/>
              </w:rPr>
              <w:t>18,384,277</w:t>
            </w:r>
          </w:p>
        </w:tc>
        <w:tc>
          <w:tcPr>
            <w:tcW w:w="1276" w:type="dxa"/>
            <w:vAlign w:val="center"/>
          </w:tcPr>
          <w:p>
            <w:pPr>
              <w:jc w:val="right"/>
              <w:rPr>
                <w:rFonts w:ascii="宋体" w:hAnsi="宋体"/>
              </w:rPr>
            </w:pPr>
            <w:r>
              <w:rPr>
                <w:rFonts w:ascii="宋体" w:hAnsi="宋体"/>
              </w:rPr>
              <w:t>19,212,268</w:t>
            </w:r>
          </w:p>
        </w:tc>
        <w:tc>
          <w:tcPr>
            <w:tcW w:w="1276" w:type="dxa"/>
            <w:vAlign w:val="center"/>
          </w:tcPr>
          <w:p>
            <w:pPr>
              <w:jc w:val="right"/>
              <w:rPr>
                <w:rFonts w:ascii="宋体" w:hAnsi="宋体"/>
              </w:rPr>
            </w:pPr>
            <w:r>
              <w:rPr>
                <w:rFonts w:ascii="宋体" w:hAnsi="宋体"/>
              </w:rPr>
              <w:t>37,596,545</w:t>
            </w:r>
          </w:p>
        </w:tc>
      </w:tr>
      <w:bookmarkEnd w:id="529"/>
    </w:tbl>
    <w:p>
      <w:pPr>
        <w:rPr>
          <w:rFonts w:ascii="宋体" w:hAnsi="宋体" w:cs="Arial"/>
        </w:rPr>
      </w:pPr>
    </w:p>
    <w:tbl>
      <w:tblPr>
        <w:tblStyle w:val="Style100"/>
        <w:tblW w:w="1630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842"/>
        <w:gridCol w:w="1843"/>
        <w:gridCol w:w="1701"/>
        <w:gridCol w:w="1985"/>
        <w:gridCol w:w="1842"/>
        <w:gridCol w:w="1985"/>
        <w:gridCol w:w="1843"/>
      </w:tblGrid>
      <w:tr>
        <w:trPr>
          <w:trHeight w:val="241"/>
        </w:trPr>
        <w:sdt>
          <w:sdtPr>
            <w:rPr>
              <w:rFonts w:ascii="宋体" w:hAnsi="宋体"/>
            </w:rPr>
            <w:tag w:val="_PLD_f862f5520ccd48d7b0fd3b875414eb44"/>
            <w:id w:val="-1447994638"/>
          </w:sdtPr>
          <w:sdtContent>
            <w:tc>
              <w:tcPr>
                <w:tcW w:w="1418" w:type="dxa"/>
                <w:vMerge w:val="restart"/>
                <w:vAlign w:val="center"/>
              </w:tcPr>
              <w:p>
                <w:pPr>
                  <w:spacing w:line="276" w:lineRule="auto"/>
                  <w:ind w:right="-16"/>
                  <w:jc w:val="center"/>
                  <w:rPr>
                    <w:rFonts w:ascii="宋体" w:hAnsi="宋体" w:cs="Arial"/>
                    <w:bCs/>
                  </w:rPr>
                </w:pPr>
                <w:r>
                  <w:rPr>
                    <w:rFonts w:ascii="宋体" w:hAnsi="宋体" w:cs="Arial" w:hint="eastAsia"/>
                    <w:bCs/>
                    <w:lang w:val="en-GB"/>
                  </w:rPr>
                  <w:t>子公司名称</w:t>
                </w:r>
              </w:p>
            </w:tc>
          </w:sdtContent>
        </w:sdt>
        <w:sdt>
          <w:sdtPr>
            <w:rPr>
              <w:rFonts w:ascii="宋体" w:hAnsi="宋体"/>
            </w:rPr>
            <w:tag w:val="_PLD_5506f9b7657a4249a69db52c93f94b62"/>
            <w:id w:val="1502848813"/>
          </w:sdtPr>
          <w:sdtContent>
            <w:tc>
              <w:tcPr>
                <w:tcW w:w="7229" w:type="dxa"/>
                <w:gridSpan w:val="4"/>
                <w:vAlign w:val="center"/>
              </w:tcPr>
              <w:p>
                <w:pPr>
                  <w:spacing w:line="276" w:lineRule="auto"/>
                  <w:ind w:right="-16"/>
                  <w:jc w:val="center"/>
                  <w:rPr>
                    <w:rFonts w:ascii="宋体" w:hAnsi="宋体" w:cs="Arial"/>
                    <w:bCs/>
                  </w:rPr>
                </w:pPr>
                <w:r>
                  <w:rPr>
                    <w:rFonts w:ascii="宋体" w:hAnsi="宋体" w:cs="Arial" w:hint="eastAsia"/>
                    <w:bCs/>
                    <w:lang w:val="en-GB"/>
                  </w:rPr>
                  <w:t>本期发生额</w:t>
                </w:r>
              </w:p>
            </w:tc>
          </w:sdtContent>
        </w:sdt>
        <w:sdt>
          <w:sdtPr>
            <w:rPr>
              <w:rFonts w:ascii="宋体" w:hAnsi="宋体"/>
            </w:rPr>
            <w:tag w:val="_PLD_063dddde33114bd0989718130d614207"/>
            <w:id w:val="-807549952"/>
          </w:sdtPr>
          <w:sdtContent>
            <w:tc>
              <w:tcPr>
                <w:tcW w:w="7655" w:type="dxa"/>
                <w:gridSpan w:val="4"/>
                <w:vAlign w:val="center"/>
              </w:tcPr>
              <w:p>
                <w:pPr>
                  <w:spacing w:line="276" w:lineRule="auto"/>
                  <w:ind w:right="-16"/>
                  <w:jc w:val="center"/>
                  <w:rPr>
                    <w:rFonts w:ascii="宋体" w:hAnsi="宋体" w:cs="Arial"/>
                    <w:bCs/>
                  </w:rPr>
                </w:pPr>
                <w:r>
                  <w:rPr>
                    <w:rFonts w:ascii="宋体" w:hAnsi="宋体" w:cs="Arial" w:hint="eastAsia"/>
                    <w:bCs/>
                    <w:lang w:val="en-GB"/>
                  </w:rPr>
                  <w:t>上期发生额</w:t>
                </w:r>
              </w:p>
            </w:tc>
          </w:sdtContent>
        </w:sdt>
      </w:tr>
      <w:tr>
        <w:trPr>
          <w:trHeight w:val="241"/>
        </w:trPr>
        <w:tc>
          <w:tcPr>
            <w:tcW w:w="1418" w:type="dxa"/>
            <w:vMerge/>
            <w:vAlign w:val="center"/>
          </w:tcPr>
          <w:p>
            <w:pPr>
              <w:jc w:val="center"/>
              <w:rPr>
                <w:rFonts w:ascii="宋体" w:hAnsi="宋体" w:cs="Arial"/>
                <w:bCs/>
              </w:rPr>
            </w:pPr>
          </w:p>
        </w:tc>
        <w:sdt>
          <w:sdtPr>
            <w:rPr>
              <w:rFonts w:ascii="宋体" w:hAnsi="宋体"/>
            </w:rPr>
            <w:tag w:val="_PLD_0ff6644b89fa49828839f84e0b320d2e"/>
            <w:id w:val="-1702244945"/>
          </w:sdtPr>
          <w:sdtContent>
            <w:tc>
              <w:tcPr>
                <w:tcW w:w="1843" w:type="dxa"/>
                <w:vAlign w:val="center"/>
              </w:tcPr>
              <w:p>
                <w:pPr>
                  <w:spacing w:line="276" w:lineRule="auto"/>
                  <w:jc w:val="center"/>
                  <w:rPr>
                    <w:rFonts w:ascii="宋体" w:hAnsi="宋体" w:cs="Arial"/>
                  </w:rPr>
                </w:pPr>
                <w:r>
                  <w:rPr>
                    <w:rFonts w:ascii="宋体" w:hAnsi="宋体" w:cs="Arial" w:hint="eastAsia"/>
                    <w:lang w:val="en-GB"/>
                  </w:rPr>
                  <w:t>营业收入</w:t>
                </w:r>
              </w:p>
            </w:tc>
          </w:sdtContent>
        </w:sdt>
        <w:sdt>
          <w:sdtPr>
            <w:rPr>
              <w:rFonts w:ascii="宋体" w:hAnsi="宋体"/>
            </w:rPr>
            <w:tag w:val="_PLD_3ed6f54533ae4b35b5749cded650328b"/>
            <w:id w:val="585955759"/>
          </w:sdtPr>
          <w:sdtContent>
            <w:tc>
              <w:tcPr>
                <w:tcW w:w="1842" w:type="dxa"/>
                <w:vAlign w:val="center"/>
              </w:tcPr>
              <w:p>
                <w:pPr>
                  <w:spacing w:line="276" w:lineRule="auto"/>
                  <w:jc w:val="center"/>
                  <w:rPr>
                    <w:rFonts w:ascii="宋体" w:hAnsi="宋体" w:cs="Arial"/>
                  </w:rPr>
                </w:pPr>
                <w:r>
                  <w:rPr>
                    <w:rFonts w:ascii="宋体" w:hAnsi="宋体" w:cs="Arial" w:hint="eastAsia"/>
                    <w:lang w:val="en-GB"/>
                  </w:rPr>
                  <w:t>净利润</w:t>
                </w:r>
              </w:p>
            </w:tc>
          </w:sdtContent>
        </w:sdt>
        <w:sdt>
          <w:sdtPr>
            <w:rPr>
              <w:rFonts w:ascii="宋体" w:hAnsi="宋体"/>
            </w:rPr>
            <w:tag w:val="_PLD_f277e496f88240b8a09027ca500f53c9"/>
            <w:id w:val="266582662"/>
          </w:sdtPr>
          <w:sdtContent>
            <w:tc>
              <w:tcPr>
                <w:tcW w:w="1843" w:type="dxa"/>
                <w:vAlign w:val="center"/>
              </w:tcPr>
              <w:p>
                <w:pPr>
                  <w:spacing w:line="276" w:lineRule="auto"/>
                  <w:jc w:val="center"/>
                  <w:rPr>
                    <w:rFonts w:ascii="宋体" w:hAnsi="宋体" w:cs="Arial"/>
                  </w:rPr>
                </w:pPr>
                <w:r>
                  <w:rPr>
                    <w:rFonts w:ascii="宋体" w:hAnsi="宋体" w:cs="Arial" w:hint="eastAsia"/>
                    <w:lang w:val="en-GB"/>
                  </w:rPr>
                  <w:t>综合收益总额</w:t>
                </w:r>
              </w:p>
            </w:tc>
          </w:sdtContent>
        </w:sdt>
        <w:sdt>
          <w:sdtPr>
            <w:rPr>
              <w:rFonts w:ascii="宋体" w:hAnsi="宋体"/>
            </w:rPr>
            <w:tag w:val="_PLD_b06ad8ebb20b4c158ab41b3105f22658"/>
            <w:id w:val="10040933"/>
          </w:sdtPr>
          <w:sdtContent>
            <w:tc>
              <w:tcPr>
                <w:tcW w:w="1701" w:type="dxa"/>
                <w:vAlign w:val="center"/>
              </w:tcPr>
              <w:p>
                <w:pPr>
                  <w:spacing w:line="276" w:lineRule="auto"/>
                  <w:jc w:val="center"/>
                  <w:rPr>
                    <w:rFonts w:ascii="宋体" w:hAnsi="宋体" w:cs="Arial"/>
                  </w:rPr>
                </w:pPr>
                <w:r>
                  <w:rPr>
                    <w:rFonts w:ascii="宋体" w:hAnsi="宋体" w:cs="Arial" w:hint="eastAsia"/>
                    <w:lang w:val="en-GB"/>
                  </w:rPr>
                  <w:t>经营活动现金流量</w:t>
                </w:r>
              </w:p>
            </w:tc>
          </w:sdtContent>
        </w:sdt>
        <w:sdt>
          <w:sdtPr>
            <w:rPr>
              <w:rFonts w:ascii="宋体" w:hAnsi="宋体"/>
            </w:rPr>
            <w:tag w:val="_PLD_4fc4163d4ea74839b6634e2ab30a43dd"/>
            <w:id w:val="478041988"/>
          </w:sdtPr>
          <w:sdtContent>
            <w:tc>
              <w:tcPr>
                <w:tcW w:w="1985" w:type="dxa"/>
                <w:vAlign w:val="center"/>
              </w:tcPr>
              <w:p>
                <w:pPr>
                  <w:spacing w:line="276" w:lineRule="auto"/>
                  <w:jc w:val="center"/>
                  <w:rPr>
                    <w:rFonts w:ascii="宋体" w:hAnsi="宋体" w:cs="Arial"/>
                  </w:rPr>
                </w:pPr>
                <w:r>
                  <w:rPr>
                    <w:rFonts w:ascii="宋体" w:hAnsi="宋体" w:cs="Arial" w:hint="eastAsia"/>
                    <w:lang w:val="en-GB"/>
                  </w:rPr>
                  <w:t>营业收入</w:t>
                </w:r>
              </w:p>
            </w:tc>
          </w:sdtContent>
        </w:sdt>
        <w:sdt>
          <w:sdtPr>
            <w:rPr>
              <w:rFonts w:ascii="宋体" w:hAnsi="宋体"/>
            </w:rPr>
            <w:tag w:val="_PLD_afe353d057d34119880797ab0530197f"/>
            <w:id w:val="-1325744811"/>
          </w:sdtPr>
          <w:sdtContent>
            <w:tc>
              <w:tcPr>
                <w:tcW w:w="1842" w:type="dxa"/>
                <w:vAlign w:val="center"/>
              </w:tcPr>
              <w:p>
                <w:pPr>
                  <w:spacing w:line="276" w:lineRule="auto"/>
                  <w:jc w:val="center"/>
                  <w:rPr>
                    <w:rFonts w:ascii="宋体" w:hAnsi="宋体" w:cs="Arial"/>
                  </w:rPr>
                </w:pPr>
                <w:r>
                  <w:rPr>
                    <w:rFonts w:ascii="宋体" w:hAnsi="宋体" w:cs="Arial" w:hint="eastAsia"/>
                    <w:lang w:val="en-GB"/>
                  </w:rPr>
                  <w:t>净利润</w:t>
                </w:r>
              </w:p>
            </w:tc>
          </w:sdtContent>
        </w:sdt>
        <w:sdt>
          <w:sdtPr>
            <w:rPr>
              <w:rFonts w:ascii="宋体" w:hAnsi="宋体"/>
            </w:rPr>
            <w:tag w:val="_PLD_06c5ed8a09a8478bb7daf6526e9a9894"/>
            <w:id w:val="-1020234901"/>
          </w:sdtPr>
          <w:sdtContent>
            <w:tc>
              <w:tcPr>
                <w:tcW w:w="1985" w:type="dxa"/>
                <w:vAlign w:val="center"/>
              </w:tcPr>
              <w:p>
                <w:pPr>
                  <w:spacing w:line="276" w:lineRule="auto"/>
                  <w:jc w:val="center"/>
                  <w:rPr>
                    <w:rFonts w:ascii="宋体" w:hAnsi="宋体" w:cs="Arial"/>
                  </w:rPr>
                </w:pPr>
                <w:r>
                  <w:rPr>
                    <w:rFonts w:ascii="宋体" w:hAnsi="宋体" w:cs="Arial" w:hint="eastAsia"/>
                    <w:lang w:val="en-GB"/>
                  </w:rPr>
                  <w:t>综合收益总额</w:t>
                </w:r>
              </w:p>
            </w:tc>
          </w:sdtContent>
        </w:sdt>
        <w:sdt>
          <w:sdtPr>
            <w:rPr>
              <w:rFonts w:ascii="宋体" w:hAnsi="宋体"/>
            </w:rPr>
            <w:tag w:val="_PLD_4bb5318561af41709725de1d7e458dde"/>
            <w:id w:val="603236121"/>
          </w:sdtPr>
          <w:sdtContent>
            <w:tc>
              <w:tcPr>
                <w:tcW w:w="1843" w:type="dxa"/>
                <w:vAlign w:val="center"/>
              </w:tcPr>
              <w:p>
                <w:pPr>
                  <w:spacing w:line="276" w:lineRule="auto"/>
                  <w:jc w:val="center"/>
                  <w:rPr>
                    <w:rFonts w:ascii="宋体" w:hAnsi="宋体" w:cs="Arial"/>
                  </w:rPr>
                </w:pPr>
                <w:r>
                  <w:rPr>
                    <w:rFonts w:ascii="宋体" w:hAnsi="宋体" w:cs="Arial" w:hint="eastAsia"/>
                    <w:lang w:val="en-GB"/>
                  </w:rPr>
                  <w:t>经营活动现金流量</w:t>
                </w:r>
              </w:p>
            </w:tc>
          </w:sdtContent>
        </w:sdt>
      </w:tr>
      <w:tr>
        <w:tc>
          <w:tcPr>
            <w:tcW w:w="1418" w:type="dxa"/>
          </w:tcPr>
          <w:p>
            <w:pPr>
              <w:spacing w:line="276" w:lineRule="auto"/>
              <w:rPr>
                <w:rFonts w:ascii="宋体" w:hAnsi="宋体"/>
              </w:rPr>
            </w:pPr>
            <w:r>
              <w:rPr>
                <w:rFonts w:ascii="宋体" w:hAnsi="宋体" w:hint="eastAsia"/>
              </w:rPr>
              <w:t>澳洲公司</w:t>
            </w:r>
          </w:p>
        </w:tc>
        <w:tc>
          <w:tcPr>
            <w:tcW w:w="1843" w:type="dxa"/>
          </w:tcPr>
          <w:p>
            <w:pPr>
              <w:spacing w:line="276" w:lineRule="auto"/>
              <w:jc w:val="right"/>
              <w:rPr>
                <w:rFonts w:ascii="宋体" w:hAnsi="宋体"/>
              </w:rPr>
            </w:pPr>
            <w:r>
              <w:rPr>
                <w:rFonts w:ascii="宋体" w:hAnsi="宋体" w:hint="eastAsia"/>
              </w:rPr>
              <w:t>27,138,682</w:t>
            </w:r>
          </w:p>
        </w:tc>
        <w:tc>
          <w:tcPr>
            <w:tcW w:w="1842" w:type="dxa"/>
          </w:tcPr>
          <w:p>
            <w:pPr>
              <w:spacing w:line="276" w:lineRule="auto"/>
              <w:jc w:val="right"/>
              <w:rPr>
                <w:rFonts w:ascii="宋体" w:hAnsi="宋体"/>
              </w:rPr>
            </w:pPr>
            <w:r>
              <w:rPr>
                <w:rFonts w:ascii="宋体" w:hAnsi="宋体" w:hint="eastAsia"/>
              </w:rPr>
              <w:t>2,034,853</w:t>
            </w:r>
          </w:p>
        </w:tc>
        <w:tc>
          <w:tcPr>
            <w:tcW w:w="1843" w:type="dxa"/>
          </w:tcPr>
          <w:p>
            <w:pPr>
              <w:spacing w:line="276" w:lineRule="auto"/>
              <w:jc w:val="right"/>
              <w:rPr>
                <w:rFonts w:ascii="宋体" w:hAnsi="宋体"/>
              </w:rPr>
            </w:pPr>
            <w:r>
              <w:rPr>
                <w:rFonts w:ascii="宋体" w:hAnsi="宋体" w:hint="eastAsia"/>
              </w:rPr>
              <w:t>3,891,630</w:t>
            </w:r>
          </w:p>
        </w:tc>
        <w:tc>
          <w:tcPr>
            <w:tcW w:w="1701" w:type="dxa"/>
          </w:tcPr>
          <w:p>
            <w:pPr>
              <w:spacing w:line="276" w:lineRule="auto"/>
              <w:jc w:val="right"/>
              <w:rPr>
                <w:rFonts w:ascii="宋体" w:hAnsi="宋体"/>
              </w:rPr>
            </w:pPr>
            <w:r>
              <w:rPr>
                <w:rFonts w:ascii="宋体" w:hAnsi="宋体" w:hint="eastAsia"/>
              </w:rPr>
              <w:t>6,001,514</w:t>
            </w:r>
          </w:p>
        </w:tc>
        <w:tc>
          <w:tcPr>
            <w:tcW w:w="1985" w:type="dxa"/>
          </w:tcPr>
          <w:p>
            <w:pPr>
              <w:spacing w:line="276" w:lineRule="auto"/>
              <w:jc w:val="right"/>
              <w:rPr>
                <w:rFonts w:ascii="宋体" w:hAnsi="宋体"/>
              </w:rPr>
            </w:pPr>
            <w:r>
              <w:rPr>
                <w:rFonts w:ascii="宋体" w:hAnsi="宋体" w:hint="eastAsia"/>
              </w:rPr>
              <w:t>32,213,609</w:t>
            </w:r>
          </w:p>
        </w:tc>
        <w:tc>
          <w:tcPr>
            <w:tcW w:w="1842" w:type="dxa"/>
          </w:tcPr>
          <w:p>
            <w:pPr>
              <w:spacing w:line="276" w:lineRule="auto"/>
              <w:jc w:val="right"/>
              <w:rPr>
                <w:rFonts w:ascii="宋体" w:hAnsi="宋体"/>
              </w:rPr>
            </w:pPr>
            <w:r>
              <w:rPr>
                <w:rFonts w:ascii="宋体" w:hAnsi="宋体" w:hint="eastAsia"/>
              </w:rPr>
              <w:t>5,690,354</w:t>
            </w:r>
          </w:p>
        </w:tc>
        <w:tc>
          <w:tcPr>
            <w:tcW w:w="1985" w:type="dxa"/>
          </w:tcPr>
          <w:p>
            <w:pPr>
              <w:spacing w:line="276" w:lineRule="auto"/>
              <w:jc w:val="right"/>
              <w:rPr>
                <w:rFonts w:ascii="宋体" w:hAnsi="宋体"/>
              </w:rPr>
            </w:pPr>
            <w:r>
              <w:rPr>
                <w:rFonts w:ascii="宋体" w:hAnsi="宋体" w:hint="eastAsia"/>
              </w:rPr>
              <w:t>3,061,535</w:t>
            </w:r>
          </w:p>
        </w:tc>
        <w:tc>
          <w:tcPr>
            <w:tcW w:w="1843" w:type="dxa"/>
          </w:tcPr>
          <w:p>
            <w:pPr>
              <w:spacing w:line="276" w:lineRule="auto"/>
              <w:jc w:val="right"/>
              <w:rPr>
                <w:rFonts w:ascii="宋体" w:hAnsi="宋体"/>
              </w:rPr>
            </w:pPr>
            <w:r>
              <w:rPr>
                <w:rFonts w:ascii="宋体" w:hAnsi="宋体" w:hint="eastAsia"/>
              </w:rPr>
              <w:t>10,168,515</w:t>
            </w:r>
          </w:p>
        </w:tc>
      </w:tr>
      <w:tr>
        <w:tc>
          <w:tcPr>
            <w:tcW w:w="1418" w:type="dxa"/>
          </w:tcPr>
          <w:p>
            <w:pPr>
              <w:spacing w:line="276" w:lineRule="auto"/>
              <w:rPr>
                <w:rFonts w:ascii="宋体" w:hAnsi="宋体"/>
              </w:rPr>
            </w:pPr>
            <w:r>
              <w:rPr>
                <w:rFonts w:ascii="宋体" w:hAnsi="宋体" w:hint="eastAsia"/>
              </w:rPr>
              <w:t>未来能源</w:t>
            </w:r>
          </w:p>
        </w:tc>
        <w:tc>
          <w:tcPr>
            <w:tcW w:w="1843" w:type="dxa"/>
          </w:tcPr>
          <w:p>
            <w:pPr>
              <w:spacing w:line="276" w:lineRule="auto"/>
              <w:jc w:val="right"/>
              <w:rPr>
                <w:rFonts w:ascii="宋体" w:hAnsi="宋体"/>
              </w:rPr>
            </w:pPr>
            <w:r>
              <w:rPr>
                <w:rFonts w:ascii="宋体" w:hAnsi="宋体" w:hint="eastAsia"/>
              </w:rPr>
              <w:t>12,698,313</w:t>
            </w:r>
          </w:p>
        </w:tc>
        <w:tc>
          <w:tcPr>
            <w:tcW w:w="1842" w:type="dxa"/>
          </w:tcPr>
          <w:p>
            <w:pPr>
              <w:spacing w:line="276" w:lineRule="auto"/>
              <w:jc w:val="right"/>
              <w:rPr>
                <w:rFonts w:ascii="宋体" w:hAnsi="宋体"/>
              </w:rPr>
            </w:pPr>
            <w:r>
              <w:rPr>
                <w:rFonts w:ascii="宋体" w:hAnsi="宋体" w:hint="eastAsia"/>
              </w:rPr>
              <w:t>4,440,980</w:t>
            </w:r>
          </w:p>
        </w:tc>
        <w:tc>
          <w:tcPr>
            <w:tcW w:w="1843" w:type="dxa"/>
          </w:tcPr>
          <w:p>
            <w:pPr>
              <w:spacing w:line="276" w:lineRule="auto"/>
              <w:jc w:val="right"/>
              <w:rPr>
                <w:rFonts w:ascii="宋体" w:hAnsi="宋体"/>
              </w:rPr>
            </w:pPr>
            <w:r>
              <w:rPr>
                <w:rFonts w:ascii="宋体" w:hAnsi="宋体" w:hint="eastAsia"/>
              </w:rPr>
              <w:t>4,440,980</w:t>
            </w:r>
          </w:p>
        </w:tc>
        <w:tc>
          <w:tcPr>
            <w:tcW w:w="1701" w:type="dxa"/>
          </w:tcPr>
          <w:p>
            <w:pPr>
              <w:spacing w:line="276" w:lineRule="auto"/>
              <w:jc w:val="right"/>
              <w:rPr>
                <w:rFonts w:ascii="宋体" w:hAnsi="宋体"/>
              </w:rPr>
            </w:pPr>
            <w:r>
              <w:rPr>
                <w:rFonts w:ascii="宋体" w:hAnsi="宋体" w:hint="eastAsia"/>
              </w:rPr>
              <w:t>6,998,107</w:t>
            </w:r>
          </w:p>
        </w:tc>
        <w:tc>
          <w:tcPr>
            <w:tcW w:w="1985" w:type="dxa"/>
          </w:tcPr>
          <w:p>
            <w:pPr>
              <w:spacing w:line="276" w:lineRule="auto"/>
              <w:jc w:val="right"/>
              <w:rPr>
                <w:rFonts w:ascii="宋体" w:hAnsi="宋体"/>
              </w:rPr>
            </w:pPr>
            <w:r>
              <w:rPr>
                <w:rFonts w:ascii="宋体" w:hAnsi="宋体" w:hint="eastAsia"/>
              </w:rPr>
              <w:t>14,267,821</w:t>
            </w:r>
          </w:p>
        </w:tc>
        <w:tc>
          <w:tcPr>
            <w:tcW w:w="1842" w:type="dxa"/>
          </w:tcPr>
          <w:p>
            <w:pPr>
              <w:spacing w:line="276" w:lineRule="auto"/>
              <w:jc w:val="right"/>
              <w:rPr>
                <w:rFonts w:ascii="宋体" w:hAnsi="宋体"/>
              </w:rPr>
            </w:pPr>
            <w:r>
              <w:rPr>
                <w:rFonts w:ascii="宋体" w:hAnsi="宋体" w:hint="eastAsia"/>
              </w:rPr>
              <w:t>5,178,684</w:t>
            </w:r>
          </w:p>
        </w:tc>
        <w:tc>
          <w:tcPr>
            <w:tcW w:w="1985" w:type="dxa"/>
          </w:tcPr>
          <w:p>
            <w:pPr>
              <w:spacing w:line="276" w:lineRule="auto"/>
              <w:jc w:val="right"/>
              <w:rPr>
                <w:rFonts w:ascii="宋体" w:hAnsi="宋体"/>
              </w:rPr>
            </w:pPr>
            <w:r>
              <w:rPr>
                <w:rFonts w:ascii="宋体" w:hAnsi="宋体" w:hint="eastAsia"/>
              </w:rPr>
              <w:t>5,178,684</w:t>
            </w:r>
          </w:p>
        </w:tc>
        <w:tc>
          <w:tcPr>
            <w:tcW w:w="1843" w:type="dxa"/>
          </w:tcPr>
          <w:p>
            <w:pPr>
              <w:spacing w:line="276" w:lineRule="auto"/>
              <w:jc w:val="right"/>
              <w:rPr>
                <w:rFonts w:ascii="宋体" w:hAnsi="宋体"/>
              </w:rPr>
            </w:pPr>
            <w:r>
              <w:rPr>
                <w:rFonts w:ascii="宋体" w:hAnsi="宋体" w:hint="eastAsia"/>
              </w:rPr>
              <w:t>7,122,817</w:t>
            </w:r>
          </w:p>
        </w:tc>
      </w:tr>
      <w:tr>
        <w:tc>
          <w:tcPr>
            <w:tcW w:w="1418" w:type="dxa"/>
          </w:tcPr>
          <w:p>
            <w:pPr>
              <w:spacing w:line="276" w:lineRule="auto"/>
              <w:rPr>
                <w:rFonts w:ascii="宋体" w:hAnsi="宋体"/>
              </w:rPr>
            </w:pPr>
            <w:r>
              <w:rPr>
                <w:rFonts w:ascii="宋体" w:hAnsi="宋体" w:hint="eastAsia"/>
              </w:rPr>
              <w:t>鲁西矿业</w:t>
            </w:r>
          </w:p>
        </w:tc>
        <w:tc>
          <w:tcPr>
            <w:tcW w:w="1843" w:type="dxa"/>
            <w:vAlign w:val="center"/>
          </w:tcPr>
          <w:p>
            <w:pPr>
              <w:spacing w:line="276" w:lineRule="auto"/>
              <w:jc w:val="right"/>
              <w:rPr>
                <w:rFonts w:ascii="宋体" w:hAnsi="宋体"/>
              </w:rPr>
            </w:pPr>
            <w:r>
              <w:rPr>
                <w:rFonts w:ascii="宋体" w:hAnsi="宋体" w:cs="宋体"/>
              </w:rPr>
              <w:t>11,790,975</w:t>
            </w:r>
          </w:p>
        </w:tc>
        <w:tc>
          <w:tcPr>
            <w:tcW w:w="1842" w:type="dxa"/>
            <w:vAlign w:val="center"/>
          </w:tcPr>
          <w:p>
            <w:pPr>
              <w:spacing w:line="276" w:lineRule="auto"/>
              <w:jc w:val="right"/>
              <w:rPr>
                <w:rFonts w:ascii="宋体" w:hAnsi="宋体"/>
              </w:rPr>
            </w:pPr>
            <w:r>
              <w:rPr>
                <w:rFonts w:ascii="宋体" w:hAnsi="宋体" w:cs="宋体"/>
              </w:rPr>
              <w:t>2,611,395</w:t>
            </w:r>
          </w:p>
        </w:tc>
        <w:tc>
          <w:tcPr>
            <w:tcW w:w="1843" w:type="dxa"/>
            <w:vAlign w:val="center"/>
          </w:tcPr>
          <w:p>
            <w:pPr>
              <w:spacing w:line="276" w:lineRule="auto"/>
              <w:jc w:val="right"/>
              <w:rPr>
                <w:rFonts w:ascii="宋体" w:hAnsi="宋体"/>
              </w:rPr>
            </w:pPr>
            <w:r>
              <w:rPr>
                <w:rFonts w:ascii="宋体" w:hAnsi="宋体" w:cs="宋体"/>
              </w:rPr>
              <w:t>2,531,025</w:t>
            </w:r>
          </w:p>
        </w:tc>
        <w:tc>
          <w:tcPr>
            <w:tcW w:w="1701" w:type="dxa"/>
          </w:tcPr>
          <w:p>
            <w:pPr>
              <w:spacing w:line="276" w:lineRule="auto"/>
              <w:jc w:val="right"/>
              <w:rPr>
                <w:rFonts w:ascii="宋体" w:hAnsi="宋体"/>
              </w:rPr>
            </w:pPr>
            <w:r>
              <w:rPr>
                <w:rFonts w:ascii="宋体" w:hAnsi="宋体" w:hint="eastAsia"/>
              </w:rPr>
              <w:t>216,120</w:t>
            </w:r>
          </w:p>
        </w:tc>
        <w:tc>
          <w:tcPr>
            <w:tcW w:w="1985" w:type="dxa"/>
          </w:tcPr>
          <w:p>
            <w:pPr>
              <w:spacing w:line="276" w:lineRule="auto"/>
              <w:jc w:val="right"/>
              <w:rPr>
                <w:rFonts w:ascii="宋体" w:hAnsi="宋体"/>
              </w:rPr>
            </w:pPr>
            <w:r>
              <w:rPr>
                <w:rFonts w:ascii="宋体" w:hAnsi="宋体" w:hint="eastAsia"/>
              </w:rPr>
              <w:t>13,868,451</w:t>
            </w:r>
          </w:p>
        </w:tc>
        <w:tc>
          <w:tcPr>
            <w:tcW w:w="1842" w:type="dxa"/>
          </w:tcPr>
          <w:p>
            <w:pPr>
              <w:spacing w:line="276" w:lineRule="auto"/>
              <w:jc w:val="right"/>
              <w:rPr>
                <w:rFonts w:ascii="宋体" w:hAnsi="宋体"/>
              </w:rPr>
            </w:pPr>
            <w:r>
              <w:rPr>
                <w:rFonts w:ascii="宋体" w:hAnsi="宋体" w:hint="eastAsia"/>
              </w:rPr>
              <w:t>2,993,031</w:t>
            </w:r>
          </w:p>
        </w:tc>
        <w:tc>
          <w:tcPr>
            <w:tcW w:w="1985" w:type="dxa"/>
          </w:tcPr>
          <w:p>
            <w:pPr>
              <w:spacing w:line="276" w:lineRule="auto"/>
              <w:jc w:val="right"/>
              <w:rPr>
                <w:rFonts w:ascii="宋体" w:hAnsi="宋体"/>
              </w:rPr>
            </w:pPr>
            <w:r>
              <w:rPr>
                <w:rFonts w:ascii="宋体" w:hAnsi="宋体" w:hint="eastAsia"/>
              </w:rPr>
              <w:t>3,023,745</w:t>
            </w:r>
          </w:p>
        </w:tc>
        <w:tc>
          <w:tcPr>
            <w:tcW w:w="1843" w:type="dxa"/>
          </w:tcPr>
          <w:p>
            <w:pPr>
              <w:spacing w:line="276" w:lineRule="auto"/>
              <w:jc w:val="right"/>
              <w:rPr>
                <w:rFonts w:ascii="宋体" w:hAnsi="宋体"/>
              </w:rPr>
            </w:pPr>
            <w:r>
              <w:rPr>
                <w:rFonts w:ascii="宋体" w:hAnsi="宋体" w:hint="eastAsia"/>
              </w:rPr>
              <w:t>16,228,991</w:t>
            </w:r>
          </w:p>
        </w:tc>
      </w:tr>
      <w:tr>
        <w:tc>
          <w:tcPr>
            <w:tcW w:w="1418" w:type="dxa"/>
          </w:tcPr>
          <w:p>
            <w:pPr>
              <w:spacing w:line="276" w:lineRule="auto"/>
              <w:rPr>
                <w:rFonts w:ascii="宋体" w:hAnsi="宋体"/>
              </w:rPr>
            </w:pPr>
            <w:r>
              <w:rPr>
                <w:rFonts w:ascii="宋体" w:hAnsi="宋体" w:hint="eastAsia"/>
              </w:rPr>
              <w:t>西北矿业</w:t>
            </w:r>
          </w:p>
        </w:tc>
        <w:tc>
          <w:tcPr>
            <w:tcW w:w="1843" w:type="dxa"/>
          </w:tcPr>
          <w:p>
            <w:pPr>
              <w:spacing w:line="276" w:lineRule="auto"/>
              <w:jc w:val="right"/>
              <w:rPr>
                <w:rFonts w:ascii="宋体" w:hAnsi="宋体"/>
              </w:rPr>
            </w:pPr>
            <w:r>
              <w:rPr>
                <w:rFonts w:ascii="宋体" w:hAnsi="宋体" w:hint="eastAsia"/>
              </w:rPr>
              <w:t>15,263,871</w:t>
            </w:r>
          </w:p>
        </w:tc>
        <w:tc>
          <w:tcPr>
            <w:tcW w:w="1842" w:type="dxa"/>
          </w:tcPr>
          <w:p>
            <w:pPr>
              <w:spacing w:line="276" w:lineRule="auto"/>
              <w:jc w:val="right"/>
              <w:rPr>
                <w:rFonts w:ascii="宋体" w:hAnsi="宋体"/>
              </w:rPr>
            </w:pPr>
            <w:r>
              <w:rPr>
                <w:rFonts w:ascii="宋体" w:hAnsi="宋体" w:hint="eastAsia"/>
              </w:rPr>
              <w:t>1,121,425</w:t>
            </w:r>
          </w:p>
        </w:tc>
        <w:tc>
          <w:tcPr>
            <w:tcW w:w="1843" w:type="dxa"/>
          </w:tcPr>
          <w:p>
            <w:pPr>
              <w:spacing w:line="276" w:lineRule="auto"/>
              <w:jc w:val="right"/>
              <w:rPr>
                <w:rFonts w:ascii="宋体" w:hAnsi="宋体"/>
              </w:rPr>
            </w:pPr>
            <w:r>
              <w:rPr>
                <w:rFonts w:ascii="宋体" w:hAnsi="宋体" w:hint="eastAsia"/>
              </w:rPr>
              <w:t>1,121,425</w:t>
            </w:r>
          </w:p>
        </w:tc>
        <w:tc>
          <w:tcPr>
            <w:tcW w:w="1701" w:type="dxa"/>
          </w:tcPr>
          <w:p>
            <w:pPr>
              <w:spacing w:line="276" w:lineRule="auto"/>
              <w:jc w:val="right"/>
              <w:rPr>
                <w:rFonts w:ascii="宋体" w:hAnsi="宋体"/>
              </w:rPr>
            </w:pPr>
            <w:r>
              <w:rPr>
                <w:rFonts w:ascii="宋体" w:hAnsi="宋体" w:hint="eastAsia"/>
              </w:rPr>
              <w:t>781,759</w:t>
            </w:r>
          </w:p>
        </w:tc>
        <w:tc>
          <w:tcPr>
            <w:tcW w:w="1985" w:type="dxa"/>
          </w:tcPr>
          <w:p>
            <w:pPr>
              <w:spacing w:line="276" w:lineRule="auto"/>
              <w:jc w:val="right"/>
              <w:rPr>
                <w:rFonts w:ascii="宋体" w:hAnsi="宋体"/>
              </w:rPr>
            </w:pPr>
            <w:r>
              <w:rPr>
                <w:rFonts w:ascii="宋体" w:hAnsi="宋体" w:hint="eastAsia"/>
              </w:rPr>
              <w:t>17,407,033</w:t>
            </w:r>
          </w:p>
        </w:tc>
        <w:tc>
          <w:tcPr>
            <w:tcW w:w="1842" w:type="dxa"/>
          </w:tcPr>
          <w:p>
            <w:pPr>
              <w:spacing w:line="276" w:lineRule="auto"/>
              <w:jc w:val="right"/>
              <w:rPr>
                <w:rFonts w:ascii="宋体" w:hAnsi="宋体"/>
              </w:rPr>
            </w:pPr>
            <w:r>
              <w:rPr>
                <w:rFonts w:ascii="宋体" w:hAnsi="宋体" w:hint="eastAsia"/>
              </w:rPr>
              <w:t>1,113,117</w:t>
            </w:r>
          </w:p>
        </w:tc>
        <w:tc>
          <w:tcPr>
            <w:tcW w:w="1985" w:type="dxa"/>
          </w:tcPr>
          <w:p>
            <w:pPr>
              <w:spacing w:line="276" w:lineRule="auto"/>
              <w:jc w:val="right"/>
              <w:rPr>
                <w:rFonts w:ascii="宋体" w:hAnsi="宋体"/>
              </w:rPr>
            </w:pPr>
            <w:r>
              <w:rPr>
                <w:rFonts w:ascii="宋体" w:hAnsi="宋体" w:hint="eastAsia"/>
              </w:rPr>
              <w:t>1,136,434</w:t>
            </w:r>
          </w:p>
        </w:tc>
        <w:tc>
          <w:tcPr>
            <w:tcW w:w="1843" w:type="dxa"/>
          </w:tcPr>
          <w:p>
            <w:pPr>
              <w:spacing w:line="276" w:lineRule="auto"/>
              <w:jc w:val="right"/>
              <w:rPr>
                <w:rFonts w:ascii="宋体" w:hAnsi="宋体"/>
              </w:rPr>
            </w:pPr>
            <w:r>
              <w:rPr>
                <w:rFonts w:ascii="宋体" w:hAnsi="宋体" w:hint="eastAsia"/>
              </w:rPr>
              <w:t>5,748,233</w:t>
            </w:r>
          </w:p>
        </w:tc>
      </w:tr>
    </w:tbl>
    <w:p>
      <w:pPr>
        <w:rPr>
          <w:rFonts w:cs="Arial"/>
        </w:rPr>
      </w:pPr>
      <w:r>
        <w:rPr>
          <w:rFonts w:cs="Arial" w:hint="eastAsia"/>
        </w:rPr>
        <w:t>其他说明：</w:t>
      </w:r>
    </w:p>
    <w:sdt>
      <w:sdtPr>
        <w:rPr>
          <w:rFonts w:cs="Arial"/>
        </w:rPr>
        <w:alias w:val="重要非全资子公司的主要财务信息的其他说明"/>
        <w:tag w:val="_GBC_c6413d961dad488aae6fcf0fda2bf33a"/>
        <w:id w:val="-577280272"/>
        <w:placeholder>
          <w:docPart w:val="GBC22222222222222222222222222222"/>
        </w:placeholder>
      </w:sdtPr>
      <w:sdtContent>
        <w:p>
          <w:pPr>
            <w:rPr>
              <w:rFonts w:cs="Arial"/>
            </w:rPr>
          </w:pPr>
          <w:r>
            <w:rPr>
              <w:rFonts w:cs="Arial" w:hint="eastAsia"/>
            </w:rPr>
            <w:t>-</w:t>
          </w:r>
        </w:p>
      </w:sdtContent>
    </w:sdt>
    <w:p>
      <w:pPr>
        <w:rPr>
          <w:rFonts w:cs="Arial"/>
        </w:rPr>
        <w:sectPr>
          <w:pgSz w:w="16838" w:h="11906" w:orient="landscape"/>
          <w:pgMar w:top="1797" w:right="1525" w:bottom="1276" w:left="1440" w:header="856" w:footer="992" w:gutter="0"/>
          <w:cols w:space="425"/>
          <w:docGrid w:linePitch="312"/>
        </w:sectPr>
      </w:pPr>
    </w:p>
    <w:p>
      <w:pPr>
        <w:rPr>
          <w:rFonts w:cs="Arial"/>
        </w:rPr>
      </w:pPr>
    </w:p>
    <w:p>
      <w:pPr>
        <w:pStyle w:val="Style179"/>
        <w:numPr>
          <w:ilvl w:val="3"/>
          <w:numId w:val="119"/>
        </w:numPr>
        <w:ind w:left="406" w:hangingChars="202" w:hanging="40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725645796"/>
        <w:placeholder>
          <w:docPart w:val="GBC22222222222222222222222222222"/>
        </w:placeholder>
      </w:sdtPr>
      <w:sdtContent>
        <w:p>
          <w:pPr>
            <w:rPr>
              <w:rFonts w:cs="Arial"/>
              <w:b/>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cs="Arial"/>
        </w:rPr>
      </w:pPr>
    </w:p>
    <w:p>
      <w:pPr>
        <w:pStyle w:val="Style179"/>
        <w:numPr>
          <w:ilvl w:val="3"/>
          <w:numId w:val="119"/>
        </w:numPr>
        <w:ind w:left="406" w:hangingChars="202" w:hanging="406"/>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488404525"/>
        <w:placeholder>
          <w:docPart w:val="GBC22222222222222222222222222222"/>
        </w:placeholder>
      </w:sdtPr>
      <w:sdtContent>
        <w:p>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pPr>
        <w:rPr>
          <w:rFonts w:cs="Arial"/>
          <w:b/>
        </w:rPr>
      </w:pPr>
    </w:p>
    <w:p>
      <w:pPr>
        <w:pStyle w:val="Style217"/>
      </w:pPr>
      <w:r>
        <w:rPr>
          <w:rFonts w:hint="eastAsia"/>
        </w:rPr>
        <w:t>其他说明：</w:t>
      </w:r>
    </w:p>
    <w:sdt>
      <w:sdtPr>
        <w:alias w:val="是否适用：在子公司中的权益其他说明[双击切换]"/>
        <w:tag w:val="_GBC_b26ad9d381c8467f9c05b435b2cb6493"/>
        <w:id w:val="-135557633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2"/>
          <w:numId w:val="118"/>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1743171966"/>
        <w:placeholder>
          <w:docPart w:val="GBC22222222222222222222222222222"/>
        </w:placeholder>
      </w:sdtPr>
      <w:sdtContent>
        <w:p>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cs="Arial"/>
        </w:rPr>
      </w:pPr>
    </w:p>
    <w:p>
      <w:pPr>
        <w:pStyle w:val="Style217"/>
      </w:pPr>
    </w:p>
    <w:p>
      <w:pPr>
        <w:pStyle w:val="Style178"/>
        <w:numPr>
          <w:ilvl w:val="2"/>
          <w:numId w:val="118"/>
        </w:numPr>
      </w:pPr>
      <w:r>
        <w:rPr>
          <w:rFonts w:hint="eastAsia"/>
        </w:rPr>
        <w:t>在合营企业或联营企业中的权益</w:t>
      </w:r>
    </w:p>
    <w:sdt>
      <w:sdtPr>
        <w:alias w:val="是否适用：在合营企业或联营企业中的权益[双击切换]"/>
        <w:tag w:val="_GBC_2bff91875b7a49f3929c4613048756c1"/>
        <w:id w:val="80974900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79"/>
        <w:numPr>
          <w:ilvl w:val="3"/>
          <w:numId w:val="120"/>
        </w:numPr>
        <w:ind w:left="406" w:hangingChars="202" w:hanging="406"/>
      </w:pPr>
      <w:r>
        <w:rPr>
          <w:rFonts w:hint="eastAsia"/>
        </w:rPr>
        <w:t>重要的合营企业或联营企业</w:t>
      </w:r>
    </w:p>
    <w:sdt>
      <w:sdtPr>
        <w:rPr>
          <w:rFonts w:hint="eastAsia"/>
        </w:rPr>
        <w:alias w:val="是否适用：重要的合营企业或联营企业[双击切换]"/>
        <w:tag w:val="_GBC_99df64ed4bb84c2da5fb54cda5ae039b"/>
        <w:id w:val="84544112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p>
    <w:tbl>
      <w:tblPr>
        <w:tblStyle w:val="Style100"/>
        <w:tblW w:w="90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1328"/>
        <w:gridCol w:w="1250"/>
        <w:gridCol w:w="1292"/>
        <w:gridCol w:w="1060"/>
        <w:gridCol w:w="1093"/>
        <w:gridCol w:w="1815"/>
      </w:tblGrid>
      <w:tr>
        <w:trPr>
          <w:trHeight w:val="451"/>
        </w:trPr>
        <w:sdt>
          <w:sdtPr>
            <w:tag w:val="_PLD_6004d65b7e3443dc82381484e3885a6b"/>
            <w:id w:val="-1916850234"/>
          </w:sdtPr>
          <w:sdtContent>
            <w:tc>
              <w:tcPr>
                <w:tcW w:w="1207" w:type="dxa"/>
                <w:vMerge w:val="restart"/>
                <w:vAlign w:val="center"/>
              </w:tcPr>
              <w:p>
                <w:pPr>
                  <w:jc w:val="center"/>
                  <w:rPr>
                    <w:rFonts w:cs="Arial"/>
                  </w:rPr>
                </w:pPr>
                <w:r>
                  <w:rPr>
                    <w:rFonts w:cs="Arial" w:hint="eastAsia"/>
                    <w:lang w:val="en-GB"/>
                  </w:rPr>
                  <w:t>合营企业或联营企业名称</w:t>
                </w:r>
              </w:p>
            </w:tc>
          </w:sdtContent>
        </w:sdt>
        <w:sdt>
          <w:sdtPr>
            <w:tag w:val="_PLD_2e148655e91e4b998bd7a7d0b10c96fd"/>
            <w:id w:val="521212875"/>
          </w:sdtPr>
          <w:sdtContent>
            <w:tc>
              <w:tcPr>
                <w:tcW w:w="1328" w:type="dxa"/>
                <w:vMerge w:val="restart"/>
                <w:vAlign w:val="center"/>
              </w:tcPr>
              <w:p>
                <w:pPr>
                  <w:jc w:val="center"/>
                  <w:rPr>
                    <w:rFonts w:cs="Arial"/>
                  </w:rPr>
                </w:pPr>
                <w:r>
                  <w:rPr>
                    <w:rFonts w:cs="Arial" w:hint="eastAsia"/>
                    <w:lang w:val="en-GB"/>
                  </w:rPr>
                  <w:t>主要经营地</w:t>
                </w:r>
              </w:p>
            </w:tc>
          </w:sdtContent>
        </w:sdt>
        <w:sdt>
          <w:sdtPr>
            <w:tag w:val="_PLD_32e2714eb7074350886ae0d40b5c34b1"/>
            <w:id w:val="-1589074279"/>
          </w:sdtPr>
          <w:sdtContent>
            <w:tc>
              <w:tcPr>
                <w:tcW w:w="1250" w:type="dxa"/>
                <w:vMerge w:val="restart"/>
                <w:vAlign w:val="center"/>
              </w:tcPr>
              <w:p>
                <w:pPr>
                  <w:jc w:val="center"/>
                  <w:rPr>
                    <w:rFonts w:cs="Arial"/>
                  </w:rPr>
                </w:pPr>
                <w:r>
                  <w:rPr>
                    <w:rFonts w:cs="Arial" w:hint="eastAsia"/>
                    <w:lang w:val="en-GB"/>
                  </w:rPr>
                  <w:t>注册地</w:t>
                </w:r>
              </w:p>
            </w:tc>
          </w:sdtContent>
        </w:sdt>
        <w:sdt>
          <w:sdtPr>
            <w:tag w:val="_PLD_d429c77b8bef473a98608606ebcd4d75"/>
            <w:id w:val="-1573573903"/>
          </w:sdtPr>
          <w:sdtContent>
            <w:tc>
              <w:tcPr>
                <w:tcW w:w="1292" w:type="dxa"/>
                <w:vMerge w:val="restart"/>
                <w:vAlign w:val="center"/>
              </w:tcPr>
              <w:p>
                <w:pPr>
                  <w:jc w:val="center"/>
                  <w:rPr>
                    <w:rFonts w:cs="Arial"/>
                  </w:rPr>
                </w:pPr>
                <w:r>
                  <w:rPr>
                    <w:rFonts w:cs="Arial" w:hint="eastAsia"/>
                    <w:lang w:val="en-GB"/>
                  </w:rPr>
                  <w:t>业务性质</w:t>
                </w:r>
              </w:p>
            </w:tc>
          </w:sdtContent>
        </w:sdt>
        <w:sdt>
          <w:sdtPr>
            <w:tag w:val="_PLD_bc055f9d5073401a85de2316f2a2b7ce"/>
            <w:id w:val="-1436128460"/>
          </w:sdtPr>
          <w:sdtContent>
            <w:tc>
              <w:tcPr>
                <w:tcW w:w="2153" w:type="dxa"/>
                <w:gridSpan w:val="2"/>
                <w:vAlign w:val="center"/>
              </w:tcPr>
              <w:p>
                <w:pPr>
                  <w:jc w:val="center"/>
                  <w:rPr>
                    <w:rFonts w:cs="Arial"/>
                  </w:rPr>
                </w:pPr>
                <w:r>
                  <w:rPr>
                    <w:rFonts w:cs="Arial" w:hint="eastAsia"/>
                    <w:lang w:val="en-GB"/>
                  </w:rPr>
                  <w:t>持股比例</w:t>
                </w:r>
                <w:r>
                  <w:rPr>
                    <w:rFonts w:cs="Arial"/>
                  </w:rPr>
                  <w:t>(%)</w:t>
                </w:r>
              </w:p>
            </w:tc>
          </w:sdtContent>
        </w:sdt>
        <w:sdt>
          <w:sdtPr>
            <w:tag w:val="_PLD_96c57a3220e8432f8deedb4873fcf29c"/>
            <w:id w:val="-168403881"/>
          </w:sdtPr>
          <w:sdtContent>
            <w:tc>
              <w:tcPr>
                <w:tcW w:w="1815" w:type="dxa"/>
                <w:vMerge w:val="restart"/>
                <w:vAlign w:val="center"/>
              </w:tcPr>
              <w:p>
                <w:pPr>
                  <w:jc w:val="center"/>
                  <w:rPr>
                    <w:rFonts w:cs="Arial"/>
                  </w:rPr>
                </w:pPr>
                <w:r>
                  <w:rPr>
                    <w:rFonts w:cs="Arial" w:hint="eastAsia"/>
                    <w:lang w:val="en-GB"/>
                  </w:rPr>
                  <w:t>对合营企业或联营企业投资的会计处理方法</w:t>
                </w:r>
              </w:p>
            </w:tc>
          </w:sdtContent>
        </w:sdt>
      </w:tr>
      <w:tr>
        <w:trPr>
          <w:trHeight w:val="278"/>
        </w:trPr>
        <w:tc>
          <w:tcPr>
            <w:tcW w:w="1207" w:type="dxa"/>
            <w:vMerge/>
            <w:vAlign w:val="center"/>
          </w:tcPr>
          <w:p>
            <w:pPr>
              <w:rPr>
                <w:rFonts w:cs="Arial"/>
              </w:rPr>
            </w:pPr>
          </w:p>
        </w:tc>
        <w:tc>
          <w:tcPr>
            <w:tcW w:w="1328" w:type="dxa"/>
            <w:vMerge/>
            <w:vAlign w:val="center"/>
          </w:tcPr>
          <w:p>
            <w:pPr>
              <w:rPr>
                <w:rFonts w:cs="Arial"/>
              </w:rPr>
            </w:pPr>
          </w:p>
        </w:tc>
        <w:tc>
          <w:tcPr>
            <w:tcW w:w="1250" w:type="dxa"/>
            <w:vMerge/>
            <w:vAlign w:val="center"/>
          </w:tcPr>
          <w:p>
            <w:pPr>
              <w:rPr>
                <w:rFonts w:cs="Arial"/>
              </w:rPr>
            </w:pPr>
          </w:p>
        </w:tc>
        <w:tc>
          <w:tcPr>
            <w:tcW w:w="1292" w:type="dxa"/>
            <w:vMerge/>
            <w:vAlign w:val="center"/>
          </w:tcPr>
          <w:p>
            <w:pPr>
              <w:rPr>
                <w:rFonts w:cs="Arial"/>
              </w:rPr>
            </w:pPr>
          </w:p>
        </w:tc>
        <w:sdt>
          <w:sdtPr>
            <w:tag w:val="_PLD_076e5c9e7ab64e6db098592664f75c64"/>
            <w:id w:val="-1096008333"/>
          </w:sdtPr>
          <w:sdtContent>
            <w:tc>
              <w:tcPr>
                <w:tcW w:w="1060" w:type="dxa"/>
                <w:vAlign w:val="center"/>
              </w:tcPr>
              <w:p>
                <w:pPr>
                  <w:jc w:val="center"/>
                  <w:rPr>
                    <w:rFonts w:cs="Arial"/>
                  </w:rPr>
                </w:pPr>
                <w:r>
                  <w:rPr>
                    <w:rFonts w:cs="Arial" w:hint="eastAsia"/>
                    <w:lang w:val="en-GB"/>
                  </w:rPr>
                  <w:t>直接</w:t>
                </w:r>
              </w:p>
            </w:tc>
          </w:sdtContent>
        </w:sdt>
        <w:sdt>
          <w:sdtPr>
            <w:tag w:val="_PLD_49b77f1690ee4cc88f829d510135f0bf"/>
            <w:id w:val="-1136565202"/>
          </w:sdtPr>
          <w:sdtContent>
            <w:tc>
              <w:tcPr>
                <w:tcW w:w="1093" w:type="dxa"/>
                <w:vAlign w:val="center"/>
              </w:tcPr>
              <w:p>
                <w:pPr>
                  <w:jc w:val="center"/>
                  <w:rPr>
                    <w:rFonts w:cs="Arial"/>
                  </w:rPr>
                </w:pPr>
                <w:r>
                  <w:rPr>
                    <w:rFonts w:cs="Arial" w:hint="eastAsia"/>
                    <w:lang w:val="en-GB"/>
                  </w:rPr>
                  <w:t>间接</w:t>
                </w:r>
              </w:p>
            </w:tc>
          </w:sdtContent>
        </w:sdt>
        <w:tc>
          <w:tcPr>
            <w:tcW w:w="1815" w:type="dxa"/>
            <w:vMerge/>
            <w:vAlign w:val="center"/>
          </w:tcPr>
          <w:p>
            <w:pPr>
              <w:rPr>
                <w:rFonts w:cs="Arial"/>
              </w:rPr>
            </w:pPr>
          </w:p>
        </w:tc>
      </w:tr>
      <w:tr>
        <w:tc>
          <w:tcPr>
            <w:tcW w:w="1207" w:type="dxa"/>
            <w:vAlign w:val="center"/>
          </w:tcPr>
          <w:p>
            <w:pPr>
              <w:jc w:val="both"/>
              <w:rPr>
                <w:rFonts w:ascii="宋体" w:hAnsi="宋体"/>
              </w:rPr>
            </w:pPr>
            <w:r>
              <w:rPr>
                <w:rFonts w:ascii="宋体" w:hAnsi="宋体" w:hint="eastAsia"/>
              </w:rPr>
              <w:t>中山矿合营企业</w:t>
            </w:r>
          </w:p>
        </w:tc>
        <w:tc>
          <w:tcPr>
            <w:tcW w:w="1328" w:type="dxa"/>
            <w:vAlign w:val="center"/>
          </w:tcPr>
          <w:p>
            <w:pPr>
              <w:jc w:val="center"/>
              <w:rPr>
                <w:rFonts w:ascii="宋体" w:hAnsi="宋体"/>
              </w:rPr>
            </w:pPr>
            <w:r>
              <w:rPr>
                <w:rFonts w:ascii="宋体" w:hAnsi="宋体" w:hint="eastAsia"/>
              </w:rPr>
              <w:t>澳大利亚</w:t>
            </w:r>
          </w:p>
        </w:tc>
        <w:tc>
          <w:tcPr>
            <w:tcW w:w="1250" w:type="dxa"/>
            <w:vAlign w:val="center"/>
          </w:tcPr>
          <w:p>
            <w:pPr>
              <w:jc w:val="center"/>
              <w:rPr>
                <w:rFonts w:ascii="宋体" w:hAnsi="宋体"/>
              </w:rPr>
            </w:pPr>
            <w:r>
              <w:rPr>
                <w:rFonts w:ascii="宋体" w:hAnsi="宋体" w:hint="eastAsia"/>
              </w:rPr>
              <w:t>澳大利亚</w:t>
            </w:r>
          </w:p>
        </w:tc>
        <w:tc>
          <w:tcPr>
            <w:tcW w:w="1292" w:type="dxa"/>
            <w:vAlign w:val="center"/>
          </w:tcPr>
          <w:p>
            <w:pPr>
              <w:jc w:val="both"/>
              <w:rPr>
                <w:rFonts w:ascii="宋体" w:hAnsi="宋体"/>
              </w:rPr>
            </w:pPr>
            <w:r>
              <w:rPr>
                <w:rFonts w:ascii="宋体" w:hAnsi="宋体" w:hint="eastAsia"/>
              </w:rPr>
              <w:t>煤炭采掘及销售</w:t>
            </w:r>
          </w:p>
        </w:tc>
        <w:tc>
          <w:tcPr>
            <w:tcW w:w="1060" w:type="dxa"/>
            <w:vAlign w:val="center"/>
          </w:tcPr>
          <w:p>
            <w:pPr>
              <w:jc w:val="center"/>
              <w:rPr>
                <w:rFonts w:ascii="宋体" w:hAnsi="宋体"/>
              </w:rPr>
            </w:pPr>
          </w:p>
        </w:tc>
        <w:tc>
          <w:tcPr>
            <w:tcW w:w="1093" w:type="dxa"/>
            <w:vAlign w:val="center"/>
          </w:tcPr>
          <w:p>
            <w:pPr>
              <w:jc w:val="center"/>
              <w:rPr>
                <w:rFonts w:ascii="宋体" w:hAnsi="宋体"/>
              </w:rPr>
            </w:pPr>
            <w:r>
              <w:rPr>
                <w:rFonts w:ascii="宋体" w:hAnsi="宋体" w:hint="eastAsia"/>
              </w:rPr>
              <w:t>49.99</w:t>
            </w:r>
          </w:p>
        </w:tc>
        <w:tc>
          <w:tcPr>
            <w:tcW w:w="1815" w:type="dxa"/>
            <w:vAlign w:val="center"/>
          </w:tcPr>
          <w:p>
            <w:pPr>
              <w:jc w:val="center"/>
              <w:rPr>
                <w:rFonts w:ascii="宋体" w:hAnsi="宋体"/>
              </w:rPr>
            </w:pPr>
            <w:r>
              <w:rPr>
                <w:rFonts w:ascii="宋体" w:hAnsi="宋体" w:hint="eastAsia"/>
              </w:rPr>
              <w:t>权益法</w:t>
            </w:r>
          </w:p>
        </w:tc>
      </w:tr>
      <w:tr>
        <w:tc>
          <w:tcPr>
            <w:tcW w:w="1207" w:type="dxa"/>
            <w:vAlign w:val="center"/>
          </w:tcPr>
          <w:p>
            <w:pPr>
              <w:jc w:val="both"/>
              <w:rPr>
                <w:rFonts w:ascii="宋体" w:hAnsi="宋体"/>
              </w:rPr>
            </w:pPr>
            <w:r>
              <w:rPr>
                <w:rFonts w:ascii="宋体" w:hAnsi="宋体" w:hint="eastAsia"/>
              </w:rPr>
              <w:t>华电邹县发电有限公司</w:t>
            </w:r>
          </w:p>
        </w:tc>
        <w:tc>
          <w:tcPr>
            <w:tcW w:w="1328" w:type="dxa"/>
            <w:vAlign w:val="center"/>
          </w:tcPr>
          <w:p>
            <w:pPr>
              <w:jc w:val="center"/>
              <w:rPr>
                <w:rFonts w:ascii="宋体" w:hAnsi="宋体"/>
              </w:rPr>
            </w:pPr>
            <w:r>
              <w:rPr>
                <w:rFonts w:ascii="宋体" w:hAnsi="宋体" w:hint="eastAsia"/>
              </w:rPr>
              <w:t>山东</w:t>
            </w:r>
          </w:p>
        </w:tc>
        <w:tc>
          <w:tcPr>
            <w:tcW w:w="1250" w:type="dxa"/>
            <w:vAlign w:val="center"/>
          </w:tcPr>
          <w:p>
            <w:pPr>
              <w:jc w:val="center"/>
              <w:rPr>
                <w:rFonts w:ascii="宋体" w:hAnsi="宋体"/>
              </w:rPr>
            </w:pPr>
            <w:r>
              <w:rPr>
                <w:rFonts w:ascii="宋体" w:hAnsi="宋体" w:hint="eastAsia"/>
              </w:rPr>
              <w:t>山东</w:t>
            </w:r>
          </w:p>
        </w:tc>
        <w:tc>
          <w:tcPr>
            <w:tcW w:w="1292" w:type="dxa"/>
            <w:vAlign w:val="center"/>
          </w:tcPr>
          <w:p>
            <w:pPr>
              <w:jc w:val="both"/>
              <w:rPr>
                <w:rFonts w:ascii="宋体" w:hAnsi="宋体"/>
              </w:rPr>
            </w:pPr>
            <w:r>
              <w:rPr>
                <w:rFonts w:ascii="宋体" w:hAnsi="宋体" w:hint="eastAsia"/>
              </w:rPr>
              <w:t>火力发电及发电余热综合利用</w:t>
            </w:r>
          </w:p>
        </w:tc>
        <w:tc>
          <w:tcPr>
            <w:tcW w:w="1060" w:type="dxa"/>
            <w:vAlign w:val="center"/>
          </w:tcPr>
          <w:p>
            <w:pPr>
              <w:jc w:val="center"/>
              <w:rPr>
                <w:rFonts w:ascii="宋体" w:hAnsi="宋体"/>
              </w:rPr>
            </w:pPr>
            <w:r>
              <w:rPr>
                <w:rFonts w:ascii="宋体" w:hAnsi="宋体" w:hint="eastAsia"/>
              </w:rPr>
              <w:t>30.00</w:t>
            </w:r>
          </w:p>
        </w:tc>
        <w:tc>
          <w:tcPr>
            <w:tcW w:w="1093" w:type="dxa"/>
            <w:vAlign w:val="center"/>
          </w:tcPr>
          <w:p>
            <w:pPr>
              <w:jc w:val="center"/>
              <w:rPr>
                <w:rFonts w:ascii="宋体" w:hAnsi="宋体"/>
              </w:rPr>
            </w:pPr>
          </w:p>
        </w:tc>
        <w:tc>
          <w:tcPr>
            <w:tcW w:w="1815" w:type="dxa"/>
            <w:vAlign w:val="center"/>
          </w:tcPr>
          <w:p>
            <w:pPr>
              <w:jc w:val="center"/>
              <w:rPr>
                <w:rFonts w:ascii="宋体" w:hAnsi="宋体"/>
              </w:rPr>
            </w:pPr>
            <w:r>
              <w:rPr>
                <w:rFonts w:ascii="宋体" w:hAnsi="宋体" w:hint="eastAsia"/>
              </w:rPr>
              <w:t>权益法</w:t>
            </w:r>
          </w:p>
        </w:tc>
      </w:tr>
      <w:tr>
        <w:tc>
          <w:tcPr>
            <w:tcW w:w="1207" w:type="dxa"/>
            <w:vAlign w:val="center"/>
          </w:tcPr>
          <w:p>
            <w:pPr>
              <w:jc w:val="both"/>
              <w:rPr>
                <w:rFonts w:ascii="宋体" w:hAnsi="宋体"/>
              </w:rPr>
            </w:pPr>
            <w:r>
              <w:rPr>
                <w:rFonts w:ascii="宋体" w:hAnsi="宋体" w:hint="eastAsia"/>
              </w:rPr>
              <w:t>内蒙古伊泰呼准铁路有限公司</w:t>
            </w:r>
          </w:p>
        </w:tc>
        <w:tc>
          <w:tcPr>
            <w:tcW w:w="1328" w:type="dxa"/>
            <w:vAlign w:val="center"/>
          </w:tcPr>
          <w:p>
            <w:pPr>
              <w:jc w:val="center"/>
              <w:rPr>
                <w:rFonts w:ascii="宋体" w:hAnsi="宋体"/>
              </w:rPr>
            </w:pPr>
            <w:r>
              <w:rPr>
                <w:rFonts w:ascii="宋体" w:hAnsi="宋体" w:hint="eastAsia"/>
              </w:rPr>
              <w:t>内蒙古</w:t>
            </w:r>
          </w:p>
        </w:tc>
        <w:tc>
          <w:tcPr>
            <w:tcW w:w="1250" w:type="dxa"/>
            <w:vAlign w:val="center"/>
          </w:tcPr>
          <w:p>
            <w:pPr>
              <w:jc w:val="center"/>
              <w:rPr>
                <w:rFonts w:ascii="宋体" w:hAnsi="宋体"/>
              </w:rPr>
            </w:pPr>
            <w:r>
              <w:rPr>
                <w:rFonts w:ascii="宋体" w:hAnsi="宋体" w:hint="eastAsia"/>
              </w:rPr>
              <w:t>内蒙古</w:t>
            </w:r>
          </w:p>
        </w:tc>
        <w:tc>
          <w:tcPr>
            <w:tcW w:w="1292" w:type="dxa"/>
            <w:vAlign w:val="center"/>
          </w:tcPr>
          <w:p>
            <w:pPr>
              <w:jc w:val="both"/>
              <w:rPr>
                <w:rFonts w:ascii="宋体" w:hAnsi="宋体"/>
              </w:rPr>
            </w:pPr>
            <w:r>
              <w:rPr>
                <w:rFonts w:ascii="宋体" w:hAnsi="宋体" w:hint="eastAsia"/>
              </w:rPr>
              <w:t>铁路建设及客货运输</w:t>
            </w:r>
          </w:p>
        </w:tc>
        <w:tc>
          <w:tcPr>
            <w:tcW w:w="1060" w:type="dxa"/>
            <w:vAlign w:val="center"/>
          </w:tcPr>
          <w:p>
            <w:pPr>
              <w:jc w:val="center"/>
              <w:rPr>
                <w:rFonts w:ascii="宋体" w:hAnsi="宋体"/>
              </w:rPr>
            </w:pPr>
          </w:p>
        </w:tc>
        <w:tc>
          <w:tcPr>
            <w:tcW w:w="1093" w:type="dxa"/>
            <w:vAlign w:val="center"/>
          </w:tcPr>
          <w:p>
            <w:pPr>
              <w:jc w:val="center"/>
              <w:rPr>
                <w:rFonts w:ascii="宋体" w:hAnsi="宋体"/>
              </w:rPr>
            </w:pPr>
            <w:r>
              <w:rPr>
                <w:rFonts w:ascii="宋体" w:hAnsi="宋体" w:hint="eastAsia"/>
              </w:rPr>
              <w:t>0.19</w:t>
            </w:r>
          </w:p>
        </w:tc>
        <w:tc>
          <w:tcPr>
            <w:tcW w:w="1815" w:type="dxa"/>
            <w:vAlign w:val="center"/>
          </w:tcPr>
          <w:p>
            <w:pPr>
              <w:jc w:val="center"/>
              <w:rPr>
                <w:rFonts w:ascii="宋体" w:hAnsi="宋体"/>
              </w:rPr>
            </w:pPr>
            <w:r>
              <w:rPr>
                <w:rFonts w:ascii="宋体" w:hAnsi="宋体" w:hint="eastAsia"/>
              </w:rPr>
              <w:t>权益法</w:t>
            </w:r>
          </w:p>
        </w:tc>
      </w:tr>
      <w:tr>
        <w:tc>
          <w:tcPr>
            <w:tcW w:w="1207" w:type="dxa"/>
            <w:vAlign w:val="center"/>
          </w:tcPr>
          <w:p>
            <w:pPr>
              <w:jc w:val="both"/>
              <w:rPr>
                <w:rFonts w:ascii="宋体" w:hAnsi="宋体"/>
              </w:rPr>
            </w:pPr>
            <w:r>
              <w:rPr>
                <w:rFonts w:ascii="宋体" w:hAnsi="宋体" w:hint="eastAsia"/>
              </w:rPr>
              <w:t>临商银行股份有限公司</w:t>
            </w:r>
          </w:p>
        </w:tc>
        <w:tc>
          <w:tcPr>
            <w:tcW w:w="1328" w:type="dxa"/>
            <w:vAlign w:val="center"/>
          </w:tcPr>
          <w:p>
            <w:pPr>
              <w:jc w:val="center"/>
              <w:rPr>
                <w:rFonts w:ascii="宋体" w:hAnsi="宋体"/>
              </w:rPr>
            </w:pPr>
            <w:r>
              <w:rPr>
                <w:rFonts w:ascii="宋体" w:hAnsi="宋体" w:hint="eastAsia"/>
              </w:rPr>
              <w:t>山东</w:t>
            </w:r>
          </w:p>
        </w:tc>
        <w:tc>
          <w:tcPr>
            <w:tcW w:w="1250" w:type="dxa"/>
            <w:vAlign w:val="center"/>
          </w:tcPr>
          <w:p>
            <w:pPr>
              <w:jc w:val="center"/>
              <w:rPr>
                <w:rFonts w:ascii="宋体" w:hAnsi="宋体"/>
              </w:rPr>
            </w:pPr>
            <w:r>
              <w:rPr>
                <w:rFonts w:ascii="宋体" w:hAnsi="宋体" w:hint="eastAsia"/>
              </w:rPr>
              <w:t>山东</w:t>
            </w:r>
          </w:p>
        </w:tc>
        <w:tc>
          <w:tcPr>
            <w:tcW w:w="1292" w:type="dxa"/>
            <w:vAlign w:val="center"/>
          </w:tcPr>
          <w:p>
            <w:pPr>
              <w:jc w:val="both"/>
              <w:rPr>
                <w:rFonts w:ascii="宋体" w:hAnsi="宋体"/>
              </w:rPr>
            </w:pPr>
            <w:r>
              <w:rPr>
                <w:rFonts w:ascii="宋体" w:hAnsi="宋体" w:hint="eastAsia"/>
              </w:rPr>
              <w:t>金融服务</w:t>
            </w:r>
          </w:p>
        </w:tc>
        <w:tc>
          <w:tcPr>
            <w:tcW w:w="1060" w:type="dxa"/>
            <w:vAlign w:val="center"/>
          </w:tcPr>
          <w:p>
            <w:pPr>
              <w:jc w:val="center"/>
              <w:rPr>
                <w:rFonts w:ascii="宋体" w:hAnsi="宋体"/>
              </w:rPr>
            </w:pPr>
            <w:r>
              <w:rPr>
                <w:rFonts w:ascii="宋体" w:hAnsi="宋体" w:hint="eastAsia"/>
              </w:rPr>
              <w:t>14.15</w:t>
            </w:r>
          </w:p>
        </w:tc>
        <w:tc>
          <w:tcPr>
            <w:tcW w:w="1093" w:type="dxa"/>
            <w:vAlign w:val="center"/>
          </w:tcPr>
          <w:p>
            <w:pPr>
              <w:jc w:val="center"/>
              <w:rPr>
                <w:rFonts w:ascii="宋体" w:hAnsi="宋体"/>
              </w:rPr>
            </w:pPr>
          </w:p>
        </w:tc>
        <w:tc>
          <w:tcPr>
            <w:tcW w:w="1815" w:type="dxa"/>
            <w:vAlign w:val="center"/>
          </w:tcPr>
          <w:p>
            <w:pPr>
              <w:jc w:val="center"/>
              <w:rPr>
                <w:rFonts w:ascii="宋体" w:hAnsi="宋体"/>
              </w:rPr>
            </w:pPr>
            <w:r>
              <w:rPr>
                <w:rFonts w:ascii="宋体" w:hAnsi="宋体" w:hint="eastAsia"/>
              </w:rPr>
              <w:t>权益法</w:t>
            </w:r>
          </w:p>
        </w:tc>
      </w:tr>
      <w:tr>
        <w:tc>
          <w:tcPr>
            <w:tcW w:w="1207" w:type="dxa"/>
            <w:vAlign w:val="center"/>
          </w:tcPr>
          <w:p>
            <w:pPr>
              <w:jc w:val="both"/>
              <w:rPr>
                <w:rFonts w:ascii="宋体" w:hAnsi="宋体"/>
              </w:rPr>
            </w:pPr>
            <w:r>
              <w:rPr>
                <w:rFonts w:ascii="宋体" w:hAnsi="宋体" w:hint="eastAsia"/>
              </w:rPr>
              <w:t>内蒙古锦联铝材有限公司</w:t>
            </w:r>
          </w:p>
        </w:tc>
        <w:tc>
          <w:tcPr>
            <w:tcW w:w="1328" w:type="dxa"/>
            <w:vAlign w:val="center"/>
          </w:tcPr>
          <w:p>
            <w:pPr>
              <w:jc w:val="center"/>
              <w:rPr>
                <w:rFonts w:ascii="宋体" w:hAnsi="宋体"/>
              </w:rPr>
            </w:pPr>
            <w:r>
              <w:rPr>
                <w:rFonts w:ascii="宋体" w:hAnsi="宋体" w:hint="eastAsia"/>
              </w:rPr>
              <w:t>内蒙古</w:t>
            </w:r>
          </w:p>
        </w:tc>
        <w:tc>
          <w:tcPr>
            <w:tcW w:w="1250" w:type="dxa"/>
            <w:vAlign w:val="center"/>
          </w:tcPr>
          <w:p>
            <w:pPr>
              <w:jc w:val="center"/>
              <w:rPr>
                <w:rFonts w:ascii="宋体" w:hAnsi="宋体"/>
              </w:rPr>
            </w:pPr>
            <w:r>
              <w:rPr>
                <w:rFonts w:ascii="宋体" w:hAnsi="宋体" w:hint="eastAsia"/>
              </w:rPr>
              <w:t>内蒙古</w:t>
            </w:r>
          </w:p>
        </w:tc>
        <w:tc>
          <w:tcPr>
            <w:tcW w:w="1292" w:type="dxa"/>
            <w:vAlign w:val="center"/>
          </w:tcPr>
          <w:p>
            <w:pPr>
              <w:jc w:val="both"/>
              <w:rPr>
                <w:rFonts w:ascii="宋体" w:hAnsi="宋体"/>
              </w:rPr>
            </w:pPr>
            <w:r>
              <w:rPr>
                <w:rFonts w:ascii="宋体" w:hAnsi="宋体" w:hint="eastAsia"/>
              </w:rPr>
              <w:t>铝后加工；铝锭、铝制品及衍生产品的生产销售</w:t>
            </w:r>
          </w:p>
        </w:tc>
        <w:tc>
          <w:tcPr>
            <w:tcW w:w="1060" w:type="dxa"/>
            <w:vAlign w:val="center"/>
          </w:tcPr>
          <w:p>
            <w:pPr>
              <w:jc w:val="center"/>
              <w:rPr>
                <w:rFonts w:ascii="宋体" w:hAnsi="宋体"/>
              </w:rPr>
            </w:pPr>
          </w:p>
        </w:tc>
        <w:tc>
          <w:tcPr>
            <w:tcW w:w="1093" w:type="dxa"/>
            <w:vAlign w:val="center"/>
          </w:tcPr>
          <w:p>
            <w:pPr>
              <w:jc w:val="center"/>
              <w:rPr>
                <w:rFonts w:ascii="宋体" w:hAnsi="宋体"/>
              </w:rPr>
            </w:pPr>
            <w:r>
              <w:rPr>
                <w:rFonts w:ascii="宋体" w:hAnsi="宋体" w:hint="eastAsia"/>
              </w:rPr>
              <w:t>44.25</w:t>
            </w:r>
          </w:p>
        </w:tc>
        <w:tc>
          <w:tcPr>
            <w:tcW w:w="1815" w:type="dxa"/>
            <w:vAlign w:val="center"/>
          </w:tcPr>
          <w:p>
            <w:pPr>
              <w:jc w:val="center"/>
              <w:rPr>
                <w:rFonts w:ascii="宋体" w:hAnsi="宋体"/>
              </w:rPr>
            </w:pPr>
            <w:r>
              <w:rPr>
                <w:rFonts w:ascii="宋体" w:hAnsi="宋体" w:hint="eastAsia"/>
              </w:rPr>
              <w:t>权益法</w:t>
            </w:r>
          </w:p>
        </w:tc>
      </w:tr>
      <w:tr>
        <w:tc>
          <w:tcPr>
            <w:tcW w:w="1207" w:type="dxa"/>
            <w:vAlign w:val="center"/>
          </w:tcPr>
          <w:p>
            <w:pPr>
              <w:jc w:val="both"/>
              <w:rPr>
                <w:rFonts w:ascii="宋体" w:hAnsi="宋体"/>
              </w:rPr>
            </w:pPr>
            <w:r>
              <w:rPr>
                <w:rFonts w:ascii="宋体" w:hAnsi="宋体" w:hint="eastAsia"/>
              </w:rPr>
              <w:t>伊犁新天煤化工有限责任公司</w:t>
            </w:r>
          </w:p>
        </w:tc>
        <w:tc>
          <w:tcPr>
            <w:tcW w:w="1328" w:type="dxa"/>
            <w:vAlign w:val="center"/>
          </w:tcPr>
          <w:p>
            <w:pPr>
              <w:jc w:val="center"/>
              <w:rPr>
                <w:rFonts w:ascii="宋体" w:hAnsi="宋体"/>
              </w:rPr>
            </w:pPr>
            <w:r>
              <w:rPr>
                <w:rFonts w:ascii="宋体" w:hAnsi="宋体" w:hint="eastAsia"/>
              </w:rPr>
              <w:t>新疆</w:t>
            </w:r>
          </w:p>
        </w:tc>
        <w:tc>
          <w:tcPr>
            <w:tcW w:w="1250" w:type="dxa"/>
            <w:vAlign w:val="center"/>
          </w:tcPr>
          <w:p>
            <w:pPr>
              <w:jc w:val="center"/>
              <w:rPr>
                <w:rFonts w:ascii="宋体" w:hAnsi="宋体"/>
              </w:rPr>
            </w:pPr>
            <w:r>
              <w:rPr>
                <w:rFonts w:ascii="宋体" w:hAnsi="宋体" w:hint="eastAsia"/>
              </w:rPr>
              <w:t>新疆</w:t>
            </w:r>
          </w:p>
        </w:tc>
        <w:tc>
          <w:tcPr>
            <w:tcW w:w="1292" w:type="dxa"/>
            <w:vAlign w:val="center"/>
          </w:tcPr>
          <w:p>
            <w:pPr>
              <w:jc w:val="both"/>
              <w:rPr>
                <w:rFonts w:ascii="宋体" w:hAnsi="宋体"/>
              </w:rPr>
            </w:pPr>
            <w:r>
              <w:rPr>
                <w:rFonts w:ascii="宋体" w:hAnsi="宋体" w:hint="eastAsia"/>
              </w:rPr>
              <w:t>煤制合成天然气等产品的生产与销售</w:t>
            </w:r>
          </w:p>
        </w:tc>
        <w:tc>
          <w:tcPr>
            <w:tcW w:w="1060" w:type="dxa"/>
            <w:vAlign w:val="center"/>
          </w:tcPr>
          <w:p>
            <w:pPr>
              <w:jc w:val="center"/>
              <w:rPr>
                <w:rFonts w:ascii="宋体" w:hAnsi="宋体"/>
              </w:rPr>
            </w:pPr>
          </w:p>
        </w:tc>
        <w:tc>
          <w:tcPr>
            <w:tcW w:w="1093" w:type="dxa"/>
            <w:vAlign w:val="center"/>
          </w:tcPr>
          <w:p>
            <w:pPr>
              <w:jc w:val="center"/>
              <w:rPr>
                <w:rFonts w:ascii="宋体" w:hAnsi="宋体"/>
              </w:rPr>
            </w:pPr>
            <w:r>
              <w:rPr>
                <w:rFonts w:ascii="宋体" w:hAnsi="宋体" w:hint="eastAsia"/>
              </w:rPr>
              <w:t>45.00</w:t>
            </w:r>
          </w:p>
        </w:tc>
        <w:tc>
          <w:tcPr>
            <w:tcW w:w="1815" w:type="dxa"/>
            <w:vAlign w:val="center"/>
          </w:tcPr>
          <w:p>
            <w:pPr>
              <w:jc w:val="center"/>
              <w:rPr>
                <w:rFonts w:ascii="宋体" w:hAnsi="宋体"/>
              </w:rPr>
            </w:pPr>
            <w:r>
              <w:rPr>
                <w:rFonts w:ascii="宋体" w:hAnsi="宋体" w:hint="eastAsia"/>
              </w:rPr>
              <w:t>权益法</w:t>
            </w:r>
          </w:p>
        </w:tc>
      </w:tr>
    </w:tbl>
    <w:p>
      <w:pPr>
        <w:rPr>
          <w:rFonts w:cs="Arial"/>
        </w:rPr>
      </w:pPr>
      <w:r>
        <w:rPr>
          <w:rFonts w:cs="Arial" w:hint="eastAsia"/>
        </w:rPr>
        <w:t>在合营企业或联营企业的持股比例不同于表决权比例的说明：</w:t>
      </w:r>
    </w:p>
    <w:p>
      <w:pPr>
        <w:rPr>
          <w:rFonts w:cs="Arial"/>
        </w:rPr>
      </w:pPr>
      <w:sdt>
        <w:sdtPr>
          <w:rPr>
            <w:rFonts w:cs="Arial"/>
          </w:rPr>
          <w:alias w:val="在合营企业或联营企业的持股比例不同于表决权比例的说明"/>
          <w:tag w:val="_GBC_b18385c11aff4424b360bd0cb4f81376"/>
          <w:id w:val="-1675723116"/>
          <w:placeholder>
            <w:docPart w:val="GBC22222222222222222222222222222"/>
          </w:placeholder>
        </w:sdtPr>
        <w:sdtContent>
          <w:r>
            <w:rPr>
              <w:rFonts w:cs="Arial" w:hint="eastAsia"/>
            </w:rPr>
            <w:t>-</w:t>
          </w:r>
        </w:sdtContent>
      </w:sdt>
    </w:p>
    <w:p>
      <w:pPr>
        <w:rPr>
          <w:rFonts w:cs="Arial"/>
        </w:rPr>
      </w:pPr>
    </w:p>
    <w:p>
      <w:pPr>
        <w:rPr>
          <w:rFonts w:cs="Arial"/>
        </w:rPr>
      </w:pPr>
      <w:r>
        <w:rPr>
          <w:rFonts w:cs="Arial" w:hint="eastAsia"/>
        </w:rPr>
        <w:t>持有</w:t>
      </w:r>
      <w:r>
        <w:rPr>
          <w:rFonts w:cs="Arial"/>
        </w:rPr>
        <w:t>20%</w:t>
      </w:r>
      <w:r>
        <w:rPr>
          <w:rFonts w:cs="Arial"/>
        </w:rPr>
        <w:t>以下表决权但具有重大影响，或者持有</w:t>
      </w:r>
      <w:r>
        <w:rPr>
          <w:rFonts w:cs="Arial"/>
        </w:rPr>
        <w:t>20%</w:t>
      </w:r>
      <w:r>
        <w:rPr>
          <w:rFonts w:cs="Arial"/>
        </w:rPr>
        <w:t>或以上表决权但不具有重大影响的依据：</w:t>
      </w:r>
    </w:p>
    <w:p>
      <w:pPr>
        <w:rPr>
          <w:rFonts w:cs="Arial"/>
        </w:rPr>
      </w:pPr>
      <w:sdt>
        <w:sdtPr>
          <w:rPr>
            <w:rFonts w:cs="Arial"/>
          </w:rPr>
          <w:alias w:val="持有20%以下表决权但具有重大影响，或者持有20%或以上表决权但不具有重大影响的依据"/>
          <w:tag w:val="_GBC_08a71a8c491f4c758da0748f7570fb28"/>
          <w:id w:val="1218089701"/>
          <w:placeholder>
            <w:docPart w:val="GBC22222222222222222222222222222"/>
          </w:placeholder>
        </w:sdtPr>
        <w:sdtContent>
          <w:r>
            <w:rPr>
              <w:rFonts w:cs="Arial" w:hint="eastAsia"/>
            </w:rPr>
            <w:t>-</w:t>
          </w:r>
        </w:sdtContent>
      </w:sdt>
    </w:p>
    <w:p>
      <w:pPr>
        <w:rPr>
          <w:rFonts w:cstheme="minorBidi"/>
        </w:rPr>
      </w:pPr>
    </w:p>
    <w:p>
      <w:pPr>
        <w:pStyle w:val="Style179"/>
        <w:numPr>
          <w:ilvl w:val="3"/>
          <w:numId w:val="120"/>
        </w:numPr>
        <w:ind w:left="406" w:hangingChars="202" w:hanging="406"/>
      </w:pPr>
      <w:r>
        <w:rPr>
          <w:rFonts w:hint="eastAsia"/>
        </w:rPr>
        <w:t>重要合营企业的主要财务信息</w:t>
      </w:r>
    </w:p>
    <w:sdt>
      <w:sdtPr>
        <w:rPr>
          <w:rFonts w:hint="eastAsia"/>
        </w:rPr>
        <w:alias w:val="是否适用：重要合营企业的主要财务信息[双击切换]"/>
        <w:tag w:val="_GBC_8218a872fcd045d290940ccf3b3bdfa5"/>
        <w:id w:val="-113872230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合营企业的主要财务信息"/>
          <w:tag w:val="_GBC_c3e62c0d62494c0bb865a164a263a4c4"/>
          <w:id w:val="14437315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重要合营企业的主要财务信息"/>
          <w:tag w:val="_GBC_dbf325e8ec10449ba127b878292f7bb1"/>
          <w:id w:val="-1744987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70"/>
        <w:gridCol w:w="2563"/>
        <w:gridCol w:w="2515"/>
      </w:tblGrid>
      <w:tr>
        <w:trPr>
          <w:trHeight w:val="120"/>
        </w:trPr>
        <w:tc>
          <w:tcPr>
            <w:tcW w:w="3970" w:type="dxa"/>
            <w:vMerge w:val="restart"/>
            <w:tcBorders>
              <w:top w:val="single" w:sz="4" w:space="0" w:color="auto"/>
              <w:left w:val="single" w:sz="4" w:space="0" w:color="auto"/>
              <w:bottom w:val="single" w:sz="6" w:space="0" w:color="auto"/>
              <w:right w:val="single" w:sz="6" w:space="0" w:color="auto"/>
            </w:tcBorders>
            <w:vAlign w:val="center"/>
          </w:tcPr>
          <w:p>
            <w:pPr>
              <w:jc w:val="center"/>
              <w:rPr>
                <w:rFonts w:cs="Arial"/>
              </w:rPr>
            </w:pPr>
          </w:p>
        </w:tc>
        <w:tc>
          <w:tcPr>
            <w:tcW w:w="2563" w:type="dxa"/>
            <w:tcBorders>
              <w:top w:val="single" w:sz="4" w:space="0" w:color="auto"/>
              <w:left w:val="single" w:sz="6" w:space="0" w:color="auto"/>
              <w:bottom w:val="single" w:sz="6" w:space="0" w:color="auto"/>
              <w:right w:val="single" w:sz="6" w:space="0" w:color="auto"/>
            </w:tcBorders>
            <w:vAlign w:val="center"/>
          </w:tcPr>
          <w:sdt>
            <w:sdtPr>
              <w:tag w:val="_PLD_76a2785402e4473fa8d78414b853974b"/>
              <w:id w:val="526368281"/>
            </w:sdtPr>
            <w:sdtContent>
              <w:p>
                <w:pPr>
                  <w:jc w:val="center"/>
                  <w:rPr>
                    <w:rFonts w:cs="Arial"/>
                    <w:lang w:val="en-GB"/>
                  </w:rPr>
                </w:pPr>
                <w:r>
                  <w:rPr>
                    <w:rFonts w:cs="Arial" w:hint="eastAsia"/>
                    <w:lang w:val="en-GB"/>
                  </w:rPr>
                  <w:t>期末余额</w:t>
                </w:r>
                <w:r>
                  <w:rPr>
                    <w:rFonts w:cs="Arial"/>
                  </w:rPr>
                  <w:t>/</w:t>
                </w:r>
                <w:r>
                  <w:rPr>
                    <w:rFonts w:cs="Arial" w:hint="eastAsia"/>
                    <w:lang w:val="en-GB"/>
                  </w:rPr>
                  <w:t>本期发生额</w:t>
                </w:r>
              </w:p>
            </w:sdtContent>
          </w:sdt>
        </w:tc>
        <w:tc>
          <w:tcPr>
            <w:tcW w:w="2515" w:type="dxa"/>
            <w:tcBorders>
              <w:top w:val="single" w:sz="4" w:space="0" w:color="auto"/>
              <w:left w:val="single" w:sz="6" w:space="0" w:color="auto"/>
              <w:bottom w:val="single" w:sz="6" w:space="0" w:color="auto"/>
              <w:right w:val="single" w:sz="6" w:space="0" w:color="auto"/>
            </w:tcBorders>
            <w:vAlign w:val="center"/>
          </w:tcPr>
          <w:sdt>
            <w:sdtPr>
              <w:tag w:val="_PLD_1e01bab448ec49c797c7281133f63f1e"/>
              <w:id w:val="438261217"/>
            </w:sdtPr>
            <w:sdtContent>
              <w:p>
                <w:pPr>
                  <w:jc w:val="center"/>
                  <w:rPr>
                    <w:rFonts w:cs="Arial"/>
                    <w:lang w:val="en-GB"/>
                  </w:rPr>
                </w:pPr>
                <w:r>
                  <w:rPr>
                    <w:rFonts w:cs="Arial" w:hint="eastAsia"/>
                    <w:lang w:val="en-GB"/>
                  </w:rPr>
                  <w:t>期初余额</w:t>
                </w:r>
                <w:r>
                  <w:rPr>
                    <w:rFonts w:cs="Arial"/>
                  </w:rPr>
                  <w:t>/</w:t>
                </w:r>
                <w:r>
                  <w:rPr>
                    <w:rFonts w:cs="Arial" w:hint="eastAsia"/>
                    <w:lang w:val="en-GB"/>
                  </w:rPr>
                  <w:t>上期发生额</w:t>
                </w:r>
              </w:p>
            </w:sdtContent>
          </w:sdt>
        </w:tc>
      </w:tr>
      <w:tr>
        <w:trPr>
          <w:trHeight w:val="120"/>
        </w:trPr>
        <w:tc>
          <w:tcPr>
            <w:tcW w:w="3970" w:type="dxa"/>
            <w:vMerge/>
            <w:tcBorders>
              <w:top w:val="single" w:sz="4" w:space="0" w:color="auto"/>
              <w:left w:val="single" w:sz="4" w:space="0" w:color="auto"/>
              <w:bottom w:val="single" w:sz="6" w:space="0" w:color="auto"/>
              <w:right w:val="single" w:sz="6" w:space="0" w:color="auto"/>
            </w:tcBorders>
            <w:vAlign w:val="center"/>
          </w:tcPr>
          <w:p>
            <w:pPr>
              <w:rPr>
                <w:rFonts w:cs="Arial"/>
              </w:rPr>
            </w:pPr>
          </w:p>
        </w:tc>
        <w:sdt>
          <w:sdtPr>
            <w:alias w:val="重要合营企业的主要财务信息明细-企业名称"/>
            <w:tag w:val="_GBC_d9a0ee9c16f4461bb0893d7696aafe61"/>
            <w:id w:val="-528954440"/>
          </w:sdtPr>
          <w:sdtContent>
            <w:tc>
              <w:tcPr>
                <w:tcW w:w="2563" w:type="dxa"/>
                <w:tcBorders>
                  <w:top w:val="single" w:sz="6" w:space="0" w:color="auto"/>
                  <w:left w:val="single" w:sz="6" w:space="0" w:color="auto"/>
                  <w:bottom w:val="single" w:sz="4" w:space="0" w:color="auto"/>
                  <w:right w:val="single" w:sz="6" w:space="0" w:color="auto"/>
                </w:tcBorders>
                <w:vAlign w:val="center"/>
              </w:tcPr>
              <w:p>
                <w:pPr>
                  <w:jc w:val="center"/>
                </w:pPr>
                <w:r>
                  <w:rPr>
                    <w:rFonts w:hint="eastAsia"/>
                  </w:rPr>
                  <w:t>中山矿合营企业</w:t>
                </w:r>
              </w:p>
            </w:tc>
          </w:sdtContent>
        </w:sdt>
        <w:sdt>
          <w:sdtPr>
            <w:alias w:val="重要合营企业的主要财务信息明细-企业名称"/>
            <w:tag w:val="_GBC_f0a327068ce741c6ba092282ff5bc80d"/>
            <w:id w:val="-1243024399"/>
          </w:sdtPr>
          <w:sdtContent>
            <w:tc>
              <w:tcPr>
                <w:tcW w:w="2515" w:type="dxa"/>
                <w:tcBorders>
                  <w:top w:val="single" w:sz="6" w:space="0" w:color="auto"/>
                  <w:left w:val="single" w:sz="6" w:space="0" w:color="auto"/>
                  <w:bottom w:val="single" w:sz="6" w:space="0" w:color="auto"/>
                  <w:right w:val="single" w:sz="6" w:space="0" w:color="auto"/>
                </w:tcBorders>
                <w:vAlign w:val="center"/>
              </w:tcPr>
              <w:p>
                <w:pPr>
                  <w:jc w:val="center"/>
                </w:pPr>
                <w:r>
                  <w:rPr>
                    <w:rFonts w:hint="eastAsia"/>
                  </w:rPr>
                  <w:t>中山矿合营企业</w:t>
                </w:r>
              </w:p>
            </w:tc>
          </w:sdtContent>
        </w:sdt>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流动资产</w:t>
            </w:r>
          </w:p>
        </w:tc>
        <w:tc>
          <w:tcPr>
            <w:tcW w:w="2563" w:type="dxa"/>
            <w:tcBorders>
              <w:top w:val="single" w:sz="6" w:space="0" w:color="auto"/>
              <w:left w:val="single" w:sz="6" w:space="0" w:color="auto"/>
              <w:bottom w:val="single" w:sz="4" w:space="0" w:color="auto"/>
              <w:right w:val="single" w:sz="6" w:space="0" w:color="auto"/>
            </w:tcBorders>
            <w:shd w:val="clear" w:color="auto" w:fill="auto"/>
            <w:vAlign w:val="center"/>
          </w:tcPr>
          <w:p>
            <w:pPr>
              <w:jc w:val="right"/>
              <w:rPr>
                <w:rFonts w:ascii="宋体" w:hAnsi="宋体"/>
              </w:rPr>
            </w:pPr>
            <w:r>
              <w:rPr>
                <w:rFonts w:ascii="宋体" w:hAnsi="宋体"/>
              </w:rPr>
              <w:t>898,114</w:t>
            </w:r>
          </w:p>
        </w:tc>
        <w:tc>
          <w:tcPr>
            <w:tcW w:w="2515" w:type="dxa"/>
            <w:tcBorders>
              <w:top w:val="single" w:sz="6" w:space="0" w:color="auto"/>
              <w:left w:val="single" w:sz="6" w:space="0" w:color="auto"/>
              <w:bottom w:val="single" w:sz="6" w:space="0" w:color="auto"/>
              <w:right w:val="single" w:sz="6" w:space="0" w:color="auto"/>
            </w:tcBorders>
            <w:shd w:val="clear" w:color="auto" w:fill="auto"/>
            <w:vAlign w:val="center"/>
          </w:tcPr>
          <w:p>
            <w:pPr>
              <w:jc w:val="right"/>
              <w:rPr>
                <w:rFonts w:ascii="宋体" w:hAnsi="宋体"/>
              </w:rPr>
            </w:pPr>
            <w:r>
              <w:rPr>
                <w:rFonts w:ascii="宋体" w:hAnsi="宋体"/>
              </w:rPr>
              <w:t>912,081</w:t>
            </w:r>
          </w:p>
        </w:tc>
      </w:tr>
      <w:tr>
        <w:tc>
          <w:tcPr>
            <w:tcW w:w="3970" w:type="dxa"/>
            <w:tcBorders>
              <w:top w:val="single" w:sz="6" w:space="0" w:color="auto"/>
              <w:left w:val="single" w:sz="4" w:space="0" w:color="auto"/>
              <w:bottom w:val="single" w:sz="6" w:space="0" w:color="auto"/>
              <w:right w:val="single" w:sz="6" w:space="0" w:color="auto"/>
            </w:tcBorders>
            <w:vAlign w:val="center"/>
          </w:tcPr>
          <w:p>
            <w:pPr>
              <w:ind w:firstLineChars="200" w:firstLine="420"/>
            </w:pPr>
            <w:r>
              <w:rPr>
                <w:rFonts w:hint="eastAsia"/>
              </w:rPr>
              <w:t>其中：现金和现金等价物</w:t>
            </w:r>
          </w:p>
        </w:tc>
        <w:tc>
          <w:tcPr>
            <w:tcW w:w="2563" w:type="dxa"/>
            <w:tcBorders>
              <w:top w:val="single" w:sz="6" w:space="0" w:color="auto"/>
              <w:left w:val="single" w:sz="6" w:space="0" w:color="auto"/>
              <w:bottom w:val="single" w:sz="4" w:space="0" w:color="auto"/>
              <w:right w:val="single" w:sz="6" w:space="0" w:color="auto"/>
            </w:tcBorders>
            <w:shd w:val="clear" w:color="auto" w:fill="auto"/>
            <w:vAlign w:val="center"/>
          </w:tcPr>
          <w:p>
            <w:pPr>
              <w:jc w:val="right"/>
              <w:rPr>
                <w:rFonts w:ascii="宋体" w:hAnsi="宋体"/>
              </w:rPr>
            </w:pPr>
            <w:r>
              <w:rPr>
                <w:rFonts w:ascii="宋体" w:hAnsi="宋体"/>
              </w:rPr>
              <w:t>361,711</w:t>
            </w:r>
          </w:p>
        </w:tc>
        <w:tc>
          <w:tcPr>
            <w:tcW w:w="2515" w:type="dxa"/>
            <w:tcBorders>
              <w:top w:val="single" w:sz="6" w:space="0" w:color="auto"/>
              <w:left w:val="single" w:sz="6" w:space="0" w:color="auto"/>
              <w:bottom w:val="single" w:sz="6" w:space="0" w:color="auto"/>
              <w:right w:val="single" w:sz="6" w:space="0" w:color="auto"/>
            </w:tcBorders>
            <w:shd w:val="clear" w:color="auto" w:fill="auto"/>
            <w:vAlign w:val="center"/>
          </w:tcPr>
          <w:p>
            <w:pPr>
              <w:jc w:val="right"/>
              <w:rPr>
                <w:rFonts w:ascii="宋体" w:hAnsi="宋体"/>
              </w:rPr>
            </w:pPr>
            <w:r>
              <w:rPr>
                <w:rFonts w:ascii="宋体" w:hAnsi="宋体"/>
              </w:rPr>
              <w:t>361,073</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非流动资产</w:t>
            </w:r>
          </w:p>
        </w:tc>
        <w:tc>
          <w:tcPr>
            <w:tcW w:w="2563" w:type="dxa"/>
            <w:tcBorders>
              <w:top w:val="single" w:sz="6" w:space="0" w:color="auto"/>
              <w:left w:val="single" w:sz="6" w:space="0" w:color="auto"/>
              <w:bottom w:val="single" w:sz="4" w:space="0" w:color="auto"/>
              <w:right w:val="single" w:sz="6" w:space="0" w:color="auto"/>
            </w:tcBorders>
            <w:shd w:val="clear" w:color="auto" w:fill="auto"/>
            <w:vAlign w:val="center"/>
          </w:tcPr>
          <w:p>
            <w:pPr>
              <w:jc w:val="right"/>
              <w:rPr>
                <w:rFonts w:ascii="宋体" w:hAnsi="宋体"/>
              </w:rPr>
            </w:pPr>
            <w:r>
              <w:rPr>
                <w:rFonts w:ascii="宋体" w:hAnsi="宋体"/>
              </w:rPr>
              <w:t>4,037,326</w:t>
            </w:r>
          </w:p>
        </w:tc>
        <w:tc>
          <w:tcPr>
            <w:tcW w:w="2515" w:type="dxa"/>
            <w:tcBorders>
              <w:top w:val="single" w:sz="6" w:space="0" w:color="auto"/>
              <w:left w:val="single" w:sz="6" w:space="0" w:color="auto"/>
              <w:bottom w:val="single" w:sz="6" w:space="0" w:color="auto"/>
              <w:right w:val="single" w:sz="6" w:space="0" w:color="auto"/>
            </w:tcBorders>
            <w:shd w:val="clear" w:color="auto" w:fill="auto"/>
            <w:vAlign w:val="center"/>
          </w:tcPr>
          <w:p>
            <w:pPr>
              <w:jc w:val="right"/>
              <w:rPr>
                <w:rFonts w:ascii="宋体" w:hAnsi="宋体"/>
              </w:rPr>
            </w:pPr>
            <w:r>
              <w:rPr>
                <w:rFonts w:ascii="宋体" w:hAnsi="宋体"/>
              </w:rPr>
              <w:t>4,306,861</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资产合计</w:t>
            </w:r>
          </w:p>
        </w:tc>
        <w:tc>
          <w:tcPr>
            <w:tcW w:w="2563" w:type="dxa"/>
            <w:tcBorders>
              <w:top w:val="single" w:sz="6" w:space="0" w:color="auto"/>
              <w:left w:val="single" w:sz="6" w:space="0" w:color="auto"/>
              <w:bottom w:val="single" w:sz="4" w:space="0" w:color="auto"/>
              <w:right w:val="single" w:sz="6" w:space="0" w:color="auto"/>
            </w:tcBorders>
            <w:shd w:val="clear" w:color="auto" w:fill="auto"/>
            <w:vAlign w:val="center"/>
          </w:tcPr>
          <w:p>
            <w:pPr>
              <w:jc w:val="right"/>
              <w:rPr>
                <w:rFonts w:ascii="宋体" w:hAnsi="宋体"/>
              </w:rPr>
            </w:pPr>
            <w:r>
              <w:rPr>
                <w:rFonts w:ascii="宋体" w:hAnsi="宋体"/>
              </w:rPr>
              <w:t>4,935,440</w:t>
            </w:r>
          </w:p>
        </w:tc>
        <w:tc>
          <w:tcPr>
            <w:tcW w:w="2515" w:type="dxa"/>
            <w:tcBorders>
              <w:top w:val="single" w:sz="6" w:space="0" w:color="auto"/>
              <w:left w:val="single" w:sz="6" w:space="0" w:color="auto"/>
              <w:bottom w:val="single" w:sz="6" w:space="0" w:color="auto"/>
              <w:right w:val="single" w:sz="6" w:space="0" w:color="auto"/>
            </w:tcBorders>
            <w:shd w:val="clear" w:color="auto" w:fill="auto"/>
            <w:vAlign w:val="center"/>
          </w:tcPr>
          <w:p>
            <w:pPr>
              <w:jc w:val="right"/>
              <w:rPr>
                <w:rFonts w:ascii="宋体" w:hAnsi="宋体"/>
              </w:rPr>
            </w:pPr>
            <w:r>
              <w:rPr>
                <w:rFonts w:ascii="宋体" w:hAnsi="宋体"/>
              </w:rPr>
              <w:t>5,218,942</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流动负债</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1,918,079</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2,119,181</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非流动负债</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715,400</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hint="eastAsia"/>
              </w:rPr>
              <w:t>691,071</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负债合计</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2,633,479</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2,810,252</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归属于母公司股东权益</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2,301,961</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2,408,690</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按持股比例计算的净资产份额</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1,150,974</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1,204,338</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对合营企业权益投资的账面价值</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1,147,459</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1,205,000</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营业收入</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2,888,762</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3,245,776</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财务费用</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14,297</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-857</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所得税费用</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-71,040</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-79,968</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净利润</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-207,029</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146,352</w:t>
            </w:r>
          </w:p>
        </w:tc>
      </w:tr>
      <w:tr>
        <w:tc>
          <w:tcPr>
            <w:tcW w:w="3970" w:type="dxa"/>
            <w:tcBorders>
              <w:top w:val="single" w:sz="6" w:space="0" w:color="auto"/>
              <w:left w:val="single" w:sz="4" w:space="0" w:color="auto"/>
              <w:bottom w:val="single" w:sz="6" w:space="0" w:color="auto"/>
              <w:right w:val="single" w:sz="6" w:space="0" w:color="auto"/>
            </w:tcBorders>
            <w:vAlign w:val="center"/>
          </w:tcPr>
          <w:p>
            <w:pPr>
              <w:rPr>
                <w:rFonts w:cs="Arial"/>
                <w:color w:val="000000"/>
              </w:rPr>
            </w:pPr>
            <w:r>
              <w:rPr>
                <w:rFonts w:cs="Arial" w:hint="eastAsia"/>
                <w:color w:val="000000"/>
                <w:lang w:val="en-GB"/>
              </w:rPr>
              <w:t>综合收益总额</w:t>
            </w:r>
          </w:p>
        </w:tc>
        <w:tc>
          <w:tcPr>
            <w:tcW w:w="2563" w:type="dxa"/>
            <w:tcBorders>
              <w:top w:val="single" w:sz="6" w:space="0" w:color="auto"/>
              <w:left w:val="single" w:sz="6" w:space="0" w:color="auto"/>
              <w:bottom w:val="single" w:sz="4" w:space="0" w:color="auto"/>
              <w:right w:val="single" w:sz="6" w:space="0" w:color="auto"/>
            </w:tcBorders>
            <w:shd w:val="clear" w:color="auto" w:fill="auto"/>
          </w:tcPr>
          <w:p>
            <w:pPr>
              <w:jc w:val="right"/>
              <w:rPr>
                <w:rFonts w:ascii="宋体" w:hAnsi="宋体"/>
              </w:rPr>
            </w:pPr>
            <w:r>
              <w:rPr>
                <w:rFonts w:ascii="宋体" w:hAnsi="宋体"/>
              </w:rPr>
              <w:t>-207,029</w:t>
            </w:r>
          </w:p>
        </w:tc>
        <w:tc>
          <w:tcPr>
            <w:tcW w:w="2515" w:type="dxa"/>
            <w:tcBorders>
              <w:top w:val="single" w:sz="6" w:space="0" w:color="auto"/>
              <w:left w:val="single" w:sz="6" w:space="0" w:color="auto"/>
              <w:bottom w:val="single" w:sz="6" w:space="0" w:color="auto"/>
              <w:right w:val="single" w:sz="6" w:space="0" w:color="auto"/>
            </w:tcBorders>
            <w:shd w:val="clear" w:color="auto" w:fill="auto"/>
          </w:tcPr>
          <w:p>
            <w:pPr>
              <w:jc w:val="right"/>
              <w:rPr>
                <w:rFonts w:ascii="宋体" w:hAnsi="宋体"/>
              </w:rPr>
            </w:pPr>
            <w:r>
              <w:rPr>
                <w:rFonts w:ascii="宋体" w:hAnsi="宋体"/>
              </w:rPr>
              <w:t>146,352</w:t>
            </w:r>
          </w:p>
        </w:tc>
      </w:tr>
      <w:tr>
        <w:tc>
          <w:tcPr>
            <w:tcW w:w="3970" w:type="dxa"/>
            <w:tcBorders>
              <w:top w:val="single" w:sz="6" w:space="0" w:color="auto"/>
              <w:left w:val="single" w:sz="4" w:space="0" w:color="auto"/>
              <w:bottom w:val="single" w:sz="4" w:space="0" w:color="auto"/>
              <w:right w:val="single" w:sz="6" w:space="0" w:color="auto"/>
            </w:tcBorders>
            <w:vAlign w:val="center"/>
          </w:tcPr>
          <w:p>
            <w:pPr>
              <w:rPr>
                <w:rFonts w:cs="Arial"/>
                <w:color w:val="000000"/>
              </w:rPr>
            </w:pPr>
            <w:r>
              <w:rPr>
                <w:rFonts w:cs="Arial" w:hint="eastAsia"/>
                <w:color w:val="000000"/>
                <w:lang w:val="en-GB"/>
              </w:rPr>
              <w:t>本年度收到的来自合营企业的股利</w:t>
            </w:r>
          </w:p>
        </w:tc>
        <w:tc>
          <w:tcPr>
            <w:tcW w:w="2563" w:type="dxa"/>
            <w:tcBorders>
              <w:top w:val="single" w:sz="6" w:space="0" w:color="auto"/>
              <w:left w:val="single" w:sz="6" w:space="0" w:color="auto"/>
              <w:bottom w:val="single" w:sz="4" w:space="0" w:color="auto"/>
              <w:right w:val="single" w:sz="6" w:space="0" w:color="auto"/>
            </w:tcBorders>
            <w:shd w:val="clear" w:color="auto" w:fill="auto"/>
            <w:vAlign w:val="center"/>
          </w:tcPr>
          <w:p>
            <w:pPr>
              <w:jc w:val="right"/>
            </w:pPr>
          </w:p>
        </w:tc>
        <w:tc>
          <w:tcPr>
            <w:tcW w:w="2515" w:type="dxa"/>
            <w:tcBorders>
              <w:top w:val="single" w:sz="6" w:space="0" w:color="auto"/>
              <w:left w:val="single" w:sz="6" w:space="0" w:color="auto"/>
              <w:bottom w:val="single" w:sz="4" w:space="0" w:color="auto"/>
              <w:right w:val="single" w:sz="6" w:space="0" w:color="auto"/>
            </w:tcBorders>
            <w:shd w:val="clear" w:color="auto" w:fill="auto"/>
            <w:vAlign w:val="center"/>
          </w:tcPr>
          <w:p>
            <w:pPr>
              <w:jc w:val="right"/>
            </w:pPr>
            <w:r>
              <w:rPr>
                <w:rFonts w:ascii="宋体" w:hAnsi="宋体"/>
              </w:rPr>
              <w:t>912,081</w:t>
            </w:r>
          </w:p>
        </w:tc>
      </w:tr>
    </w:tbl>
    <w:p>
      <w:pPr>
        <w:pStyle w:val="Style217"/>
      </w:pPr>
    </w:p>
    <w:p>
      <w:pPr>
        <w:rPr>
          <w:rFonts w:cs="Arial"/>
        </w:rPr>
      </w:pPr>
      <w:r>
        <w:rPr>
          <w:rFonts w:cs="Arial" w:hint="eastAsia"/>
        </w:rPr>
        <w:t>其他说明：</w:t>
      </w:r>
    </w:p>
    <w:sdt>
      <w:sdtPr>
        <w:rPr>
          <w:rFonts w:cs="Arial"/>
        </w:rPr>
        <w:alias w:val="重要合营企业的主要财务信息其他说明方法"/>
        <w:tag w:val="_GBC_2eee1d37a6f94778acc1b70493f48755"/>
        <w:id w:val="-657693102"/>
        <w:placeholder>
          <w:docPart w:val="GBC22222222222222222222222222222"/>
        </w:placeholder>
      </w:sdtPr>
      <w:sdtContent>
        <w:p>
          <w:pPr>
            <w:rPr>
              <w:rFonts w:cs="Arial"/>
            </w:rPr>
          </w:pPr>
          <w:r>
            <w:rPr>
              <w:rFonts w:cs="Arial" w:hint="eastAsia"/>
            </w:rPr>
            <w:t>-</w:t>
          </w:r>
        </w:p>
      </w:sdtContent>
    </w:sdt>
    <w:p>
      <w:pPr>
        <w:rPr>
          <w:rFonts w:cstheme="minorBidi"/>
        </w:rPr>
        <w:sectPr>
          <w:pgSz w:w="11906" w:h="16838"/>
          <w:pgMar w:top="1525" w:right="1276" w:bottom="1440" w:left="1797" w:header="856" w:footer="992" w:gutter="0"/>
          <w:cols w:space="425"/>
          <w:docGrid w:linePitch="312"/>
        </w:sectPr>
      </w:pPr>
    </w:p>
    <w:p>
      <w:pPr>
        <w:rPr>
          <w:rFonts w:cstheme="minorBidi"/>
        </w:rPr>
      </w:pPr>
    </w:p>
    <w:p>
      <w:pPr>
        <w:pStyle w:val="Style179"/>
        <w:numPr>
          <w:ilvl w:val="3"/>
          <w:numId w:val="120"/>
        </w:numPr>
        <w:ind w:left="406" w:hangingChars="202" w:hanging="406"/>
      </w:pPr>
      <w:r>
        <w:rPr>
          <w:rFonts w:hint="eastAsia"/>
        </w:rPr>
        <w:t>重要联营企业的主要财务信息</w:t>
      </w:r>
    </w:p>
    <w:sdt>
      <w:sdtPr>
        <w:rPr>
          <w:rFonts w:hint="eastAsia"/>
        </w:rPr>
        <w:alias w:val="是否适用：重要联营企业的主要财务信息[双击切换]"/>
        <w:tag w:val="_GBC_e570958be6b64b7d8be73c12ea5135f1"/>
        <w:id w:val="-117294907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联营企业的主要财务信息"/>
          <w:tag w:val="_GBC_0306b30be35040cd86d2b964142011d4"/>
          <w:id w:val="6401515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重要联营企业的主要财务信息"/>
          <w:tag w:val="_GBC_a2e655bae21746219bfd958c6f5b8be9"/>
          <w:id w:val="-6041055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8"/>
        <w:gridCol w:w="1417"/>
        <w:gridCol w:w="1418"/>
        <w:gridCol w:w="1417"/>
        <w:gridCol w:w="1418"/>
        <w:gridCol w:w="1417"/>
        <w:gridCol w:w="1276"/>
        <w:gridCol w:w="1417"/>
        <w:gridCol w:w="1418"/>
        <w:gridCol w:w="1417"/>
      </w:tblGrid>
      <w:tr>
        <w:trPr>
          <w:trHeight w:val="120"/>
        </w:trPr>
        <w:tc>
          <w:tcPr>
            <w:tcW w:w="1560" w:type="dxa"/>
            <w:vMerge w:val="restart"/>
            <w:vAlign w:val="center"/>
          </w:tcPr>
          <w:p>
            <w:pPr>
              <w:jc w:val="center"/>
              <w:rPr>
                <w:rFonts w:cs="Arial"/>
              </w:rPr>
            </w:pPr>
          </w:p>
        </w:tc>
        <w:tc>
          <w:tcPr>
            <w:tcW w:w="7088" w:type="dxa"/>
            <w:gridSpan w:val="5"/>
            <w:vAlign w:val="center"/>
          </w:tcPr>
          <w:sdt>
            <w:sdtPr>
              <w:tag w:val="_PLD_3f5fa209abb242d7b7cbb1f0a249e5ed"/>
              <w:id w:val="1033072815"/>
            </w:sdtPr>
            <w:sdtContent>
              <w:p>
                <w:pPr>
                  <w:jc w:val="center"/>
                  <w:rPr>
                    <w:rFonts w:cs="Arial"/>
                  </w:rPr>
                </w:pPr>
                <w:r>
                  <w:rPr>
                    <w:rFonts w:cs="Arial" w:hint="eastAsia"/>
                    <w:lang w:val="en-GB"/>
                  </w:rPr>
                  <w:t>期末余额</w:t>
                </w:r>
                <w:r>
                  <w:rPr>
                    <w:rFonts w:cs="Arial"/>
                  </w:rPr>
                  <w:t>/</w:t>
                </w:r>
                <w:r>
                  <w:rPr>
                    <w:rFonts w:cs="Arial" w:hint="eastAsia"/>
                    <w:lang w:val="en-GB"/>
                  </w:rPr>
                  <w:t>本期发生额</w:t>
                </w:r>
              </w:p>
            </w:sdtContent>
          </w:sdt>
        </w:tc>
        <w:tc>
          <w:tcPr>
            <w:tcW w:w="6945" w:type="dxa"/>
            <w:gridSpan w:val="5"/>
            <w:vAlign w:val="center"/>
          </w:tcPr>
          <w:sdt>
            <w:sdtPr>
              <w:tag w:val="_PLD_84be18983356408eb53d1d34932bd41a"/>
              <w:id w:val="1171683355"/>
            </w:sdtPr>
            <w:sdtContent>
              <w:p>
                <w:pPr>
                  <w:jc w:val="center"/>
                  <w:rPr>
                    <w:rFonts w:cs="Arial"/>
                    <w:lang w:val="en-GB"/>
                  </w:rPr>
                </w:pPr>
                <w:r>
                  <w:rPr>
                    <w:rFonts w:cs="Arial" w:hint="eastAsia"/>
                    <w:lang w:val="en-GB"/>
                  </w:rPr>
                  <w:t>期初余额</w:t>
                </w:r>
                <w:r>
                  <w:rPr>
                    <w:rFonts w:cs="Arial"/>
                  </w:rPr>
                  <w:t>/</w:t>
                </w:r>
                <w:r>
                  <w:rPr>
                    <w:rFonts w:cs="Arial" w:hint="eastAsia"/>
                    <w:lang w:val="en-GB"/>
                  </w:rPr>
                  <w:t>上期发生额</w:t>
                </w:r>
              </w:p>
            </w:sdtContent>
          </w:sdt>
        </w:tc>
      </w:tr>
      <w:tr>
        <w:trPr>
          <w:trHeight w:val="1578"/>
        </w:trPr>
        <w:tc>
          <w:tcPr>
            <w:tcW w:w="1560" w:type="dxa"/>
            <w:vMerge/>
            <w:vAlign w:val="center"/>
          </w:tcPr>
          <w:p>
            <w:pPr>
              <w:rPr>
                <w:rFonts w:cs="Arial"/>
              </w:rPr>
            </w:pPr>
          </w:p>
        </w:tc>
        <w:sdt>
          <w:sdtPr>
            <w:alias w:val="重要联营企业的主要财务信息明细-企业名称"/>
            <w:tag w:val="_GBC_efc7f4a58fe54a3fb8fad3e0deb94eae"/>
            <w:id w:val="50200542"/>
          </w:sdtPr>
          <w:sdtContent>
            <w:tc>
              <w:tcPr>
                <w:tcW w:w="1418" w:type="dxa"/>
                <w:vAlign w:val="center"/>
              </w:tcPr>
              <w:p>
                <w:pPr>
                  <w:jc w:val="center"/>
                </w:pPr>
                <w:r>
                  <w:rPr>
                    <w:rFonts w:hint="eastAsia"/>
                  </w:rPr>
                  <w:t>华电邹县发电有限公司</w:t>
                </w:r>
              </w:p>
            </w:tc>
          </w:sdtContent>
        </w:sdt>
        <w:sdt>
          <w:sdtPr>
            <w:alias w:val="重要联营企业的主要财务信息明细-企业名称"/>
            <w:tag w:val="_GBC_efc7f4a58fe54a3fb8fad3e0deb94eae"/>
            <w:id w:val="1757779475"/>
          </w:sdtPr>
          <w:sdtContent>
            <w:tc>
              <w:tcPr>
                <w:tcW w:w="1417" w:type="dxa"/>
                <w:vAlign w:val="center"/>
              </w:tcPr>
              <w:p>
                <w:pPr>
                  <w:jc w:val="center"/>
                </w:pPr>
                <w:r>
                  <w:rPr>
                    <w:rFonts w:hint="eastAsia"/>
                  </w:rPr>
                  <w:t>内蒙古伊泰呼准铁路有限公司</w:t>
                </w:r>
              </w:p>
            </w:tc>
          </w:sdtContent>
        </w:sdt>
        <w:sdt>
          <w:sdtPr>
            <w:alias w:val="重要联营企业的主要财务信息明细-企业名称"/>
            <w:tag w:val="_GBC_efc7f4a58fe54a3fb8fad3e0deb94eae"/>
            <w:id w:val="-1126003321"/>
          </w:sdtPr>
          <w:sdtContent>
            <w:tc>
              <w:tcPr>
                <w:tcW w:w="1418" w:type="dxa"/>
                <w:vAlign w:val="center"/>
              </w:tcPr>
              <w:p>
                <w:pPr>
                  <w:jc w:val="center"/>
                </w:pPr>
                <w:r>
                  <w:rPr>
                    <w:rFonts w:hint="eastAsia"/>
                  </w:rPr>
                  <w:t>临商银行股份有限公司</w:t>
                </w:r>
              </w:p>
            </w:tc>
          </w:sdtContent>
        </w:sdt>
        <w:sdt>
          <w:sdtPr>
            <w:alias w:val="重要联营企业的主要财务信息明细-企业名称"/>
            <w:tag w:val="_GBC_efc7f4a58fe54a3fb8fad3e0deb94eae"/>
            <w:id w:val="-853570777"/>
          </w:sdtPr>
          <w:sdtContent>
            <w:tc>
              <w:tcPr>
                <w:tcW w:w="1417" w:type="dxa"/>
                <w:vAlign w:val="center"/>
              </w:tcPr>
              <w:p>
                <w:pPr>
                  <w:jc w:val="center"/>
                </w:pPr>
                <w:r>
                  <w:rPr>
                    <w:rFonts w:hint="eastAsia"/>
                  </w:rPr>
                  <w:t>伊犁新天煤化工有限责任公司</w:t>
                </w:r>
              </w:p>
            </w:tc>
          </w:sdtContent>
        </w:sdt>
        <w:sdt>
          <w:sdtPr>
            <w:alias w:val="重要联营企业的主要财务信息明细-企业名称"/>
            <w:tag w:val="_GBC_efc7f4a58fe54a3fb8fad3e0deb94eae"/>
            <w:id w:val="-1314337284"/>
          </w:sdtPr>
          <w:sdtContent>
            <w:tc>
              <w:tcPr>
                <w:tcW w:w="1418" w:type="dxa"/>
                <w:vAlign w:val="center"/>
              </w:tcPr>
              <w:p>
                <w:pPr>
                  <w:jc w:val="center"/>
                </w:pPr>
                <w:r>
                  <w:rPr>
                    <w:rFonts w:hint="eastAsia"/>
                  </w:rPr>
                  <w:t>内蒙古锦联铝材有限公司</w:t>
                </w:r>
              </w:p>
            </w:tc>
          </w:sdtContent>
        </w:sdt>
        <w:sdt>
          <w:sdtPr>
            <w:alias w:val="重要联营企业的主要财务信息明细-企业名称"/>
            <w:tag w:val="_GBC_ec035f4a8b8047b6ae76c73886ec26ca"/>
            <w:id w:val="-1415009151"/>
          </w:sdtPr>
          <w:sdtContent>
            <w:tc>
              <w:tcPr>
                <w:tcW w:w="1417" w:type="dxa"/>
                <w:vAlign w:val="center"/>
              </w:tcPr>
              <w:p>
                <w:pPr>
                  <w:jc w:val="center"/>
                </w:pPr>
                <w:r>
                  <w:rPr>
                    <w:rFonts w:hint="eastAsia"/>
                  </w:rPr>
                  <w:t>华电邹县发电有限公司</w:t>
                </w:r>
              </w:p>
            </w:tc>
          </w:sdtContent>
        </w:sdt>
        <w:sdt>
          <w:sdtPr>
            <w:alias w:val="重要联营企业的主要财务信息明细-企业名称"/>
            <w:tag w:val="_GBC_ec035f4a8b8047b6ae76c73886ec26ca"/>
            <w:id w:val="692038436"/>
          </w:sdtPr>
          <w:sdtContent>
            <w:tc>
              <w:tcPr>
                <w:tcW w:w="1276" w:type="dxa"/>
                <w:vAlign w:val="center"/>
              </w:tcPr>
              <w:p>
                <w:pPr>
                  <w:jc w:val="center"/>
                </w:pPr>
                <w:r>
                  <w:rPr>
                    <w:rFonts w:hint="eastAsia"/>
                  </w:rPr>
                  <w:t>内蒙古伊泰呼准铁路有限公司</w:t>
                </w:r>
              </w:p>
            </w:tc>
          </w:sdtContent>
        </w:sdt>
        <w:sdt>
          <w:sdtPr>
            <w:alias w:val="重要联营企业的主要财务信息明细-企业名称"/>
            <w:tag w:val="_GBC_ec035f4a8b8047b6ae76c73886ec26ca"/>
            <w:id w:val="-695692207"/>
          </w:sdtPr>
          <w:sdtContent>
            <w:tc>
              <w:tcPr>
                <w:tcW w:w="1417" w:type="dxa"/>
                <w:vAlign w:val="center"/>
              </w:tcPr>
              <w:p>
                <w:pPr>
                  <w:jc w:val="center"/>
                </w:pPr>
                <w:r>
                  <w:rPr>
                    <w:rFonts w:hint="eastAsia"/>
                  </w:rPr>
                  <w:t>临商银行股份有限公司</w:t>
                </w:r>
              </w:p>
            </w:tc>
          </w:sdtContent>
        </w:sdt>
        <w:sdt>
          <w:sdtPr>
            <w:alias w:val="重要联营企业的主要财务信息明细-企业名称"/>
            <w:tag w:val="_GBC_ec035f4a8b8047b6ae76c73886ec26ca"/>
            <w:id w:val="1059124595"/>
          </w:sdtPr>
          <w:sdtContent>
            <w:tc>
              <w:tcPr>
                <w:tcW w:w="1418" w:type="dxa"/>
                <w:vAlign w:val="center"/>
              </w:tcPr>
              <w:p>
                <w:pPr>
                  <w:jc w:val="center"/>
                </w:pPr>
                <w:r>
                  <w:rPr>
                    <w:rFonts w:hint="eastAsia"/>
                  </w:rPr>
                  <w:t>伊犁新天煤化工有限责任公司</w:t>
                </w:r>
              </w:p>
            </w:tc>
          </w:sdtContent>
        </w:sdt>
        <w:sdt>
          <w:sdtPr>
            <w:alias w:val="重要联营企业的主要财务信息明细-企业名称"/>
            <w:tag w:val="_GBC_ec035f4a8b8047b6ae76c73886ec26ca"/>
            <w:id w:val="-1603401392"/>
          </w:sdtPr>
          <w:sdtContent>
            <w:tc>
              <w:tcPr>
                <w:tcW w:w="1417" w:type="dxa"/>
                <w:vAlign w:val="center"/>
              </w:tcPr>
              <w:p>
                <w:pPr>
                  <w:jc w:val="center"/>
                </w:pPr>
                <w:r>
                  <w:rPr>
                    <w:rFonts w:hint="eastAsia"/>
                  </w:rPr>
                  <w:t>内蒙古锦联铝材有限公司</w:t>
                </w:r>
              </w:p>
            </w:tc>
          </w:sdtContent>
        </w:sdt>
      </w:tr>
      <w:tr>
        <w:tc>
          <w:tcPr>
            <w:tcW w:w="1560" w:type="dxa"/>
            <w:vAlign w:val="center"/>
          </w:tcPr>
          <w:p>
            <w:pPr>
              <w:rPr>
                <w:rFonts w:cs="Arial"/>
                <w:color w:val="000000"/>
              </w:rPr>
            </w:pPr>
            <w:r>
              <w:rPr>
                <w:rFonts w:cs="Arial" w:hint="eastAsia"/>
                <w:color w:val="000000"/>
                <w:lang w:val="en-GB"/>
              </w:rPr>
              <w:t>流动资产</w:t>
            </w:r>
          </w:p>
        </w:tc>
        <w:tc>
          <w:tcPr>
            <w:tcW w:w="1418" w:type="dxa"/>
            <w:vAlign w:val="center"/>
          </w:tcPr>
          <w:p>
            <w:pPr>
              <w:jc w:val="right"/>
              <w:rPr>
                <w:rFonts w:ascii="宋体" w:hAnsi="宋体"/>
              </w:rPr>
            </w:pPr>
            <w:r>
              <w:rPr>
                <w:rFonts w:ascii="宋体" w:hAnsi="宋体" w:cs="宋体" w:hint="eastAsia"/>
              </w:rPr>
              <w:t>892,346</w:t>
            </w:r>
          </w:p>
        </w:tc>
        <w:tc>
          <w:tcPr>
            <w:tcW w:w="1417" w:type="dxa"/>
            <w:vAlign w:val="center"/>
          </w:tcPr>
          <w:p>
            <w:pPr>
              <w:jc w:val="right"/>
              <w:rPr>
                <w:rFonts w:ascii="宋体" w:hAnsi="宋体"/>
              </w:rPr>
            </w:pPr>
            <w:r>
              <w:rPr>
                <w:rFonts w:ascii="宋体" w:hAnsi="宋体" w:cs="宋体" w:hint="eastAsia"/>
              </w:rPr>
              <w:t>508,261</w:t>
            </w:r>
          </w:p>
        </w:tc>
        <w:tc>
          <w:tcPr>
            <w:tcW w:w="1418" w:type="dxa"/>
            <w:vAlign w:val="center"/>
          </w:tcPr>
          <w:p>
            <w:pPr>
              <w:jc w:val="right"/>
              <w:rPr>
                <w:rFonts w:ascii="宋体" w:hAnsi="宋体"/>
              </w:rPr>
            </w:pPr>
            <w:r>
              <w:rPr>
                <w:rFonts w:ascii="宋体" w:hAnsi="宋体" w:cs="宋体" w:hint="eastAsia"/>
              </w:rPr>
              <w:t>147,079,943</w:t>
            </w:r>
          </w:p>
        </w:tc>
        <w:tc>
          <w:tcPr>
            <w:tcW w:w="1417" w:type="dxa"/>
            <w:vAlign w:val="center"/>
          </w:tcPr>
          <w:p>
            <w:pPr>
              <w:jc w:val="right"/>
              <w:rPr>
                <w:rFonts w:ascii="宋体" w:hAnsi="宋体"/>
              </w:rPr>
            </w:pPr>
            <w:r>
              <w:rPr>
                <w:rFonts w:ascii="宋体" w:hAnsi="宋体" w:cs="宋体" w:hint="eastAsia"/>
              </w:rPr>
              <w:t>1,157,971</w:t>
            </w:r>
          </w:p>
        </w:tc>
        <w:tc>
          <w:tcPr>
            <w:tcW w:w="1418" w:type="dxa"/>
            <w:vAlign w:val="center"/>
          </w:tcPr>
          <w:p>
            <w:pPr>
              <w:jc w:val="right"/>
              <w:rPr>
                <w:rFonts w:ascii="宋体" w:hAnsi="宋体"/>
              </w:rPr>
            </w:pPr>
            <w:r>
              <w:rPr>
                <w:rFonts w:ascii="宋体" w:hAnsi="宋体" w:cs="宋体" w:hint="eastAsia"/>
              </w:rPr>
              <w:t>3,844,177</w:t>
            </w:r>
          </w:p>
        </w:tc>
        <w:tc>
          <w:tcPr>
            <w:tcW w:w="1417" w:type="dxa"/>
          </w:tcPr>
          <w:p>
            <w:pPr>
              <w:jc w:val="right"/>
              <w:rPr>
                <w:rFonts w:ascii="宋体" w:hAnsi="宋体"/>
              </w:rPr>
            </w:pPr>
            <w:r>
              <w:rPr>
                <w:rFonts w:ascii="宋体" w:hAnsi="宋体"/>
              </w:rPr>
              <w:t>963,966</w:t>
            </w:r>
          </w:p>
        </w:tc>
        <w:tc>
          <w:tcPr>
            <w:tcW w:w="1276" w:type="dxa"/>
          </w:tcPr>
          <w:p>
            <w:pPr>
              <w:jc w:val="right"/>
              <w:rPr>
                <w:rFonts w:ascii="宋体" w:hAnsi="宋体"/>
              </w:rPr>
            </w:pPr>
            <w:r>
              <w:rPr>
                <w:rFonts w:ascii="宋体" w:hAnsi="宋体"/>
              </w:rPr>
              <w:t>568,922</w:t>
            </w:r>
          </w:p>
        </w:tc>
        <w:tc>
          <w:tcPr>
            <w:tcW w:w="1417" w:type="dxa"/>
          </w:tcPr>
          <w:p>
            <w:pPr>
              <w:jc w:val="right"/>
              <w:rPr>
                <w:rFonts w:ascii="宋体" w:hAnsi="宋体"/>
              </w:rPr>
            </w:pPr>
            <w:r>
              <w:rPr>
                <w:rFonts w:ascii="宋体" w:hAnsi="宋体"/>
              </w:rPr>
              <w:t>134,359,960</w:t>
            </w:r>
          </w:p>
        </w:tc>
        <w:tc>
          <w:tcPr>
            <w:tcW w:w="1418" w:type="dxa"/>
          </w:tcPr>
          <w:p>
            <w:pPr>
              <w:jc w:val="right"/>
              <w:rPr>
                <w:rFonts w:ascii="宋体" w:hAnsi="宋体"/>
              </w:rPr>
            </w:pPr>
            <w:r>
              <w:rPr>
                <w:rFonts w:ascii="宋体" w:hAnsi="宋体"/>
              </w:rPr>
              <w:t>671,826</w:t>
            </w:r>
          </w:p>
        </w:tc>
        <w:tc>
          <w:tcPr>
            <w:tcW w:w="1417" w:type="dxa"/>
          </w:tcPr>
          <w:p>
            <w:pPr>
              <w:jc w:val="right"/>
              <w:rPr>
                <w:rFonts w:ascii="宋体" w:hAnsi="宋体"/>
              </w:rPr>
            </w:pPr>
            <w:r>
              <w:rPr>
                <w:rFonts w:ascii="宋体" w:hAnsi="宋体"/>
              </w:rPr>
              <w:t>3,502,678</w:t>
            </w:r>
          </w:p>
        </w:tc>
      </w:tr>
      <w:tr>
        <w:tc>
          <w:tcPr>
            <w:tcW w:w="1560" w:type="dxa"/>
            <w:vAlign w:val="center"/>
          </w:tcPr>
          <w:p>
            <w:pPr>
              <w:rPr>
                <w:rFonts w:cs="Arial"/>
                <w:color w:val="000000"/>
                <w:lang w:val="en-GB"/>
              </w:rPr>
            </w:pPr>
            <w:r>
              <w:rPr>
                <w:rFonts w:cs="Arial" w:hint="eastAsia"/>
                <w:color w:val="000000"/>
                <w:lang w:val="en-GB"/>
              </w:rPr>
              <w:t>其中：现金和现金等价物</w:t>
            </w:r>
          </w:p>
        </w:tc>
        <w:tc>
          <w:tcPr>
            <w:tcW w:w="1418" w:type="dxa"/>
            <w:vAlign w:val="center"/>
          </w:tcPr>
          <w:p>
            <w:pPr>
              <w:jc w:val="right"/>
              <w:rPr>
                <w:rFonts w:ascii="宋体" w:hAnsi="宋体"/>
              </w:rPr>
            </w:pPr>
            <w:r>
              <w:rPr>
                <w:rFonts w:ascii="宋体" w:hAnsi="宋体" w:cs="宋体" w:hint="eastAsia"/>
              </w:rPr>
              <w:t>871</w:t>
            </w:r>
          </w:p>
        </w:tc>
        <w:tc>
          <w:tcPr>
            <w:tcW w:w="1417" w:type="dxa"/>
            <w:vAlign w:val="center"/>
          </w:tcPr>
          <w:p>
            <w:pPr>
              <w:jc w:val="right"/>
              <w:rPr>
                <w:rFonts w:ascii="宋体" w:hAnsi="宋体"/>
              </w:rPr>
            </w:pPr>
            <w:r>
              <w:rPr>
                <w:rFonts w:ascii="宋体" w:hAnsi="宋体" w:cs="宋体" w:hint="eastAsia"/>
              </w:rPr>
              <w:t>388,670</w:t>
            </w:r>
          </w:p>
        </w:tc>
        <w:tc>
          <w:tcPr>
            <w:tcW w:w="1418" w:type="dxa"/>
            <w:vAlign w:val="center"/>
          </w:tcPr>
          <w:p>
            <w:pPr>
              <w:jc w:val="right"/>
              <w:rPr>
                <w:rFonts w:ascii="宋体" w:hAnsi="宋体"/>
              </w:rPr>
            </w:pPr>
            <w:r>
              <w:rPr>
                <w:rFonts w:ascii="宋体" w:hAnsi="宋体" w:cs="宋体" w:hint="eastAsia"/>
              </w:rPr>
              <w:t>12,783,429</w:t>
            </w:r>
          </w:p>
        </w:tc>
        <w:tc>
          <w:tcPr>
            <w:tcW w:w="1417" w:type="dxa"/>
            <w:vAlign w:val="center"/>
          </w:tcPr>
          <w:p>
            <w:pPr>
              <w:jc w:val="right"/>
              <w:rPr>
                <w:rFonts w:ascii="宋体" w:hAnsi="宋体"/>
              </w:rPr>
            </w:pPr>
            <w:r>
              <w:rPr>
                <w:rFonts w:ascii="宋体" w:hAnsi="宋体" w:cs="宋体"/>
              </w:rPr>
              <w:t xml:space="preserve"> 698,198 </w:t>
            </w:r>
          </w:p>
        </w:tc>
        <w:tc>
          <w:tcPr>
            <w:tcW w:w="1418" w:type="dxa"/>
            <w:vAlign w:val="center"/>
          </w:tcPr>
          <w:p>
            <w:pPr>
              <w:jc w:val="right"/>
              <w:rPr>
                <w:rFonts w:ascii="宋体" w:hAnsi="宋体"/>
              </w:rPr>
            </w:pPr>
            <w:r>
              <w:rPr>
                <w:rFonts w:ascii="宋体" w:hAnsi="宋体" w:cs="宋体" w:hint="eastAsia"/>
              </w:rPr>
              <w:t>1,438,960</w:t>
            </w:r>
          </w:p>
        </w:tc>
        <w:tc>
          <w:tcPr>
            <w:tcW w:w="1417" w:type="dxa"/>
          </w:tcPr>
          <w:p>
            <w:pPr>
              <w:jc w:val="right"/>
              <w:rPr>
                <w:rFonts w:ascii="宋体" w:hAnsi="宋体"/>
              </w:rPr>
            </w:pPr>
            <w:r>
              <w:rPr>
                <w:rFonts w:ascii="宋体" w:hAnsi="宋体"/>
              </w:rPr>
              <w:t>39,419</w:t>
            </w:r>
          </w:p>
        </w:tc>
        <w:tc>
          <w:tcPr>
            <w:tcW w:w="1276" w:type="dxa"/>
          </w:tcPr>
          <w:p>
            <w:pPr>
              <w:jc w:val="right"/>
              <w:rPr>
                <w:rFonts w:ascii="宋体" w:hAnsi="宋体"/>
              </w:rPr>
            </w:pPr>
            <w:r>
              <w:rPr>
                <w:rFonts w:ascii="宋体" w:hAnsi="宋体"/>
              </w:rPr>
              <w:t>456,842</w:t>
            </w:r>
          </w:p>
        </w:tc>
        <w:tc>
          <w:tcPr>
            <w:tcW w:w="1417" w:type="dxa"/>
          </w:tcPr>
          <w:p>
            <w:pPr>
              <w:jc w:val="right"/>
              <w:rPr>
                <w:rFonts w:ascii="宋体" w:hAnsi="宋体"/>
              </w:rPr>
            </w:pPr>
            <w:r>
              <w:rPr>
                <w:rFonts w:ascii="宋体" w:hAnsi="宋体"/>
              </w:rPr>
              <w:t>12,077,288</w:t>
            </w:r>
          </w:p>
        </w:tc>
        <w:tc>
          <w:tcPr>
            <w:tcW w:w="1418" w:type="dxa"/>
          </w:tcPr>
          <w:p>
            <w:pPr>
              <w:jc w:val="right"/>
              <w:rPr>
                <w:rFonts w:ascii="宋体" w:hAnsi="宋体"/>
              </w:rPr>
            </w:pPr>
            <w:r>
              <w:rPr>
                <w:rFonts w:ascii="宋体" w:hAnsi="宋体"/>
              </w:rPr>
              <w:t>454,275</w:t>
            </w:r>
          </w:p>
        </w:tc>
        <w:tc>
          <w:tcPr>
            <w:tcW w:w="1417" w:type="dxa"/>
          </w:tcPr>
          <w:p>
            <w:pPr>
              <w:jc w:val="right"/>
              <w:rPr>
                <w:rFonts w:ascii="宋体" w:hAnsi="宋体"/>
              </w:rPr>
            </w:pPr>
            <w:r>
              <w:rPr>
                <w:rFonts w:ascii="宋体" w:hAnsi="宋体"/>
              </w:rPr>
              <w:t>1,127,380</w:t>
            </w:r>
          </w:p>
        </w:tc>
      </w:tr>
      <w:tr>
        <w:tc>
          <w:tcPr>
            <w:tcW w:w="1560" w:type="dxa"/>
            <w:vAlign w:val="center"/>
          </w:tcPr>
          <w:p>
            <w:pPr>
              <w:rPr>
                <w:rFonts w:cs="Arial"/>
                <w:color w:val="000000"/>
              </w:rPr>
            </w:pPr>
            <w:r>
              <w:rPr>
                <w:rFonts w:cs="Arial" w:hint="eastAsia"/>
                <w:color w:val="000000"/>
                <w:lang w:val="en-GB"/>
              </w:rPr>
              <w:t>非流动资产</w:t>
            </w:r>
          </w:p>
        </w:tc>
        <w:tc>
          <w:tcPr>
            <w:tcW w:w="1418" w:type="dxa"/>
            <w:vAlign w:val="center"/>
          </w:tcPr>
          <w:p>
            <w:pPr>
              <w:jc w:val="right"/>
              <w:rPr>
                <w:rFonts w:ascii="宋体" w:hAnsi="宋体"/>
              </w:rPr>
            </w:pPr>
            <w:r>
              <w:rPr>
                <w:rFonts w:ascii="宋体" w:hAnsi="宋体" w:cs="宋体" w:hint="eastAsia"/>
              </w:rPr>
              <w:t>3,567,173</w:t>
            </w:r>
          </w:p>
        </w:tc>
        <w:tc>
          <w:tcPr>
            <w:tcW w:w="1417" w:type="dxa"/>
            <w:vAlign w:val="center"/>
          </w:tcPr>
          <w:p>
            <w:pPr>
              <w:jc w:val="right"/>
              <w:rPr>
                <w:rFonts w:ascii="宋体" w:hAnsi="宋体"/>
              </w:rPr>
            </w:pPr>
            <w:r>
              <w:rPr>
                <w:rFonts w:ascii="宋体" w:hAnsi="宋体" w:cs="宋体" w:hint="eastAsia"/>
              </w:rPr>
              <w:t>9,507,009</w:t>
            </w:r>
          </w:p>
        </w:tc>
        <w:tc>
          <w:tcPr>
            <w:tcW w:w="1418" w:type="dxa"/>
            <w:vAlign w:val="center"/>
          </w:tcPr>
          <w:p>
            <w:pPr>
              <w:jc w:val="right"/>
              <w:rPr>
                <w:rFonts w:ascii="宋体" w:hAnsi="宋体"/>
              </w:rPr>
            </w:pPr>
            <w:r>
              <w:rPr>
                <w:rFonts w:ascii="宋体" w:hAnsi="宋体" w:cs="宋体" w:hint="eastAsia"/>
              </w:rPr>
              <w:t>44,198,460</w:t>
            </w:r>
          </w:p>
        </w:tc>
        <w:tc>
          <w:tcPr>
            <w:tcW w:w="1417" w:type="dxa"/>
            <w:vAlign w:val="center"/>
          </w:tcPr>
          <w:p>
            <w:pPr>
              <w:jc w:val="right"/>
              <w:rPr>
                <w:rFonts w:ascii="宋体" w:hAnsi="宋体"/>
              </w:rPr>
            </w:pPr>
            <w:r>
              <w:rPr>
                <w:rFonts w:ascii="宋体" w:hAnsi="宋体" w:cs="宋体" w:hint="eastAsia"/>
              </w:rPr>
              <w:t>11,009,470</w:t>
            </w:r>
          </w:p>
        </w:tc>
        <w:tc>
          <w:tcPr>
            <w:tcW w:w="1418" w:type="dxa"/>
            <w:vAlign w:val="center"/>
          </w:tcPr>
          <w:p>
            <w:pPr>
              <w:jc w:val="right"/>
              <w:rPr>
                <w:rFonts w:ascii="宋体" w:hAnsi="宋体"/>
              </w:rPr>
            </w:pPr>
            <w:r>
              <w:rPr>
                <w:rFonts w:ascii="宋体" w:hAnsi="宋体" w:cs="宋体" w:hint="eastAsia"/>
              </w:rPr>
              <w:t>11,632,104</w:t>
            </w:r>
          </w:p>
        </w:tc>
        <w:tc>
          <w:tcPr>
            <w:tcW w:w="1417" w:type="dxa"/>
          </w:tcPr>
          <w:p>
            <w:pPr>
              <w:jc w:val="right"/>
              <w:rPr>
                <w:rFonts w:ascii="宋体" w:hAnsi="宋体"/>
              </w:rPr>
            </w:pPr>
            <w:r>
              <w:rPr>
                <w:rFonts w:ascii="宋体" w:hAnsi="宋体"/>
              </w:rPr>
              <w:t>3,320,330</w:t>
            </w:r>
          </w:p>
        </w:tc>
        <w:tc>
          <w:tcPr>
            <w:tcW w:w="1276" w:type="dxa"/>
          </w:tcPr>
          <w:p>
            <w:pPr>
              <w:jc w:val="right"/>
              <w:rPr>
                <w:rFonts w:ascii="宋体" w:hAnsi="宋体"/>
              </w:rPr>
            </w:pPr>
            <w:r>
              <w:rPr>
                <w:rFonts w:ascii="宋体" w:hAnsi="宋体"/>
              </w:rPr>
              <w:t>10,058,752</w:t>
            </w:r>
          </w:p>
        </w:tc>
        <w:tc>
          <w:tcPr>
            <w:tcW w:w="1417" w:type="dxa"/>
          </w:tcPr>
          <w:p>
            <w:pPr>
              <w:jc w:val="right"/>
              <w:rPr>
                <w:rFonts w:ascii="宋体" w:hAnsi="宋体"/>
              </w:rPr>
            </w:pPr>
            <w:r>
              <w:rPr>
                <w:rFonts w:ascii="宋体" w:hAnsi="宋体"/>
              </w:rPr>
              <w:t>34,833,799</w:t>
            </w:r>
          </w:p>
        </w:tc>
        <w:tc>
          <w:tcPr>
            <w:tcW w:w="1418" w:type="dxa"/>
          </w:tcPr>
          <w:p>
            <w:pPr>
              <w:jc w:val="right"/>
              <w:rPr>
                <w:rFonts w:ascii="宋体" w:hAnsi="宋体"/>
              </w:rPr>
            </w:pPr>
            <w:r>
              <w:rPr>
                <w:rFonts w:ascii="宋体" w:hAnsi="宋体"/>
              </w:rPr>
              <w:t>11,635,535</w:t>
            </w:r>
          </w:p>
        </w:tc>
        <w:tc>
          <w:tcPr>
            <w:tcW w:w="1417" w:type="dxa"/>
          </w:tcPr>
          <w:p>
            <w:pPr>
              <w:jc w:val="right"/>
              <w:rPr>
                <w:rFonts w:ascii="宋体" w:hAnsi="宋体"/>
              </w:rPr>
            </w:pPr>
            <w:r>
              <w:rPr>
                <w:rFonts w:ascii="宋体" w:hAnsi="宋体"/>
              </w:rPr>
              <w:t>11,745,816</w:t>
            </w:r>
          </w:p>
        </w:tc>
      </w:tr>
      <w:tr>
        <w:tc>
          <w:tcPr>
            <w:tcW w:w="1560" w:type="dxa"/>
            <w:vAlign w:val="center"/>
          </w:tcPr>
          <w:p>
            <w:pPr>
              <w:rPr>
                <w:rFonts w:cs="Arial"/>
                <w:color w:val="000000"/>
              </w:rPr>
            </w:pPr>
            <w:r>
              <w:rPr>
                <w:rFonts w:cs="Arial" w:hint="eastAsia"/>
                <w:color w:val="000000"/>
                <w:lang w:val="en-GB"/>
              </w:rPr>
              <w:t>资产合计</w:t>
            </w:r>
          </w:p>
        </w:tc>
        <w:tc>
          <w:tcPr>
            <w:tcW w:w="1418" w:type="dxa"/>
            <w:vAlign w:val="center"/>
          </w:tcPr>
          <w:p>
            <w:pPr>
              <w:jc w:val="right"/>
              <w:rPr>
                <w:rFonts w:ascii="宋体" w:hAnsi="宋体"/>
              </w:rPr>
            </w:pPr>
            <w:r>
              <w:rPr>
                <w:rFonts w:ascii="宋体" w:hAnsi="宋体" w:cs="宋体" w:hint="eastAsia"/>
              </w:rPr>
              <w:t>4,459,519</w:t>
            </w:r>
          </w:p>
        </w:tc>
        <w:tc>
          <w:tcPr>
            <w:tcW w:w="1417" w:type="dxa"/>
            <w:vAlign w:val="center"/>
          </w:tcPr>
          <w:p>
            <w:pPr>
              <w:jc w:val="right"/>
              <w:rPr>
                <w:rFonts w:ascii="宋体" w:hAnsi="宋体"/>
              </w:rPr>
            </w:pPr>
            <w:r>
              <w:rPr>
                <w:rFonts w:ascii="宋体" w:hAnsi="宋体" w:cs="宋体" w:hint="eastAsia"/>
              </w:rPr>
              <w:t>10,015,270</w:t>
            </w:r>
          </w:p>
        </w:tc>
        <w:tc>
          <w:tcPr>
            <w:tcW w:w="1418" w:type="dxa"/>
            <w:vAlign w:val="center"/>
          </w:tcPr>
          <w:p>
            <w:pPr>
              <w:jc w:val="right"/>
              <w:rPr>
                <w:rFonts w:ascii="宋体" w:hAnsi="宋体"/>
              </w:rPr>
            </w:pPr>
            <w:r>
              <w:rPr>
                <w:rFonts w:ascii="宋体" w:hAnsi="宋体" w:cs="宋体" w:hint="eastAsia"/>
              </w:rPr>
              <w:t>191,278,403</w:t>
            </w:r>
          </w:p>
        </w:tc>
        <w:tc>
          <w:tcPr>
            <w:tcW w:w="1417" w:type="dxa"/>
            <w:vAlign w:val="center"/>
          </w:tcPr>
          <w:p>
            <w:pPr>
              <w:jc w:val="right"/>
              <w:rPr>
                <w:rFonts w:ascii="宋体" w:hAnsi="宋体"/>
              </w:rPr>
            </w:pPr>
            <w:r>
              <w:rPr>
                <w:rFonts w:ascii="宋体" w:hAnsi="宋体" w:cs="宋体" w:hint="eastAsia"/>
              </w:rPr>
              <w:t>12,167,441</w:t>
            </w:r>
          </w:p>
        </w:tc>
        <w:tc>
          <w:tcPr>
            <w:tcW w:w="1418" w:type="dxa"/>
            <w:vAlign w:val="center"/>
          </w:tcPr>
          <w:p>
            <w:pPr>
              <w:jc w:val="right"/>
              <w:rPr>
                <w:rFonts w:ascii="宋体" w:hAnsi="宋体"/>
              </w:rPr>
            </w:pPr>
            <w:r>
              <w:rPr>
                <w:rFonts w:ascii="宋体" w:hAnsi="宋体" w:cs="宋体" w:hint="eastAsia"/>
              </w:rPr>
              <w:t>15,476,281</w:t>
            </w:r>
          </w:p>
        </w:tc>
        <w:tc>
          <w:tcPr>
            <w:tcW w:w="1417" w:type="dxa"/>
          </w:tcPr>
          <w:p>
            <w:pPr>
              <w:jc w:val="right"/>
              <w:rPr>
                <w:rFonts w:ascii="宋体" w:hAnsi="宋体"/>
              </w:rPr>
            </w:pPr>
            <w:r>
              <w:rPr>
                <w:rFonts w:ascii="宋体" w:hAnsi="宋体"/>
              </w:rPr>
              <w:t>4,284,296</w:t>
            </w:r>
          </w:p>
        </w:tc>
        <w:tc>
          <w:tcPr>
            <w:tcW w:w="1276" w:type="dxa"/>
          </w:tcPr>
          <w:p>
            <w:pPr>
              <w:jc w:val="right"/>
              <w:rPr>
                <w:rFonts w:ascii="宋体" w:hAnsi="宋体"/>
              </w:rPr>
            </w:pPr>
            <w:r>
              <w:rPr>
                <w:rFonts w:ascii="宋体" w:hAnsi="宋体"/>
              </w:rPr>
              <w:t>10,627,674</w:t>
            </w:r>
          </w:p>
        </w:tc>
        <w:tc>
          <w:tcPr>
            <w:tcW w:w="1417" w:type="dxa"/>
          </w:tcPr>
          <w:p>
            <w:pPr>
              <w:jc w:val="right"/>
              <w:rPr>
                <w:rFonts w:ascii="宋体" w:hAnsi="宋体"/>
              </w:rPr>
            </w:pPr>
            <w:r>
              <w:rPr>
                <w:rFonts w:ascii="宋体" w:hAnsi="宋体"/>
              </w:rPr>
              <w:t>169,193,759</w:t>
            </w:r>
          </w:p>
        </w:tc>
        <w:tc>
          <w:tcPr>
            <w:tcW w:w="1418" w:type="dxa"/>
          </w:tcPr>
          <w:p>
            <w:pPr>
              <w:jc w:val="right"/>
              <w:rPr>
                <w:rFonts w:ascii="宋体" w:hAnsi="宋体"/>
              </w:rPr>
            </w:pPr>
            <w:r>
              <w:rPr>
                <w:rFonts w:ascii="宋体" w:hAnsi="宋体"/>
              </w:rPr>
              <w:t>12,307,361</w:t>
            </w:r>
          </w:p>
        </w:tc>
        <w:tc>
          <w:tcPr>
            <w:tcW w:w="1417" w:type="dxa"/>
          </w:tcPr>
          <w:p>
            <w:pPr>
              <w:jc w:val="right"/>
              <w:rPr>
                <w:rFonts w:ascii="宋体" w:hAnsi="宋体"/>
              </w:rPr>
            </w:pPr>
            <w:r>
              <w:rPr>
                <w:rFonts w:ascii="宋体" w:hAnsi="宋体"/>
              </w:rPr>
              <w:t>15,248,494</w:t>
            </w:r>
          </w:p>
        </w:tc>
      </w:tr>
      <w:tr>
        <w:tc>
          <w:tcPr>
            <w:tcW w:w="1560" w:type="dxa"/>
            <w:vAlign w:val="center"/>
          </w:tcPr>
          <w:p>
            <w:pPr>
              <w:rPr>
                <w:rFonts w:cs="Arial"/>
                <w:color w:val="000000"/>
              </w:rPr>
            </w:pPr>
            <w:r>
              <w:rPr>
                <w:rFonts w:cs="Arial" w:hint="eastAsia"/>
                <w:color w:val="000000"/>
                <w:lang w:val="en-GB"/>
              </w:rPr>
              <w:t>流动负债</w:t>
            </w:r>
          </w:p>
        </w:tc>
        <w:tc>
          <w:tcPr>
            <w:tcW w:w="1418" w:type="dxa"/>
            <w:vAlign w:val="center"/>
          </w:tcPr>
          <w:p>
            <w:pPr>
              <w:jc w:val="right"/>
              <w:rPr>
                <w:rFonts w:ascii="宋体" w:hAnsi="宋体"/>
              </w:rPr>
            </w:pPr>
            <w:r>
              <w:rPr>
                <w:rFonts w:ascii="宋体" w:hAnsi="宋体" w:cs="宋体" w:hint="eastAsia"/>
              </w:rPr>
              <w:t>937,216</w:t>
            </w:r>
          </w:p>
        </w:tc>
        <w:tc>
          <w:tcPr>
            <w:tcW w:w="1417" w:type="dxa"/>
            <w:vAlign w:val="center"/>
          </w:tcPr>
          <w:p>
            <w:pPr>
              <w:jc w:val="right"/>
              <w:rPr>
                <w:rFonts w:ascii="宋体" w:hAnsi="宋体"/>
              </w:rPr>
            </w:pPr>
            <w:r>
              <w:rPr>
                <w:rFonts w:ascii="宋体" w:hAnsi="宋体" w:cs="宋体" w:hint="eastAsia"/>
              </w:rPr>
              <w:t>437,230</w:t>
            </w:r>
          </w:p>
        </w:tc>
        <w:tc>
          <w:tcPr>
            <w:tcW w:w="1418" w:type="dxa"/>
            <w:vAlign w:val="center"/>
          </w:tcPr>
          <w:p>
            <w:pPr>
              <w:jc w:val="right"/>
              <w:rPr>
                <w:rFonts w:ascii="宋体" w:hAnsi="宋体"/>
              </w:rPr>
            </w:pPr>
            <w:r>
              <w:rPr>
                <w:rFonts w:ascii="宋体" w:hAnsi="宋体" w:cs="宋体" w:hint="eastAsia"/>
              </w:rPr>
              <w:t>175,138,902</w:t>
            </w:r>
          </w:p>
        </w:tc>
        <w:tc>
          <w:tcPr>
            <w:tcW w:w="1417" w:type="dxa"/>
            <w:vAlign w:val="center"/>
          </w:tcPr>
          <w:p>
            <w:pPr>
              <w:jc w:val="right"/>
              <w:rPr>
                <w:rFonts w:ascii="宋体" w:hAnsi="宋体"/>
              </w:rPr>
            </w:pPr>
            <w:r>
              <w:rPr>
                <w:rFonts w:ascii="宋体" w:hAnsi="宋体" w:cs="宋体" w:hint="eastAsia"/>
              </w:rPr>
              <w:t>1,996,354</w:t>
            </w:r>
          </w:p>
        </w:tc>
        <w:tc>
          <w:tcPr>
            <w:tcW w:w="1418" w:type="dxa"/>
            <w:vAlign w:val="center"/>
          </w:tcPr>
          <w:p>
            <w:pPr>
              <w:jc w:val="right"/>
              <w:rPr>
                <w:rFonts w:ascii="宋体" w:hAnsi="宋体"/>
              </w:rPr>
            </w:pPr>
            <w:r>
              <w:rPr>
                <w:rFonts w:ascii="宋体" w:hAnsi="宋体" w:cs="宋体" w:hint="eastAsia"/>
              </w:rPr>
              <w:t>4,770,962</w:t>
            </w:r>
          </w:p>
        </w:tc>
        <w:tc>
          <w:tcPr>
            <w:tcW w:w="1417" w:type="dxa"/>
          </w:tcPr>
          <w:p>
            <w:pPr>
              <w:jc w:val="right"/>
              <w:rPr>
                <w:rFonts w:ascii="宋体" w:hAnsi="宋体"/>
              </w:rPr>
            </w:pPr>
            <w:r>
              <w:rPr>
                <w:rFonts w:ascii="宋体" w:hAnsi="宋体"/>
              </w:rPr>
              <w:t>519,007</w:t>
            </w:r>
          </w:p>
        </w:tc>
        <w:tc>
          <w:tcPr>
            <w:tcW w:w="1276" w:type="dxa"/>
          </w:tcPr>
          <w:p>
            <w:pPr>
              <w:jc w:val="right"/>
              <w:rPr>
                <w:rFonts w:ascii="宋体" w:hAnsi="宋体"/>
              </w:rPr>
            </w:pPr>
            <w:r>
              <w:rPr>
                <w:rFonts w:ascii="宋体" w:hAnsi="宋体"/>
              </w:rPr>
              <w:t>623,926</w:t>
            </w:r>
          </w:p>
        </w:tc>
        <w:tc>
          <w:tcPr>
            <w:tcW w:w="1417" w:type="dxa"/>
          </w:tcPr>
          <w:p>
            <w:pPr>
              <w:jc w:val="right"/>
              <w:rPr>
                <w:rFonts w:ascii="宋体" w:hAnsi="宋体"/>
              </w:rPr>
            </w:pPr>
            <w:r>
              <w:rPr>
                <w:rFonts w:ascii="宋体" w:hAnsi="宋体"/>
              </w:rPr>
              <w:t>156,028,592</w:t>
            </w:r>
          </w:p>
        </w:tc>
        <w:tc>
          <w:tcPr>
            <w:tcW w:w="1418" w:type="dxa"/>
          </w:tcPr>
          <w:p>
            <w:pPr>
              <w:jc w:val="right"/>
              <w:rPr>
                <w:rFonts w:ascii="宋体" w:hAnsi="宋体"/>
              </w:rPr>
            </w:pPr>
            <w:r>
              <w:rPr>
                <w:rFonts w:ascii="宋体" w:hAnsi="宋体"/>
              </w:rPr>
              <w:t>1,425,012</w:t>
            </w:r>
          </w:p>
        </w:tc>
        <w:tc>
          <w:tcPr>
            <w:tcW w:w="1417" w:type="dxa"/>
          </w:tcPr>
          <w:p>
            <w:pPr>
              <w:jc w:val="right"/>
              <w:rPr>
                <w:rFonts w:ascii="宋体" w:hAnsi="宋体"/>
              </w:rPr>
            </w:pPr>
            <w:r>
              <w:rPr>
                <w:rFonts w:ascii="宋体" w:hAnsi="宋体"/>
              </w:rPr>
              <w:t>3,984,923</w:t>
            </w:r>
          </w:p>
        </w:tc>
      </w:tr>
      <w:tr>
        <w:tc>
          <w:tcPr>
            <w:tcW w:w="1560" w:type="dxa"/>
            <w:vAlign w:val="center"/>
          </w:tcPr>
          <w:p>
            <w:pPr>
              <w:rPr>
                <w:rFonts w:cs="Arial"/>
                <w:color w:val="000000"/>
              </w:rPr>
            </w:pPr>
            <w:r>
              <w:rPr>
                <w:rFonts w:cs="Arial" w:hint="eastAsia"/>
                <w:color w:val="000000"/>
                <w:lang w:val="en-GB"/>
              </w:rPr>
              <w:t>非流动负债</w:t>
            </w:r>
          </w:p>
        </w:tc>
        <w:tc>
          <w:tcPr>
            <w:tcW w:w="1418" w:type="dxa"/>
            <w:vAlign w:val="center"/>
          </w:tcPr>
          <w:p>
            <w:pPr>
              <w:jc w:val="right"/>
              <w:rPr>
                <w:rFonts w:ascii="宋体" w:hAnsi="宋体"/>
              </w:rPr>
            </w:pPr>
            <w:r>
              <w:rPr>
                <w:rFonts w:ascii="宋体" w:hAnsi="宋体" w:cs="宋体" w:hint="eastAsia"/>
              </w:rPr>
              <w:t>6,221</w:t>
            </w:r>
          </w:p>
        </w:tc>
        <w:tc>
          <w:tcPr>
            <w:tcW w:w="1417" w:type="dxa"/>
            <w:vAlign w:val="center"/>
          </w:tcPr>
          <w:p>
            <w:pPr>
              <w:jc w:val="right"/>
              <w:rPr>
                <w:rFonts w:ascii="宋体" w:hAnsi="宋体"/>
              </w:rPr>
            </w:pPr>
            <w:r>
              <w:rPr>
                <w:rFonts w:ascii="宋体" w:hAnsi="宋体" w:cs="宋体" w:hint="eastAsia"/>
              </w:rPr>
              <w:t>778,160</w:t>
            </w:r>
          </w:p>
        </w:tc>
        <w:tc>
          <w:tcPr>
            <w:tcW w:w="1418" w:type="dxa"/>
            <w:vAlign w:val="center"/>
          </w:tcPr>
          <w:p>
            <w:pPr>
              <w:jc w:val="right"/>
              <w:rPr>
                <w:rFonts w:ascii="宋体" w:hAnsi="宋体"/>
              </w:rPr>
            </w:pPr>
            <w:r>
              <w:rPr>
                <w:rFonts w:ascii="宋体" w:hAnsi="宋体" w:cs="宋体" w:hint="eastAsia"/>
              </w:rPr>
              <w:t>1,742,719</w:t>
            </w:r>
          </w:p>
        </w:tc>
        <w:tc>
          <w:tcPr>
            <w:tcW w:w="1417" w:type="dxa"/>
            <w:vAlign w:val="center"/>
          </w:tcPr>
          <w:p>
            <w:pPr>
              <w:jc w:val="right"/>
              <w:rPr>
                <w:rFonts w:ascii="宋体" w:hAnsi="宋体"/>
              </w:rPr>
            </w:pPr>
            <w:r>
              <w:rPr>
                <w:rFonts w:ascii="宋体" w:hAnsi="宋体" w:cs="宋体" w:hint="eastAsia"/>
              </w:rPr>
              <w:t>5,077,822</w:t>
            </w:r>
          </w:p>
        </w:tc>
        <w:tc>
          <w:tcPr>
            <w:tcW w:w="1418" w:type="dxa"/>
            <w:vAlign w:val="center"/>
          </w:tcPr>
          <w:p>
            <w:pPr>
              <w:jc w:val="right"/>
              <w:rPr>
                <w:rFonts w:ascii="宋体" w:hAnsi="宋体"/>
              </w:rPr>
            </w:pPr>
            <w:r>
              <w:rPr>
                <w:rFonts w:ascii="宋体" w:hAnsi="宋体" w:cs="宋体" w:hint="eastAsia"/>
              </w:rPr>
              <w:t>618,737</w:t>
            </w:r>
          </w:p>
        </w:tc>
        <w:tc>
          <w:tcPr>
            <w:tcW w:w="1417" w:type="dxa"/>
          </w:tcPr>
          <w:p>
            <w:pPr>
              <w:jc w:val="right"/>
              <w:rPr>
                <w:rFonts w:ascii="宋体" w:hAnsi="宋体"/>
              </w:rPr>
            </w:pPr>
            <w:r>
              <w:rPr>
                <w:rFonts w:ascii="宋体" w:hAnsi="宋体"/>
              </w:rPr>
              <w:t>76,935</w:t>
            </w:r>
          </w:p>
        </w:tc>
        <w:tc>
          <w:tcPr>
            <w:tcW w:w="1276" w:type="dxa"/>
          </w:tcPr>
          <w:p>
            <w:pPr>
              <w:jc w:val="right"/>
              <w:rPr>
                <w:rFonts w:ascii="宋体" w:hAnsi="宋体"/>
              </w:rPr>
            </w:pPr>
            <w:r>
              <w:rPr>
                <w:rFonts w:ascii="宋体" w:hAnsi="宋体"/>
              </w:rPr>
              <w:t>1,010,950</w:t>
            </w:r>
          </w:p>
        </w:tc>
        <w:tc>
          <w:tcPr>
            <w:tcW w:w="1417" w:type="dxa"/>
          </w:tcPr>
          <w:p>
            <w:pPr>
              <w:jc w:val="right"/>
              <w:rPr>
                <w:rFonts w:ascii="宋体" w:hAnsi="宋体"/>
              </w:rPr>
            </w:pPr>
            <w:r>
              <w:rPr>
                <w:rFonts w:ascii="宋体" w:hAnsi="宋体"/>
              </w:rPr>
              <w:t>1,368,979</w:t>
            </w:r>
          </w:p>
        </w:tc>
        <w:tc>
          <w:tcPr>
            <w:tcW w:w="1418" w:type="dxa"/>
          </w:tcPr>
          <w:p>
            <w:pPr>
              <w:jc w:val="right"/>
              <w:rPr>
                <w:rFonts w:ascii="宋体" w:hAnsi="宋体"/>
              </w:rPr>
            </w:pPr>
            <w:r>
              <w:rPr>
                <w:rFonts w:ascii="宋体" w:hAnsi="宋体"/>
              </w:rPr>
              <w:t>5,857,785</w:t>
            </w:r>
          </w:p>
        </w:tc>
        <w:tc>
          <w:tcPr>
            <w:tcW w:w="1417" w:type="dxa"/>
          </w:tcPr>
          <w:p>
            <w:pPr>
              <w:jc w:val="right"/>
              <w:rPr>
                <w:rFonts w:ascii="宋体" w:hAnsi="宋体"/>
              </w:rPr>
            </w:pPr>
            <w:r>
              <w:rPr>
                <w:rFonts w:ascii="宋体" w:hAnsi="宋体"/>
              </w:rPr>
              <w:t>2,352,262</w:t>
            </w:r>
          </w:p>
        </w:tc>
      </w:tr>
      <w:tr>
        <w:tc>
          <w:tcPr>
            <w:tcW w:w="1560" w:type="dxa"/>
            <w:vAlign w:val="center"/>
          </w:tcPr>
          <w:p>
            <w:pPr>
              <w:rPr>
                <w:rFonts w:cs="Arial"/>
                <w:color w:val="000000"/>
              </w:rPr>
            </w:pPr>
            <w:r>
              <w:rPr>
                <w:rFonts w:cs="Arial" w:hint="eastAsia"/>
                <w:color w:val="000000"/>
                <w:lang w:val="en-GB"/>
              </w:rPr>
              <w:t>负债合计</w:t>
            </w:r>
          </w:p>
        </w:tc>
        <w:tc>
          <w:tcPr>
            <w:tcW w:w="1418" w:type="dxa"/>
            <w:vAlign w:val="center"/>
          </w:tcPr>
          <w:p>
            <w:pPr>
              <w:jc w:val="right"/>
              <w:rPr>
                <w:rFonts w:ascii="宋体" w:hAnsi="宋体"/>
              </w:rPr>
            </w:pPr>
            <w:r>
              <w:rPr>
                <w:rFonts w:ascii="宋体" w:hAnsi="宋体" w:cs="宋体" w:hint="eastAsia"/>
              </w:rPr>
              <w:t>943,437</w:t>
            </w:r>
          </w:p>
        </w:tc>
        <w:tc>
          <w:tcPr>
            <w:tcW w:w="1417" w:type="dxa"/>
            <w:vAlign w:val="center"/>
          </w:tcPr>
          <w:p>
            <w:pPr>
              <w:jc w:val="right"/>
              <w:rPr>
                <w:rFonts w:ascii="宋体" w:hAnsi="宋体"/>
              </w:rPr>
            </w:pPr>
            <w:r>
              <w:rPr>
                <w:rFonts w:ascii="宋体" w:hAnsi="宋体" w:cs="宋体" w:hint="eastAsia"/>
              </w:rPr>
              <w:t>1,215,390</w:t>
            </w:r>
          </w:p>
        </w:tc>
        <w:tc>
          <w:tcPr>
            <w:tcW w:w="1418" w:type="dxa"/>
            <w:vAlign w:val="center"/>
          </w:tcPr>
          <w:p>
            <w:pPr>
              <w:jc w:val="right"/>
              <w:rPr>
                <w:rFonts w:ascii="宋体" w:hAnsi="宋体"/>
              </w:rPr>
            </w:pPr>
            <w:r>
              <w:rPr>
                <w:rFonts w:ascii="宋体" w:hAnsi="宋体" w:cs="宋体" w:hint="eastAsia"/>
              </w:rPr>
              <w:t>176,881,621</w:t>
            </w:r>
          </w:p>
        </w:tc>
        <w:tc>
          <w:tcPr>
            <w:tcW w:w="1417" w:type="dxa"/>
            <w:vAlign w:val="center"/>
          </w:tcPr>
          <w:p>
            <w:pPr>
              <w:jc w:val="right"/>
              <w:rPr>
                <w:rFonts w:ascii="宋体" w:hAnsi="宋体"/>
              </w:rPr>
            </w:pPr>
            <w:r>
              <w:rPr>
                <w:rFonts w:ascii="宋体" w:hAnsi="宋体" w:cs="宋体" w:hint="eastAsia"/>
              </w:rPr>
              <w:t>7,074,176</w:t>
            </w:r>
          </w:p>
        </w:tc>
        <w:tc>
          <w:tcPr>
            <w:tcW w:w="1418" w:type="dxa"/>
            <w:vAlign w:val="center"/>
          </w:tcPr>
          <w:p>
            <w:pPr>
              <w:jc w:val="right"/>
              <w:rPr>
                <w:rFonts w:ascii="宋体" w:hAnsi="宋体"/>
              </w:rPr>
            </w:pPr>
            <w:r>
              <w:rPr>
                <w:rFonts w:ascii="宋体" w:hAnsi="宋体" w:cs="宋体" w:hint="eastAsia"/>
              </w:rPr>
              <w:t>5,389,699</w:t>
            </w:r>
          </w:p>
        </w:tc>
        <w:tc>
          <w:tcPr>
            <w:tcW w:w="1417" w:type="dxa"/>
          </w:tcPr>
          <w:p>
            <w:pPr>
              <w:jc w:val="right"/>
              <w:rPr>
                <w:rFonts w:ascii="宋体" w:hAnsi="宋体"/>
              </w:rPr>
            </w:pPr>
            <w:r>
              <w:rPr>
                <w:rFonts w:ascii="宋体" w:hAnsi="宋体"/>
              </w:rPr>
              <w:t>595,942</w:t>
            </w:r>
          </w:p>
        </w:tc>
        <w:tc>
          <w:tcPr>
            <w:tcW w:w="1276" w:type="dxa"/>
          </w:tcPr>
          <w:p>
            <w:pPr>
              <w:jc w:val="right"/>
              <w:rPr>
                <w:rFonts w:ascii="宋体" w:hAnsi="宋体"/>
              </w:rPr>
            </w:pPr>
            <w:r>
              <w:rPr>
                <w:rFonts w:ascii="宋体" w:hAnsi="宋体"/>
              </w:rPr>
              <w:t>1,634,876</w:t>
            </w:r>
          </w:p>
        </w:tc>
        <w:tc>
          <w:tcPr>
            <w:tcW w:w="1417" w:type="dxa"/>
          </w:tcPr>
          <w:p>
            <w:pPr>
              <w:jc w:val="right"/>
              <w:rPr>
                <w:rFonts w:ascii="宋体" w:hAnsi="宋体"/>
              </w:rPr>
            </w:pPr>
            <w:r>
              <w:rPr>
                <w:rFonts w:ascii="宋体" w:hAnsi="宋体"/>
              </w:rPr>
              <w:t>157,397,571</w:t>
            </w:r>
          </w:p>
        </w:tc>
        <w:tc>
          <w:tcPr>
            <w:tcW w:w="1418" w:type="dxa"/>
          </w:tcPr>
          <w:p>
            <w:pPr>
              <w:jc w:val="right"/>
              <w:rPr>
                <w:rFonts w:ascii="宋体" w:hAnsi="宋体"/>
              </w:rPr>
            </w:pPr>
            <w:r>
              <w:rPr>
                <w:rFonts w:ascii="宋体" w:hAnsi="宋体"/>
              </w:rPr>
              <w:t>7,282,797</w:t>
            </w:r>
          </w:p>
        </w:tc>
        <w:tc>
          <w:tcPr>
            <w:tcW w:w="1417" w:type="dxa"/>
          </w:tcPr>
          <w:p>
            <w:pPr>
              <w:jc w:val="right"/>
              <w:rPr>
                <w:rFonts w:ascii="宋体" w:hAnsi="宋体"/>
              </w:rPr>
            </w:pPr>
            <w:r>
              <w:rPr>
                <w:rFonts w:ascii="宋体" w:hAnsi="宋体"/>
              </w:rPr>
              <w:t>6,337,185</w:t>
            </w:r>
          </w:p>
        </w:tc>
      </w:tr>
      <w:tr>
        <w:tc>
          <w:tcPr>
            <w:tcW w:w="1560" w:type="dxa"/>
            <w:vAlign w:val="center"/>
          </w:tcPr>
          <w:p>
            <w:pPr>
              <w:rPr>
                <w:rFonts w:cs="Arial"/>
                <w:color w:val="000000"/>
                <w:lang w:val="en-GB"/>
              </w:rPr>
            </w:pPr>
            <w:r>
              <w:rPr>
                <w:rFonts w:cs="Arial" w:hint="eastAsia"/>
                <w:color w:val="000000"/>
                <w:lang w:val="en-GB"/>
              </w:rPr>
              <w:t>其他权益工具</w:t>
            </w:r>
          </w:p>
        </w:tc>
        <w:tc>
          <w:tcPr>
            <w:tcW w:w="1418" w:type="dxa"/>
            <w:vAlign w:val="center"/>
          </w:tcPr>
          <w:p>
            <w:pPr>
              <w:jc w:val="right"/>
              <w:rPr>
                <w:rFonts w:ascii="宋体" w:hAnsi="宋体"/>
              </w:rPr>
            </w:pPr>
          </w:p>
        </w:tc>
        <w:tc>
          <w:tcPr>
            <w:tcW w:w="1417"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cs="宋体" w:hint="eastAsia"/>
              </w:rPr>
              <w:t>1,998,493</w:t>
            </w:r>
          </w:p>
        </w:tc>
        <w:tc>
          <w:tcPr>
            <w:tcW w:w="1417" w:type="dxa"/>
            <w:vAlign w:val="center"/>
          </w:tcPr>
          <w:p>
            <w:pPr>
              <w:jc w:val="right"/>
              <w:rPr>
                <w:rFonts w:ascii="宋体" w:hAnsi="宋体"/>
              </w:rPr>
            </w:pPr>
          </w:p>
        </w:tc>
        <w:tc>
          <w:tcPr>
            <w:tcW w:w="1418" w:type="dxa"/>
            <w:vAlign w:val="center"/>
          </w:tcPr>
          <w:p>
            <w:pPr>
              <w:jc w:val="right"/>
              <w:rPr>
                <w:rFonts w:ascii="宋体" w:hAnsi="宋体"/>
              </w:rPr>
            </w:pPr>
          </w:p>
        </w:tc>
        <w:tc>
          <w:tcPr>
            <w:tcW w:w="1417" w:type="dxa"/>
          </w:tcPr>
          <w:p>
            <w:pPr>
              <w:jc w:val="right"/>
              <w:rPr>
                <w:rFonts w:ascii="宋体" w:hAnsi="宋体"/>
              </w:rPr>
            </w:pPr>
          </w:p>
        </w:tc>
        <w:tc>
          <w:tcPr>
            <w:tcW w:w="1276" w:type="dxa"/>
          </w:tcPr>
          <w:p>
            <w:pPr>
              <w:jc w:val="right"/>
              <w:rPr>
                <w:rFonts w:ascii="宋体" w:hAnsi="宋体"/>
              </w:rPr>
            </w:pPr>
          </w:p>
        </w:tc>
        <w:tc>
          <w:tcPr>
            <w:tcW w:w="1417" w:type="dxa"/>
          </w:tcPr>
          <w:p>
            <w:pPr>
              <w:jc w:val="right"/>
              <w:rPr>
                <w:rFonts w:ascii="宋体" w:hAnsi="宋体"/>
              </w:rPr>
            </w:pPr>
            <w:r>
              <w:rPr>
                <w:rFonts w:ascii="宋体" w:hAnsi="宋体"/>
              </w:rPr>
              <w:t>1,998,493</w:t>
            </w:r>
          </w:p>
        </w:tc>
        <w:tc>
          <w:tcPr>
            <w:tcW w:w="1418" w:type="dxa"/>
          </w:tcPr>
          <w:p>
            <w:pPr>
              <w:jc w:val="right"/>
              <w:rPr>
                <w:rFonts w:ascii="宋体" w:hAnsi="宋体"/>
              </w:rPr>
            </w:pPr>
          </w:p>
        </w:tc>
        <w:tc>
          <w:tcPr>
            <w:tcW w:w="1417" w:type="dxa"/>
          </w:tcPr>
          <w:p>
            <w:pPr>
              <w:jc w:val="right"/>
              <w:rPr>
                <w:rFonts w:ascii="宋体" w:hAnsi="宋体"/>
              </w:rPr>
            </w:pPr>
          </w:p>
        </w:tc>
      </w:tr>
      <w:tr>
        <w:tc>
          <w:tcPr>
            <w:tcW w:w="1560" w:type="dxa"/>
            <w:vAlign w:val="center"/>
          </w:tcPr>
          <w:p>
            <w:pPr>
              <w:rPr>
                <w:rFonts w:cs="Arial"/>
                <w:color w:val="000000"/>
              </w:rPr>
            </w:pPr>
            <w:r>
              <w:rPr>
                <w:rFonts w:cs="Arial" w:hint="eastAsia"/>
                <w:color w:val="000000"/>
                <w:lang w:val="en-GB"/>
              </w:rPr>
              <w:t>少数股东权益</w:t>
            </w:r>
          </w:p>
        </w:tc>
        <w:tc>
          <w:tcPr>
            <w:tcW w:w="1418"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cs="宋体" w:hint="eastAsia"/>
              </w:rPr>
              <w:t>359,844</w:t>
            </w:r>
          </w:p>
        </w:tc>
        <w:tc>
          <w:tcPr>
            <w:tcW w:w="1418" w:type="dxa"/>
            <w:vAlign w:val="center"/>
          </w:tcPr>
          <w:p>
            <w:pPr>
              <w:jc w:val="right"/>
              <w:rPr>
                <w:rFonts w:ascii="宋体" w:hAnsi="宋体"/>
              </w:rPr>
            </w:pPr>
          </w:p>
        </w:tc>
        <w:tc>
          <w:tcPr>
            <w:tcW w:w="1417"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cs="宋体" w:hint="eastAsia"/>
              </w:rPr>
              <w:t>11,074</w:t>
            </w:r>
          </w:p>
        </w:tc>
        <w:tc>
          <w:tcPr>
            <w:tcW w:w="1417" w:type="dxa"/>
            <w:vAlign w:val="center"/>
          </w:tcPr>
          <w:p>
            <w:pPr>
              <w:jc w:val="right"/>
            </w:pPr>
          </w:p>
        </w:tc>
        <w:tc>
          <w:tcPr>
            <w:tcW w:w="1276" w:type="dxa"/>
            <w:vAlign w:val="center"/>
          </w:tcPr>
          <w:p>
            <w:pPr>
              <w:jc w:val="right"/>
              <w:rPr>
                <w:rFonts w:ascii="宋体" w:hAnsi="宋体"/>
              </w:rPr>
            </w:pPr>
            <w:r>
              <w:rPr>
                <w:rFonts w:ascii="宋体" w:hAnsi="宋体"/>
              </w:rPr>
              <w:t>378,916</w:t>
            </w:r>
          </w:p>
        </w:tc>
        <w:tc>
          <w:tcPr>
            <w:tcW w:w="1417" w:type="dxa"/>
            <w:vAlign w:val="center"/>
          </w:tcPr>
          <w:p>
            <w:pPr>
              <w:jc w:val="right"/>
              <w:rPr>
                <w:rFonts w:ascii="宋体" w:hAnsi="宋体"/>
              </w:rPr>
            </w:pPr>
          </w:p>
        </w:tc>
        <w:tc>
          <w:tcPr>
            <w:tcW w:w="1418" w:type="dxa"/>
            <w:vAlign w:val="center"/>
          </w:tcPr>
          <w:p>
            <w:pPr>
              <w:jc w:val="right"/>
              <w:rPr>
                <w:rFonts w:ascii="宋体" w:hAnsi="宋体"/>
              </w:rPr>
            </w:pPr>
          </w:p>
        </w:tc>
        <w:tc>
          <w:tcPr>
            <w:tcW w:w="1417" w:type="dxa"/>
            <w:vAlign w:val="center"/>
          </w:tcPr>
          <w:p>
            <w:pPr>
              <w:jc w:val="right"/>
              <w:rPr>
                <w:rFonts w:ascii="宋体" w:hAnsi="宋体"/>
              </w:rPr>
            </w:pPr>
          </w:p>
        </w:tc>
      </w:tr>
      <w:tr>
        <w:tc>
          <w:tcPr>
            <w:tcW w:w="1560" w:type="dxa"/>
            <w:vAlign w:val="center"/>
          </w:tcPr>
          <w:p>
            <w:pPr>
              <w:rPr>
                <w:rFonts w:cs="Arial"/>
                <w:color w:val="000000"/>
              </w:rPr>
            </w:pPr>
            <w:r>
              <w:rPr>
                <w:rFonts w:cs="Arial" w:hint="eastAsia"/>
                <w:color w:val="000000"/>
                <w:lang w:val="en-GB"/>
              </w:rPr>
              <w:t>归属于母公司股东权益</w:t>
            </w:r>
          </w:p>
        </w:tc>
        <w:tc>
          <w:tcPr>
            <w:tcW w:w="1418" w:type="dxa"/>
            <w:vAlign w:val="center"/>
          </w:tcPr>
          <w:p>
            <w:pPr>
              <w:jc w:val="right"/>
              <w:rPr>
                <w:rFonts w:ascii="宋体" w:hAnsi="宋体"/>
              </w:rPr>
            </w:pPr>
            <w:r>
              <w:rPr>
                <w:rFonts w:ascii="宋体" w:hAnsi="宋体" w:cs="宋体" w:hint="eastAsia"/>
              </w:rPr>
              <w:t>3,516,082</w:t>
            </w:r>
          </w:p>
        </w:tc>
        <w:tc>
          <w:tcPr>
            <w:tcW w:w="1417" w:type="dxa"/>
            <w:vAlign w:val="center"/>
          </w:tcPr>
          <w:p>
            <w:pPr>
              <w:jc w:val="right"/>
              <w:rPr>
                <w:rFonts w:ascii="宋体" w:hAnsi="宋体"/>
              </w:rPr>
            </w:pPr>
            <w:r>
              <w:rPr>
                <w:rFonts w:ascii="宋体" w:hAnsi="宋体" w:cs="宋体" w:hint="eastAsia"/>
              </w:rPr>
              <w:t>8,440,036</w:t>
            </w:r>
          </w:p>
        </w:tc>
        <w:tc>
          <w:tcPr>
            <w:tcW w:w="1418" w:type="dxa"/>
            <w:vAlign w:val="center"/>
          </w:tcPr>
          <w:p>
            <w:pPr>
              <w:jc w:val="right"/>
              <w:rPr>
                <w:rFonts w:ascii="宋体" w:hAnsi="宋体"/>
              </w:rPr>
            </w:pPr>
            <w:r>
              <w:rPr>
                <w:rFonts w:ascii="宋体" w:hAnsi="宋体" w:cs="宋体" w:hint="eastAsia"/>
              </w:rPr>
              <w:t>14,396,782</w:t>
            </w:r>
          </w:p>
        </w:tc>
        <w:tc>
          <w:tcPr>
            <w:tcW w:w="1417" w:type="dxa"/>
            <w:vAlign w:val="center"/>
          </w:tcPr>
          <w:p>
            <w:pPr>
              <w:jc w:val="right"/>
              <w:rPr>
                <w:rFonts w:ascii="宋体" w:hAnsi="宋体"/>
              </w:rPr>
            </w:pPr>
            <w:r>
              <w:rPr>
                <w:rFonts w:ascii="宋体" w:hAnsi="宋体" w:cs="宋体" w:hint="eastAsia"/>
              </w:rPr>
              <w:t>5,093,265</w:t>
            </w:r>
          </w:p>
        </w:tc>
        <w:tc>
          <w:tcPr>
            <w:tcW w:w="1418" w:type="dxa"/>
            <w:vAlign w:val="center"/>
          </w:tcPr>
          <w:p>
            <w:pPr>
              <w:jc w:val="right"/>
              <w:rPr>
                <w:rFonts w:ascii="宋体" w:hAnsi="宋体"/>
              </w:rPr>
            </w:pPr>
            <w:r>
              <w:rPr>
                <w:rFonts w:ascii="宋体" w:hAnsi="宋体" w:cs="宋体" w:hint="eastAsia"/>
              </w:rPr>
              <w:t>10,075,508</w:t>
            </w:r>
          </w:p>
        </w:tc>
        <w:tc>
          <w:tcPr>
            <w:tcW w:w="1417" w:type="dxa"/>
            <w:vAlign w:val="center"/>
          </w:tcPr>
          <w:p>
            <w:pPr>
              <w:jc w:val="right"/>
              <w:rPr>
                <w:rFonts w:ascii="宋体" w:hAnsi="宋体"/>
              </w:rPr>
            </w:pPr>
            <w:r>
              <w:rPr>
                <w:rFonts w:ascii="宋体" w:hAnsi="宋体" w:hint="eastAsia"/>
              </w:rPr>
              <w:t>3,688,354</w:t>
            </w:r>
          </w:p>
        </w:tc>
        <w:tc>
          <w:tcPr>
            <w:tcW w:w="1276" w:type="dxa"/>
            <w:vAlign w:val="center"/>
          </w:tcPr>
          <w:p>
            <w:pPr>
              <w:jc w:val="right"/>
              <w:rPr>
                <w:rFonts w:ascii="宋体" w:hAnsi="宋体"/>
              </w:rPr>
            </w:pPr>
            <w:r>
              <w:rPr>
                <w:rFonts w:ascii="宋体" w:hAnsi="宋体"/>
              </w:rPr>
              <w:t>8,613,882</w:t>
            </w:r>
          </w:p>
        </w:tc>
        <w:tc>
          <w:tcPr>
            <w:tcW w:w="1417" w:type="dxa"/>
            <w:vAlign w:val="center"/>
          </w:tcPr>
          <w:p>
            <w:pPr>
              <w:jc w:val="right"/>
              <w:rPr>
                <w:rFonts w:ascii="宋体" w:hAnsi="宋体"/>
              </w:rPr>
            </w:pPr>
            <w:r>
              <w:rPr>
                <w:rFonts w:ascii="宋体" w:hAnsi="宋体"/>
              </w:rPr>
              <w:t>11,796,188</w:t>
            </w:r>
          </w:p>
        </w:tc>
        <w:tc>
          <w:tcPr>
            <w:tcW w:w="1418" w:type="dxa"/>
            <w:vAlign w:val="center"/>
          </w:tcPr>
          <w:p>
            <w:pPr>
              <w:jc w:val="right"/>
              <w:rPr>
                <w:rFonts w:ascii="宋体" w:hAnsi="宋体"/>
              </w:rPr>
            </w:pPr>
            <w:r>
              <w:rPr>
                <w:rFonts w:ascii="宋体" w:hAnsi="宋体"/>
              </w:rPr>
              <w:t>5,024,564</w:t>
            </w:r>
          </w:p>
        </w:tc>
        <w:tc>
          <w:tcPr>
            <w:tcW w:w="1417" w:type="dxa"/>
            <w:vAlign w:val="center"/>
          </w:tcPr>
          <w:p>
            <w:pPr>
              <w:jc w:val="right"/>
              <w:rPr>
                <w:rFonts w:ascii="宋体" w:hAnsi="宋体"/>
              </w:rPr>
            </w:pPr>
            <w:r>
              <w:rPr>
                <w:rFonts w:ascii="宋体" w:hAnsi="宋体"/>
              </w:rPr>
              <w:t>8,911,309</w:t>
            </w:r>
          </w:p>
        </w:tc>
      </w:tr>
      <w:tr>
        <w:tc>
          <w:tcPr>
            <w:tcW w:w="1560" w:type="dxa"/>
            <w:vAlign w:val="center"/>
          </w:tcPr>
          <w:p>
            <w:pPr>
              <w:rPr>
                <w:rFonts w:cs="Arial"/>
                <w:color w:val="000000"/>
              </w:rPr>
            </w:pPr>
            <w:r>
              <w:rPr>
                <w:rFonts w:cs="Arial" w:hint="eastAsia"/>
                <w:color w:val="000000"/>
                <w:lang w:val="en-GB"/>
              </w:rPr>
              <w:t>按持股比例计算的净资产份额</w:t>
            </w:r>
          </w:p>
        </w:tc>
        <w:tc>
          <w:tcPr>
            <w:tcW w:w="1418" w:type="dxa"/>
            <w:vAlign w:val="center"/>
          </w:tcPr>
          <w:p>
            <w:pPr>
              <w:jc w:val="right"/>
              <w:rPr>
                <w:rFonts w:ascii="宋体" w:hAnsi="宋体"/>
              </w:rPr>
            </w:pPr>
            <w:r>
              <w:rPr>
                <w:rFonts w:ascii="宋体" w:hAnsi="宋体" w:cs="宋体" w:hint="eastAsia"/>
              </w:rPr>
              <w:t>1,054,825</w:t>
            </w:r>
          </w:p>
        </w:tc>
        <w:tc>
          <w:tcPr>
            <w:tcW w:w="1417" w:type="dxa"/>
            <w:vAlign w:val="center"/>
          </w:tcPr>
          <w:p>
            <w:pPr>
              <w:jc w:val="right"/>
              <w:rPr>
                <w:rFonts w:ascii="宋体" w:hAnsi="宋体"/>
              </w:rPr>
            </w:pPr>
            <w:r>
              <w:rPr>
                <w:rFonts w:ascii="宋体" w:hAnsi="宋体" w:cs="宋体" w:hint="eastAsia"/>
              </w:rPr>
              <w:t>1,598,543</w:t>
            </w:r>
          </w:p>
        </w:tc>
        <w:tc>
          <w:tcPr>
            <w:tcW w:w="1418" w:type="dxa"/>
            <w:vAlign w:val="center"/>
          </w:tcPr>
          <w:p>
            <w:pPr>
              <w:jc w:val="right"/>
              <w:rPr>
                <w:rFonts w:ascii="宋体" w:hAnsi="宋体"/>
              </w:rPr>
            </w:pPr>
            <w:r>
              <w:rPr>
                <w:rFonts w:ascii="宋体" w:hAnsi="宋体" w:cs="宋体" w:hint="eastAsia"/>
              </w:rPr>
              <w:t>2,037,145</w:t>
            </w:r>
          </w:p>
        </w:tc>
        <w:tc>
          <w:tcPr>
            <w:tcW w:w="1417" w:type="dxa"/>
            <w:vAlign w:val="center"/>
          </w:tcPr>
          <w:p>
            <w:pPr>
              <w:jc w:val="right"/>
              <w:rPr>
                <w:rFonts w:ascii="宋体" w:hAnsi="宋体"/>
              </w:rPr>
            </w:pPr>
            <w:r>
              <w:rPr>
                <w:rFonts w:ascii="宋体" w:hAnsi="宋体" w:cs="宋体" w:hint="eastAsia"/>
              </w:rPr>
              <w:t>2,291,969</w:t>
            </w:r>
          </w:p>
        </w:tc>
        <w:tc>
          <w:tcPr>
            <w:tcW w:w="1418" w:type="dxa"/>
            <w:vAlign w:val="center"/>
          </w:tcPr>
          <w:p>
            <w:pPr>
              <w:jc w:val="right"/>
              <w:rPr>
                <w:rFonts w:ascii="宋体" w:hAnsi="宋体"/>
              </w:rPr>
            </w:pPr>
            <w:r>
              <w:rPr>
                <w:rFonts w:ascii="宋体" w:hAnsi="宋体" w:cs="宋体" w:hint="eastAsia"/>
              </w:rPr>
              <w:t>4,458,172</w:t>
            </w:r>
          </w:p>
        </w:tc>
        <w:tc>
          <w:tcPr>
            <w:tcW w:w="1417" w:type="dxa"/>
            <w:vAlign w:val="center"/>
          </w:tcPr>
          <w:p>
            <w:pPr>
              <w:jc w:val="right"/>
              <w:rPr>
                <w:rFonts w:ascii="宋体" w:hAnsi="宋体"/>
              </w:rPr>
            </w:pPr>
            <w:r>
              <w:rPr>
                <w:rFonts w:ascii="宋体" w:hAnsi="宋体"/>
              </w:rPr>
              <w:t>1,108,667</w:t>
            </w:r>
          </w:p>
        </w:tc>
        <w:tc>
          <w:tcPr>
            <w:tcW w:w="1276" w:type="dxa"/>
            <w:vAlign w:val="center"/>
          </w:tcPr>
          <w:p>
            <w:pPr>
              <w:jc w:val="right"/>
              <w:rPr>
                <w:rFonts w:ascii="宋体" w:hAnsi="宋体"/>
              </w:rPr>
            </w:pPr>
            <w:r>
              <w:rPr>
                <w:rFonts w:ascii="宋体" w:hAnsi="宋体"/>
              </w:rPr>
              <w:t>1,631,478</w:t>
            </w:r>
          </w:p>
        </w:tc>
        <w:tc>
          <w:tcPr>
            <w:tcW w:w="1417" w:type="dxa"/>
            <w:vAlign w:val="center"/>
          </w:tcPr>
          <w:p>
            <w:pPr>
              <w:jc w:val="right"/>
              <w:rPr>
                <w:rFonts w:ascii="宋体" w:hAnsi="宋体"/>
              </w:rPr>
            </w:pPr>
            <w:r>
              <w:rPr>
                <w:rFonts w:ascii="宋体" w:hAnsi="宋体"/>
              </w:rPr>
              <w:t>2,005,352</w:t>
            </w:r>
          </w:p>
        </w:tc>
        <w:tc>
          <w:tcPr>
            <w:tcW w:w="1418" w:type="dxa"/>
            <w:vAlign w:val="center"/>
          </w:tcPr>
          <w:p>
            <w:pPr>
              <w:jc w:val="right"/>
              <w:rPr>
                <w:rFonts w:ascii="宋体" w:hAnsi="宋体"/>
              </w:rPr>
            </w:pPr>
            <w:r>
              <w:rPr>
                <w:rFonts w:ascii="宋体" w:hAnsi="宋体"/>
              </w:rPr>
              <w:t>2,099,069</w:t>
            </w:r>
          </w:p>
        </w:tc>
        <w:tc>
          <w:tcPr>
            <w:tcW w:w="1417" w:type="dxa"/>
            <w:vAlign w:val="center"/>
          </w:tcPr>
          <w:p>
            <w:pPr>
              <w:jc w:val="right"/>
              <w:rPr>
                <w:rFonts w:ascii="宋体" w:hAnsi="宋体"/>
              </w:rPr>
            </w:pPr>
            <w:r>
              <w:rPr>
                <w:rFonts w:ascii="宋体" w:hAnsi="宋体"/>
              </w:rPr>
              <w:t>3,926,322</w:t>
            </w:r>
          </w:p>
        </w:tc>
      </w:tr>
      <w:tr>
        <w:tc>
          <w:tcPr>
            <w:tcW w:w="1560" w:type="dxa"/>
            <w:vAlign w:val="center"/>
          </w:tcPr>
          <w:p>
            <w:pPr>
              <w:rPr>
                <w:rFonts w:cs="Arial"/>
                <w:color w:val="000000"/>
              </w:rPr>
            </w:pPr>
            <w:r>
              <w:rPr>
                <w:rFonts w:cs="Arial"/>
                <w:color w:val="000000"/>
              </w:rPr>
              <w:t>--</w:t>
            </w:r>
            <w:r>
              <w:rPr>
                <w:rFonts w:cs="Arial" w:hint="eastAsia"/>
                <w:color w:val="000000"/>
                <w:lang w:val="en-GB"/>
              </w:rPr>
              <w:t>其他</w:t>
            </w:r>
          </w:p>
        </w:tc>
        <w:tc>
          <w:tcPr>
            <w:tcW w:w="1418"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cs="宋体" w:hint="eastAsia"/>
              </w:rPr>
              <w:t>-591,271</w:t>
            </w:r>
          </w:p>
        </w:tc>
        <w:tc>
          <w:tcPr>
            <w:tcW w:w="1418" w:type="dxa"/>
            <w:vAlign w:val="center"/>
          </w:tcPr>
          <w:p>
            <w:pPr>
              <w:jc w:val="right"/>
              <w:rPr>
                <w:rFonts w:ascii="宋体" w:hAnsi="宋体"/>
              </w:rPr>
            </w:pPr>
            <w:r>
              <w:rPr>
                <w:rFonts w:ascii="宋体" w:hAnsi="宋体" w:cs="宋体" w:hint="eastAsia"/>
              </w:rPr>
              <w:t>-295,684</w:t>
            </w:r>
          </w:p>
        </w:tc>
        <w:tc>
          <w:tcPr>
            <w:tcW w:w="1417" w:type="dxa"/>
            <w:vAlign w:val="center"/>
          </w:tcPr>
          <w:p>
            <w:pPr>
              <w:jc w:val="right"/>
              <w:rPr>
                <w:rFonts w:ascii="宋体" w:hAnsi="宋体"/>
              </w:rPr>
            </w:pPr>
            <w:r>
              <w:rPr>
                <w:rFonts w:ascii="宋体" w:hAnsi="宋体" w:cs="宋体" w:hint="eastAsia"/>
              </w:rPr>
              <w:t>11,414</w:t>
            </w:r>
          </w:p>
        </w:tc>
        <w:tc>
          <w:tcPr>
            <w:tcW w:w="1418" w:type="dxa"/>
            <w:vAlign w:val="center"/>
          </w:tcPr>
          <w:p>
            <w:pPr>
              <w:jc w:val="right"/>
              <w:rPr>
                <w:rFonts w:ascii="宋体" w:hAnsi="宋体"/>
              </w:rPr>
            </w:pPr>
            <w:r>
              <w:rPr>
                <w:rFonts w:ascii="宋体" w:hAnsi="宋体" w:cs="宋体" w:hint="eastAsia"/>
              </w:rPr>
              <w:t>-848,366</w:t>
            </w:r>
          </w:p>
        </w:tc>
        <w:tc>
          <w:tcPr>
            <w:tcW w:w="1417" w:type="dxa"/>
            <w:vAlign w:val="center"/>
          </w:tcPr>
          <w:p>
            <w:pPr>
              <w:jc w:val="right"/>
              <w:rPr>
                <w:rFonts w:ascii="宋体" w:hAnsi="宋体"/>
              </w:rPr>
            </w:pPr>
            <w:r>
              <w:rPr>
                <w:rFonts w:ascii="宋体" w:hAnsi="宋体"/>
              </w:rPr>
              <w:t>6,247</w:t>
            </w:r>
          </w:p>
        </w:tc>
        <w:tc>
          <w:tcPr>
            <w:tcW w:w="1276" w:type="dxa"/>
            <w:vAlign w:val="center"/>
          </w:tcPr>
          <w:p>
            <w:pPr>
              <w:jc w:val="right"/>
              <w:rPr>
                <w:rFonts w:ascii="宋体" w:hAnsi="宋体"/>
              </w:rPr>
            </w:pPr>
            <w:r>
              <w:rPr>
                <w:rFonts w:ascii="宋体" w:hAnsi="宋体"/>
              </w:rPr>
              <w:t>-590,070</w:t>
            </w:r>
          </w:p>
        </w:tc>
        <w:tc>
          <w:tcPr>
            <w:tcW w:w="1417" w:type="dxa"/>
            <w:vAlign w:val="center"/>
          </w:tcPr>
          <w:p>
            <w:pPr>
              <w:jc w:val="right"/>
              <w:rPr>
                <w:rFonts w:ascii="宋体" w:hAnsi="宋体"/>
              </w:rPr>
            </w:pPr>
            <w:r>
              <w:rPr>
                <w:rFonts w:ascii="宋体" w:hAnsi="宋体"/>
              </w:rPr>
              <w:t>-232,528</w:t>
            </w:r>
          </w:p>
        </w:tc>
        <w:tc>
          <w:tcPr>
            <w:tcW w:w="1418"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-807,868</w:t>
            </w:r>
          </w:p>
        </w:tc>
      </w:tr>
      <w:tr>
        <w:tc>
          <w:tcPr>
            <w:tcW w:w="1560" w:type="dxa"/>
            <w:vAlign w:val="center"/>
          </w:tcPr>
          <w:p>
            <w:pPr>
              <w:rPr>
                <w:rFonts w:cs="Arial"/>
                <w:color w:val="000000"/>
              </w:rPr>
            </w:pPr>
            <w:r>
              <w:rPr>
                <w:rFonts w:cs="Arial" w:hint="eastAsia"/>
                <w:color w:val="000000"/>
                <w:lang w:val="en-GB"/>
              </w:rPr>
              <w:t>对联营企业权益投资的账面价值</w:t>
            </w:r>
          </w:p>
        </w:tc>
        <w:tc>
          <w:tcPr>
            <w:tcW w:w="1418" w:type="dxa"/>
            <w:vAlign w:val="center"/>
          </w:tcPr>
          <w:p>
            <w:pPr>
              <w:jc w:val="right"/>
              <w:rPr>
                <w:rFonts w:ascii="宋体" w:hAnsi="宋体"/>
              </w:rPr>
            </w:pPr>
            <w:r>
              <w:rPr>
                <w:rFonts w:ascii="宋体" w:hAnsi="宋体" w:cs="宋体" w:hint="eastAsia"/>
              </w:rPr>
              <w:t>1,054,825</w:t>
            </w:r>
          </w:p>
        </w:tc>
        <w:tc>
          <w:tcPr>
            <w:tcW w:w="1417" w:type="dxa"/>
            <w:vAlign w:val="center"/>
          </w:tcPr>
          <w:p>
            <w:pPr>
              <w:jc w:val="right"/>
              <w:rPr>
                <w:rFonts w:ascii="宋体" w:hAnsi="宋体"/>
              </w:rPr>
            </w:pPr>
            <w:r>
              <w:rPr>
                <w:rFonts w:ascii="宋体" w:hAnsi="宋体" w:cs="宋体" w:hint="eastAsia"/>
              </w:rPr>
              <w:t>2,189,814</w:t>
            </w:r>
          </w:p>
        </w:tc>
        <w:tc>
          <w:tcPr>
            <w:tcW w:w="1418" w:type="dxa"/>
            <w:vAlign w:val="center"/>
          </w:tcPr>
          <w:p>
            <w:pPr>
              <w:jc w:val="right"/>
              <w:rPr>
                <w:rFonts w:ascii="宋体" w:hAnsi="宋体"/>
              </w:rPr>
            </w:pPr>
            <w:r>
              <w:rPr>
                <w:rFonts w:ascii="宋体" w:hAnsi="宋体" w:cs="宋体" w:hint="eastAsia"/>
              </w:rPr>
              <w:t>2,332,829</w:t>
            </w:r>
          </w:p>
        </w:tc>
        <w:tc>
          <w:tcPr>
            <w:tcW w:w="1417" w:type="dxa"/>
            <w:vAlign w:val="center"/>
          </w:tcPr>
          <w:p>
            <w:pPr>
              <w:jc w:val="right"/>
              <w:rPr>
                <w:rFonts w:ascii="宋体" w:hAnsi="宋体"/>
              </w:rPr>
            </w:pPr>
            <w:r>
              <w:rPr>
                <w:rFonts w:ascii="宋体" w:hAnsi="宋体" w:cs="宋体" w:hint="eastAsia"/>
              </w:rPr>
              <w:t>2,280,555</w:t>
            </w:r>
          </w:p>
        </w:tc>
        <w:tc>
          <w:tcPr>
            <w:tcW w:w="1418" w:type="dxa"/>
            <w:vAlign w:val="center"/>
          </w:tcPr>
          <w:p>
            <w:pPr>
              <w:jc w:val="right"/>
              <w:rPr>
                <w:rFonts w:ascii="宋体" w:hAnsi="宋体"/>
              </w:rPr>
            </w:pPr>
            <w:r>
              <w:rPr>
                <w:rFonts w:ascii="宋体" w:hAnsi="宋体" w:cs="宋体" w:hint="eastAsia"/>
              </w:rPr>
              <w:t>5,306,538</w:t>
            </w:r>
          </w:p>
        </w:tc>
        <w:tc>
          <w:tcPr>
            <w:tcW w:w="1417" w:type="dxa"/>
            <w:vAlign w:val="center"/>
          </w:tcPr>
          <w:p>
            <w:pPr>
              <w:jc w:val="right"/>
              <w:rPr>
                <w:rFonts w:ascii="宋体" w:hAnsi="宋体"/>
              </w:rPr>
            </w:pPr>
            <w:r>
              <w:rPr>
                <w:rFonts w:ascii="宋体" w:hAnsi="宋体"/>
              </w:rPr>
              <w:t>1,102,420</w:t>
            </w:r>
          </w:p>
        </w:tc>
        <w:tc>
          <w:tcPr>
            <w:tcW w:w="1276" w:type="dxa"/>
            <w:vAlign w:val="center"/>
          </w:tcPr>
          <w:p>
            <w:pPr>
              <w:jc w:val="right"/>
              <w:rPr>
                <w:rFonts w:ascii="宋体" w:hAnsi="宋体"/>
              </w:rPr>
            </w:pPr>
            <w:r>
              <w:rPr>
                <w:rFonts w:ascii="宋体" w:hAnsi="宋体"/>
              </w:rPr>
              <w:t>2,221,548</w:t>
            </w:r>
          </w:p>
        </w:tc>
        <w:tc>
          <w:tcPr>
            <w:tcW w:w="1417" w:type="dxa"/>
            <w:vAlign w:val="center"/>
          </w:tcPr>
          <w:p>
            <w:pPr>
              <w:jc w:val="right"/>
              <w:rPr>
                <w:rFonts w:ascii="宋体" w:hAnsi="宋体"/>
              </w:rPr>
            </w:pPr>
            <w:r>
              <w:rPr>
                <w:rFonts w:ascii="宋体" w:hAnsi="宋体"/>
              </w:rPr>
              <w:t>2,237,880</w:t>
            </w:r>
          </w:p>
        </w:tc>
        <w:tc>
          <w:tcPr>
            <w:tcW w:w="1418" w:type="dxa"/>
            <w:vAlign w:val="center"/>
          </w:tcPr>
          <w:p>
            <w:pPr>
              <w:jc w:val="right"/>
              <w:rPr>
                <w:rFonts w:ascii="宋体" w:hAnsi="宋体"/>
              </w:rPr>
            </w:pPr>
            <w:r>
              <w:rPr>
                <w:rFonts w:ascii="宋体" w:hAnsi="宋体"/>
              </w:rPr>
              <w:t>2,099,069</w:t>
            </w:r>
          </w:p>
        </w:tc>
        <w:tc>
          <w:tcPr>
            <w:tcW w:w="1417" w:type="dxa"/>
            <w:vAlign w:val="center"/>
          </w:tcPr>
          <w:p>
            <w:pPr>
              <w:jc w:val="right"/>
              <w:rPr>
                <w:rFonts w:ascii="宋体" w:hAnsi="宋体"/>
              </w:rPr>
            </w:pPr>
            <w:r>
              <w:rPr>
                <w:rFonts w:ascii="宋体" w:hAnsi="宋体" w:hint="eastAsia"/>
              </w:rPr>
              <w:t>4,734,190</w:t>
            </w:r>
          </w:p>
        </w:tc>
      </w:tr>
      <w:tr>
        <w:tc>
          <w:tcPr>
            <w:tcW w:w="1560" w:type="dxa"/>
            <w:vAlign w:val="center"/>
          </w:tcPr>
          <w:p>
            <w:pPr>
              <w:rPr>
                <w:rFonts w:cs="Arial"/>
                <w:color w:val="000000"/>
              </w:rPr>
            </w:pPr>
            <w:r>
              <w:rPr>
                <w:rFonts w:cs="Arial" w:hint="eastAsia"/>
                <w:color w:val="000000"/>
                <w:lang w:val="en-GB"/>
              </w:rPr>
              <w:lastRenderedPageBreak/>
              <w:t>营业收入</w:t>
            </w:r>
          </w:p>
        </w:tc>
        <w:tc>
          <w:tcPr>
            <w:tcW w:w="1418" w:type="dxa"/>
            <w:vAlign w:val="center"/>
          </w:tcPr>
          <w:p>
            <w:pPr>
              <w:jc w:val="right"/>
              <w:rPr>
                <w:rFonts w:ascii="宋体" w:hAnsi="宋体"/>
              </w:rPr>
            </w:pPr>
            <w:r>
              <w:rPr>
                <w:rFonts w:ascii="宋体" w:hAnsi="宋体" w:cs="宋体"/>
              </w:rPr>
              <w:t xml:space="preserve"> 2,500,184 </w:t>
            </w:r>
          </w:p>
        </w:tc>
        <w:tc>
          <w:tcPr>
            <w:tcW w:w="1417" w:type="dxa"/>
            <w:vAlign w:val="center"/>
          </w:tcPr>
          <w:p>
            <w:pPr>
              <w:jc w:val="right"/>
              <w:rPr>
                <w:rFonts w:ascii="宋体" w:hAnsi="宋体"/>
              </w:rPr>
            </w:pPr>
            <w:r>
              <w:rPr>
                <w:rFonts w:ascii="宋体" w:hAnsi="宋体" w:cs="宋体" w:hint="eastAsia"/>
              </w:rPr>
              <w:t>1,571,983</w:t>
            </w:r>
          </w:p>
        </w:tc>
        <w:tc>
          <w:tcPr>
            <w:tcW w:w="1418" w:type="dxa"/>
            <w:vAlign w:val="center"/>
          </w:tcPr>
          <w:p>
            <w:pPr>
              <w:jc w:val="right"/>
              <w:rPr>
                <w:rFonts w:ascii="宋体" w:hAnsi="宋体"/>
              </w:rPr>
            </w:pPr>
            <w:r>
              <w:rPr>
                <w:rFonts w:ascii="宋体" w:hAnsi="宋体" w:cs="宋体" w:hint="eastAsia"/>
              </w:rPr>
              <w:t>3,944,400</w:t>
            </w:r>
          </w:p>
        </w:tc>
        <w:tc>
          <w:tcPr>
            <w:tcW w:w="1417" w:type="dxa"/>
            <w:vAlign w:val="center"/>
          </w:tcPr>
          <w:p>
            <w:pPr>
              <w:jc w:val="right"/>
              <w:rPr>
                <w:rFonts w:ascii="宋体" w:hAnsi="宋体"/>
              </w:rPr>
            </w:pPr>
            <w:r>
              <w:rPr>
                <w:rFonts w:ascii="宋体" w:hAnsi="宋体" w:cs="宋体" w:hint="eastAsia"/>
              </w:rPr>
              <w:t>5,350,606</w:t>
            </w:r>
          </w:p>
        </w:tc>
        <w:tc>
          <w:tcPr>
            <w:tcW w:w="1418" w:type="dxa"/>
            <w:vAlign w:val="center"/>
          </w:tcPr>
          <w:p>
            <w:pPr>
              <w:jc w:val="right"/>
              <w:rPr>
                <w:rFonts w:ascii="宋体" w:hAnsi="宋体"/>
              </w:rPr>
            </w:pPr>
            <w:r>
              <w:rPr>
                <w:rFonts w:ascii="宋体" w:hAnsi="宋体" w:cs="宋体" w:hint="eastAsia"/>
              </w:rPr>
              <w:t>19,013,590</w:t>
            </w:r>
          </w:p>
        </w:tc>
        <w:tc>
          <w:tcPr>
            <w:tcW w:w="1417" w:type="dxa"/>
            <w:vAlign w:val="center"/>
          </w:tcPr>
          <w:p>
            <w:pPr>
              <w:jc w:val="right"/>
              <w:rPr>
                <w:rFonts w:ascii="宋体" w:hAnsi="宋体"/>
              </w:rPr>
            </w:pPr>
            <w:r>
              <w:rPr>
                <w:rFonts w:ascii="宋体" w:hAnsi="宋体"/>
              </w:rPr>
              <w:t>3,783,385</w:t>
            </w:r>
          </w:p>
        </w:tc>
        <w:tc>
          <w:tcPr>
            <w:tcW w:w="1276" w:type="dxa"/>
            <w:vAlign w:val="center"/>
          </w:tcPr>
          <w:p>
            <w:pPr>
              <w:jc w:val="right"/>
              <w:rPr>
                <w:rFonts w:ascii="宋体" w:hAnsi="宋体"/>
              </w:rPr>
            </w:pPr>
            <w:r>
              <w:rPr>
                <w:rFonts w:ascii="宋体" w:hAnsi="宋体"/>
              </w:rPr>
              <w:t>1,942,420</w:t>
            </w:r>
          </w:p>
        </w:tc>
        <w:tc>
          <w:tcPr>
            <w:tcW w:w="1417" w:type="dxa"/>
            <w:vAlign w:val="center"/>
          </w:tcPr>
          <w:p>
            <w:pPr>
              <w:jc w:val="right"/>
              <w:rPr>
                <w:rFonts w:ascii="宋体" w:hAnsi="宋体"/>
              </w:rPr>
            </w:pPr>
            <w:r>
              <w:rPr>
                <w:rFonts w:ascii="宋体" w:hAnsi="宋体"/>
              </w:rPr>
              <w:t>3,905,476</w:t>
            </w:r>
          </w:p>
        </w:tc>
        <w:tc>
          <w:tcPr>
            <w:tcW w:w="1418" w:type="dxa"/>
            <w:vAlign w:val="center"/>
          </w:tcPr>
          <w:p>
            <w:pPr>
              <w:jc w:val="right"/>
              <w:rPr>
                <w:rFonts w:ascii="宋体" w:hAnsi="宋体"/>
              </w:rPr>
            </w:pPr>
            <w:r>
              <w:rPr>
                <w:rFonts w:ascii="宋体" w:hAnsi="宋体"/>
              </w:rPr>
              <w:t>5,630,462</w:t>
            </w:r>
          </w:p>
        </w:tc>
        <w:tc>
          <w:tcPr>
            <w:tcW w:w="1417" w:type="dxa"/>
            <w:vAlign w:val="center"/>
          </w:tcPr>
          <w:p>
            <w:pPr>
              <w:jc w:val="right"/>
              <w:rPr>
                <w:rFonts w:ascii="宋体" w:hAnsi="宋体"/>
              </w:rPr>
            </w:pPr>
            <w:r>
              <w:rPr>
                <w:rFonts w:ascii="宋体" w:hAnsi="宋体"/>
              </w:rPr>
              <w:t>18,341,919</w:t>
            </w:r>
          </w:p>
        </w:tc>
      </w:tr>
      <w:tr>
        <w:tc>
          <w:tcPr>
            <w:tcW w:w="1560" w:type="dxa"/>
          </w:tcPr>
          <w:p>
            <w:pPr>
              <w:rPr>
                <w:rFonts w:cs="Arial"/>
                <w:color w:val="000000"/>
                <w:lang w:val="en-GB"/>
              </w:rPr>
            </w:pPr>
            <w:r>
              <w:rPr>
                <w:rFonts w:hint="eastAsia"/>
              </w:rPr>
              <w:t>财务费用</w:t>
            </w:r>
          </w:p>
        </w:tc>
        <w:tc>
          <w:tcPr>
            <w:tcW w:w="1418" w:type="dxa"/>
            <w:vAlign w:val="center"/>
          </w:tcPr>
          <w:p>
            <w:pPr>
              <w:jc w:val="right"/>
              <w:rPr>
                <w:rFonts w:ascii="宋体" w:hAnsi="宋体"/>
              </w:rPr>
            </w:pPr>
            <w:r>
              <w:rPr>
                <w:rFonts w:ascii="宋体" w:hAnsi="宋体" w:cs="宋体" w:hint="eastAsia"/>
              </w:rPr>
              <w:t>1,715</w:t>
            </w:r>
          </w:p>
        </w:tc>
        <w:tc>
          <w:tcPr>
            <w:tcW w:w="1417" w:type="dxa"/>
            <w:vAlign w:val="center"/>
          </w:tcPr>
          <w:p>
            <w:pPr>
              <w:jc w:val="right"/>
              <w:rPr>
                <w:rFonts w:ascii="宋体" w:hAnsi="宋体"/>
              </w:rPr>
            </w:pPr>
            <w:r>
              <w:rPr>
                <w:rFonts w:ascii="宋体" w:hAnsi="宋体" w:cs="宋体" w:hint="eastAsia"/>
              </w:rPr>
              <w:t>31,058</w:t>
            </w:r>
          </w:p>
        </w:tc>
        <w:tc>
          <w:tcPr>
            <w:tcW w:w="1418"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cs="宋体"/>
              </w:rPr>
              <w:t xml:space="preserve"> 179,661 </w:t>
            </w:r>
          </w:p>
        </w:tc>
        <w:tc>
          <w:tcPr>
            <w:tcW w:w="1418" w:type="dxa"/>
            <w:vAlign w:val="center"/>
          </w:tcPr>
          <w:p>
            <w:pPr>
              <w:jc w:val="right"/>
              <w:rPr>
                <w:rFonts w:ascii="宋体" w:hAnsi="宋体"/>
              </w:rPr>
            </w:pPr>
            <w:r>
              <w:rPr>
                <w:rFonts w:ascii="宋体" w:hAnsi="宋体" w:cs="宋体" w:hint="eastAsia"/>
              </w:rPr>
              <w:t>124,158</w:t>
            </w:r>
          </w:p>
        </w:tc>
        <w:tc>
          <w:tcPr>
            <w:tcW w:w="1417" w:type="dxa"/>
            <w:vAlign w:val="center"/>
          </w:tcPr>
          <w:p>
            <w:pPr>
              <w:jc w:val="right"/>
              <w:rPr>
                <w:rFonts w:ascii="宋体" w:hAnsi="宋体"/>
              </w:rPr>
            </w:pPr>
            <w:r>
              <w:rPr>
                <w:rFonts w:ascii="宋体" w:hAnsi="宋体"/>
              </w:rPr>
              <w:t>13,574</w:t>
            </w:r>
          </w:p>
        </w:tc>
        <w:tc>
          <w:tcPr>
            <w:tcW w:w="1276" w:type="dxa"/>
            <w:vAlign w:val="center"/>
          </w:tcPr>
          <w:p>
            <w:pPr>
              <w:jc w:val="right"/>
              <w:rPr>
                <w:rFonts w:ascii="宋体" w:hAnsi="宋体"/>
              </w:rPr>
            </w:pPr>
            <w:r>
              <w:rPr>
                <w:rFonts w:ascii="宋体" w:hAnsi="宋体"/>
              </w:rPr>
              <w:t>47,688</w:t>
            </w:r>
          </w:p>
        </w:tc>
        <w:tc>
          <w:tcPr>
            <w:tcW w:w="1417"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rPr>
              <w:t>270,514</w:t>
            </w:r>
          </w:p>
        </w:tc>
        <w:tc>
          <w:tcPr>
            <w:tcW w:w="1417" w:type="dxa"/>
            <w:vAlign w:val="center"/>
          </w:tcPr>
          <w:p>
            <w:pPr>
              <w:jc w:val="right"/>
              <w:rPr>
                <w:rFonts w:ascii="宋体" w:hAnsi="宋体"/>
              </w:rPr>
            </w:pPr>
            <w:r>
              <w:rPr>
                <w:rFonts w:ascii="宋体" w:hAnsi="宋体"/>
              </w:rPr>
              <w:t>188,119</w:t>
            </w:r>
          </w:p>
        </w:tc>
      </w:tr>
      <w:tr>
        <w:tc>
          <w:tcPr>
            <w:tcW w:w="1560" w:type="dxa"/>
          </w:tcPr>
          <w:p>
            <w:pPr>
              <w:rPr>
                <w:rFonts w:cs="Arial"/>
                <w:color w:val="000000"/>
                <w:lang w:val="en-GB"/>
              </w:rPr>
            </w:pPr>
            <w:r>
              <w:rPr>
                <w:rFonts w:hint="eastAsia"/>
              </w:rPr>
              <w:t>所得税费用</w:t>
            </w:r>
          </w:p>
        </w:tc>
        <w:tc>
          <w:tcPr>
            <w:tcW w:w="1418" w:type="dxa"/>
            <w:vAlign w:val="center"/>
          </w:tcPr>
          <w:p>
            <w:pPr>
              <w:jc w:val="right"/>
              <w:rPr>
                <w:rFonts w:ascii="宋体" w:hAnsi="宋体"/>
              </w:rPr>
            </w:pPr>
            <w:r>
              <w:rPr>
                <w:rFonts w:ascii="宋体" w:hAnsi="宋体" w:cs="宋体" w:hint="eastAsia"/>
              </w:rPr>
              <w:t>25,248</w:t>
            </w:r>
          </w:p>
        </w:tc>
        <w:tc>
          <w:tcPr>
            <w:tcW w:w="1417" w:type="dxa"/>
            <w:vAlign w:val="center"/>
          </w:tcPr>
          <w:p>
            <w:pPr>
              <w:jc w:val="right"/>
              <w:rPr>
                <w:rFonts w:ascii="宋体" w:hAnsi="宋体"/>
              </w:rPr>
            </w:pPr>
            <w:r>
              <w:rPr>
                <w:rFonts w:ascii="宋体" w:hAnsi="宋体" w:cs="宋体" w:hint="eastAsia"/>
              </w:rPr>
              <w:t>7,605</w:t>
            </w:r>
          </w:p>
        </w:tc>
        <w:tc>
          <w:tcPr>
            <w:tcW w:w="1418" w:type="dxa"/>
            <w:vAlign w:val="center"/>
          </w:tcPr>
          <w:p>
            <w:pPr>
              <w:jc w:val="right"/>
              <w:rPr>
                <w:rFonts w:ascii="宋体" w:hAnsi="宋体"/>
              </w:rPr>
            </w:pPr>
            <w:r>
              <w:rPr>
                <w:rFonts w:ascii="宋体" w:hAnsi="宋体" w:cs="宋体" w:hint="eastAsia"/>
              </w:rPr>
              <w:t>155,698</w:t>
            </w:r>
          </w:p>
        </w:tc>
        <w:tc>
          <w:tcPr>
            <w:tcW w:w="1417" w:type="dxa"/>
            <w:vAlign w:val="center"/>
          </w:tcPr>
          <w:p>
            <w:pPr>
              <w:jc w:val="right"/>
              <w:rPr>
                <w:rFonts w:ascii="宋体" w:hAnsi="宋体"/>
              </w:rPr>
            </w:pPr>
            <w:r>
              <w:rPr>
                <w:rFonts w:ascii="宋体" w:hAnsi="宋体" w:cs="宋体" w:hint="eastAsia"/>
              </w:rPr>
              <w:t>112,665</w:t>
            </w:r>
          </w:p>
        </w:tc>
        <w:tc>
          <w:tcPr>
            <w:tcW w:w="1418" w:type="dxa"/>
            <w:vAlign w:val="center"/>
          </w:tcPr>
          <w:p>
            <w:pPr>
              <w:jc w:val="right"/>
              <w:rPr>
                <w:rFonts w:ascii="宋体" w:hAnsi="宋体"/>
              </w:rPr>
            </w:pPr>
            <w:r>
              <w:rPr>
                <w:rFonts w:ascii="宋体" w:hAnsi="宋体" w:cs="宋体" w:hint="eastAsia"/>
              </w:rPr>
              <w:t>1,129,560</w:t>
            </w:r>
          </w:p>
        </w:tc>
        <w:tc>
          <w:tcPr>
            <w:tcW w:w="1417" w:type="dxa"/>
            <w:vAlign w:val="center"/>
          </w:tcPr>
          <w:p>
            <w:pPr>
              <w:jc w:val="right"/>
              <w:rPr>
                <w:rFonts w:ascii="宋体" w:hAnsi="宋体"/>
              </w:rPr>
            </w:pPr>
            <w:r>
              <w:rPr>
                <w:rFonts w:ascii="宋体" w:hAnsi="宋体"/>
              </w:rPr>
              <w:t>101,050</w:t>
            </w:r>
          </w:p>
        </w:tc>
        <w:tc>
          <w:tcPr>
            <w:tcW w:w="1276" w:type="dxa"/>
            <w:vAlign w:val="center"/>
          </w:tcPr>
          <w:p>
            <w:pPr>
              <w:jc w:val="right"/>
              <w:rPr>
                <w:rFonts w:ascii="宋体" w:hAnsi="宋体"/>
              </w:rPr>
            </w:pPr>
            <w:r>
              <w:rPr>
                <w:rFonts w:ascii="宋体" w:hAnsi="宋体"/>
              </w:rPr>
              <w:t>59,887</w:t>
            </w:r>
          </w:p>
        </w:tc>
        <w:tc>
          <w:tcPr>
            <w:tcW w:w="1417" w:type="dxa"/>
            <w:vAlign w:val="center"/>
          </w:tcPr>
          <w:p>
            <w:pPr>
              <w:jc w:val="right"/>
              <w:rPr>
                <w:rFonts w:ascii="宋体" w:hAnsi="宋体"/>
              </w:rPr>
            </w:pPr>
            <w:r>
              <w:rPr>
                <w:rFonts w:ascii="宋体" w:hAnsi="宋体"/>
              </w:rPr>
              <w:t>143,689</w:t>
            </w:r>
          </w:p>
        </w:tc>
        <w:tc>
          <w:tcPr>
            <w:tcW w:w="1418" w:type="dxa"/>
            <w:vAlign w:val="center"/>
          </w:tcPr>
          <w:p>
            <w:pPr>
              <w:jc w:val="right"/>
              <w:rPr>
                <w:rFonts w:ascii="宋体" w:hAnsi="宋体"/>
              </w:rPr>
            </w:pPr>
            <w:r>
              <w:rPr>
                <w:rFonts w:ascii="宋体" w:hAnsi="宋体"/>
              </w:rPr>
              <w:t>232,788</w:t>
            </w:r>
          </w:p>
        </w:tc>
        <w:tc>
          <w:tcPr>
            <w:tcW w:w="1417" w:type="dxa"/>
            <w:vAlign w:val="center"/>
          </w:tcPr>
          <w:p>
            <w:pPr>
              <w:jc w:val="right"/>
              <w:rPr>
                <w:rFonts w:ascii="宋体" w:hAnsi="宋体"/>
              </w:rPr>
            </w:pPr>
            <w:r>
              <w:rPr>
                <w:rFonts w:ascii="宋体" w:hAnsi="宋体"/>
              </w:rPr>
              <w:t>581,555</w:t>
            </w:r>
          </w:p>
        </w:tc>
      </w:tr>
      <w:tr>
        <w:tc>
          <w:tcPr>
            <w:tcW w:w="1560" w:type="dxa"/>
            <w:vAlign w:val="center"/>
          </w:tcPr>
          <w:p>
            <w:pPr>
              <w:rPr>
                <w:rFonts w:cs="Arial"/>
                <w:color w:val="000000"/>
              </w:rPr>
            </w:pPr>
            <w:r>
              <w:rPr>
                <w:rFonts w:cs="Arial" w:hint="eastAsia"/>
                <w:color w:val="000000"/>
                <w:lang w:val="en-GB"/>
              </w:rPr>
              <w:t>净利润</w:t>
            </w:r>
          </w:p>
        </w:tc>
        <w:tc>
          <w:tcPr>
            <w:tcW w:w="1418" w:type="dxa"/>
            <w:vAlign w:val="center"/>
          </w:tcPr>
          <w:p>
            <w:pPr>
              <w:jc w:val="right"/>
              <w:rPr>
                <w:rFonts w:ascii="宋体" w:hAnsi="宋体"/>
              </w:rPr>
            </w:pPr>
            <w:r>
              <w:rPr>
                <w:rFonts w:ascii="宋体" w:hAnsi="宋体" w:cs="宋体" w:hint="eastAsia"/>
              </w:rPr>
              <w:t>63,267</w:t>
            </w:r>
          </w:p>
        </w:tc>
        <w:tc>
          <w:tcPr>
            <w:tcW w:w="1417" w:type="dxa"/>
            <w:vAlign w:val="center"/>
          </w:tcPr>
          <w:p>
            <w:pPr>
              <w:jc w:val="right"/>
              <w:rPr>
                <w:rFonts w:ascii="宋体" w:hAnsi="宋体"/>
              </w:rPr>
            </w:pPr>
            <w:r>
              <w:rPr>
                <w:rFonts w:ascii="宋体" w:hAnsi="宋体" w:cs="宋体" w:hint="eastAsia"/>
              </w:rPr>
              <w:t>25,257</w:t>
            </w:r>
          </w:p>
        </w:tc>
        <w:tc>
          <w:tcPr>
            <w:tcW w:w="1418" w:type="dxa"/>
            <w:vAlign w:val="center"/>
          </w:tcPr>
          <w:p>
            <w:pPr>
              <w:jc w:val="right"/>
              <w:rPr>
                <w:rFonts w:ascii="宋体" w:hAnsi="宋体"/>
              </w:rPr>
            </w:pPr>
            <w:r>
              <w:rPr>
                <w:rFonts w:ascii="宋体" w:hAnsi="宋体" w:cs="宋体" w:hint="eastAsia"/>
              </w:rPr>
              <w:t>585,844</w:t>
            </w:r>
          </w:p>
        </w:tc>
        <w:tc>
          <w:tcPr>
            <w:tcW w:w="1417" w:type="dxa"/>
            <w:vAlign w:val="center"/>
          </w:tcPr>
          <w:p>
            <w:pPr>
              <w:jc w:val="right"/>
              <w:rPr>
                <w:rFonts w:ascii="宋体" w:hAnsi="宋体"/>
              </w:rPr>
            </w:pPr>
            <w:r>
              <w:rPr>
                <w:rFonts w:ascii="宋体" w:hAnsi="宋体" w:cs="宋体" w:hint="eastAsia"/>
              </w:rPr>
              <w:t>403,302</w:t>
            </w:r>
          </w:p>
        </w:tc>
        <w:tc>
          <w:tcPr>
            <w:tcW w:w="1418" w:type="dxa"/>
            <w:vAlign w:val="center"/>
          </w:tcPr>
          <w:p>
            <w:pPr>
              <w:jc w:val="right"/>
              <w:rPr>
                <w:rFonts w:ascii="宋体" w:hAnsi="宋体"/>
              </w:rPr>
            </w:pPr>
            <w:r>
              <w:rPr>
                <w:rFonts w:ascii="宋体" w:hAnsi="宋体" w:cs="宋体" w:hint="eastAsia"/>
              </w:rPr>
              <w:t>2,889,610</w:t>
            </w:r>
          </w:p>
        </w:tc>
        <w:tc>
          <w:tcPr>
            <w:tcW w:w="1417" w:type="dxa"/>
            <w:vAlign w:val="center"/>
          </w:tcPr>
          <w:p>
            <w:pPr>
              <w:jc w:val="right"/>
              <w:rPr>
                <w:rFonts w:ascii="宋体" w:hAnsi="宋体"/>
              </w:rPr>
            </w:pPr>
            <w:r>
              <w:rPr>
                <w:rFonts w:ascii="宋体" w:hAnsi="宋体"/>
              </w:rPr>
              <w:t>235,553</w:t>
            </w:r>
          </w:p>
        </w:tc>
        <w:tc>
          <w:tcPr>
            <w:tcW w:w="1276" w:type="dxa"/>
            <w:vAlign w:val="center"/>
          </w:tcPr>
          <w:p>
            <w:pPr>
              <w:jc w:val="right"/>
              <w:rPr>
                <w:rFonts w:ascii="宋体" w:hAnsi="宋体"/>
              </w:rPr>
            </w:pPr>
            <w:r>
              <w:rPr>
                <w:rFonts w:ascii="宋体" w:hAnsi="宋体"/>
              </w:rPr>
              <w:t>266,216</w:t>
            </w:r>
          </w:p>
        </w:tc>
        <w:tc>
          <w:tcPr>
            <w:tcW w:w="1417" w:type="dxa"/>
            <w:vAlign w:val="center"/>
          </w:tcPr>
          <w:p>
            <w:pPr>
              <w:jc w:val="right"/>
              <w:rPr>
                <w:rFonts w:ascii="宋体" w:hAnsi="宋体"/>
              </w:rPr>
            </w:pPr>
            <w:r>
              <w:rPr>
                <w:rFonts w:ascii="宋体" w:hAnsi="宋体"/>
              </w:rPr>
              <w:t>533,333</w:t>
            </w:r>
          </w:p>
        </w:tc>
        <w:tc>
          <w:tcPr>
            <w:tcW w:w="1418" w:type="dxa"/>
            <w:vAlign w:val="center"/>
          </w:tcPr>
          <w:p>
            <w:pPr>
              <w:jc w:val="right"/>
              <w:rPr>
                <w:rFonts w:ascii="宋体" w:hAnsi="宋体"/>
              </w:rPr>
            </w:pPr>
            <w:r>
              <w:rPr>
                <w:rFonts w:ascii="宋体" w:hAnsi="宋体"/>
              </w:rPr>
              <w:t>334,238</w:t>
            </w:r>
          </w:p>
        </w:tc>
        <w:tc>
          <w:tcPr>
            <w:tcW w:w="1417" w:type="dxa"/>
            <w:vAlign w:val="center"/>
          </w:tcPr>
          <w:p>
            <w:pPr>
              <w:jc w:val="right"/>
              <w:rPr>
                <w:rFonts w:ascii="宋体" w:hAnsi="宋体"/>
              </w:rPr>
            </w:pPr>
            <w:r>
              <w:rPr>
                <w:rFonts w:ascii="宋体" w:hAnsi="宋体"/>
              </w:rPr>
              <w:t>1,716,911</w:t>
            </w:r>
          </w:p>
        </w:tc>
      </w:tr>
      <w:tr>
        <w:tc>
          <w:tcPr>
            <w:tcW w:w="1560" w:type="dxa"/>
            <w:vAlign w:val="center"/>
          </w:tcPr>
          <w:p>
            <w:pPr>
              <w:rPr>
                <w:rFonts w:cs="Arial"/>
                <w:color w:val="000000"/>
              </w:rPr>
            </w:pPr>
            <w:r>
              <w:rPr>
                <w:rFonts w:cs="Arial" w:hint="eastAsia"/>
                <w:color w:val="000000"/>
                <w:lang w:val="en-GB"/>
              </w:rPr>
              <w:t>综合收益总额</w:t>
            </w:r>
          </w:p>
        </w:tc>
        <w:tc>
          <w:tcPr>
            <w:tcW w:w="1418" w:type="dxa"/>
            <w:vAlign w:val="center"/>
          </w:tcPr>
          <w:p>
            <w:pPr>
              <w:jc w:val="right"/>
              <w:rPr>
                <w:rFonts w:ascii="宋体" w:hAnsi="宋体"/>
              </w:rPr>
            </w:pPr>
            <w:r>
              <w:rPr>
                <w:rFonts w:ascii="宋体" w:hAnsi="宋体" w:cs="宋体" w:hint="eastAsia"/>
              </w:rPr>
              <w:t>63,267</w:t>
            </w:r>
          </w:p>
        </w:tc>
        <w:tc>
          <w:tcPr>
            <w:tcW w:w="1417" w:type="dxa"/>
            <w:vAlign w:val="center"/>
          </w:tcPr>
          <w:p>
            <w:pPr>
              <w:jc w:val="right"/>
              <w:rPr>
                <w:rFonts w:ascii="宋体" w:hAnsi="宋体"/>
              </w:rPr>
            </w:pPr>
            <w:r>
              <w:rPr>
                <w:rFonts w:ascii="宋体" w:hAnsi="宋体" w:cs="宋体" w:hint="eastAsia"/>
              </w:rPr>
              <w:t>13,175</w:t>
            </w:r>
          </w:p>
        </w:tc>
        <w:tc>
          <w:tcPr>
            <w:tcW w:w="1418" w:type="dxa"/>
            <w:vAlign w:val="center"/>
          </w:tcPr>
          <w:p>
            <w:pPr>
              <w:jc w:val="right"/>
              <w:rPr>
                <w:rFonts w:ascii="宋体" w:hAnsi="宋体"/>
              </w:rPr>
            </w:pPr>
            <w:r>
              <w:rPr>
                <w:rFonts w:ascii="宋体" w:hAnsi="宋体" w:cs="宋体"/>
              </w:rPr>
              <w:t xml:space="preserve"> 635,220 </w:t>
            </w:r>
          </w:p>
        </w:tc>
        <w:tc>
          <w:tcPr>
            <w:tcW w:w="1417" w:type="dxa"/>
            <w:vAlign w:val="center"/>
          </w:tcPr>
          <w:p>
            <w:pPr>
              <w:jc w:val="right"/>
              <w:rPr>
                <w:rFonts w:ascii="宋体" w:hAnsi="宋体"/>
              </w:rPr>
            </w:pPr>
            <w:r>
              <w:rPr>
                <w:rFonts w:ascii="宋体" w:hAnsi="宋体" w:cs="宋体" w:hint="eastAsia"/>
              </w:rPr>
              <w:t>403,302</w:t>
            </w:r>
          </w:p>
        </w:tc>
        <w:tc>
          <w:tcPr>
            <w:tcW w:w="1418" w:type="dxa"/>
            <w:vAlign w:val="center"/>
          </w:tcPr>
          <w:p>
            <w:pPr>
              <w:jc w:val="right"/>
              <w:rPr>
                <w:rFonts w:ascii="宋体" w:hAnsi="宋体"/>
              </w:rPr>
            </w:pPr>
            <w:r>
              <w:rPr>
                <w:rFonts w:ascii="宋体" w:hAnsi="宋体" w:cs="宋体" w:hint="eastAsia"/>
              </w:rPr>
              <w:t>2,889,610</w:t>
            </w:r>
          </w:p>
        </w:tc>
        <w:tc>
          <w:tcPr>
            <w:tcW w:w="1417" w:type="dxa"/>
            <w:vAlign w:val="center"/>
          </w:tcPr>
          <w:p>
            <w:pPr>
              <w:jc w:val="right"/>
              <w:rPr>
                <w:rFonts w:ascii="宋体" w:hAnsi="宋体"/>
              </w:rPr>
            </w:pPr>
            <w:r>
              <w:rPr>
                <w:rFonts w:ascii="宋体" w:hAnsi="宋体"/>
              </w:rPr>
              <w:t>235,553</w:t>
            </w:r>
          </w:p>
        </w:tc>
        <w:tc>
          <w:tcPr>
            <w:tcW w:w="1276" w:type="dxa"/>
            <w:vAlign w:val="center"/>
          </w:tcPr>
          <w:p>
            <w:pPr>
              <w:jc w:val="right"/>
              <w:rPr>
                <w:rFonts w:ascii="宋体" w:hAnsi="宋体"/>
              </w:rPr>
            </w:pPr>
            <w:r>
              <w:rPr>
                <w:rFonts w:ascii="宋体" w:hAnsi="宋体"/>
              </w:rPr>
              <w:t>251,272</w:t>
            </w:r>
          </w:p>
        </w:tc>
        <w:tc>
          <w:tcPr>
            <w:tcW w:w="1417" w:type="dxa"/>
            <w:vAlign w:val="center"/>
          </w:tcPr>
          <w:p>
            <w:pPr>
              <w:jc w:val="right"/>
              <w:rPr>
                <w:rFonts w:ascii="宋体" w:hAnsi="宋体"/>
              </w:rPr>
            </w:pPr>
            <w:r>
              <w:rPr>
                <w:rFonts w:ascii="宋体" w:hAnsi="宋体"/>
              </w:rPr>
              <w:t>552,585</w:t>
            </w:r>
          </w:p>
        </w:tc>
        <w:tc>
          <w:tcPr>
            <w:tcW w:w="1418" w:type="dxa"/>
            <w:vAlign w:val="center"/>
          </w:tcPr>
          <w:p>
            <w:pPr>
              <w:jc w:val="right"/>
              <w:rPr>
                <w:rFonts w:ascii="宋体" w:hAnsi="宋体"/>
              </w:rPr>
            </w:pPr>
            <w:r>
              <w:rPr>
                <w:rFonts w:ascii="宋体" w:hAnsi="宋体"/>
              </w:rPr>
              <w:t>334,238</w:t>
            </w:r>
          </w:p>
        </w:tc>
        <w:tc>
          <w:tcPr>
            <w:tcW w:w="1417" w:type="dxa"/>
            <w:vAlign w:val="center"/>
          </w:tcPr>
          <w:p>
            <w:pPr>
              <w:jc w:val="right"/>
              <w:rPr>
                <w:rFonts w:ascii="宋体" w:hAnsi="宋体"/>
              </w:rPr>
            </w:pPr>
            <w:r>
              <w:rPr>
                <w:rFonts w:ascii="宋体" w:hAnsi="宋体"/>
              </w:rPr>
              <w:t>1,716,911</w:t>
            </w:r>
          </w:p>
        </w:tc>
      </w:tr>
      <w:tr>
        <w:tc>
          <w:tcPr>
            <w:tcW w:w="1560" w:type="dxa"/>
            <w:vAlign w:val="center"/>
          </w:tcPr>
          <w:p>
            <w:pPr>
              <w:rPr>
                <w:rFonts w:cs="Arial"/>
                <w:color w:val="000000"/>
              </w:rPr>
            </w:pPr>
            <w:r>
              <w:rPr>
                <w:rFonts w:cs="Arial" w:hint="eastAsia"/>
                <w:color w:val="000000"/>
                <w:lang w:val="en-GB"/>
              </w:rPr>
              <w:t>本年度收到的来自联营企业的股利</w:t>
            </w:r>
          </w:p>
        </w:tc>
        <w:tc>
          <w:tcPr>
            <w:tcW w:w="1418" w:type="dxa"/>
            <w:vAlign w:val="center"/>
          </w:tcPr>
          <w:p>
            <w:pPr>
              <w:jc w:val="right"/>
              <w:rPr>
                <w:rFonts w:ascii="宋体" w:hAnsi="宋体"/>
              </w:rPr>
            </w:pPr>
            <w:r>
              <w:rPr>
                <w:rFonts w:ascii="宋体" w:hAnsi="宋体" w:cs="宋体" w:hint="eastAsia"/>
              </w:rPr>
              <w:t>81,171</w:t>
            </w:r>
          </w:p>
        </w:tc>
        <w:tc>
          <w:tcPr>
            <w:tcW w:w="1417" w:type="dxa"/>
            <w:vAlign w:val="center"/>
          </w:tcPr>
          <w:p>
            <w:pPr>
              <w:jc w:val="right"/>
              <w:rPr>
                <w:rFonts w:ascii="宋体" w:hAnsi="宋体"/>
              </w:rPr>
            </w:pPr>
            <w:r>
              <w:rPr>
                <w:rFonts w:ascii="宋体" w:hAnsi="宋体" w:cs="宋体" w:hint="eastAsia"/>
              </w:rPr>
              <w:t>34,282</w:t>
            </w:r>
          </w:p>
        </w:tc>
        <w:tc>
          <w:tcPr>
            <w:tcW w:w="1418" w:type="dxa"/>
            <w:vAlign w:val="center"/>
          </w:tcPr>
          <w:p>
            <w:pPr>
              <w:jc w:val="right"/>
              <w:rPr>
                <w:rFonts w:ascii="宋体" w:hAnsi="宋体"/>
              </w:rPr>
            </w:pPr>
          </w:p>
        </w:tc>
        <w:tc>
          <w:tcPr>
            <w:tcW w:w="1417"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cs="宋体" w:hint="eastAsia"/>
              </w:rPr>
              <w:t>557,709</w:t>
            </w:r>
          </w:p>
        </w:tc>
        <w:tc>
          <w:tcPr>
            <w:tcW w:w="1417" w:type="dxa"/>
            <w:vAlign w:val="center"/>
          </w:tcPr>
          <w:p>
            <w:pPr>
              <w:jc w:val="right"/>
              <w:rPr>
                <w:rFonts w:ascii="宋体" w:hAnsi="宋体"/>
              </w:rPr>
            </w:pPr>
            <w:r>
              <w:rPr>
                <w:rFonts w:ascii="宋体" w:hAnsi="宋体"/>
              </w:rPr>
              <w:t>64,811</w:t>
            </w:r>
          </w:p>
        </w:tc>
        <w:tc>
          <w:tcPr>
            <w:tcW w:w="1276" w:type="dxa"/>
            <w:vAlign w:val="center"/>
          </w:tcPr>
          <w:p>
            <w:pPr>
              <w:jc w:val="right"/>
              <w:rPr>
                <w:rFonts w:ascii="宋体" w:hAnsi="宋体"/>
              </w:rPr>
            </w:pPr>
            <w:r>
              <w:rPr>
                <w:rFonts w:ascii="宋体" w:hAnsi="宋体"/>
              </w:rPr>
              <w:t>32,307</w:t>
            </w:r>
          </w:p>
        </w:tc>
        <w:tc>
          <w:tcPr>
            <w:tcW w:w="1417" w:type="dxa"/>
            <w:vAlign w:val="center"/>
          </w:tcPr>
          <w:p>
            <w:pPr>
              <w:jc w:val="right"/>
              <w:rPr>
                <w:rFonts w:ascii="宋体" w:hAnsi="宋体"/>
              </w:rPr>
            </w:pPr>
          </w:p>
        </w:tc>
        <w:tc>
          <w:tcPr>
            <w:tcW w:w="1418"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453,231</w:t>
            </w:r>
          </w:p>
        </w:tc>
      </w:tr>
    </w:tbl>
    <w:p>
      <w:pPr>
        <w:pStyle w:val="Style217"/>
      </w:pPr>
    </w:p>
    <w:p>
      <w:pPr>
        <w:rPr>
          <w:rFonts w:cs="Arial"/>
        </w:rPr>
      </w:pPr>
      <w:r>
        <w:rPr>
          <w:rFonts w:cs="Arial" w:hint="eastAsia"/>
        </w:rPr>
        <w:t>其他说明：</w:t>
      </w:r>
    </w:p>
    <w:sdt>
      <w:sdtPr>
        <w:rPr>
          <w:rFonts w:cs="Arial" w:hint="eastAsia"/>
        </w:rPr>
        <w:alias w:val="重要联营企业的主要财务信息其他说明的方法"/>
        <w:tag w:val="_GBC_49602fee37fb4c848eee594868d16caa"/>
        <w:id w:val="-2015605298"/>
        <w:placeholder>
          <w:docPart w:val="GBC22222222222222222222222222222"/>
        </w:placeholder>
      </w:sdtPr>
      <w:sdtContent>
        <w:p>
          <w:pPr>
            <w:rPr>
              <w:rFonts w:cs="Arial"/>
            </w:rPr>
            <w:sectPr>
              <w:pgSz w:w="16838" w:h="11906" w:orient="landscape"/>
              <w:pgMar w:top="1797" w:right="1525" w:bottom="1276" w:left="1440" w:header="856" w:footer="992" w:gutter="0"/>
              <w:cols w:space="425"/>
              <w:docGrid w:linePitch="312"/>
            </w:sectPr>
          </w:pPr>
          <w:r>
            <w:rPr>
              <w:rFonts w:cs="Arial" w:hint="eastAsia"/>
            </w:rPr>
            <w:t>-</w:t>
          </w:r>
        </w:p>
      </w:sdtContent>
    </w:sdt>
    <w:p>
      <w:pPr>
        <w:rPr>
          <w:rFonts w:cs="Arial"/>
        </w:rPr>
      </w:pPr>
    </w:p>
    <w:p>
      <w:pPr>
        <w:pStyle w:val="Style179"/>
        <w:numPr>
          <w:ilvl w:val="3"/>
          <w:numId w:val="120"/>
        </w:numPr>
        <w:ind w:left="406" w:hangingChars="202" w:hanging="406"/>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87196210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不重要的合营企业和联营企业的汇总财务信息"/>
          <w:tag w:val="_GBC_d02efd9c85904b029b5a51b02d9519e8"/>
          <w:id w:val="13591672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不重要的合营企业和联营企业的汇总财务信息"/>
          <w:tag w:val="_GBC_a6fa35df627e4d9584fb9c311eb6a4b5"/>
          <w:id w:val="18243850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2"/>
        <w:gridCol w:w="3071"/>
        <w:gridCol w:w="3076"/>
      </w:tblGrid>
      <w:tr>
        <w:trPr>
          <w:trHeight w:val="241"/>
          <w:jc w:val="center"/>
        </w:trPr>
        <w:tc>
          <w:tcPr>
            <w:tcW w:w="2902" w:type="dxa"/>
            <w:vAlign w:val="center"/>
          </w:tcPr>
          <w:p>
            <w:pPr>
              <w:jc w:val="center"/>
              <w:rPr>
                <w:rFonts w:cs="Arial"/>
              </w:rPr>
            </w:pPr>
          </w:p>
        </w:tc>
        <w:sdt>
          <w:sdtPr>
            <w:tag w:val="_PLD_0f94e995a1b3419692bd4d8e5c6d3e83"/>
            <w:id w:val="1223939982"/>
          </w:sdtPr>
          <w:sdtContent>
            <w:tc>
              <w:tcPr>
                <w:tcW w:w="3071" w:type="dxa"/>
                <w:vAlign w:val="center"/>
              </w:tcPr>
              <w:p>
                <w:pPr>
                  <w:jc w:val="center"/>
                  <w:rPr>
                    <w:rFonts w:cs="Arial"/>
                  </w:rPr>
                </w:pPr>
                <w:r>
                  <w:rPr>
                    <w:rFonts w:cs="Arial" w:hint="eastAsia"/>
                    <w:lang w:val="en-GB"/>
                  </w:rPr>
                  <w:t>期末余额</w:t>
                </w:r>
                <w:r>
                  <w:rPr>
                    <w:rFonts w:cs="Arial"/>
                  </w:rPr>
                  <w:t>/</w:t>
                </w:r>
                <w:r>
                  <w:rPr>
                    <w:rFonts w:cs="Arial" w:hint="eastAsia"/>
                    <w:lang w:val="en-GB"/>
                  </w:rPr>
                  <w:t>本期发生额</w:t>
                </w:r>
              </w:p>
            </w:tc>
          </w:sdtContent>
        </w:sdt>
        <w:sdt>
          <w:sdtPr>
            <w:tag w:val="_PLD_41f132b6b30d40258178a800b0285b01"/>
            <w:id w:val="-1036890240"/>
          </w:sdtPr>
          <w:sdtContent>
            <w:tc>
              <w:tcPr>
                <w:tcW w:w="3076" w:type="dxa"/>
                <w:vAlign w:val="center"/>
              </w:tcPr>
              <w:p>
                <w:pPr>
                  <w:jc w:val="center"/>
                  <w:rPr>
                    <w:rFonts w:cs="Arial"/>
                  </w:rPr>
                </w:pPr>
                <w:r>
                  <w:rPr>
                    <w:rFonts w:cs="Arial" w:hint="eastAsia"/>
                    <w:lang w:val="en-GB"/>
                  </w:rPr>
                  <w:t>期初余额</w:t>
                </w:r>
                <w:r>
                  <w:rPr>
                    <w:rFonts w:cs="Arial"/>
                  </w:rPr>
                  <w:t>/</w:t>
                </w:r>
                <w:r>
                  <w:rPr>
                    <w:rFonts w:cs="Arial" w:hint="eastAsia"/>
                    <w:lang w:val="en-GB"/>
                  </w:rPr>
                  <w:t>上期发生额</w:t>
                </w:r>
              </w:p>
            </w:tc>
          </w:sdtContent>
        </w:sdt>
      </w:tr>
      <w:tr>
        <w:trPr>
          <w:jc w:val="center"/>
        </w:trPr>
        <w:sdt>
          <w:sdtPr>
            <w:tag w:val="_PLD_b70e5ea8d7ec4c33925b6219dd7a8fb0"/>
            <w:id w:val="753404294"/>
          </w:sdtPr>
          <w:sdtContent>
            <w:tc>
              <w:tcPr>
                <w:tcW w:w="9049" w:type="dxa"/>
                <w:gridSpan w:val="3"/>
                <w:vAlign w:val="center"/>
              </w:tcPr>
              <w:p>
                <w:pPr>
                  <w:pStyle w:val="Style217"/>
                </w:pPr>
                <w:r>
                  <w:rPr>
                    <w:rFonts w:hint="eastAsia"/>
                    <w:lang w:val="en-GB"/>
                  </w:rPr>
                  <w:t>合营企业：</w:t>
                </w:r>
              </w:p>
            </w:tc>
          </w:sdtContent>
        </w:sdt>
      </w:tr>
      <w:tr>
        <w:trPr>
          <w:jc w:val="center"/>
        </w:trPr>
        <w:tc>
          <w:tcPr>
            <w:tcW w:w="2902" w:type="dxa"/>
            <w:vAlign w:val="center"/>
          </w:tcPr>
          <w:p>
            <w:pPr>
              <w:rPr>
                <w:rFonts w:cs="Arial"/>
                <w:color w:val="000000"/>
              </w:rPr>
            </w:pPr>
            <w:r>
              <w:rPr>
                <w:rFonts w:cs="Arial" w:hint="eastAsia"/>
                <w:color w:val="000000"/>
                <w:lang w:val="en-GB"/>
              </w:rPr>
              <w:t>投资账面价值合计</w:t>
            </w:r>
          </w:p>
        </w:tc>
        <w:tc>
          <w:tcPr>
            <w:tcW w:w="3071" w:type="dxa"/>
            <w:vAlign w:val="center"/>
          </w:tcPr>
          <w:p>
            <w:pPr>
              <w:jc w:val="right"/>
              <w:rPr>
                <w:rFonts w:ascii="宋体" w:hAnsi="宋体"/>
              </w:rPr>
            </w:pPr>
            <w:r>
              <w:rPr>
                <w:rFonts w:ascii="宋体" w:hAnsi="宋体"/>
              </w:rPr>
              <w:t>71,227</w:t>
            </w:r>
          </w:p>
        </w:tc>
        <w:tc>
          <w:tcPr>
            <w:tcW w:w="3076" w:type="dxa"/>
            <w:vAlign w:val="center"/>
          </w:tcPr>
          <w:p>
            <w:pPr>
              <w:jc w:val="right"/>
              <w:rPr>
                <w:rFonts w:ascii="宋体" w:hAnsi="宋体"/>
              </w:rPr>
            </w:pPr>
            <w:r>
              <w:rPr>
                <w:rFonts w:ascii="宋体" w:hAnsi="宋体"/>
              </w:rPr>
              <w:t>70,916</w:t>
            </w:r>
          </w:p>
        </w:tc>
      </w:tr>
      <w:tr>
        <w:trPr>
          <w:jc w:val="center"/>
        </w:trPr>
        <w:sdt>
          <w:sdtPr>
            <w:tag w:val="_PLD_5535ac23a5e6449eacc8d9ee99f53e96"/>
            <w:id w:val="-1215964344"/>
          </w:sdtPr>
          <w:sdtContent>
            <w:tc>
              <w:tcPr>
                <w:tcW w:w="9049" w:type="dxa"/>
                <w:gridSpan w:val="3"/>
                <w:vAlign w:val="center"/>
              </w:tcPr>
              <w:p>
                <w:pPr>
                  <w:pStyle w:val="Style217"/>
                </w:pPr>
                <w:r>
                  <w:rPr>
                    <w:rFonts w:hint="eastAsia"/>
                    <w:lang w:val="en-GB"/>
                  </w:rPr>
                  <w:t>下列各项按持股比例计算的合计数</w:t>
                </w:r>
              </w:p>
            </w:tc>
          </w:sdtContent>
        </w:sdt>
      </w:tr>
      <w:tr>
        <w:trPr>
          <w:jc w:val="center"/>
        </w:trPr>
        <w:tc>
          <w:tcPr>
            <w:tcW w:w="2902" w:type="dxa"/>
            <w:vAlign w:val="center"/>
          </w:tcPr>
          <w:p>
            <w:pPr>
              <w:rPr>
                <w:rFonts w:cs="Arial"/>
                <w:color w:val="000000"/>
              </w:rPr>
            </w:pPr>
            <w:r>
              <w:rPr>
                <w:rFonts w:cs="Arial"/>
                <w:color w:val="000000"/>
              </w:rPr>
              <w:t>--</w:t>
            </w:r>
            <w:r>
              <w:rPr>
                <w:rFonts w:cs="Arial" w:hint="eastAsia"/>
                <w:color w:val="000000"/>
                <w:lang w:val="en-GB"/>
              </w:rPr>
              <w:t>净利润</w:t>
            </w:r>
          </w:p>
        </w:tc>
        <w:tc>
          <w:tcPr>
            <w:tcW w:w="3071" w:type="dxa"/>
          </w:tcPr>
          <w:p>
            <w:pPr>
              <w:jc w:val="right"/>
              <w:rPr>
                <w:rFonts w:ascii="宋体" w:hAnsi="宋体"/>
              </w:rPr>
            </w:pPr>
            <w:r>
              <w:rPr>
                <w:rFonts w:ascii="宋体" w:hAnsi="宋体"/>
              </w:rPr>
              <w:t>311</w:t>
            </w:r>
          </w:p>
        </w:tc>
        <w:tc>
          <w:tcPr>
            <w:tcW w:w="3076" w:type="dxa"/>
          </w:tcPr>
          <w:p>
            <w:pPr>
              <w:jc w:val="right"/>
              <w:rPr>
                <w:rFonts w:ascii="宋体" w:hAnsi="宋体"/>
              </w:rPr>
            </w:pPr>
            <w:r>
              <w:rPr>
                <w:rFonts w:ascii="宋体" w:hAnsi="宋体"/>
              </w:rPr>
              <w:t>-3,481</w:t>
            </w:r>
          </w:p>
        </w:tc>
      </w:tr>
      <w:tr>
        <w:trPr>
          <w:jc w:val="center"/>
        </w:trPr>
        <w:tc>
          <w:tcPr>
            <w:tcW w:w="2902" w:type="dxa"/>
            <w:vAlign w:val="center"/>
          </w:tcPr>
          <w:p>
            <w:pPr>
              <w:rPr>
                <w:rFonts w:cs="Arial"/>
                <w:color w:val="000000"/>
              </w:rPr>
            </w:pPr>
            <w:r>
              <w:rPr>
                <w:rFonts w:cs="Arial"/>
                <w:color w:val="000000"/>
              </w:rPr>
              <w:t>--</w:t>
            </w:r>
            <w:r>
              <w:rPr>
                <w:rFonts w:cs="Arial" w:hint="eastAsia"/>
                <w:color w:val="000000"/>
                <w:lang w:val="en-GB"/>
              </w:rPr>
              <w:t>综合收益总额</w:t>
            </w:r>
          </w:p>
        </w:tc>
        <w:tc>
          <w:tcPr>
            <w:tcW w:w="3071" w:type="dxa"/>
          </w:tcPr>
          <w:p>
            <w:pPr>
              <w:jc w:val="right"/>
              <w:rPr>
                <w:rFonts w:ascii="宋体" w:hAnsi="宋体"/>
              </w:rPr>
            </w:pPr>
            <w:r>
              <w:rPr>
                <w:rFonts w:ascii="宋体" w:hAnsi="宋体"/>
              </w:rPr>
              <w:t>311</w:t>
            </w:r>
          </w:p>
        </w:tc>
        <w:tc>
          <w:tcPr>
            <w:tcW w:w="3076" w:type="dxa"/>
          </w:tcPr>
          <w:p>
            <w:pPr>
              <w:jc w:val="right"/>
              <w:rPr>
                <w:rFonts w:ascii="宋体" w:hAnsi="宋体"/>
              </w:rPr>
            </w:pPr>
            <w:r>
              <w:rPr>
                <w:rFonts w:ascii="宋体" w:hAnsi="宋体"/>
              </w:rPr>
              <w:t>-3,481</w:t>
            </w:r>
          </w:p>
        </w:tc>
      </w:tr>
      <w:tr>
        <w:trPr>
          <w:jc w:val="center"/>
        </w:trPr>
        <w:tc>
          <w:tcPr>
            <w:tcW w:w="9049" w:type="dxa"/>
            <w:gridSpan w:val="3"/>
            <w:vAlign w:val="center"/>
          </w:tcPr>
          <w:p>
            <w:pPr>
              <w:jc w:val="right"/>
            </w:pPr>
          </w:p>
        </w:tc>
      </w:tr>
      <w:tr>
        <w:trPr>
          <w:jc w:val="center"/>
        </w:trPr>
        <w:sdt>
          <w:sdtPr>
            <w:tag w:val="_PLD_cbda7c3468d14ed7a076bd7c6a1d9c6f"/>
            <w:id w:val="-776872573"/>
          </w:sdtPr>
          <w:sdtContent>
            <w:tc>
              <w:tcPr>
                <w:tcW w:w="9049" w:type="dxa"/>
                <w:gridSpan w:val="3"/>
                <w:vAlign w:val="center"/>
              </w:tcPr>
              <w:p>
                <w:pPr>
                  <w:pStyle w:val="Style217"/>
                </w:pPr>
                <w:r>
                  <w:rPr>
                    <w:rFonts w:hint="eastAsia"/>
                    <w:lang w:val="en-GB"/>
                  </w:rPr>
                  <w:t>联营企业：</w:t>
                </w:r>
              </w:p>
            </w:tc>
          </w:sdtContent>
        </w:sdt>
      </w:tr>
      <w:tr>
        <w:trPr>
          <w:jc w:val="center"/>
        </w:trPr>
        <w:tc>
          <w:tcPr>
            <w:tcW w:w="2902" w:type="dxa"/>
            <w:vAlign w:val="center"/>
          </w:tcPr>
          <w:p>
            <w:pPr>
              <w:rPr>
                <w:rFonts w:cs="Arial"/>
                <w:color w:val="000000"/>
              </w:rPr>
            </w:pPr>
            <w:r>
              <w:rPr>
                <w:rFonts w:cs="Arial" w:hint="eastAsia"/>
                <w:color w:val="000000"/>
                <w:lang w:val="en-GB"/>
              </w:rPr>
              <w:t>投资账面价值合计</w:t>
            </w:r>
          </w:p>
        </w:tc>
        <w:tc>
          <w:tcPr>
            <w:tcW w:w="3071" w:type="dxa"/>
          </w:tcPr>
          <w:p>
            <w:pPr>
              <w:jc w:val="right"/>
              <w:rPr>
                <w:rFonts w:ascii="宋体" w:hAnsi="宋体"/>
              </w:rPr>
            </w:pPr>
            <w:r>
              <w:rPr>
                <w:rFonts w:ascii="宋体" w:hAnsi="宋体"/>
              </w:rPr>
              <w:t>12,495,95</w:t>
            </w:r>
            <w:r>
              <w:rPr>
                <w:rFonts w:ascii="宋体" w:hAnsi="宋体" w:hint="eastAsia"/>
              </w:rPr>
              <w:t>5</w:t>
            </w:r>
          </w:p>
        </w:tc>
        <w:tc>
          <w:tcPr>
            <w:tcW w:w="3076" w:type="dxa"/>
          </w:tcPr>
          <w:p>
            <w:pPr>
              <w:jc w:val="right"/>
              <w:rPr>
                <w:rFonts w:ascii="宋体" w:hAnsi="宋体"/>
              </w:rPr>
            </w:pPr>
            <w:r>
              <w:rPr>
                <w:rFonts w:ascii="宋体" w:hAnsi="宋体"/>
              </w:rPr>
              <w:t>11,989,150</w:t>
            </w:r>
          </w:p>
        </w:tc>
      </w:tr>
      <w:tr>
        <w:trPr>
          <w:jc w:val="center"/>
        </w:trPr>
        <w:sdt>
          <w:sdtPr>
            <w:tag w:val="_PLD_83ce74083a4545808d6b87b66cb814b0"/>
            <w:id w:val="1275749589"/>
          </w:sdtPr>
          <w:sdtContent>
            <w:tc>
              <w:tcPr>
                <w:tcW w:w="9049" w:type="dxa"/>
                <w:gridSpan w:val="3"/>
                <w:vAlign w:val="center"/>
              </w:tcPr>
              <w:p>
                <w:pPr>
                  <w:pStyle w:val="Style217"/>
                </w:pPr>
                <w:r>
                  <w:rPr>
                    <w:rFonts w:hint="eastAsia"/>
                    <w:lang w:val="en-GB"/>
                  </w:rPr>
                  <w:t>下列各项按持股比例计算的合计数</w:t>
                </w:r>
              </w:p>
            </w:tc>
          </w:sdtContent>
        </w:sdt>
      </w:tr>
      <w:tr>
        <w:trPr>
          <w:jc w:val="center"/>
        </w:trPr>
        <w:tc>
          <w:tcPr>
            <w:tcW w:w="2902" w:type="dxa"/>
            <w:vAlign w:val="center"/>
          </w:tcPr>
          <w:p>
            <w:pPr>
              <w:rPr>
                <w:rFonts w:cs="Arial"/>
                <w:color w:val="000000"/>
              </w:rPr>
            </w:pPr>
            <w:r>
              <w:rPr>
                <w:rFonts w:cs="Arial"/>
                <w:color w:val="000000"/>
              </w:rPr>
              <w:t>--</w:t>
            </w:r>
            <w:r>
              <w:rPr>
                <w:rFonts w:cs="Arial" w:hint="eastAsia"/>
                <w:color w:val="000000"/>
                <w:lang w:val="en-GB"/>
              </w:rPr>
              <w:t>净利润</w:t>
            </w:r>
          </w:p>
        </w:tc>
        <w:tc>
          <w:tcPr>
            <w:tcW w:w="3071" w:type="dxa"/>
          </w:tcPr>
          <w:p>
            <w:pPr>
              <w:jc w:val="right"/>
              <w:rPr>
                <w:rFonts w:ascii="宋体" w:hAnsi="宋体"/>
              </w:rPr>
            </w:pPr>
            <w:r>
              <w:rPr>
                <w:rFonts w:ascii="宋体" w:hAnsi="宋体"/>
              </w:rPr>
              <w:t>1,090,84</w:t>
            </w:r>
            <w:r>
              <w:rPr>
                <w:rFonts w:ascii="宋体" w:hAnsi="宋体" w:hint="eastAsia"/>
              </w:rPr>
              <w:t>0</w:t>
            </w:r>
          </w:p>
        </w:tc>
        <w:tc>
          <w:tcPr>
            <w:tcW w:w="3076" w:type="dxa"/>
          </w:tcPr>
          <w:p>
            <w:pPr>
              <w:jc w:val="right"/>
              <w:rPr>
                <w:rFonts w:ascii="宋体" w:hAnsi="宋体"/>
              </w:rPr>
            </w:pPr>
            <w:r>
              <w:rPr>
                <w:rFonts w:ascii="宋体" w:hAnsi="宋体"/>
              </w:rPr>
              <w:t>1,072,472</w:t>
            </w:r>
          </w:p>
        </w:tc>
      </w:tr>
      <w:tr>
        <w:trPr>
          <w:jc w:val="center"/>
        </w:trPr>
        <w:tc>
          <w:tcPr>
            <w:tcW w:w="2902" w:type="dxa"/>
            <w:vAlign w:val="center"/>
          </w:tcPr>
          <w:p>
            <w:pPr>
              <w:rPr>
                <w:rFonts w:cs="Arial"/>
                <w:color w:val="000000"/>
              </w:rPr>
            </w:pPr>
            <w:r>
              <w:rPr>
                <w:rFonts w:cs="Arial"/>
                <w:color w:val="000000"/>
              </w:rPr>
              <w:t>--</w:t>
            </w:r>
            <w:r>
              <w:rPr>
                <w:rFonts w:cs="Arial" w:hint="eastAsia"/>
                <w:color w:val="000000"/>
                <w:lang w:val="en-GB"/>
              </w:rPr>
              <w:t>综合收益总额</w:t>
            </w:r>
          </w:p>
        </w:tc>
        <w:tc>
          <w:tcPr>
            <w:tcW w:w="3071" w:type="dxa"/>
          </w:tcPr>
          <w:p>
            <w:pPr>
              <w:jc w:val="right"/>
              <w:rPr>
                <w:rFonts w:ascii="宋体" w:hAnsi="宋体"/>
              </w:rPr>
            </w:pPr>
            <w:r>
              <w:rPr>
                <w:rFonts w:ascii="宋体" w:hAnsi="宋体"/>
              </w:rPr>
              <w:t>1,090,84</w:t>
            </w:r>
            <w:r>
              <w:rPr>
                <w:rFonts w:ascii="宋体" w:hAnsi="宋体" w:hint="eastAsia"/>
              </w:rPr>
              <w:t>0</w:t>
            </w:r>
          </w:p>
        </w:tc>
        <w:tc>
          <w:tcPr>
            <w:tcW w:w="3076" w:type="dxa"/>
          </w:tcPr>
          <w:p>
            <w:pPr>
              <w:jc w:val="right"/>
              <w:rPr>
                <w:rFonts w:ascii="宋体" w:hAnsi="宋体"/>
              </w:rPr>
            </w:pPr>
            <w:r>
              <w:rPr>
                <w:rFonts w:ascii="宋体" w:hAnsi="宋体"/>
              </w:rPr>
              <w:t>1,072,472</w:t>
            </w:r>
          </w:p>
        </w:tc>
      </w:tr>
    </w:tbl>
    <w:p>
      <w:pPr>
        <w:rPr>
          <w:rFonts w:cs="Arial"/>
        </w:rPr>
      </w:pPr>
    </w:p>
    <w:p>
      <w:pPr>
        <w:pStyle w:val="Style179"/>
        <w:numPr>
          <w:ilvl w:val="3"/>
          <w:numId w:val="120"/>
        </w:numPr>
        <w:ind w:left="406" w:hangingChars="202" w:hanging="406"/>
      </w:pPr>
      <w:r>
        <w:rPr>
          <w:rFonts w:hint="eastAsia"/>
        </w:rPr>
        <w:t>合营企业或联营企业向本公司转移资金的能力存在重大限制的说明</w:t>
      </w:r>
    </w:p>
    <w:sdt>
      <w:sdtPr>
        <w:rPr>
          <w:rFonts w:hint="eastAsia"/>
        </w:rPr>
        <w:alias w:val="是否适用：合营企业或联营企业向本公司转移资金的能力存在重大限制的说明[双击切换]"/>
        <w:tag w:val="_GBC_6adf336cbf6141a59d29de2be4c5a55b"/>
        <w:id w:val="-152108122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cs="Arial"/>
        </w:rPr>
      </w:pPr>
    </w:p>
    <w:p>
      <w:pPr>
        <w:pStyle w:val="Style179"/>
        <w:numPr>
          <w:ilvl w:val="3"/>
          <w:numId w:val="120"/>
        </w:numPr>
        <w:ind w:left="406" w:hangingChars="202" w:hanging="406"/>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76703836"/>
        <w:placeholder>
          <w:docPart w:val="GBC22222222222222222222222222222"/>
        </w:placeholder>
      </w:sdtPr>
      <w:sdtContent>
        <w:p>
          <w:pPr>
            <w:rPr>
              <w:rFonts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cs="Arial"/>
        </w:rPr>
      </w:pPr>
    </w:p>
    <w:p>
      <w:pPr>
        <w:rPr>
          <w:rFonts w:cs="Arial"/>
        </w:rPr>
      </w:pPr>
    </w:p>
    <w:p>
      <w:pPr>
        <w:pStyle w:val="Style179"/>
        <w:numPr>
          <w:ilvl w:val="3"/>
          <w:numId w:val="120"/>
        </w:numPr>
        <w:ind w:left="406" w:hangingChars="202" w:hanging="406"/>
      </w:pPr>
      <w:r>
        <w:rPr>
          <w:rFonts w:hint="eastAsia"/>
        </w:rPr>
        <w:t>与合营企业投资相关的未确认承诺</w:t>
      </w:r>
    </w:p>
    <w:sdt>
      <w:sdtPr>
        <w:rPr>
          <w:rFonts w:cs="Arial" w:hint="eastAsia"/>
        </w:rPr>
        <w:alias w:val="是否适用：与合营企业投资相关的未确认承诺[双击切换]"/>
        <w:tag w:val="_GBC_31e45f9d52434cea9a9a27d328e562ec"/>
        <w:id w:val="-1840842814"/>
        <w:placeholder>
          <w:docPart w:val="GBC22222222222222222222222222222"/>
        </w:placeholder>
      </w:sdtPr>
      <w:sdtContent>
        <w:p>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pPr>
        <w:rPr>
          <w:rFonts w:cs="Arial"/>
        </w:rPr>
      </w:pPr>
    </w:p>
    <w:p>
      <w:pPr>
        <w:pStyle w:val="Style179"/>
        <w:numPr>
          <w:ilvl w:val="3"/>
          <w:numId w:val="120"/>
        </w:numPr>
        <w:ind w:left="406" w:hangingChars="202" w:hanging="406"/>
      </w:pPr>
      <w:r>
        <w:rPr>
          <w:rFonts w:hint="eastAsia"/>
        </w:rPr>
        <w:t>与合营企业或联营企业投资相关的或有负债</w:t>
      </w:r>
    </w:p>
    <w:sdt>
      <w:sdtPr>
        <w:rPr>
          <w:rFonts w:cs="Arial" w:hint="eastAsia"/>
        </w:rPr>
        <w:alias w:val="是否适用：与合营企业或联营企业投资相关的或有负债[双击切换]"/>
        <w:tag w:val="_GBC_d3c6dfcab3ab42afb854d4ea2e7c9b9f"/>
        <w:id w:val="930469033"/>
        <w:placeholder>
          <w:docPart w:val="GBC22222222222222222222222222222"/>
        </w:placeholder>
      </w:sdtPr>
      <w:sdtContent>
        <w:p>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pPr>
        <w:rPr>
          <w:rFonts w:cs="Arial"/>
        </w:rPr>
      </w:pPr>
    </w:p>
    <w:p>
      <w:pPr>
        <w:pStyle w:val="Style178"/>
        <w:numPr>
          <w:ilvl w:val="2"/>
          <w:numId w:val="118"/>
        </w:numPr>
      </w:pPr>
      <w:r>
        <w:rPr>
          <w:rFonts w:hint="eastAsia"/>
        </w:rPr>
        <w:t>重要的共同经营</w:t>
      </w:r>
    </w:p>
    <w:sdt>
      <w:sdtPr>
        <w:alias w:val="是否适用：重要的共同经营[双击切换]"/>
        <w:tag w:val="_GBC_8a0341a844454c89848e95b9c64a8efb"/>
        <w:id w:val="-753212629"/>
        <w:placeholder>
          <w:docPart w:val="GBC22222222222222222222222222222"/>
        </w:placeholder>
      </w:sdtPr>
      <w:sdtContent>
        <w:p>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rFonts w:cs="Arial"/>
        </w:rPr>
      </w:pPr>
    </w:p>
    <w:p>
      <w:pPr>
        <w:rPr>
          <w:rFonts w:cs="Arial"/>
        </w:rPr>
      </w:pPr>
    </w:p>
    <w:p>
      <w:pPr>
        <w:pStyle w:val="Style178"/>
        <w:numPr>
          <w:ilvl w:val="2"/>
          <w:numId w:val="118"/>
        </w:numPr>
      </w:pPr>
      <w:r>
        <w:rPr>
          <w:rFonts w:hint="eastAsia"/>
        </w:rPr>
        <w:t>在未纳入合并财务报表范围的结构化主体中的权益</w:t>
      </w:r>
    </w:p>
    <w:p>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1479182069"/>
        <w:placeholder>
          <w:docPart w:val="GBC22222222222222222222222222222"/>
        </w:placeholder>
      </w:sdtPr>
      <w:sdtContent>
        <w:p>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pPr>
        <w:rPr>
          <w:rFonts w:cs="Arial"/>
        </w:rPr>
      </w:pPr>
    </w:p>
    <w:p>
      <w:pPr>
        <w:pStyle w:val="Style178"/>
        <w:numPr>
          <w:ilvl w:val="2"/>
          <w:numId w:val="118"/>
        </w:numPr>
      </w:pPr>
      <w:r>
        <w:rPr>
          <w:rFonts w:hint="eastAsia"/>
        </w:rPr>
        <w:t>其他</w:t>
      </w:r>
    </w:p>
    <w:sdt>
      <w:sdtPr>
        <w:rPr>
          <w:rFonts w:hint="eastAsia"/>
        </w:rPr>
        <w:alias w:val="是否适用：在其他主体中的权益其他需要说明的事项[双击切换]"/>
        <w:tag w:val="_GBC_f97a284e61d54ed588c46ec336af6ef8"/>
        <w:id w:val="-130477481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rPr>
      </w:pPr>
      <w:r>
        <w:rPr>
          <w:rFonts w:hint="eastAsia"/>
        </w:rPr>
        <w:t>政府补助</w:t>
      </w:r>
    </w:p>
    <w:p>
      <w:pPr>
        <w:pStyle w:val="Style178"/>
        <w:numPr>
          <w:ilvl w:val="0"/>
          <w:numId w:val="121"/>
        </w:numPr>
        <w:ind w:left="0" w:firstLine="0"/>
      </w:pPr>
      <w:r>
        <w:t>报告期末按应收金额确认的政府补助</w:t>
      </w:r>
    </w:p>
    <w:sdt>
      <w:sdtPr>
        <w:alias w:val="是否适用：按应收金额确认的政府补助[双击切换]"/>
        <w:tag w:val="_GBC_e1e20d7c43844cb8b0392ce8a915912f"/>
        <w:id w:val="-57174581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18203980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121"/>
        </w:numPr>
        <w:ind w:left="0" w:firstLine="0"/>
      </w:pPr>
      <w:r>
        <w:t>涉及政府补助的负债项目</w:t>
      </w:r>
    </w:p>
    <w:sdt>
      <w:sdtPr>
        <w:alias w:val="是否适用：涉及政府补助的负债项目[双击切换]"/>
        <w:tag w:val="_GBC_ed9e8fabcc8e4318b2ec33d01e83aec4"/>
        <w:id w:val="-183567965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涉及政府补助的负债项目"/>
          <w:tag w:val="_GBC_7f1d795aca2d46699971ecb934072fbd"/>
          <w:id w:val="61279187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涉及政府补助的负债项目"/>
          <w:tag w:val="_GBC_ba4177cbae6044fa854e8e3dea407bcc"/>
          <w:id w:val="-8341395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1131"/>
        <w:gridCol w:w="1131"/>
        <w:gridCol w:w="1131"/>
        <w:gridCol w:w="1131"/>
        <w:gridCol w:w="1002"/>
        <w:gridCol w:w="1134"/>
        <w:gridCol w:w="1275"/>
      </w:tblGrid>
      <w:tr>
        <w:bookmarkStart w:id="530" w:name="_Hlk224585437" w:displacedByCustomXml="next"/>
        <w:sdt>
          <w:sdtPr>
            <w:tag w:val="_PLD_51e96a8ef830445cb15689886ccd8ab5"/>
            <w:id w:val="1294792264"/>
          </w:sdtPr>
          <w:sdtContent>
            <w:tc>
              <w:tcPr>
                <w:tcW w:w="1421" w:type="dxa"/>
                <w:vAlign w:val="center"/>
              </w:tcPr>
              <w:p>
                <w:pPr>
                  <w:jc w:val="center"/>
                </w:pPr>
                <w:r>
                  <w:rPr>
                    <w:rFonts w:hint="eastAsia"/>
                  </w:rPr>
                  <w:t>财务报表项目</w:t>
                </w:r>
              </w:p>
            </w:tc>
          </w:sdtContent>
        </w:sdt>
        <w:sdt>
          <w:sdtPr>
            <w:tag w:val="_PLD_13c2708d76d140e9a2c8b42ee30372fa"/>
            <w:id w:val="-1649661952"/>
          </w:sdtPr>
          <w:sdtContent>
            <w:tc>
              <w:tcPr>
                <w:tcW w:w="1131" w:type="dxa"/>
                <w:vAlign w:val="center"/>
              </w:tcPr>
              <w:p>
                <w:pPr>
                  <w:jc w:val="center"/>
                </w:pPr>
                <w:r>
                  <w:rPr>
                    <w:rFonts w:hint="eastAsia"/>
                  </w:rPr>
                  <w:t>期初余额</w:t>
                </w:r>
              </w:p>
            </w:tc>
          </w:sdtContent>
        </w:sdt>
        <w:sdt>
          <w:sdtPr>
            <w:tag w:val="_PLD_baee6e4484a048eca37a455836f6d23a"/>
            <w:id w:val="-384487023"/>
          </w:sdtPr>
          <w:sdtContent>
            <w:tc>
              <w:tcPr>
                <w:tcW w:w="1131" w:type="dxa"/>
                <w:vAlign w:val="center"/>
              </w:tcPr>
              <w:p>
                <w:pPr>
                  <w:jc w:val="center"/>
                </w:pPr>
                <w:r>
                  <w:t>本期新增补助金额</w:t>
                </w:r>
              </w:p>
            </w:tc>
          </w:sdtContent>
        </w:sdt>
        <w:sdt>
          <w:sdtPr>
            <w:tag w:val="_PLD_d4b5cb214b114ec4bb3ec943b3f45a12"/>
            <w:id w:val="-369683862"/>
          </w:sdtPr>
          <w:sdtContent>
            <w:tc>
              <w:tcPr>
                <w:tcW w:w="1131" w:type="dxa"/>
                <w:vAlign w:val="center"/>
              </w:tcPr>
              <w:p>
                <w:pPr>
                  <w:jc w:val="center"/>
                </w:pPr>
                <w:r>
                  <w:t>本期计入营业外收入金额</w:t>
                </w:r>
              </w:p>
            </w:tc>
          </w:sdtContent>
        </w:sdt>
        <w:sdt>
          <w:sdtPr>
            <w:tag w:val="_PLD_fe390be730354706a1af1589fdc9ce78"/>
            <w:id w:val="-958100647"/>
          </w:sdtPr>
          <w:sdtContent>
            <w:tc>
              <w:tcPr>
                <w:tcW w:w="1131" w:type="dxa"/>
                <w:vAlign w:val="center"/>
              </w:tcPr>
              <w:p>
                <w:pPr>
                  <w:jc w:val="center"/>
                </w:pPr>
                <w:r>
                  <w:t>本期转入其他收益</w:t>
                </w:r>
              </w:p>
            </w:tc>
          </w:sdtContent>
        </w:sdt>
        <w:sdt>
          <w:sdtPr>
            <w:tag w:val="_PLD_0574cd35fdf24bda85fc60dbc5d663ad"/>
            <w:id w:val="1133292956"/>
          </w:sdtPr>
          <w:sdtContent>
            <w:tc>
              <w:tcPr>
                <w:tcW w:w="1002" w:type="dxa"/>
                <w:vAlign w:val="center"/>
              </w:tcPr>
              <w:p>
                <w:pPr>
                  <w:jc w:val="center"/>
                </w:pPr>
                <w:r>
                  <w:rPr>
                    <w:rFonts w:hint="eastAsia"/>
                  </w:rPr>
                  <w:t>本期其他变动</w:t>
                </w:r>
              </w:p>
            </w:tc>
          </w:sdtContent>
        </w:sdt>
        <w:sdt>
          <w:sdtPr>
            <w:tag w:val="_PLD_b4cd227caa134d8da03257df3775b63f"/>
            <w:id w:val="-1705939259"/>
          </w:sdtPr>
          <w:sdtContent>
            <w:tc>
              <w:tcPr>
                <w:tcW w:w="1134" w:type="dxa"/>
                <w:vAlign w:val="center"/>
              </w:tcPr>
              <w:p>
                <w:pPr>
                  <w:jc w:val="center"/>
                </w:pPr>
                <w:r>
                  <w:rPr>
                    <w:rFonts w:hint="eastAsia"/>
                  </w:rPr>
                  <w:t>期末余额</w:t>
                </w:r>
              </w:p>
            </w:tc>
          </w:sdtContent>
        </w:sdt>
        <w:sdt>
          <w:sdtPr>
            <w:tag w:val="_PLD_9149efa168c746cfa58bdc4f4b4275bd"/>
            <w:id w:val="-783191663"/>
          </w:sdtPr>
          <w:sdtContent>
            <w:tc>
              <w:tcPr>
                <w:tcW w:w="1275" w:type="dxa"/>
                <w:vAlign w:val="center"/>
              </w:tcPr>
              <w:p>
                <w:pPr>
                  <w:jc w:val="center"/>
                </w:pPr>
                <w:r>
                  <w:rPr>
                    <w:rFonts w:hint="eastAsia"/>
                  </w:rPr>
                  <w:t>与资产</w:t>
                </w:r>
                <w:r>
                  <w:t>/</w:t>
                </w:r>
                <w:r>
                  <w:t>收益相关</w:t>
                </w:r>
              </w:p>
            </w:tc>
          </w:sdtContent>
        </w:sdt>
      </w:tr>
      <w:tr>
        <w:tc>
          <w:tcPr>
            <w:tcW w:w="1421" w:type="dxa"/>
            <w:vAlign w:val="center"/>
          </w:tcPr>
          <w:p>
            <w:pPr>
              <w:jc w:val="center"/>
              <w:rPr>
                <w:rFonts w:ascii="宋体" w:hAnsi="宋体"/>
              </w:rPr>
            </w:pPr>
            <w:r>
              <w:rPr>
                <w:rFonts w:ascii="宋体" w:hAnsi="宋体" w:hint="eastAsia"/>
              </w:rPr>
              <w:t>递延收益</w:t>
            </w:r>
          </w:p>
        </w:tc>
        <w:tc>
          <w:tcPr>
            <w:tcW w:w="1131" w:type="dxa"/>
            <w:vAlign w:val="center"/>
          </w:tcPr>
          <w:p>
            <w:pPr>
              <w:jc w:val="right"/>
              <w:rPr>
                <w:rFonts w:ascii="宋体" w:hAnsi="宋体"/>
              </w:rPr>
            </w:pPr>
            <w:r>
              <w:rPr>
                <w:rFonts w:ascii="宋体" w:hAnsi="宋体" w:hint="eastAsia"/>
              </w:rPr>
              <w:t>383,312</w:t>
            </w:r>
          </w:p>
        </w:tc>
        <w:tc>
          <w:tcPr>
            <w:tcW w:w="1131" w:type="dxa"/>
            <w:vAlign w:val="center"/>
          </w:tcPr>
          <w:p>
            <w:pPr>
              <w:jc w:val="right"/>
              <w:rPr>
                <w:rFonts w:ascii="宋体" w:hAnsi="宋体"/>
              </w:rPr>
            </w:pPr>
            <w:r>
              <w:rPr>
                <w:rFonts w:ascii="宋体" w:hAnsi="宋体" w:hint="eastAsia"/>
              </w:rPr>
              <w:t>68,049</w:t>
            </w:r>
          </w:p>
        </w:tc>
        <w:tc>
          <w:tcPr>
            <w:tcW w:w="1131" w:type="dxa"/>
            <w:vAlign w:val="center"/>
          </w:tcPr>
          <w:p>
            <w:pPr>
              <w:jc w:val="right"/>
              <w:rPr>
                <w:rFonts w:ascii="宋体" w:hAnsi="宋体"/>
              </w:rPr>
            </w:pPr>
          </w:p>
        </w:tc>
        <w:tc>
          <w:tcPr>
            <w:tcW w:w="1131" w:type="dxa"/>
            <w:vAlign w:val="center"/>
          </w:tcPr>
          <w:p>
            <w:pPr>
              <w:jc w:val="right"/>
              <w:rPr>
                <w:rFonts w:ascii="宋体" w:hAnsi="宋体"/>
              </w:rPr>
            </w:pPr>
            <w:r>
              <w:rPr>
                <w:rFonts w:ascii="宋体" w:hAnsi="宋体" w:hint="eastAsia"/>
              </w:rPr>
              <w:t>69,851</w:t>
            </w:r>
          </w:p>
        </w:tc>
        <w:tc>
          <w:tcPr>
            <w:tcW w:w="1002" w:type="dxa"/>
            <w:vAlign w:val="center"/>
          </w:tcPr>
          <w:p>
            <w:pPr>
              <w:jc w:val="right"/>
              <w:rPr>
                <w:rFonts w:ascii="宋体" w:hAnsi="宋体"/>
              </w:rPr>
            </w:pPr>
          </w:p>
        </w:tc>
        <w:tc>
          <w:tcPr>
            <w:tcW w:w="1134" w:type="dxa"/>
            <w:vAlign w:val="center"/>
          </w:tcPr>
          <w:p>
            <w:pPr>
              <w:jc w:val="right"/>
              <w:rPr>
                <w:rFonts w:ascii="宋体" w:hAnsi="宋体"/>
              </w:rPr>
            </w:pPr>
            <w:r>
              <w:rPr>
                <w:rFonts w:ascii="宋体" w:hAnsi="宋体" w:hint="eastAsia"/>
              </w:rPr>
              <w:t>381,510</w:t>
            </w:r>
          </w:p>
        </w:tc>
        <w:tc>
          <w:tcPr>
            <w:tcW w:w="1275" w:type="dxa"/>
            <w:vAlign w:val="center"/>
          </w:tcPr>
          <w:p>
            <w:pPr>
              <w:jc w:val="center"/>
              <w:rPr>
                <w:rFonts w:ascii="宋体" w:hAnsi="宋体"/>
              </w:rPr>
            </w:pPr>
            <w:r>
              <w:rPr>
                <w:rFonts w:ascii="宋体" w:hAnsi="宋体" w:hint="eastAsia"/>
              </w:rPr>
              <w:t>与资产相关</w:t>
            </w:r>
          </w:p>
        </w:tc>
      </w:tr>
      <w:tr>
        <w:tc>
          <w:tcPr>
            <w:tcW w:w="1421" w:type="dxa"/>
            <w:tcBorders>
              <w:top w:val="single" w:sz="4" w:space="0" w:color="auto"/>
              <w:left w:val="single" w:sz="4" w:space="0" w:color="auto"/>
              <w:bottom w:val="single" w:sz="4" w:space="0" w:color="auto"/>
              <w:right w:val="single" w:sz="4" w:space="0" w:color="auto"/>
            </w:tcBorders>
            <w:vAlign w:val="center"/>
          </w:tcPr>
          <w:p>
            <w:pPr>
              <w:jc w:val="center"/>
            </w:pPr>
            <w:r>
              <w:t>合计</w:t>
            </w:r>
          </w:p>
        </w:tc>
        <w:tc>
          <w:tcPr>
            <w:tcW w:w="11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383,312</w:t>
            </w:r>
          </w:p>
        </w:tc>
        <w:tc>
          <w:tcPr>
            <w:tcW w:w="11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68,049</w:t>
            </w:r>
          </w:p>
        </w:tc>
        <w:tc>
          <w:tcPr>
            <w:tcW w:w="11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69,851</w:t>
            </w:r>
          </w:p>
        </w:tc>
        <w:tc>
          <w:tcPr>
            <w:tcW w:w="100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381,510</w:t>
            </w:r>
          </w:p>
        </w:tc>
        <w:tc>
          <w:tcPr>
            <w:tcW w:w="1275"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w:t>
            </w:r>
          </w:p>
        </w:tc>
      </w:tr>
      <w:bookmarkEnd w:id="530"/>
    </w:tbl>
    <w:p>
      <w:pPr>
        <w:pStyle w:val="Style217"/>
      </w:pPr>
    </w:p>
    <w:p>
      <w:pPr>
        <w:pStyle w:val="Style178"/>
        <w:numPr>
          <w:ilvl w:val="0"/>
          <w:numId w:val="121"/>
        </w:numPr>
        <w:ind w:left="0" w:firstLine="0"/>
      </w:pPr>
      <w:bookmarkStart w:id="531" w:name="_Hlk153267407"/>
      <w:r>
        <w:rPr>
          <w:rFonts w:cs="宋体" w:hint="eastAsia"/>
          <w:kern w:val="0"/>
          <w:szCs w:val="24"/>
        </w:rPr>
        <w:t>计入当期损益的政府补助</w:t>
      </w:r>
    </w:p>
    <w:sdt>
      <w:sdtPr>
        <w:rPr>
          <w:rStyle w:val="Style103"/>
          <w:rFonts w:ascii="宋体" w:hAnsi="宋体"/>
          <w:b w:val="0"/>
          <w:szCs w:val="21"/>
        </w:rPr>
        <w:alias w:val="是否适用：计入当期损益的政府补助[双击切换]"/>
        <w:tag w:val="_GBC_8ddf92f66bfa4f87b73074ebf5a7bd32"/>
        <w:id w:val="461694179"/>
        <w:placeholder>
          <w:docPart w:val="GBC22222222222222222222222222222"/>
        </w:placeholder>
      </w:sdtPr>
      <w:sdtContent>
        <w:p>
          <w:pPr>
            <w:rPr>
              <w:rStyle w:val="Style103"/>
              <w:rFonts w:ascii="宋体" w:hAnsi="宋体"/>
              <w:b w:val="0"/>
              <w:szCs w:val="21"/>
            </w:rPr>
          </w:pPr>
          <w:r>
            <w:rPr>
              <w:rStyle w:val="Style103"/>
              <w:rFonts w:ascii="宋体" w:eastAsia="宋体" w:hAnsi="宋体"/>
              <w:b w:val="0"/>
              <w:szCs w:val="21"/>
            </w:rPr>
            <w:fldChar w:fldCharType="begin"/>
          </w:r>
          <w:r>
            <w:rPr>
              <w:rStyle w:val="Style103"/>
              <w:rFonts w:ascii="宋体" w:eastAsia="宋体" w:hAnsi="宋体" w:hint="eastAsia"/>
              <w:b w:val="0"/>
              <w:szCs w:val="21"/>
            </w:rPr>
            <w:instrText xml:space="preserve">MACROBUTTON  SnrToggleCheckbox √适用 </w:instrText>
          </w:r>
          <w:r>
            <w:rPr>
              <w:rStyle w:val="Style103"/>
              <w:rFonts w:ascii="宋体" w:eastAsia="宋体" w:hAnsi="宋体"/>
              <w:b w:val="0"/>
              <w:szCs w:val="21"/>
            </w:rPr>
            <w:fldChar w:fldCharType="end"/>
          </w:r>
          <w:r>
            <w:rPr>
              <w:rStyle w:val="Style103"/>
              <w:rFonts w:ascii="宋体" w:eastAsia="宋体" w:hAnsi="宋体"/>
              <w:b w:val="0"/>
              <w:szCs w:val="21"/>
            </w:rPr>
            <w:fldChar w:fldCharType="begin"/>
          </w:r>
          <w:r>
            <w:rPr>
              <w:rStyle w:val="Style103"/>
              <w:rFonts w:ascii="宋体" w:eastAsia="宋体" w:hAnsi="宋体" w:hint="eastAsia"/>
              <w:b w:val="0"/>
              <w:szCs w:val="21"/>
            </w:rPr>
            <w:instrText xml:space="preserve"> MACROBUTTON  SnrToggleCheckbox □不适用 </w:instrText>
          </w:r>
          <w:r>
            <w:rPr>
              <w:rStyle w:val="Style103"/>
              <w:rFonts w:ascii="宋体" w:eastAsia="宋体" w:hAnsi="宋体"/>
              <w:b w:val="0"/>
              <w:szCs w:val="21"/>
            </w:rPr>
            <w:fldChar w:fldCharType="end"/>
          </w:r>
        </w:p>
      </w:sdtContent>
    </w:sdt>
    <w:p>
      <w:pPr>
        <w:jc w:val="right"/>
      </w:pPr>
      <w:r>
        <w:rPr>
          <w:rFonts w:hint="eastAsia"/>
        </w:rPr>
        <w:t>单位：</w:t>
      </w:r>
      <w:sdt>
        <w:sdtPr>
          <w:rPr>
            <w:rFonts w:hint="eastAsia"/>
          </w:rPr>
          <w:alias w:val="单位：财务附注：计入当期损益的政府补助"/>
          <w:tag w:val="_GBC_e18208ff61f24ff591a3dc1a23c8a26c"/>
          <w:id w:val="9851393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计入当期损益的政府补助"/>
          <w:tag w:val="_GBC_46d58cfd963545aba949fdc131aee974"/>
          <w:id w:val="-19116908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871"/>
        <w:gridCol w:w="3092"/>
        <w:gridCol w:w="3092"/>
      </w:tblGrid>
      <w:tr>
        <w:trPr>
          <w:trHeight w:val="556"/>
          <w:jc w:val="center"/>
        </w:trPr>
        <w:bookmarkStart w:id="532" w:name="_Hlk224718534" w:displacedByCustomXml="next"/>
        <w:sdt>
          <w:sdtPr>
            <w:tag w:val="_PLD_5b4079791e994686811417a70944bd9d"/>
            <w:id w:val="-716516862"/>
          </w:sdtPr>
          <w:sdtContent>
            <w:tc>
              <w:tcPr>
                <w:tcW w:w="287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类型</w:t>
                </w:r>
              </w:p>
            </w:tc>
          </w:sdtContent>
        </w:sdt>
        <w:sdt>
          <w:sdtPr>
            <w:tag w:val="_PLD_ae1ceb2d189344a5ad7763348cb654c3"/>
            <w:id w:val="269738430"/>
          </w:sdtPr>
          <w:sdtContent>
            <w:tc>
              <w:tcPr>
                <w:tcW w:w="3092" w:type="dxa"/>
                <w:tcBorders>
                  <w:top w:val="single" w:sz="4" w:space="0" w:color="auto"/>
                  <w:left w:val="single" w:sz="4" w:space="0" w:color="auto"/>
                  <w:bottom w:val="single" w:sz="4" w:space="0" w:color="auto"/>
                  <w:right w:val="single" w:sz="4" w:space="0" w:color="auto"/>
                </w:tcBorders>
                <w:vAlign w:val="center"/>
              </w:tcPr>
              <w:p>
                <w:pPr>
                  <w:jc w:val="center"/>
                </w:pPr>
                <w:r>
                  <w:t>本期发生额</w:t>
                </w:r>
              </w:p>
            </w:tc>
          </w:sdtContent>
        </w:sdt>
        <w:sdt>
          <w:sdtPr>
            <w:tag w:val="_PLD_e615d326bd42416e8f3721fad0ff2852"/>
            <w:id w:val="-1616591450"/>
          </w:sdtPr>
          <w:sdtContent>
            <w:tc>
              <w:tcPr>
                <w:tcW w:w="3092" w:type="dxa"/>
                <w:tcBorders>
                  <w:top w:val="single" w:sz="4" w:space="0" w:color="auto"/>
                  <w:left w:val="single" w:sz="4" w:space="0" w:color="auto"/>
                  <w:bottom w:val="single" w:sz="4" w:space="0" w:color="auto"/>
                  <w:right w:val="single" w:sz="4" w:space="0" w:color="auto"/>
                </w:tcBorders>
                <w:vAlign w:val="center"/>
              </w:tcPr>
              <w:p>
                <w:pPr>
                  <w:jc w:val="center"/>
                </w:pPr>
                <w:r>
                  <w:t>上期发生额</w:t>
                </w:r>
              </w:p>
            </w:tc>
          </w:sdtContent>
        </w:sdt>
      </w:tr>
      <w:tr>
        <w:trPr>
          <w:jc w:val="center"/>
        </w:trPr>
        <w:tc>
          <w:tcPr>
            <w:tcW w:w="2871" w:type="dxa"/>
            <w:tcBorders>
              <w:top w:val="single" w:sz="4" w:space="0" w:color="auto"/>
              <w:left w:val="single" w:sz="4" w:space="0" w:color="auto"/>
              <w:bottom w:val="single" w:sz="4" w:space="0" w:color="auto"/>
              <w:right w:val="single" w:sz="4" w:space="0" w:color="auto"/>
            </w:tcBorders>
            <w:vAlign w:val="center"/>
          </w:tcPr>
          <w:sdt>
            <w:sdtPr>
              <w:alias w:val="计入当期损益的政府补助项目名称"/>
              <w:tag w:val="_GBC_30e0d7873e3b41d781ec9deee5fe8de4"/>
              <w:id w:val="-851635984"/>
              <w:comboBox>
                <w:listItem w:displayText="与资产相关" w:value="与资产相关"/>
                <w:listItem w:displayText="与收益相关" w:value="与收益相关"/>
                <w:listItem w:displayText="其他" w:value="其他"/>
              </w:comboBox>
            </w:sdtPr>
            <w:sdtContent>
              <w:p>
                <w:pPr>
                  <w:pStyle w:val="Style217"/>
                </w:pPr>
                <w:r>
                  <w:t>与资产相关</w:t>
                </w:r>
              </w:p>
            </w:sdtContent>
          </w:sdt>
        </w:tc>
        <w:tc>
          <w:tcPr>
            <w:tcW w:w="30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69,851</w:t>
            </w:r>
          </w:p>
        </w:tc>
        <w:tc>
          <w:tcPr>
            <w:tcW w:w="30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65,656</w:t>
            </w:r>
          </w:p>
        </w:tc>
      </w:tr>
      <w:tr>
        <w:trPr>
          <w:jc w:val="center"/>
        </w:trPr>
        <w:tc>
          <w:tcPr>
            <w:tcW w:w="2871" w:type="dxa"/>
            <w:tcBorders>
              <w:top w:val="single" w:sz="4" w:space="0" w:color="auto"/>
              <w:left w:val="single" w:sz="4" w:space="0" w:color="auto"/>
              <w:bottom w:val="single" w:sz="4" w:space="0" w:color="auto"/>
              <w:right w:val="single" w:sz="4" w:space="0" w:color="auto"/>
            </w:tcBorders>
            <w:vAlign w:val="center"/>
          </w:tcPr>
          <w:sdt>
            <w:sdtPr>
              <w:alias w:val="计入当期损益的政府补助项目名称"/>
              <w:tag w:val="_GBC_30e0d7873e3b41d781ec9deee5fe8de4"/>
              <w:id w:val="235289398"/>
              <w:comboBox>
                <w:listItem w:displayText="与资产相关" w:value="与资产相关"/>
                <w:listItem w:displayText="与收益相关" w:value="与收益相关"/>
                <w:listItem w:displayText="其他" w:value="其他"/>
              </w:comboBox>
            </w:sdtPr>
            <w:sdtContent>
              <w:p>
                <w:pPr>
                  <w:pStyle w:val="Style217"/>
                </w:pPr>
                <w:r>
                  <w:t>与收益相关</w:t>
                </w:r>
              </w:p>
            </w:sdtContent>
          </w:sdt>
        </w:tc>
        <w:tc>
          <w:tcPr>
            <w:tcW w:w="30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339,958</w:t>
            </w:r>
          </w:p>
        </w:tc>
        <w:tc>
          <w:tcPr>
            <w:tcW w:w="30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331,959</w:t>
            </w:r>
          </w:p>
        </w:tc>
      </w:tr>
      <w:tr>
        <w:trPr>
          <w:jc w:val="center"/>
        </w:trPr>
        <w:tc>
          <w:tcPr>
            <w:tcW w:w="287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30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409,809</w:t>
            </w:r>
          </w:p>
        </w:tc>
        <w:tc>
          <w:tcPr>
            <w:tcW w:w="30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397,615</w:t>
            </w:r>
          </w:p>
        </w:tc>
      </w:tr>
      <w:bookmarkEnd w:id="532"/>
    </w:tbl>
    <w:p>
      <w:pPr>
        <w:pStyle w:val="Style217"/>
      </w:pPr>
    </w:p>
    <w:p>
      <w:pPr>
        <w:pStyle w:val="Style217"/>
      </w:pPr>
      <w:bookmarkStart w:id="533" w:name="_Hlk153267868"/>
      <w:bookmarkEnd w:id="531"/>
      <w:r>
        <w:rPr>
          <w:rFonts w:hint="eastAsia"/>
        </w:rPr>
        <w:t>其他说明：</w:t>
      </w:r>
    </w:p>
    <w:p>
      <w:pPr>
        <w:pStyle w:val="Style217"/>
      </w:pPr>
      <w:sdt>
        <w:sdtPr>
          <w:alias w:val="政府补助说明"/>
          <w:tag w:val="_GBC_8011e9ada7d741aeb9f59a958e812614"/>
          <w:id w:val="-864908861"/>
          <w:placeholder>
            <w:docPart w:val="GBC22222222222222222222222222222"/>
          </w:placeholder>
        </w:sdtPr>
        <w:sdtContent>
          <w:r>
            <w:rPr>
              <w:rFonts w:hint="eastAsia"/>
            </w:rPr>
            <w:t>-</w:t>
          </w:r>
        </w:sdtContent>
      </w:sdt>
    </w:p>
    <w:p>
      <w:pPr>
        <w:pStyle w:val="Style217"/>
      </w:pPr>
    </w:p>
    <w:bookmarkEnd w:id="533"/>
    <w:p>
      <w:pPr>
        <w:pStyle w:val="Style177"/>
        <w:numPr>
          <w:ilvl w:val="0"/>
          <w:numId w:val="66"/>
        </w:numPr>
        <w:rPr>
          <w:rFonts w:ascii="宋体" w:hAnsi="宋体"/>
        </w:rPr>
      </w:pPr>
      <w:r>
        <w:rPr>
          <w:rFonts w:hint="eastAsia"/>
        </w:rPr>
        <w:t>与金融工具相关的风险</w:t>
      </w:r>
    </w:p>
    <w:p>
      <w:pPr>
        <w:pStyle w:val="Style178"/>
        <w:numPr>
          <w:ilvl w:val="0"/>
          <w:numId w:val="122"/>
        </w:numPr>
      </w:pPr>
      <w:r>
        <w:rPr>
          <w:rFonts w:hint="eastAsia"/>
        </w:rPr>
        <w:t>金融工具的风险</w:t>
      </w:r>
    </w:p>
    <w:sdt>
      <w:sdtPr>
        <w:alias w:val="是否适用：与金融工具相关的风险[双击切换]"/>
        <w:tag w:val="_GBC_2be38aac6aaa4945a48be2cdc11eaaf6"/>
        <w:id w:val="156506165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与金融工具相关的风险"/>
        <w:tag w:val="_GBC_f6714dfdbb554edeb7e7fde71c65346d"/>
        <w:id w:val="691348459"/>
        <w:placeholder>
          <w:docPart w:val="GBC22222222222222222222222222222"/>
        </w:placeholder>
      </w:sdtPr>
      <w:sdtEndPr>
        <w:rPr>
          <w:b/>
        </w:rPr>
      </w:sdtEndPr>
      <w:sdtContent>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本集团的金融工具包括货币资金、应收账款、应收款项融资、其他应收款、长期应收款、债权投资、发放贷款及垫款、应收保理款、其他权益工具投资、交易性金融资产和其他非流动金融资产、交易性金融负债、借款、应付款项及应付债券等，各项金融工具的详细情况说明见本附注“七、合并财务报表主要项目注释”。与这些金融工具有关的风险，以及本集团为降低这些风险所采取的风险管理政策如下所述。本集团管理层对这些风险敞口进行管理和监控以确保将上述风险控制在限定的范围之内。本集团所面临的风险敞口及管理和监控这些风险的措施均未发生重大变化。本集团的金融工具导致的主要风险是信用风险、流动性风险及市场风险。本集团的金融工具导致的主要风险是信用风险、流动性风险及市场风险。</w:t>
          </w:r>
        </w:p>
        <w:p>
          <w:pPr>
            <w:pStyle w:val="Style178"/>
            <w:rPr>
              <w:rFonts w:hAnsi="宋体" w:cs="宋体"/>
              <w:kern w:val="0"/>
              <w:szCs w:val="21"/>
            </w:rPr>
          </w:pPr>
          <w:r>
            <w:rPr>
              <w:rFonts w:ascii="宋体" w:hAnsi="宋体" w:cs="宋体" w:hint="eastAsia"/>
              <w:kern w:val="0"/>
              <w:szCs w:val="21"/>
            </w:rPr>
            <w:t>（1）各类风险管理目标和政策</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pPr>
            <w:pStyle w:val="Style209"/>
            <w:ind w:left="426"/>
            <w:rPr>
              <w:rFonts w:hAnsi="宋体" w:cs="宋体"/>
              <w:szCs w:val="21"/>
            </w:rPr>
          </w:pPr>
          <w:r>
            <w:rPr>
              <w:rFonts w:hAnsi="宋体" w:cs="宋体" w:hint="eastAsia"/>
              <w:szCs w:val="21"/>
            </w:rPr>
            <w:t>1）市场风险</w:t>
          </w:r>
        </w:p>
        <w:p>
          <w:pPr>
            <w:pStyle w:val="Style210"/>
            <w:spacing w:after="120"/>
            <w:rPr>
              <w:rFonts w:hAnsi="宋体" w:cs="宋体"/>
              <w:szCs w:val="21"/>
            </w:rPr>
          </w:pPr>
          <w:r>
            <w:rPr>
              <w:rFonts w:hAnsi="宋体" w:cs="宋体" w:hint="eastAsia"/>
              <w:szCs w:val="21"/>
            </w:rPr>
            <w:lastRenderedPageBreak/>
            <w:t>汇率风险</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于2025年12月31日，除下表所述货币性资产及负债的美元、澳元、港币、欧元、加元余额外，本集团的货币性资产及负债均为人民币余额。该等余额的资产和负债产生的汇率风险可能对本集团的经营业绩产生影响。</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78|0|desc|||0|1"/>
          </w:tblPr>
          <w:tblGrid>
            <w:gridCol w:w="2860"/>
            <w:gridCol w:w="2859"/>
            <w:gridCol w:w="2860"/>
          </w:tblGrid>
          <w:tr>
            <w:trPr>
              <w:trHeight w:val="397"/>
              <w:tblHeader/>
              <w:jc w:val="center"/>
            </w:trPr>
            <w:tc>
              <w:tcPr>
                <w:tcW w:w="2860" w:type="dxa"/>
                <w:shd w:val="clear" w:color="auto" w:fill="auto"/>
                <w:vAlign w:val="center"/>
              </w:tcPr>
              <w:p>
                <w:pPr>
                  <w:jc w:val="center"/>
                  <w:rPr>
                    <w:rFonts w:ascii="宋体" w:hAnsi="宋体" w:cs="宋体"/>
                    <w:b/>
                    <w:bCs/>
                    <w:color w:val="000000"/>
                  </w:rPr>
                </w:pPr>
                <w:r>
                  <w:rPr>
                    <w:rFonts w:ascii="宋体" w:hAnsi="宋体" w:cs="宋体" w:hint="eastAsia"/>
                    <w:b/>
                    <w:bCs/>
                    <w:color w:val="000000"/>
                  </w:rPr>
                  <w:t>项目</w:t>
                </w:r>
              </w:p>
            </w:tc>
            <w:tc>
              <w:tcPr>
                <w:tcW w:w="2859" w:type="dxa"/>
                <w:shd w:val="clear" w:color="auto" w:fill="auto"/>
                <w:vAlign w:val="center"/>
              </w:tcPr>
              <w:p>
                <w:pPr>
                  <w:jc w:val="center"/>
                  <w:rPr>
                    <w:rFonts w:ascii="宋体" w:hAnsi="宋体" w:cs="宋体"/>
                    <w:b/>
                    <w:bCs/>
                    <w:color w:val="000000"/>
                  </w:rPr>
                </w:pPr>
                <w:r>
                  <w:rPr>
                    <w:rFonts w:ascii="宋体" w:hAnsi="宋体" w:cs="宋体" w:hint="eastAsia"/>
                    <w:b/>
                    <w:bCs/>
                    <w:color w:val="000000"/>
                  </w:rPr>
                  <w:t>资产年末余额</w:t>
                </w:r>
              </w:p>
            </w:tc>
            <w:tc>
              <w:tcPr>
                <w:tcW w:w="2860" w:type="dxa"/>
                <w:shd w:val="clear" w:color="auto" w:fill="auto"/>
                <w:vAlign w:val="center"/>
              </w:tcPr>
              <w:p>
                <w:pPr>
                  <w:jc w:val="center"/>
                  <w:rPr>
                    <w:rFonts w:ascii="宋体" w:hAnsi="宋体" w:cs="宋体"/>
                    <w:b/>
                    <w:bCs/>
                    <w:color w:val="000000"/>
                  </w:rPr>
                </w:pPr>
                <w:r>
                  <w:rPr>
                    <w:rFonts w:ascii="宋体" w:hAnsi="宋体" w:cs="宋体" w:hint="eastAsia"/>
                    <w:b/>
                    <w:bCs/>
                    <w:color w:val="000000"/>
                  </w:rPr>
                  <w:t>负债年末余额</w:t>
                </w:r>
              </w:p>
            </w:tc>
          </w:tr>
          <w:tr>
            <w:trPr>
              <w:trHeight w:val="397"/>
              <w:jc w:val="center"/>
            </w:trPr>
            <w:tc>
              <w:tcPr>
                <w:tcW w:w="2860" w:type="dxa"/>
                <w:shd w:val="clear" w:color="auto" w:fill="auto"/>
                <w:vAlign w:val="center"/>
              </w:tcPr>
              <w:p>
                <w:pPr>
                  <w:rPr>
                    <w:rFonts w:ascii="宋体" w:hAnsi="宋体" w:cs="宋体"/>
                    <w:color w:val="000000"/>
                  </w:rPr>
                </w:pPr>
                <w:r>
                  <w:rPr>
                    <w:rFonts w:ascii="宋体" w:hAnsi="宋体" w:cs="宋体" w:hint="eastAsia"/>
                    <w:color w:val="000000"/>
                  </w:rPr>
                  <w:t>美元</w:t>
                </w:r>
              </w:p>
            </w:tc>
            <w:tc>
              <w:tcPr>
                <w:tcW w:w="2859" w:type="dxa"/>
                <w:shd w:val="clear" w:color="auto" w:fill="auto"/>
                <w:vAlign w:val="center"/>
              </w:tcPr>
              <w:p>
                <w:pPr>
                  <w:jc w:val="right"/>
                  <w:rPr>
                    <w:rFonts w:ascii="宋体" w:hAnsi="宋体" w:cs="宋体"/>
                    <w:color w:val="000000"/>
                  </w:rPr>
                </w:pPr>
                <w:r>
                  <w:rPr>
                    <w:rFonts w:ascii="宋体" w:hAnsi="宋体"/>
                  </w:rPr>
                  <w:t>612,540</w:t>
                </w:r>
              </w:p>
            </w:tc>
            <w:tc>
              <w:tcPr>
                <w:tcW w:w="2860" w:type="dxa"/>
                <w:shd w:val="clear" w:color="auto" w:fill="auto"/>
                <w:vAlign w:val="center"/>
              </w:tcPr>
              <w:p>
                <w:pPr>
                  <w:jc w:val="right"/>
                  <w:rPr>
                    <w:rFonts w:ascii="宋体" w:hAnsi="宋体" w:cs="宋体"/>
                    <w:color w:val="000000"/>
                  </w:rPr>
                </w:pPr>
                <w:r>
                  <w:rPr>
                    <w:rFonts w:ascii="宋体" w:hAnsi="宋体" w:cs="宋体"/>
                  </w:rPr>
                  <w:t>33,241</w:t>
                </w:r>
              </w:p>
            </w:tc>
          </w:tr>
          <w:tr>
            <w:trPr>
              <w:trHeight w:val="397"/>
              <w:jc w:val="center"/>
            </w:trPr>
            <w:tc>
              <w:tcPr>
                <w:tcW w:w="2860" w:type="dxa"/>
                <w:shd w:val="clear" w:color="auto" w:fill="auto"/>
                <w:vAlign w:val="center"/>
              </w:tcPr>
              <w:p>
                <w:pPr>
                  <w:rPr>
                    <w:rFonts w:ascii="宋体" w:hAnsi="宋体" w:cs="宋体"/>
                    <w:color w:val="000000"/>
                  </w:rPr>
                </w:pPr>
                <w:r>
                  <w:rPr>
                    <w:rFonts w:ascii="宋体" w:hAnsi="宋体" w:cs="宋体" w:hint="eastAsia"/>
                    <w:color w:val="000000"/>
                  </w:rPr>
                  <w:t>澳元</w:t>
                </w:r>
              </w:p>
            </w:tc>
            <w:tc>
              <w:tcPr>
                <w:tcW w:w="2859" w:type="dxa"/>
                <w:shd w:val="clear" w:color="auto" w:fill="auto"/>
                <w:vAlign w:val="center"/>
              </w:tcPr>
              <w:p>
                <w:pPr>
                  <w:jc w:val="right"/>
                  <w:rPr>
                    <w:rFonts w:ascii="宋体" w:hAnsi="宋体" w:cs="宋体"/>
                    <w:color w:val="000000"/>
                  </w:rPr>
                </w:pPr>
                <w:r>
                  <w:rPr>
                    <w:rFonts w:ascii="宋体" w:hAnsi="宋体"/>
                  </w:rPr>
                  <w:t>2,302,648</w:t>
                </w:r>
              </w:p>
            </w:tc>
            <w:tc>
              <w:tcPr>
                <w:tcW w:w="2860" w:type="dxa"/>
                <w:shd w:val="clear" w:color="auto" w:fill="auto"/>
                <w:vAlign w:val="center"/>
              </w:tcPr>
              <w:p>
                <w:pPr>
                  <w:jc w:val="right"/>
                  <w:rPr>
                    <w:rFonts w:ascii="宋体" w:hAnsi="宋体" w:cs="宋体"/>
                    <w:color w:val="000000"/>
                  </w:rPr>
                </w:pPr>
                <w:r>
                  <w:rPr>
                    <w:rFonts w:ascii="宋体" w:hAnsi="宋体" w:cs="宋体" w:hint="eastAsia"/>
                  </w:rPr>
                  <w:t>1,214,090</w:t>
                </w:r>
              </w:p>
            </w:tc>
          </w:tr>
          <w:tr>
            <w:trPr>
              <w:trHeight w:val="397"/>
              <w:jc w:val="center"/>
            </w:trPr>
            <w:tc>
              <w:tcPr>
                <w:tcW w:w="2860" w:type="dxa"/>
                <w:shd w:val="clear" w:color="auto" w:fill="auto"/>
                <w:vAlign w:val="center"/>
              </w:tcPr>
              <w:p>
                <w:pPr>
                  <w:rPr>
                    <w:rFonts w:ascii="宋体" w:hAnsi="宋体" w:cs="宋体"/>
                    <w:color w:val="000000"/>
                  </w:rPr>
                </w:pPr>
                <w:r>
                  <w:rPr>
                    <w:rFonts w:ascii="宋体" w:hAnsi="宋体" w:cs="宋体" w:hint="eastAsia"/>
                    <w:color w:val="000000"/>
                  </w:rPr>
                  <w:t>加元</w:t>
                </w:r>
              </w:p>
            </w:tc>
            <w:tc>
              <w:tcPr>
                <w:tcW w:w="2859" w:type="dxa"/>
                <w:shd w:val="clear" w:color="auto" w:fill="auto"/>
                <w:vAlign w:val="center"/>
              </w:tcPr>
              <w:p>
                <w:pPr>
                  <w:jc w:val="right"/>
                  <w:rPr>
                    <w:rFonts w:ascii="宋体" w:hAnsi="宋体" w:cs="宋体"/>
                    <w:color w:val="000000"/>
                  </w:rPr>
                </w:pPr>
                <w:r>
                  <w:rPr>
                    <w:rFonts w:ascii="宋体" w:hAnsi="宋体" w:cs="宋体" w:hint="eastAsia"/>
                    <w:color w:val="000000"/>
                  </w:rPr>
                  <w:t>345</w:t>
                </w:r>
              </w:p>
            </w:tc>
            <w:tc>
              <w:tcPr>
                <w:tcW w:w="2860" w:type="dxa"/>
                <w:shd w:val="clear" w:color="auto" w:fill="auto"/>
                <w:vAlign w:val="center"/>
              </w:tcPr>
              <w:p>
                <w:pPr>
                  <w:jc w:val="right"/>
                  <w:rPr>
                    <w:rFonts w:ascii="宋体" w:hAnsi="宋体" w:cs="宋体"/>
                    <w:color w:val="000000"/>
                  </w:rPr>
                </w:pPr>
                <w:r>
                  <w:rPr>
                    <w:rFonts w:ascii="宋体" w:hAnsi="宋体" w:cs="宋体" w:hint="eastAsia"/>
                  </w:rPr>
                  <w:t>267</w:t>
                </w:r>
              </w:p>
            </w:tc>
          </w:tr>
          <w:tr>
            <w:trPr>
              <w:trHeight w:val="397"/>
              <w:jc w:val="center"/>
            </w:trPr>
            <w:tc>
              <w:tcPr>
                <w:tcW w:w="2860" w:type="dxa"/>
                <w:shd w:val="clear" w:color="auto" w:fill="auto"/>
                <w:vAlign w:val="center"/>
              </w:tcPr>
              <w:p>
                <w:pPr>
                  <w:rPr>
                    <w:rFonts w:ascii="宋体" w:hAnsi="宋体" w:cs="宋体"/>
                    <w:color w:val="000000"/>
                  </w:rPr>
                </w:pPr>
                <w:r>
                  <w:rPr>
                    <w:rFonts w:ascii="宋体" w:hAnsi="宋体" w:cs="宋体" w:hint="eastAsia"/>
                    <w:color w:val="000000"/>
                  </w:rPr>
                  <w:t>港币</w:t>
                </w:r>
              </w:p>
            </w:tc>
            <w:tc>
              <w:tcPr>
                <w:tcW w:w="2859" w:type="dxa"/>
                <w:shd w:val="clear" w:color="auto" w:fill="auto"/>
                <w:vAlign w:val="center"/>
              </w:tcPr>
              <w:p>
                <w:pPr>
                  <w:jc w:val="right"/>
                  <w:rPr>
                    <w:rFonts w:ascii="宋体" w:hAnsi="宋体" w:cs="宋体"/>
                    <w:color w:val="000000"/>
                  </w:rPr>
                </w:pPr>
                <w:r>
                  <w:rPr>
                    <w:rFonts w:ascii="宋体" w:hAnsi="宋体" w:cs="宋体"/>
                    <w:color w:val="000000"/>
                  </w:rPr>
                  <w:t>1,168,760</w:t>
                </w:r>
              </w:p>
            </w:tc>
            <w:tc>
              <w:tcPr>
                <w:tcW w:w="2860" w:type="dxa"/>
                <w:shd w:val="clear" w:color="auto" w:fill="auto"/>
                <w:vAlign w:val="center"/>
              </w:tcPr>
              <w:p>
                <w:pPr>
                  <w:jc w:val="right"/>
                  <w:rPr>
                    <w:rFonts w:ascii="宋体" w:hAnsi="宋体" w:cs="宋体"/>
                    <w:color w:val="000000"/>
                  </w:rPr>
                </w:pPr>
                <w:r>
                  <w:rPr>
                    <w:rFonts w:ascii="宋体" w:hAnsi="宋体" w:cs="宋体" w:hint="eastAsia"/>
                  </w:rPr>
                  <w:t>11,187,511</w:t>
                </w:r>
              </w:p>
            </w:tc>
          </w:tr>
          <w:tr>
            <w:trPr>
              <w:trHeight w:val="397"/>
              <w:jc w:val="center"/>
            </w:trPr>
            <w:tc>
              <w:tcPr>
                <w:tcW w:w="2860" w:type="dxa"/>
                <w:shd w:val="clear" w:color="auto" w:fill="auto"/>
                <w:vAlign w:val="center"/>
              </w:tcPr>
              <w:p>
                <w:pPr>
                  <w:rPr>
                    <w:rFonts w:ascii="宋体" w:hAnsi="宋体" w:cs="宋体"/>
                    <w:color w:val="000000"/>
                  </w:rPr>
                </w:pPr>
                <w:r>
                  <w:rPr>
                    <w:rFonts w:ascii="宋体" w:hAnsi="宋体" w:cs="宋体" w:hint="eastAsia"/>
                    <w:color w:val="000000"/>
                  </w:rPr>
                  <w:t>欧元</w:t>
                </w:r>
              </w:p>
            </w:tc>
            <w:tc>
              <w:tcPr>
                <w:tcW w:w="2859" w:type="dxa"/>
                <w:shd w:val="clear" w:color="auto" w:fill="auto"/>
                <w:vAlign w:val="center"/>
              </w:tcPr>
              <w:p>
                <w:pPr>
                  <w:jc w:val="right"/>
                  <w:rPr>
                    <w:rFonts w:ascii="宋体" w:hAnsi="宋体" w:cs="宋体"/>
                    <w:color w:val="000000"/>
                  </w:rPr>
                </w:pPr>
                <w:r>
                  <w:rPr>
                    <w:rFonts w:ascii="宋体" w:hAnsi="宋体" w:cs="宋体"/>
                    <w:color w:val="000000"/>
                  </w:rPr>
                  <w:t>123,220</w:t>
                </w:r>
              </w:p>
            </w:tc>
            <w:tc>
              <w:tcPr>
                <w:tcW w:w="2860" w:type="dxa"/>
                <w:shd w:val="clear" w:color="auto" w:fill="auto"/>
                <w:vAlign w:val="center"/>
              </w:tcPr>
              <w:p>
                <w:pPr>
                  <w:jc w:val="right"/>
                  <w:rPr>
                    <w:rFonts w:ascii="宋体" w:hAnsi="宋体" w:cs="宋体"/>
                    <w:color w:val="000000"/>
                  </w:rPr>
                </w:pPr>
                <w:r>
                  <w:rPr>
                    <w:rFonts w:ascii="宋体" w:hAnsi="宋体" w:cs="宋体" w:hint="eastAsia"/>
                  </w:rPr>
                  <w:t>69,389</w:t>
                </w:r>
              </w:p>
            </w:tc>
          </w:tr>
        </w:tbl>
        <w:p>
          <w:pPr>
            <w:pStyle w:val="Style210"/>
            <w:spacing w:after="120"/>
            <w:rPr>
              <w:rFonts w:hAnsi="宋体" w:cs="宋体"/>
              <w:szCs w:val="21"/>
            </w:rPr>
          </w:pPr>
          <w:r>
            <w:rPr>
              <w:rFonts w:hAnsi="宋体" w:cs="宋体" w:hint="eastAsia"/>
              <w:szCs w:val="21"/>
            </w:rPr>
            <w:t>利率风险</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本集团的利率风险产生于银行借款及应付债券等带息债务。浮动利率的金融负债使本集团面临现金流量利率风险，固定利率的金融负债使本集团面临公允价值利率风险。本集团根据当时的市场环境来决定固定利率及浮动利率合同的相对比例。</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本集团因利率变动引起金融工具公允价值变动的风险主要与固定利率银行借款以及债券等有关。对于固定利率借款，本集团的目标是保持其浮动利率。</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本集团因利率变动引起金融工具现金流量变动的风险主要与浮动利率银行借款以及债券等有关。本集团的政策是保持这些借款的浮动利率，以消除利率变动的公允价值风险。</w:t>
          </w:r>
        </w:p>
        <w:p>
          <w:pPr>
            <w:spacing w:line="360" w:lineRule="exact"/>
            <w:ind w:firstLineChars="200" w:firstLine="420"/>
            <w:rPr>
              <w:rFonts w:ascii="宋体" w:hAnsi="宋体" w:cs="宋体"/>
            </w:rPr>
          </w:pPr>
          <w:r>
            <w:rPr>
              <w:rFonts w:ascii="宋体" w:hAnsi="宋体" w:cs="宋体" w:hint="eastAsia"/>
            </w:rPr>
            <w:t>于2025年12月31日，本集团的带息债务利率如下：</w:t>
          </w:r>
        </w:p>
        <w:tbl>
          <w:tblPr>
            <w:tblStyle w:val="Style100"/>
            <w:tblW w:w="893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79|0|desc|||0|1"/>
          </w:tblPr>
          <w:tblGrid>
            <w:gridCol w:w="2128"/>
            <w:gridCol w:w="1558"/>
            <w:gridCol w:w="5245"/>
          </w:tblGrid>
          <w:tr>
            <w:trPr>
              <w:trHeight w:val="397"/>
              <w:tblHeader/>
              <w:jc w:val="center"/>
            </w:trPr>
            <w:tc>
              <w:tcPr>
                <w:tcW w:w="2128" w:type="dxa"/>
                <w:shd w:val="clear" w:color="auto" w:fill="auto"/>
                <w:vAlign w:val="center"/>
              </w:tcPr>
              <w:p>
                <w:pPr>
                  <w:jc w:val="center"/>
                  <w:rPr>
                    <w:rFonts w:ascii="宋体" w:hAnsi="宋体" w:cs="宋体"/>
                    <w:b/>
                    <w:bCs/>
                    <w:color w:val="000000"/>
                  </w:rPr>
                </w:pPr>
                <w:r>
                  <w:rPr>
                    <w:rFonts w:ascii="宋体" w:hAnsi="宋体" w:cs="宋体" w:hint="eastAsia"/>
                    <w:b/>
                    <w:bCs/>
                    <w:color w:val="000000"/>
                  </w:rPr>
                  <w:t>项目</w:t>
                </w:r>
              </w:p>
            </w:tc>
            <w:tc>
              <w:tcPr>
                <w:tcW w:w="1558" w:type="dxa"/>
                <w:shd w:val="clear" w:color="auto" w:fill="auto"/>
                <w:vAlign w:val="center"/>
              </w:tcPr>
              <w:p>
                <w:pPr>
                  <w:jc w:val="center"/>
                  <w:rPr>
                    <w:rFonts w:ascii="宋体" w:hAnsi="宋体" w:cs="宋体"/>
                    <w:b/>
                    <w:bCs/>
                    <w:color w:val="000000"/>
                  </w:rPr>
                </w:pPr>
                <w:r>
                  <w:rPr>
                    <w:rFonts w:ascii="宋体" w:hAnsi="宋体" w:cs="宋体" w:hint="eastAsia"/>
                    <w:b/>
                    <w:bCs/>
                    <w:color w:val="000000"/>
                  </w:rPr>
                  <w:t>年末余额</w:t>
                </w:r>
              </w:p>
            </w:tc>
            <w:tc>
              <w:tcPr>
                <w:tcW w:w="5245" w:type="dxa"/>
                <w:shd w:val="clear" w:color="auto" w:fill="auto"/>
                <w:vAlign w:val="center"/>
              </w:tcPr>
              <w:p>
                <w:pPr>
                  <w:jc w:val="center"/>
                  <w:rPr>
                    <w:rFonts w:ascii="宋体" w:hAnsi="宋体" w:cs="宋体"/>
                    <w:b/>
                    <w:bCs/>
                    <w:color w:val="000000"/>
                  </w:rPr>
                </w:pPr>
                <w:r>
                  <w:rPr>
                    <w:rFonts w:ascii="宋体" w:hAnsi="宋体" w:cs="宋体" w:hint="eastAsia"/>
                    <w:b/>
                    <w:bCs/>
                    <w:color w:val="000000"/>
                  </w:rPr>
                  <w:t>利率区间</w:t>
                </w:r>
              </w:p>
            </w:tc>
          </w:tr>
          <w:tr>
            <w:trPr>
              <w:trHeight w:val="397"/>
              <w:jc w:val="center"/>
            </w:trPr>
            <w:tc>
              <w:tcPr>
                <w:tcW w:w="2128" w:type="dxa"/>
                <w:shd w:val="clear" w:color="auto" w:fill="auto"/>
                <w:vAlign w:val="center"/>
              </w:tcPr>
              <w:p>
                <w:pPr>
                  <w:rPr>
                    <w:rFonts w:ascii="宋体" w:hAnsi="宋体" w:cs="宋体"/>
                    <w:color w:val="000000"/>
                  </w:rPr>
                </w:pPr>
                <w:r>
                  <w:rPr>
                    <w:rFonts w:ascii="宋体" w:hAnsi="宋体" w:cs="宋体" w:hint="eastAsia"/>
                    <w:color w:val="000000"/>
                  </w:rPr>
                  <w:t>短期借款</w:t>
                </w:r>
              </w:p>
            </w:tc>
            <w:tc>
              <w:tcPr>
                <w:tcW w:w="1558" w:type="dxa"/>
                <w:shd w:val="clear" w:color="auto" w:fill="auto"/>
                <w:vAlign w:val="center"/>
              </w:tcPr>
              <w:p>
                <w:pPr>
                  <w:jc w:val="right"/>
                  <w:rPr>
                    <w:rFonts w:ascii="宋体" w:hAnsi="宋体" w:cs="宋体"/>
                    <w:color w:val="000000"/>
                  </w:rPr>
                </w:pPr>
                <w:r>
                  <w:rPr>
                    <w:rFonts w:ascii="宋体" w:hAnsi="宋体" w:cs="宋体" w:hint="eastAsia"/>
                  </w:rPr>
                  <w:t>20,958,181</w:t>
                </w:r>
              </w:p>
            </w:tc>
            <w:tc>
              <w:tcPr>
                <w:tcW w:w="5245" w:type="dxa"/>
                <w:shd w:val="clear" w:color="auto" w:fill="auto"/>
                <w:vAlign w:val="center"/>
              </w:tcPr>
              <w:p>
                <w:pPr>
                  <w:rPr>
                    <w:rFonts w:ascii="宋体" w:hAnsi="宋体" w:cs="宋体"/>
                    <w:color w:val="000000"/>
                  </w:rPr>
                </w:pPr>
                <w:r>
                  <w:rPr>
                    <w:rFonts w:ascii="宋体" w:hAnsi="宋体" w:cs="宋体" w:hint="eastAsia"/>
                  </w:rPr>
                  <w:t>人民币借款利率在1.99%-3.73%之间</w:t>
                </w:r>
              </w:p>
            </w:tc>
          </w:tr>
          <w:tr>
            <w:trPr>
              <w:trHeight w:val="397"/>
              <w:jc w:val="center"/>
            </w:trPr>
            <w:tc>
              <w:tcPr>
                <w:tcW w:w="2128" w:type="dxa"/>
                <w:shd w:val="clear" w:color="auto" w:fill="auto"/>
                <w:vAlign w:val="center"/>
              </w:tcPr>
              <w:p>
                <w:pPr>
                  <w:rPr>
                    <w:rFonts w:ascii="宋体" w:hAnsi="宋体" w:cs="宋体"/>
                    <w:color w:val="000000"/>
                  </w:rPr>
                </w:pPr>
                <w:r>
                  <w:rPr>
                    <w:rFonts w:ascii="宋体" w:hAnsi="宋体" w:cs="宋体" w:hint="eastAsia"/>
                    <w:color w:val="000000"/>
                  </w:rPr>
                  <w:t>一年内到期的长期借款</w:t>
                </w:r>
              </w:p>
            </w:tc>
            <w:tc>
              <w:tcPr>
                <w:tcW w:w="1558" w:type="dxa"/>
                <w:shd w:val="clear" w:color="auto" w:fill="auto"/>
                <w:vAlign w:val="center"/>
              </w:tcPr>
              <w:p>
                <w:pPr>
                  <w:jc w:val="right"/>
                  <w:rPr>
                    <w:rFonts w:ascii="宋体" w:hAnsi="宋体" w:cs="宋体"/>
                    <w:color w:val="000000"/>
                  </w:rPr>
                </w:pPr>
                <w:r>
                  <w:rPr>
                    <w:rFonts w:ascii="宋体" w:hAnsi="宋体" w:cs="宋体" w:hint="eastAsia"/>
                  </w:rPr>
                  <w:t>23,376,317</w:t>
                </w:r>
              </w:p>
            </w:tc>
            <w:tc>
              <w:tcPr>
                <w:tcW w:w="5245" w:type="dxa"/>
                <w:shd w:val="clear" w:color="auto" w:fill="auto"/>
                <w:vAlign w:val="center"/>
              </w:tcPr>
              <w:p>
                <w:pPr>
                  <w:rPr>
                    <w:rFonts w:ascii="宋体" w:hAnsi="宋体" w:cs="宋体"/>
                    <w:color w:val="000000"/>
                  </w:rPr>
                </w:pPr>
                <w:r>
                  <w:rPr>
                    <w:rFonts w:ascii="宋体" w:hAnsi="宋体" w:cs="宋体" w:hint="eastAsia"/>
                  </w:rPr>
                  <w:t>人民币借款利率在2.13%-3.7%之间，外币美元借款利率为6.12%</w:t>
                </w:r>
              </w:p>
            </w:tc>
          </w:tr>
          <w:tr>
            <w:trPr>
              <w:trHeight w:val="397"/>
              <w:jc w:val="center"/>
            </w:trPr>
            <w:tc>
              <w:tcPr>
                <w:tcW w:w="2128" w:type="dxa"/>
                <w:shd w:val="clear" w:color="auto" w:fill="auto"/>
                <w:noWrap/>
                <w:vAlign w:val="center"/>
              </w:tcPr>
              <w:p>
                <w:pPr>
                  <w:rPr>
                    <w:rFonts w:ascii="宋体" w:hAnsi="宋体" w:cs="宋体"/>
                    <w:color w:val="000000"/>
                  </w:rPr>
                </w:pPr>
                <w:r>
                  <w:rPr>
                    <w:rFonts w:ascii="宋体" w:hAnsi="宋体" w:cs="宋体" w:hint="eastAsia"/>
                    <w:color w:val="000000"/>
                  </w:rPr>
                  <w:t>一年内到期的租赁负债</w:t>
                </w:r>
              </w:p>
            </w:tc>
            <w:tc>
              <w:tcPr>
                <w:tcW w:w="1558" w:type="dxa"/>
                <w:shd w:val="clear" w:color="auto" w:fill="auto"/>
                <w:vAlign w:val="center"/>
              </w:tcPr>
              <w:p>
                <w:pPr>
                  <w:jc w:val="right"/>
                  <w:rPr>
                    <w:rFonts w:ascii="宋体" w:hAnsi="宋体" w:cs="宋体"/>
                    <w:color w:val="000000"/>
                  </w:rPr>
                </w:pPr>
                <w:r>
                  <w:rPr>
                    <w:rFonts w:ascii="宋体" w:hAnsi="宋体" w:cs="宋体" w:hint="eastAsia"/>
                  </w:rPr>
                  <w:t>241,982</w:t>
                </w:r>
              </w:p>
            </w:tc>
            <w:tc>
              <w:tcPr>
                <w:tcW w:w="5245" w:type="dxa"/>
                <w:shd w:val="clear" w:color="auto" w:fill="auto"/>
                <w:vAlign w:val="center"/>
              </w:tcPr>
              <w:p>
                <w:pPr>
                  <w:rPr>
                    <w:rFonts w:ascii="宋体" w:hAnsi="宋体" w:cs="宋体"/>
                    <w:color w:val="000000"/>
                  </w:rPr>
                </w:pPr>
                <w:r>
                  <w:rPr>
                    <w:rFonts w:ascii="宋体" w:hAnsi="宋体" w:cs="宋体" w:hint="eastAsia"/>
                  </w:rPr>
                  <w:t>2.64%-4.75%</w:t>
                </w:r>
              </w:p>
            </w:tc>
          </w:tr>
          <w:tr>
            <w:trPr>
              <w:trHeight w:val="397"/>
              <w:jc w:val="center"/>
            </w:trPr>
            <w:tc>
              <w:tcPr>
                <w:tcW w:w="2128" w:type="dxa"/>
                <w:shd w:val="clear" w:color="auto" w:fill="auto"/>
                <w:noWrap/>
                <w:vAlign w:val="center"/>
              </w:tcPr>
              <w:p>
                <w:pPr>
                  <w:rPr>
                    <w:rFonts w:ascii="宋体" w:hAnsi="宋体" w:cs="宋体"/>
                    <w:color w:val="000000"/>
                  </w:rPr>
                </w:pPr>
                <w:r>
                  <w:rPr>
                    <w:rFonts w:ascii="宋体" w:hAnsi="宋体" w:cs="宋体" w:hint="eastAsia"/>
                    <w:color w:val="000000"/>
                  </w:rPr>
                  <w:t>一年内到期的应付债券</w:t>
                </w:r>
              </w:p>
            </w:tc>
            <w:tc>
              <w:tcPr>
                <w:tcW w:w="1558" w:type="dxa"/>
                <w:shd w:val="clear" w:color="auto" w:fill="auto"/>
                <w:vAlign w:val="center"/>
              </w:tcPr>
              <w:p>
                <w:pPr>
                  <w:jc w:val="right"/>
                  <w:rPr>
                    <w:rFonts w:ascii="宋体" w:hAnsi="宋体" w:cs="宋体"/>
                    <w:color w:val="000000"/>
                  </w:rPr>
                </w:pPr>
                <w:r>
                  <w:rPr>
                    <w:rFonts w:ascii="宋体" w:hAnsi="宋体" w:cs="宋体" w:hint="eastAsia"/>
                  </w:rPr>
                  <w:t>6,422,622</w:t>
                </w:r>
              </w:p>
            </w:tc>
            <w:tc>
              <w:tcPr>
                <w:tcW w:w="5245" w:type="dxa"/>
                <w:shd w:val="clear" w:color="auto" w:fill="auto"/>
                <w:vAlign w:val="center"/>
              </w:tcPr>
              <w:p>
                <w:pPr>
                  <w:rPr>
                    <w:rFonts w:ascii="宋体" w:hAnsi="宋体" w:cs="宋体"/>
                    <w:color w:val="000000"/>
                  </w:rPr>
                </w:pPr>
                <w:r>
                  <w:rPr>
                    <w:rFonts w:ascii="宋体" w:hAnsi="宋体" w:cs="宋体" w:hint="eastAsia"/>
                  </w:rPr>
                  <w:t>1.75%-4.29%</w:t>
                </w:r>
              </w:p>
            </w:tc>
          </w:tr>
          <w:tr>
            <w:trPr>
              <w:trHeight w:val="397"/>
              <w:jc w:val="center"/>
            </w:trPr>
            <w:tc>
              <w:tcPr>
                <w:tcW w:w="2128" w:type="dxa"/>
                <w:shd w:val="clear" w:color="auto" w:fill="auto"/>
                <w:noWrap/>
                <w:vAlign w:val="center"/>
              </w:tcPr>
              <w:p>
                <w:pPr>
                  <w:rPr>
                    <w:rFonts w:ascii="宋体" w:hAnsi="宋体" w:cs="宋体"/>
                    <w:color w:val="000000"/>
                  </w:rPr>
                </w:pPr>
                <w:r>
                  <w:rPr>
                    <w:rFonts w:ascii="宋体" w:hAnsi="宋体" w:cs="宋体" w:hint="eastAsia"/>
                    <w:color w:val="000000"/>
                  </w:rPr>
                  <w:t>长期借款</w:t>
                </w:r>
              </w:p>
            </w:tc>
            <w:tc>
              <w:tcPr>
                <w:tcW w:w="1558" w:type="dxa"/>
                <w:shd w:val="clear" w:color="auto" w:fill="auto"/>
                <w:vAlign w:val="center"/>
              </w:tcPr>
              <w:p>
                <w:pPr>
                  <w:jc w:val="right"/>
                  <w:rPr>
                    <w:rFonts w:ascii="宋体" w:hAnsi="宋体" w:cs="宋体"/>
                    <w:color w:val="000000"/>
                  </w:rPr>
                </w:pPr>
                <w:r>
                  <w:rPr>
                    <w:rFonts w:ascii="宋体" w:hAnsi="宋体" w:cs="宋体" w:hint="eastAsia"/>
                  </w:rPr>
                  <w:t>57,099,723</w:t>
                </w:r>
              </w:p>
            </w:tc>
            <w:tc>
              <w:tcPr>
                <w:tcW w:w="5245" w:type="dxa"/>
                <w:shd w:val="clear" w:color="auto" w:fill="auto"/>
                <w:vAlign w:val="center"/>
              </w:tcPr>
              <w:p>
                <w:pPr>
                  <w:rPr>
                    <w:rFonts w:ascii="宋体" w:hAnsi="宋体" w:cs="宋体"/>
                    <w:color w:val="000000"/>
                  </w:rPr>
                </w:pPr>
                <w:r>
                  <w:rPr>
                    <w:rFonts w:ascii="宋体" w:hAnsi="宋体" w:cs="宋体" w:hint="eastAsia"/>
                  </w:rPr>
                  <w:t>人民币借款利率在2.10%至4.98%之间，外币澳元借款利率为2.69%，外币美元借款利率为3个月Libor+1.8%</w:t>
                </w:r>
              </w:p>
            </w:tc>
          </w:tr>
          <w:tr>
            <w:trPr>
              <w:trHeight w:val="397"/>
              <w:jc w:val="center"/>
            </w:trPr>
            <w:tc>
              <w:tcPr>
                <w:tcW w:w="2128" w:type="dxa"/>
                <w:shd w:val="clear" w:color="auto" w:fill="auto"/>
                <w:noWrap/>
                <w:vAlign w:val="center"/>
              </w:tcPr>
              <w:p>
                <w:pPr>
                  <w:rPr>
                    <w:rFonts w:ascii="宋体" w:hAnsi="宋体" w:cs="宋体"/>
                    <w:color w:val="000000"/>
                  </w:rPr>
                </w:pPr>
                <w:r>
                  <w:rPr>
                    <w:rFonts w:ascii="宋体" w:hAnsi="宋体" w:cs="宋体" w:hint="eastAsia"/>
                    <w:color w:val="000000"/>
                  </w:rPr>
                  <w:t>应付债券</w:t>
                </w:r>
              </w:p>
            </w:tc>
            <w:tc>
              <w:tcPr>
                <w:tcW w:w="1558" w:type="dxa"/>
                <w:shd w:val="clear" w:color="auto" w:fill="auto"/>
                <w:vAlign w:val="center"/>
              </w:tcPr>
              <w:p>
                <w:pPr>
                  <w:jc w:val="right"/>
                  <w:rPr>
                    <w:rFonts w:ascii="宋体" w:hAnsi="宋体" w:cs="宋体"/>
                    <w:color w:val="000000"/>
                  </w:rPr>
                </w:pPr>
                <w:r>
                  <w:rPr>
                    <w:rFonts w:ascii="宋体" w:hAnsi="宋体" w:cs="宋体" w:hint="eastAsia"/>
                  </w:rPr>
                  <w:t>22,964,152</w:t>
                </w:r>
              </w:p>
            </w:tc>
            <w:tc>
              <w:tcPr>
                <w:tcW w:w="5245" w:type="dxa"/>
                <w:shd w:val="clear" w:color="auto" w:fill="auto"/>
                <w:vAlign w:val="center"/>
              </w:tcPr>
              <w:p>
                <w:pPr>
                  <w:rPr>
                    <w:rFonts w:ascii="宋体" w:hAnsi="宋体" w:cs="宋体"/>
                    <w:color w:val="000000"/>
                  </w:rPr>
                </w:pPr>
                <w:r>
                  <w:rPr>
                    <w:rFonts w:ascii="宋体" w:hAnsi="宋体" w:cs="宋体" w:hint="eastAsia"/>
                  </w:rPr>
                  <w:t>1.56%-4.29%</w:t>
                </w:r>
              </w:p>
            </w:tc>
          </w:tr>
          <w:tr>
            <w:trPr>
              <w:trHeight w:val="397"/>
              <w:jc w:val="center"/>
            </w:trPr>
            <w:tc>
              <w:tcPr>
                <w:tcW w:w="2128" w:type="dxa"/>
                <w:shd w:val="clear" w:color="auto" w:fill="auto"/>
                <w:noWrap/>
                <w:vAlign w:val="center"/>
              </w:tcPr>
              <w:p>
                <w:pPr>
                  <w:rPr>
                    <w:rFonts w:ascii="宋体" w:hAnsi="宋体" w:cs="宋体"/>
                    <w:color w:val="000000"/>
                  </w:rPr>
                </w:pPr>
                <w:r>
                  <w:rPr>
                    <w:rFonts w:ascii="宋体" w:hAnsi="宋体" w:cs="宋体" w:hint="eastAsia"/>
                    <w:color w:val="000000"/>
                  </w:rPr>
                  <w:t>租赁负债</w:t>
                </w:r>
              </w:p>
            </w:tc>
            <w:tc>
              <w:tcPr>
                <w:tcW w:w="1558" w:type="dxa"/>
                <w:shd w:val="clear" w:color="auto" w:fill="auto"/>
                <w:vAlign w:val="center"/>
              </w:tcPr>
              <w:p>
                <w:pPr>
                  <w:jc w:val="right"/>
                  <w:rPr>
                    <w:rFonts w:ascii="宋体" w:hAnsi="宋体" w:cs="宋体"/>
                    <w:color w:val="000000"/>
                  </w:rPr>
                </w:pPr>
                <w:r>
                  <w:rPr>
                    <w:rFonts w:ascii="宋体" w:hAnsi="宋体" w:cs="宋体" w:hint="eastAsia"/>
                  </w:rPr>
                  <w:t>425,643</w:t>
                </w:r>
              </w:p>
            </w:tc>
            <w:tc>
              <w:tcPr>
                <w:tcW w:w="5245" w:type="dxa"/>
                <w:shd w:val="clear" w:color="auto" w:fill="auto"/>
                <w:vAlign w:val="center"/>
              </w:tcPr>
              <w:p>
                <w:pPr>
                  <w:rPr>
                    <w:rFonts w:ascii="宋体" w:hAnsi="宋体" w:cs="宋体"/>
                    <w:color w:val="000000"/>
                  </w:rPr>
                </w:pPr>
                <w:r>
                  <w:rPr>
                    <w:rFonts w:ascii="宋体" w:hAnsi="宋体" w:cs="宋体" w:hint="eastAsia"/>
                  </w:rPr>
                  <w:t>3.02%-6.00%，澳元利率为5.53%</w:t>
                </w:r>
              </w:p>
            </w:tc>
          </w:tr>
          <w:tr>
            <w:trPr>
              <w:trHeight w:val="397"/>
              <w:jc w:val="center"/>
            </w:trPr>
            <w:tc>
              <w:tcPr>
                <w:tcW w:w="2128" w:type="dxa"/>
                <w:shd w:val="clear" w:color="auto" w:fill="auto"/>
                <w:noWrap/>
                <w:vAlign w:val="center"/>
              </w:tcPr>
              <w:p>
                <w:pPr>
                  <w:rPr>
                    <w:rFonts w:ascii="宋体" w:hAnsi="宋体" w:cs="宋体"/>
                    <w:color w:val="000000"/>
                  </w:rPr>
                </w:pPr>
                <w:r>
                  <w:rPr>
                    <w:rFonts w:ascii="宋体" w:hAnsi="宋体" w:cs="宋体" w:hint="eastAsia"/>
                    <w:color w:val="000000"/>
                  </w:rPr>
                  <w:t>长期应付款</w:t>
                </w:r>
              </w:p>
            </w:tc>
            <w:tc>
              <w:tcPr>
                <w:tcW w:w="1558" w:type="dxa"/>
                <w:shd w:val="clear" w:color="auto" w:fill="auto"/>
                <w:vAlign w:val="center"/>
              </w:tcPr>
              <w:p>
                <w:pPr>
                  <w:jc w:val="right"/>
                  <w:rPr>
                    <w:rFonts w:ascii="宋体" w:hAnsi="宋体" w:cs="宋体"/>
                    <w:color w:val="000000"/>
                  </w:rPr>
                </w:pPr>
                <w:r>
                  <w:rPr>
                    <w:rFonts w:ascii="宋体" w:hAnsi="宋体" w:cs="宋体"/>
                  </w:rPr>
                  <w:t>16,287,061</w:t>
                </w:r>
              </w:p>
            </w:tc>
            <w:tc>
              <w:tcPr>
                <w:tcW w:w="5245" w:type="dxa"/>
                <w:shd w:val="clear" w:color="auto" w:fill="auto"/>
                <w:vAlign w:val="center"/>
              </w:tcPr>
              <w:p>
                <w:pPr>
                  <w:rPr>
                    <w:rFonts w:ascii="宋体" w:hAnsi="宋体" w:cs="宋体"/>
                    <w:color w:val="000000"/>
                  </w:rPr>
                </w:pPr>
                <w:r>
                  <w:rPr>
                    <w:rFonts w:ascii="宋体" w:hAnsi="宋体" w:cs="宋体" w:hint="eastAsia"/>
                  </w:rPr>
                  <w:t>2.65%-8%</w:t>
                </w:r>
              </w:p>
            </w:tc>
          </w:tr>
          <w:tr>
            <w:trPr>
              <w:trHeight w:val="397"/>
              <w:jc w:val="center"/>
            </w:trPr>
            <w:tc>
              <w:tcPr>
                <w:tcW w:w="2128" w:type="dxa"/>
                <w:shd w:val="clear" w:color="auto" w:fill="auto"/>
                <w:noWrap/>
                <w:vAlign w:val="center"/>
              </w:tcPr>
              <w:p>
                <w:pPr>
                  <w:jc w:val="center"/>
                  <w:rPr>
                    <w:rFonts w:ascii="宋体" w:hAnsi="宋体" w:cs="宋体"/>
                    <w:color w:val="000000"/>
                  </w:rPr>
                </w:pPr>
                <w:r>
                  <w:rPr>
                    <w:rFonts w:ascii="宋体" w:hAnsi="宋体" w:cs="宋体" w:hint="eastAsia"/>
                    <w:color w:val="000000"/>
                  </w:rPr>
                  <w:t>合计</w:t>
                </w:r>
              </w:p>
            </w:tc>
            <w:tc>
              <w:tcPr>
                <w:tcW w:w="1558" w:type="dxa"/>
                <w:shd w:val="clear" w:color="auto" w:fill="auto"/>
                <w:vAlign w:val="center"/>
              </w:tcPr>
              <w:p>
                <w:pPr>
                  <w:jc w:val="right"/>
                  <w:rPr>
                    <w:rFonts w:ascii="宋体" w:hAnsi="宋体" w:cs="宋体"/>
                    <w:color w:val="000000"/>
                  </w:rPr>
                </w:pPr>
                <w:r>
                  <w:rPr>
                    <w:rFonts w:ascii="宋体" w:hAnsi="宋体" w:cs="宋体"/>
                  </w:rPr>
                  <w:t>147,775,681</w:t>
                </w:r>
              </w:p>
            </w:tc>
            <w:tc>
              <w:tcPr>
                <w:tcW w:w="5245" w:type="dxa"/>
                <w:shd w:val="clear" w:color="auto" w:fill="auto"/>
                <w:vAlign w:val="center"/>
              </w:tcPr>
              <w:p>
                <w:pPr>
                  <w:rPr>
                    <w:rFonts w:ascii="宋体" w:hAnsi="宋体" w:cs="宋体"/>
                    <w:color w:val="000000"/>
                    <w:u w:val="double"/>
                  </w:rPr>
                </w:pPr>
              </w:p>
            </w:tc>
          </w:tr>
        </w:tbl>
        <w:p>
          <w:pPr>
            <w:pStyle w:val="Style210"/>
            <w:spacing w:after="120"/>
            <w:rPr>
              <w:rFonts w:hAnsi="宋体" w:cs="宋体"/>
              <w:szCs w:val="21"/>
            </w:rPr>
          </w:pPr>
          <w:r>
            <w:rPr>
              <w:rFonts w:hAnsi="宋体" w:cs="宋体" w:hint="eastAsia"/>
              <w:szCs w:val="21"/>
            </w:rPr>
            <w:t>价格风险</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lastRenderedPageBreak/>
            <w:t>除上述金融工具的风险外，本集团还面临由于投资上市公司权益性证券的权益价格风险，及非金融工具商品如原材料的价格风险。本集团目前尚未采用任何安排套期权益性证券投资和原材料购买的价格风险。本集团面临的投资上市权益性证券的权益价格风险与敏感性分析结果显示，这些风险都是非重大的。</w:t>
          </w:r>
        </w:p>
        <w:p>
          <w:pPr>
            <w:pStyle w:val="Style209"/>
            <w:ind w:left="426"/>
            <w:rPr>
              <w:rFonts w:hAnsi="宋体" w:cs="宋体"/>
              <w:szCs w:val="21"/>
            </w:rPr>
          </w:pPr>
          <w:r>
            <w:rPr>
              <w:rFonts w:hAnsi="宋体" w:cs="宋体" w:hint="eastAsia"/>
              <w:szCs w:val="21"/>
            </w:rPr>
            <w:t>2）信用风险</w:t>
          </w:r>
        </w:p>
        <w:p>
          <w:pPr>
            <w:autoSpaceDE w:val="0"/>
            <w:autoSpaceDN w:val="0"/>
            <w:adjustRightInd w:val="0"/>
            <w:spacing w:afterLines="50" w:after="120" w:line="340" w:lineRule="exact"/>
            <w:ind w:firstLineChars="200" w:firstLine="420"/>
            <w:rPr>
              <w:rFonts w:ascii="宋体" w:hAnsi="宋体" w:cs="宋体"/>
            </w:rPr>
          </w:pPr>
          <w:r>
            <w:rPr>
              <w:rFonts w:ascii="宋体" w:hAnsi="宋体" w:cs="宋体" w:hint="eastAsia"/>
            </w:rPr>
            <w:t>于2025年12月31日，可能引起本集团财务损失的最大信用风险敞口主要来自于合同另一方未能履行义务而导致本集团金融资产产生的损失，具体包括合并资产负债表中已确认的金融资产的账面金额。</w:t>
          </w:r>
        </w:p>
        <w:p>
          <w:pPr>
            <w:autoSpaceDE w:val="0"/>
            <w:autoSpaceDN w:val="0"/>
            <w:adjustRightInd w:val="0"/>
            <w:spacing w:afterLines="50" w:after="120" w:line="340" w:lineRule="exact"/>
            <w:ind w:firstLineChars="200" w:firstLine="420"/>
            <w:rPr>
              <w:rFonts w:ascii="宋体" w:hAnsi="宋体" w:cs="宋体"/>
            </w:rPr>
          </w:pPr>
          <w:r>
            <w:rPr>
              <w:rFonts w:ascii="宋体" w:hAnsi="宋体" w:cs="宋体" w:hint="eastAsia"/>
            </w:rPr>
            <w:t>为降低信用风险，本集团成立专门部门确定信用额度、进行信用审批，并执行其他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pPr>
            <w:autoSpaceDE w:val="0"/>
            <w:autoSpaceDN w:val="0"/>
            <w:adjustRightInd w:val="0"/>
            <w:spacing w:afterLines="50" w:after="120" w:line="340" w:lineRule="exact"/>
            <w:ind w:firstLineChars="200" w:firstLine="420"/>
            <w:rPr>
              <w:rFonts w:ascii="宋体" w:hAnsi="宋体" w:cs="宋体"/>
            </w:rPr>
          </w:pPr>
          <w:r>
            <w:rPr>
              <w:rFonts w:ascii="宋体" w:hAnsi="宋体" w:cs="宋体" w:hint="eastAsia"/>
            </w:rPr>
            <w:t>本集团的流动资金存放在信用评级较高的银行，故流动资金的信用风险较低。</w:t>
          </w:r>
        </w:p>
        <w:p>
          <w:pPr>
            <w:autoSpaceDE w:val="0"/>
            <w:autoSpaceDN w:val="0"/>
            <w:adjustRightInd w:val="0"/>
            <w:spacing w:afterLines="50" w:after="120" w:line="340" w:lineRule="exact"/>
            <w:ind w:firstLineChars="200" w:firstLine="420"/>
            <w:rPr>
              <w:rFonts w:ascii="宋体" w:hAnsi="宋体" w:cs="宋体"/>
            </w:rPr>
          </w:pPr>
          <w:r>
            <w:rPr>
              <w:rFonts w:ascii="宋体" w:hAnsi="宋体" w:cs="宋体" w:hint="eastAsia"/>
            </w:rPr>
            <w:t>本集团一般根据客户的不同状况给予长期客户不超过180天的信用期。对中小客户及新客户，本集团一般要求发货前支付货款。</w:t>
          </w:r>
        </w:p>
        <w:p>
          <w:pPr>
            <w:autoSpaceDE w:val="0"/>
            <w:autoSpaceDN w:val="0"/>
            <w:adjustRightInd w:val="0"/>
            <w:spacing w:afterLines="50" w:after="120" w:line="340" w:lineRule="exact"/>
            <w:ind w:firstLineChars="200" w:firstLine="420"/>
            <w:rPr>
              <w:rFonts w:ascii="宋体" w:hAnsi="宋体" w:cs="宋体"/>
            </w:rPr>
          </w:pPr>
          <w:r>
            <w:rPr>
              <w:rFonts w:ascii="宋体" w:hAnsi="宋体" w:cs="宋体" w:hint="eastAsia"/>
            </w:rPr>
            <w:t>本集团的国内销售多数是电力行业、钢铁行业、冶金焦化、建材水泥、和化工行业。集团一般与这些公司建立长期和稳定的合作关系。</w:t>
          </w:r>
        </w:p>
        <w:p>
          <w:pPr>
            <w:pStyle w:val="Style209"/>
            <w:spacing w:line="340" w:lineRule="exact"/>
            <w:ind w:left="426"/>
            <w:rPr>
              <w:rFonts w:hAnsi="宋体" w:cs="宋体"/>
              <w:szCs w:val="21"/>
            </w:rPr>
          </w:pPr>
          <w:r>
            <w:rPr>
              <w:rFonts w:hAnsi="宋体" w:cs="宋体" w:hint="eastAsia"/>
              <w:szCs w:val="21"/>
            </w:rPr>
            <w:t>3）流动风险</w:t>
          </w:r>
        </w:p>
        <w:p>
          <w:pPr>
            <w:autoSpaceDE w:val="0"/>
            <w:autoSpaceDN w:val="0"/>
            <w:adjustRightInd w:val="0"/>
            <w:spacing w:afterLines="50" w:after="120" w:line="340" w:lineRule="exact"/>
            <w:ind w:firstLineChars="200" w:firstLine="420"/>
            <w:rPr>
              <w:rFonts w:ascii="宋体" w:hAnsi="宋体" w:cs="宋体"/>
            </w:rPr>
          </w:pPr>
          <w:r>
            <w:rPr>
              <w:rFonts w:ascii="宋体" w:hAnsi="宋体" w:cs="宋体" w:hint="eastAsia"/>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于2025年12月31日，本集团尚未使用的银行综合授信额度为人民币649.55亿元（2024年12月31日为人民币1,613.81亿元）。</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于2025年12月31日，本集团持有的金融负债按未折现剩余合同义务的到期期限分析如下：</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2025年12月31日金额：</w:t>
          </w:r>
        </w:p>
        <w:tbl>
          <w:tblPr>
            <w:tblStyle w:val="Style100"/>
            <w:tblW w:w="9919"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80|0|desc|||0|1"/>
          </w:tblPr>
          <w:tblGrid>
            <w:gridCol w:w="1417"/>
            <w:gridCol w:w="1417"/>
            <w:gridCol w:w="1417"/>
            <w:gridCol w:w="1417"/>
            <w:gridCol w:w="1417"/>
            <w:gridCol w:w="1417"/>
            <w:gridCol w:w="1417"/>
          </w:tblGrid>
          <w:tr>
            <w:trPr>
              <w:trHeight w:val="397"/>
              <w:tblHeader/>
            </w:trPr>
            <w:tc>
              <w:tcPr>
                <w:tcW w:w="1417" w:type="dxa"/>
                <w:shd w:val="clear" w:color="auto" w:fill="auto"/>
                <w:vAlign w:val="center"/>
              </w:tcPr>
              <w:p>
                <w:pPr>
                  <w:jc w:val="center"/>
                  <w:rPr>
                    <w:rFonts w:ascii="宋体" w:hAnsi="宋体" w:cs="宋体"/>
                    <w:b/>
                    <w:bCs/>
                    <w:color w:val="000000"/>
                  </w:rPr>
                </w:pPr>
                <w:r>
                  <w:rPr>
                    <w:rFonts w:ascii="宋体" w:hAnsi="宋体" w:cs="宋体" w:hint="eastAsia"/>
                    <w:b/>
                    <w:bCs/>
                    <w:color w:val="000000"/>
                  </w:rPr>
                  <w:t>项目</w:t>
                </w:r>
              </w:p>
            </w:tc>
            <w:tc>
              <w:tcPr>
                <w:tcW w:w="1417" w:type="dxa"/>
                <w:shd w:val="clear" w:color="auto" w:fill="auto"/>
                <w:vAlign w:val="center"/>
              </w:tcPr>
              <w:p>
                <w:pPr>
                  <w:jc w:val="center"/>
                  <w:rPr>
                    <w:rFonts w:ascii="宋体" w:hAnsi="宋体" w:cs="宋体"/>
                    <w:b/>
                    <w:bCs/>
                    <w:color w:val="000000"/>
                  </w:rPr>
                </w:pPr>
                <w:r>
                  <w:rPr>
                    <w:rFonts w:ascii="宋体" w:hAnsi="宋体" w:cs="宋体" w:hint="eastAsia"/>
                    <w:b/>
                    <w:bCs/>
                    <w:color w:val="000000"/>
                  </w:rPr>
                  <w:t>一年以内</w:t>
                </w:r>
              </w:p>
            </w:tc>
            <w:tc>
              <w:tcPr>
                <w:tcW w:w="1417" w:type="dxa"/>
                <w:shd w:val="clear" w:color="auto" w:fill="auto"/>
                <w:vAlign w:val="center"/>
              </w:tcPr>
              <w:p>
                <w:pPr>
                  <w:jc w:val="center"/>
                  <w:rPr>
                    <w:rFonts w:ascii="宋体" w:hAnsi="宋体" w:cs="宋体"/>
                    <w:b/>
                    <w:bCs/>
                    <w:color w:val="000000"/>
                  </w:rPr>
                </w:pPr>
                <w:r>
                  <w:rPr>
                    <w:rFonts w:ascii="宋体" w:hAnsi="宋体" w:cs="宋体" w:hint="eastAsia"/>
                    <w:b/>
                    <w:bCs/>
                    <w:color w:val="000000"/>
                  </w:rPr>
                  <w:t>一到两年</w:t>
                </w:r>
              </w:p>
            </w:tc>
            <w:tc>
              <w:tcPr>
                <w:tcW w:w="1417" w:type="dxa"/>
                <w:shd w:val="clear" w:color="auto" w:fill="auto"/>
                <w:vAlign w:val="center"/>
              </w:tcPr>
              <w:p>
                <w:pPr>
                  <w:jc w:val="center"/>
                  <w:rPr>
                    <w:rFonts w:ascii="宋体" w:hAnsi="宋体" w:cs="宋体"/>
                    <w:b/>
                    <w:bCs/>
                    <w:color w:val="000000"/>
                  </w:rPr>
                </w:pPr>
                <w:r>
                  <w:rPr>
                    <w:rFonts w:ascii="宋体" w:hAnsi="宋体" w:cs="宋体" w:hint="eastAsia"/>
                    <w:b/>
                    <w:bCs/>
                    <w:color w:val="000000"/>
                  </w:rPr>
                  <w:t>二到五年</w:t>
                </w:r>
              </w:p>
            </w:tc>
            <w:tc>
              <w:tcPr>
                <w:tcW w:w="1417" w:type="dxa"/>
                <w:shd w:val="clear" w:color="auto" w:fill="auto"/>
                <w:vAlign w:val="center"/>
              </w:tcPr>
              <w:p>
                <w:pPr>
                  <w:jc w:val="center"/>
                  <w:rPr>
                    <w:rFonts w:ascii="宋体" w:hAnsi="宋体" w:cs="宋体"/>
                    <w:b/>
                    <w:bCs/>
                    <w:color w:val="000000"/>
                  </w:rPr>
                </w:pPr>
                <w:r>
                  <w:rPr>
                    <w:rFonts w:ascii="宋体" w:hAnsi="宋体" w:cs="宋体" w:hint="eastAsia"/>
                    <w:b/>
                    <w:bCs/>
                    <w:color w:val="000000"/>
                  </w:rPr>
                  <w:t>五年以上</w:t>
                </w:r>
              </w:p>
            </w:tc>
            <w:tc>
              <w:tcPr>
                <w:tcW w:w="1417" w:type="dxa"/>
                <w:shd w:val="clear" w:color="auto" w:fill="auto"/>
                <w:vAlign w:val="center"/>
              </w:tcPr>
              <w:p>
                <w:pPr>
                  <w:jc w:val="center"/>
                  <w:rPr>
                    <w:rFonts w:ascii="宋体" w:hAnsi="宋体" w:cs="宋体"/>
                    <w:b/>
                    <w:bCs/>
                    <w:color w:val="000000"/>
                  </w:rPr>
                </w:pPr>
                <w:r>
                  <w:rPr>
                    <w:rFonts w:ascii="宋体" w:hAnsi="宋体" w:cs="宋体" w:hint="eastAsia"/>
                    <w:b/>
                    <w:bCs/>
                    <w:color w:val="000000"/>
                  </w:rPr>
                  <w:t>未贴现现金流总计</w:t>
                </w:r>
              </w:p>
            </w:tc>
            <w:tc>
              <w:tcPr>
                <w:tcW w:w="1417" w:type="dxa"/>
                <w:shd w:val="clear" w:color="auto" w:fill="auto"/>
                <w:vAlign w:val="center"/>
              </w:tcPr>
              <w:p>
                <w:pPr>
                  <w:jc w:val="center"/>
                  <w:rPr>
                    <w:rFonts w:ascii="宋体" w:hAnsi="宋体" w:cs="宋体"/>
                    <w:b/>
                    <w:bCs/>
                    <w:color w:val="000000"/>
                  </w:rPr>
                </w:pPr>
                <w:r>
                  <w:rPr>
                    <w:rFonts w:ascii="宋体" w:hAnsi="宋体" w:cs="宋体" w:hint="eastAsia"/>
                    <w:b/>
                    <w:bCs/>
                    <w:color w:val="000000"/>
                  </w:rPr>
                  <w:t>年末账面余额</w:t>
                </w:r>
              </w:p>
            </w:tc>
          </w:tr>
          <w:tr>
            <w:trPr>
              <w:trHeight w:val="397"/>
            </w:trPr>
            <w:tc>
              <w:tcPr>
                <w:tcW w:w="1417" w:type="dxa"/>
                <w:shd w:val="clear" w:color="auto" w:fill="auto"/>
                <w:vAlign w:val="center"/>
              </w:tcPr>
              <w:p>
                <w:pPr>
                  <w:rPr>
                    <w:rFonts w:ascii="宋体" w:hAnsi="宋体" w:cs="宋体"/>
                    <w:color w:val="000000"/>
                  </w:rPr>
                </w:pPr>
                <w:r>
                  <w:rPr>
                    <w:rFonts w:ascii="宋体" w:hAnsi="宋体" w:cs="宋体" w:hint="eastAsia"/>
                    <w:color w:val="000000"/>
                  </w:rPr>
                  <w:t>短期借款</w:t>
                </w:r>
              </w:p>
            </w:tc>
            <w:tc>
              <w:tcPr>
                <w:tcW w:w="1417" w:type="dxa"/>
                <w:shd w:val="clear" w:color="auto" w:fill="auto"/>
                <w:vAlign w:val="center"/>
              </w:tcPr>
              <w:p>
                <w:pPr>
                  <w:jc w:val="right"/>
                  <w:rPr>
                    <w:rFonts w:ascii="宋体" w:hAnsi="宋体" w:cs="宋体"/>
                    <w:color w:val="000000"/>
                  </w:rPr>
                </w:pPr>
                <w:r>
                  <w:rPr>
                    <w:rFonts w:ascii="宋体" w:hAnsi="宋体" w:cs="宋体" w:hint="eastAsia"/>
                    <w:color w:val="000000"/>
                  </w:rPr>
                  <w:t>20,958,181</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cs="宋体" w:hint="eastAsia"/>
                  </w:rPr>
                  <w:t>20,958,181</w:t>
                </w:r>
              </w:p>
            </w:tc>
            <w:tc>
              <w:tcPr>
                <w:tcW w:w="1417" w:type="dxa"/>
                <w:shd w:val="clear" w:color="auto" w:fill="auto"/>
                <w:vAlign w:val="center"/>
              </w:tcPr>
              <w:p>
                <w:pPr>
                  <w:jc w:val="right"/>
                  <w:rPr>
                    <w:rFonts w:ascii="宋体" w:hAnsi="宋体" w:cs="宋体"/>
                    <w:color w:val="000000"/>
                  </w:rPr>
                </w:pPr>
                <w:r>
                  <w:rPr>
                    <w:rFonts w:ascii="宋体" w:hAnsi="宋体" w:cs="宋体" w:hint="eastAsia"/>
                  </w:rPr>
                  <w:t>20,958,181</w:t>
                </w:r>
              </w:p>
            </w:tc>
          </w:tr>
          <w:tr>
            <w:trPr>
              <w:trHeight w:val="397"/>
            </w:trPr>
            <w:tc>
              <w:tcPr>
                <w:tcW w:w="1417" w:type="dxa"/>
                <w:shd w:val="clear" w:color="auto" w:fill="auto"/>
                <w:vAlign w:val="center"/>
              </w:tcPr>
              <w:p>
                <w:pPr>
                  <w:rPr>
                    <w:rFonts w:ascii="宋体" w:hAnsi="宋体" w:cs="宋体"/>
                    <w:color w:val="000000"/>
                  </w:rPr>
                </w:pPr>
                <w:r>
                  <w:rPr>
                    <w:rFonts w:ascii="宋体" w:hAnsi="宋体" w:cs="宋体" w:hint="eastAsia"/>
                    <w:color w:val="000000"/>
                  </w:rPr>
                  <w:t>应付票据</w:t>
                </w:r>
              </w:p>
            </w:tc>
            <w:tc>
              <w:tcPr>
                <w:tcW w:w="1417" w:type="dxa"/>
                <w:shd w:val="clear" w:color="auto" w:fill="auto"/>
                <w:vAlign w:val="center"/>
              </w:tcPr>
              <w:p>
                <w:pPr>
                  <w:jc w:val="right"/>
                  <w:rPr>
                    <w:rFonts w:ascii="宋体" w:hAnsi="宋体" w:cs="宋体"/>
                    <w:color w:val="000000"/>
                  </w:rPr>
                </w:pPr>
                <w:r>
                  <w:rPr>
                    <w:rFonts w:ascii="宋体" w:hAnsi="宋体" w:cs="宋体" w:hint="eastAsia"/>
                    <w:color w:val="000000"/>
                  </w:rPr>
                  <w:t>13,713,215</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cs="宋体" w:hint="eastAsia"/>
                  </w:rPr>
                  <w:t>13,713,215</w:t>
                </w:r>
              </w:p>
            </w:tc>
            <w:tc>
              <w:tcPr>
                <w:tcW w:w="1417" w:type="dxa"/>
                <w:shd w:val="clear" w:color="auto" w:fill="auto"/>
                <w:vAlign w:val="center"/>
              </w:tcPr>
              <w:p>
                <w:pPr>
                  <w:jc w:val="right"/>
                  <w:rPr>
                    <w:rFonts w:ascii="宋体" w:hAnsi="宋体" w:cs="宋体"/>
                    <w:color w:val="000000"/>
                  </w:rPr>
                </w:pPr>
                <w:r>
                  <w:rPr>
                    <w:rFonts w:ascii="宋体" w:hAnsi="宋体" w:cs="宋体" w:hint="eastAsia"/>
                  </w:rPr>
                  <w:t>13,713,215</w:t>
                </w:r>
              </w:p>
            </w:tc>
          </w:tr>
          <w:tr>
            <w:trPr>
              <w:trHeight w:val="397"/>
            </w:trPr>
            <w:tc>
              <w:tcPr>
                <w:tcW w:w="1417" w:type="dxa"/>
                <w:shd w:val="clear" w:color="auto" w:fill="auto"/>
                <w:vAlign w:val="center"/>
              </w:tcPr>
              <w:p>
                <w:pPr>
                  <w:rPr>
                    <w:rFonts w:ascii="宋体" w:hAnsi="宋体" w:cs="宋体"/>
                    <w:color w:val="000000"/>
                  </w:rPr>
                </w:pPr>
                <w:r>
                  <w:rPr>
                    <w:rFonts w:ascii="宋体" w:hAnsi="宋体" w:cs="宋体" w:hint="eastAsia"/>
                    <w:color w:val="000000"/>
                  </w:rPr>
                  <w:t>应付账款</w:t>
                </w:r>
              </w:p>
            </w:tc>
            <w:tc>
              <w:tcPr>
                <w:tcW w:w="1417" w:type="dxa"/>
                <w:shd w:val="clear" w:color="auto" w:fill="auto"/>
                <w:vAlign w:val="center"/>
              </w:tcPr>
              <w:p>
                <w:pPr>
                  <w:jc w:val="right"/>
                  <w:rPr>
                    <w:rFonts w:ascii="宋体" w:hAnsi="宋体" w:cs="宋体"/>
                    <w:color w:val="000000"/>
                  </w:rPr>
                </w:pPr>
                <w:r>
                  <w:rPr>
                    <w:rFonts w:ascii="宋体" w:hAnsi="宋体"/>
                  </w:rPr>
                  <w:t>29,563,562</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rPr>
                  <w:t>29,563,562</w:t>
                </w:r>
              </w:p>
            </w:tc>
            <w:tc>
              <w:tcPr>
                <w:tcW w:w="1417" w:type="dxa"/>
                <w:shd w:val="clear" w:color="auto" w:fill="auto"/>
                <w:vAlign w:val="center"/>
              </w:tcPr>
              <w:p>
                <w:pPr>
                  <w:jc w:val="right"/>
                  <w:rPr>
                    <w:rFonts w:ascii="宋体" w:hAnsi="宋体" w:cs="宋体"/>
                    <w:color w:val="000000"/>
                  </w:rPr>
                </w:pPr>
                <w:r>
                  <w:rPr>
                    <w:rFonts w:ascii="宋体" w:hAnsi="宋体"/>
                  </w:rPr>
                  <w:t>29,563,562</w:t>
                </w:r>
              </w:p>
            </w:tc>
          </w:tr>
          <w:tr>
            <w:trPr>
              <w:trHeight w:val="397"/>
            </w:trPr>
            <w:tc>
              <w:tcPr>
                <w:tcW w:w="1417" w:type="dxa"/>
                <w:shd w:val="clear" w:color="auto" w:fill="auto"/>
                <w:vAlign w:val="center"/>
              </w:tcPr>
              <w:p>
                <w:pPr>
                  <w:rPr>
                    <w:rFonts w:ascii="宋体" w:hAnsi="宋体" w:cs="宋体"/>
                    <w:color w:val="000000"/>
                  </w:rPr>
                </w:pPr>
                <w:r>
                  <w:rPr>
                    <w:rFonts w:ascii="宋体" w:hAnsi="宋体" w:cs="宋体" w:hint="eastAsia"/>
                    <w:color w:val="000000"/>
                  </w:rPr>
                  <w:t>其他应付款</w:t>
                </w:r>
              </w:p>
            </w:tc>
            <w:tc>
              <w:tcPr>
                <w:tcW w:w="1417" w:type="dxa"/>
                <w:shd w:val="clear" w:color="auto" w:fill="auto"/>
                <w:vAlign w:val="center"/>
              </w:tcPr>
              <w:p>
                <w:pPr>
                  <w:jc w:val="right"/>
                  <w:rPr>
                    <w:rFonts w:ascii="宋体" w:hAnsi="宋体" w:cs="宋体"/>
                    <w:color w:val="000000"/>
                  </w:rPr>
                </w:pPr>
                <w:r>
                  <w:rPr>
                    <w:rFonts w:ascii="宋体" w:hAnsi="宋体"/>
                  </w:rPr>
                  <w:t>38,976,325</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rPr>
                  <w:t>38,976,325</w:t>
                </w:r>
              </w:p>
            </w:tc>
            <w:tc>
              <w:tcPr>
                <w:tcW w:w="1417" w:type="dxa"/>
                <w:shd w:val="clear" w:color="auto" w:fill="auto"/>
                <w:vAlign w:val="center"/>
              </w:tcPr>
              <w:p>
                <w:pPr>
                  <w:jc w:val="right"/>
                  <w:rPr>
                    <w:rFonts w:ascii="宋体" w:hAnsi="宋体" w:cs="宋体"/>
                    <w:color w:val="000000"/>
                  </w:rPr>
                </w:pPr>
                <w:r>
                  <w:rPr>
                    <w:rFonts w:ascii="宋体" w:hAnsi="宋体"/>
                  </w:rPr>
                  <w:t>38,976,325</w:t>
                </w:r>
              </w:p>
            </w:tc>
          </w:tr>
          <w:tr>
            <w:trPr>
              <w:trHeight w:val="397"/>
            </w:trPr>
            <w:tc>
              <w:tcPr>
                <w:tcW w:w="1417" w:type="dxa"/>
                <w:shd w:val="clear" w:color="auto" w:fill="auto"/>
                <w:vAlign w:val="center"/>
              </w:tcPr>
              <w:p>
                <w:pPr>
                  <w:rPr>
                    <w:rFonts w:ascii="宋体" w:hAnsi="宋体" w:cs="宋体"/>
                    <w:color w:val="000000"/>
                  </w:rPr>
                </w:pPr>
                <w:r>
                  <w:rPr>
                    <w:rFonts w:ascii="宋体" w:hAnsi="宋体" w:cs="宋体" w:hint="eastAsia"/>
                    <w:color w:val="000000"/>
                  </w:rPr>
                  <w:t>一年内到期的非流动负债</w:t>
                </w:r>
              </w:p>
            </w:tc>
            <w:tc>
              <w:tcPr>
                <w:tcW w:w="1417" w:type="dxa"/>
                <w:shd w:val="clear" w:color="auto" w:fill="auto"/>
                <w:vAlign w:val="center"/>
              </w:tcPr>
              <w:p>
                <w:pPr>
                  <w:jc w:val="right"/>
                  <w:rPr>
                    <w:rFonts w:ascii="宋体" w:hAnsi="宋体" w:cs="宋体"/>
                    <w:color w:val="000000"/>
                  </w:rPr>
                </w:pPr>
                <w:r>
                  <w:rPr>
                    <w:rFonts w:ascii="宋体" w:hAnsi="宋体" w:cs="宋体" w:hint="eastAsia"/>
                    <w:color w:val="000000"/>
                  </w:rPr>
                  <w:t>32,074,029</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cs="宋体" w:hint="eastAsia"/>
                  </w:rPr>
                  <w:t>32,074,029</w:t>
                </w:r>
              </w:p>
            </w:tc>
            <w:tc>
              <w:tcPr>
                <w:tcW w:w="1417" w:type="dxa"/>
                <w:shd w:val="clear" w:color="auto" w:fill="auto"/>
                <w:vAlign w:val="center"/>
              </w:tcPr>
              <w:p>
                <w:pPr>
                  <w:jc w:val="right"/>
                  <w:rPr>
                    <w:rFonts w:ascii="宋体" w:hAnsi="宋体" w:cs="宋体"/>
                    <w:color w:val="000000"/>
                  </w:rPr>
                </w:pPr>
                <w:r>
                  <w:rPr>
                    <w:rFonts w:ascii="宋体" w:hAnsi="宋体" w:cs="宋体" w:hint="eastAsia"/>
                  </w:rPr>
                  <w:t>32,074,029</w:t>
                </w:r>
              </w:p>
            </w:tc>
          </w:tr>
          <w:tr>
            <w:trPr>
              <w:trHeight w:val="397"/>
            </w:trPr>
            <w:tc>
              <w:tcPr>
                <w:tcW w:w="1417" w:type="dxa"/>
                <w:shd w:val="clear" w:color="auto" w:fill="auto"/>
                <w:vAlign w:val="center"/>
              </w:tcPr>
              <w:p>
                <w:pPr>
                  <w:rPr>
                    <w:rFonts w:ascii="宋体" w:hAnsi="宋体" w:cs="宋体"/>
                    <w:color w:val="000000"/>
                  </w:rPr>
                </w:pPr>
                <w:r>
                  <w:rPr>
                    <w:rFonts w:ascii="宋体" w:hAnsi="宋体" w:cs="宋体" w:hint="eastAsia"/>
                    <w:color w:val="000000"/>
                  </w:rPr>
                  <w:lastRenderedPageBreak/>
                  <w:t>长期借款</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cs="宋体" w:hint="eastAsia"/>
                  </w:rPr>
                  <w:t>14,522,668</w:t>
                </w:r>
              </w:p>
            </w:tc>
            <w:tc>
              <w:tcPr>
                <w:tcW w:w="1417" w:type="dxa"/>
                <w:shd w:val="clear" w:color="auto" w:fill="auto"/>
                <w:vAlign w:val="center"/>
              </w:tcPr>
              <w:p>
                <w:pPr>
                  <w:jc w:val="right"/>
                  <w:rPr>
                    <w:rFonts w:ascii="宋体" w:hAnsi="宋体" w:cs="宋体"/>
                    <w:color w:val="000000"/>
                  </w:rPr>
                </w:pPr>
                <w:r>
                  <w:rPr>
                    <w:rFonts w:ascii="宋体" w:hAnsi="宋体" w:cs="宋体" w:hint="eastAsia"/>
                  </w:rPr>
                  <w:t>37,062,507</w:t>
                </w:r>
              </w:p>
            </w:tc>
            <w:tc>
              <w:tcPr>
                <w:tcW w:w="1417" w:type="dxa"/>
                <w:shd w:val="clear" w:color="auto" w:fill="auto"/>
                <w:vAlign w:val="center"/>
              </w:tcPr>
              <w:p>
                <w:pPr>
                  <w:jc w:val="right"/>
                  <w:rPr>
                    <w:rFonts w:ascii="宋体" w:hAnsi="宋体" w:cs="宋体"/>
                    <w:color w:val="000000"/>
                  </w:rPr>
                </w:pPr>
                <w:r>
                  <w:rPr>
                    <w:rFonts w:ascii="宋体" w:hAnsi="宋体" w:cs="宋体" w:hint="eastAsia"/>
                  </w:rPr>
                  <w:t>5,514,548</w:t>
                </w:r>
              </w:p>
            </w:tc>
            <w:tc>
              <w:tcPr>
                <w:tcW w:w="1417" w:type="dxa"/>
                <w:shd w:val="clear" w:color="auto" w:fill="auto"/>
                <w:vAlign w:val="center"/>
              </w:tcPr>
              <w:p>
                <w:pPr>
                  <w:jc w:val="right"/>
                  <w:rPr>
                    <w:rFonts w:ascii="宋体" w:hAnsi="宋体" w:cs="宋体"/>
                    <w:color w:val="000000"/>
                  </w:rPr>
                </w:pPr>
                <w:r>
                  <w:rPr>
                    <w:rFonts w:ascii="宋体" w:hAnsi="宋体" w:cs="宋体" w:hint="eastAsia"/>
                  </w:rPr>
                  <w:t>57,099,723</w:t>
                </w:r>
              </w:p>
            </w:tc>
            <w:tc>
              <w:tcPr>
                <w:tcW w:w="1417" w:type="dxa"/>
                <w:shd w:val="clear" w:color="auto" w:fill="auto"/>
                <w:vAlign w:val="center"/>
              </w:tcPr>
              <w:p>
                <w:pPr>
                  <w:jc w:val="right"/>
                  <w:rPr>
                    <w:rFonts w:ascii="宋体" w:hAnsi="宋体" w:cs="宋体"/>
                    <w:color w:val="000000"/>
                  </w:rPr>
                </w:pPr>
                <w:r>
                  <w:rPr>
                    <w:rFonts w:ascii="宋体" w:hAnsi="宋体" w:cs="宋体" w:hint="eastAsia"/>
                  </w:rPr>
                  <w:t>57,099,723</w:t>
                </w:r>
              </w:p>
            </w:tc>
          </w:tr>
          <w:tr>
            <w:trPr>
              <w:trHeight w:val="397"/>
            </w:trPr>
            <w:tc>
              <w:tcPr>
                <w:tcW w:w="1417" w:type="dxa"/>
                <w:shd w:val="clear" w:color="auto" w:fill="auto"/>
                <w:vAlign w:val="center"/>
              </w:tcPr>
              <w:p>
                <w:pPr>
                  <w:rPr>
                    <w:rFonts w:ascii="宋体" w:hAnsi="宋体" w:cs="宋体"/>
                    <w:color w:val="000000"/>
                  </w:rPr>
                </w:pPr>
                <w:r>
                  <w:rPr>
                    <w:rFonts w:ascii="宋体" w:hAnsi="宋体" w:cs="宋体" w:hint="eastAsia"/>
                    <w:color w:val="000000"/>
                  </w:rPr>
                  <w:t>应付债券</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cs="宋体" w:hint="eastAsia"/>
                  </w:rPr>
                  <w:t>19,148,933</w:t>
                </w:r>
              </w:p>
            </w:tc>
            <w:tc>
              <w:tcPr>
                <w:tcW w:w="1417" w:type="dxa"/>
                <w:shd w:val="clear" w:color="auto" w:fill="auto"/>
                <w:vAlign w:val="center"/>
              </w:tcPr>
              <w:p>
                <w:pPr>
                  <w:jc w:val="right"/>
                  <w:rPr>
                    <w:rFonts w:ascii="宋体" w:hAnsi="宋体" w:cs="宋体"/>
                    <w:color w:val="000000"/>
                  </w:rPr>
                </w:pPr>
                <w:r>
                  <w:rPr>
                    <w:rFonts w:ascii="宋体" w:hAnsi="宋体" w:cs="宋体" w:hint="eastAsia"/>
                  </w:rPr>
                  <w:t>6,171,813</w:t>
                </w:r>
              </w:p>
            </w:tc>
            <w:tc>
              <w:tcPr>
                <w:tcW w:w="1417" w:type="dxa"/>
                <w:shd w:val="clear" w:color="auto" w:fill="auto"/>
                <w:vAlign w:val="center"/>
              </w:tcPr>
              <w:p>
                <w:pPr>
                  <w:jc w:val="right"/>
                  <w:rPr>
                    <w:rFonts w:ascii="宋体" w:hAnsi="宋体" w:cs="宋体"/>
                    <w:color w:val="000000"/>
                  </w:rPr>
                </w:pPr>
                <w:r>
                  <w:rPr>
                    <w:rFonts w:ascii="宋体" w:hAnsi="宋体" w:cs="宋体" w:hint="eastAsia"/>
                  </w:rPr>
                  <w:t>2,067,528</w:t>
                </w:r>
              </w:p>
            </w:tc>
            <w:tc>
              <w:tcPr>
                <w:tcW w:w="1417" w:type="dxa"/>
                <w:shd w:val="clear" w:color="auto" w:fill="auto"/>
                <w:vAlign w:val="center"/>
              </w:tcPr>
              <w:p>
                <w:pPr>
                  <w:jc w:val="right"/>
                  <w:rPr>
                    <w:rFonts w:ascii="宋体" w:hAnsi="宋体" w:cs="宋体"/>
                    <w:color w:val="000000"/>
                  </w:rPr>
                </w:pPr>
                <w:r>
                  <w:rPr>
                    <w:rFonts w:ascii="宋体" w:hAnsi="宋体" w:cs="宋体" w:hint="eastAsia"/>
                  </w:rPr>
                  <w:t>27,388,274</w:t>
                </w:r>
              </w:p>
            </w:tc>
            <w:tc>
              <w:tcPr>
                <w:tcW w:w="1417" w:type="dxa"/>
                <w:shd w:val="clear" w:color="auto" w:fill="auto"/>
                <w:vAlign w:val="center"/>
              </w:tcPr>
              <w:p>
                <w:pPr>
                  <w:jc w:val="right"/>
                  <w:rPr>
                    <w:rFonts w:ascii="宋体" w:hAnsi="宋体" w:cs="宋体"/>
                    <w:color w:val="000000"/>
                  </w:rPr>
                </w:pPr>
                <w:r>
                  <w:rPr>
                    <w:rFonts w:ascii="宋体" w:hAnsi="宋体" w:cs="宋体" w:hint="eastAsia"/>
                  </w:rPr>
                  <w:t>22,964,152</w:t>
                </w:r>
              </w:p>
            </w:tc>
          </w:tr>
          <w:tr>
            <w:trPr>
              <w:trHeight w:val="397"/>
            </w:trPr>
            <w:tc>
              <w:tcPr>
                <w:tcW w:w="1417" w:type="dxa"/>
                <w:shd w:val="clear" w:color="auto" w:fill="auto"/>
                <w:vAlign w:val="center"/>
              </w:tcPr>
              <w:p>
                <w:pPr>
                  <w:rPr>
                    <w:rFonts w:ascii="宋体" w:hAnsi="宋体" w:cs="宋体"/>
                    <w:color w:val="000000"/>
                  </w:rPr>
                </w:pPr>
                <w:r>
                  <w:rPr>
                    <w:rFonts w:ascii="宋体" w:hAnsi="宋体" w:cs="宋体" w:hint="eastAsia"/>
                    <w:color w:val="000000"/>
                  </w:rPr>
                  <w:t>租赁负债</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cs="宋体" w:hint="eastAsia"/>
                  </w:rPr>
                  <w:t>168,466</w:t>
                </w:r>
              </w:p>
            </w:tc>
            <w:tc>
              <w:tcPr>
                <w:tcW w:w="1417" w:type="dxa"/>
                <w:shd w:val="clear" w:color="auto" w:fill="auto"/>
                <w:vAlign w:val="center"/>
              </w:tcPr>
              <w:p>
                <w:pPr>
                  <w:jc w:val="right"/>
                  <w:rPr>
                    <w:rFonts w:ascii="宋体" w:hAnsi="宋体" w:cs="宋体"/>
                    <w:color w:val="000000"/>
                  </w:rPr>
                </w:pPr>
                <w:r>
                  <w:rPr>
                    <w:rFonts w:ascii="宋体" w:hAnsi="宋体" w:cs="宋体" w:hint="eastAsia"/>
                  </w:rPr>
                  <w:t>59,085</w:t>
                </w:r>
              </w:p>
            </w:tc>
            <w:tc>
              <w:tcPr>
                <w:tcW w:w="1417" w:type="dxa"/>
                <w:shd w:val="clear" w:color="auto" w:fill="auto"/>
                <w:vAlign w:val="center"/>
              </w:tcPr>
              <w:p>
                <w:pPr>
                  <w:jc w:val="right"/>
                  <w:rPr>
                    <w:rFonts w:ascii="宋体" w:hAnsi="宋体" w:cs="宋体"/>
                    <w:color w:val="000000"/>
                  </w:rPr>
                </w:pPr>
                <w:r>
                  <w:rPr>
                    <w:rFonts w:ascii="宋体" w:hAnsi="宋体" w:cs="宋体" w:hint="eastAsia"/>
                  </w:rPr>
                  <w:t>200,472</w:t>
                </w:r>
              </w:p>
            </w:tc>
            <w:tc>
              <w:tcPr>
                <w:tcW w:w="1417" w:type="dxa"/>
                <w:shd w:val="clear" w:color="auto" w:fill="auto"/>
                <w:vAlign w:val="center"/>
              </w:tcPr>
              <w:p>
                <w:pPr>
                  <w:jc w:val="right"/>
                  <w:rPr>
                    <w:rFonts w:ascii="宋体" w:hAnsi="宋体" w:cs="宋体"/>
                    <w:color w:val="000000"/>
                  </w:rPr>
                </w:pPr>
                <w:r>
                  <w:rPr>
                    <w:rFonts w:ascii="宋体" w:hAnsi="宋体"/>
                  </w:rPr>
                  <w:t>428,023</w:t>
                </w:r>
              </w:p>
            </w:tc>
            <w:tc>
              <w:tcPr>
                <w:tcW w:w="1417" w:type="dxa"/>
                <w:shd w:val="clear" w:color="auto" w:fill="auto"/>
                <w:vAlign w:val="center"/>
              </w:tcPr>
              <w:p>
                <w:pPr>
                  <w:jc w:val="right"/>
                  <w:rPr>
                    <w:rFonts w:ascii="宋体" w:hAnsi="宋体" w:cs="宋体"/>
                    <w:color w:val="000000"/>
                  </w:rPr>
                </w:pPr>
                <w:r>
                  <w:rPr>
                    <w:rFonts w:ascii="宋体" w:hAnsi="宋体" w:cs="宋体" w:hint="eastAsia"/>
                  </w:rPr>
                  <w:t>425,643</w:t>
                </w:r>
              </w:p>
            </w:tc>
          </w:tr>
          <w:tr>
            <w:trPr>
              <w:trHeight w:val="397"/>
            </w:trPr>
            <w:tc>
              <w:tcPr>
                <w:tcW w:w="1417" w:type="dxa"/>
                <w:shd w:val="clear" w:color="auto" w:fill="auto"/>
                <w:noWrap/>
                <w:vAlign w:val="center"/>
              </w:tcPr>
              <w:p>
                <w:pPr>
                  <w:rPr>
                    <w:rFonts w:ascii="宋体" w:hAnsi="宋体" w:cs="宋体"/>
                    <w:color w:val="000000"/>
                  </w:rPr>
                </w:pPr>
                <w:r>
                  <w:rPr>
                    <w:rFonts w:ascii="宋体" w:hAnsi="宋体" w:cs="宋体" w:hint="eastAsia"/>
                    <w:color w:val="000000"/>
                  </w:rPr>
                  <w:t>长期应付款</w:t>
                </w:r>
              </w:p>
            </w:tc>
            <w:tc>
              <w:tcPr>
                <w:tcW w:w="1417" w:type="dxa"/>
                <w:shd w:val="clear" w:color="auto" w:fill="auto"/>
                <w:vAlign w:val="center"/>
              </w:tcPr>
              <w:p>
                <w:pPr>
                  <w:jc w:val="right"/>
                  <w:rPr>
                    <w:rFonts w:ascii="宋体" w:hAnsi="宋体" w:cs="宋体"/>
                    <w:color w:val="000000"/>
                  </w:rPr>
                </w:pPr>
              </w:p>
            </w:tc>
            <w:tc>
              <w:tcPr>
                <w:tcW w:w="1417" w:type="dxa"/>
                <w:shd w:val="clear" w:color="auto" w:fill="auto"/>
                <w:vAlign w:val="center"/>
              </w:tcPr>
              <w:p>
                <w:pPr>
                  <w:jc w:val="right"/>
                  <w:rPr>
                    <w:rFonts w:ascii="宋体" w:hAnsi="宋体" w:cs="宋体"/>
                    <w:color w:val="000000"/>
                  </w:rPr>
                </w:pPr>
                <w:r>
                  <w:rPr>
                    <w:rFonts w:ascii="宋体" w:hAnsi="宋体" w:cs="宋体" w:hint="eastAsia"/>
                  </w:rPr>
                  <w:t>3,375,564</w:t>
                </w:r>
              </w:p>
            </w:tc>
            <w:tc>
              <w:tcPr>
                <w:tcW w:w="1417" w:type="dxa"/>
                <w:shd w:val="clear" w:color="auto" w:fill="auto"/>
                <w:vAlign w:val="center"/>
              </w:tcPr>
              <w:p>
                <w:pPr>
                  <w:jc w:val="right"/>
                  <w:rPr>
                    <w:rFonts w:ascii="宋体" w:hAnsi="宋体" w:cs="宋体"/>
                    <w:color w:val="000000"/>
                  </w:rPr>
                </w:pPr>
                <w:r>
                  <w:rPr>
                    <w:rFonts w:ascii="宋体" w:hAnsi="宋体" w:cs="宋体" w:hint="eastAsia"/>
                  </w:rPr>
                  <w:t>7,584,504</w:t>
                </w:r>
              </w:p>
            </w:tc>
            <w:tc>
              <w:tcPr>
                <w:tcW w:w="1417" w:type="dxa"/>
                <w:shd w:val="clear" w:color="auto" w:fill="auto"/>
                <w:vAlign w:val="center"/>
              </w:tcPr>
              <w:p>
                <w:pPr>
                  <w:jc w:val="right"/>
                  <w:rPr>
                    <w:rFonts w:ascii="宋体" w:hAnsi="宋体" w:cs="宋体"/>
                    <w:color w:val="000000"/>
                  </w:rPr>
                </w:pPr>
                <w:r>
                  <w:rPr>
                    <w:rFonts w:ascii="宋体" w:hAnsi="宋体"/>
                  </w:rPr>
                  <w:t>5,341,493</w:t>
                </w:r>
              </w:p>
            </w:tc>
            <w:tc>
              <w:tcPr>
                <w:tcW w:w="1417" w:type="dxa"/>
                <w:shd w:val="clear" w:color="auto" w:fill="auto"/>
                <w:vAlign w:val="center"/>
              </w:tcPr>
              <w:p>
                <w:pPr>
                  <w:jc w:val="right"/>
                  <w:rPr>
                    <w:rFonts w:ascii="宋体" w:hAnsi="宋体" w:cs="宋体"/>
                    <w:color w:val="000000"/>
                  </w:rPr>
                </w:pPr>
                <w:r>
                  <w:rPr>
                    <w:rFonts w:ascii="宋体" w:hAnsi="宋体"/>
                  </w:rPr>
                  <w:t>16,301,561</w:t>
                </w:r>
              </w:p>
            </w:tc>
            <w:tc>
              <w:tcPr>
                <w:tcW w:w="1417" w:type="dxa"/>
                <w:shd w:val="clear" w:color="auto" w:fill="auto"/>
                <w:vAlign w:val="center"/>
              </w:tcPr>
              <w:p>
                <w:pPr>
                  <w:jc w:val="right"/>
                  <w:rPr>
                    <w:rFonts w:ascii="宋体" w:hAnsi="宋体" w:cs="宋体"/>
                    <w:color w:val="000000"/>
                  </w:rPr>
                </w:pPr>
                <w:r>
                  <w:rPr>
                    <w:rFonts w:ascii="宋体" w:hAnsi="宋体"/>
                  </w:rPr>
                  <w:t>16,287,061</w:t>
                </w:r>
              </w:p>
            </w:tc>
          </w:tr>
        </w:tbl>
        <w:p>
          <w:pPr>
            <w:autoSpaceDE w:val="0"/>
            <w:autoSpaceDN w:val="0"/>
            <w:adjustRightInd w:val="0"/>
            <w:spacing w:line="360" w:lineRule="exact"/>
            <w:ind w:firstLineChars="200" w:firstLine="420"/>
            <w:rPr>
              <w:rFonts w:ascii="宋体" w:hAnsi="宋体" w:cs="宋体"/>
            </w:rPr>
          </w:pPr>
        </w:p>
        <w:p>
          <w:pPr>
            <w:pStyle w:val="Style208"/>
            <w:spacing w:after="120"/>
            <w:rPr>
              <w:rFonts w:hAnsi="宋体" w:cs="宋体"/>
              <w:szCs w:val="21"/>
            </w:rPr>
          </w:pPr>
          <w:r>
            <w:rPr>
              <w:rFonts w:hAnsi="宋体" w:cs="宋体" w:hint="eastAsia"/>
              <w:szCs w:val="21"/>
            </w:rPr>
            <w:t>（2）敏感性分析</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本集团采用敏感性分析技术分析风险变量的合理、可能变化对当期损益或所有者权益可能产生的影响。由于任何风险变量很少孤立的发生变化，而变量之间存在的相关性对某一风险变量变化的最终影响金额将产生重大作用，因此下述内容是在假设每一变量的变化是独立的情况下进行的。</w:t>
          </w:r>
        </w:p>
        <w:p>
          <w:pPr>
            <w:pStyle w:val="Style209"/>
            <w:ind w:left="426"/>
            <w:rPr>
              <w:rFonts w:hAnsi="宋体" w:cs="宋体"/>
              <w:szCs w:val="21"/>
            </w:rPr>
          </w:pPr>
          <w:r>
            <w:rPr>
              <w:rFonts w:hAnsi="宋体" w:cs="宋体" w:hint="eastAsia"/>
              <w:szCs w:val="21"/>
            </w:rPr>
            <w:t>1）外汇风险敏感性分析</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本集团主要面临美元汇率变动的影响。</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下述表格详细列示当人民币升值或贬值5%时，本集团的敏感性。5%变动代表本集团就汇率在下一年度合理变动作出的评估。敏感性分析包括外币货币性项目的余额，并将年末汇率调整5%，并假设其他因素保持不变的情况下计算。敏感性分析还包括了借款，这些借款币种也非借入方日常经营所用货币。</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从境内公司角度考虑敏感性：</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81|0|desc|||0|1"/>
          </w:tblPr>
          <w:tblGrid>
            <w:gridCol w:w="4201"/>
            <w:gridCol w:w="2189"/>
            <w:gridCol w:w="2189"/>
          </w:tblGrid>
          <w:tr>
            <w:trPr>
              <w:trHeight w:val="397"/>
              <w:tblHeader/>
              <w:jc w:val="center"/>
            </w:trPr>
            <w:tc>
              <w:tcPr>
                <w:tcW w:w="4201" w:type="dxa"/>
                <w:vMerge w:val="restart"/>
                <w:shd w:val="clear" w:color="auto" w:fill="auto"/>
                <w:vAlign w:val="center"/>
              </w:tcPr>
              <w:p>
                <w:pPr>
                  <w:jc w:val="center"/>
                  <w:rPr>
                    <w:rFonts w:ascii="宋体" w:hAnsi="宋体" w:cs="宋体"/>
                    <w:b/>
                    <w:bCs/>
                    <w:color w:val="000000"/>
                  </w:rPr>
                </w:pPr>
                <w:r>
                  <w:rPr>
                    <w:rFonts w:ascii="宋体" w:hAnsi="宋体" w:cs="宋体" w:hint="eastAsia"/>
                    <w:b/>
                    <w:bCs/>
                    <w:color w:val="000000"/>
                  </w:rPr>
                  <w:t>项目</w:t>
                </w:r>
              </w:p>
            </w:tc>
            <w:tc>
              <w:tcPr>
                <w:tcW w:w="4378" w:type="dxa"/>
                <w:gridSpan w:val="2"/>
                <w:shd w:val="clear" w:color="auto" w:fill="auto"/>
                <w:vAlign w:val="center"/>
              </w:tcPr>
              <w:p>
                <w:pPr>
                  <w:jc w:val="center"/>
                  <w:rPr>
                    <w:rFonts w:ascii="宋体" w:hAnsi="宋体" w:cs="宋体"/>
                    <w:b/>
                    <w:bCs/>
                    <w:color w:val="000000"/>
                  </w:rPr>
                </w:pPr>
                <w:r>
                  <w:rPr>
                    <w:rFonts w:ascii="宋体" w:hAnsi="宋体" w:cs="宋体" w:hint="eastAsia"/>
                    <w:b/>
                    <w:bCs/>
                    <w:color w:val="000000"/>
                  </w:rPr>
                  <w:t>美元影响</w:t>
                </w:r>
              </w:p>
            </w:tc>
          </w:tr>
          <w:tr>
            <w:trPr>
              <w:trHeight w:val="397"/>
              <w:tblHeader/>
              <w:jc w:val="center"/>
            </w:trPr>
            <w:tc>
              <w:tcPr>
                <w:tcW w:w="4201" w:type="dxa"/>
                <w:vMerge/>
                <w:shd w:val="clear" w:color="auto" w:fill="auto"/>
                <w:vAlign w:val="center"/>
              </w:tcPr>
              <w:p>
                <w:pPr>
                  <w:jc w:val="center"/>
                  <w:rPr>
                    <w:rFonts w:ascii="宋体" w:hAnsi="宋体" w:cs="宋体"/>
                    <w:b/>
                    <w:bCs/>
                    <w:color w:val="000000"/>
                  </w:rPr>
                </w:pPr>
              </w:p>
            </w:tc>
            <w:tc>
              <w:tcPr>
                <w:tcW w:w="2189" w:type="dxa"/>
                <w:shd w:val="clear" w:color="auto" w:fill="auto"/>
                <w:vAlign w:val="center"/>
              </w:tcPr>
              <w:p>
                <w:pPr>
                  <w:jc w:val="center"/>
                  <w:rPr>
                    <w:rFonts w:ascii="宋体" w:hAnsi="宋体" w:cs="宋体"/>
                    <w:b/>
                    <w:bCs/>
                    <w:color w:val="000000"/>
                  </w:rPr>
                </w:pPr>
                <w:r>
                  <w:rPr>
                    <w:rFonts w:ascii="宋体" w:hAnsi="宋体" w:cs="宋体" w:hint="eastAsia"/>
                    <w:b/>
                    <w:bCs/>
                    <w:color w:val="000000"/>
                  </w:rPr>
                  <w:t>年末余额</w:t>
                </w:r>
              </w:p>
            </w:tc>
            <w:tc>
              <w:tcPr>
                <w:tcW w:w="2189" w:type="dxa"/>
                <w:shd w:val="clear" w:color="auto" w:fill="auto"/>
                <w:vAlign w:val="center"/>
              </w:tcPr>
              <w:p>
                <w:pPr>
                  <w:jc w:val="center"/>
                  <w:rPr>
                    <w:rFonts w:ascii="宋体" w:hAnsi="宋体" w:cs="宋体"/>
                    <w:b/>
                    <w:bCs/>
                    <w:color w:val="000000"/>
                  </w:rPr>
                </w:pPr>
                <w:r>
                  <w:rPr>
                    <w:rFonts w:ascii="宋体" w:hAnsi="宋体" w:cs="宋体" w:hint="eastAsia"/>
                    <w:b/>
                    <w:bCs/>
                    <w:color w:val="000000"/>
                  </w:rPr>
                  <w:t>年初余额</w:t>
                </w:r>
              </w:p>
            </w:tc>
          </w:tr>
          <w:tr>
            <w:trPr>
              <w:trHeight w:val="397"/>
              <w:jc w:val="center"/>
            </w:trPr>
            <w:tc>
              <w:tcPr>
                <w:tcW w:w="8579" w:type="dxa"/>
                <w:gridSpan w:val="3"/>
                <w:vAlign w:val="center"/>
              </w:tcPr>
              <w:p>
                <w:pPr>
                  <w:snapToGrid w:val="0"/>
                  <w:spacing w:line="240" w:lineRule="atLeast"/>
                  <w:rPr>
                    <w:rFonts w:ascii="宋体" w:hAnsi="宋体" w:cs="宋体"/>
                  </w:rPr>
                </w:pPr>
                <w:r>
                  <w:rPr>
                    <w:rFonts w:ascii="宋体" w:hAnsi="宋体" w:cs="宋体" w:hint="eastAsia"/>
                  </w:rPr>
                  <w:t>增加（或减少）当期损益</w:t>
                </w:r>
              </w:p>
            </w:tc>
          </w:tr>
          <w:tr>
            <w:trPr>
              <w:trHeight w:val="397"/>
              <w:jc w:val="center"/>
            </w:trPr>
            <w:tc>
              <w:tcPr>
                <w:tcW w:w="4201" w:type="dxa"/>
                <w:vAlign w:val="center"/>
              </w:tcPr>
              <w:p>
                <w:pPr>
                  <w:snapToGrid w:val="0"/>
                  <w:spacing w:line="240" w:lineRule="atLeast"/>
                  <w:rPr>
                    <w:rFonts w:ascii="宋体" w:hAnsi="宋体" w:cs="宋体"/>
                  </w:rPr>
                </w:pPr>
                <w:r>
                  <w:rPr>
                    <w:rFonts w:ascii="宋体" w:hAnsi="宋体" w:cs="宋体" w:hint="eastAsia"/>
                  </w:rPr>
                  <w:t>——如人民币贬值对应外币</w:t>
                </w:r>
              </w:p>
            </w:tc>
            <w:tc>
              <w:tcPr>
                <w:tcW w:w="2189" w:type="dxa"/>
                <w:vAlign w:val="center"/>
              </w:tcPr>
              <w:p>
                <w:pPr>
                  <w:snapToGrid w:val="0"/>
                  <w:spacing w:line="240" w:lineRule="atLeast"/>
                  <w:jc w:val="right"/>
                  <w:rPr>
                    <w:rFonts w:ascii="宋体" w:hAnsi="宋体" w:cs="宋体"/>
                  </w:rPr>
                </w:pPr>
                <w:r>
                  <w:rPr>
                    <w:rFonts w:ascii="宋体" w:hAnsi="宋体" w:cs="宋体" w:hint="eastAsia"/>
                  </w:rPr>
                  <w:t>-5,900</w:t>
                </w:r>
              </w:p>
            </w:tc>
            <w:tc>
              <w:tcPr>
                <w:tcW w:w="2189" w:type="dxa"/>
                <w:vAlign w:val="center"/>
              </w:tcPr>
              <w:p>
                <w:pPr>
                  <w:snapToGrid w:val="0"/>
                  <w:spacing w:line="240" w:lineRule="atLeast"/>
                  <w:jc w:val="right"/>
                  <w:rPr>
                    <w:rFonts w:ascii="宋体" w:hAnsi="宋体" w:cs="宋体"/>
                  </w:rPr>
                </w:pPr>
                <w:r>
                  <w:rPr>
                    <w:rFonts w:ascii="宋体" w:hAnsi="宋体" w:cs="宋体" w:hint="eastAsia"/>
                  </w:rPr>
                  <w:t>-16,884</w:t>
                </w:r>
              </w:p>
            </w:tc>
          </w:tr>
          <w:tr>
            <w:trPr>
              <w:trHeight w:val="397"/>
              <w:jc w:val="center"/>
            </w:trPr>
            <w:tc>
              <w:tcPr>
                <w:tcW w:w="4201" w:type="dxa"/>
                <w:vAlign w:val="center"/>
              </w:tcPr>
              <w:p>
                <w:pPr>
                  <w:snapToGrid w:val="0"/>
                  <w:spacing w:line="240" w:lineRule="atLeast"/>
                  <w:rPr>
                    <w:rFonts w:ascii="宋体" w:hAnsi="宋体" w:cs="宋体"/>
                  </w:rPr>
                </w:pPr>
                <w:r>
                  <w:rPr>
                    <w:rFonts w:ascii="宋体" w:hAnsi="宋体" w:cs="宋体" w:hint="eastAsia"/>
                  </w:rPr>
                  <w:t>——如人民币升值对应外币</w:t>
                </w:r>
              </w:p>
            </w:tc>
            <w:tc>
              <w:tcPr>
                <w:tcW w:w="2189" w:type="dxa"/>
                <w:vAlign w:val="center"/>
              </w:tcPr>
              <w:p>
                <w:pPr>
                  <w:snapToGrid w:val="0"/>
                  <w:spacing w:line="240" w:lineRule="atLeast"/>
                  <w:jc w:val="right"/>
                  <w:rPr>
                    <w:rFonts w:ascii="宋体" w:hAnsi="宋体" w:cs="宋体"/>
                  </w:rPr>
                </w:pPr>
                <w:r>
                  <w:rPr>
                    <w:rFonts w:ascii="宋体" w:hAnsi="宋体" w:cs="宋体" w:hint="eastAsia"/>
                  </w:rPr>
                  <w:t>5,900</w:t>
                </w:r>
              </w:p>
            </w:tc>
            <w:tc>
              <w:tcPr>
                <w:tcW w:w="2189" w:type="dxa"/>
                <w:vAlign w:val="center"/>
              </w:tcPr>
              <w:p>
                <w:pPr>
                  <w:snapToGrid w:val="0"/>
                  <w:spacing w:line="240" w:lineRule="atLeast"/>
                  <w:jc w:val="right"/>
                  <w:rPr>
                    <w:rFonts w:ascii="宋体" w:hAnsi="宋体" w:cs="宋体"/>
                  </w:rPr>
                </w:pPr>
                <w:r>
                  <w:rPr>
                    <w:rFonts w:ascii="宋体" w:hAnsi="宋体" w:cs="宋体" w:hint="eastAsia"/>
                  </w:rPr>
                  <w:t>16,884</w:t>
                </w:r>
              </w:p>
            </w:tc>
          </w:tr>
        </w:tbl>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从澳洲公司和香港公司角度考虑敏感性：</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82|0|desc|||0|1"/>
          </w:tblPr>
          <w:tblGrid>
            <w:gridCol w:w="4319"/>
            <w:gridCol w:w="2252"/>
            <w:gridCol w:w="2252"/>
          </w:tblGrid>
          <w:tr>
            <w:trPr>
              <w:trHeight w:val="397"/>
              <w:tblHeader/>
              <w:jc w:val="center"/>
            </w:trPr>
            <w:tc>
              <w:tcPr>
                <w:tcW w:w="2448" w:type="pct"/>
                <w:vMerge w:val="restart"/>
                <w:shd w:val="clear" w:color="auto" w:fill="auto"/>
                <w:vAlign w:val="center"/>
              </w:tcPr>
              <w:p>
                <w:pPr>
                  <w:jc w:val="center"/>
                  <w:rPr>
                    <w:rFonts w:ascii="宋体" w:hAnsi="宋体" w:cs="宋体"/>
                    <w:b/>
                    <w:bCs/>
                    <w:color w:val="000000"/>
                  </w:rPr>
                </w:pPr>
                <w:r>
                  <w:rPr>
                    <w:rFonts w:ascii="宋体" w:hAnsi="宋体" w:cs="宋体" w:hint="eastAsia"/>
                    <w:b/>
                    <w:bCs/>
                    <w:color w:val="000000"/>
                  </w:rPr>
                  <w:t>项目</w:t>
                </w:r>
              </w:p>
            </w:tc>
            <w:tc>
              <w:tcPr>
                <w:tcW w:w="2552" w:type="pct"/>
                <w:gridSpan w:val="2"/>
                <w:shd w:val="clear" w:color="auto" w:fill="auto"/>
                <w:vAlign w:val="center"/>
              </w:tcPr>
              <w:p>
                <w:pPr>
                  <w:jc w:val="center"/>
                  <w:rPr>
                    <w:rFonts w:ascii="宋体" w:hAnsi="宋体" w:cs="宋体"/>
                    <w:b/>
                    <w:bCs/>
                    <w:color w:val="000000"/>
                  </w:rPr>
                </w:pPr>
                <w:r>
                  <w:rPr>
                    <w:rFonts w:ascii="宋体" w:hAnsi="宋体" w:cs="宋体" w:hint="eastAsia"/>
                    <w:b/>
                    <w:bCs/>
                    <w:color w:val="000000"/>
                  </w:rPr>
                  <w:t>美元影响</w:t>
                </w:r>
              </w:p>
            </w:tc>
          </w:tr>
          <w:tr>
            <w:trPr>
              <w:trHeight w:val="397"/>
              <w:tblHeader/>
              <w:jc w:val="center"/>
            </w:trPr>
            <w:tc>
              <w:tcPr>
                <w:tcW w:w="2448" w:type="pct"/>
                <w:vMerge/>
                <w:shd w:val="clear" w:color="auto" w:fill="auto"/>
                <w:vAlign w:val="center"/>
              </w:tcPr>
              <w:p>
                <w:pPr>
                  <w:jc w:val="center"/>
                  <w:rPr>
                    <w:rFonts w:ascii="宋体" w:hAnsi="宋体" w:cs="宋体"/>
                    <w:b/>
                    <w:bCs/>
                    <w:color w:val="000000"/>
                  </w:rPr>
                </w:pPr>
              </w:p>
            </w:tc>
            <w:tc>
              <w:tcPr>
                <w:tcW w:w="1276" w:type="pct"/>
                <w:shd w:val="clear" w:color="auto" w:fill="auto"/>
                <w:vAlign w:val="center"/>
              </w:tcPr>
              <w:p>
                <w:pPr>
                  <w:jc w:val="center"/>
                  <w:rPr>
                    <w:rFonts w:ascii="宋体" w:hAnsi="宋体" w:cs="宋体"/>
                    <w:b/>
                    <w:bCs/>
                    <w:color w:val="000000"/>
                  </w:rPr>
                </w:pPr>
                <w:r>
                  <w:rPr>
                    <w:rFonts w:ascii="宋体" w:hAnsi="宋体" w:cs="宋体" w:hint="eastAsia"/>
                    <w:b/>
                    <w:bCs/>
                    <w:color w:val="000000"/>
                  </w:rPr>
                  <w:t>年末余额</w:t>
                </w:r>
              </w:p>
            </w:tc>
            <w:tc>
              <w:tcPr>
                <w:tcW w:w="1276" w:type="pct"/>
                <w:shd w:val="clear" w:color="auto" w:fill="auto"/>
                <w:vAlign w:val="center"/>
              </w:tcPr>
              <w:p>
                <w:pPr>
                  <w:jc w:val="center"/>
                  <w:rPr>
                    <w:rFonts w:ascii="宋体" w:hAnsi="宋体" w:cs="宋体"/>
                    <w:b/>
                    <w:bCs/>
                    <w:color w:val="000000"/>
                  </w:rPr>
                </w:pPr>
                <w:r>
                  <w:rPr>
                    <w:rFonts w:ascii="宋体" w:hAnsi="宋体" w:cs="宋体" w:hint="eastAsia"/>
                    <w:b/>
                    <w:bCs/>
                    <w:color w:val="000000"/>
                  </w:rPr>
                  <w:t>年初余额</w:t>
                </w:r>
              </w:p>
            </w:tc>
          </w:tr>
          <w:tr>
            <w:trPr>
              <w:trHeight w:val="397"/>
              <w:jc w:val="center"/>
            </w:trPr>
            <w:tc>
              <w:tcPr>
                <w:tcW w:w="8579" w:type="dxa"/>
                <w:gridSpan w:val="3"/>
                <w:vAlign w:val="center"/>
              </w:tcPr>
              <w:p>
                <w:pPr>
                  <w:snapToGrid w:val="0"/>
                  <w:spacing w:line="240" w:lineRule="atLeast"/>
                  <w:rPr>
                    <w:rFonts w:ascii="宋体" w:hAnsi="宋体" w:cs="宋体"/>
                  </w:rPr>
                </w:pPr>
                <w:r>
                  <w:rPr>
                    <w:rFonts w:ascii="宋体" w:hAnsi="宋体" w:cs="宋体" w:hint="eastAsia"/>
                  </w:rPr>
                  <w:t>增加（或减少）当期损益</w:t>
                </w:r>
              </w:p>
            </w:tc>
          </w:tr>
          <w:tr>
            <w:trPr>
              <w:trHeight w:val="397"/>
              <w:jc w:val="center"/>
            </w:trPr>
            <w:tc>
              <w:tcPr>
                <w:tcW w:w="4201" w:type="dxa"/>
                <w:vAlign w:val="center"/>
              </w:tcPr>
              <w:p>
                <w:pPr>
                  <w:snapToGrid w:val="0"/>
                  <w:spacing w:line="240" w:lineRule="atLeast"/>
                  <w:rPr>
                    <w:rFonts w:ascii="宋体" w:hAnsi="宋体" w:cs="宋体"/>
                  </w:rPr>
                </w:pPr>
                <w:r>
                  <w:rPr>
                    <w:rFonts w:ascii="宋体" w:hAnsi="宋体" w:cs="宋体" w:hint="eastAsia"/>
                  </w:rPr>
                  <w:t>——如记账本位币贬值对应外币</w:t>
                </w:r>
              </w:p>
            </w:tc>
            <w:tc>
              <w:tcPr>
                <w:tcW w:w="2189" w:type="dxa"/>
                <w:vAlign w:val="center"/>
              </w:tcPr>
              <w:p>
                <w:pPr>
                  <w:snapToGrid w:val="0"/>
                  <w:spacing w:line="240" w:lineRule="atLeast"/>
                  <w:jc w:val="right"/>
                  <w:rPr>
                    <w:rFonts w:ascii="宋体" w:hAnsi="宋体" w:cs="宋体"/>
                  </w:rPr>
                </w:pPr>
                <w:r>
                  <w:rPr>
                    <w:rFonts w:ascii="宋体" w:hAnsi="宋体" w:cs="宋体" w:hint="eastAsia"/>
                  </w:rPr>
                  <w:t>-144,197</w:t>
                </w:r>
              </w:p>
            </w:tc>
            <w:tc>
              <w:tcPr>
                <w:tcW w:w="2189" w:type="dxa"/>
                <w:vAlign w:val="center"/>
              </w:tcPr>
              <w:p>
                <w:pPr>
                  <w:snapToGrid w:val="0"/>
                  <w:spacing w:line="240" w:lineRule="atLeast"/>
                  <w:jc w:val="right"/>
                  <w:rPr>
                    <w:rFonts w:ascii="宋体" w:hAnsi="宋体" w:cs="宋体"/>
                  </w:rPr>
                </w:pPr>
                <w:r>
                  <w:rPr>
                    <w:rFonts w:ascii="宋体" w:hAnsi="宋体" w:cs="宋体" w:hint="eastAsia"/>
                  </w:rPr>
                  <w:t>-181,448</w:t>
                </w:r>
              </w:p>
            </w:tc>
          </w:tr>
          <w:tr>
            <w:trPr>
              <w:trHeight w:val="397"/>
              <w:jc w:val="center"/>
            </w:trPr>
            <w:tc>
              <w:tcPr>
                <w:tcW w:w="4201" w:type="dxa"/>
                <w:vAlign w:val="center"/>
              </w:tcPr>
              <w:p>
                <w:pPr>
                  <w:snapToGrid w:val="0"/>
                  <w:spacing w:line="240" w:lineRule="atLeast"/>
                  <w:rPr>
                    <w:rFonts w:ascii="宋体" w:hAnsi="宋体" w:cs="宋体"/>
                  </w:rPr>
                </w:pPr>
                <w:r>
                  <w:rPr>
                    <w:rFonts w:ascii="宋体" w:hAnsi="宋体" w:cs="宋体" w:hint="eastAsia"/>
                  </w:rPr>
                  <w:t>——如记账本位币升值对应外币</w:t>
                </w:r>
              </w:p>
            </w:tc>
            <w:tc>
              <w:tcPr>
                <w:tcW w:w="2189" w:type="dxa"/>
                <w:vAlign w:val="center"/>
              </w:tcPr>
              <w:p>
                <w:pPr>
                  <w:snapToGrid w:val="0"/>
                  <w:spacing w:line="240" w:lineRule="atLeast"/>
                  <w:jc w:val="right"/>
                  <w:rPr>
                    <w:rFonts w:ascii="宋体" w:hAnsi="宋体" w:cs="宋体"/>
                  </w:rPr>
                </w:pPr>
                <w:r>
                  <w:rPr>
                    <w:rFonts w:ascii="宋体" w:hAnsi="宋体" w:cs="宋体" w:hint="eastAsia"/>
                  </w:rPr>
                  <w:t>144,197</w:t>
                </w:r>
              </w:p>
            </w:tc>
            <w:tc>
              <w:tcPr>
                <w:tcW w:w="2189" w:type="dxa"/>
                <w:vAlign w:val="center"/>
              </w:tcPr>
              <w:p>
                <w:pPr>
                  <w:snapToGrid w:val="0"/>
                  <w:spacing w:line="240" w:lineRule="atLeast"/>
                  <w:jc w:val="right"/>
                  <w:rPr>
                    <w:rFonts w:ascii="宋体" w:hAnsi="宋体" w:cs="宋体"/>
                  </w:rPr>
                </w:pPr>
                <w:r>
                  <w:rPr>
                    <w:rFonts w:ascii="宋体" w:hAnsi="宋体" w:cs="宋体" w:hint="eastAsia"/>
                  </w:rPr>
                  <w:t>181,448</w:t>
                </w:r>
              </w:p>
            </w:tc>
          </w:tr>
          <w:tr>
            <w:trPr>
              <w:trHeight w:val="397"/>
              <w:jc w:val="center"/>
            </w:trPr>
            <w:tc>
              <w:tcPr>
                <w:tcW w:w="8579" w:type="dxa"/>
                <w:gridSpan w:val="3"/>
                <w:vAlign w:val="center"/>
              </w:tcPr>
              <w:p>
                <w:pPr>
                  <w:snapToGrid w:val="0"/>
                  <w:spacing w:line="240" w:lineRule="atLeast"/>
                  <w:rPr>
                    <w:rFonts w:ascii="宋体" w:hAnsi="宋体" w:cs="宋体"/>
                  </w:rPr>
                </w:pPr>
                <w:r>
                  <w:rPr>
                    <w:rFonts w:ascii="宋体" w:hAnsi="宋体" w:cs="宋体" w:hint="eastAsia"/>
                  </w:rPr>
                  <w:t>增加（或减少）当期股东权益</w:t>
                </w:r>
              </w:p>
            </w:tc>
          </w:tr>
          <w:tr>
            <w:trPr>
              <w:trHeight w:val="397"/>
              <w:jc w:val="center"/>
            </w:trPr>
            <w:tc>
              <w:tcPr>
                <w:tcW w:w="4201" w:type="dxa"/>
                <w:vAlign w:val="center"/>
              </w:tcPr>
              <w:p>
                <w:pPr>
                  <w:snapToGrid w:val="0"/>
                  <w:spacing w:line="240" w:lineRule="atLeast"/>
                  <w:rPr>
                    <w:rFonts w:ascii="宋体" w:hAnsi="宋体" w:cs="宋体"/>
                  </w:rPr>
                </w:pPr>
                <w:r>
                  <w:rPr>
                    <w:rFonts w:ascii="宋体" w:hAnsi="宋体" w:cs="宋体" w:hint="eastAsia"/>
                  </w:rPr>
                  <w:t>——如记账本位币贬值对应外币</w:t>
                </w:r>
              </w:p>
            </w:tc>
            <w:tc>
              <w:tcPr>
                <w:tcW w:w="2189" w:type="dxa"/>
                <w:vAlign w:val="center"/>
              </w:tcPr>
              <w:p>
                <w:pPr>
                  <w:snapToGrid w:val="0"/>
                  <w:spacing w:line="240" w:lineRule="atLeast"/>
                  <w:jc w:val="right"/>
                  <w:rPr>
                    <w:rFonts w:ascii="宋体" w:hAnsi="宋体" w:cs="宋体"/>
                  </w:rPr>
                </w:pPr>
                <w:r>
                  <w:rPr>
                    <w:rFonts w:ascii="宋体" w:hAnsi="宋体" w:cs="宋体" w:hint="eastAsia"/>
                  </w:rPr>
                  <w:t>-144,197</w:t>
                </w:r>
              </w:p>
            </w:tc>
            <w:tc>
              <w:tcPr>
                <w:tcW w:w="2189" w:type="dxa"/>
                <w:vAlign w:val="center"/>
              </w:tcPr>
              <w:p>
                <w:pPr>
                  <w:snapToGrid w:val="0"/>
                  <w:spacing w:line="240" w:lineRule="atLeast"/>
                  <w:jc w:val="right"/>
                  <w:rPr>
                    <w:rFonts w:ascii="宋体" w:hAnsi="宋体" w:cs="宋体"/>
                  </w:rPr>
                </w:pPr>
                <w:r>
                  <w:rPr>
                    <w:rFonts w:ascii="宋体" w:hAnsi="宋体" w:cs="宋体" w:hint="eastAsia"/>
                  </w:rPr>
                  <w:t>-193,382</w:t>
                </w:r>
              </w:p>
            </w:tc>
          </w:tr>
          <w:tr>
            <w:trPr>
              <w:trHeight w:val="397"/>
              <w:jc w:val="center"/>
            </w:trPr>
            <w:tc>
              <w:tcPr>
                <w:tcW w:w="4201" w:type="dxa"/>
                <w:vAlign w:val="center"/>
              </w:tcPr>
              <w:p>
                <w:pPr>
                  <w:snapToGrid w:val="0"/>
                  <w:spacing w:line="240" w:lineRule="atLeast"/>
                  <w:rPr>
                    <w:rFonts w:ascii="宋体" w:hAnsi="宋体" w:cs="宋体"/>
                  </w:rPr>
                </w:pPr>
                <w:r>
                  <w:rPr>
                    <w:rFonts w:ascii="宋体" w:hAnsi="宋体" w:cs="宋体" w:hint="eastAsia"/>
                  </w:rPr>
                  <w:t>——如记账本位币升值对应外币</w:t>
                </w:r>
              </w:p>
            </w:tc>
            <w:tc>
              <w:tcPr>
                <w:tcW w:w="2189" w:type="dxa"/>
                <w:vAlign w:val="center"/>
              </w:tcPr>
              <w:p>
                <w:pPr>
                  <w:snapToGrid w:val="0"/>
                  <w:spacing w:line="240" w:lineRule="atLeast"/>
                  <w:jc w:val="right"/>
                  <w:rPr>
                    <w:rFonts w:ascii="宋体" w:hAnsi="宋体" w:cs="宋体"/>
                  </w:rPr>
                </w:pPr>
                <w:r>
                  <w:rPr>
                    <w:rFonts w:ascii="宋体" w:hAnsi="宋体" w:cs="宋体" w:hint="eastAsia"/>
                  </w:rPr>
                  <w:t>144,197</w:t>
                </w:r>
              </w:p>
            </w:tc>
            <w:tc>
              <w:tcPr>
                <w:tcW w:w="2189" w:type="dxa"/>
                <w:vAlign w:val="center"/>
              </w:tcPr>
              <w:p>
                <w:pPr>
                  <w:snapToGrid w:val="0"/>
                  <w:spacing w:line="240" w:lineRule="atLeast"/>
                  <w:jc w:val="right"/>
                  <w:rPr>
                    <w:rFonts w:ascii="宋体" w:hAnsi="宋体" w:cs="宋体"/>
                  </w:rPr>
                </w:pPr>
                <w:r>
                  <w:rPr>
                    <w:rFonts w:ascii="宋体" w:hAnsi="宋体" w:cs="宋体" w:hint="eastAsia"/>
                  </w:rPr>
                  <w:t>193,382</w:t>
                </w:r>
              </w:p>
            </w:tc>
          </w:tr>
        </w:tbl>
        <w:p>
          <w:pPr>
            <w:autoSpaceDE w:val="0"/>
            <w:autoSpaceDN w:val="0"/>
            <w:adjustRightInd w:val="0"/>
            <w:spacing w:line="360" w:lineRule="exact"/>
            <w:rPr>
              <w:rFonts w:ascii="宋体" w:hAnsi="宋体" w:cs="宋体"/>
            </w:rPr>
          </w:pPr>
        </w:p>
        <w:p>
          <w:pPr>
            <w:pStyle w:val="Style209"/>
            <w:ind w:left="426"/>
            <w:rPr>
              <w:rFonts w:hAnsi="宋体" w:cs="宋体"/>
              <w:szCs w:val="21"/>
            </w:rPr>
          </w:pPr>
          <w:r>
            <w:rPr>
              <w:rFonts w:hAnsi="宋体" w:cs="宋体" w:hint="eastAsia"/>
              <w:szCs w:val="21"/>
            </w:rPr>
            <w:lastRenderedPageBreak/>
            <w:t>2）利率风险敏感性分析</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利率风险敏感性分析基于下述假设：</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市场利率变化影响可变利率金融工具的利息收入或费用；</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对于以公允价值计量的固定利率金融工具，市场利率变化仅仅影响其利息收入或费用；</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以资产负债表日市场利率采用现金流量折现法计算衍生金融工具及其它金融资产和负债的公允价值变化。</w:t>
          </w:r>
        </w:p>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在上述假设的基础上，在其它变量不变的情况下，利率可能发生的合理变动对当期损益和权益的税后影响如下：</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2025-11-17兖矿2025年年审\0-2025年兖矿能源TB\兖矿2025年审计报告|04.财务附注-2025年度.xlsx|W附注模板|_jds183|0|desc|||0|1"/>
          </w:tblPr>
          <w:tblGrid>
            <w:gridCol w:w="2443"/>
            <w:gridCol w:w="1276"/>
            <w:gridCol w:w="1276"/>
            <w:gridCol w:w="1278"/>
            <w:gridCol w:w="1276"/>
            <w:gridCol w:w="1274"/>
          </w:tblGrid>
          <w:tr>
            <w:trPr>
              <w:trHeight w:val="397"/>
              <w:tblHeader/>
              <w:jc w:val="center"/>
            </w:trPr>
            <w:tc>
              <w:tcPr>
                <w:tcW w:w="1384" w:type="pct"/>
                <w:vMerge w:val="restart"/>
                <w:shd w:val="clear" w:color="auto" w:fill="auto"/>
                <w:vAlign w:val="center"/>
              </w:tcPr>
              <w:p>
                <w:pPr>
                  <w:jc w:val="center"/>
                  <w:rPr>
                    <w:rFonts w:ascii="宋体" w:hAnsi="宋体" w:cs="宋体"/>
                    <w:b/>
                    <w:bCs/>
                    <w:color w:val="000000"/>
                  </w:rPr>
                </w:pPr>
                <w:r>
                  <w:rPr>
                    <w:rFonts w:ascii="宋体" w:hAnsi="宋体" w:cs="宋体" w:hint="eastAsia"/>
                    <w:b/>
                    <w:bCs/>
                    <w:color w:val="000000"/>
                  </w:rPr>
                  <w:t>项目</w:t>
                </w:r>
              </w:p>
            </w:tc>
            <w:tc>
              <w:tcPr>
                <w:tcW w:w="723" w:type="pct"/>
                <w:vMerge w:val="restart"/>
                <w:shd w:val="clear" w:color="auto" w:fill="auto"/>
                <w:vAlign w:val="center"/>
              </w:tcPr>
              <w:p>
                <w:pPr>
                  <w:jc w:val="center"/>
                  <w:rPr>
                    <w:rFonts w:ascii="宋体" w:hAnsi="宋体" w:cs="宋体"/>
                    <w:b/>
                    <w:bCs/>
                    <w:color w:val="000000"/>
                  </w:rPr>
                </w:pPr>
                <w:r>
                  <w:rPr>
                    <w:rFonts w:ascii="宋体" w:hAnsi="宋体" w:cs="宋体" w:hint="eastAsia"/>
                    <w:b/>
                    <w:bCs/>
                    <w:color w:val="000000"/>
                  </w:rPr>
                  <w:t>利率变动</w:t>
                </w:r>
              </w:p>
            </w:tc>
            <w:tc>
              <w:tcPr>
                <w:tcW w:w="1447" w:type="pct"/>
                <w:gridSpan w:val="2"/>
                <w:shd w:val="clear" w:color="auto" w:fill="auto"/>
                <w:vAlign w:val="center"/>
              </w:tcPr>
              <w:p>
                <w:pPr>
                  <w:jc w:val="center"/>
                  <w:rPr>
                    <w:rFonts w:ascii="宋体" w:hAnsi="宋体" w:cs="宋体"/>
                    <w:b/>
                    <w:bCs/>
                    <w:color w:val="000000"/>
                  </w:rPr>
                </w:pPr>
                <w:r>
                  <w:rPr>
                    <w:rFonts w:ascii="宋体" w:hAnsi="宋体" w:cs="宋体" w:hint="eastAsia"/>
                    <w:b/>
                    <w:bCs/>
                    <w:color w:val="000000"/>
                  </w:rPr>
                  <w:t>2025年度</w:t>
                </w:r>
              </w:p>
            </w:tc>
            <w:tc>
              <w:tcPr>
                <w:tcW w:w="1445" w:type="pct"/>
                <w:gridSpan w:val="2"/>
                <w:shd w:val="clear" w:color="auto" w:fill="auto"/>
                <w:vAlign w:val="center"/>
              </w:tcPr>
              <w:p>
                <w:pPr>
                  <w:jc w:val="center"/>
                  <w:rPr>
                    <w:rFonts w:ascii="宋体" w:hAnsi="宋体" w:cs="宋体"/>
                    <w:b/>
                    <w:bCs/>
                    <w:color w:val="000000"/>
                  </w:rPr>
                </w:pPr>
                <w:r>
                  <w:rPr>
                    <w:rFonts w:ascii="宋体" w:hAnsi="宋体" w:cs="宋体" w:hint="eastAsia"/>
                    <w:b/>
                    <w:bCs/>
                    <w:color w:val="000000"/>
                  </w:rPr>
                  <w:t>2024年度</w:t>
                </w:r>
              </w:p>
            </w:tc>
          </w:tr>
          <w:tr>
            <w:trPr>
              <w:trHeight w:val="397"/>
              <w:tblHeader/>
              <w:jc w:val="center"/>
            </w:trPr>
            <w:tc>
              <w:tcPr>
                <w:tcW w:w="1384" w:type="pct"/>
                <w:vMerge/>
                <w:shd w:val="clear" w:color="auto" w:fill="auto"/>
                <w:vAlign w:val="center"/>
              </w:tcPr>
              <w:p>
                <w:pPr>
                  <w:jc w:val="center"/>
                  <w:rPr>
                    <w:rFonts w:ascii="宋体" w:hAnsi="宋体" w:cs="宋体"/>
                    <w:b/>
                    <w:bCs/>
                    <w:color w:val="000000"/>
                  </w:rPr>
                </w:pPr>
              </w:p>
            </w:tc>
            <w:tc>
              <w:tcPr>
                <w:tcW w:w="723" w:type="pct"/>
                <w:vMerge/>
                <w:shd w:val="clear" w:color="auto" w:fill="auto"/>
                <w:vAlign w:val="center"/>
              </w:tcPr>
              <w:p>
                <w:pPr>
                  <w:jc w:val="center"/>
                  <w:rPr>
                    <w:rFonts w:ascii="宋体" w:hAnsi="宋体" w:cs="宋体"/>
                    <w:b/>
                    <w:bCs/>
                    <w:color w:val="000000"/>
                  </w:rPr>
                </w:pPr>
              </w:p>
            </w:tc>
            <w:tc>
              <w:tcPr>
                <w:tcW w:w="723" w:type="pct"/>
                <w:shd w:val="clear" w:color="auto" w:fill="auto"/>
                <w:vAlign w:val="center"/>
              </w:tcPr>
              <w:p>
                <w:pPr>
                  <w:jc w:val="center"/>
                  <w:rPr>
                    <w:rFonts w:ascii="宋体" w:hAnsi="宋体" w:cs="宋体"/>
                    <w:b/>
                    <w:bCs/>
                    <w:color w:val="000000"/>
                  </w:rPr>
                </w:pPr>
                <w:r>
                  <w:rPr>
                    <w:rFonts w:ascii="宋体" w:hAnsi="宋体" w:cs="宋体" w:hint="eastAsia"/>
                    <w:b/>
                    <w:bCs/>
                    <w:color w:val="000000"/>
                  </w:rPr>
                  <w:t>对净利润的影响</w:t>
                </w:r>
              </w:p>
            </w:tc>
            <w:tc>
              <w:tcPr>
                <w:tcW w:w="724" w:type="pct"/>
                <w:shd w:val="clear" w:color="auto" w:fill="auto"/>
                <w:vAlign w:val="center"/>
              </w:tcPr>
              <w:p>
                <w:pPr>
                  <w:jc w:val="center"/>
                  <w:rPr>
                    <w:rFonts w:ascii="宋体" w:hAnsi="宋体" w:cs="宋体"/>
                    <w:b/>
                    <w:bCs/>
                    <w:color w:val="000000"/>
                  </w:rPr>
                </w:pPr>
                <w:r>
                  <w:rPr>
                    <w:rFonts w:ascii="宋体" w:hAnsi="宋体" w:cs="宋体" w:hint="eastAsia"/>
                    <w:b/>
                    <w:bCs/>
                    <w:color w:val="000000"/>
                  </w:rPr>
                  <w:t>对股东权益的影响</w:t>
                </w:r>
              </w:p>
            </w:tc>
            <w:tc>
              <w:tcPr>
                <w:tcW w:w="723" w:type="pct"/>
                <w:shd w:val="clear" w:color="auto" w:fill="auto"/>
                <w:vAlign w:val="center"/>
              </w:tcPr>
              <w:p>
                <w:pPr>
                  <w:jc w:val="center"/>
                  <w:rPr>
                    <w:rFonts w:ascii="宋体" w:hAnsi="宋体" w:cs="宋体"/>
                    <w:b/>
                    <w:bCs/>
                    <w:color w:val="000000"/>
                  </w:rPr>
                </w:pPr>
                <w:r>
                  <w:rPr>
                    <w:rFonts w:ascii="宋体" w:hAnsi="宋体" w:cs="宋体" w:hint="eastAsia"/>
                    <w:b/>
                    <w:bCs/>
                    <w:color w:val="000000"/>
                  </w:rPr>
                  <w:t>对净利润的影响</w:t>
                </w:r>
              </w:p>
            </w:tc>
            <w:tc>
              <w:tcPr>
                <w:tcW w:w="722" w:type="pct"/>
                <w:shd w:val="clear" w:color="auto" w:fill="auto"/>
                <w:vAlign w:val="center"/>
              </w:tcPr>
              <w:p>
                <w:pPr>
                  <w:jc w:val="center"/>
                  <w:rPr>
                    <w:rFonts w:ascii="宋体" w:hAnsi="宋体" w:cs="宋体"/>
                    <w:b/>
                    <w:bCs/>
                    <w:color w:val="000000"/>
                  </w:rPr>
                </w:pPr>
                <w:r>
                  <w:rPr>
                    <w:rFonts w:ascii="宋体" w:hAnsi="宋体" w:cs="宋体" w:hint="eastAsia"/>
                    <w:b/>
                    <w:bCs/>
                    <w:color w:val="000000"/>
                  </w:rPr>
                  <w:t>对股东权益的影响</w:t>
                </w:r>
              </w:p>
            </w:tc>
          </w:tr>
          <w:tr>
            <w:trPr>
              <w:trHeight w:val="397"/>
              <w:jc w:val="center"/>
            </w:trPr>
            <w:tc>
              <w:tcPr>
                <w:tcW w:w="1384" w:type="pct"/>
                <w:vAlign w:val="center"/>
              </w:tcPr>
              <w:p>
                <w:pPr>
                  <w:snapToGrid w:val="0"/>
                  <w:spacing w:line="240" w:lineRule="atLeast"/>
                  <w:rPr>
                    <w:rFonts w:ascii="宋体" w:hAnsi="宋体" w:cs="宋体"/>
                  </w:rPr>
                </w:pPr>
                <w:r>
                  <w:rPr>
                    <w:rFonts w:ascii="宋体" w:hAnsi="宋体" w:cs="宋体" w:hint="eastAsia"/>
                  </w:rPr>
                  <w:t>浮动利率借款</w:t>
                </w:r>
              </w:p>
            </w:tc>
            <w:tc>
              <w:tcPr>
                <w:tcW w:w="723" w:type="pct"/>
                <w:vAlign w:val="center"/>
              </w:tcPr>
              <w:p>
                <w:pPr>
                  <w:snapToGrid w:val="0"/>
                  <w:spacing w:line="240" w:lineRule="atLeast"/>
                  <w:rPr>
                    <w:rFonts w:ascii="宋体" w:hAnsi="宋体" w:cs="宋体"/>
                  </w:rPr>
                </w:pPr>
                <w:r>
                  <w:rPr>
                    <w:rFonts w:ascii="宋体" w:hAnsi="宋体" w:cs="宋体" w:hint="eastAsia"/>
                  </w:rPr>
                  <w:t>增加1%</w:t>
                </w:r>
              </w:p>
            </w:tc>
            <w:tc>
              <w:tcPr>
                <w:tcW w:w="723" w:type="pct"/>
                <w:vAlign w:val="center"/>
              </w:tcPr>
              <w:p>
                <w:pPr>
                  <w:snapToGrid w:val="0"/>
                  <w:spacing w:line="240" w:lineRule="atLeast"/>
                  <w:jc w:val="right"/>
                  <w:rPr>
                    <w:rFonts w:ascii="宋体" w:hAnsi="宋体" w:cs="宋体"/>
                  </w:rPr>
                </w:pPr>
                <w:r>
                  <w:rPr>
                    <w:rFonts w:ascii="宋体" w:hAnsi="宋体" w:cs="宋体" w:hint="eastAsia"/>
                  </w:rPr>
                  <w:t>-</w:t>
                </w:r>
                <w:r>
                  <w:rPr>
                    <w:rFonts w:ascii="宋体" w:hAnsi="宋体" w:cs="宋体"/>
                  </w:rPr>
                  <w:t>430,222</w:t>
                </w:r>
              </w:p>
            </w:tc>
            <w:tc>
              <w:tcPr>
                <w:tcW w:w="724" w:type="pct"/>
                <w:vAlign w:val="center"/>
              </w:tcPr>
              <w:p>
                <w:pPr>
                  <w:snapToGrid w:val="0"/>
                  <w:spacing w:line="240" w:lineRule="atLeast"/>
                  <w:jc w:val="right"/>
                  <w:rPr>
                    <w:rFonts w:ascii="宋体" w:hAnsi="宋体" w:cs="宋体"/>
                  </w:rPr>
                </w:pPr>
                <w:r>
                  <w:rPr>
                    <w:rFonts w:ascii="宋体" w:hAnsi="宋体" w:cs="宋体" w:hint="eastAsia"/>
                  </w:rPr>
                  <w:t>-</w:t>
                </w:r>
                <w:r>
                  <w:rPr>
                    <w:rFonts w:ascii="宋体" w:hAnsi="宋体" w:cs="宋体"/>
                  </w:rPr>
                  <w:t>430,222</w:t>
                </w:r>
              </w:p>
            </w:tc>
            <w:tc>
              <w:tcPr>
                <w:tcW w:w="723" w:type="pct"/>
                <w:vAlign w:val="center"/>
              </w:tcPr>
              <w:p>
                <w:pPr>
                  <w:snapToGrid w:val="0"/>
                  <w:spacing w:line="240" w:lineRule="atLeast"/>
                  <w:jc w:val="right"/>
                  <w:rPr>
                    <w:rFonts w:ascii="宋体" w:hAnsi="宋体" w:cs="宋体"/>
                  </w:rPr>
                </w:pPr>
                <w:r>
                  <w:rPr>
                    <w:rFonts w:ascii="宋体" w:hAnsi="宋体" w:cs="宋体" w:hint="eastAsia"/>
                  </w:rPr>
                  <w:t>-370,632</w:t>
                </w:r>
              </w:p>
            </w:tc>
            <w:tc>
              <w:tcPr>
                <w:tcW w:w="722" w:type="pct"/>
                <w:vAlign w:val="center"/>
              </w:tcPr>
              <w:p>
                <w:pPr>
                  <w:snapToGrid w:val="0"/>
                  <w:spacing w:line="240" w:lineRule="atLeast"/>
                  <w:jc w:val="right"/>
                  <w:rPr>
                    <w:rFonts w:ascii="宋体" w:hAnsi="宋体" w:cs="宋体"/>
                  </w:rPr>
                </w:pPr>
                <w:r>
                  <w:rPr>
                    <w:rFonts w:ascii="宋体" w:hAnsi="宋体" w:cs="宋体" w:hint="eastAsia"/>
                  </w:rPr>
                  <w:t>-370,632</w:t>
                </w:r>
              </w:p>
            </w:tc>
          </w:tr>
          <w:tr>
            <w:trPr>
              <w:trHeight w:val="397"/>
              <w:jc w:val="center"/>
            </w:trPr>
            <w:tc>
              <w:tcPr>
                <w:tcW w:w="1384" w:type="pct"/>
                <w:vAlign w:val="center"/>
              </w:tcPr>
              <w:p>
                <w:pPr>
                  <w:snapToGrid w:val="0"/>
                  <w:spacing w:line="240" w:lineRule="atLeast"/>
                  <w:rPr>
                    <w:rFonts w:ascii="宋体" w:hAnsi="宋体" w:cs="宋体"/>
                  </w:rPr>
                </w:pPr>
                <w:r>
                  <w:rPr>
                    <w:rFonts w:ascii="宋体" w:hAnsi="宋体" w:cs="宋体" w:hint="eastAsia"/>
                  </w:rPr>
                  <w:t>浮动利率借款</w:t>
                </w:r>
              </w:p>
            </w:tc>
            <w:tc>
              <w:tcPr>
                <w:tcW w:w="723" w:type="pct"/>
                <w:vAlign w:val="center"/>
              </w:tcPr>
              <w:p>
                <w:pPr>
                  <w:snapToGrid w:val="0"/>
                  <w:spacing w:line="240" w:lineRule="atLeast"/>
                  <w:rPr>
                    <w:rFonts w:ascii="宋体" w:hAnsi="宋体" w:cs="宋体"/>
                  </w:rPr>
                </w:pPr>
                <w:r>
                  <w:rPr>
                    <w:rFonts w:ascii="宋体" w:hAnsi="宋体" w:cs="宋体" w:hint="eastAsia"/>
                  </w:rPr>
                  <w:t>减少1%</w:t>
                </w:r>
              </w:p>
            </w:tc>
            <w:tc>
              <w:tcPr>
                <w:tcW w:w="723" w:type="pct"/>
                <w:vAlign w:val="center"/>
              </w:tcPr>
              <w:p>
                <w:pPr>
                  <w:snapToGrid w:val="0"/>
                  <w:spacing w:line="240" w:lineRule="atLeast"/>
                  <w:jc w:val="right"/>
                  <w:rPr>
                    <w:rFonts w:ascii="宋体" w:hAnsi="宋体" w:cs="宋体"/>
                  </w:rPr>
                </w:pPr>
                <w:r>
                  <w:rPr>
                    <w:rFonts w:ascii="宋体" w:hAnsi="宋体" w:cs="宋体"/>
                  </w:rPr>
                  <w:t>430,222</w:t>
                </w:r>
              </w:p>
            </w:tc>
            <w:tc>
              <w:tcPr>
                <w:tcW w:w="724" w:type="pct"/>
                <w:vAlign w:val="center"/>
              </w:tcPr>
              <w:p>
                <w:pPr>
                  <w:snapToGrid w:val="0"/>
                  <w:spacing w:line="240" w:lineRule="atLeast"/>
                  <w:jc w:val="right"/>
                  <w:rPr>
                    <w:rFonts w:ascii="宋体" w:hAnsi="宋体" w:cs="宋体"/>
                  </w:rPr>
                </w:pPr>
                <w:r>
                  <w:rPr>
                    <w:rFonts w:ascii="宋体" w:hAnsi="宋体" w:cs="宋体"/>
                  </w:rPr>
                  <w:t>430,222</w:t>
                </w:r>
              </w:p>
            </w:tc>
            <w:tc>
              <w:tcPr>
                <w:tcW w:w="723" w:type="pct"/>
                <w:vAlign w:val="center"/>
              </w:tcPr>
              <w:p>
                <w:pPr>
                  <w:snapToGrid w:val="0"/>
                  <w:spacing w:line="240" w:lineRule="atLeast"/>
                  <w:jc w:val="right"/>
                  <w:rPr>
                    <w:rFonts w:ascii="宋体" w:hAnsi="宋体" w:cs="宋体"/>
                  </w:rPr>
                </w:pPr>
                <w:r>
                  <w:rPr>
                    <w:rFonts w:ascii="宋体" w:hAnsi="宋体" w:cs="宋体" w:hint="eastAsia"/>
                  </w:rPr>
                  <w:t>370,632</w:t>
                </w:r>
              </w:p>
            </w:tc>
            <w:tc>
              <w:tcPr>
                <w:tcW w:w="722" w:type="pct"/>
                <w:vAlign w:val="center"/>
              </w:tcPr>
              <w:p>
                <w:pPr>
                  <w:snapToGrid w:val="0"/>
                  <w:spacing w:line="240" w:lineRule="atLeast"/>
                  <w:jc w:val="right"/>
                  <w:rPr>
                    <w:rFonts w:ascii="宋体" w:hAnsi="宋体" w:cs="宋体"/>
                  </w:rPr>
                </w:pPr>
                <w:r>
                  <w:rPr>
                    <w:rFonts w:ascii="宋体" w:hAnsi="宋体" w:cs="宋体" w:hint="eastAsia"/>
                  </w:rPr>
                  <w:t>370,632</w:t>
                </w:r>
              </w:p>
            </w:tc>
          </w:tr>
        </w:tbl>
        <w:p>
          <w:pPr>
            <w:rPr>
              <w:b/>
            </w:rPr>
          </w:pPr>
        </w:p>
      </w:sdtContent>
    </w:sdt>
    <w:p>
      <w:pPr>
        <w:pStyle w:val="Style217"/>
      </w:pPr>
    </w:p>
    <w:p>
      <w:pPr>
        <w:pStyle w:val="Style178"/>
        <w:numPr>
          <w:ilvl w:val="0"/>
          <w:numId w:val="122"/>
        </w:numPr>
      </w:pPr>
      <w:r>
        <w:rPr>
          <w:rFonts w:hint="eastAsia"/>
        </w:rPr>
        <w:t>套期</w:t>
      </w:r>
    </w:p>
    <w:p>
      <w:pPr>
        <w:pStyle w:val="Style179"/>
        <w:numPr>
          <w:ilvl w:val="0"/>
          <w:numId w:val="123"/>
        </w:numPr>
        <w:ind w:left="0" w:firstLine="0"/>
      </w:pPr>
      <w:r>
        <w:rPr>
          <w:rFonts w:hint="eastAsia"/>
        </w:rPr>
        <w:t>公司开展套期业务进行风险管理</w:t>
      </w:r>
    </w:p>
    <w:sdt>
      <w:sdtPr>
        <w:alias w:val="是否适用：公司开展套期业务进行风险管理情况[双击切换]"/>
        <w:tag w:val="_GBC_71d11701ff3e412981460bc27e88a1b5"/>
        <w:id w:val="113035720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是否适用：公司开展套期业务进行风险管理的其他说明[双击切换]"/>
        <w:tag w:val="_GBC_bc39ee99cbfc4e469ac321509f461420"/>
        <w:id w:val="-179219439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808080"/>
        </w:rPr>
      </w:pPr>
    </w:p>
    <w:p>
      <w:pPr>
        <w:pStyle w:val="Style179"/>
        <w:numPr>
          <w:ilvl w:val="0"/>
          <w:numId w:val="123"/>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75668153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808080"/>
        </w:rPr>
      </w:pPr>
    </w:p>
    <w:p>
      <w:pPr>
        <w:pStyle w:val="Style217"/>
      </w:pPr>
      <w:r>
        <w:rPr>
          <w:rFonts w:hint="eastAsia"/>
        </w:rPr>
        <w:t>其他说明：</w:t>
      </w:r>
    </w:p>
    <w:sdt>
      <w:sdtPr>
        <w:alias w:val="是否适用：公司开展符合条件套期业务并应用套期会计情况的其他说明[双击切换]"/>
        <w:tag w:val="_GBC_7f3675a931be4fe0b3ba0ed19f75108a"/>
        <w:id w:val="-57027331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808080"/>
        </w:rPr>
      </w:pPr>
    </w:p>
    <w:p>
      <w:pPr>
        <w:pStyle w:val="Style179"/>
        <w:numPr>
          <w:ilvl w:val="0"/>
          <w:numId w:val="123"/>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99125142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4164743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808080"/>
        </w:rPr>
      </w:pPr>
    </w:p>
    <w:p>
      <w:pPr>
        <w:pStyle w:val="Style178"/>
        <w:numPr>
          <w:ilvl w:val="0"/>
          <w:numId w:val="122"/>
        </w:numPr>
      </w:pPr>
      <w:r>
        <w:rPr>
          <w:rFonts w:hint="eastAsia"/>
        </w:rPr>
        <w:t>金融资产转移</w:t>
      </w:r>
    </w:p>
    <w:p>
      <w:pPr>
        <w:pStyle w:val="Style179"/>
        <w:numPr>
          <w:ilvl w:val="0"/>
          <w:numId w:val="124"/>
        </w:numPr>
        <w:rPr>
          <w:rFonts w:ascii="宋体" w:eastAsia="宋体" w:hAnsi="宋体" w:cs="宋体"/>
          <w:kern w:val="0"/>
          <w:szCs w:val="24"/>
        </w:rPr>
      </w:pPr>
      <w:bookmarkStart w:id="534" w:name="_Hlk153550670"/>
      <w:r>
        <w:rPr>
          <w:rFonts w:ascii="宋体" w:eastAsia="宋体" w:hAnsi="宋体" w:cs="宋体" w:hint="eastAsia"/>
          <w:kern w:val="0"/>
          <w:szCs w:val="24"/>
        </w:rPr>
        <w:t>转移方式分类</w:t>
      </w:r>
    </w:p>
    <w:sdt>
      <w:sdtPr>
        <w:alias w:val="是否适用：转移方式分类[双击切换]"/>
        <w:tag w:val="_GBC_ff6f967e629c4a6b934da2a3f33a107d"/>
        <w:id w:val="125979194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808080"/>
        </w:rPr>
      </w:pPr>
    </w:p>
    <w:bookmarkEnd w:id="534"/>
    <w:p>
      <w:pPr>
        <w:pStyle w:val="Style179"/>
        <w:numPr>
          <w:ilvl w:val="0"/>
          <w:numId w:val="124"/>
        </w:numPr>
        <w:rPr>
          <w:rFonts w:ascii="宋体" w:eastAsia="宋体" w:hAnsi="宋体" w:cs="宋体"/>
          <w:kern w:val="0"/>
          <w:szCs w:val="24"/>
        </w:rPr>
      </w:pPr>
      <w:r>
        <w:rPr>
          <w:rFonts w:ascii="宋体" w:eastAsia="宋体" w:hAnsi="宋体" w:cs="宋体" w:hint="eastAsia"/>
          <w:kern w:val="0"/>
          <w:szCs w:val="24"/>
        </w:rPr>
        <w:t>因转移而终止确认的金融资产</w:t>
      </w:r>
    </w:p>
    <w:sdt>
      <w:sdtPr>
        <w:rPr>
          <w:rFonts w:hint="eastAsia"/>
        </w:rPr>
        <w:alias w:val="是否适用：因转移而终止确认的金融资产[双击切换]"/>
        <w:tag w:val="_GBC_9fb1347e32aa4376959cf58d1383255a"/>
        <w:id w:val="-208406261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808080"/>
        </w:rPr>
      </w:pPr>
    </w:p>
    <w:p>
      <w:pPr>
        <w:pStyle w:val="Style179"/>
        <w:numPr>
          <w:ilvl w:val="0"/>
          <w:numId w:val="124"/>
        </w:numPr>
        <w:rPr>
          <w:rFonts w:ascii="宋体" w:eastAsia="宋体" w:hAnsi="宋体" w:cs="宋体"/>
          <w:kern w:val="0"/>
          <w:szCs w:val="24"/>
        </w:rPr>
      </w:pPr>
      <w:r>
        <w:rPr>
          <w:rFonts w:ascii="宋体" w:eastAsia="宋体" w:hAnsi="宋体" w:cs="宋体" w:hint="eastAsia"/>
          <w:kern w:val="0"/>
          <w:szCs w:val="24"/>
        </w:rPr>
        <w:t>继续涉入的转移金融资产</w:t>
      </w:r>
    </w:p>
    <w:sdt>
      <w:sdtPr>
        <w:alias w:val="是否适用：继续涉入的转移金融资产[双击切换]"/>
        <w:tag w:val="_GBC_b604f7fddde64fe6935f4995b9a88a21"/>
        <w:id w:val="175400849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808080"/>
        </w:rPr>
      </w:pPr>
    </w:p>
    <w:p>
      <w:pPr>
        <w:pStyle w:val="Style217"/>
      </w:pPr>
      <w:r>
        <w:rPr>
          <w:rFonts w:hint="eastAsia"/>
        </w:rPr>
        <w:t>其他说明：</w:t>
      </w:r>
    </w:p>
    <w:sdt>
      <w:sdtPr>
        <w:alias w:val="是否适用：金融资产转移其他说明[双击切换]"/>
        <w:tag w:val="_GBC_205480d73c8a413b9678dd4798b26763"/>
        <w:id w:val="-72244221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color w:val="808080"/>
        </w:rPr>
      </w:pPr>
    </w:p>
    <w:p>
      <w:pPr>
        <w:pStyle w:val="Style177"/>
        <w:numPr>
          <w:ilvl w:val="0"/>
          <w:numId w:val="66"/>
        </w:numPr>
        <w:rPr>
          <w:rFonts w:ascii="宋体" w:hAnsi="宋体"/>
        </w:rPr>
      </w:pPr>
      <w:r>
        <w:rPr>
          <w:rFonts w:hint="eastAsia"/>
        </w:rPr>
        <w:t>公允价值的披露</w:t>
      </w:r>
    </w:p>
    <w:p>
      <w:pPr>
        <w:pStyle w:val="Style178"/>
        <w:numPr>
          <w:ilvl w:val="0"/>
          <w:numId w:val="125"/>
        </w:numPr>
      </w:pPr>
      <w:bookmarkStart w:id="535" w:name="_Hlk10539195"/>
      <w:bookmarkStart w:id="536" w:name="_Hlk24030209"/>
      <w:r>
        <w:rPr>
          <w:rFonts w:hint="eastAsia"/>
        </w:rPr>
        <w:t>以公允价值计量的资产和负债的期末公允价值</w:t>
      </w:r>
    </w:p>
    <w:sdt>
      <w:sdtPr>
        <w:alias w:val="是否适用：以公允价值计量的资产和负债的期末公允价值[双击切换]"/>
        <w:tag w:val="_GBC_6fbb4bafbfc548fdbb4a25b91f07bd6a"/>
        <w:id w:val="188968352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以公允价值计量的资产和负债的期末公允价值"/>
          <w:tag w:val="_GBC_2c45ed0b719e4292b6389023b9ce1031"/>
          <w:id w:val="15902696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以公允价值计量的资产和负债的期末公允价值"/>
          <w:tag w:val="_GBC_4c0658ced5d64a5f80dc11bb84ac9dbd"/>
          <w:id w:val="11762236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1708"/>
        <w:gridCol w:w="1668"/>
        <w:gridCol w:w="1735"/>
        <w:gridCol w:w="1514"/>
      </w:tblGrid>
      <w:tr>
        <w:trPr>
          <w:trHeight w:val="145"/>
        </w:trPr>
        <w:sdt>
          <w:sdtPr>
            <w:tag w:val="_PLD_163e93b7c897498dae37bc5c38a11afe"/>
            <w:id w:val="-1154759695"/>
          </w:sdtPr>
          <w:sdtContent>
            <w:tc>
              <w:tcPr>
                <w:tcW w:w="2423" w:type="dxa"/>
                <w:vMerge w:val="restart"/>
                <w:tcBorders>
                  <w:top w:val="single" w:sz="4" w:space="0" w:color="auto"/>
                  <w:left w:val="single" w:sz="4" w:space="0" w:color="auto"/>
                  <w:right w:val="single" w:sz="4" w:space="0" w:color="auto"/>
                </w:tcBorders>
                <w:vAlign w:val="center"/>
              </w:tcPr>
              <w:p>
                <w:pPr>
                  <w:jc w:val="center"/>
                  <w:outlineLvl w:val="2"/>
                  <w:rPr>
                    <w:rFonts w:cs="Cambria"/>
                  </w:rPr>
                </w:pPr>
                <w:r>
                  <w:rPr>
                    <w:rFonts w:cs="Cambria" w:hint="eastAsia"/>
                  </w:rPr>
                  <w:t>项目</w:t>
                </w:r>
              </w:p>
            </w:tc>
          </w:sdtContent>
        </w:sdt>
        <w:sdt>
          <w:sdtPr>
            <w:tag w:val="_PLD_b8bd62f651414617bea8612c55db30ce"/>
            <w:id w:val="1566992292"/>
          </w:sdtPr>
          <w:sdtContent>
            <w:tc>
              <w:tcPr>
                <w:tcW w:w="6625" w:type="dxa"/>
                <w:gridSpan w:val="4"/>
                <w:tcBorders>
                  <w:top w:val="single" w:sz="4" w:space="0" w:color="auto"/>
                  <w:left w:val="single" w:sz="4" w:space="0" w:color="auto"/>
                  <w:bottom w:val="single" w:sz="4" w:space="0" w:color="auto"/>
                  <w:right w:val="single" w:sz="4" w:space="0" w:color="auto"/>
                </w:tcBorders>
                <w:vAlign w:val="center"/>
              </w:tcPr>
              <w:p>
                <w:pPr>
                  <w:jc w:val="center"/>
                  <w:outlineLvl w:val="2"/>
                  <w:rPr>
                    <w:rFonts w:cs="Cambria"/>
                  </w:rPr>
                </w:pPr>
                <w:r>
                  <w:rPr>
                    <w:rFonts w:cs="Cambria" w:hint="eastAsia"/>
                  </w:rPr>
                  <w:t>期末公允价值</w:t>
                </w:r>
              </w:p>
            </w:tc>
          </w:sdtContent>
        </w:sdt>
      </w:tr>
      <w:tr>
        <w:trPr>
          <w:trHeight w:val="145"/>
        </w:trPr>
        <w:tc>
          <w:tcPr>
            <w:tcW w:w="2423" w:type="dxa"/>
            <w:vMerge/>
            <w:tcBorders>
              <w:left w:val="single" w:sz="4" w:space="0" w:color="auto"/>
              <w:bottom w:val="single" w:sz="4" w:space="0" w:color="auto"/>
              <w:right w:val="single" w:sz="4" w:space="0" w:color="auto"/>
            </w:tcBorders>
            <w:vAlign w:val="center"/>
          </w:tcPr>
          <w:p>
            <w:pPr>
              <w:jc w:val="center"/>
              <w:outlineLvl w:val="2"/>
              <w:rPr>
                <w:rFonts w:cs="Cambria"/>
              </w:rPr>
            </w:pPr>
          </w:p>
        </w:tc>
        <w:sdt>
          <w:sdtPr>
            <w:tag w:val="_PLD_8b204b4b1832494b8312fec08990548b"/>
            <w:id w:val="1304737672"/>
          </w:sdtPr>
          <w:sdtContent>
            <w:tc>
              <w:tcPr>
                <w:tcW w:w="1708" w:type="dxa"/>
                <w:tcBorders>
                  <w:top w:val="single" w:sz="4" w:space="0" w:color="auto"/>
                  <w:left w:val="single" w:sz="4" w:space="0" w:color="auto"/>
                  <w:bottom w:val="single" w:sz="4" w:space="0" w:color="auto"/>
                  <w:right w:val="single" w:sz="4" w:space="0" w:color="auto"/>
                </w:tcBorders>
                <w:vAlign w:val="center"/>
              </w:tcPr>
              <w:p>
                <w:pPr>
                  <w:jc w:val="center"/>
                  <w:outlineLvl w:val="2"/>
                  <w:rPr>
                    <w:rFonts w:cs="Cambria"/>
                  </w:rPr>
                </w:pPr>
                <w:r>
                  <w:rPr>
                    <w:rFonts w:cs="Cambria" w:hint="eastAsia"/>
                  </w:rPr>
                  <w:t>第一层次公允价值计量</w:t>
                </w:r>
              </w:p>
            </w:tc>
          </w:sdtContent>
        </w:sdt>
        <w:sdt>
          <w:sdtPr>
            <w:tag w:val="_PLD_de23a118a4e8435d9b0e1e2e2e494f30"/>
            <w:id w:val="811833330"/>
          </w:sdtPr>
          <w:sdtContent>
            <w:tc>
              <w:tcPr>
                <w:tcW w:w="1668" w:type="dxa"/>
                <w:tcBorders>
                  <w:top w:val="single" w:sz="4" w:space="0" w:color="auto"/>
                  <w:left w:val="single" w:sz="4" w:space="0" w:color="auto"/>
                  <w:bottom w:val="single" w:sz="4" w:space="0" w:color="auto"/>
                  <w:right w:val="single" w:sz="4" w:space="0" w:color="auto"/>
                </w:tcBorders>
                <w:vAlign w:val="center"/>
              </w:tcPr>
              <w:p>
                <w:pPr>
                  <w:jc w:val="center"/>
                  <w:outlineLvl w:val="2"/>
                  <w:rPr>
                    <w:rFonts w:cs="Cambria"/>
                  </w:rPr>
                </w:pPr>
                <w:r>
                  <w:rPr>
                    <w:rFonts w:cs="Cambria" w:hint="eastAsia"/>
                  </w:rPr>
                  <w:t>第二层次公允价值计量</w:t>
                </w:r>
              </w:p>
            </w:tc>
          </w:sdtContent>
        </w:sdt>
        <w:sdt>
          <w:sdtPr>
            <w:tag w:val="_PLD_4cb787262d4b4096b0d321ac48721dd2"/>
            <w:id w:val="2123417391"/>
          </w:sdtPr>
          <w:sdtContent>
            <w:tc>
              <w:tcPr>
                <w:tcW w:w="1735" w:type="dxa"/>
                <w:tcBorders>
                  <w:top w:val="single" w:sz="4" w:space="0" w:color="auto"/>
                  <w:left w:val="single" w:sz="4" w:space="0" w:color="auto"/>
                  <w:bottom w:val="single" w:sz="4" w:space="0" w:color="auto"/>
                  <w:right w:val="single" w:sz="4" w:space="0" w:color="auto"/>
                </w:tcBorders>
                <w:vAlign w:val="center"/>
              </w:tcPr>
              <w:p>
                <w:pPr>
                  <w:jc w:val="center"/>
                  <w:outlineLvl w:val="2"/>
                  <w:rPr>
                    <w:rFonts w:cs="Cambria"/>
                  </w:rPr>
                </w:pPr>
                <w:r>
                  <w:rPr>
                    <w:rFonts w:cs="Cambria" w:hint="eastAsia"/>
                  </w:rPr>
                  <w:t>第三层次公允价值计量</w:t>
                </w:r>
              </w:p>
            </w:tc>
          </w:sdtContent>
        </w:sdt>
        <w:sdt>
          <w:sdtPr>
            <w:tag w:val="_PLD_fb89c54d0c8e4fe2990587a96b78b5ca"/>
            <w:id w:val="-1412071767"/>
          </w:sdtPr>
          <w:sdtContent>
            <w:tc>
              <w:tcPr>
                <w:tcW w:w="1514" w:type="dxa"/>
                <w:tcBorders>
                  <w:top w:val="single" w:sz="4" w:space="0" w:color="auto"/>
                  <w:left w:val="single" w:sz="4" w:space="0" w:color="auto"/>
                  <w:bottom w:val="single" w:sz="4" w:space="0" w:color="auto"/>
                  <w:right w:val="single" w:sz="4" w:space="0" w:color="auto"/>
                </w:tcBorders>
                <w:vAlign w:val="center"/>
              </w:tcPr>
              <w:p>
                <w:pPr>
                  <w:jc w:val="center"/>
                  <w:outlineLvl w:val="2"/>
                  <w:rPr>
                    <w:rFonts w:cs="Cambria"/>
                  </w:rPr>
                </w:pPr>
                <w:r>
                  <w:rPr>
                    <w:rFonts w:cs="Cambria" w:hint="eastAsia"/>
                  </w:rPr>
                  <w:t>合计</w:t>
                </w:r>
              </w:p>
            </w:tc>
          </w:sdtContent>
        </w:sdt>
      </w:tr>
      <w:tr>
        <w:trPr>
          <w:trHeight w:val="240"/>
        </w:trPr>
        <w:tc>
          <w:tcPr>
            <w:tcW w:w="2423" w:type="dxa"/>
            <w:tcBorders>
              <w:top w:val="single" w:sz="4" w:space="0" w:color="auto"/>
              <w:left w:val="single" w:sz="4" w:space="0" w:color="auto"/>
              <w:bottom w:val="single" w:sz="4" w:space="0" w:color="auto"/>
              <w:right w:val="single" w:sz="4" w:space="0" w:color="auto"/>
            </w:tcBorders>
            <w:vAlign w:val="center"/>
          </w:tcPr>
          <w:p>
            <w:pPr>
              <w:outlineLvl w:val="2"/>
            </w:pPr>
            <w:r>
              <w:rPr>
                <w:rFonts w:hint="eastAsia"/>
              </w:rPr>
              <w:t>交易性金融资产</w:t>
            </w:r>
          </w:p>
        </w:tc>
        <w:tc>
          <w:tcPr>
            <w:tcW w:w="170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540</w:t>
            </w:r>
          </w:p>
        </w:tc>
        <w:tc>
          <w:tcPr>
            <w:tcW w:w="166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735"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255,997</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256,537</w:t>
            </w:r>
          </w:p>
        </w:tc>
      </w:tr>
      <w:tr>
        <w:trPr>
          <w:trHeight w:val="240"/>
        </w:trPr>
        <w:tc>
          <w:tcPr>
            <w:tcW w:w="2423" w:type="dxa"/>
            <w:tcBorders>
              <w:top w:val="single" w:sz="4" w:space="0" w:color="auto"/>
              <w:left w:val="single" w:sz="4" w:space="0" w:color="auto"/>
              <w:bottom w:val="single" w:sz="4" w:space="0" w:color="auto"/>
              <w:right w:val="single" w:sz="4" w:space="0" w:color="auto"/>
            </w:tcBorders>
            <w:vAlign w:val="center"/>
          </w:tcPr>
          <w:p>
            <w:pPr>
              <w:outlineLvl w:val="2"/>
              <w:rPr>
                <w:rFonts w:cs="Cambria"/>
              </w:rPr>
            </w:pPr>
            <w:r>
              <w:rPr>
                <w:rFonts w:cs="Cambria" w:hint="eastAsia"/>
              </w:rPr>
              <w:t>应收款项融资</w:t>
            </w:r>
          </w:p>
        </w:tc>
        <w:tc>
          <w:tcPr>
            <w:tcW w:w="170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66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735"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1,764,903</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1,764,903</w:t>
            </w:r>
          </w:p>
        </w:tc>
      </w:tr>
      <w:tr>
        <w:trPr>
          <w:trHeight w:val="240"/>
        </w:trPr>
        <w:tc>
          <w:tcPr>
            <w:tcW w:w="2423" w:type="dxa"/>
            <w:tcBorders>
              <w:top w:val="single" w:sz="4" w:space="0" w:color="auto"/>
              <w:left w:val="single" w:sz="4" w:space="0" w:color="auto"/>
              <w:bottom w:val="single" w:sz="4" w:space="0" w:color="auto"/>
              <w:right w:val="single" w:sz="4" w:space="0" w:color="auto"/>
            </w:tcBorders>
          </w:tcPr>
          <w:p>
            <w:pPr>
              <w:outlineLvl w:val="2"/>
              <w:rPr>
                <w:rFonts w:cs="Cambria"/>
              </w:rPr>
            </w:pPr>
            <w:r>
              <w:rPr>
                <w:rFonts w:hint="eastAsia"/>
              </w:rPr>
              <w:t>其他权益工具投资</w:t>
            </w:r>
          </w:p>
        </w:tc>
        <w:tc>
          <w:tcPr>
            <w:tcW w:w="170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66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735"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529,761</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529,761</w:t>
            </w:r>
          </w:p>
        </w:tc>
      </w:tr>
      <w:tr>
        <w:trPr>
          <w:trHeight w:val="238"/>
        </w:trPr>
        <w:tc>
          <w:tcPr>
            <w:tcW w:w="2423" w:type="dxa"/>
            <w:tcBorders>
              <w:top w:val="single" w:sz="4" w:space="0" w:color="auto"/>
              <w:left w:val="single" w:sz="4" w:space="0" w:color="auto"/>
              <w:bottom w:val="single" w:sz="4" w:space="0" w:color="auto"/>
              <w:right w:val="single" w:sz="4" w:space="0" w:color="auto"/>
            </w:tcBorders>
          </w:tcPr>
          <w:p>
            <w:pPr>
              <w:outlineLvl w:val="2"/>
              <w:rPr>
                <w:rFonts w:cs="Cambria"/>
              </w:rPr>
            </w:pPr>
            <w:r>
              <w:rPr>
                <w:rFonts w:hint="eastAsia"/>
              </w:rPr>
              <w:t>其他非流动金融资产</w:t>
            </w:r>
          </w:p>
        </w:tc>
        <w:tc>
          <w:tcPr>
            <w:tcW w:w="170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66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735"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1,386,169</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1,386,169</w:t>
            </w:r>
          </w:p>
        </w:tc>
      </w:tr>
      <w:tr>
        <w:trPr>
          <w:trHeight w:val="240"/>
        </w:trPr>
        <w:tc>
          <w:tcPr>
            <w:tcW w:w="2423" w:type="dxa"/>
            <w:tcBorders>
              <w:top w:val="single" w:sz="4" w:space="0" w:color="auto"/>
              <w:left w:val="single" w:sz="4" w:space="0" w:color="auto"/>
              <w:bottom w:val="single" w:sz="4" w:space="0" w:color="auto"/>
              <w:right w:val="single" w:sz="4" w:space="0" w:color="auto"/>
            </w:tcBorders>
          </w:tcPr>
          <w:p>
            <w:pPr>
              <w:outlineLvl w:val="2"/>
              <w:rPr>
                <w:rFonts w:cs="Cambria"/>
              </w:rPr>
            </w:pPr>
            <w:r>
              <w:rPr>
                <w:rFonts w:hint="eastAsia"/>
              </w:rPr>
              <w:t>交易性金融负债</w:t>
            </w:r>
          </w:p>
        </w:tc>
        <w:tc>
          <w:tcPr>
            <w:tcW w:w="170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66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735"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360,192</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360,192</w:t>
            </w:r>
          </w:p>
        </w:tc>
      </w:tr>
      <w:tr>
        <w:trPr>
          <w:trHeight w:val="240"/>
        </w:trPr>
        <w:tc>
          <w:tcPr>
            <w:tcW w:w="2423" w:type="dxa"/>
            <w:tcBorders>
              <w:top w:val="single" w:sz="4" w:space="0" w:color="auto"/>
              <w:left w:val="single" w:sz="4" w:space="0" w:color="auto"/>
              <w:bottom w:val="single" w:sz="4" w:space="0" w:color="auto"/>
              <w:right w:val="single" w:sz="4" w:space="0" w:color="auto"/>
            </w:tcBorders>
          </w:tcPr>
          <w:p>
            <w:pPr>
              <w:outlineLvl w:val="2"/>
              <w:rPr>
                <w:rFonts w:cs="Cambria"/>
              </w:rPr>
            </w:pPr>
            <w:r>
              <w:rPr>
                <w:rFonts w:hint="eastAsia"/>
              </w:rPr>
              <w:t>投资性房地产</w:t>
            </w:r>
          </w:p>
        </w:tc>
        <w:tc>
          <w:tcPr>
            <w:tcW w:w="170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668"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p>
        </w:tc>
        <w:tc>
          <w:tcPr>
            <w:tcW w:w="1735"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1,747,691</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outlineLvl w:val="2"/>
              <w:rPr>
                <w:rFonts w:ascii="宋体" w:hAnsi="宋体" w:cs="Cambria"/>
              </w:rPr>
            </w:pPr>
            <w:r>
              <w:rPr>
                <w:rFonts w:ascii="宋体" w:hAnsi="宋体"/>
              </w:rPr>
              <w:t>1,747,691</w:t>
            </w:r>
          </w:p>
        </w:tc>
      </w:tr>
    </w:tbl>
    <w:p>
      <w:pPr>
        <w:pStyle w:val="Style217"/>
      </w:pPr>
    </w:p>
    <w:bookmarkEnd w:id="535"/>
    <w:bookmarkEnd w:id="536"/>
    <w:p>
      <w:pPr>
        <w:pStyle w:val="Style178"/>
        <w:numPr>
          <w:ilvl w:val="0"/>
          <w:numId w:val="125"/>
        </w:numPr>
      </w:pPr>
      <w:r>
        <w:rPr>
          <w:rFonts w:hint="eastAsia"/>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2113779864"/>
        <w:placeholder>
          <w:docPart w:val="GBC22222222222222222222222222222"/>
        </w:placeholder>
      </w:sdtPr>
      <w:sdtContent>
        <w:p>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bookmarkStart w:id="537" w:name="_Hlk224584009" w:displacedByCustomXml="next"/>
    <w:sdt>
      <w:sdtPr>
        <w:rPr>
          <w:rFonts w:cs="Arial" w:hint="eastAsia"/>
        </w:rPr>
        <w:alias w:val="持续和非持续第一层次公允价值计量项目市价的确定依据"/>
        <w:tag w:val="_GBC_8db65a2ca59047da919942f97cfc594e"/>
        <w:id w:val="-47616618"/>
        <w:placeholder>
          <w:docPart w:val="GBC22222222222222222222222222222"/>
        </w:placeholder>
      </w:sdtPr>
      <w:sdtContent>
        <w:tbl>
          <w:tblPr>
            <w:tblStyle w:val="Style100"/>
            <w:tblW w:w="503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2942"/>
            <w:gridCol w:w="2942"/>
          </w:tblGrid>
          <w:tr>
            <w:trPr>
              <w:trHeight w:val="397"/>
              <w:tblHeader/>
              <w:jc w:val="center"/>
            </w:trPr>
            <w:tc>
              <w:tcPr>
                <w:tcW w:w="1690" w:type="pct"/>
                <w:shd w:val="clear" w:color="auto" w:fill="auto"/>
                <w:vAlign w:val="center"/>
              </w:tcPr>
              <w:p>
                <w:pPr>
                  <w:jc w:val="center"/>
                  <w:rPr>
                    <w:rFonts w:ascii="宋体" w:hAnsi="宋体"/>
                    <w:b/>
                    <w:bCs/>
                    <w:color w:val="000000"/>
                  </w:rPr>
                </w:pPr>
                <w:r>
                  <w:rPr>
                    <w:rFonts w:ascii="宋体" w:hAnsi="宋体" w:hint="eastAsia"/>
                    <w:b/>
                    <w:bCs/>
                    <w:color w:val="000000"/>
                  </w:rPr>
                  <w:t>项目</w:t>
                </w:r>
              </w:p>
            </w:tc>
            <w:tc>
              <w:tcPr>
                <w:tcW w:w="1655" w:type="pct"/>
                <w:shd w:val="clear" w:color="auto" w:fill="auto"/>
                <w:vAlign w:val="center"/>
              </w:tcPr>
              <w:p>
                <w:pPr>
                  <w:jc w:val="center"/>
                  <w:rPr>
                    <w:rFonts w:ascii="宋体" w:hAnsi="宋体"/>
                    <w:b/>
                    <w:bCs/>
                    <w:color w:val="000000"/>
                  </w:rPr>
                </w:pPr>
                <w:r>
                  <w:rPr>
                    <w:rFonts w:ascii="宋体" w:hAnsi="宋体" w:hint="eastAsia"/>
                    <w:b/>
                    <w:bCs/>
                    <w:color w:val="000000"/>
                  </w:rPr>
                  <w:t>公允价值计量依据</w:t>
                </w:r>
              </w:p>
            </w:tc>
            <w:tc>
              <w:tcPr>
                <w:tcW w:w="1655" w:type="pct"/>
                <w:shd w:val="clear" w:color="auto" w:fill="auto"/>
                <w:vAlign w:val="center"/>
              </w:tcPr>
              <w:p>
                <w:pPr>
                  <w:jc w:val="center"/>
                  <w:rPr>
                    <w:rFonts w:ascii="宋体" w:hAnsi="宋体"/>
                    <w:b/>
                    <w:bCs/>
                    <w:color w:val="000000"/>
                  </w:rPr>
                </w:pPr>
                <w:r>
                  <w:rPr>
                    <w:rFonts w:ascii="宋体" w:hAnsi="宋体" w:hint="eastAsia"/>
                    <w:b/>
                    <w:bCs/>
                    <w:color w:val="000000"/>
                  </w:rPr>
                  <w:t>科目</w:t>
                </w:r>
              </w:p>
            </w:tc>
          </w:tr>
          <w:tr>
            <w:trPr>
              <w:trHeight w:val="397"/>
              <w:jc w:val="center"/>
            </w:trPr>
            <w:tc>
              <w:tcPr>
                <w:tcW w:w="1690" w:type="pct"/>
                <w:shd w:val="clear" w:color="auto" w:fill="auto"/>
                <w:vAlign w:val="center"/>
              </w:tcPr>
              <w:p>
                <w:pPr>
                  <w:rPr>
                    <w:rFonts w:ascii="宋体" w:hAnsi="宋体"/>
                    <w:color w:val="000000"/>
                  </w:rPr>
                </w:pPr>
                <w:r>
                  <w:rPr>
                    <w:rFonts w:ascii="宋体" w:hAnsi="宋体" w:hint="eastAsia"/>
                    <w:color w:val="000000"/>
                  </w:rPr>
                  <w:t>江苏连云港港口股份有限公司</w:t>
                </w:r>
              </w:p>
            </w:tc>
            <w:tc>
              <w:tcPr>
                <w:tcW w:w="1655" w:type="pct"/>
                <w:shd w:val="clear" w:color="auto" w:fill="auto"/>
                <w:vAlign w:val="center"/>
              </w:tcPr>
              <w:p>
                <w:pPr>
                  <w:jc w:val="center"/>
                  <w:rPr>
                    <w:rFonts w:ascii="宋体" w:hAnsi="宋体"/>
                    <w:color w:val="000000"/>
                  </w:rPr>
                </w:pPr>
                <w:r>
                  <w:rPr>
                    <w:rFonts w:ascii="宋体" w:hAnsi="宋体" w:hint="eastAsia"/>
                    <w:color w:val="000000"/>
                  </w:rPr>
                  <w:t>股票收盘价</w:t>
                </w:r>
              </w:p>
            </w:tc>
            <w:tc>
              <w:tcPr>
                <w:tcW w:w="1655" w:type="pct"/>
                <w:shd w:val="clear" w:color="auto" w:fill="auto"/>
                <w:vAlign w:val="center"/>
              </w:tcPr>
              <w:p>
                <w:pPr>
                  <w:jc w:val="center"/>
                  <w:rPr>
                    <w:rFonts w:ascii="宋体" w:hAnsi="宋体"/>
                    <w:color w:val="000000"/>
                  </w:rPr>
                </w:pPr>
                <w:r>
                  <w:rPr>
                    <w:rFonts w:ascii="宋体" w:hAnsi="宋体" w:hint="eastAsia"/>
                  </w:rPr>
                  <w:t>其他权益工具投资</w:t>
                </w:r>
              </w:p>
            </w:tc>
          </w:tr>
          <w:tr>
            <w:trPr>
              <w:trHeight w:val="397"/>
              <w:jc w:val="center"/>
            </w:trPr>
            <w:tc>
              <w:tcPr>
                <w:tcW w:w="1690" w:type="pct"/>
                <w:shd w:val="clear" w:color="auto" w:fill="auto"/>
                <w:vAlign w:val="center"/>
              </w:tcPr>
              <w:p>
                <w:pPr>
                  <w:rPr>
                    <w:rFonts w:ascii="宋体" w:hAnsi="宋体"/>
                    <w:color w:val="000000"/>
                  </w:rPr>
                </w:pPr>
                <w:r>
                  <w:rPr>
                    <w:rFonts w:ascii="宋体" w:hAnsi="宋体" w:hint="eastAsia"/>
                    <w:color w:val="000000"/>
                  </w:rPr>
                  <w:t>重庆千里科技股份有限公司</w:t>
                </w:r>
              </w:p>
            </w:tc>
            <w:tc>
              <w:tcPr>
                <w:tcW w:w="1655" w:type="pct"/>
                <w:shd w:val="clear" w:color="auto" w:fill="auto"/>
                <w:vAlign w:val="center"/>
              </w:tcPr>
              <w:p>
                <w:pPr>
                  <w:jc w:val="center"/>
                  <w:rPr>
                    <w:rFonts w:ascii="宋体" w:hAnsi="宋体"/>
                    <w:color w:val="000000"/>
                  </w:rPr>
                </w:pPr>
                <w:r>
                  <w:rPr>
                    <w:rFonts w:ascii="宋体" w:hAnsi="宋体" w:hint="eastAsia"/>
                    <w:color w:val="000000"/>
                  </w:rPr>
                  <w:t>股票收盘价</w:t>
                </w:r>
              </w:p>
            </w:tc>
            <w:tc>
              <w:tcPr>
                <w:tcW w:w="1655" w:type="pct"/>
                <w:shd w:val="clear" w:color="auto" w:fill="auto"/>
                <w:vAlign w:val="center"/>
              </w:tcPr>
              <w:p>
                <w:pPr>
                  <w:jc w:val="center"/>
                  <w:rPr>
                    <w:rFonts w:ascii="宋体" w:hAnsi="宋体"/>
                    <w:color w:val="000000"/>
                  </w:rPr>
                </w:pPr>
                <w:r>
                  <w:rPr>
                    <w:rFonts w:ascii="宋体" w:hAnsi="宋体" w:hint="eastAsia"/>
                  </w:rPr>
                  <w:t>交易性金融资产</w:t>
                </w:r>
              </w:p>
            </w:tc>
          </w:tr>
        </w:tbl>
        <w:p>
          <w:pPr>
            <w:rPr>
              <w:rFonts w:cs="Arial"/>
            </w:rPr>
          </w:pPr>
        </w:p>
      </w:sdtContent>
    </w:sdt>
    <w:bookmarkEnd w:id="537"/>
    <w:p>
      <w:pPr>
        <w:tabs>
          <w:tab w:val="left" w:pos="1134"/>
        </w:tabs>
        <w:rPr>
          <w:rFonts w:cs="Cambria"/>
          <w:b/>
        </w:rPr>
      </w:pPr>
    </w:p>
    <w:p>
      <w:pPr>
        <w:pStyle w:val="Style178"/>
        <w:numPr>
          <w:ilvl w:val="0"/>
          <w:numId w:val="125"/>
        </w:numPr>
      </w:pPr>
      <w:r>
        <w:rPr>
          <w:rFonts w:hint="eastAsia"/>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1992982691"/>
        <w:placeholder>
          <w:docPart w:val="GBC22222222222222222222222222222"/>
        </w:placeholder>
      </w:sdtPr>
      <w:sdtContent>
        <w:p>
          <w:pPr>
            <w:tabs>
              <w:tab w:val="left" w:pos="1134"/>
            </w:tabs>
            <w:rPr>
              <w:rFonts w:cs="Cambria"/>
            </w:rPr>
          </w:pPr>
          <w:r>
            <w:rPr>
              <w:rFonts w:ascii="宋体" w:hAnsi="宋体" w:cs="Cambria"/>
            </w:rPr>
            <w:fldChar w:fldCharType="begin"/>
          </w:r>
          <w:r>
            <w:rPr>
              <w:rFonts w:ascii="宋体" w:hAnsi="宋体" w:cs="Cambria" w:hint="eastAsia"/>
            </w:rPr>
            <w:instrText xml:space="preserve"> 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pPr>
        <w:pStyle w:val="Style217"/>
      </w:pPr>
    </w:p>
    <w:p>
      <w:pPr>
        <w:pStyle w:val="Style178"/>
        <w:numPr>
          <w:ilvl w:val="0"/>
          <w:numId w:val="125"/>
        </w:numPr>
      </w:pPr>
      <w:r>
        <w:rPr>
          <w:rFonts w:hint="eastAsia"/>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136371339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持续和非持续第三层次公允价值计量项目，采用的估值技术和重要参数的定性及定量信息"/>
        <w:tag w:val="_GBC_db2fdcfb26ce4ca9ac1e8da23b16aaaa"/>
        <w:id w:val="-128707661"/>
        <w:placeholder>
          <w:docPart w:val="GBC22222222222222222222222222222"/>
        </w:placeholder>
      </w:sdtPr>
      <w:sdtContent>
        <w:p>
          <w:pPr>
            <w:pStyle w:val="Style217"/>
          </w:pPr>
        </w:p>
        <w:tbl>
          <w:tblPr>
            <w:tblStyle w:val="Style100"/>
            <w:tblW w:w="590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3767"/>
            <w:gridCol w:w="2113"/>
          </w:tblGrid>
          <w:tr>
            <w:trPr>
              <w:trHeight w:val="397"/>
              <w:tblHeader/>
              <w:jc w:val="center"/>
            </w:trPr>
            <w:tc>
              <w:tcPr>
                <w:tcW w:w="2180" w:type="pct"/>
                <w:shd w:val="clear" w:color="auto" w:fill="auto"/>
                <w:vAlign w:val="center"/>
              </w:tcPr>
              <w:p>
                <w:pPr>
                  <w:jc w:val="center"/>
                  <w:rPr>
                    <w:rFonts w:ascii="宋体" w:hAnsi="宋体" w:cs="宋体"/>
                    <w:b/>
                    <w:bCs/>
                    <w:color w:val="000000"/>
                  </w:rPr>
                </w:pPr>
                <w:r>
                  <w:rPr>
                    <w:rFonts w:ascii="宋体" w:hAnsi="宋体" w:cs="宋体" w:hint="eastAsia"/>
                    <w:b/>
                    <w:bCs/>
                    <w:color w:val="000000"/>
                  </w:rPr>
                  <w:t>项目</w:t>
                </w:r>
              </w:p>
            </w:tc>
            <w:tc>
              <w:tcPr>
                <w:tcW w:w="1806" w:type="pct"/>
                <w:shd w:val="clear" w:color="auto" w:fill="auto"/>
                <w:vAlign w:val="center"/>
              </w:tcPr>
              <w:p>
                <w:pPr>
                  <w:jc w:val="center"/>
                  <w:rPr>
                    <w:rFonts w:ascii="宋体" w:hAnsi="宋体" w:cs="宋体"/>
                    <w:b/>
                    <w:bCs/>
                    <w:color w:val="000000"/>
                  </w:rPr>
                </w:pPr>
                <w:r>
                  <w:rPr>
                    <w:rFonts w:ascii="宋体" w:hAnsi="宋体" w:cs="宋体" w:hint="eastAsia"/>
                    <w:b/>
                    <w:bCs/>
                    <w:color w:val="000000"/>
                  </w:rPr>
                  <w:t>公允价值计量依据</w:t>
                </w:r>
              </w:p>
            </w:tc>
            <w:tc>
              <w:tcPr>
                <w:tcW w:w="1013" w:type="pct"/>
                <w:shd w:val="clear" w:color="auto" w:fill="auto"/>
                <w:vAlign w:val="center"/>
              </w:tcPr>
              <w:p>
                <w:pPr>
                  <w:jc w:val="center"/>
                  <w:rPr>
                    <w:rFonts w:ascii="宋体" w:hAnsi="宋体" w:cs="宋体"/>
                    <w:b/>
                    <w:bCs/>
                    <w:color w:val="000000"/>
                  </w:rPr>
                </w:pPr>
                <w:r>
                  <w:rPr>
                    <w:rFonts w:ascii="宋体" w:hAnsi="宋体" w:cs="宋体" w:hint="eastAsia"/>
                    <w:b/>
                    <w:bCs/>
                    <w:color w:val="000000"/>
                  </w:rPr>
                  <w:t>科目</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特别收益权</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按照未来现金流量折现后的现值进行估值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中山矿特许权费</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其他非流动金融资产</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非或然特许权使用费</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按照未来现金流量折现后的现值进行估值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交易性金融负债</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银行承兑汇票及信用证</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相当于整个存续期内预期信用损失的金额</w:t>
                </w:r>
              </w:p>
            </w:tc>
            <w:tc>
              <w:tcPr>
                <w:tcW w:w="1013" w:type="pct"/>
                <w:shd w:val="clear" w:color="auto" w:fill="auto"/>
                <w:vAlign w:val="center"/>
              </w:tcPr>
              <w:p>
                <w:pPr>
                  <w:jc w:val="center"/>
                  <w:rPr>
                    <w:rFonts w:ascii="宋体" w:hAnsi="宋体" w:cs="宋体"/>
                    <w:color w:val="000000"/>
                  </w:rPr>
                </w:pPr>
                <w:r>
                  <w:rPr>
                    <w:rFonts w:ascii="宋体" w:hAnsi="宋体" w:cs="宋体" w:hint="eastAsia"/>
                  </w:rPr>
                  <w:t>应收款项融资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鄂尔多斯南部铁路有限责任公司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其他非流动金融资产</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lastRenderedPageBreak/>
                  <w:t>杭州时代鼎丰创业投资合伙企业(有限合伙)</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按照基金净值进行估值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其他非流动金融资产</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上海骥琛企业管理合伙企业（有限合伙）</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按照合伙企业净资产进行估值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其他非流动金融资产</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陕西靖神铁路有限责任公司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其他非流动金融资产</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榆林市榆阳区煤矿疏干水环境治理有限公司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其他非流动金融资产</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北京华福聚合控股中心（有限合伙）</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其他非流动金融资产</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青海诚启企业管理合伙企业(有限合伙）</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其他非流动金融资产</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江苏连云港港口股份有限公司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山东邹城中银富登村镇银行有限责任公司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天津物产二号企业管理合伙企业（有限合伙）</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按照收益法、市场法和资产基础法进行估值</w:t>
                </w:r>
              </w:p>
            </w:tc>
            <w:tc>
              <w:tcPr>
                <w:tcW w:w="1013" w:type="pct"/>
                <w:shd w:val="clear" w:color="auto" w:fill="auto"/>
                <w:vAlign w:val="center"/>
              </w:tcPr>
              <w:p>
                <w:pPr>
                  <w:jc w:val="center"/>
                  <w:rPr>
                    <w:rFonts w:ascii="宋体" w:hAnsi="宋体" w:cs="宋体"/>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建信信托彩蝶6号财产权信托计划</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天津物产三号企业管理合伙企业（有限合伙）</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乌审旗呼吉尔特矿山救援服务有限责任公司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鄂尔多斯南部铁路有限责任公司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呼准鄂铁路有限责任公司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西平铁路有限责任公司</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德国商业银行股份公司普通股股票</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按照市场法进行估值</w:t>
                </w:r>
              </w:p>
            </w:tc>
            <w:tc>
              <w:tcPr>
                <w:tcW w:w="1013" w:type="pct"/>
                <w:shd w:val="clear" w:color="auto" w:fill="auto"/>
                <w:vAlign w:val="center"/>
              </w:tcPr>
              <w:p>
                <w:pPr>
                  <w:jc w:val="center"/>
                  <w:rPr>
                    <w:rFonts w:ascii="宋体" w:hAnsi="宋体" w:cs="宋体"/>
                    <w:color w:val="000000"/>
                  </w:rPr>
                </w:pPr>
                <w:r>
                  <w:rPr>
                    <w:rFonts w:ascii="宋体" w:hAnsi="宋体" w:cs="宋体" w:hint="eastAsia"/>
                  </w:rPr>
                  <w:t>其他权益工具投资</w:t>
                </w:r>
              </w:p>
            </w:tc>
          </w:tr>
          <w:tr>
            <w:trPr>
              <w:trHeight w:val="397"/>
              <w:jc w:val="center"/>
            </w:trPr>
            <w:tc>
              <w:tcPr>
                <w:tcW w:w="2180" w:type="pct"/>
                <w:shd w:val="clear" w:color="auto" w:fill="auto"/>
                <w:vAlign w:val="center"/>
              </w:tcPr>
              <w:p>
                <w:pPr>
                  <w:jc w:val="both"/>
                  <w:rPr>
                    <w:rFonts w:ascii="宋体" w:hAnsi="宋体" w:cs="宋体"/>
                    <w:color w:val="000000"/>
                  </w:rPr>
                </w:pPr>
                <w:r>
                  <w:rPr>
                    <w:rFonts w:ascii="宋体" w:hAnsi="宋体" w:cs="宋体" w:hint="eastAsia"/>
                    <w:color w:val="000000"/>
                  </w:rPr>
                  <w:t>对外出租房屋</w:t>
                </w:r>
              </w:p>
            </w:tc>
            <w:tc>
              <w:tcPr>
                <w:tcW w:w="1806" w:type="pct"/>
                <w:shd w:val="clear" w:color="auto" w:fill="auto"/>
                <w:vAlign w:val="center"/>
              </w:tcPr>
              <w:p>
                <w:pPr>
                  <w:jc w:val="both"/>
                  <w:rPr>
                    <w:rFonts w:ascii="宋体" w:hAnsi="宋体" w:cs="宋体"/>
                    <w:color w:val="000000"/>
                  </w:rPr>
                </w:pPr>
                <w:r>
                  <w:rPr>
                    <w:rFonts w:ascii="宋体" w:hAnsi="宋体" w:cs="宋体" w:hint="eastAsia"/>
                    <w:color w:val="000000"/>
                  </w:rPr>
                  <w:t>参照活跃市场上同类或科目对外出租房屋类似房地产的现行市场</w:t>
                </w:r>
              </w:p>
            </w:tc>
            <w:tc>
              <w:tcPr>
                <w:tcW w:w="1013" w:type="pct"/>
                <w:shd w:val="clear" w:color="auto" w:fill="auto"/>
                <w:vAlign w:val="center"/>
              </w:tcPr>
              <w:p>
                <w:pPr>
                  <w:jc w:val="center"/>
                  <w:rPr>
                    <w:rFonts w:ascii="宋体" w:hAnsi="宋体" w:cs="宋体"/>
                    <w:color w:val="000000"/>
                  </w:rPr>
                </w:pPr>
                <w:r>
                  <w:rPr>
                    <w:rFonts w:ascii="宋体" w:hAnsi="宋体" w:cs="宋体" w:hint="eastAsia"/>
                  </w:rPr>
                  <w:t>投资性房地产价格</w:t>
                </w:r>
              </w:p>
            </w:tc>
          </w:tr>
        </w:tbl>
        <w:p>
          <w:pPr>
            <w:pStyle w:val="Style217"/>
          </w:pPr>
        </w:p>
      </w:sdtContent>
    </w:sdt>
    <w:p>
      <w:pPr>
        <w:tabs>
          <w:tab w:val="left" w:pos="1134"/>
        </w:tabs>
        <w:rPr>
          <w:rFonts w:cs="Cambria"/>
          <w:b/>
        </w:rPr>
      </w:pPr>
    </w:p>
    <w:p>
      <w:pPr>
        <w:pStyle w:val="Style178"/>
        <w:numPr>
          <w:ilvl w:val="0"/>
          <w:numId w:val="125"/>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9387176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tabs>
          <w:tab w:val="left" w:pos="1134"/>
        </w:tabs>
        <w:rPr>
          <w:rFonts w:cs="Cambria"/>
          <w:b/>
        </w:rPr>
      </w:pPr>
    </w:p>
    <w:p>
      <w:pPr>
        <w:pStyle w:val="Style178"/>
        <w:numPr>
          <w:ilvl w:val="0"/>
          <w:numId w:val="125"/>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120575581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tabs>
          <w:tab w:val="left" w:pos="1134"/>
        </w:tabs>
        <w:rPr>
          <w:rFonts w:cs="Cambria"/>
          <w:b/>
        </w:rPr>
      </w:pPr>
    </w:p>
    <w:p>
      <w:pPr>
        <w:pStyle w:val="Style178"/>
        <w:numPr>
          <w:ilvl w:val="0"/>
          <w:numId w:val="125"/>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52691929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cstheme="minorBidi"/>
        </w:rPr>
      </w:pPr>
    </w:p>
    <w:p>
      <w:pPr>
        <w:pStyle w:val="Style178"/>
        <w:numPr>
          <w:ilvl w:val="0"/>
          <w:numId w:val="125"/>
        </w:numPr>
      </w:pPr>
      <w:r>
        <w:rPr>
          <w:rFonts w:hint="eastAsia"/>
        </w:rPr>
        <w:t>不以公允价值计量的金融资产和金融负债的公允价值情况</w:t>
      </w:r>
    </w:p>
    <w:sdt>
      <w:sdtPr>
        <w:rPr>
          <w:rFonts w:cstheme="minorBidi" w:hint="eastAsia"/>
        </w:rPr>
        <w:alias w:val="是否适用：不以公允价值计量的金融资产和金融负债的公允价值情况[双击切换]"/>
        <w:tag w:val="_GBC_734377ec924449c3ae79732fec24b52d"/>
        <w:id w:val="816075875"/>
        <w:placeholder>
          <w:docPart w:val="GBC22222222222222222222222222222"/>
        </w:placeholder>
      </w:sdtPr>
      <w:sdtContent>
        <w:p>
          <w:pPr>
            <w:rPr>
              <w:rFonts w:cstheme="minorBidi"/>
            </w:rPr>
          </w:pPr>
          <w:r>
            <w:rPr>
              <w:rFonts w:ascii="宋体" w:hAnsi="宋体" w:cstheme="minorBidi"/>
            </w:rPr>
            <w:fldChar w:fldCharType="begin"/>
          </w:r>
          <w:r>
            <w:rPr>
              <w:rFonts w:ascii="宋体" w:hAnsi="宋体" w:cstheme="minorBidi" w:hint="eastAsia"/>
            </w:rPr>
            <w:instrText xml:space="preserve"> MACROBUTTON  SnrToggleCheckbox □适用  </w:instrText>
          </w:r>
          <w:r>
            <w:rPr>
              <w:rFonts w:ascii="宋体" w:hAnsi="宋体" w:cstheme="minorBidi"/>
            </w:rPr>
            <w:fldChar w:fldCharType="end"/>
          </w:r>
          <w:r>
            <w:rPr>
              <w:rFonts w:ascii="宋体" w:hAnsi="宋体" w:cstheme="minorBidi"/>
            </w:rPr>
            <w:fldChar w:fldCharType="begin"/>
          </w:r>
          <w:r>
            <w:rPr>
              <w:rFonts w:ascii="宋体" w:hAnsi="宋体" w:cstheme="minorBidi" w:hint="eastAsia"/>
            </w:rPr>
            <w:instrText xml:space="preserve"> MACROBUTTON  SnrToggleCheckbox √不适用 </w:instrText>
          </w:r>
          <w:r>
            <w:rPr>
              <w:rFonts w:ascii="宋体" w:hAnsi="宋体" w:cstheme="minorBidi"/>
            </w:rPr>
            <w:fldChar w:fldCharType="end"/>
          </w:r>
        </w:p>
      </w:sdtContent>
    </w:sdt>
    <w:p>
      <w:pPr>
        <w:rPr>
          <w:rFonts w:cstheme="minorBidi"/>
        </w:rPr>
      </w:pPr>
    </w:p>
    <w:p>
      <w:pPr>
        <w:pStyle w:val="Style178"/>
        <w:numPr>
          <w:ilvl w:val="0"/>
          <w:numId w:val="125"/>
        </w:numPr>
      </w:pPr>
      <w:r>
        <w:rPr>
          <w:rFonts w:hint="eastAsia"/>
        </w:rPr>
        <w:t>其他</w:t>
      </w:r>
    </w:p>
    <w:sdt>
      <w:sdtPr>
        <w:rPr>
          <w:rFonts w:hint="eastAsia"/>
        </w:rPr>
        <w:alias w:val="是否适用：公允价值其他需要披露的事项[双击切换]"/>
        <w:tag w:val="_GBC_face0919374341aba02b14f2247ac908"/>
        <w:id w:val="-157303713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rPr>
      </w:pPr>
      <w:r>
        <w:rPr>
          <w:rFonts w:hint="eastAsia"/>
        </w:rPr>
        <w:t>关联方及关联交易</w:t>
      </w:r>
    </w:p>
    <w:p>
      <w:pPr>
        <w:pStyle w:val="Style178"/>
        <w:numPr>
          <w:ilvl w:val="0"/>
          <w:numId w:val="126"/>
        </w:numPr>
      </w:pPr>
      <w:r>
        <w:rPr>
          <w:rFonts w:hint="eastAsia"/>
        </w:rPr>
        <w:t>本企业的母公司情况</w:t>
      </w:r>
    </w:p>
    <w:sdt>
      <w:sdtPr>
        <w:rPr>
          <w:rFonts w:hint="eastAsia"/>
        </w:rPr>
        <w:alias w:val="是否适用：本企业的母公司情况[双击切换]"/>
        <w:tag w:val="_GBC_fe5dd4a2c9ad405db72189e05b735e0c"/>
        <w:id w:val="80458800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企业的母公司情况"/>
          <w:tag w:val="_GBC_4bdd8b08e4ce41af93512866e6012a92"/>
          <w:id w:val="-20169092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r>
            <w:rPr>
              <w:rFonts w:hint="eastAsia"/>
            </w:rPr>
            <w:t xml:space="preserve">  </w:t>
          </w:r>
        </w:sdtContent>
      </w:sdt>
      <w:r>
        <w:rPr>
          <w:rFonts w:hint="eastAsia"/>
        </w:rPr>
        <w:t>币种：</w:t>
      </w:r>
      <w:sdt>
        <w:sdtPr>
          <w:rPr>
            <w:rFonts w:hint="eastAsia"/>
          </w:rPr>
          <w:alias w:val="币种：财务附注：本企业的母公司情况"/>
          <w:tag w:val="_GBC_8b4816800b024cd884a92208e149b0bf"/>
          <w:id w:val="1117796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89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5"/>
        <w:gridCol w:w="2977"/>
        <w:gridCol w:w="1276"/>
        <w:gridCol w:w="1276"/>
        <w:gridCol w:w="1244"/>
      </w:tblGrid>
      <w:tr>
        <w:trPr>
          <w:trHeight w:val="842"/>
        </w:trPr>
        <w:sdt>
          <w:sdtPr>
            <w:tag w:val="_PLD_78501cc34b694302b18c1ea75399510e"/>
            <w:id w:val="42343968"/>
          </w:sdtPr>
          <w:sdtContent>
            <w:tc>
              <w:tcPr>
                <w:tcW w:w="1844"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母公司名称</w:t>
                </w:r>
              </w:p>
            </w:tc>
          </w:sdtContent>
        </w:sdt>
        <w:sdt>
          <w:sdtPr>
            <w:tag w:val="_PLD_9cf29fdb6dc54a2ca1191c007bb19ceb"/>
            <w:id w:val="-223377237"/>
          </w:sdtPr>
          <w:sdtContent>
            <w:tc>
              <w:tcPr>
                <w:tcW w:w="1275"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注册地</w:t>
                </w:r>
              </w:p>
            </w:tc>
          </w:sdtContent>
        </w:sdt>
        <w:sdt>
          <w:sdtPr>
            <w:tag w:val="_PLD_738e924675434f8ea1a19e9f01f12c6a"/>
            <w:id w:val="1548797548"/>
          </w:sdtPr>
          <w:sdtContent>
            <w:tc>
              <w:tcPr>
                <w:tcW w:w="2977"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业务性质</w:t>
                </w:r>
              </w:p>
            </w:tc>
          </w:sdtContent>
        </w:sdt>
        <w:sdt>
          <w:sdtPr>
            <w:tag w:val="_PLD_8f8ae05947724183906b020ada85e914"/>
            <w:id w:val="-1855877103"/>
          </w:sdtPr>
          <w:sdtContent>
            <w:tc>
              <w:tcPr>
                <w:tcW w:w="1276"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注册资本</w:t>
                </w:r>
              </w:p>
            </w:tc>
          </w:sdtContent>
        </w:sdt>
        <w:sdt>
          <w:sdtPr>
            <w:tag w:val="_PLD_41f7f469dbcc4ee39514954cb008b0a4"/>
            <w:id w:val="715162268"/>
          </w:sdtPr>
          <w:sdtContent>
            <w:tc>
              <w:tcPr>
                <w:tcW w:w="1276"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母公司对本企业的持股比例</w:t>
                </w:r>
                <w:r>
                  <w:rPr>
                    <w:rFonts w:cs="Cambria"/>
                  </w:rPr>
                  <w:t>(%)</w:t>
                </w:r>
              </w:p>
            </w:tc>
          </w:sdtContent>
        </w:sdt>
        <w:sdt>
          <w:sdtPr>
            <w:tag w:val="_PLD_dab7bc4321ca44eb9d8565239cbf42f7"/>
            <w:id w:val="-239023919"/>
          </w:sdtPr>
          <w:sdtContent>
            <w:tc>
              <w:tcPr>
                <w:tcW w:w="1244"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母公司对本企业的表决权比例</w:t>
                </w:r>
                <w:r>
                  <w:rPr>
                    <w:rFonts w:cs="Cambria"/>
                  </w:rPr>
                  <w:t>(%)</w:t>
                </w:r>
              </w:p>
            </w:tc>
          </w:sdtContent>
        </w:sdt>
      </w:tr>
      <w:tr>
        <w:trPr>
          <w:trHeight w:val="255"/>
        </w:trPr>
        <w:tc>
          <w:tcPr>
            <w:tcW w:w="184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山东能源集团有限公司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山东济南</w:t>
            </w:r>
          </w:p>
        </w:tc>
        <w:tc>
          <w:tcPr>
            <w:tcW w:w="2977" w:type="dxa"/>
            <w:tcBorders>
              <w:top w:val="single" w:sz="4" w:space="0" w:color="auto"/>
              <w:left w:val="single" w:sz="4" w:space="0" w:color="auto"/>
              <w:bottom w:val="single" w:sz="4" w:space="0" w:color="auto"/>
              <w:right w:val="single" w:sz="4" w:space="0" w:color="auto"/>
            </w:tcBorders>
          </w:tcPr>
          <w:p>
            <w:pPr>
              <w:rPr>
                <w:rFonts w:ascii="宋体" w:hAnsi="宋体" w:cs="Cambria"/>
              </w:rPr>
            </w:pPr>
            <w:r>
              <w:rPr>
                <w:rFonts w:ascii="宋体" w:hAnsi="宋体" w:hint="eastAsia"/>
              </w:rPr>
              <w:t>矿业、电力、高端化工、高端装备制造、新能源新材料、现代物流贸易等业务。</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3,020,000</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52.84</w:t>
            </w:r>
          </w:p>
        </w:tc>
        <w:tc>
          <w:tcPr>
            <w:tcW w:w="124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52.84</w:t>
            </w:r>
          </w:p>
        </w:tc>
      </w:tr>
    </w:tbl>
    <w:p>
      <w:pPr>
        <w:pStyle w:val="Style178"/>
        <w:numPr>
          <w:ilvl w:val="0"/>
          <w:numId w:val="126"/>
        </w:numPr>
      </w:pPr>
      <w:r>
        <w:rPr>
          <w:rFonts w:hint="eastAsia"/>
        </w:rPr>
        <w:t>本企业的子公司情况</w:t>
      </w:r>
    </w:p>
    <w:sdt>
      <w:sdtPr>
        <w:tag w:val="_PLD_00c8de6cd52c482b84acaf1117812c2c"/>
        <w:id w:val="1768115404"/>
      </w:sdtPr>
      <w:sdtContent>
        <w:p>
          <w:pPr>
            <w:pStyle w:val="Style217"/>
          </w:pPr>
          <w:r>
            <w:rPr>
              <w:rFonts w:hint="eastAsia"/>
            </w:rPr>
            <w:t>本企业子公司的情况详见附注</w:t>
          </w:r>
        </w:p>
      </w:sdtContent>
    </w:sdt>
    <w:sdt>
      <w:sdtPr>
        <w:rPr>
          <w:rFonts w:hint="eastAsia"/>
        </w:rPr>
        <w:alias w:val="是否适用：本公司的子公司情况详见附注[双击切换]"/>
        <w:tag w:val="_GBC_b3fd954877e04ee589f6c4ce95e1384a"/>
        <w:id w:val="197917770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本公司的子公司情况详见附注"/>
        <w:tag w:val="_GBC_bb3e2669c3cc45d0a6637b1809087708"/>
        <w:id w:val="1152637257"/>
        <w:placeholder>
          <w:docPart w:val="GBC22222222222222222222222222222"/>
        </w:placeholder>
      </w:sdtPr>
      <w:sdtContent>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本集团子公司的情况详见附注十、1。</w:t>
          </w:r>
        </w:p>
      </w:sdtContent>
    </w:sdt>
    <w:p>
      <w:pPr>
        <w:tabs>
          <w:tab w:val="left" w:pos="1134"/>
        </w:tabs>
        <w:rPr>
          <w:rFonts w:cs="Cambria"/>
        </w:rPr>
      </w:pPr>
    </w:p>
    <w:p>
      <w:pPr>
        <w:pStyle w:val="Style178"/>
        <w:numPr>
          <w:ilvl w:val="0"/>
          <w:numId w:val="126"/>
        </w:numPr>
      </w:pPr>
      <w:r>
        <w:rPr>
          <w:rFonts w:hint="eastAsia"/>
        </w:rPr>
        <w:t>本企业合营和联营企业情况</w:t>
      </w:r>
    </w:p>
    <w:sdt>
      <w:sdtPr>
        <w:tag w:val="_PLD_9a4ffa8cb6674ac4a0ddd525351b6abd"/>
        <w:id w:val="981115051"/>
      </w:sdtPr>
      <w:sdtContent>
        <w:p>
          <w:pPr>
            <w:pStyle w:val="Style217"/>
          </w:pPr>
          <w:r>
            <w:rPr>
              <w:rFonts w:hint="eastAsia"/>
            </w:rPr>
            <w:t>本企业重要的合营或联营企业详见附注</w:t>
          </w:r>
        </w:p>
      </w:sdtContent>
    </w:sdt>
    <w:sdt>
      <w:sdtPr>
        <w:alias w:val="是否适用：本企业重要的合营或联营企业详见附注[双击切换]"/>
        <w:tag w:val="_GBC_a44d5ddc347344bcaadf8652bc7a927c"/>
        <w:id w:val="32208863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520246740"/>
        <w:placeholder>
          <w:docPart w:val="GBC22222222222222222222222222222"/>
        </w:placeholder>
      </w:sdtPr>
      <w:sdtContent>
        <w:p>
          <w:pPr>
            <w:pStyle w:val="Style217"/>
          </w:pPr>
          <w:r>
            <w:rPr>
              <w:rFonts w:hint="eastAsia"/>
            </w:rPr>
            <w:t>本集团重要的合营或联营企业详见附注十、3。</w:t>
          </w:r>
        </w:p>
      </w:sdtContent>
    </w:sdt>
    <w:p>
      <w:pPr>
        <w:pStyle w:val="Style217"/>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29329131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800"/>
      </w:tblGrid>
      <w:tr>
        <w:trPr>
          <w:trHeight w:val="284"/>
        </w:trPr>
        <w:sdt>
          <w:sdtPr>
            <w:tag w:val="_PLD_0e6d2a60380d424fbe39edbe16e876ad"/>
            <w:id w:val="683784309"/>
          </w:sdtPr>
          <w:sdtContent>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合营或联营企业名称</w:t>
                </w:r>
              </w:p>
            </w:tc>
          </w:sdtContent>
        </w:sdt>
        <w:sdt>
          <w:sdtPr>
            <w:tag w:val="_PLD_7a4c0374bc514021b6a270655cb81e9e"/>
            <w:id w:val="-1033496847"/>
          </w:sdtPr>
          <w:sdtContent>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与本企业关系</w:t>
                </w:r>
              </w:p>
            </w:tc>
          </w:sdtContent>
        </w:sdt>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山东丰隆智控工业科技有限公司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本公司之合营企业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中山矿合营企业</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本公司之合营企业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纽卡斯尔煤炭基础建设集团</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本公司之合营企业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华能供应链平台科技有限公司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本公司之合营企业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山东新宝龙工业科技有限公司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山东宝能智维工业科技有限公司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山东能源（海南）智慧国际科技有限公司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上海中期期货股份有限公司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沃拉塔港煤炭服务公司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内蒙古东能能源有限责任公司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内蒙古锦联铝材有限公司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内蒙古霍煤锦联矿业有限责任公司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伊犁新天煤化工有限责任公司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兖矿清湖生态科技（山东）有限责任公司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兖州东方机电有限公司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r>
        <w:trPr>
          <w:trHeight w:val="250"/>
        </w:trPr>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山东聚合顺鲁化新材料有限公司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本公司之联营企业</w:t>
            </w:r>
          </w:p>
        </w:tc>
      </w:tr>
    </w:tbl>
    <w:p>
      <w:pPr>
        <w:tabs>
          <w:tab w:val="left" w:pos="1134"/>
        </w:tabs>
        <w:rPr>
          <w:rFonts w:cs="Cambria"/>
        </w:rPr>
      </w:pPr>
    </w:p>
    <w:p>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491f62bb76ba49c482a64272865cc4a1"/>
        <w:id w:val="623960953"/>
        <w:placeholder>
          <w:docPart w:val="GBC22222222222222222222222222222"/>
        </w:placeholder>
      </w:sdtPr>
      <w:sdtContent>
        <w:p>
          <w:pPr>
            <w:tabs>
              <w:tab w:val="left" w:pos="1134"/>
            </w:tabs>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pPr>
        <w:tabs>
          <w:tab w:val="left" w:pos="1134"/>
        </w:tabs>
        <w:rPr>
          <w:rFonts w:cs="Cambria"/>
        </w:rPr>
      </w:pPr>
    </w:p>
    <w:p>
      <w:pPr>
        <w:pStyle w:val="Style178"/>
        <w:numPr>
          <w:ilvl w:val="0"/>
          <w:numId w:val="126"/>
        </w:numPr>
      </w:pPr>
      <w:r>
        <w:rPr>
          <w:rFonts w:hint="eastAsia"/>
        </w:rPr>
        <w:lastRenderedPageBreak/>
        <w:t>其他关联方情况</w:t>
      </w:r>
    </w:p>
    <w:sdt>
      <w:sdtPr>
        <w:alias w:val="是否适用：其他关联方情况[双击切换]"/>
        <w:tag w:val="_GBC_42246b4c04fc4462b5fb05a5db67f4d0"/>
        <w:id w:val="2190780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800"/>
      </w:tblGrid>
      <w:tr>
        <w:trPr>
          <w:trHeight w:val="267"/>
        </w:trPr>
        <w:bookmarkStart w:id="538" w:name="_Hlk224572538" w:displacedByCustomXml="next"/>
        <w:sdt>
          <w:sdtPr>
            <w:tag w:val="_PLD_36db3e8c12e04d279b0c2956ad69d8a6"/>
            <w:id w:val="1568378697"/>
          </w:sdtPr>
          <w:sdtContent>
            <w:tc>
              <w:tcPr>
                <w:tcW w:w="4248"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其他关联方名称</w:t>
                </w:r>
              </w:p>
            </w:tc>
          </w:sdtContent>
        </w:sdt>
        <w:sdt>
          <w:sdtPr>
            <w:tag w:val="_PLD_b851a2cc9280416290b9ebf815c49236"/>
            <w:id w:val="997160245"/>
          </w:sdtPr>
          <w:sdtContent>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其他关联方与本企业关系</w:t>
                </w:r>
              </w:p>
            </w:tc>
          </w:sdtContent>
        </w:sdt>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盛隆化工有限公司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山西盛隆泰达新能源有限公司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新风光电子科技股份有限公司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北斗天地股份有限公司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兖矿科技有限公司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山东惠济工贸有限公司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山东颐养健康集团怡欣医疗发展有限公司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山东能源数字科技有限公司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青岛北斗天地科技有限公司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山东新河矿业有限公司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山东能源集团发展服务集团有限公司鲁西分公司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山东能源集团发展服务集团有限公司发展保障分公司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山东泰山资源勘查有限公司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山东能源数智云科技有限公司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山东中兴建安建工有限公司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新汶矿业集团有限责任公司生产服务分公司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龙口煤电有限公司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山东康格能源科技有限公司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山东能源集团安保服务有限公司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山东能源集团建工集团有限公司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山东兖矿设计咨询有限公司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山东华新建筑工程集团有限责任公司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山东能源装备集团奔牛再制造有限公司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临沂矿业集团有限责任公司古城煤矿安全技术培训中心</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临沂矿业集团有限责任公司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山东方大工程有限责任公司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山东能源集团易佳供应链管理有限公司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山东能源集团发展服务集团有限公司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新汶矿业集团物资供销有限责任公司加油站</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山东里能里彦矿业有限公司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山东焱鑫矿用材料加工有限公司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肥城矿业集团矿业管理服务有限公司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山东鲁北储能科技股份有限公司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临沂山能新能源有限公司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山东东华科技有限公司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山东新升实业发展有限责任公司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临沂会宝岭铁矿有限公司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山东方大新材料科技有限公司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济宁福兴机械制造有限责任公司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山东亿和橡胶输送带有限公司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山东枣矿中兴慧通轮胎有限公司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北斗天地股份有限公司山东分公司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lastRenderedPageBreak/>
              <w:t>山东泰安煤矿机械有限公司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山东华新建筑工程集团有限责任公司家具分公司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肥城曹庄煤矿有限公司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山东枣矿中兴电气有限公司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山东东辰瑞森新材料科技有限公司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龙口矿业集团有限公司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山东东山古城煤矿有限公司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龙口煤电有限公司梁家煤矿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山东里能鲁西矿业有限公司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山东能源集团国际酒店管理有限公司龙口海湾酒店</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淄博矿业集团设计院有限责任公司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山东省煤炭科学研究院有限公司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北京探创资源科技股份有限公司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山东兖矿工程监理有限公司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山东能源集团科技发展有限公司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山东地勘地质工程集团有限公司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山东能源集团煤气化新材料科技有限公司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枣庄矿业（集团）有限责任公司田陈煤矿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北京方亚能源科技有限公司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山东天安安全检测技术服务有限公司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山东观和集团有限公司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山东地勘产业发展集团有限公司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枣庄科信工程建设监理有限公司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山东能源装备集团高端支架制造有限公司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山东嘉勘工程勘察有限公司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山东千祥置业有限公司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山东东山新驿煤矿有限公司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肥城白庄煤矿有限公司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山东能源集团工程管理咨询有限公司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山东能源集团物资有限公司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山东能源集团国际酒店管理有限公司济南分公司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山东中军创业职业培训学校有限公司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山东纵横易购产业互联网有限公司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山东能源集团发展服务集团有限公司鲁中分公司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济宁亿金物资有限责任公司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山能营贸物流（宁波）有限公司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枣庄矿业（集团）有限责任公司接待中心</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山东能源集团国际酒店有限公司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山东枣矿中兴高新技术产业有限公司德馨物业管理分公司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山能国际物流（北京）有限公司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山东能源集团煤炭营销（鄂尔多斯）有限公司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山东能源集团贵州煤炭营销有限公司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山东能源集团煤炭营销（陕西）有限公司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lastRenderedPageBreak/>
              <w:t>日照山能国际物流有限公司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山东能源集团煤炭营销有限公司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山东东山矿业有限责任公司株柏煤矿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山东东山王楼煤矿有限公司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枣庄矿业（集团）有限责任公司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淄博矿业集团有限责任公司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淄博矿业集团有限责任公司埠村煤矿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淄博矿业集团有限责任公司葛亭煤矿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大方绿塘煤矿有限责任公司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新汶矿业集团有限责任公司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内蒙古福城矿业有限公司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内蒙古恒坤化工有限公司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鄂托克前旗长城煤矿有限责任公司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新汶矿业集团有限责任公司华丰煤矿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新汶矿业集团有限责任公司深地科学与工程分公司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新汶矿业集团有限责任公司孙村煤矿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山东泰山能源有限责任公司协庄煤矿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山东玻纤集团股份有限公司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山东泰山能源有限责任公司翟镇煤矿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新汶矿业集团物资供销有限责任公司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山东能源集团物资有限公司内蒙古分公司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山东能源集团物资有限公司泰安分公司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山东能源集团营销贸易有限公司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枣矿物产集团有限公司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山东能源集团安保服务有限公司内蒙古分公司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山东能源集团安保服务有限公司鲁西南分公司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山东兖矿信达酒店管理有限公司鄂尔多斯市分公司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山东省安泰化工压力容器检验中心有限公司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山东能源内蒙古盛鲁售电有限公司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兖矿集团博洋对外经济贸易有限公司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山东能源集团建工集团有限公司地矿建设分公司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山东立安工矿技术检测有限公司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山东能源集团建工集团有限公司三十七处</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山东能源集团安保服务有限公司陕西分公司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山东省能源环境交易中心有限公司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山东能源集团灵台盛鲁新能源有限公司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山东能源集团发展服务集团有限公司内蒙分公司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山东能源集团发展服务集团有限公司西北分公司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枣庄元创机电工程有限公司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泰安市鑫安检测技术有限公司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山东能源集团有限公司信达酒店</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枣庄矿业集团鲁南装备制造有限公司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lastRenderedPageBreak/>
              <w:t>山能新能源（邹城）有限公司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山东能源集团有限公司济宁兖矿分公司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山东能源招标有限公司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山东能源装备集团液压科技有限公司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山东能源集团装备制造（集团）有限公司新汶分公司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山东能源集团装备制造（集团）有限公司再制造分公司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山东思能达能源发展有限公司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山东能源装备集团乾泰精密机械有限公司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山东能源集团物资有限公司西北分公司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山东能源集团贵州国际贸易有限公司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山东东华技术开发有限公司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山东能源集团国际酒店管理有限公司海天分公司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新汶矿业集团有限责任公司设备管理分公司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淄博矿业集团有限责任公司岱庄煤矿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山东东辰共赢物业管理有限公司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山东地勘地热新能源集团有限公司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山东许厂煤矿有限公司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山东泰山帝苑酒店有限公司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新泰市华新工程质量检测有限公司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山东方大杭萧钢构科技有限公司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兖矿中科清洁能源科技有限公司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山东鲁西发电有限公司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淄博齐翔腾达化工销售有限公司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山东能源集团国际酒店管理有限公司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山能（日照）教育咨询有限公司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兖矿国宏化工有限责任公司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山东兖矿国际焦化有限公司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济宁福兴机械制造有限责任公司陕蒙分公司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山东能源集团有限公司济南煤炭技术研究所</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枣庄恒通橡塑有限责任公司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山东能源集团发展服务集团有限公司新疆分公司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库车市永新矿业有限责任公司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巴州秦华工贸有限责任公司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新汶矿业集团有限责任公司洗煤分公司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河南鑫泰能源有限公司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山东能源国际贸易有限公司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山东淄矿物产有限公司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安徽金黄庄矿业有限公司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八亿橡胶有限责任公司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本溪鑫暾生物能源有限公司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鄂托克前旗长城六号矿业有限公司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鄂托克前旗长城三号矿业有限公司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鄂托克前旗长城五号矿业有限公司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肥城肥矿煤业有限公司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肥城矿业集团杨营能源有限责任公司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肥城矿业集团有限责任公司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肥矿集团阳原百安矿业有限公司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贵州肥矿能源有限公司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贵州清镇煤电有限责任公司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贵州神田矿业发展有限公司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贵州兴阳矿业有限公司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海阳龙凤热电有限公司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菏泽华星生物电力有限公司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菏泽聚隆能源有限公司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菏泽鲁华华成生物电力有限公司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济南方亚泽越新能源投资有限公司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济南恒民机械设备有限公司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济宁宏锦物流有限公司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莱州龙泰热电有限公司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聊城祥光发电有限公司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聊城新矿商贸有限责任公司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临沂地矿新能源有限公司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临沂汉谷光伏发电有限公司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临沂矿业集团有限责任公司鲁南营销分公司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临沂兴宇工程设计有限责任公司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临沂亿金物资有限责任公司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龙口矿业集团热电有限公司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龙口矿业集团有限公司山西矿井管理分公司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龙口煤电有限公司郓城分公司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鲁化好阳光生态肥业有限公司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南阳市德长环保科技有限公司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内蒙古呼铁新源物流有限责任公司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内蒙古鲁蒙能源开发有限公司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内蒙古鲁新能源开发有限责任公司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青岛方亚大成能源有限公司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青岛方亚能源服务有限公司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青岛海西大酒店有限责任公司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青岛宏锦国际贸易有限公司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青岛龙发热电有限公司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青岛思远化工有限公司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日照黄海明珠广场置业有限公司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日照罗克兰国际物流有限公司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日照美联国际贸易有限责任公司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日照兖申建设发展有限公司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日照兖申土地发展有限公司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山东安穗能源有限公司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山东安元实业有限责任公司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山东贝斯特机械设备有限公司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山东渤海五号风电有限公司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山东昌达能源有限公司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山东地勘环保科技有限公司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山东地勘生态集团有限公司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山东地勘中发环保工程有限公司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山东地矿新能源有限公司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山东地矿新能源有限公司德州分公司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山东东华科技有限公司淄博万华分公司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山东东山矿业有限责任公司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山东东岳能源有限公司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山东方大清洁能源科技股份有限公司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山东方亚新能源集团有限公司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山东飞虎物联科技有限公司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山东丰源轮胎制造股份有限公司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山东格瑞风电有限公司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山东观和智城管理服务有限公司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山东海德科技服务有限公司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山东恒聚新型建材有限公司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山东华坤地质工程有限公司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山东惠和工贸有限公司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山东矿业管理技术服务集团有限公司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山东莱芜煤矿机械有限公司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山东临矿煤炭运销有限公司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山东领邦实业有限公司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山东鲁地矿业投资有限公司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山东鲁华清洁能源有限公司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山东鲁矿地质勘查有限公司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山东鲁潍地质勘查有限公司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山东鲁潍矿业开发有限公司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山东能源电力集团新泰发电有限公司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山东能源电力销售有限公司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山东能源国际物流有限公司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山东能源海装风电有限公司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山东能源呼伦贝尔能源化工装备制造有限公司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山东能源集团（济南）国际贸易产业园投资管理有限公司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山东能源集团（枣庄）物商有限公司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山东能源集团（枣庄）物商有限公司滕州分公司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山东能源集团安保服务有限公司海南分公司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山东能源集团安保服务有限公司江苏分公司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山东能源集团供应链科技有限公司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山东能源集团贵州矿业有限公司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山东能源集团贵州矿业有限公司红枫湖会议中心</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山东能源集团国际酒店管理有限公司无锡分公司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山东能源集团国际贸易发展有限公司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山东能源集团恒运经济技术开发有限公司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山东能源集团呼伦贝尔能源化工有限公司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山东能源集团建工集团有限公司贵州分公司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山东能源集团建工集团有限公司贵州龙凤矿井分公司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山东能源集团建工集团有限公司建安招待所</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山东能源集团建工集团有限公司建筑安装分公司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山东能源集团建工集团有限公司三十七商务酒店</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山东能源集团建工集团有限公司上海分公司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山东能源集团建工集团有限公司上海奉贤分公司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山东能源集团景泰盛鲁新能源有限公司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山东能源集团靖远盛鲁新能源有限公司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山东能源集团龙口物资有限公司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山东能源集团煤炭储备有限公司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山东能源集团南美有限公司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山东能源集团平川盛鲁新能源有限公司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山东能源集团物资有限公司鲁南分公司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山东能源集团物资有限公司鲁西分公司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山东能源集团物资有限公司鲁中分公司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山东能源集团物资有限公司新疆分公司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山东能源集团新材料有限公司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山东能源集团新能源集团有限公司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山东能源集团有限公司鲍店分公司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山东能源集团有限公司财务共享中心</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山东能源集团有限公司东滩分公司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山东能源集团有限公司济东新村分公司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山东能源集团有限公司济宁二号分公司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山东能源集团有限公司济宁三号分公司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山东能源集团有限公司南屯电力分公司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山东能源集团有限公司南屯分公司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山东能源集团有限公司铁路运输处</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山东能源集团有限公司物资供应中心</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山东能源集团有限公司兴隆庄分公司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山东能源集团装备制造（集团）有限公司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山东能源集团资本管理有限公司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山东能源鲁西储配煤有限公司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山东能源煤业有限责任公司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山东能源内蒙古盛鲁电力有限公司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山东能源盛鲁能化阿拉善盟新能源有限公司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山东能源盛鲁能化鄂尔多斯市新能源有限公司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山东能源重装集团大族再制造有限公司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山东能源重装集团三三盾构装备科技有限公司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山东能源重装集团天玛电液控制装备工程有限公司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山东能源重装集团中矿采煤机制造有限公司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山东能源装备集团东岳橡塑有限公司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山东能源装备集团金元物资供销有限公司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山东能源装备集团巨力装备有限公司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山东能源装备集团莱芜装备制造有限公司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山东能源装备集团良腾装配有限公司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山东能源装备集团鲁中装备制造有限公司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山东能源装备集团内蒙古煤机智能装备制造有限公司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山东能源装备集团乾元不锈钢制造有限公司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山东能源装备集团泰装工程装备制造有限公司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山东能源装备集团宇洁环保工程有限公司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山东融裕金谷创业投资有限公司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山东省邱集煤矿有限公司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山东省三河口矿业有限责任公司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山东省世华股权投资有限公司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山东盛安贝新材料有限公司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山东泰山地勘地热研究院有限公司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山东泰山地勘集团有限公司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山东泰山帝苑集团有限公司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山东泰山帝苑物业服务有限公司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山东泰山能源有限责任公司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山东泰山资源勘查有限公司泰安分公司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山东泰山资源勘查有限公司潍坊分公司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山东泰汶盐化工有限责任公司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山东泰星新材料股份有限公司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山东万联智慧供应链有限公司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山东物商集团有限公司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山东祥泰洁净煤有限公司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山东新矿绿色智能科技发展有限公司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山东新矿赵官能源有限责任公司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山东新能源建设有限公司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山东新阳能源有限公司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山东兴岳地质工程有限公司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山东兖矿轻合金股份有限公司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山东兖矿信达酒店管理有限公司菏泽分公司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山东兖矿信达酒店管理有限公司新疆分公司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山东枣矿中兴钢构有限公司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山东枣矿中兴建材有限公司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山东枣矿中兴赛普特科技有限公司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山东臻奥新材料科技有限公司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山东中兴供应链科技有限公司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山东淄矿物产有限公司销售分公司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山能（滨州）智慧投资有限公司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山能（冠县）风电有限公司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山能供应链（天津）有限公司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山能国际产业投资集团（海南）有限公司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山能融资租赁（深圳）有限公司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山能商业保理（天津）有限公司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山能新材料（淄博）有限公司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山能新能源（日照）有限公司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山能新能源（沂水）有限公司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山能新能源（枣庄）有限公司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山能新能源（淄博淄川区）有限公司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山能新能源发展（郯城）有限公司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山能智慧供应链管理（海南）有限公司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山西忻州原平龙矿盘道煤业有限公司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陕西时代能源化工有限公司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陕西枣矿红墩界煤电有限公司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上海飞盛国际贸易有限公司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上海泓舜国际贸易有限责任公司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上海沪兖物业服务有限公司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上海维鸿建设发展有限公司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上海兖矿能源科技研发有限公司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上海枣矿新能源有限公司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上期资本管理有限公司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泰安百川纸业有限责任公司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泰安天元矿山设备安装有限责任公司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泰安亿金物资有限责任公司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滕州富源低热值燃料热电有限公司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滕州富源生物质发电有限公司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西安鲁汇贸易有限公司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新巴尔虎右旗庆升热力有限责任公司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新河县聚鹏地热供暖有限公司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新疆伊犁建能煤化工机械有限公司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新矿国际贸易有限公司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新矿内蒙古能源有限责任公司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新矿内蒙古能源有限责任公司洗煤分公司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新汶矿业集团地质勘探有限责任公司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新汶矿业集团设计研究院有限公司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新汶矿业集团物资供销有限责任公司泰安分公司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新汶矿业集团有限责任公司翟镇煤矿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新汶矿业集团有限责任公司电厂管理分公司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新汶矿业集团有限责任公司协庄煤矿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新汶矿业集团有限责任公司职工大学</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新汶矿业集团有限责任公司中心区物业管理站</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亚特尔控股集团股份有限公司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兖矿（山东）私募基金管理有限公司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兖矿东华集团日照船务有限公司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兖矿东华集团有限公司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兖矿东华煤焦有限公司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兖矿东华邹城海天贸易有限公司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兖矿海外能源发展有限公司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兖矿化工有限公司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兖矿化工有限公司兖矿新能源研发创新中心</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兖矿资本管理有限公司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榆林国重煤化工示范基地有限公司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枣庄八一水煤浆热电有限责任公司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枣庄矿业（集团）付村矸石热电有限公司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枣庄矿业（集团）付村煤业有限公司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枣庄矿业（集团）济宁岱庄煤业有限公司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枣庄矿业（集团）济宁七五煤业有限公司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枣庄矿业（集团）有限责任公司滨湖煤矿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枣庄矿业（集团）有限责任公司柴里煤矿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枣庄矿业（集团）有限责任公司工程安装撤除分公司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枣庄矿业（集团）有限责任公司供电工程处</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枣庄矿业（集团）有限责任公司蒋庄煤矿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枣庄矿业（集团）有限责任公司设备管理分公司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枣庄矿业（集团）有限责任公司铁路运输处</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枣庄矿业（集团）有限责任公司物流中心</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枣庄矿业（集团）有限责任公司信息科技分公司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枣庄矿业集团（微山）富龙商贸有限责任公司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枣庄矿业集团高庄煤业有限公司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枣庄矿业集团蒋庄煤矸石热电有限责任公司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枣庄矿业集团滕东煤业有限公司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枣庄矿业集团物资供销有限公司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枣庄矿业集团新安煤业有限公司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枣庄市高晟实业有限公司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枣庄市弘大实业有限责任公司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枣庄市盛源荣达实业有限责任公司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枣庄市顺翔科技发展有限公司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枣庄顺立经贸有限公司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枣庄中兴保安服务有限公司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枣庄中兴商品混凝土有限公司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昭苏盛泉有限责任公司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织金县大正能源开发有限公司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中垠融通（上海）国际贸易有限公司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中垠物产有限公司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准格尔旗金正泰煤炭有限责任公司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淄博海天酒店有限责任公司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淄博海天酒店有限责任公司海都分公司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淄博齐翔腾达化工股份有限公司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淄博市临淄区石化燃料有限公司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淄博腾辉油脂化工有限公司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淄矿（青岛）国际物流有限公司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邹城市矿区典当有限责任公司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临沂天炬节能材料科技有限公司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山能永锋精细化工（山东）有限公司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沂水县热电有限责任公司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淄博卓意玻纤材料有限公司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山东能源集团灵台火力发电有限公司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山能（济南）智慧投资有限公司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兖矿国际贸易（山东）有限公司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山东兖矿轻合金有限公司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山东能源集团荣晖国际贸易有限公司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枣庄矿山机电设备安全检测中心有限公司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山东能源集团重型装备制造（集团）有限公司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彬县水帘洞煤炭有限责任公司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山西龙矿晋北煤机有限责任公司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兖矿集团有限公司电铝分公司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山东兖矿铝用阳极有限公司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兖矿集团有限公司唐村煤矿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兖矿集团有限公司水泥厂</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邹城双叶工贸有限责任公司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山东鲁华物流有限公司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山东能源集团肥城物资有限公司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山东能源集团建工集团有限公司机电安装分公司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山东颐养健康集团大数据有限公司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肥矿集团张家口鑫宇物流有限公司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兖矿科澳铝业有限公司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山东颐养健康集团华新实业有限公司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龙口煤电有限公司机电维修制造中心</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枣庄圣通供电工程技术有限公司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山东能源集团国际酒店管理有限公司榆林分公司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兖矿集团有限公司煤化分公司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山东能源集团安保服务有限公司新疆分公司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山东能源装备集团中传矿用设备制造有限公司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招商新疆特种设备检验技术研究院有限公司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江苏金盛高空工程有限公司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上海博御节能环保科技有限公司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山东富海石化工程有限公司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南京三三三输送机械有限公司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甘肃寰宇通达实业有限公司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大连恒远液力偶合器有限公司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新疆拓搏宸业工业设备有限责任公司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深圳市中昌检测技术有限公司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承德高中压阀门管件集团有限公司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山东能源集团国际酒店有限公司新疆分公司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新汶矿业集团智同时代运营服务有限公司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山东能源集团建工集团有限公司内蒙古分公司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兖矿集团有限公司实业分公司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山东能源集团有限公司营销贸易分公司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天津德通电气有限公司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中铝（山东）轻合金股份有限公司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临沂会宝岭铁矿有限公司凤凰山铁矿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受同一控股股东及最终控制方控制的其他企业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齐鲁云商数字科技股份有限公司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山东康信检测评价技术有限公司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山东莱芜煤机智能科技有限公司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山东能源装备集团天地采掘设备再制造有限公司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山东星链数字科技有限公司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枣庄新远大装备制造有限公司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山东塔高矿业机械装备制造有限公司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龙口市龙矿渤海橡塑有限公司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山东合兴科技发展有限公司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枣庄新中兴实业有限责任公司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山东鲁化森萱新材料有限公司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山东裕龙石化销售有限公司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泰安芬瑞特机械有限公司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枣庄新远大国为机电科技有限公司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山东同泰能化有限公司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山东裕龙热力有限公司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山东齐鲁科力化工研究院股份有限公司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泰山财产保险股份有限公司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中泰汇融资本投资有限公司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山东富鑫防水工程有限责任公司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山东华恒矿业有限公司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泰安泰山三和实业有限公司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兖矿新里程医院管理有限公司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龙口矿业集团汽车运输有限公司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山东坤昱岩基新材料科技有限公司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山东万祥矿业有限公司潘西煤矿</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齐翔华利新材料有限公司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控股股东及最终控制方之联营企业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内蒙古上海庙矿业有限责任公司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控股股东及最终控制方之合营企业</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云鼎科技股份有限公司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山东煤炭技师学院</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山东煤炭技术学院</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兖矿集团兖州三方钢结构工程有限公司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山东兖矿信达酒店管理有限公司工会委员会</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兖矿东华建设有限公司工会委员会</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兖矿东华重工有限公司工会委员会</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兖矿济宁化工装备有限公司工会委员会</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兖矿煤化工程有限公司工会委员会</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兖矿能源集团股份有限公司工会委员会</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济南万华水泥有限责任公司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山东兖矿技师学院</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瑞钢联集团有限公司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山东圣杨木业有限公司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嘉能可有限公司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陕西延长石油（集团）有限责任公司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青岛世纪瑞丰集团有限公司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中峰化学有限公司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贵州开磷集团股份有限公司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兖矿巨野大陆机械有限公司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邹城兖矿北盛工贸有限公司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山东东华装备再制造有限公司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榆林市榆阳区煤矿疏干水环境治理有限公司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内蒙古伊泰煤炭股份有限公司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邹城市兖煤矿区能化防腐防水保温工程有限公司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山东良庄矿业有限公司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陕西靖神铁路有限责任公司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青岛东华双圣国际旅行社有限公司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兖矿集团邹城金明机电有限公司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r>
        <w:trPr>
          <w:trHeight w:val="267"/>
        </w:trPr>
        <w:tc>
          <w:tcPr>
            <w:tcW w:w="4248"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俊晓有限公司</w:t>
            </w:r>
          </w:p>
        </w:tc>
        <w:tc>
          <w:tcPr>
            <w:tcW w:w="48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其他关联方</w:t>
            </w:r>
          </w:p>
        </w:tc>
      </w:tr>
    </w:tbl>
    <w:bookmarkEnd w:id="538"/>
    <w:p>
      <w:pPr>
        <w:tabs>
          <w:tab w:val="left" w:pos="1134"/>
        </w:tabs>
        <w:rPr>
          <w:rFonts w:cs="Cambria"/>
        </w:rPr>
      </w:pPr>
      <w:r>
        <w:rPr>
          <w:rFonts w:cs="Cambria" w:hint="eastAsia"/>
        </w:rPr>
        <w:t>其他说明：</w:t>
      </w:r>
    </w:p>
    <w:sdt>
      <w:sdtPr>
        <w:rPr>
          <w:rFonts w:cs="Cambria"/>
        </w:rPr>
        <w:alias w:val="本企业的其他关联方情况的说明"/>
        <w:tag w:val="_GBC_117952daaba845fa964eb3e2e22e8fc5"/>
        <w:id w:val="-617674080"/>
        <w:placeholder>
          <w:docPart w:val="GBC22222222222222222222222222222"/>
        </w:placeholder>
      </w:sdtPr>
      <w:sdtContent>
        <w:p>
          <w:pPr>
            <w:tabs>
              <w:tab w:val="left" w:pos="1134"/>
            </w:tabs>
            <w:rPr>
              <w:rFonts w:cs="Cambria"/>
            </w:rPr>
          </w:pPr>
          <w:r>
            <w:rPr>
              <w:rFonts w:cs="Cambria" w:hint="eastAsia"/>
            </w:rPr>
            <w:t>-</w:t>
          </w:r>
        </w:p>
      </w:sdtContent>
    </w:sdt>
    <w:p>
      <w:pPr>
        <w:tabs>
          <w:tab w:val="left" w:pos="1134"/>
        </w:tabs>
        <w:rPr>
          <w:rFonts w:cs="Cambria"/>
          <w:b/>
        </w:rPr>
      </w:pPr>
    </w:p>
    <w:p>
      <w:pPr>
        <w:pStyle w:val="Style178"/>
        <w:numPr>
          <w:ilvl w:val="0"/>
          <w:numId w:val="126"/>
        </w:numPr>
        <w:rPr>
          <w:szCs w:val="21"/>
        </w:rPr>
      </w:pPr>
      <w:r>
        <w:rPr>
          <w:rFonts w:hint="eastAsia"/>
          <w:szCs w:val="21"/>
        </w:rPr>
        <w:t>关联交易情况</w:t>
      </w:r>
    </w:p>
    <w:p>
      <w:pPr>
        <w:pStyle w:val="Style179"/>
        <w:numPr>
          <w:ilvl w:val="3"/>
          <w:numId w:val="127"/>
        </w:numPr>
        <w:ind w:left="424" w:hangingChars="201" w:hanging="424"/>
        <w:rPr>
          <w:sz w:val="21"/>
          <w:szCs w:val="21"/>
        </w:rPr>
      </w:pPr>
      <w:r>
        <w:rPr>
          <w:rFonts w:hint="eastAsia"/>
          <w:sz w:val="21"/>
          <w:szCs w:val="21"/>
        </w:rPr>
        <w:t>购销商品、提供和接受劳务的关联交易</w:t>
      </w:r>
    </w:p>
    <w:p>
      <w:pPr>
        <w:pStyle w:val="Style217"/>
      </w:pPr>
      <w:r>
        <w:rPr>
          <w:rFonts w:hint="eastAsia"/>
        </w:rPr>
        <w:t>采购商品/接受劳务情况表</w:t>
      </w:r>
    </w:p>
    <w:sdt>
      <w:sdtPr>
        <w:alias w:val="是否适用：采购商品或接受劳务情况表[双击切换]"/>
        <w:tag w:val="_GBC_c080653feddc4cf2a468adfbb755dff3"/>
        <w:id w:val="-48161841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rFonts w:cs="Cambria"/>
          <w:b/>
          <w:bCs/>
        </w:rPr>
      </w:pPr>
      <w:r>
        <w:rPr>
          <w:rFonts w:cs="Cambria" w:hint="eastAsia"/>
        </w:rPr>
        <w:t>单位：</w:t>
      </w:r>
      <w:sdt>
        <w:sdtPr>
          <w:rPr>
            <w:rFonts w:cs="Cambria" w:hint="eastAsia"/>
          </w:rPr>
          <w:alias w:val="单位：采购商品接受劳务情况表"/>
          <w:tag w:val="_GBC_60c7e55aaf24447a8a860810d4064a69"/>
          <w:id w:val="4658655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千元</w:t>
          </w:r>
          <w:r>
            <w:rPr>
              <w:rFonts w:cs="Cambria" w:hint="eastAsia"/>
            </w:rPr>
            <w:t xml:space="preserve">  </w:t>
          </w:r>
        </w:sdtContent>
      </w:sdt>
      <w:r>
        <w:rPr>
          <w:rFonts w:cs="Cambria" w:hint="eastAsia"/>
        </w:rPr>
        <w:t>币种：</w:t>
      </w:r>
      <w:sdt>
        <w:sdtPr>
          <w:rPr>
            <w:rFonts w:cs="Cambria" w:hint="eastAsia"/>
          </w:rPr>
          <w:alias w:val="币种：采购商品接受劳务情况表"/>
          <w:tag w:val="_GBC_18feeecfa5c34459a62da7de5d6b5a90"/>
          <w:id w:val="-902393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rPr>
            <w:t>人民币</w:t>
          </w:r>
        </w:sdtContent>
      </w:sdt>
    </w:p>
    <w:tbl>
      <w:tblPr>
        <w:tblStyle w:val="Style100"/>
        <w:tblW w:w="9045"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2268"/>
        <w:gridCol w:w="1418"/>
        <w:gridCol w:w="1134"/>
        <w:gridCol w:w="1245"/>
        <w:gridCol w:w="1284"/>
      </w:tblGrid>
      <w:tr>
        <w:trPr>
          <w:cantSplit/>
          <w:trHeight w:val="295"/>
        </w:trPr>
        <w:sdt>
          <w:sdtPr>
            <w:tag w:val="_PLD_ed4fd195f176464f83eb8db1dbcbc443"/>
            <w:id w:val="1614168962"/>
          </w:sdtPr>
          <w:sdtContent>
            <w:tc>
              <w:tcPr>
                <w:tcW w:w="1696"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关联方</w:t>
                </w:r>
              </w:p>
            </w:tc>
          </w:sdtContent>
        </w:sdt>
        <w:sdt>
          <w:sdtPr>
            <w:tag w:val="_PLD_013e7578c973447da6bccdb1a3924d96"/>
            <w:id w:val="938181780"/>
          </w:sdtPr>
          <w:sdtContent>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关联交易内容</w:t>
                </w:r>
              </w:p>
            </w:tc>
          </w:sdtContent>
        </w:sdt>
        <w:sdt>
          <w:sdtPr>
            <w:tag w:val="_PLD_6b54e09a146a4c34bba286909831c05b"/>
            <w:id w:val="1899089092"/>
          </w:sdtPr>
          <w:sdtContent>
            <w:tc>
              <w:tcPr>
                <w:tcW w:w="1418" w:type="dxa"/>
                <w:tcBorders>
                  <w:top w:val="single" w:sz="4" w:space="0" w:color="auto"/>
                  <w:left w:val="single" w:sz="4" w:space="0" w:color="auto"/>
                  <w:right w:val="single" w:sz="4" w:space="0" w:color="auto"/>
                </w:tcBorders>
                <w:vAlign w:val="center"/>
              </w:tcPr>
              <w:p>
                <w:pPr>
                  <w:jc w:val="center"/>
                  <w:rPr>
                    <w:rFonts w:cs="Cambria"/>
                  </w:rPr>
                </w:pPr>
                <w:r>
                  <w:rPr>
                    <w:rFonts w:cs="Cambria" w:hint="eastAsia"/>
                  </w:rPr>
                  <w:t>本期发生额</w:t>
                </w:r>
              </w:p>
            </w:tc>
          </w:sdtContent>
        </w:sdt>
        <w:sdt>
          <w:sdtPr>
            <w:tag w:val="_PLD_1309066cefbd4c94a1a0060831f53cca"/>
            <w:id w:val="-448547127"/>
          </w:sdtPr>
          <w:sdtContent>
            <w:tc>
              <w:tcPr>
                <w:tcW w:w="1134" w:type="dxa"/>
                <w:tcBorders>
                  <w:top w:val="single" w:sz="4" w:space="0" w:color="auto"/>
                  <w:left w:val="single" w:sz="4" w:space="0" w:color="auto"/>
                  <w:right w:val="single" w:sz="4" w:space="0" w:color="auto"/>
                </w:tcBorders>
                <w:vAlign w:val="center"/>
              </w:tcPr>
              <w:p>
                <w:pPr>
                  <w:jc w:val="center"/>
                </w:pPr>
                <w:r>
                  <w:rPr>
                    <w:rFonts w:hint="eastAsia"/>
                  </w:rPr>
                  <w:t>获批的交易额度（如适用）</w:t>
                </w:r>
              </w:p>
            </w:tc>
          </w:sdtContent>
        </w:sdt>
        <w:sdt>
          <w:sdtPr>
            <w:tag w:val="_PLD_a7f960b39a0c45d1b50eca9b6cfe12b8"/>
            <w:id w:val="-1628540383"/>
          </w:sdtPr>
          <w:sdtEndPr>
            <w:rPr>
              <w:rFonts w:hint="eastAsia"/>
            </w:rPr>
          </w:sdtEndPr>
          <w:sdtContent>
            <w:tc>
              <w:tcPr>
                <w:tcW w:w="1245" w:type="dxa"/>
                <w:tcBorders>
                  <w:top w:val="single" w:sz="4" w:space="0" w:color="auto"/>
                  <w:left w:val="single" w:sz="4" w:space="0" w:color="auto"/>
                  <w:right w:val="single" w:sz="4" w:space="0" w:color="auto"/>
                </w:tcBorders>
                <w:vAlign w:val="center"/>
              </w:tcPr>
              <w:p>
                <w:pPr>
                  <w:jc w:val="center"/>
                </w:pPr>
                <w:r>
                  <w:t>是否超过交易额度</w:t>
                </w:r>
                <w:r>
                  <w:rPr>
                    <w:rFonts w:hint="eastAsia"/>
                  </w:rPr>
                  <w:t>（如适用）</w:t>
                </w:r>
              </w:p>
            </w:tc>
          </w:sdtContent>
        </w:sdt>
        <w:sdt>
          <w:sdtPr>
            <w:tag w:val="_PLD_9f856a67de3d45acbef7ccb12b35985d"/>
            <w:id w:val="-1053686706"/>
          </w:sdtPr>
          <w:sdtContent>
            <w:tc>
              <w:tcPr>
                <w:tcW w:w="1284" w:type="dxa"/>
                <w:tcBorders>
                  <w:top w:val="single" w:sz="4" w:space="0" w:color="auto"/>
                  <w:left w:val="single" w:sz="4" w:space="0" w:color="auto"/>
                  <w:right w:val="single" w:sz="4" w:space="0" w:color="auto"/>
                </w:tcBorders>
                <w:vAlign w:val="center"/>
              </w:tcPr>
              <w:p>
                <w:pPr>
                  <w:jc w:val="center"/>
                  <w:rPr>
                    <w:rFonts w:cs="Cambria"/>
                  </w:rPr>
                </w:pPr>
                <w:r>
                  <w:rPr>
                    <w:rFonts w:cs="Cambria" w:hint="eastAsia"/>
                  </w:rPr>
                  <w:t>上期发生额</w:t>
                </w:r>
              </w:p>
            </w:tc>
          </w:sdtContent>
        </w:sdt>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bookmarkStart w:id="539" w:name="_Hlk40536931"/>
            <w:r>
              <w:rPr>
                <w:rFonts w:ascii="宋体" w:hAnsi="宋体" w:hint="eastAsia"/>
              </w:rPr>
              <w:t>本公司之合营企业</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38,730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sdt>
            <w:sdtPr>
              <w:alias w:val="采购商品接受劳务情况明细-是否超过交易额度"/>
              <w:tag w:val="_GBC_4132b5a989a941b3ae6315479bc27b4a"/>
              <w:id w:val="1936790107"/>
              <w:comboBox>
                <w:listItem w:displayText="是" w:value="是"/>
                <w:listItem w:displayText="否" w:value="否"/>
              </w:comboBox>
            </w:sdtPr>
            <w:sdtContent>
              <w:p>
                <w:pPr>
                  <w:pStyle w:val="Style217"/>
                </w:pPr>
                <w:r>
                  <w:rPr>
                    <w:rFonts w:hint="eastAsia"/>
                  </w:rPr>
                  <w:t xml:space="preserve">　</w:t>
                </w:r>
              </w:p>
            </w:sdtContent>
          </w:sdt>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本公司之联营企业</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103,429</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本公司之联营企业</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存款服务-利息支出</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568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控股股东及其控制的公司</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采购商品-采购物资</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3,336,220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2,859,411</w:t>
            </w: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控股股东及其控制的公司</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采购商品-化工原料煤</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343,207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580,381</w:t>
            </w: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控股股东及其控制的公司</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w:t>
            </w:r>
            <w:r>
              <w:rPr>
                <w:rFonts w:ascii="宋体" w:hAnsi="宋体"/>
              </w:rPr>
              <w:t>-</w:t>
            </w:r>
            <w:r>
              <w:rPr>
                <w:rFonts w:ascii="宋体" w:hAnsi="宋体" w:hint="eastAsia"/>
              </w:rPr>
              <w:t>电力</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14,128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控股股东及其控制的公司</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w:t>
            </w:r>
            <w:r>
              <w:rPr>
                <w:rFonts w:ascii="宋体" w:hAnsi="宋体"/>
              </w:rPr>
              <w:t>-机械设备</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293,761</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控股股东及其控制的公司</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接受劳务</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5,472,183</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4,963,119</w:t>
            </w: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控股股东及其控制的公司</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代缴服务</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606,540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控股股东及其控制的公司</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采购商品-大宗贸易</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2,352,247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2,847,284</w:t>
            </w: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其他关联方</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32,300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193,328</w:t>
            </w: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其他关联方</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采购商品-采购物资</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5,016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352</w:t>
            </w: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其他关联方</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存款服务-利息支出</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654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p>
            <w:pPr>
              <w:pStyle w:val="Style217"/>
              <w:rPr>
                <w:szCs w:val="21"/>
              </w:rPr>
            </w:pPr>
          </w:p>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968</w:t>
            </w:r>
          </w:p>
        </w:tc>
      </w:tr>
      <w:tr>
        <w:trPr>
          <w:cantSplit/>
        </w:trPr>
        <w:tc>
          <w:tcPr>
            <w:tcW w:w="1696" w:type="dxa"/>
            <w:tcBorders>
              <w:top w:val="single" w:sz="4" w:space="0" w:color="auto"/>
              <w:left w:val="single" w:sz="4" w:space="0" w:color="auto"/>
              <w:bottom w:val="single" w:sz="4" w:space="0" w:color="auto"/>
              <w:right w:val="single" w:sz="4" w:space="0" w:color="auto"/>
            </w:tcBorders>
          </w:tcPr>
          <w:p>
            <w:pPr>
              <w:rPr>
                <w:rFonts w:ascii="宋体" w:hAnsi="宋体"/>
              </w:rPr>
            </w:pPr>
            <w:r>
              <w:rPr>
                <w:rFonts w:ascii="宋体" w:hAnsi="宋体" w:hint="eastAsia"/>
              </w:rPr>
              <w:t>其他关联方</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接受劳务</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51,800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pPr>
          </w:p>
        </w:tc>
        <w:tc>
          <w:tcPr>
            <w:tcW w:w="1245" w:type="dxa"/>
            <w:tcBorders>
              <w:top w:val="single" w:sz="4" w:space="0" w:color="auto"/>
              <w:left w:val="single" w:sz="4" w:space="0" w:color="auto"/>
              <w:bottom w:val="single" w:sz="4" w:space="0" w:color="auto"/>
              <w:right w:val="single" w:sz="4" w:space="0" w:color="auto"/>
            </w:tcBorders>
            <w:vAlign w:val="center"/>
          </w:tcPr>
          <w:sdt>
            <w:sdtPr>
              <w:alias w:val="采购商品接受劳务情况明细-是否超过交易额度"/>
              <w:tag w:val="_GBC_4132b5a989a941b3ae6315479bc27b4a"/>
              <w:id w:val="1928075559"/>
              <w:comboBox>
                <w:listItem w:displayText="是" w:value="是"/>
                <w:listItem w:displayText="否" w:value="否"/>
              </w:comboBox>
            </w:sdtPr>
            <w:sdtContent>
              <w:p>
                <w:pPr>
                  <w:pStyle w:val="Style217"/>
                </w:pPr>
                <w:r>
                  <w:rPr>
                    <w:rFonts w:hint="eastAsia"/>
                  </w:rPr>
                  <w:t xml:space="preserve">　</w:t>
                </w:r>
              </w:p>
            </w:sdtContent>
          </w:sdt>
        </w:tc>
        <w:tc>
          <w:tcPr>
            <w:tcW w:w="12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397,800</w:t>
            </w:r>
          </w:p>
        </w:tc>
      </w:tr>
    </w:tbl>
    <w:p>
      <w:pPr>
        <w:pStyle w:val="Style217"/>
      </w:pPr>
    </w:p>
    <w:bookmarkEnd w:id="539"/>
    <w:p>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38804595ac014174a1f7bfa274a356d2"/>
        <w:id w:val="820620447"/>
        <w:placeholder>
          <w:docPart w:val="GBC22222222222222222222222222222"/>
        </w:placeholder>
      </w:sdtPr>
      <w:sdtContent>
        <w:p>
          <w:pPr>
            <w:ind w:rightChars="-369" w:right="-775"/>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tabs>
          <w:tab w:val="left" w:pos="3870"/>
        </w:tabs>
        <w:jc w:val="right"/>
        <w:rPr>
          <w:rFonts w:cs="Cambria"/>
        </w:rPr>
      </w:pPr>
      <w:r>
        <w:t>单位</w:t>
      </w:r>
      <w:r>
        <w:rPr>
          <w:rFonts w:hint="eastAsia"/>
        </w:rPr>
        <w:t>：</w:t>
      </w:r>
      <w:sdt>
        <w:sdtPr>
          <w:alias w:val="单位：出售商品提供劳务情况表"/>
          <w:tag w:val="_GBC_74429e932533428390da29c9e567c1c8"/>
          <w:id w:val="-13760033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t>币种：</w:t>
      </w:r>
      <w:sdt>
        <w:sdtPr>
          <w:alias w:val="币种：出售商品提供劳务情况表"/>
          <w:tag w:val="_GBC_4fc61a58f8e34c3c8024ea0b63c2bd2f"/>
          <w:id w:val="15229010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Style100"/>
        <w:tblW w:w="9037"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7"/>
        <w:gridCol w:w="2693"/>
        <w:gridCol w:w="1985"/>
        <w:gridCol w:w="1812"/>
      </w:tblGrid>
      <w:tr>
        <w:trPr>
          <w:cantSplit/>
          <w:trHeight w:val="273"/>
        </w:trPr>
        <w:sdt>
          <w:sdtPr>
            <w:tag w:val="_PLD_8f46d61b556c4e7e9874d48274581d06"/>
            <w:id w:val="594669419"/>
          </w:sdtPr>
          <w:sdtContent>
            <w:tc>
              <w:tcPr>
                <w:tcW w:w="2547"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关联方</w:t>
                </w:r>
              </w:p>
            </w:tc>
          </w:sdtContent>
        </w:sdt>
        <w:sdt>
          <w:sdtPr>
            <w:tag w:val="_PLD_86c6996d2c00443589b89411b2b4bde3"/>
            <w:id w:val="1302270843"/>
          </w:sdtPr>
          <w:sdtContent>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关联交易内容</w:t>
                </w:r>
              </w:p>
            </w:tc>
          </w:sdtContent>
        </w:sdt>
        <w:sdt>
          <w:sdtPr>
            <w:tag w:val="_PLD_52688fb5000a4ccb8c43276d58764eb4"/>
            <w:id w:val="-1769839754"/>
          </w:sdtPr>
          <w:sdtContent>
            <w:tc>
              <w:tcPr>
                <w:tcW w:w="1985" w:type="dxa"/>
                <w:tcBorders>
                  <w:top w:val="single" w:sz="4" w:space="0" w:color="auto"/>
                  <w:left w:val="single" w:sz="4" w:space="0" w:color="auto"/>
                  <w:right w:val="single" w:sz="4" w:space="0" w:color="auto"/>
                </w:tcBorders>
                <w:vAlign w:val="center"/>
              </w:tcPr>
              <w:p>
                <w:pPr>
                  <w:jc w:val="center"/>
                  <w:rPr>
                    <w:rFonts w:cs="Cambria"/>
                  </w:rPr>
                </w:pPr>
                <w:r>
                  <w:rPr>
                    <w:rFonts w:cs="Cambria" w:hint="eastAsia"/>
                  </w:rPr>
                  <w:t>本期发生额</w:t>
                </w:r>
              </w:p>
            </w:tc>
          </w:sdtContent>
        </w:sdt>
        <w:sdt>
          <w:sdtPr>
            <w:tag w:val="_PLD_e0158fcec29a443ca9e08a44a2489407"/>
            <w:id w:val="214784444"/>
          </w:sdtPr>
          <w:sdtContent>
            <w:tc>
              <w:tcPr>
                <w:tcW w:w="1812" w:type="dxa"/>
                <w:tcBorders>
                  <w:top w:val="single" w:sz="4" w:space="0" w:color="auto"/>
                  <w:left w:val="single" w:sz="4" w:space="0" w:color="auto"/>
                  <w:right w:val="single" w:sz="4" w:space="0" w:color="auto"/>
                </w:tcBorders>
                <w:vAlign w:val="center"/>
              </w:tcPr>
              <w:p>
                <w:pPr>
                  <w:jc w:val="center"/>
                  <w:rPr>
                    <w:rFonts w:cs="Cambria"/>
                  </w:rPr>
                </w:pPr>
                <w:r>
                  <w:rPr>
                    <w:rFonts w:cs="Cambria" w:hint="eastAsia"/>
                  </w:rPr>
                  <w:t>上期发生额</w:t>
                </w:r>
              </w:p>
            </w:tc>
          </w:sdtContent>
        </w:sdt>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lastRenderedPageBreak/>
              <w:t>合营企业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提供劳务-培训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合营企业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销售商品-材料</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5</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合营企业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销售商品-大宗商品</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79,334</w:t>
            </w:r>
          </w:p>
        </w:tc>
      </w:tr>
      <w:tr>
        <w:trPr>
          <w:cantSplit/>
        </w:trPr>
        <w:tc>
          <w:tcPr>
            <w:tcW w:w="254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w:t>
            </w:r>
            <w:r>
              <w:rPr>
                <w:rFonts w:ascii="宋体" w:hAnsi="宋体"/>
              </w:rPr>
              <w:t>-</w:t>
            </w:r>
            <w:r>
              <w:rPr>
                <w:rFonts w:ascii="宋体" w:hAnsi="宋体" w:hint="eastAsia"/>
              </w:rPr>
              <w:t>港口服务</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144,591</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w:t>
            </w:r>
            <w:r>
              <w:rPr>
                <w:rFonts w:ascii="宋体" w:hAnsi="宋体"/>
              </w:rPr>
              <w:t>-</w:t>
            </w:r>
            <w:r>
              <w:rPr>
                <w:rFonts w:ascii="宋体" w:hAnsi="宋体" w:hint="eastAsia"/>
              </w:rPr>
              <w:t>工程施工</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60,062</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w:t>
            </w:r>
            <w:r>
              <w:rPr>
                <w:rFonts w:ascii="宋体" w:hAnsi="宋体"/>
              </w:rPr>
              <w:t>-</w:t>
            </w:r>
            <w:r>
              <w:rPr>
                <w:rFonts w:ascii="宋体" w:hAnsi="宋体" w:hint="eastAsia"/>
              </w:rPr>
              <w:t>技术通讯研发等服务</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77,714</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提供劳务-矿山救护</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71,510</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69,378</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提供劳务-劳务输出</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214,977</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185,811</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tcPr>
          <w:p>
            <w:pPr>
              <w:jc w:val="center"/>
              <w:rPr>
                <w:rFonts w:ascii="宋体" w:hAnsi="宋体"/>
              </w:rPr>
            </w:pPr>
            <w:r>
              <w:rPr>
                <w:rFonts w:hint="eastAsia"/>
              </w:rPr>
              <w:t>提供劳务</w:t>
            </w:r>
            <w:r>
              <w:t>-</w:t>
            </w:r>
            <w:r>
              <w:rPr>
                <w:rFonts w:hint="eastAsia"/>
              </w:rPr>
              <w:t>利息收入</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13,180</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417,354</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提供劳务-培训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12,900</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14,307</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提供劳务-设备租赁</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102,495</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提供劳务-维修服务</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265,046</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166,175</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提供劳务-项目委托管理</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23,267</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33,872</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提供劳务-信息及技术服务</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31,325</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提供劳务-运输服务</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674,782</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145,163</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tcPr>
          <w:p>
            <w:pPr>
              <w:jc w:val="center"/>
              <w:rPr>
                <w:rFonts w:ascii="宋体" w:hAnsi="宋体"/>
              </w:rPr>
            </w:pPr>
            <w:r>
              <w:rPr>
                <w:rFonts w:hint="eastAsia"/>
              </w:rPr>
              <w:t>销售</w:t>
            </w:r>
            <w:r>
              <w:t>-</w:t>
            </w:r>
            <w:r>
              <w:rPr>
                <w:rFonts w:hint="eastAsia"/>
              </w:rPr>
              <w:t>代缴服务</w:t>
            </w:r>
          </w:p>
        </w:tc>
        <w:tc>
          <w:tcPr>
            <w:tcW w:w="1985"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148,950</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销售-融资租赁本金</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100,000</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tcPr>
          <w:p>
            <w:pPr>
              <w:jc w:val="center"/>
              <w:rPr>
                <w:rFonts w:ascii="宋体" w:hAnsi="宋体"/>
              </w:rPr>
            </w:pPr>
            <w:r>
              <w:rPr>
                <w:rFonts w:hint="eastAsia"/>
              </w:rPr>
              <w:t>销售</w:t>
            </w:r>
            <w:r>
              <w:t>-</w:t>
            </w:r>
            <w:r>
              <w:rPr>
                <w:rFonts w:hint="eastAsia"/>
              </w:rPr>
              <w:t>资产租赁</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298,644</w:t>
            </w:r>
          </w:p>
        </w:tc>
        <w:tc>
          <w:tcPr>
            <w:tcW w:w="1812"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hint="eastAsia"/>
              </w:rPr>
              <w:t xml:space="preserve">　</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tcPr>
          <w:p>
            <w:pPr>
              <w:jc w:val="center"/>
            </w:pPr>
            <w:r>
              <w:rPr>
                <w:rFonts w:hint="eastAsia"/>
              </w:rPr>
              <w:t>销售商品</w:t>
            </w:r>
            <w:r>
              <w:t>-</w:t>
            </w:r>
            <w:r>
              <w:rPr>
                <w:rFonts w:hint="eastAsia"/>
              </w:rPr>
              <w:t>材料</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1,267,342</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1,202,130</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tcPr>
          <w:p>
            <w:pPr>
              <w:jc w:val="center"/>
            </w:pPr>
            <w:r>
              <w:rPr>
                <w:rFonts w:hint="eastAsia"/>
              </w:rPr>
              <w:t>销售商品</w:t>
            </w:r>
            <w:r>
              <w:t>-</w:t>
            </w:r>
            <w:r>
              <w:rPr>
                <w:rFonts w:hint="eastAsia"/>
              </w:rPr>
              <w:t>大宗商品</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2,562,041</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669,406</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tcPr>
          <w:p>
            <w:pPr>
              <w:jc w:val="center"/>
            </w:pPr>
            <w:r>
              <w:rPr>
                <w:rFonts w:hint="eastAsia"/>
              </w:rPr>
              <w:t>销售商品</w:t>
            </w:r>
            <w:r>
              <w:t>-</w:t>
            </w:r>
            <w:r>
              <w:rPr>
                <w:rFonts w:hint="eastAsia"/>
              </w:rPr>
              <w:t>电、热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10,835</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9,959</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tcPr>
          <w:p>
            <w:pPr>
              <w:jc w:val="center"/>
            </w:pPr>
            <w:r>
              <w:rPr>
                <w:rFonts w:hint="eastAsia"/>
              </w:rPr>
              <w:t>销售商品</w:t>
            </w:r>
            <w:r>
              <w:t>-</w:t>
            </w:r>
            <w:r>
              <w:rPr>
                <w:rFonts w:hint="eastAsia"/>
              </w:rPr>
              <w:t>煤化</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210,622</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206,309</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控股股东及其控制的公司</w:t>
            </w:r>
          </w:p>
        </w:tc>
        <w:tc>
          <w:tcPr>
            <w:tcW w:w="2693" w:type="dxa"/>
            <w:tcBorders>
              <w:top w:val="single" w:sz="4" w:space="0" w:color="auto"/>
              <w:left w:val="single" w:sz="4" w:space="0" w:color="auto"/>
              <w:bottom w:val="single" w:sz="4" w:space="0" w:color="auto"/>
              <w:right w:val="single" w:sz="4" w:space="0" w:color="auto"/>
            </w:tcBorders>
          </w:tcPr>
          <w:p>
            <w:pPr>
              <w:jc w:val="center"/>
            </w:pPr>
            <w:r>
              <w:rPr>
                <w:rFonts w:hint="eastAsia"/>
              </w:rPr>
              <w:t>销售商品</w:t>
            </w:r>
            <w:r>
              <w:t>-</w:t>
            </w:r>
            <w:r>
              <w:rPr>
                <w:rFonts w:hint="eastAsia"/>
              </w:rPr>
              <w:t>煤炭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10,172,314</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5,733,652</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提供劳务-劳务输出</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15</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13,900</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提供劳务-培训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销售商品-电、热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236</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销售商品-煤炭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130,832</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622,173</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销售-综合授信</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10,647</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销售商品-材料</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21</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提供劳务-运输服务</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966</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提供劳务-项目委托管理</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4,618</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联营企业</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提供劳务-利息收入</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25,755</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提供劳务-劳务输出</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80</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提供劳务-培训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208</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销售商品-材料</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4,586</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43,393</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销售商品-大宗商品</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1,069</w:t>
            </w: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3,001,564</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销售商品-电、热</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4,670</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提供劳务-设备租赁</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29,681</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提供劳务-港口服务</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628,326</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提供劳务-项目委托管理</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3,206</w:t>
            </w:r>
          </w:p>
        </w:tc>
      </w:tr>
      <w:tr>
        <w:trPr>
          <w:cantSplit/>
        </w:trPr>
        <w:tc>
          <w:tcPr>
            <w:tcW w:w="2547" w:type="dxa"/>
            <w:tcBorders>
              <w:top w:val="single" w:sz="4" w:space="0" w:color="auto"/>
              <w:left w:val="single" w:sz="4" w:space="0" w:color="auto"/>
              <w:bottom w:val="single" w:sz="4" w:space="0" w:color="auto"/>
              <w:right w:val="single" w:sz="4" w:space="0" w:color="auto"/>
            </w:tcBorders>
          </w:tcPr>
          <w:p>
            <w:pPr>
              <w:pStyle w:val="Style217"/>
            </w:pPr>
            <w:r>
              <w:rPr>
                <w:rFonts w:hint="eastAsia"/>
              </w:rPr>
              <w:t>其他关联方</w:t>
            </w:r>
          </w:p>
        </w:tc>
        <w:tc>
          <w:tcPr>
            <w:tcW w:w="2693"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提供劳务-利息收入</w:t>
            </w:r>
          </w:p>
        </w:tc>
        <w:tc>
          <w:tcPr>
            <w:tcW w:w="198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81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4,035</w:t>
            </w:r>
          </w:p>
        </w:tc>
      </w:tr>
    </w:tbl>
    <w:p>
      <w:pPr>
        <w:pStyle w:val="Style217"/>
      </w:pPr>
    </w:p>
    <w:p>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815102120"/>
        <w:placeholder>
          <w:docPart w:val="GBC22222222222222222222222222222"/>
        </w:placeholder>
      </w:sdtPr>
      <w:sdtContent>
        <w:p>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sdt>
      <w:sdtPr>
        <w:rPr>
          <w:rFonts w:cs="Cambria"/>
        </w:rPr>
        <w:alias w:val="购销商品、提供和接受劳务的关联交易说明"/>
        <w:tag w:val="_GBC_2e3d658b1c454acb945f621162cfd0e7"/>
        <w:id w:val="-1516991433"/>
        <w:placeholder>
          <w:docPart w:val="GBC22222222222222222222222222222"/>
        </w:placeholder>
      </w:sdtPr>
      <w:sdtContent>
        <w:p>
          <w:pPr>
            <w:autoSpaceDE w:val="0"/>
            <w:autoSpaceDN w:val="0"/>
            <w:adjustRightInd w:val="0"/>
            <w:spacing w:afterLines="50" w:after="120" w:line="360" w:lineRule="exact"/>
            <w:ind w:firstLineChars="200" w:firstLine="420"/>
            <w:rPr>
              <w:rFonts w:ascii="宋体" w:hAnsi="宋体" w:cs="宋体"/>
            </w:rPr>
          </w:pPr>
          <w:r>
            <w:rPr>
              <w:rFonts w:ascii="宋体" w:hAnsi="宋体" w:cs="宋体" w:hint="eastAsia"/>
            </w:rPr>
            <w:t>根据本集团与山东能源签订的协议，本集团与山东能源及其附属公司进行供应产品、材料物资及大宗商品等交易，未超过2025年度获批的交易上限金额。</w:t>
          </w:r>
        </w:p>
      </w:sdtContent>
    </w:sdt>
    <w:p>
      <w:pPr>
        <w:rPr>
          <w:rFonts w:cs="Cambria"/>
        </w:rPr>
      </w:pPr>
    </w:p>
    <w:p>
      <w:pPr>
        <w:pStyle w:val="Style179"/>
        <w:numPr>
          <w:ilvl w:val="3"/>
          <w:numId w:val="127"/>
        </w:numPr>
        <w:ind w:left="404" w:hangingChars="201" w:hanging="404"/>
      </w:pPr>
      <w:r>
        <w:rPr>
          <w:rFonts w:hint="eastAsia"/>
        </w:rPr>
        <w:lastRenderedPageBreak/>
        <w:t>关联受托管理/承包及委托管理/出包情况</w:t>
      </w:r>
    </w:p>
    <w:p>
      <w:pPr>
        <w:pStyle w:val="Style217"/>
      </w:pPr>
      <w:r>
        <w:rPr>
          <w:rFonts w:hint="eastAsia"/>
        </w:rPr>
        <w:t>本公司受托管理/承包情况表：</w:t>
      </w:r>
    </w:p>
    <w:sdt>
      <w:sdtPr>
        <w:rPr>
          <w:rFonts w:cs="Cambria"/>
        </w:rPr>
        <w:alias w:val="是否适用：本公司受托管理或承包情况表[双击切换]"/>
        <w:tag w:val="_GBC_30440fae2d7246f59be82c31d907217a"/>
        <w:id w:val="1766104484"/>
        <w:placeholder>
          <w:docPart w:val="GBC22222222222222222222222222222"/>
        </w:placeholder>
      </w:sdtPr>
      <w:sdtContent>
        <w:p>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pPr>
        <w:jc w:val="right"/>
        <w:rPr>
          <w:rFonts w:cs="Cambria"/>
          <w:bCs/>
        </w:rPr>
      </w:pPr>
      <w:r>
        <w:rPr>
          <w:rFonts w:cs="Cambria" w:hint="eastAsia"/>
          <w:bCs/>
        </w:rPr>
        <w:t>单位：</w:t>
      </w:r>
      <w:sdt>
        <w:sdtPr>
          <w:rPr>
            <w:rFonts w:cs="Cambria" w:hint="eastAsia"/>
            <w:bCs/>
          </w:rPr>
          <w:alias w:val="单位：公司受托管理承包情况表"/>
          <w:tag w:val="_GBC_57a2d4cca7a74e81b133cb02cf32eb74"/>
          <w:id w:val="-1192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bCs/>
            </w:rPr>
            <w:t>千元</w:t>
          </w:r>
          <w:r>
            <w:rPr>
              <w:rFonts w:cs="Cambria" w:hint="eastAsia"/>
              <w:bCs/>
            </w:rPr>
            <w:t xml:space="preserve">  </w:t>
          </w:r>
        </w:sdtContent>
      </w:sdt>
      <w:r>
        <w:rPr>
          <w:rFonts w:cs="Cambria" w:hint="eastAsia"/>
          <w:bCs/>
        </w:rPr>
        <w:t>币种：</w:t>
      </w:r>
      <w:sdt>
        <w:sdtPr>
          <w:rPr>
            <w:rFonts w:cs="Cambria" w:hint="eastAsia"/>
            <w:bCs/>
          </w:rPr>
          <w:alias w:val="币种：公司受托管理承包情况表"/>
          <w:tag w:val="_GBC_526f89d9ea2e4435892696a794e71c93"/>
          <w:id w:val="-3521942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bCs/>
            </w:rPr>
            <w:t>人民币</w:t>
          </w:r>
        </w:sdtContent>
      </w:sdt>
    </w:p>
    <w:tbl>
      <w:tblPr>
        <w:tblStyle w:val="Style100"/>
        <w:tblW w:w="91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332"/>
        <w:gridCol w:w="1289"/>
        <w:gridCol w:w="1241"/>
        <w:gridCol w:w="1304"/>
        <w:gridCol w:w="1304"/>
        <w:gridCol w:w="1418"/>
        <w:gridCol w:w="1242"/>
      </w:tblGrid>
      <w:tr>
        <w:trPr>
          <w:trHeight w:val="817"/>
        </w:trPr>
        <w:sdt>
          <w:sdtPr>
            <w:tag w:val="_PLD_9ca7f49277334c8e8f9644ca1df39ecf"/>
            <w:id w:val="-1273550754"/>
          </w:sdtPr>
          <w:sdtContent>
            <w:tc>
              <w:tcPr>
                <w:tcW w:w="1332" w:type="dxa"/>
                <w:tcBorders>
                  <w:top w:val="single" w:sz="4" w:space="0" w:color="auto"/>
                  <w:left w:val="single" w:sz="4" w:space="0" w:color="auto"/>
                  <w:right w:val="single" w:sz="4" w:space="0" w:color="auto"/>
                </w:tcBorders>
                <w:vAlign w:val="center"/>
              </w:tcPr>
              <w:p>
                <w:pPr>
                  <w:jc w:val="center"/>
                </w:pPr>
                <w:r>
                  <w:rPr>
                    <w:rFonts w:hint="eastAsia"/>
                  </w:rPr>
                  <w:t>委托方</w:t>
                </w:r>
                <w:r>
                  <w:rPr>
                    <w:rFonts w:hint="eastAsia"/>
                  </w:rPr>
                  <w:t>/</w:t>
                </w:r>
                <w:r>
                  <w:rPr>
                    <w:rFonts w:hint="eastAsia"/>
                  </w:rPr>
                  <w:t>出包方名称</w:t>
                </w:r>
              </w:p>
            </w:tc>
          </w:sdtContent>
        </w:sdt>
        <w:sdt>
          <w:sdtPr>
            <w:tag w:val="_PLD_67bc3e1c8ad0439ab3b3fafb2b1b4ae8"/>
            <w:id w:val="-406305702"/>
          </w:sdtPr>
          <w:sdtContent>
            <w:tc>
              <w:tcPr>
                <w:tcW w:w="1289" w:type="dxa"/>
                <w:tcBorders>
                  <w:top w:val="single" w:sz="4" w:space="0" w:color="auto"/>
                  <w:left w:val="single" w:sz="4" w:space="0" w:color="auto"/>
                  <w:right w:val="single" w:sz="4" w:space="0" w:color="auto"/>
                </w:tcBorders>
                <w:vAlign w:val="center"/>
              </w:tcPr>
              <w:p>
                <w:pPr>
                  <w:jc w:val="center"/>
                </w:pPr>
                <w:r>
                  <w:rPr>
                    <w:rFonts w:hint="eastAsia"/>
                  </w:rPr>
                  <w:t>受托方</w:t>
                </w:r>
                <w:r>
                  <w:rPr>
                    <w:rFonts w:hint="eastAsia"/>
                  </w:rPr>
                  <w:t>/</w:t>
                </w:r>
                <w:r>
                  <w:rPr>
                    <w:rFonts w:hint="eastAsia"/>
                  </w:rPr>
                  <w:t>承包方名称</w:t>
                </w:r>
              </w:p>
            </w:tc>
          </w:sdtContent>
        </w:sdt>
        <w:sdt>
          <w:sdtPr>
            <w:tag w:val="_PLD_6242613dc1b4492f85dd7434d2997745"/>
            <w:id w:val="2099677492"/>
          </w:sdtPr>
          <w:sdtContent>
            <w:tc>
              <w:tcPr>
                <w:tcW w:w="1241" w:type="dxa"/>
                <w:tcBorders>
                  <w:top w:val="single" w:sz="4" w:space="0" w:color="auto"/>
                  <w:left w:val="single" w:sz="4" w:space="0" w:color="auto"/>
                  <w:right w:val="single" w:sz="4" w:space="0" w:color="auto"/>
                </w:tcBorders>
                <w:vAlign w:val="center"/>
              </w:tcPr>
              <w:p>
                <w:pPr>
                  <w:jc w:val="center"/>
                </w:pPr>
                <w:r>
                  <w:rPr>
                    <w:rFonts w:hint="eastAsia"/>
                  </w:rPr>
                  <w:t>受托</w:t>
                </w:r>
                <w:r>
                  <w:rPr>
                    <w:rFonts w:hint="eastAsia"/>
                  </w:rPr>
                  <w:t>/</w:t>
                </w:r>
                <w:r>
                  <w:rPr>
                    <w:rFonts w:hint="eastAsia"/>
                  </w:rPr>
                  <w:t>承包资产类型</w:t>
                </w:r>
              </w:p>
            </w:tc>
          </w:sdtContent>
        </w:sdt>
        <w:sdt>
          <w:sdtPr>
            <w:tag w:val="_PLD_11d99e0f2f6c49fdbd52b04c387e8132"/>
            <w:id w:val="-299002487"/>
          </w:sdtPr>
          <w:sdtContent>
            <w:tc>
              <w:tcPr>
                <w:tcW w:w="1304" w:type="dxa"/>
                <w:tcBorders>
                  <w:top w:val="single" w:sz="4" w:space="0" w:color="auto"/>
                  <w:left w:val="single" w:sz="4" w:space="0" w:color="auto"/>
                  <w:right w:val="single" w:sz="4" w:space="0" w:color="auto"/>
                </w:tcBorders>
                <w:vAlign w:val="center"/>
              </w:tcPr>
              <w:p>
                <w:pPr>
                  <w:jc w:val="center"/>
                </w:pPr>
                <w:r>
                  <w:rPr>
                    <w:rFonts w:hint="eastAsia"/>
                  </w:rPr>
                  <w:t>受托</w:t>
                </w:r>
                <w:r>
                  <w:rPr>
                    <w:rFonts w:hint="eastAsia"/>
                  </w:rPr>
                  <w:t>/</w:t>
                </w:r>
                <w:r>
                  <w:rPr>
                    <w:rFonts w:hint="eastAsia"/>
                  </w:rPr>
                  <w:t>承包起始日</w:t>
                </w:r>
              </w:p>
            </w:tc>
          </w:sdtContent>
        </w:sdt>
        <w:sdt>
          <w:sdtPr>
            <w:tag w:val="_PLD_a4a13ba30a6a40c59f80853e84442bb6"/>
            <w:id w:val="70698073"/>
          </w:sdtPr>
          <w:sdtContent>
            <w:tc>
              <w:tcPr>
                <w:tcW w:w="1304" w:type="dxa"/>
                <w:tcBorders>
                  <w:top w:val="single" w:sz="4" w:space="0" w:color="auto"/>
                  <w:left w:val="single" w:sz="4" w:space="0" w:color="auto"/>
                  <w:right w:val="single" w:sz="4" w:space="0" w:color="auto"/>
                </w:tcBorders>
                <w:vAlign w:val="center"/>
              </w:tcPr>
              <w:p>
                <w:pPr>
                  <w:jc w:val="center"/>
                </w:pPr>
                <w:r>
                  <w:rPr>
                    <w:rFonts w:hint="eastAsia"/>
                  </w:rPr>
                  <w:t>受托</w:t>
                </w:r>
                <w:r>
                  <w:rPr>
                    <w:rFonts w:hint="eastAsia"/>
                  </w:rPr>
                  <w:t>/</w:t>
                </w:r>
                <w:r>
                  <w:rPr>
                    <w:rFonts w:hint="eastAsia"/>
                  </w:rPr>
                  <w:t>承包终止日</w:t>
                </w:r>
              </w:p>
            </w:tc>
          </w:sdtContent>
        </w:sdt>
        <w:sdt>
          <w:sdtPr>
            <w:tag w:val="_PLD_ae8f67dcf4064d99855a132401142cb8"/>
            <w:id w:val="-218206724"/>
          </w:sdtPr>
          <w:sdtContent>
            <w:tc>
              <w:tcPr>
                <w:tcW w:w="1418" w:type="dxa"/>
                <w:tcBorders>
                  <w:top w:val="single" w:sz="4" w:space="0" w:color="auto"/>
                  <w:left w:val="single" w:sz="4" w:space="0" w:color="auto"/>
                  <w:right w:val="single" w:sz="4" w:space="0" w:color="auto"/>
                </w:tcBorders>
                <w:vAlign w:val="center"/>
              </w:tcPr>
              <w:p>
                <w:pPr>
                  <w:jc w:val="center"/>
                </w:pPr>
                <w:r>
                  <w:rPr>
                    <w:rFonts w:hint="eastAsia"/>
                  </w:rPr>
                  <w:t>托管收益</w:t>
                </w:r>
                <w:r>
                  <w:rPr>
                    <w:rFonts w:hint="eastAsia"/>
                  </w:rPr>
                  <w:t>/</w:t>
                </w:r>
                <w:r>
                  <w:rPr>
                    <w:rFonts w:hint="eastAsia"/>
                  </w:rPr>
                  <w:t>承包收益定价依据</w:t>
                </w:r>
              </w:p>
            </w:tc>
          </w:sdtContent>
        </w:sdt>
        <w:sdt>
          <w:sdtPr>
            <w:tag w:val="_PLD_4dcb48cb90564f39b6b2463f0acfd5fa"/>
            <w:id w:val="-1463802923"/>
          </w:sdtPr>
          <w:sdtContent>
            <w:tc>
              <w:tcPr>
                <w:tcW w:w="1242" w:type="dxa"/>
                <w:tcBorders>
                  <w:top w:val="single" w:sz="4" w:space="0" w:color="auto"/>
                  <w:left w:val="single" w:sz="4" w:space="0" w:color="auto"/>
                  <w:right w:val="single" w:sz="4" w:space="0" w:color="auto"/>
                </w:tcBorders>
                <w:vAlign w:val="center"/>
              </w:tcPr>
              <w:p>
                <w:pPr>
                  <w:jc w:val="center"/>
                </w:pPr>
                <w:r>
                  <w:rPr>
                    <w:rFonts w:hint="eastAsia"/>
                  </w:rPr>
                  <w:t>本期确认的托管收益</w:t>
                </w:r>
                <w:r>
                  <w:rPr>
                    <w:rFonts w:hint="eastAsia"/>
                  </w:rPr>
                  <w:t>/</w:t>
                </w:r>
                <w:r>
                  <w:rPr>
                    <w:rFonts w:hint="eastAsia"/>
                  </w:rPr>
                  <w:t>承包收益</w:t>
                </w:r>
              </w:p>
            </w:tc>
          </w:sdtContent>
        </w:sdt>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巴州秦华工贸有限责任公司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兖矿新疆能化有限公司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其他资产托管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2025-01-01</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2025-12-31</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u w:val="single"/>
              </w:rPr>
            </w:pPr>
            <w:r>
              <w:rPr>
                <w:rFonts w:ascii="宋体" w:hAnsi="宋体" w:hint="eastAsia"/>
              </w:rPr>
              <w:t>协议定价</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2,678</w:t>
            </w:r>
          </w:p>
        </w:tc>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库车市永新矿业有限责任公司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兖矿新疆能化有限公司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其他资产托管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2025-01-01</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2025-12-31</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u w:val="single"/>
              </w:rPr>
            </w:pPr>
            <w:r>
              <w:rPr>
                <w:rFonts w:ascii="宋体" w:hAnsi="宋体" w:hint="eastAsia"/>
              </w:rPr>
              <w:t>协议定价</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3,684</w:t>
            </w:r>
          </w:p>
        </w:tc>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龙口煤电有限公司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山东能源集团鲁西矿业有限公司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股权托管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2022-03-18</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2028-03-17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u w:val="single"/>
              </w:rPr>
            </w:pPr>
            <w:r>
              <w:rPr>
                <w:rFonts w:ascii="宋体" w:hAnsi="宋体" w:hint="eastAsia"/>
              </w:rPr>
              <w:t>核定产能0.5元/吨/年，停产矿井10万元/年</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2,075</w:t>
            </w:r>
          </w:p>
        </w:tc>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肥城肥矿煤业有限公司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山东能源集团鲁西矿业有限公司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股权托管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2022-03-18</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2028-03-17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u w:val="single"/>
              </w:rPr>
            </w:pPr>
            <w:r>
              <w:rPr>
                <w:rFonts w:ascii="宋体" w:hAnsi="宋体" w:hint="eastAsia"/>
              </w:rPr>
              <w:t>核定产能0.5元/吨/年，停产矿井10万元/年</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1,321</w:t>
            </w:r>
          </w:p>
        </w:tc>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临沂矿业集团有限责任公司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山东能源集团鲁西矿业有限公司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股权托管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2022-03-18</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2028-03-17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u w:val="single"/>
              </w:rPr>
            </w:pPr>
            <w:r>
              <w:rPr>
                <w:rFonts w:ascii="宋体" w:hAnsi="宋体" w:hint="eastAsia"/>
              </w:rPr>
              <w:t>核定产能0.5元/吨/年，停产矿井10万元/年</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4,877</w:t>
            </w:r>
          </w:p>
        </w:tc>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山东东山矿业有限责任公司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山东能源集团鲁西矿业有限公司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股权托管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2022-03-18</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2028-03-17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u w:val="single"/>
              </w:rPr>
            </w:pPr>
            <w:r>
              <w:rPr>
                <w:rFonts w:ascii="宋体" w:hAnsi="宋体" w:hint="eastAsia"/>
              </w:rPr>
              <w:t>核定产能0.5元/吨/年，停产矿井10万元/年</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2,877</w:t>
            </w:r>
          </w:p>
        </w:tc>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山东能源集团有限公司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山东能源集团鲁西矿业有限公司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股权托管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2022-03-18</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2025-03-17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u w:val="single"/>
              </w:rPr>
            </w:pPr>
            <w:r>
              <w:rPr>
                <w:rFonts w:ascii="宋体" w:hAnsi="宋体" w:hint="eastAsia"/>
              </w:rPr>
              <w:t>核定产能0.5元/吨/年，停产矿井10万元/年</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94</w:t>
            </w:r>
          </w:p>
        </w:tc>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淄博矿业集团有限责任公司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山东能源集团鲁西矿业有限公司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股权托管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2022-03-18</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2028-03-17</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u w:val="single"/>
              </w:rPr>
            </w:pPr>
            <w:r>
              <w:rPr>
                <w:rFonts w:ascii="宋体" w:hAnsi="宋体" w:hint="eastAsia"/>
              </w:rPr>
              <w:t>核定产能0.5元/吨/年，停产矿井10万元/年</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189</w:t>
            </w:r>
          </w:p>
        </w:tc>
      </w:tr>
      <w:tr>
        <w:tc>
          <w:tcPr>
            <w:tcW w:w="133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临沂矿业集团有限责任公司</w:t>
            </w:r>
          </w:p>
        </w:tc>
        <w:tc>
          <w:tcPr>
            <w:tcW w:w="128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山东能源集团鲁西矿业有限公司</w:t>
            </w:r>
          </w:p>
        </w:tc>
        <w:tc>
          <w:tcPr>
            <w:tcW w:w="1241"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其他资产托管</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2023-01-18</w:t>
            </w:r>
          </w:p>
        </w:tc>
        <w:tc>
          <w:tcPr>
            <w:tcW w:w="13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2026-01-18</w:t>
            </w:r>
          </w:p>
        </w:tc>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协议定价</w:t>
            </w:r>
          </w:p>
        </w:tc>
        <w:tc>
          <w:tcPr>
            <w:tcW w:w="1242"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100</w:t>
            </w:r>
          </w:p>
        </w:tc>
      </w:tr>
    </w:tbl>
    <w:p>
      <w:pPr>
        <w:rPr>
          <w:rFonts w:cs="Cambria"/>
        </w:rPr>
      </w:pPr>
    </w:p>
    <w:p>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60aca51a92e545e9bbad9ba5228083c8"/>
        <w:id w:val="48351291"/>
        <w:placeholder>
          <w:docPart w:val="GBC22222222222222222222222222222"/>
        </w:placeholder>
      </w:sdtPr>
      <w:sdtContent>
        <w:p>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sdt>
      <w:sdtPr>
        <w:rPr>
          <w:rFonts w:cs="Cambria"/>
        </w:rPr>
        <w:alias w:val="关联托管承包情况说明"/>
        <w:tag w:val="_GBC_7e32f39ffe144c5ba4f817dfdf991a80"/>
        <w:id w:val="-402980474"/>
        <w:placeholder>
          <w:docPart w:val="GBC22222222222222222222222222222"/>
        </w:placeholder>
      </w:sdtPr>
      <w:sdtEndPr>
        <w:rPr>
          <w:rFonts w:ascii="宋体" w:hAnsi="宋体" w:hint="eastAsia"/>
        </w:rPr>
      </w:sdtEndPr>
      <w:sdtContent>
        <w:p>
          <w:pPr>
            <w:ind w:firstLineChars="200" w:firstLine="420"/>
            <w:rPr>
              <w:rFonts w:ascii="宋体" w:hAnsi="宋体" w:cs="Cambria"/>
            </w:rPr>
          </w:pPr>
          <w:r>
            <w:rPr>
              <w:rFonts w:ascii="宋体" w:hAnsi="宋体" w:cs="Cambria" w:hint="eastAsia"/>
            </w:rPr>
            <w:t>注1：兖矿新疆能化有限公司受巴州秦华工贸有限责任公司、库车市永新矿业有限责任公司的委托进行公司的运营管理，包括但不限于战略管理、产业发展、重大安全技术管理、安全、环保、生产、经营、绩效考核、技术、项目投资、人事、党建等管理事项。</w:t>
          </w:r>
        </w:p>
        <w:p>
          <w:pPr>
            <w:ind w:firstLineChars="200" w:firstLine="420"/>
            <w:rPr>
              <w:rFonts w:ascii="宋体" w:hAnsi="宋体" w:cs="Cambria"/>
            </w:rPr>
          </w:pPr>
          <w:r>
            <w:rPr>
              <w:rFonts w:ascii="宋体" w:hAnsi="宋体" w:cs="Cambria" w:hint="eastAsia"/>
            </w:rPr>
            <w:t>注2：山东能源集团鲁西矿业有限公司受临沂矿业集团有限责任公司委托，对山东里能鲁西矿业有限公司、山东里能里彦矿业有限公司、临沂会宝岭铁矿有限公司的有关股权进行管理。</w:t>
          </w:r>
        </w:p>
        <w:p>
          <w:pPr>
            <w:ind w:firstLineChars="200" w:firstLine="420"/>
            <w:rPr>
              <w:rFonts w:ascii="宋体" w:hAnsi="宋体" w:cs="Cambria"/>
            </w:rPr>
          </w:pPr>
          <w:r>
            <w:rPr>
              <w:rFonts w:ascii="宋体" w:hAnsi="宋体" w:cs="Cambria" w:hint="eastAsia"/>
            </w:rPr>
            <w:t>注3：山东能源集团鲁西矿业有限公司受临沂矿业集团有限责任公司委托，将山东煤炭技师学院委托给受托方进行经营管理。</w:t>
          </w:r>
        </w:p>
      </w:sdtContent>
    </w:sdt>
    <w:p>
      <w:pPr>
        <w:rPr>
          <w:rFonts w:cs="Cambria"/>
        </w:rPr>
      </w:pPr>
    </w:p>
    <w:p>
      <w:pPr>
        <w:rPr>
          <w:rFonts w:cs="Cambria"/>
          <w:bCs/>
        </w:rPr>
      </w:pPr>
      <w:r>
        <w:rPr>
          <w:rFonts w:hint="eastAsia"/>
        </w:rPr>
        <w:lastRenderedPageBreak/>
        <w:t>本公司</w:t>
      </w:r>
      <w:r>
        <w:rPr>
          <w:rFonts w:cs="Cambria" w:hint="eastAsia"/>
          <w:bCs/>
        </w:rPr>
        <w:t>委托管理</w:t>
      </w:r>
      <w:r>
        <w:rPr>
          <w:rFonts w:cs="Cambria" w:hint="eastAsia"/>
          <w:bCs/>
        </w:rPr>
        <w:t>/</w:t>
      </w:r>
      <w:r>
        <w:rPr>
          <w:rFonts w:cs="Cambria" w:hint="eastAsia"/>
          <w:bCs/>
        </w:rPr>
        <w:t>出包情况表</w:t>
      </w:r>
    </w:p>
    <w:sdt>
      <w:sdtPr>
        <w:rPr>
          <w:rFonts w:cs="Cambria"/>
          <w:bCs/>
        </w:rPr>
        <w:alias w:val="是否适用：本公司委托管理或出包情况表[双击切换]"/>
        <w:tag w:val="_GBC_4655dfffa9a7464b8715035e819d5968"/>
        <w:id w:val="-973829621"/>
        <w:placeholder>
          <w:docPart w:val="GBC22222222222222222222222222222"/>
        </w:placeholder>
      </w:sdtPr>
      <w:sdtContent>
        <w:p>
          <w:pPr>
            <w:rPr>
              <w:rFonts w:cs="Cambria"/>
              <w:bCs/>
            </w:rPr>
          </w:pPr>
          <w:r>
            <w:rPr>
              <w:rFonts w:ascii="宋体" w:hAnsi="宋体" w:cs="Cambria"/>
              <w:bCs/>
            </w:rPr>
            <w:fldChar w:fldCharType="begin"/>
          </w:r>
          <w:r>
            <w:rPr>
              <w:rFonts w:ascii="宋体" w:hAnsi="宋体" w:cs="Cambria" w:hint="eastAs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hint="eastAsia"/>
              <w:bCs/>
            </w:rPr>
            <w:instrText xml:space="preserve"> MACROBUTTON  SnrToggleCheckbox √不适用 </w:instrText>
          </w:r>
          <w:r>
            <w:rPr>
              <w:rFonts w:ascii="宋体" w:hAnsi="宋体" w:cs="Cambria"/>
              <w:bCs/>
            </w:rPr>
            <w:fldChar w:fldCharType="end"/>
          </w:r>
        </w:p>
      </w:sdtContent>
    </w:sdt>
    <w:p>
      <w:pPr>
        <w:rPr>
          <w:rFonts w:cs="Cambria"/>
          <w:bCs/>
        </w:rPr>
      </w:pPr>
    </w:p>
    <w:p>
      <w:pPr>
        <w:rPr>
          <w:rFonts w:cs="Cambria"/>
          <w:bCs/>
        </w:rPr>
      </w:pPr>
      <w:r>
        <w:rPr>
          <w:rFonts w:cs="Cambria" w:hint="eastAsia"/>
          <w:bCs/>
        </w:rPr>
        <w:t>关联管理</w:t>
      </w:r>
      <w:r>
        <w:rPr>
          <w:rFonts w:cs="Cambria" w:hint="eastAsia"/>
          <w:bCs/>
        </w:rPr>
        <w:t>/</w:t>
      </w:r>
      <w:r>
        <w:rPr>
          <w:rFonts w:cs="Cambria" w:hint="eastAsia"/>
          <w:bCs/>
        </w:rPr>
        <w:t>出包情况说明</w:t>
      </w:r>
    </w:p>
    <w:sdt>
      <w:sdtPr>
        <w:rPr>
          <w:rFonts w:cs="Cambria"/>
          <w:bCs/>
        </w:rPr>
        <w:alias w:val="是否适用：关联管理或出包情况说明[双击切换]"/>
        <w:tag w:val="_GBC_a21df8e7013c4b70bab4125cabda8c46"/>
        <w:id w:val="852844702"/>
        <w:placeholder>
          <w:docPart w:val="GBC22222222222222222222222222222"/>
        </w:placeholder>
      </w:sdtPr>
      <w:sdtContent>
        <w:p>
          <w:pPr>
            <w:rPr>
              <w:rFonts w:cs="Cambria"/>
              <w:bCs/>
            </w:rPr>
          </w:pPr>
          <w:r>
            <w:rPr>
              <w:rFonts w:ascii="宋体" w:hAnsi="宋体" w:cs="Cambria"/>
              <w:bCs/>
            </w:rPr>
            <w:fldChar w:fldCharType="begin"/>
          </w:r>
          <w:r>
            <w:rPr>
              <w:rFonts w:ascii="宋体" w:hAnsi="宋体" w:cs="Cambria" w:hint="eastAs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hint="eastAsia"/>
              <w:bCs/>
            </w:rPr>
            <w:instrText xml:space="preserve"> MACROBUTTON  SnrToggleCheckbox √不适用 </w:instrText>
          </w:r>
          <w:r>
            <w:rPr>
              <w:rFonts w:ascii="宋体" w:hAnsi="宋体" w:cs="Cambria"/>
              <w:bCs/>
            </w:rPr>
            <w:fldChar w:fldCharType="end"/>
          </w:r>
        </w:p>
      </w:sdtContent>
    </w:sdt>
    <w:p>
      <w:pPr>
        <w:rPr>
          <w:rFonts w:cs="Cambria"/>
        </w:rPr>
      </w:pPr>
    </w:p>
    <w:p>
      <w:pPr>
        <w:pStyle w:val="Style179"/>
        <w:numPr>
          <w:ilvl w:val="3"/>
          <w:numId w:val="127"/>
        </w:numPr>
        <w:ind w:left="424" w:hangingChars="201" w:hanging="424"/>
        <w:rPr>
          <w:sz w:val="21"/>
          <w:szCs w:val="21"/>
        </w:rPr>
      </w:pPr>
      <w:bookmarkStart w:id="540" w:name="_Hlk213680039"/>
      <w:r>
        <w:rPr>
          <w:rFonts w:hint="eastAsia"/>
          <w:sz w:val="21"/>
          <w:szCs w:val="21"/>
        </w:rPr>
        <w:t>关联租赁情况</w:t>
      </w:r>
    </w:p>
    <w:p>
      <w:pPr>
        <w:pStyle w:val="Style217"/>
      </w:pPr>
      <w:r>
        <w:rPr>
          <w:rFonts w:hint="eastAsia"/>
        </w:rPr>
        <w:t>本公司作为出租方：</w:t>
      </w:r>
    </w:p>
    <w:sdt>
      <w:sdtPr>
        <w:alias w:val="是否适用：本公司作为出租方的租赁情况表[双击切换]"/>
        <w:tag w:val="_GBC_b67e8ccf7ec147d698f9f192968e98bf"/>
        <w:id w:val="-636645729"/>
        <w:placeholder>
          <w:docPart w:val="GBC22222222222222222222222222222"/>
        </w:placeholder>
      </w:sdtPr>
      <w:sdtEndPr>
        <w:rPr>
          <w:rFonts w:ascii="宋体" w:hAnsi="宋体"/>
        </w:rPr>
      </w:sdtEndPr>
      <w:sdtContent>
        <w:p>
          <w:pPr>
            <w:rPr>
              <w:rFonts w:ascii="宋体" w:hAnsi="宋体"/>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p>
          <w:pPr>
            <w:rPr>
              <w:rFonts w:ascii="宋体" w:hAnsi="宋体"/>
            </w:rPr>
          </w:pPr>
        </w:p>
      </w:sdtContent>
    </w:sdt>
    <w:p>
      <w:pPr>
        <w:pStyle w:val="Style217"/>
      </w:pPr>
      <w:r>
        <w:rPr>
          <w:rFonts w:hint="eastAsia"/>
        </w:rPr>
        <w:t>本公司作为承租方：</w:t>
      </w:r>
    </w:p>
    <w:sdt>
      <w:sdtPr>
        <w:alias w:val="是否适用：本公司作为承租方的租赁情况表[双击切换]"/>
        <w:tag w:val="_GBC_f8542afd84e2430aad299d7024543330"/>
        <w:id w:val="-66409514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关联租赁情况说明</w:t>
      </w:r>
    </w:p>
    <w:sdt>
      <w:sdtPr>
        <w:alias w:val="是否适用：关联租赁情况说明[双击切换]"/>
        <w:tag w:val="_GBC_f11304240a9e46d8b340976a035205d3"/>
        <w:id w:val="683950549"/>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540"/>
    <w:p>
      <w:pPr>
        <w:pStyle w:val="Style217"/>
      </w:pPr>
    </w:p>
    <w:p>
      <w:pPr>
        <w:pStyle w:val="Style179"/>
        <w:numPr>
          <w:ilvl w:val="3"/>
          <w:numId w:val="127"/>
        </w:numPr>
        <w:ind w:left="424" w:hangingChars="201" w:hanging="424"/>
        <w:rPr>
          <w:sz w:val="21"/>
          <w:szCs w:val="21"/>
        </w:rPr>
      </w:pPr>
      <w:r>
        <w:rPr>
          <w:rFonts w:hint="eastAsia"/>
          <w:sz w:val="21"/>
          <w:szCs w:val="21"/>
        </w:rPr>
        <w:t>关联担保情况</w:t>
      </w:r>
    </w:p>
    <w:p>
      <w:pPr>
        <w:pStyle w:val="Style217"/>
      </w:pPr>
      <w:r>
        <w:rPr>
          <w:rFonts w:hint="eastAsia"/>
        </w:rPr>
        <w:t>本公司作为担保方</w:t>
      </w:r>
    </w:p>
    <w:sdt>
      <w:sdtPr>
        <w:alias w:val="是否适用：本公司作为担保方的担保情况表[双击切换]"/>
        <w:tag w:val="_GBC_4ba390d56c0645788c7893af84ca2773"/>
        <w:id w:val="-34778814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1191872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千元</w:t>
          </w:r>
          <w:r>
            <w:rPr>
              <w:rFonts w:ascii="Cambria" w:hAnsi="Cambria" w:cs="Cambria" w:hint="eastAsia"/>
            </w:rPr>
            <w:t xml:space="preserve">  </w:t>
          </w:r>
        </w:sdtContent>
      </w:sdt>
      <w:r>
        <w:rPr>
          <w:rFonts w:ascii="Cambria" w:hAnsi="Cambria" w:cs="Cambria" w:hint="eastAsia"/>
        </w:rPr>
        <w:t>币种：</w:t>
      </w:r>
      <w:sdt>
        <w:sdtPr>
          <w:rPr>
            <w:rFonts w:ascii="Cambria" w:hAnsi="Cambria" w:cs="Cambria" w:hint="eastAsia"/>
          </w:rPr>
          <w:alias w:val="币种：关联担保情况"/>
          <w:tag w:val="_GBC_65f9c6a02cb346e48ef0bee93406b7c3"/>
          <w:id w:val="-5479923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Style100"/>
        <w:tblW w:w="88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30"/>
        <w:gridCol w:w="1276"/>
        <w:gridCol w:w="1843"/>
        <w:gridCol w:w="1843"/>
        <w:gridCol w:w="1098"/>
      </w:tblGrid>
      <w:tr>
        <w:sdt>
          <w:sdtPr>
            <w:tag w:val="_PLD_96a4e4b902dd4a1aabeda7f378f03632"/>
            <w:id w:val="552823067"/>
          </w:sdtPr>
          <w:sdtContent>
            <w:tc>
              <w:tcPr>
                <w:tcW w:w="2830"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被担保方</w:t>
                </w:r>
              </w:p>
            </w:tc>
          </w:sdtContent>
        </w:sdt>
        <w:sdt>
          <w:sdtPr>
            <w:tag w:val="_PLD_e261ef4f94b54fc2b7ef782e98e6a6f9"/>
            <w:id w:val="-1804377115"/>
          </w:sdtPr>
          <w:sdtContent>
            <w:tc>
              <w:tcPr>
                <w:tcW w:w="1276"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担保金额</w:t>
                </w:r>
              </w:p>
            </w:tc>
          </w:sdtContent>
        </w:sdt>
        <w:sdt>
          <w:sdtPr>
            <w:tag w:val="_PLD_6591ac1a04e6441cbf6e117b8ca9b235"/>
            <w:id w:val="-1531260708"/>
          </w:sdtPr>
          <w:sdtContent>
            <w:tc>
              <w:tcPr>
                <w:tcW w:w="1843"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担保起始日</w:t>
                </w:r>
              </w:p>
            </w:tc>
          </w:sdtContent>
        </w:sdt>
        <w:sdt>
          <w:sdtPr>
            <w:tag w:val="_PLD_a4bd05821174469b92860eea66b1f7f5"/>
            <w:id w:val="-209416878"/>
          </w:sdtPr>
          <w:sdtContent>
            <w:tc>
              <w:tcPr>
                <w:tcW w:w="1843"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担保到期日</w:t>
                </w:r>
              </w:p>
            </w:tc>
          </w:sdtContent>
        </w:sdt>
        <w:sdt>
          <w:sdtPr>
            <w:tag w:val="_PLD_ed3011fa0ff64ab0b41763ff62b9ba30"/>
            <w:id w:val="-746037340"/>
          </w:sdtPr>
          <w:sdtContent>
            <w:tc>
              <w:tcPr>
                <w:tcW w:w="1098"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担保是否已经履行完毕</w:t>
                </w:r>
              </w:p>
            </w:tc>
          </w:sdtContent>
        </w:sdt>
      </w:tr>
      <w:tr>
        <w:trPr>
          <w:trHeight w:val="567"/>
        </w:trPr>
        <w:tc>
          <w:tcPr>
            <w:tcW w:w="2830"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hint="eastAsia"/>
              </w:rPr>
              <w:t>新汶矿业集团有限责任公司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1,477,500</w:t>
            </w:r>
          </w:p>
        </w:tc>
        <w:tc>
          <w:tcPr>
            <w:tcW w:w="184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2023年1月17日</w:t>
            </w:r>
          </w:p>
        </w:tc>
        <w:tc>
          <w:tcPr>
            <w:tcW w:w="184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2038年1月17日</w:t>
            </w:r>
          </w:p>
        </w:tc>
        <w:tc>
          <w:tcPr>
            <w:tcW w:w="109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否</w:t>
            </w:r>
          </w:p>
        </w:tc>
      </w:tr>
      <w:tr>
        <w:trPr>
          <w:trHeight w:val="567"/>
        </w:trPr>
        <w:tc>
          <w:tcPr>
            <w:tcW w:w="2830"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hint="eastAsia"/>
              </w:rPr>
              <w:t>新汶矿业集团有限责任公司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2,750,000</w:t>
            </w:r>
          </w:p>
        </w:tc>
        <w:tc>
          <w:tcPr>
            <w:tcW w:w="184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2022年8月17日</w:t>
            </w:r>
          </w:p>
        </w:tc>
        <w:tc>
          <w:tcPr>
            <w:tcW w:w="184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2037年9月6日</w:t>
            </w:r>
          </w:p>
        </w:tc>
        <w:tc>
          <w:tcPr>
            <w:tcW w:w="109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否</w:t>
            </w:r>
          </w:p>
        </w:tc>
      </w:tr>
    </w:tbl>
    <w:p>
      <w:pPr>
        <w:pStyle w:val="Style217"/>
      </w:pPr>
    </w:p>
    <w:p>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574157543"/>
        <w:placeholder>
          <w:docPart w:val="GBC22222222222222222222222222222"/>
        </w:placeholder>
      </w:sdtPr>
      <w:sdtContent>
        <w:p>
          <w:pPr>
            <w:rPr>
              <w:rFonts w:ascii="Cambria" w:hAnsi="Cambria"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1362937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千元</w:t>
          </w:r>
          <w:r>
            <w:rPr>
              <w:rFonts w:ascii="Cambria" w:hAnsi="Cambria" w:cs="Cambria" w:hint="eastAsia"/>
            </w:rPr>
            <w:t xml:space="preserve">  </w:t>
          </w:r>
        </w:sdtContent>
      </w:sdt>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5805709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Style100"/>
        <w:tblW w:w="889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30"/>
        <w:gridCol w:w="1276"/>
        <w:gridCol w:w="1843"/>
        <w:gridCol w:w="1984"/>
        <w:gridCol w:w="958"/>
      </w:tblGrid>
      <w:tr>
        <w:trPr>
          <w:trHeight w:val="841"/>
        </w:trPr>
        <w:sdt>
          <w:sdtPr>
            <w:tag w:val="_PLD_e05323f7a96841bb935f95dcfec68e48"/>
            <w:id w:val="117969146"/>
          </w:sdtPr>
          <w:sdtContent>
            <w:tc>
              <w:tcPr>
                <w:tcW w:w="2830"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担保方</w:t>
                </w:r>
              </w:p>
            </w:tc>
          </w:sdtContent>
        </w:sdt>
        <w:sdt>
          <w:sdtPr>
            <w:tag w:val="_PLD_7721a8a4c1844b24b36caad78c1dee85"/>
            <w:id w:val="-1802988943"/>
          </w:sdtPr>
          <w:sdtContent>
            <w:tc>
              <w:tcPr>
                <w:tcW w:w="1276"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担保金额</w:t>
                </w:r>
              </w:p>
            </w:tc>
          </w:sdtContent>
        </w:sdt>
        <w:sdt>
          <w:sdtPr>
            <w:tag w:val="_PLD_cac4c4f152c846eb9313593bf39d4ef9"/>
            <w:id w:val="1652479997"/>
          </w:sdtPr>
          <w:sdtContent>
            <w:tc>
              <w:tcPr>
                <w:tcW w:w="1843"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担保起始日</w:t>
                </w:r>
              </w:p>
            </w:tc>
          </w:sdtContent>
        </w:sdt>
        <w:sdt>
          <w:sdtPr>
            <w:tag w:val="_PLD_c0918f2db0154eb396818afe3e3f0e9d"/>
            <w:id w:val="2119169476"/>
          </w:sdtPr>
          <w:sdtContent>
            <w:tc>
              <w:tcPr>
                <w:tcW w:w="1984"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担保到期日</w:t>
                </w:r>
              </w:p>
            </w:tc>
          </w:sdtContent>
        </w:sdt>
        <w:sdt>
          <w:sdtPr>
            <w:tag w:val="_PLD_f7d47a75b517407d8d11153f5529706f"/>
            <w:id w:val="-675499260"/>
          </w:sdtPr>
          <w:sdtContent>
            <w:tc>
              <w:tcPr>
                <w:tcW w:w="958"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担保是否已经履行完毕</w:t>
                </w:r>
              </w:p>
            </w:tc>
          </w:sdtContent>
        </w:sdt>
      </w:tr>
      <w:tr>
        <w:tc>
          <w:tcPr>
            <w:tcW w:w="2830"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陕西靖神铁路有限责任公司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274,400</w:t>
            </w:r>
          </w:p>
        </w:tc>
        <w:tc>
          <w:tcPr>
            <w:tcW w:w="184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2018年7月26日</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2043年7月25日</w:t>
            </w:r>
          </w:p>
        </w:tc>
        <w:tc>
          <w:tcPr>
            <w:tcW w:w="95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否</w:t>
            </w:r>
          </w:p>
        </w:tc>
      </w:tr>
      <w:tr>
        <w:tc>
          <w:tcPr>
            <w:tcW w:w="2830"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内蒙古锦联铝材有限公司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45,000</w:t>
            </w:r>
          </w:p>
        </w:tc>
        <w:tc>
          <w:tcPr>
            <w:tcW w:w="184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2015年12月16日</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2027年12月15日</w:t>
            </w:r>
          </w:p>
        </w:tc>
        <w:tc>
          <w:tcPr>
            <w:tcW w:w="95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Cambria"/>
              </w:rPr>
            </w:pPr>
            <w:r>
              <w:rPr>
                <w:rFonts w:ascii="宋体" w:hAnsi="宋体" w:hint="eastAsia"/>
              </w:rPr>
              <w:t>否</w:t>
            </w:r>
          </w:p>
        </w:tc>
      </w:tr>
      <w:tr>
        <w:tc>
          <w:tcPr>
            <w:tcW w:w="2830"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1,520,000</w:t>
            </w:r>
          </w:p>
        </w:tc>
        <w:tc>
          <w:tcPr>
            <w:tcW w:w="184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2022年11月24日</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2041年11月23日</w:t>
            </w:r>
          </w:p>
        </w:tc>
        <w:tc>
          <w:tcPr>
            <w:tcW w:w="95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否</w:t>
            </w:r>
          </w:p>
        </w:tc>
      </w:tr>
      <w:tr>
        <w:tc>
          <w:tcPr>
            <w:tcW w:w="2830"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山东能源集团有限公司</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661,126</w:t>
            </w:r>
          </w:p>
        </w:tc>
        <w:tc>
          <w:tcPr>
            <w:tcW w:w="184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2023年4月24日</w:t>
            </w:r>
          </w:p>
        </w:tc>
        <w:tc>
          <w:tcPr>
            <w:tcW w:w="198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hint="eastAsia"/>
              </w:rPr>
              <w:t>2042年4月23日</w:t>
            </w:r>
          </w:p>
        </w:tc>
        <w:tc>
          <w:tcPr>
            <w:tcW w:w="958"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rPr>
            </w:pPr>
            <w:r>
              <w:rPr>
                <w:rFonts w:ascii="宋体" w:hAnsi="宋体" w:hint="eastAsia"/>
              </w:rPr>
              <w:t>否</w:t>
            </w:r>
          </w:p>
        </w:tc>
      </w:tr>
    </w:tbl>
    <w:p>
      <w:pPr>
        <w:pStyle w:val="Style217"/>
      </w:pPr>
    </w:p>
    <w:p>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39558276"/>
        <w:placeholder>
          <w:docPart w:val="GBC22222222222222222222222222222"/>
        </w:placeholder>
      </w:sdtPr>
      <w:sdtContent>
        <w:p>
          <w:pPr>
            <w:rPr>
              <w:rFonts w:ascii="Cambria" w:hAnsi="Cambria"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pPr>
        <w:rPr>
          <w:rFonts w:ascii="Cambria" w:hAnsi="Cambria" w:cs="Cambria"/>
        </w:rPr>
      </w:pPr>
    </w:p>
    <w:p>
      <w:pPr>
        <w:pStyle w:val="Style179"/>
        <w:numPr>
          <w:ilvl w:val="3"/>
          <w:numId w:val="127"/>
        </w:numPr>
        <w:ind w:left="424" w:hangingChars="201" w:hanging="424"/>
        <w:rPr>
          <w:sz w:val="21"/>
          <w:szCs w:val="21"/>
        </w:rPr>
      </w:pPr>
      <w:r>
        <w:rPr>
          <w:rFonts w:hint="eastAsia"/>
          <w:sz w:val="21"/>
          <w:szCs w:val="21"/>
        </w:rPr>
        <w:t>关联方资金拆借</w:t>
      </w:r>
    </w:p>
    <w:sdt>
      <w:sdtPr>
        <w:alias w:val="是否适用：关联方资金拆借[双击切换]"/>
        <w:tag w:val="_GBC_9b5630a86e1e452494249106e2600b15"/>
        <w:id w:val="-65730041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21144723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千元</w:t>
          </w:r>
          <w:r>
            <w:rPr>
              <w:rFonts w:ascii="Cambria" w:hAnsi="Cambria" w:cs="Cambria" w:hint="eastAsia"/>
            </w:rPr>
            <w:t xml:space="preserve">  </w:t>
          </w:r>
        </w:sdtContent>
      </w:sdt>
      <w:r>
        <w:rPr>
          <w:rFonts w:ascii="Cambria" w:hAnsi="Cambria" w:cs="Cambria" w:hint="eastAsia"/>
        </w:rPr>
        <w:t>币种：</w:t>
      </w:r>
      <w:sdt>
        <w:sdtPr>
          <w:rPr>
            <w:rFonts w:ascii="Cambria" w:hAnsi="Cambria" w:cs="Cambria" w:hint="eastAsia"/>
          </w:rPr>
          <w:alias w:val="币种：关联方资金拆借"/>
          <w:tag w:val="_GBC_9ffab5562b4d42a7ad87881f0bdc32c6"/>
          <w:id w:val="-388277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2126"/>
        <w:gridCol w:w="1985"/>
        <w:gridCol w:w="690"/>
      </w:tblGrid>
      <w:tr>
        <w:sdt>
          <w:sdtPr>
            <w:tag w:val="_PLD_ba0b1157f84a43a686cdfdb96fc9f605"/>
            <w:id w:val="990903699"/>
          </w:sdtPr>
          <w:sdtContent>
            <w:tc>
              <w:tcPr>
                <w:tcW w:w="2830"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关联方</w:t>
                </w:r>
              </w:p>
            </w:tc>
          </w:sdtContent>
        </w:sdt>
        <w:sdt>
          <w:sdtPr>
            <w:tag w:val="_PLD_d89f0030cf1644d88e79247fb06b91f6"/>
            <w:id w:val="1879809284"/>
          </w:sdtPr>
          <w:sdtContent>
            <w:tc>
              <w:tcPr>
                <w:tcW w:w="1418"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拆借金额</w:t>
                </w:r>
              </w:p>
            </w:tc>
          </w:sdtContent>
        </w:sdt>
        <w:sdt>
          <w:sdtPr>
            <w:tag w:val="_PLD_1a3f019482694e2a9a19e9e491c88664"/>
            <w:id w:val="224642940"/>
          </w:sdtPr>
          <w:sdtContent>
            <w:tc>
              <w:tcPr>
                <w:tcW w:w="2126"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起始日</w:t>
                </w:r>
              </w:p>
            </w:tc>
          </w:sdtContent>
        </w:sdt>
        <w:sdt>
          <w:sdtPr>
            <w:tag w:val="_PLD_18f4f70188ee44fa8cca86fccfa00f81"/>
            <w:id w:val="873737238"/>
          </w:sdtPr>
          <w:sdtContent>
            <w:tc>
              <w:tcPr>
                <w:tcW w:w="1985"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到期日</w:t>
                </w:r>
              </w:p>
            </w:tc>
          </w:sdtContent>
        </w:sdt>
        <w:sdt>
          <w:sdtPr>
            <w:tag w:val="_PLD_7cdd1d0389de4d0ab081d9f3c4c26d70"/>
            <w:id w:val="-1498960258"/>
          </w:sdtPr>
          <w:sdtContent>
            <w:tc>
              <w:tcPr>
                <w:tcW w:w="690"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说明</w:t>
                </w:r>
              </w:p>
            </w:tc>
          </w:sdtContent>
        </w:sdt>
      </w:tr>
      <w:tr>
        <w:sdt>
          <w:sdtPr>
            <w:tag w:val="_PLD_bbb3c9aea6344d1392ee30f16141055a"/>
            <w:id w:val="-2113743392"/>
          </w:sdtPr>
          <w:sdtContent>
            <w:tc>
              <w:tcPr>
                <w:tcW w:w="9049" w:type="dxa"/>
                <w:gridSpan w:val="5"/>
                <w:tcBorders>
                  <w:top w:val="single" w:sz="4" w:space="0" w:color="auto"/>
                  <w:left w:val="single" w:sz="4" w:space="0" w:color="auto"/>
                  <w:bottom w:val="single" w:sz="4" w:space="0" w:color="auto"/>
                  <w:right w:val="single" w:sz="4" w:space="0" w:color="auto"/>
                </w:tcBorders>
                <w:vAlign w:val="center"/>
              </w:tcPr>
              <w:p>
                <w:pPr>
                  <w:rPr>
                    <w:rFonts w:cs="Cambria"/>
                  </w:rPr>
                </w:pPr>
                <w:r>
                  <w:rPr>
                    <w:rFonts w:cs="Cambria" w:hint="eastAsia"/>
                  </w:rPr>
                  <w:t>拆入</w:t>
                </w:r>
              </w:p>
            </w:tc>
          </w:sdtContent>
        </w:sdt>
      </w:tr>
      <w:tr>
        <w:tc>
          <w:tcPr>
            <w:tcW w:w="2830" w:type="dxa"/>
            <w:tcBorders>
              <w:top w:val="single" w:sz="4" w:space="0" w:color="auto"/>
              <w:left w:val="single" w:sz="4" w:space="0" w:color="auto"/>
              <w:bottom w:val="single" w:sz="4" w:space="0" w:color="auto"/>
              <w:right w:val="single" w:sz="4" w:space="0" w:color="auto"/>
            </w:tcBorders>
          </w:tcPr>
          <w:p>
            <w:pPr>
              <w:rPr>
                <w:rFonts w:ascii="宋体" w:hAnsi="宋体" w:cs="Cambria"/>
              </w:rPr>
            </w:pPr>
            <w:r>
              <w:rPr>
                <w:rFonts w:ascii="宋体" w:hAnsi="宋体" w:hint="eastAsia"/>
              </w:rPr>
              <w:lastRenderedPageBreak/>
              <w:t>枣庄矿业（集团）济宁岱庄煤业有限公司</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108,186</w:t>
            </w:r>
          </w:p>
        </w:tc>
        <w:tc>
          <w:tcPr>
            <w:tcW w:w="212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2023年8月1日</w:t>
            </w:r>
          </w:p>
        </w:tc>
        <w:tc>
          <w:tcPr>
            <w:tcW w:w="198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2028年7月30日</w:t>
            </w:r>
          </w:p>
        </w:tc>
        <w:tc>
          <w:tcPr>
            <w:tcW w:w="690" w:type="dxa"/>
            <w:tcBorders>
              <w:top w:val="single" w:sz="4" w:space="0" w:color="auto"/>
              <w:left w:val="single" w:sz="4" w:space="0" w:color="auto"/>
              <w:bottom w:val="single" w:sz="4" w:space="0" w:color="auto"/>
              <w:right w:val="single" w:sz="4" w:space="0" w:color="auto"/>
            </w:tcBorders>
            <w:vAlign w:val="center"/>
          </w:tcPr>
          <w:p>
            <w:pPr>
              <w:rPr>
                <w:rFonts w:cs="Cambria"/>
              </w:rPr>
            </w:pPr>
          </w:p>
        </w:tc>
      </w:tr>
      <w:tr>
        <w:tc>
          <w:tcPr>
            <w:tcW w:w="2830" w:type="dxa"/>
            <w:tcBorders>
              <w:top w:val="single" w:sz="4" w:space="0" w:color="auto"/>
              <w:left w:val="single" w:sz="4" w:space="0" w:color="auto"/>
              <w:bottom w:val="single" w:sz="4" w:space="0" w:color="auto"/>
              <w:right w:val="single" w:sz="4" w:space="0" w:color="auto"/>
            </w:tcBorders>
          </w:tcPr>
          <w:p>
            <w:pPr>
              <w:rPr>
                <w:rFonts w:ascii="宋体" w:hAnsi="宋体" w:cs="Cambria"/>
              </w:rPr>
            </w:pPr>
            <w:r>
              <w:rPr>
                <w:rFonts w:ascii="宋体" w:hAnsi="宋体" w:hint="eastAsia"/>
              </w:rPr>
              <w:t>淄博矿业集团有限责任公司</w:t>
            </w:r>
          </w:p>
        </w:tc>
        <w:tc>
          <w:tcPr>
            <w:tcW w:w="141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hint="eastAsia"/>
              </w:rPr>
              <w:t>600,000</w:t>
            </w:r>
          </w:p>
        </w:tc>
        <w:tc>
          <w:tcPr>
            <w:tcW w:w="2126"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2025年12月29日</w:t>
            </w:r>
          </w:p>
        </w:tc>
        <w:tc>
          <w:tcPr>
            <w:tcW w:w="1985"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cs="Cambria"/>
              </w:rPr>
            </w:pPr>
            <w:r>
              <w:rPr>
                <w:rFonts w:ascii="宋体" w:hAnsi="宋体" w:hint="eastAsia"/>
              </w:rPr>
              <w:t>2026年6月28日</w:t>
            </w:r>
          </w:p>
        </w:tc>
        <w:tc>
          <w:tcPr>
            <w:tcW w:w="690" w:type="dxa"/>
            <w:tcBorders>
              <w:top w:val="single" w:sz="4" w:space="0" w:color="auto"/>
              <w:left w:val="single" w:sz="4" w:space="0" w:color="auto"/>
              <w:bottom w:val="single" w:sz="4" w:space="0" w:color="auto"/>
              <w:right w:val="single" w:sz="4" w:space="0" w:color="auto"/>
            </w:tcBorders>
            <w:vAlign w:val="center"/>
          </w:tcPr>
          <w:p>
            <w:pPr>
              <w:rPr>
                <w:rFonts w:cs="Cambria"/>
              </w:rPr>
            </w:pPr>
          </w:p>
        </w:tc>
      </w:tr>
    </w:tbl>
    <w:p>
      <w:pPr>
        <w:pStyle w:val="Style217"/>
      </w:pPr>
    </w:p>
    <w:p>
      <w:pPr>
        <w:pStyle w:val="Style175"/>
        <w:rPr>
          <w:sz w:val="21"/>
          <w:szCs w:val="21"/>
        </w:rPr>
      </w:pPr>
    </w:p>
    <w:p>
      <w:pPr>
        <w:pStyle w:val="Style179"/>
        <w:numPr>
          <w:ilvl w:val="3"/>
          <w:numId w:val="127"/>
        </w:numPr>
        <w:ind w:left="424" w:hangingChars="201" w:hanging="424"/>
        <w:rPr>
          <w:sz w:val="21"/>
          <w:szCs w:val="21"/>
        </w:rPr>
      </w:pPr>
      <w:r>
        <w:rPr>
          <w:rFonts w:hint="eastAsia"/>
          <w:sz w:val="21"/>
          <w:szCs w:val="21"/>
        </w:rPr>
        <w:t>关联方资产转让、债务重组情况</w:t>
      </w:r>
    </w:p>
    <w:sdt>
      <w:sdtPr>
        <w:alias w:val="是否适用：关联方资产转让、债务重组情况[双击切换]"/>
        <w:tag w:val="_GBC_6f8fce72ce784c23aba8af28c51de336"/>
        <w:id w:val="146122311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127"/>
        </w:numPr>
        <w:ind w:left="424" w:hangingChars="201" w:hanging="424"/>
        <w:rPr>
          <w:sz w:val="21"/>
          <w:szCs w:val="21"/>
        </w:rPr>
      </w:pPr>
      <w:r>
        <w:rPr>
          <w:rFonts w:hint="eastAsia"/>
          <w:sz w:val="21"/>
          <w:szCs w:val="21"/>
        </w:rPr>
        <w:t>关键管理人员报酬</w:t>
      </w:r>
    </w:p>
    <w:sdt>
      <w:sdtPr>
        <w:alias w:val="是否适用：关键管理人员报酬[双击切换]"/>
        <w:tag w:val="_GBC_4768ccd806f845f4b6f5f0ec038ec747"/>
        <w:id w:val="-18568009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972484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千元</w:t>
          </w:r>
          <w:r>
            <w:rPr>
              <w:rFonts w:ascii="Cambria" w:hAnsi="Cambria" w:cs="Cambria" w:hint="eastAsia"/>
            </w:rPr>
            <w:t xml:space="preserve">  </w:t>
          </w:r>
        </w:sdtContent>
      </w:sdt>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068000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3273"/>
        <w:gridCol w:w="2501"/>
      </w:tblGrid>
      <w:tr>
        <w:sdt>
          <w:sdtPr>
            <w:tag w:val="_PLD_3d38745be5c64397b1dab92289838da1"/>
            <w:id w:val="1409038570"/>
          </w:sdtPr>
          <w:sdtContent>
            <w:tc>
              <w:tcPr>
                <w:tcW w:w="3273"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项目</w:t>
                </w:r>
              </w:p>
            </w:tc>
          </w:sdtContent>
        </w:sdt>
        <w:sdt>
          <w:sdtPr>
            <w:tag w:val="_PLD_31133ff59dcf4a7b93a7991d1f435b05"/>
            <w:id w:val="-1207022486"/>
          </w:sdtPr>
          <w:sdtContent>
            <w:tc>
              <w:tcPr>
                <w:tcW w:w="3273"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本期发生额</w:t>
                </w:r>
              </w:p>
            </w:tc>
          </w:sdtContent>
        </w:sdt>
        <w:sdt>
          <w:sdtPr>
            <w:tag w:val="_PLD_e08658a238f7419ca0d4ce3386ff565e"/>
            <w:id w:val="-1042978198"/>
          </w:sdtPr>
          <w:sdtContent>
            <w:tc>
              <w:tcPr>
                <w:tcW w:w="2501" w:type="dxa"/>
                <w:tcBorders>
                  <w:top w:val="single" w:sz="4" w:space="0" w:color="auto"/>
                  <w:left w:val="single" w:sz="4" w:space="0" w:color="auto"/>
                  <w:bottom w:val="single" w:sz="4" w:space="0" w:color="auto"/>
                  <w:right w:val="single" w:sz="4" w:space="0" w:color="auto"/>
                </w:tcBorders>
                <w:vAlign w:val="center"/>
              </w:tcPr>
              <w:p>
                <w:pPr>
                  <w:jc w:val="center"/>
                  <w:rPr>
                    <w:rFonts w:cs="Cambria"/>
                  </w:rPr>
                </w:pPr>
                <w:r>
                  <w:rPr>
                    <w:rFonts w:cs="Cambria" w:hint="eastAsia"/>
                  </w:rPr>
                  <w:t>上期发生额</w:t>
                </w:r>
              </w:p>
            </w:tc>
          </w:sdtContent>
        </w:sdt>
      </w:tr>
      <w:tr>
        <w:tc>
          <w:tcPr>
            <w:tcW w:w="3273" w:type="dxa"/>
            <w:tcBorders>
              <w:top w:val="single" w:sz="4" w:space="0" w:color="auto"/>
              <w:left w:val="single" w:sz="4" w:space="0" w:color="auto"/>
              <w:bottom w:val="single" w:sz="4" w:space="0" w:color="auto"/>
              <w:right w:val="single" w:sz="4" w:space="0" w:color="auto"/>
            </w:tcBorders>
            <w:vAlign w:val="center"/>
          </w:tcPr>
          <w:p>
            <w:pPr>
              <w:rPr>
                <w:rFonts w:cs="Cambria"/>
              </w:rPr>
            </w:pPr>
            <w:r>
              <w:rPr>
                <w:rFonts w:cs="Cambria" w:hint="eastAsia"/>
              </w:rPr>
              <w:t>关键管理人员报酬</w:t>
            </w:r>
          </w:p>
        </w:tc>
        <w:tc>
          <w:tcPr>
            <w:tcW w:w="327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rPr>
              <w:t>19,494</w:t>
            </w:r>
          </w:p>
        </w:tc>
        <w:tc>
          <w:tcPr>
            <w:tcW w:w="25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cs="Cambria"/>
              </w:rPr>
            </w:pPr>
            <w:r>
              <w:rPr>
                <w:rFonts w:ascii="宋体" w:hAnsi="宋体"/>
              </w:rPr>
              <w:t>26,289</w:t>
            </w:r>
          </w:p>
        </w:tc>
      </w:tr>
    </w:tbl>
    <w:p>
      <w:pPr>
        <w:pStyle w:val="Style217"/>
      </w:pPr>
    </w:p>
    <w:p>
      <w:pPr>
        <w:pStyle w:val="Style179"/>
        <w:numPr>
          <w:ilvl w:val="3"/>
          <w:numId w:val="127"/>
        </w:numPr>
        <w:ind w:left="424" w:hangingChars="201" w:hanging="424"/>
        <w:rPr>
          <w:sz w:val="21"/>
          <w:szCs w:val="21"/>
        </w:rPr>
      </w:pPr>
      <w:r>
        <w:rPr>
          <w:rFonts w:hint="eastAsia"/>
          <w:sz w:val="21"/>
          <w:szCs w:val="21"/>
        </w:rPr>
        <w:t>其他关联交易</w:t>
      </w:r>
    </w:p>
    <w:sdt>
      <w:sdtPr>
        <w:rPr>
          <w:rFonts w:hint="eastAsia"/>
        </w:rPr>
        <w:alias w:val="是否适用：其他关联交易[双击切换]"/>
        <w:tag w:val="_GBC_a1203a07d7684e08bdc2f1959f1cb9ae"/>
        <w:id w:val="-89349831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Times New Roman" w:hAnsi="Times New Roman"/>
          <w:szCs w:val="21"/>
        </w:rPr>
        <w:alias w:val="其他关联交易的情况"/>
        <w:tag w:val="_GBC_568a4950b7f046d3a08a3d8b97923495"/>
        <w:id w:val="-1545679762"/>
        <w:placeholder>
          <w:docPart w:val="GBC22222222222222222222222222222"/>
        </w:placeholder>
      </w:sdtPr>
      <w:sdtContent>
        <w:p>
          <w:pPr>
            <w:pStyle w:val="Style217"/>
          </w:pPr>
        </w:p>
        <w:tbl>
          <w:tblPr>
            <w:tblStyle w:val="Style100"/>
            <w:tblW w:w="921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197|0|desc|||0|1"/>
          </w:tblPr>
          <w:tblGrid>
            <w:gridCol w:w="2511"/>
            <w:gridCol w:w="3013"/>
            <w:gridCol w:w="1275"/>
            <w:gridCol w:w="1560"/>
            <w:gridCol w:w="855"/>
          </w:tblGrid>
          <w:tr>
            <w:trPr>
              <w:trHeight w:val="397"/>
              <w:tblHeader/>
              <w:jc w:val="center"/>
            </w:trPr>
            <w:tc>
              <w:tcPr>
                <w:tcW w:w="2511" w:type="dxa"/>
                <w:shd w:val="clear" w:color="auto" w:fill="auto"/>
                <w:vAlign w:val="center"/>
              </w:tcPr>
              <w:p>
                <w:pPr>
                  <w:jc w:val="center"/>
                  <w:rPr>
                    <w:rFonts w:ascii="宋体" w:hAnsi="宋体" w:cs="宋体"/>
                    <w:b/>
                    <w:bCs/>
                    <w:color w:val="000000"/>
                  </w:rPr>
                </w:pPr>
                <w:r>
                  <w:rPr>
                    <w:rFonts w:ascii="宋体" w:hAnsi="宋体" w:cs="宋体" w:hint="eastAsia"/>
                    <w:b/>
                    <w:bCs/>
                    <w:color w:val="000000"/>
                  </w:rPr>
                  <w:t>关联方</w:t>
                </w:r>
              </w:p>
            </w:tc>
            <w:tc>
              <w:tcPr>
                <w:tcW w:w="3013" w:type="dxa"/>
                <w:shd w:val="clear" w:color="auto" w:fill="auto"/>
                <w:vAlign w:val="center"/>
              </w:tcPr>
              <w:p>
                <w:pPr>
                  <w:jc w:val="center"/>
                  <w:rPr>
                    <w:rFonts w:ascii="宋体" w:hAnsi="宋体" w:cs="宋体"/>
                    <w:b/>
                    <w:bCs/>
                    <w:color w:val="000000"/>
                  </w:rPr>
                </w:pPr>
                <w:r>
                  <w:rPr>
                    <w:rFonts w:ascii="宋体" w:hAnsi="宋体" w:cs="宋体" w:hint="eastAsia"/>
                    <w:b/>
                    <w:bCs/>
                    <w:color w:val="000000"/>
                  </w:rPr>
                  <w:t>项目名称</w:t>
                </w:r>
              </w:p>
            </w:tc>
            <w:tc>
              <w:tcPr>
                <w:tcW w:w="1275" w:type="dxa"/>
                <w:shd w:val="clear" w:color="auto" w:fill="auto"/>
                <w:vAlign w:val="center"/>
              </w:tcPr>
              <w:p>
                <w:pPr>
                  <w:jc w:val="center"/>
                  <w:rPr>
                    <w:rFonts w:ascii="宋体" w:hAnsi="宋体" w:cs="宋体"/>
                    <w:b/>
                    <w:bCs/>
                    <w:color w:val="000000"/>
                  </w:rPr>
                </w:pPr>
                <w:r>
                  <w:rPr>
                    <w:rFonts w:ascii="宋体" w:hAnsi="宋体" w:cs="宋体" w:hint="eastAsia"/>
                    <w:b/>
                    <w:bCs/>
                    <w:color w:val="000000"/>
                  </w:rPr>
                  <w:t>本年发生额</w:t>
                </w:r>
              </w:p>
            </w:tc>
            <w:tc>
              <w:tcPr>
                <w:tcW w:w="1560" w:type="dxa"/>
                <w:shd w:val="clear" w:color="auto" w:fill="auto"/>
                <w:vAlign w:val="center"/>
              </w:tcPr>
              <w:p>
                <w:pPr>
                  <w:jc w:val="center"/>
                  <w:rPr>
                    <w:rFonts w:ascii="宋体" w:hAnsi="宋体" w:cs="宋体"/>
                    <w:b/>
                    <w:bCs/>
                    <w:color w:val="000000"/>
                  </w:rPr>
                </w:pPr>
                <w:r>
                  <w:rPr>
                    <w:rFonts w:ascii="宋体" w:hAnsi="宋体" w:cs="宋体" w:hint="eastAsia"/>
                    <w:b/>
                    <w:bCs/>
                    <w:color w:val="000000"/>
                  </w:rPr>
                  <w:t>上年发生额</w:t>
                </w:r>
              </w:p>
            </w:tc>
            <w:tc>
              <w:tcPr>
                <w:tcW w:w="855" w:type="dxa"/>
                <w:shd w:val="clear" w:color="auto" w:fill="auto"/>
                <w:vAlign w:val="center"/>
              </w:tcPr>
              <w:p>
                <w:pPr>
                  <w:jc w:val="center"/>
                  <w:rPr>
                    <w:rFonts w:ascii="宋体" w:hAnsi="宋体" w:cs="宋体"/>
                    <w:b/>
                    <w:bCs/>
                    <w:color w:val="000000"/>
                  </w:rPr>
                </w:pPr>
                <w:r>
                  <w:rPr>
                    <w:rFonts w:ascii="宋体" w:hAnsi="宋体" w:cs="宋体" w:hint="eastAsia"/>
                    <w:b/>
                    <w:bCs/>
                    <w:color w:val="000000"/>
                  </w:rPr>
                  <w:t>关联交易内容</w:t>
                </w: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保安服务</w:t>
                </w:r>
              </w:p>
            </w:tc>
            <w:tc>
              <w:tcPr>
                <w:tcW w:w="1275" w:type="dxa"/>
                <w:shd w:val="clear" w:color="auto" w:fill="auto"/>
                <w:vAlign w:val="center"/>
              </w:tcPr>
              <w:p>
                <w:pPr>
                  <w:jc w:val="right"/>
                  <w:rPr>
                    <w:rFonts w:ascii="宋体" w:hAnsi="宋体" w:cs="宋体"/>
                    <w:color w:val="000000"/>
                  </w:rPr>
                </w:pPr>
                <w:r>
                  <w:rPr>
                    <w:rFonts w:ascii="宋体" w:hAnsi="宋体" w:cs="宋体" w:hint="eastAsia"/>
                  </w:rPr>
                  <w:t>17,351</w:t>
                </w:r>
              </w:p>
            </w:tc>
            <w:tc>
              <w:tcPr>
                <w:tcW w:w="1560" w:type="dxa"/>
                <w:shd w:val="clear" w:color="auto" w:fill="auto"/>
                <w:vAlign w:val="center"/>
              </w:tcPr>
              <w:p>
                <w:pPr>
                  <w:jc w:val="right"/>
                  <w:rPr>
                    <w:rFonts w:ascii="宋体" w:hAnsi="宋体" w:cs="宋体"/>
                    <w:color w:val="000000"/>
                  </w:rPr>
                </w:pPr>
                <w:r>
                  <w:rPr>
                    <w:rFonts w:ascii="宋体" w:hAnsi="宋体" w:cs="宋体" w:hint="eastAsia"/>
                  </w:rPr>
                  <w:t>153,268</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多式联运业务</w:t>
                </w:r>
              </w:p>
            </w:tc>
            <w:tc>
              <w:tcPr>
                <w:tcW w:w="1275" w:type="dxa"/>
                <w:shd w:val="clear" w:color="auto" w:fill="auto"/>
                <w:vAlign w:val="center"/>
              </w:tcPr>
              <w:p>
                <w:pPr>
                  <w:jc w:val="right"/>
                  <w:rPr>
                    <w:rFonts w:ascii="宋体" w:hAnsi="宋体" w:cs="宋体"/>
                    <w:color w:val="000000"/>
                  </w:rPr>
                </w:pPr>
                <w:r>
                  <w:rPr>
                    <w:rFonts w:ascii="宋体" w:hAnsi="宋体" w:cs="宋体" w:hint="eastAsia"/>
                  </w:rPr>
                  <w:t>11,216</w:t>
                </w:r>
              </w:p>
            </w:tc>
            <w:tc>
              <w:tcPr>
                <w:tcW w:w="1560" w:type="dxa"/>
                <w:shd w:val="clear" w:color="auto" w:fill="auto"/>
                <w:vAlign w:val="center"/>
              </w:tcPr>
              <w:p>
                <w:pPr>
                  <w:jc w:val="right"/>
                  <w:rPr>
                    <w:rFonts w:ascii="宋体" w:hAnsi="宋体" w:cs="宋体"/>
                    <w:color w:val="000000"/>
                  </w:rPr>
                </w:pP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联营企业</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工程施工</w:t>
                </w:r>
              </w:p>
            </w:tc>
            <w:tc>
              <w:tcPr>
                <w:tcW w:w="1275" w:type="dxa"/>
                <w:shd w:val="clear" w:color="auto" w:fill="auto"/>
                <w:vAlign w:val="center"/>
              </w:tcPr>
              <w:p>
                <w:pPr>
                  <w:jc w:val="right"/>
                  <w:rPr>
                    <w:rFonts w:ascii="宋体" w:hAnsi="宋体" w:cs="宋体"/>
                    <w:color w:val="000000"/>
                  </w:rPr>
                </w:pPr>
                <w:r>
                  <w:rPr>
                    <w:rFonts w:ascii="宋体" w:hAnsi="宋体" w:cs="宋体" w:hint="eastAsia"/>
                  </w:rPr>
                  <w:t>2,844</w:t>
                </w:r>
              </w:p>
            </w:tc>
            <w:tc>
              <w:tcPr>
                <w:tcW w:w="1560" w:type="dxa"/>
                <w:shd w:val="clear" w:color="auto" w:fill="auto"/>
                <w:vAlign w:val="center"/>
              </w:tcPr>
              <w:p>
                <w:pPr>
                  <w:jc w:val="right"/>
                  <w:rPr>
                    <w:rFonts w:ascii="宋体" w:hAnsi="宋体" w:cs="宋体"/>
                    <w:color w:val="000000"/>
                  </w:rPr>
                </w:pP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工程施工</w:t>
                </w:r>
              </w:p>
            </w:tc>
            <w:tc>
              <w:tcPr>
                <w:tcW w:w="1275" w:type="dxa"/>
                <w:shd w:val="clear" w:color="auto" w:fill="auto"/>
                <w:vAlign w:val="center"/>
              </w:tcPr>
              <w:p>
                <w:pPr>
                  <w:jc w:val="right"/>
                  <w:rPr>
                    <w:rFonts w:ascii="宋体" w:hAnsi="宋体" w:cs="宋体"/>
                    <w:color w:val="000000"/>
                  </w:rPr>
                </w:pPr>
                <w:r>
                  <w:rPr>
                    <w:rFonts w:ascii="宋体" w:hAnsi="宋体" w:cs="宋体" w:hint="eastAsia"/>
                  </w:rPr>
                  <w:t>324,551</w:t>
                </w:r>
              </w:p>
            </w:tc>
            <w:tc>
              <w:tcPr>
                <w:tcW w:w="1560" w:type="dxa"/>
                <w:shd w:val="clear" w:color="auto" w:fill="auto"/>
                <w:vAlign w:val="center"/>
              </w:tcPr>
              <w:p>
                <w:pPr>
                  <w:jc w:val="right"/>
                  <w:rPr>
                    <w:rFonts w:ascii="宋体" w:hAnsi="宋体" w:cs="宋体"/>
                    <w:color w:val="000000"/>
                  </w:rPr>
                </w:pPr>
                <w:r>
                  <w:rPr>
                    <w:rFonts w:ascii="宋体" w:hAnsi="宋体" w:cs="宋体" w:hint="eastAsia"/>
                  </w:rPr>
                  <w:t>2,556,485</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火运业务</w:t>
                </w:r>
              </w:p>
            </w:tc>
            <w:tc>
              <w:tcPr>
                <w:tcW w:w="1275" w:type="dxa"/>
                <w:shd w:val="clear" w:color="auto" w:fill="auto"/>
                <w:vAlign w:val="center"/>
              </w:tcPr>
              <w:p>
                <w:pPr>
                  <w:jc w:val="right"/>
                  <w:rPr>
                    <w:rFonts w:ascii="宋体" w:hAnsi="宋体" w:cs="宋体"/>
                    <w:color w:val="000000"/>
                  </w:rPr>
                </w:pPr>
                <w:r>
                  <w:rPr>
                    <w:rFonts w:ascii="宋体" w:hAnsi="宋体" w:cs="宋体" w:hint="eastAsia"/>
                  </w:rPr>
                  <w:t>680</w:t>
                </w:r>
              </w:p>
            </w:tc>
            <w:tc>
              <w:tcPr>
                <w:tcW w:w="1560" w:type="dxa"/>
                <w:shd w:val="clear" w:color="auto" w:fill="auto"/>
                <w:vAlign w:val="center"/>
              </w:tcPr>
              <w:p>
                <w:pPr>
                  <w:jc w:val="right"/>
                  <w:rPr>
                    <w:rFonts w:ascii="宋体" w:hAnsi="宋体" w:cs="宋体"/>
                    <w:color w:val="000000"/>
                  </w:rPr>
                </w:pP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货物代理</w:t>
                </w:r>
              </w:p>
            </w:tc>
            <w:tc>
              <w:tcPr>
                <w:tcW w:w="1275" w:type="dxa"/>
                <w:shd w:val="clear" w:color="auto" w:fill="auto"/>
                <w:vAlign w:val="center"/>
              </w:tcPr>
              <w:p>
                <w:pPr>
                  <w:jc w:val="right"/>
                  <w:rPr>
                    <w:rFonts w:ascii="宋体" w:hAnsi="宋体" w:cs="宋体"/>
                    <w:color w:val="000000"/>
                  </w:rPr>
                </w:pPr>
                <w:r>
                  <w:rPr>
                    <w:rFonts w:ascii="宋体" w:hAnsi="宋体" w:cs="宋体" w:hint="eastAsia"/>
                  </w:rPr>
                  <w:t>135,446</w:t>
                </w:r>
              </w:p>
            </w:tc>
            <w:tc>
              <w:tcPr>
                <w:tcW w:w="1560" w:type="dxa"/>
                <w:shd w:val="clear" w:color="auto" w:fill="auto"/>
                <w:vAlign w:val="center"/>
              </w:tcPr>
              <w:p>
                <w:pPr>
                  <w:jc w:val="right"/>
                  <w:rPr>
                    <w:rFonts w:ascii="宋体" w:hAnsi="宋体" w:cs="宋体"/>
                    <w:color w:val="000000"/>
                  </w:rPr>
                </w:pP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陆运业务</w:t>
                </w:r>
              </w:p>
            </w:tc>
            <w:tc>
              <w:tcPr>
                <w:tcW w:w="1275" w:type="dxa"/>
                <w:shd w:val="clear" w:color="auto" w:fill="auto"/>
                <w:vAlign w:val="center"/>
              </w:tcPr>
              <w:p>
                <w:pPr>
                  <w:jc w:val="right"/>
                  <w:rPr>
                    <w:rFonts w:ascii="宋体" w:hAnsi="宋体" w:cs="宋体"/>
                    <w:color w:val="000000"/>
                  </w:rPr>
                </w:pPr>
                <w:r>
                  <w:rPr>
                    <w:rFonts w:ascii="宋体" w:hAnsi="宋体" w:cs="宋体" w:hint="eastAsia"/>
                  </w:rPr>
                  <w:t>167,272</w:t>
                </w:r>
              </w:p>
            </w:tc>
            <w:tc>
              <w:tcPr>
                <w:tcW w:w="1560" w:type="dxa"/>
                <w:shd w:val="clear" w:color="auto" w:fill="auto"/>
                <w:vAlign w:val="center"/>
              </w:tcPr>
              <w:p>
                <w:pPr>
                  <w:jc w:val="right"/>
                  <w:rPr>
                    <w:rFonts w:ascii="宋体" w:hAnsi="宋体" w:cs="宋体"/>
                    <w:color w:val="000000"/>
                  </w:rPr>
                </w:pP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水运业务</w:t>
                </w:r>
              </w:p>
            </w:tc>
            <w:tc>
              <w:tcPr>
                <w:tcW w:w="1275" w:type="dxa"/>
                <w:shd w:val="clear" w:color="auto" w:fill="auto"/>
                <w:vAlign w:val="center"/>
              </w:tcPr>
              <w:p>
                <w:pPr>
                  <w:jc w:val="right"/>
                  <w:rPr>
                    <w:rFonts w:ascii="宋体" w:hAnsi="宋体" w:cs="宋体"/>
                    <w:color w:val="000000"/>
                  </w:rPr>
                </w:pPr>
                <w:r>
                  <w:rPr>
                    <w:rFonts w:ascii="宋体" w:hAnsi="宋体" w:cs="宋体" w:hint="eastAsia"/>
                  </w:rPr>
                  <w:t>19,972</w:t>
                </w:r>
              </w:p>
            </w:tc>
            <w:tc>
              <w:tcPr>
                <w:tcW w:w="1560" w:type="dxa"/>
                <w:shd w:val="clear" w:color="auto" w:fill="auto"/>
                <w:vAlign w:val="center"/>
              </w:tcPr>
              <w:p>
                <w:pPr>
                  <w:jc w:val="right"/>
                  <w:rPr>
                    <w:rFonts w:ascii="宋体" w:hAnsi="宋体" w:cs="宋体"/>
                    <w:color w:val="000000"/>
                  </w:rPr>
                </w:pP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联营企业</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员工个人福利</w:t>
                </w:r>
              </w:p>
            </w:tc>
            <w:tc>
              <w:tcPr>
                <w:tcW w:w="1275" w:type="dxa"/>
                <w:shd w:val="clear" w:color="auto" w:fill="auto"/>
                <w:vAlign w:val="center"/>
              </w:tcPr>
              <w:p>
                <w:pPr>
                  <w:jc w:val="right"/>
                  <w:rPr>
                    <w:rFonts w:ascii="宋体" w:hAnsi="宋体" w:cs="宋体"/>
                    <w:color w:val="000000"/>
                  </w:rPr>
                </w:pPr>
                <w:r>
                  <w:rPr>
                    <w:rFonts w:ascii="宋体" w:hAnsi="宋体" w:cs="宋体" w:hint="eastAsia"/>
                  </w:rPr>
                  <w:t>5,245</w:t>
                </w:r>
              </w:p>
            </w:tc>
            <w:tc>
              <w:tcPr>
                <w:tcW w:w="1560" w:type="dxa"/>
                <w:shd w:val="clear" w:color="auto" w:fill="auto"/>
                <w:vAlign w:val="center"/>
              </w:tcPr>
              <w:p>
                <w:pPr>
                  <w:jc w:val="right"/>
                  <w:rPr>
                    <w:rFonts w:ascii="宋体" w:hAnsi="宋体" w:cs="宋体"/>
                    <w:color w:val="000000"/>
                  </w:rPr>
                </w:pP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其他关联方</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员工个人福利</w:t>
                </w:r>
              </w:p>
            </w:tc>
            <w:tc>
              <w:tcPr>
                <w:tcW w:w="1275" w:type="dxa"/>
                <w:shd w:val="clear" w:color="auto" w:fill="auto"/>
                <w:vAlign w:val="center"/>
              </w:tcPr>
              <w:p>
                <w:pPr>
                  <w:jc w:val="right"/>
                  <w:rPr>
                    <w:rFonts w:ascii="宋体" w:hAnsi="宋体" w:cs="宋体"/>
                    <w:color w:val="000000"/>
                  </w:rPr>
                </w:pPr>
                <w:r>
                  <w:rPr>
                    <w:rFonts w:ascii="宋体" w:hAnsi="宋体" w:cs="宋体" w:hint="eastAsia"/>
                  </w:rPr>
                  <w:t>45</w:t>
                </w:r>
              </w:p>
            </w:tc>
            <w:tc>
              <w:tcPr>
                <w:tcW w:w="1560" w:type="dxa"/>
                <w:shd w:val="clear" w:color="auto" w:fill="auto"/>
                <w:vAlign w:val="center"/>
              </w:tcPr>
              <w:p>
                <w:pPr>
                  <w:jc w:val="right"/>
                  <w:rPr>
                    <w:rFonts w:ascii="宋体" w:hAnsi="宋体" w:cs="宋体"/>
                    <w:color w:val="000000"/>
                  </w:rPr>
                </w:pP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员工个人福利</w:t>
                </w:r>
              </w:p>
            </w:tc>
            <w:tc>
              <w:tcPr>
                <w:tcW w:w="1275" w:type="dxa"/>
                <w:shd w:val="clear" w:color="auto" w:fill="auto"/>
                <w:vAlign w:val="center"/>
              </w:tcPr>
              <w:p>
                <w:pPr>
                  <w:jc w:val="right"/>
                  <w:rPr>
                    <w:rFonts w:ascii="宋体" w:hAnsi="宋体" w:cs="宋体"/>
                    <w:color w:val="000000"/>
                  </w:rPr>
                </w:pPr>
                <w:r>
                  <w:rPr>
                    <w:rFonts w:ascii="宋体" w:hAnsi="宋体" w:cs="宋体" w:hint="eastAsia"/>
                  </w:rPr>
                  <w:t>48,913</w:t>
                </w:r>
              </w:p>
            </w:tc>
            <w:tc>
              <w:tcPr>
                <w:tcW w:w="1560" w:type="dxa"/>
                <w:shd w:val="clear" w:color="auto" w:fill="auto"/>
                <w:vAlign w:val="center"/>
              </w:tcPr>
              <w:p>
                <w:pPr>
                  <w:jc w:val="right"/>
                  <w:rPr>
                    <w:rFonts w:ascii="宋体" w:hAnsi="宋体" w:cs="宋体"/>
                    <w:color w:val="000000"/>
                  </w:rPr>
                </w:pPr>
                <w:r>
                  <w:rPr>
                    <w:rFonts w:ascii="宋体" w:hAnsi="宋体" w:cs="宋体" w:hint="eastAsia"/>
                  </w:rPr>
                  <w:t>48,887</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其他关联方</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资产租赁</w:t>
                </w:r>
              </w:p>
            </w:tc>
            <w:tc>
              <w:tcPr>
                <w:tcW w:w="1275" w:type="dxa"/>
                <w:shd w:val="clear" w:color="auto" w:fill="auto"/>
                <w:vAlign w:val="center"/>
              </w:tcPr>
              <w:p>
                <w:pPr>
                  <w:jc w:val="right"/>
                  <w:rPr>
                    <w:rFonts w:ascii="宋体" w:hAnsi="宋体" w:cs="宋体"/>
                    <w:color w:val="000000"/>
                    <w:lang w:val="en-GB"/>
                  </w:rPr>
                </w:pPr>
              </w:p>
            </w:tc>
            <w:tc>
              <w:tcPr>
                <w:tcW w:w="1560" w:type="dxa"/>
                <w:shd w:val="clear" w:color="auto" w:fill="auto"/>
                <w:vAlign w:val="center"/>
              </w:tcPr>
              <w:p>
                <w:pPr>
                  <w:jc w:val="right"/>
                  <w:rPr>
                    <w:rFonts w:ascii="宋体" w:hAnsi="宋体" w:cs="宋体"/>
                    <w:color w:val="000000"/>
                    <w:lang w:val="en-GB"/>
                  </w:rPr>
                </w:pPr>
                <w:r>
                  <w:rPr>
                    <w:rFonts w:ascii="宋体" w:hAnsi="宋体" w:cs="宋体" w:hint="eastAsia"/>
                  </w:rPr>
                  <w:t>29,681</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资产租赁</w:t>
                </w:r>
              </w:p>
            </w:tc>
            <w:tc>
              <w:tcPr>
                <w:tcW w:w="1275" w:type="dxa"/>
                <w:shd w:val="clear" w:color="auto" w:fill="auto"/>
                <w:vAlign w:val="center"/>
              </w:tcPr>
              <w:p>
                <w:pPr>
                  <w:jc w:val="right"/>
                  <w:rPr>
                    <w:rFonts w:ascii="宋体" w:hAnsi="宋体" w:cs="宋体"/>
                    <w:color w:val="000000"/>
                    <w:lang w:val="en-GB"/>
                  </w:rPr>
                </w:pPr>
                <w:r>
                  <w:rPr>
                    <w:rFonts w:ascii="宋体" w:hAnsi="宋体" w:cs="宋体" w:hint="eastAsia"/>
                  </w:rPr>
                  <w:t>2,354</w:t>
                </w:r>
              </w:p>
            </w:tc>
            <w:tc>
              <w:tcPr>
                <w:tcW w:w="1560" w:type="dxa"/>
                <w:shd w:val="clear" w:color="auto" w:fill="auto"/>
                <w:vAlign w:val="center"/>
              </w:tcPr>
              <w:p>
                <w:pPr>
                  <w:jc w:val="right"/>
                  <w:rPr>
                    <w:rFonts w:ascii="宋体" w:hAnsi="宋体" w:cs="宋体"/>
                    <w:color w:val="000000"/>
                    <w:lang w:val="en-GB"/>
                  </w:rPr>
                </w:pPr>
                <w:r>
                  <w:rPr>
                    <w:rFonts w:ascii="宋体" w:hAnsi="宋体" w:cs="宋体" w:hint="eastAsia"/>
                  </w:rPr>
                  <w:t>102,495</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维修服务</w:t>
                </w:r>
              </w:p>
            </w:tc>
            <w:tc>
              <w:tcPr>
                <w:tcW w:w="1275" w:type="dxa"/>
                <w:shd w:val="clear" w:color="auto" w:fill="auto"/>
                <w:vAlign w:val="center"/>
              </w:tcPr>
              <w:p>
                <w:pPr>
                  <w:jc w:val="right"/>
                  <w:rPr>
                    <w:rFonts w:ascii="宋体" w:hAnsi="宋体" w:cs="宋体"/>
                    <w:color w:val="000000"/>
                    <w:lang w:val="en-GB"/>
                  </w:rPr>
                </w:pPr>
              </w:p>
            </w:tc>
            <w:tc>
              <w:tcPr>
                <w:tcW w:w="1560" w:type="dxa"/>
                <w:shd w:val="clear" w:color="auto" w:fill="auto"/>
                <w:vAlign w:val="center"/>
              </w:tcPr>
              <w:p>
                <w:pPr>
                  <w:jc w:val="right"/>
                  <w:rPr>
                    <w:rFonts w:ascii="宋体" w:hAnsi="宋体" w:cs="宋体"/>
                    <w:color w:val="000000"/>
                    <w:lang w:val="en-GB"/>
                  </w:rPr>
                </w:pPr>
                <w:r>
                  <w:rPr>
                    <w:rFonts w:ascii="宋体" w:hAnsi="宋体" w:cs="宋体" w:hint="eastAsia"/>
                  </w:rPr>
                  <w:t>192,304</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ERP运维服务</w:t>
                </w:r>
              </w:p>
            </w:tc>
            <w:tc>
              <w:tcPr>
                <w:tcW w:w="1275" w:type="dxa"/>
                <w:shd w:val="clear" w:color="auto" w:fill="auto"/>
                <w:vAlign w:val="center"/>
              </w:tcPr>
              <w:p>
                <w:pPr>
                  <w:jc w:val="right"/>
                  <w:rPr>
                    <w:rFonts w:ascii="宋体" w:hAnsi="宋体" w:cs="宋体"/>
                    <w:color w:val="000000"/>
                    <w:lang w:val="en-GB"/>
                  </w:rPr>
                </w:pPr>
              </w:p>
            </w:tc>
            <w:tc>
              <w:tcPr>
                <w:tcW w:w="1560" w:type="dxa"/>
                <w:shd w:val="clear" w:color="auto" w:fill="auto"/>
                <w:vAlign w:val="center"/>
              </w:tcPr>
              <w:p>
                <w:pPr>
                  <w:jc w:val="right"/>
                  <w:rPr>
                    <w:rFonts w:ascii="宋体" w:hAnsi="宋体" w:cs="宋体"/>
                    <w:color w:val="000000"/>
                    <w:lang w:val="en-GB"/>
                  </w:rPr>
                </w:pPr>
                <w:r>
                  <w:rPr>
                    <w:rFonts w:ascii="宋体" w:hAnsi="宋体" w:cs="宋体" w:hint="eastAsia"/>
                  </w:rPr>
                  <w:t>147,739</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lastRenderedPageBreak/>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医疗救护服务</w:t>
                </w:r>
              </w:p>
            </w:tc>
            <w:tc>
              <w:tcPr>
                <w:tcW w:w="1275" w:type="dxa"/>
                <w:shd w:val="clear" w:color="auto" w:fill="auto"/>
                <w:vAlign w:val="center"/>
              </w:tcPr>
              <w:p>
                <w:pPr>
                  <w:jc w:val="right"/>
                  <w:rPr>
                    <w:rFonts w:ascii="宋体" w:hAnsi="宋体" w:cs="宋体"/>
                    <w:color w:val="000000"/>
                    <w:lang w:val="en-GB"/>
                  </w:rPr>
                </w:pPr>
              </w:p>
            </w:tc>
            <w:tc>
              <w:tcPr>
                <w:tcW w:w="1560" w:type="dxa"/>
                <w:shd w:val="clear" w:color="auto" w:fill="auto"/>
                <w:vAlign w:val="center"/>
              </w:tcPr>
              <w:p>
                <w:pPr>
                  <w:jc w:val="right"/>
                  <w:rPr>
                    <w:rFonts w:ascii="宋体" w:hAnsi="宋体" w:cs="宋体"/>
                    <w:color w:val="000000"/>
                    <w:lang w:val="en-GB"/>
                  </w:rPr>
                </w:pPr>
                <w:r>
                  <w:rPr>
                    <w:rFonts w:ascii="宋体" w:hAnsi="宋体" w:cs="宋体" w:hint="eastAsia"/>
                  </w:rPr>
                  <w:t>39,446</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利息支出</w:t>
                </w:r>
              </w:p>
            </w:tc>
            <w:tc>
              <w:tcPr>
                <w:tcW w:w="1275" w:type="dxa"/>
                <w:shd w:val="clear" w:color="auto" w:fill="auto"/>
                <w:vAlign w:val="center"/>
              </w:tcPr>
              <w:p>
                <w:pPr>
                  <w:jc w:val="right"/>
                  <w:rPr>
                    <w:rFonts w:ascii="宋体" w:hAnsi="宋体" w:cs="宋体"/>
                    <w:color w:val="000000"/>
                  </w:rPr>
                </w:pPr>
              </w:p>
            </w:tc>
            <w:tc>
              <w:tcPr>
                <w:tcW w:w="1560" w:type="dxa"/>
                <w:shd w:val="clear" w:color="auto" w:fill="auto"/>
                <w:vAlign w:val="center"/>
              </w:tcPr>
              <w:p>
                <w:pPr>
                  <w:jc w:val="right"/>
                  <w:rPr>
                    <w:rFonts w:ascii="宋体" w:hAnsi="宋体" w:cs="宋体"/>
                    <w:color w:val="000000"/>
                  </w:rPr>
                </w:pPr>
                <w:r>
                  <w:rPr>
                    <w:rFonts w:ascii="宋体" w:hAnsi="宋体" w:cs="宋体" w:hint="eastAsia"/>
                  </w:rPr>
                  <w:t>1,885</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采购煤炭产能置换指标</w:t>
                </w:r>
              </w:p>
            </w:tc>
            <w:tc>
              <w:tcPr>
                <w:tcW w:w="1275" w:type="dxa"/>
                <w:shd w:val="clear" w:color="auto" w:fill="auto"/>
                <w:vAlign w:val="center"/>
              </w:tcPr>
              <w:p>
                <w:pPr>
                  <w:jc w:val="right"/>
                  <w:rPr>
                    <w:rFonts w:ascii="宋体" w:hAnsi="宋体" w:cs="宋体"/>
                    <w:color w:val="000000"/>
                  </w:rPr>
                </w:pPr>
              </w:p>
            </w:tc>
            <w:tc>
              <w:tcPr>
                <w:tcW w:w="1560" w:type="dxa"/>
                <w:shd w:val="clear" w:color="auto" w:fill="auto"/>
                <w:vAlign w:val="center"/>
              </w:tcPr>
              <w:p>
                <w:pPr>
                  <w:jc w:val="right"/>
                  <w:rPr>
                    <w:rFonts w:ascii="宋体" w:hAnsi="宋体" w:cs="宋体"/>
                    <w:color w:val="000000"/>
                  </w:rPr>
                </w:pPr>
                <w:r>
                  <w:rPr>
                    <w:rFonts w:ascii="宋体" w:hAnsi="宋体" w:cs="宋体" w:hint="eastAsia"/>
                  </w:rPr>
                  <w:t>535,220</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山能财司利息收入</w:t>
                </w:r>
              </w:p>
            </w:tc>
            <w:tc>
              <w:tcPr>
                <w:tcW w:w="1275" w:type="dxa"/>
                <w:shd w:val="clear" w:color="auto" w:fill="auto"/>
                <w:vAlign w:val="center"/>
              </w:tcPr>
              <w:p>
                <w:pPr>
                  <w:jc w:val="right"/>
                  <w:rPr>
                    <w:rFonts w:ascii="宋体" w:hAnsi="宋体" w:cs="宋体"/>
                    <w:color w:val="000000"/>
                  </w:rPr>
                </w:pPr>
                <w:r>
                  <w:rPr>
                    <w:rFonts w:ascii="宋体" w:hAnsi="宋体"/>
                  </w:rPr>
                  <w:t>371,682</w:t>
                </w:r>
              </w:p>
            </w:tc>
            <w:tc>
              <w:tcPr>
                <w:tcW w:w="1560" w:type="dxa"/>
                <w:shd w:val="clear" w:color="auto" w:fill="auto"/>
                <w:vAlign w:val="center"/>
              </w:tcPr>
              <w:p>
                <w:pPr>
                  <w:jc w:val="right"/>
                  <w:rPr>
                    <w:rFonts w:ascii="宋体" w:hAnsi="宋体" w:cs="宋体"/>
                    <w:color w:val="000000"/>
                  </w:rPr>
                </w:pPr>
                <w:r>
                  <w:rPr>
                    <w:rFonts w:ascii="宋体" w:hAnsi="宋体"/>
                  </w:rPr>
                  <w:t>417,354</w:t>
                </w:r>
              </w:p>
            </w:tc>
            <w:tc>
              <w:tcPr>
                <w:tcW w:w="855" w:type="dxa"/>
                <w:shd w:val="clear" w:color="auto" w:fill="auto"/>
                <w:noWrap/>
                <w:vAlign w:val="center"/>
              </w:tcPr>
              <w:p>
                <w:pPr>
                  <w:jc w:val="right"/>
                  <w:rPr>
                    <w:rFonts w:ascii="宋体" w:hAnsi="宋体" w:cs="宋体"/>
                    <w:color w:val="000000"/>
                  </w:rPr>
                </w:pPr>
                <w:r>
                  <w:rPr>
                    <w:rFonts w:ascii="宋体" w:hAnsi="宋体" w:cs="宋体" w:hint="eastAsia"/>
                  </w:rPr>
                  <w:t>注2</w:t>
                </w: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联营企业</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山能财司利息收入</w:t>
                </w:r>
              </w:p>
            </w:tc>
            <w:tc>
              <w:tcPr>
                <w:tcW w:w="1275" w:type="dxa"/>
                <w:shd w:val="clear" w:color="auto" w:fill="auto"/>
                <w:vAlign w:val="center"/>
              </w:tcPr>
              <w:p>
                <w:pPr>
                  <w:jc w:val="right"/>
                  <w:rPr>
                    <w:rFonts w:ascii="宋体" w:hAnsi="宋体" w:cs="宋体"/>
                    <w:color w:val="000000"/>
                  </w:rPr>
                </w:pPr>
                <w:r>
                  <w:rPr>
                    <w:rFonts w:ascii="宋体" w:hAnsi="宋体"/>
                  </w:rPr>
                  <w:t>18,966</w:t>
                </w:r>
              </w:p>
            </w:tc>
            <w:tc>
              <w:tcPr>
                <w:tcW w:w="1560" w:type="dxa"/>
                <w:shd w:val="clear" w:color="auto" w:fill="auto"/>
                <w:vAlign w:val="center"/>
              </w:tcPr>
              <w:p>
                <w:pPr>
                  <w:jc w:val="right"/>
                  <w:rPr>
                    <w:rFonts w:ascii="宋体" w:hAnsi="宋体" w:cs="宋体"/>
                    <w:color w:val="000000"/>
                  </w:rPr>
                </w:pPr>
                <w:r>
                  <w:rPr>
                    <w:rFonts w:ascii="宋体" w:hAnsi="宋体"/>
                  </w:rPr>
                  <w:t>25,755</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其他关联方</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山能财司利息收入</w:t>
                </w:r>
              </w:p>
            </w:tc>
            <w:tc>
              <w:tcPr>
                <w:tcW w:w="1275" w:type="dxa"/>
                <w:shd w:val="clear" w:color="auto" w:fill="auto"/>
                <w:vAlign w:val="center"/>
              </w:tcPr>
              <w:p>
                <w:pPr>
                  <w:jc w:val="right"/>
                  <w:rPr>
                    <w:rFonts w:ascii="宋体" w:hAnsi="宋体" w:cs="宋体"/>
                    <w:color w:val="000000"/>
                  </w:rPr>
                </w:pPr>
              </w:p>
            </w:tc>
            <w:tc>
              <w:tcPr>
                <w:tcW w:w="1560" w:type="dxa"/>
                <w:shd w:val="clear" w:color="auto" w:fill="auto"/>
                <w:vAlign w:val="center"/>
              </w:tcPr>
              <w:p>
                <w:pPr>
                  <w:jc w:val="right"/>
                  <w:rPr>
                    <w:rFonts w:ascii="宋体" w:hAnsi="宋体" w:cs="宋体"/>
                    <w:color w:val="000000"/>
                  </w:rPr>
                </w:pPr>
                <w:r>
                  <w:rPr>
                    <w:rFonts w:ascii="宋体" w:hAnsi="宋体"/>
                  </w:rPr>
                  <w:t>4,035</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lang w:val="en-GB"/>
                  </w:rPr>
                  <w:t>山能财司手续费收入</w:t>
                </w:r>
              </w:p>
            </w:tc>
            <w:tc>
              <w:tcPr>
                <w:tcW w:w="1275" w:type="dxa"/>
                <w:shd w:val="clear" w:color="auto" w:fill="auto"/>
                <w:vAlign w:val="center"/>
              </w:tcPr>
              <w:p>
                <w:pPr>
                  <w:jc w:val="right"/>
                  <w:rPr>
                    <w:rFonts w:ascii="宋体" w:hAnsi="宋体"/>
                  </w:rPr>
                </w:pPr>
                <w:r>
                  <w:rPr>
                    <w:rFonts w:ascii="宋体" w:hAnsi="宋体" w:hint="eastAsia"/>
                  </w:rPr>
                  <w:t>1</w:t>
                </w:r>
                <w:r>
                  <w:rPr>
                    <w:rFonts w:ascii="宋体" w:hAnsi="宋体"/>
                  </w:rPr>
                  <w:t>,</w:t>
                </w:r>
                <w:r>
                  <w:rPr>
                    <w:rFonts w:ascii="宋体" w:hAnsi="宋体" w:hint="eastAsia"/>
                  </w:rPr>
                  <w:t>682</w:t>
                </w:r>
              </w:p>
            </w:tc>
            <w:tc>
              <w:tcPr>
                <w:tcW w:w="1560" w:type="dxa"/>
                <w:shd w:val="clear" w:color="auto" w:fill="auto"/>
                <w:vAlign w:val="center"/>
              </w:tcPr>
              <w:p>
                <w:pPr>
                  <w:jc w:val="right"/>
                  <w:rPr>
                    <w:rFonts w:ascii="宋体" w:hAnsi="宋体" w:cs="宋体"/>
                    <w:color w:val="000000"/>
                  </w:rPr>
                </w:pPr>
                <w:r>
                  <w:rPr>
                    <w:rFonts w:ascii="宋体" w:hAnsi="宋体"/>
                  </w:rPr>
                  <w:t>1,372</w:t>
                </w:r>
              </w:p>
            </w:tc>
            <w:tc>
              <w:tcPr>
                <w:tcW w:w="855" w:type="dxa"/>
                <w:shd w:val="clear" w:color="auto" w:fill="auto"/>
                <w:noWrap/>
                <w:vAlign w:val="center"/>
              </w:tcPr>
              <w:p>
                <w:pPr>
                  <w:jc w:val="right"/>
                  <w:rPr>
                    <w:rFonts w:ascii="宋体" w:hAnsi="宋体" w:cs="宋体"/>
                    <w:color w:val="000000"/>
                  </w:rPr>
                </w:pPr>
                <w:r>
                  <w:rPr>
                    <w:rFonts w:ascii="宋体" w:hAnsi="宋体" w:cs="宋体" w:hint="eastAsia"/>
                  </w:rPr>
                  <w:t>注3</w:t>
                </w: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联营企业</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山能财司手续费收入</w:t>
                </w:r>
              </w:p>
            </w:tc>
            <w:tc>
              <w:tcPr>
                <w:tcW w:w="1275" w:type="dxa"/>
                <w:shd w:val="clear" w:color="auto" w:fill="auto"/>
                <w:vAlign w:val="center"/>
              </w:tcPr>
              <w:p>
                <w:pPr>
                  <w:jc w:val="right"/>
                  <w:rPr>
                    <w:rFonts w:ascii="宋体" w:hAnsi="宋体" w:cs="宋体"/>
                    <w:color w:val="000000"/>
                  </w:rPr>
                </w:pPr>
              </w:p>
            </w:tc>
            <w:tc>
              <w:tcPr>
                <w:tcW w:w="1560" w:type="dxa"/>
                <w:shd w:val="clear" w:color="auto" w:fill="auto"/>
                <w:vAlign w:val="center"/>
              </w:tcPr>
              <w:p>
                <w:pPr>
                  <w:jc w:val="right"/>
                  <w:rPr>
                    <w:rFonts w:ascii="宋体" w:hAnsi="宋体" w:cs="宋体"/>
                    <w:color w:val="000000"/>
                  </w:rPr>
                </w:pPr>
                <w:r>
                  <w:rPr>
                    <w:rFonts w:ascii="宋体" w:hAnsi="宋体"/>
                  </w:rPr>
                  <w:t>67</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山能财司利息支出</w:t>
                </w:r>
              </w:p>
            </w:tc>
            <w:tc>
              <w:tcPr>
                <w:tcW w:w="1275" w:type="dxa"/>
                <w:shd w:val="clear" w:color="auto" w:fill="auto"/>
                <w:vAlign w:val="center"/>
              </w:tcPr>
              <w:p>
                <w:pPr>
                  <w:jc w:val="right"/>
                  <w:rPr>
                    <w:rFonts w:ascii="宋体" w:hAnsi="宋体" w:cs="宋体"/>
                    <w:color w:val="000000"/>
                  </w:rPr>
                </w:pPr>
                <w:r>
                  <w:rPr>
                    <w:rFonts w:ascii="宋体" w:hAnsi="宋体"/>
                  </w:rPr>
                  <w:t>339,909</w:t>
                </w:r>
              </w:p>
            </w:tc>
            <w:tc>
              <w:tcPr>
                <w:tcW w:w="1560" w:type="dxa"/>
                <w:shd w:val="clear" w:color="auto" w:fill="auto"/>
                <w:vAlign w:val="center"/>
              </w:tcPr>
              <w:p>
                <w:pPr>
                  <w:jc w:val="right"/>
                  <w:rPr>
                    <w:rFonts w:ascii="宋体" w:hAnsi="宋体" w:cs="宋体"/>
                    <w:color w:val="000000"/>
                  </w:rPr>
                </w:pPr>
                <w:r>
                  <w:rPr>
                    <w:rFonts w:ascii="宋体" w:hAnsi="宋体"/>
                  </w:rPr>
                  <w:t>295,578</w:t>
                </w:r>
              </w:p>
            </w:tc>
            <w:tc>
              <w:tcPr>
                <w:tcW w:w="855" w:type="dxa"/>
                <w:shd w:val="clear" w:color="auto" w:fill="auto"/>
                <w:noWrap/>
                <w:vAlign w:val="center"/>
              </w:tcPr>
              <w:p>
                <w:pPr>
                  <w:jc w:val="right"/>
                  <w:rPr>
                    <w:rFonts w:ascii="宋体" w:hAnsi="宋体" w:cs="宋体"/>
                    <w:color w:val="000000"/>
                  </w:rPr>
                </w:pPr>
                <w:r>
                  <w:rPr>
                    <w:rFonts w:ascii="宋体" w:hAnsi="宋体" w:cs="宋体" w:hint="eastAsia"/>
                  </w:rPr>
                  <w:t>注4</w:t>
                </w: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其他关联方</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山能财司利息支出</w:t>
                </w:r>
              </w:p>
            </w:tc>
            <w:tc>
              <w:tcPr>
                <w:tcW w:w="1275" w:type="dxa"/>
                <w:shd w:val="clear" w:color="auto" w:fill="auto"/>
                <w:vAlign w:val="center"/>
              </w:tcPr>
              <w:p>
                <w:pPr>
                  <w:jc w:val="right"/>
                  <w:rPr>
                    <w:rFonts w:ascii="宋体" w:hAnsi="宋体" w:cs="宋体"/>
                    <w:color w:val="000000"/>
                  </w:rPr>
                </w:pPr>
                <w:r>
                  <w:rPr>
                    <w:rFonts w:ascii="宋体" w:hAnsi="宋体"/>
                  </w:rPr>
                  <w:t>16,821</w:t>
                </w:r>
              </w:p>
            </w:tc>
            <w:tc>
              <w:tcPr>
                <w:tcW w:w="1560" w:type="dxa"/>
                <w:shd w:val="clear" w:color="auto" w:fill="auto"/>
                <w:vAlign w:val="center"/>
              </w:tcPr>
              <w:p>
                <w:pPr>
                  <w:jc w:val="right"/>
                  <w:rPr>
                    <w:rFonts w:ascii="宋体" w:hAnsi="宋体" w:cs="宋体"/>
                    <w:color w:val="000000"/>
                  </w:rPr>
                </w:pPr>
                <w:r>
                  <w:rPr>
                    <w:rFonts w:ascii="宋体" w:hAnsi="宋体"/>
                  </w:rPr>
                  <w:t>1</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联营企业</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山能财司利息支出</w:t>
                </w:r>
              </w:p>
            </w:tc>
            <w:tc>
              <w:tcPr>
                <w:tcW w:w="1275" w:type="dxa"/>
                <w:shd w:val="clear" w:color="auto" w:fill="auto"/>
                <w:vAlign w:val="center"/>
              </w:tcPr>
              <w:p>
                <w:pPr>
                  <w:jc w:val="right"/>
                  <w:rPr>
                    <w:rFonts w:ascii="宋体" w:hAnsi="宋体" w:cs="宋体"/>
                    <w:color w:val="000000"/>
                  </w:rPr>
                </w:pPr>
                <w:r>
                  <w:rPr>
                    <w:rFonts w:ascii="宋体" w:hAnsi="宋体" w:cs="宋体" w:hint="eastAsia"/>
                  </w:rPr>
                  <w:t>18</w:t>
                </w:r>
              </w:p>
            </w:tc>
            <w:tc>
              <w:tcPr>
                <w:tcW w:w="1560" w:type="dxa"/>
                <w:shd w:val="clear" w:color="auto" w:fill="auto"/>
                <w:vAlign w:val="center"/>
              </w:tcPr>
              <w:p>
                <w:pPr>
                  <w:jc w:val="right"/>
                  <w:rPr>
                    <w:rFonts w:ascii="宋体" w:hAnsi="宋体" w:cs="宋体"/>
                    <w:color w:val="000000"/>
                  </w:rPr>
                </w:pPr>
                <w:r>
                  <w:rPr>
                    <w:rFonts w:ascii="宋体" w:hAnsi="宋体"/>
                  </w:rPr>
                  <w:t>20</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jc w:val="both"/>
                  <w:rPr>
                    <w:rFonts w:ascii="宋体" w:hAnsi="宋体" w:cs="宋体"/>
                    <w:color w:val="000000"/>
                  </w:rPr>
                </w:pPr>
                <w:r>
                  <w:rPr>
                    <w:rFonts w:hint="eastAsia"/>
                  </w:rPr>
                  <w:t>山能财司发放贷款（含贴现）</w:t>
                </w:r>
              </w:p>
            </w:tc>
            <w:tc>
              <w:tcPr>
                <w:tcW w:w="1275" w:type="dxa"/>
                <w:shd w:val="clear" w:color="auto" w:fill="auto"/>
                <w:vAlign w:val="center"/>
              </w:tcPr>
              <w:p>
                <w:pPr>
                  <w:jc w:val="right"/>
                  <w:rPr>
                    <w:rFonts w:ascii="宋体" w:hAnsi="宋体" w:cs="宋体"/>
                    <w:color w:val="000000"/>
                  </w:rPr>
                </w:pPr>
                <w:r>
                  <w:rPr>
                    <w:rFonts w:ascii="宋体" w:hAnsi="宋体" w:cs="宋体" w:hint="eastAsia"/>
                    <w:kern w:val="2"/>
                    <w:lang w:bidi="ar"/>
                  </w:rPr>
                  <w:t>14,271,800</w:t>
                </w:r>
              </w:p>
            </w:tc>
            <w:tc>
              <w:tcPr>
                <w:tcW w:w="1560" w:type="dxa"/>
                <w:shd w:val="clear" w:color="auto" w:fill="auto"/>
                <w:vAlign w:val="center"/>
              </w:tcPr>
              <w:p>
                <w:pPr>
                  <w:jc w:val="right"/>
                  <w:rPr>
                    <w:rFonts w:ascii="宋体" w:hAnsi="宋体" w:cs="宋体"/>
                    <w:color w:val="000000"/>
                  </w:rPr>
                </w:pPr>
                <w:r>
                  <w:rPr>
                    <w:rFonts w:ascii="宋体" w:hAnsi="宋体"/>
                  </w:rPr>
                  <w:t>13,750,950</w:t>
                </w:r>
              </w:p>
            </w:tc>
            <w:tc>
              <w:tcPr>
                <w:tcW w:w="855" w:type="dxa"/>
                <w:shd w:val="clear" w:color="auto" w:fill="auto"/>
                <w:noWrap/>
                <w:vAlign w:val="center"/>
              </w:tcPr>
              <w:p>
                <w:pPr>
                  <w:jc w:val="right"/>
                  <w:rPr>
                    <w:rFonts w:ascii="宋体" w:hAnsi="宋体" w:cs="宋体"/>
                    <w:color w:val="000000"/>
                  </w:rPr>
                </w:pPr>
                <w:r>
                  <w:rPr>
                    <w:rFonts w:ascii="宋体" w:hAnsi="宋体" w:cs="宋体" w:hint="eastAsia"/>
                  </w:rPr>
                  <w:t>注5</w:t>
                </w: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联营企业</w:t>
                </w:r>
              </w:p>
            </w:tc>
            <w:tc>
              <w:tcPr>
                <w:tcW w:w="3013" w:type="dxa"/>
                <w:shd w:val="clear" w:color="auto" w:fill="auto"/>
                <w:noWrap/>
                <w:vAlign w:val="center"/>
              </w:tcPr>
              <w:p>
                <w:pPr>
                  <w:jc w:val="both"/>
                  <w:rPr>
                    <w:rFonts w:ascii="宋体" w:hAnsi="宋体" w:cs="宋体"/>
                    <w:color w:val="000000"/>
                  </w:rPr>
                </w:pPr>
                <w:r>
                  <w:rPr>
                    <w:rFonts w:hint="eastAsia"/>
                  </w:rPr>
                  <w:t>山能财司发放贷款（含贴现）</w:t>
                </w:r>
              </w:p>
            </w:tc>
            <w:tc>
              <w:tcPr>
                <w:tcW w:w="1275" w:type="dxa"/>
                <w:shd w:val="clear" w:color="auto" w:fill="auto"/>
                <w:vAlign w:val="center"/>
              </w:tcPr>
              <w:p>
                <w:pPr>
                  <w:jc w:val="right"/>
                  <w:rPr>
                    <w:rFonts w:ascii="宋体" w:hAnsi="宋体" w:cs="宋体"/>
                    <w:color w:val="000000"/>
                  </w:rPr>
                </w:pPr>
                <w:r>
                  <w:rPr>
                    <w:rFonts w:ascii="宋体" w:hAnsi="宋体" w:cs="宋体" w:hint="eastAsia"/>
                    <w:kern w:val="2"/>
                    <w:lang w:bidi="ar"/>
                  </w:rPr>
                  <w:t>168,000</w:t>
                </w:r>
              </w:p>
            </w:tc>
            <w:tc>
              <w:tcPr>
                <w:tcW w:w="1560" w:type="dxa"/>
                <w:shd w:val="clear" w:color="auto" w:fill="auto"/>
                <w:vAlign w:val="center"/>
              </w:tcPr>
              <w:p>
                <w:pPr>
                  <w:jc w:val="right"/>
                  <w:rPr>
                    <w:rFonts w:ascii="宋体" w:hAnsi="宋体" w:cs="宋体"/>
                    <w:color w:val="000000"/>
                  </w:rPr>
                </w:pPr>
                <w:r>
                  <w:rPr>
                    <w:rFonts w:ascii="宋体" w:hAnsi="宋体"/>
                  </w:rPr>
                  <w:t>818,000</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其他关联方</w:t>
                </w:r>
              </w:p>
            </w:tc>
            <w:tc>
              <w:tcPr>
                <w:tcW w:w="3013" w:type="dxa"/>
                <w:shd w:val="clear" w:color="auto" w:fill="auto"/>
                <w:noWrap/>
                <w:vAlign w:val="center"/>
              </w:tcPr>
              <w:p>
                <w:pPr>
                  <w:jc w:val="both"/>
                  <w:rPr>
                    <w:rFonts w:ascii="宋体" w:hAnsi="宋体" w:cs="宋体"/>
                    <w:color w:val="000000"/>
                  </w:rPr>
                </w:pPr>
                <w:r>
                  <w:rPr>
                    <w:rFonts w:hint="eastAsia"/>
                  </w:rPr>
                  <w:t>山能财司发放贷款（含贴现）</w:t>
                </w:r>
              </w:p>
            </w:tc>
            <w:tc>
              <w:tcPr>
                <w:tcW w:w="1275" w:type="dxa"/>
                <w:shd w:val="clear" w:color="auto" w:fill="auto"/>
                <w:vAlign w:val="center"/>
              </w:tcPr>
              <w:p>
                <w:pPr>
                  <w:jc w:val="right"/>
                  <w:rPr>
                    <w:rFonts w:ascii="宋体" w:hAnsi="宋体" w:cs="宋体"/>
                    <w:color w:val="000000"/>
                  </w:rPr>
                </w:pPr>
              </w:p>
            </w:tc>
            <w:tc>
              <w:tcPr>
                <w:tcW w:w="1560" w:type="dxa"/>
                <w:shd w:val="clear" w:color="auto" w:fill="auto"/>
                <w:vAlign w:val="center"/>
              </w:tcPr>
              <w:p>
                <w:pPr>
                  <w:jc w:val="right"/>
                  <w:rPr>
                    <w:rFonts w:ascii="宋体" w:hAnsi="宋体" w:cs="宋体"/>
                    <w:color w:val="000000"/>
                  </w:rPr>
                </w:pPr>
                <w:r>
                  <w:rPr>
                    <w:rFonts w:ascii="宋体" w:hAnsi="宋体"/>
                  </w:rPr>
                  <w:t>200,000</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jc w:val="both"/>
                </w:pPr>
                <w:r>
                  <w:rPr>
                    <w:rFonts w:hint="eastAsia"/>
                  </w:rPr>
                  <w:t>山能财司收回贷款（含贴现）</w:t>
                </w:r>
              </w:p>
            </w:tc>
            <w:tc>
              <w:tcPr>
                <w:tcW w:w="1275" w:type="dxa"/>
                <w:shd w:val="clear" w:color="auto" w:fill="auto"/>
                <w:vAlign w:val="center"/>
              </w:tcPr>
              <w:p>
                <w:pPr>
                  <w:jc w:val="right"/>
                  <w:rPr>
                    <w:rFonts w:ascii="宋体" w:hAnsi="宋体" w:cs="宋体"/>
                    <w:color w:val="000000"/>
                  </w:rPr>
                </w:pPr>
                <w:r>
                  <w:rPr>
                    <w:rFonts w:ascii="宋体" w:hAnsi="宋体" w:cs="宋体"/>
                    <w:lang w:bidi="ar"/>
                  </w:rPr>
                  <w:t>14,390,750</w:t>
                </w:r>
              </w:p>
            </w:tc>
            <w:tc>
              <w:tcPr>
                <w:tcW w:w="1560" w:type="dxa"/>
                <w:shd w:val="clear" w:color="auto" w:fill="auto"/>
                <w:vAlign w:val="center"/>
              </w:tcPr>
              <w:p>
                <w:pPr>
                  <w:jc w:val="right"/>
                  <w:rPr>
                    <w:rFonts w:ascii="宋体" w:hAnsi="宋体" w:cs="宋体"/>
                    <w:color w:val="000000"/>
                  </w:rPr>
                </w:pPr>
                <w:r>
                  <w:rPr>
                    <w:rFonts w:ascii="宋体" w:hAnsi="宋体"/>
                  </w:rPr>
                  <w:t>13,850,000</w:t>
                </w:r>
              </w:p>
            </w:tc>
            <w:tc>
              <w:tcPr>
                <w:tcW w:w="855" w:type="dxa"/>
                <w:shd w:val="clear" w:color="auto" w:fill="auto"/>
                <w:noWrap/>
                <w:vAlign w:val="center"/>
              </w:tcPr>
              <w:p>
                <w:pPr>
                  <w:jc w:val="right"/>
                  <w:rPr>
                    <w:rFonts w:ascii="宋体" w:hAnsi="宋体" w:cs="宋体"/>
                    <w:color w:val="000000"/>
                  </w:rPr>
                </w:pPr>
                <w:r>
                  <w:rPr>
                    <w:rFonts w:ascii="宋体" w:hAnsi="宋体" w:cs="宋体" w:hint="eastAsia"/>
                  </w:rPr>
                  <w:t>注6</w:t>
                </w: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联营企业</w:t>
                </w:r>
              </w:p>
            </w:tc>
            <w:tc>
              <w:tcPr>
                <w:tcW w:w="3013" w:type="dxa"/>
                <w:shd w:val="clear" w:color="auto" w:fill="auto"/>
                <w:noWrap/>
                <w:vAlign w:val="center"/>
              </w:tcPr>
              <w:p>
                <w:pPr>
                  <w:jc w:val="both"/>
                </w:pPr>
                <w:r>
                  <w:rPr>
                    <w:rFonts w:hint="eastAsia"/>
                  </w:rPr>
                  <w:t>山能财司收回贷款（含贴现）</w:t>
                </w:r>
              </w:p>
            </w:tc>
            <w:tc>
              <w:tcPr>
                <w:tcW w:w="1275" w:type="dxa"/>
                <w:shd w:val="clear" w:color="auto" w:fill="auto"/>
                <w:vAlign w:val="center"/>
              </w:tcPr>
              <w:p>
                <w:pPr>
                  <w:jc w:val="right"/>
                  <w:rPr>
                    <w:rFonts w:ascii="宋体" w:hAnsi="宋体" w:cs="宋体"/>
                    <w:color w:val="000000"/>
                  </w:rPr>
                </w:pPr>
                <w:r>
                  <w:rPr>
                    <w:rFonts w:ascii="宋体" w:hAnsi="宋体" w:cs="宋体"/>
                    <w:lang w:bidi="ar"/>
                  </w:rPr>
                  <w:t>818,000</w:t>
                </w:r>
              </w:p>
            </w:tc>
            <w:tc>
              <w:tcPr>
                <w:tcW w:w="1560" w:type="dxa"/>
                <w:shd w:val="clear" w:color="auto" w:fill="auto"/>
                <w:vAlign w:val="center"/>
              </w:tcPr>
              <w:p>
                <w:pPr>
                  <w:jc w:val="right"/>
                  <w:rPr>
                    <w:rFonts w:ascii="宋体" w:hAnsi="宋体" w:cs="宋体"/>
                    <w:color w:val="000000"/>
                  </w:rPr>
                </w:pPr>
                <w:r>
                  <w:rPr>
                    <w:rFonts w:ascii="宋体" w:hAnsi="宋体"/>
                  </w:rPr>
                  <w:t>500,000</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其他关联方</w:t>
                </w:r>
              </w:p>
            </w:tc>
            <w:tc>
              <w:tcPr>
                <w:tcW w:w="3013" w:type="dxa"/>
                <w:shd w:val="clear" w:color="auto" w:fill="auto"/>
                <w:noWrap/>
                <w:vAlign w:val="center"/>
              </w:tcPr>
              <w:p>
                <w:pPr>
                  <w:jc w:val="both"/>
                </w:pPr>
                <w:r>
                  <w:rPr>
                    <w:rFonts w:hint="eastAsia"/>
                  </w:rPr>
                  <w:t>山能财司收回贷款（含贴现）</w:t>
                </w:r>
              </w:p>
            </w:tc>
            <w:tc>
              <w:tcPr>
                <w:tcW w:w="1275" w:type="dxa"/>
                <w:shd w:val="clear" w:color="auto" w:fill="auto"/>
                <w:vAlign w:val="center"/>
              </w:tcPr>
              <w:p>
                <w:pPr>
                  <w:jc w:val="right"/>
                  <w:rPr>
                    <w:rFonts w:ascii="宋体" w:hAnsi="宋体" w:cs="宋体"/>
                    <w:color w:val="000000"/>
                  </w:rPr>
                </w:pPr>
              </w:p>
            </w:tc>
            <w:tc>
              <w:tcPr>
                <w:tcW w:w="1560" w:type="dxa"/>
                <w:shd w:val="clear" w:color="auto" w:fill="auto"/>
                <w:vAlign w:val="center"/>
              </w:tcPr>
              <w:p>
                <w:pPr>
                  <w:jc w:val="right"/>
                  <w:rPr>
                    <w:rFonts w:ascii="宋体" w:hAnsi="宋体" w:cs="宋体"/>
                    <w:color w:val="000000"/>
                  </w:rPr>
                </w:pPr>
                <w:r>
                  <w:rPr>
                    <w:rFonts w:ascii="宋体" w:hAnsi="宋体"/>
                  </w:rPr>
                  <w:t>350,000</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控股股东及其控制的公司</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山能财司收到存款净额</w:t>
                </w:r>
              </w:p>
            </w:tc>
            <w:tc>
              <w:tcPr>
                <w:tcW w:w="1275" w:type="dxa"/>
                <w:shd w:val="clear" w:color="auto" w:fill="auto"/>
                <w:vAlign w:val="center"/>
              </w:tcPr>
              <w:p>
                <w:pPr>
                  <w:jc w:val="right"/>
                  <w:rPr>
                    <w:rFonts w:ascii="宋体" w:hAnsi="宋体" w:cs="宋体"/>
                    <w:color w:val="000000"/>
                  </w:rPr>
                </w:pPr>
                <w:r>
                  <w:rPr>
                    <w:rFonts w:ascii="宋体" w:hAnsi="宋体" w:cs="宋体" w:hint="eastAsia"/>
                    <w:kern w:val="2"/>
                    <w:lang w:bidi="ar"/>
                  </w:rPr>
                  <w:t>2,196,604</w:t>
                </w:r>
              </w:p>
            </w:tc>
            <w:tc>
              <w:tcPr>
                <w:tcW w:w="1560" w:type="dxa"/>
                <w:shd w:val="clear" w:color="auto" w:fill="auto"/>
                <w:vAlign w:val="center"/>
              </w:tcPr>
              <w:p>
                <w:pPr>
                  <w:jc w:val="right"/>
                  <w:rPr>
                    <w:rFonts w:ascii="宋体" w:hAnsi="宋体" w:cs="宋体"/>
                    <w:color w:val="000000"/>
                  </w:rPr>
                </w:pPr>
                <w:r>
                  <w:rPr>
                    <w:rFonts w:ascii="宋体" w:hAnsi="宋体"/>
                  </w:rPr>
                  <w:t>-2,644,121</w:t>
                </w:r>
              </w:p>
            </w:tc>
            <w:tc>
              <w:tcPr>
                <w:tcW w:w="855" w:type="dxa"/>
                <w:shd w:val="clear" w:color="auto" w:fill="auto"/>
                <w:noWrap/>
                <w:vAlign w:val="center"/>
              </w:tcPr>
              <w:p>
                <w:pPr>
                  <w:jc w:val="right"/>
                  <w:rPr>
                    <w:rFonts w:ascii="宋体" w:hAnsi="宋体" w:cs="宋体"/>
                    <w:color w:val="000000"/>
                  </w:rPr>
                </w:pPr>
                <w:r>
                  <w:rPr>
                    <w:rFonts w:ascii="宋体" w:hAnsi="宋体" w:cs="宋体" w:hint="eastAsia"/>
                  </w:rPr>
                  <w:t>注7</w:t>
                </w: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其他关联方</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山能财司收到存款净额</w:t>
                </w:r>
              </w:p>
            </w:tc>
            <w:tc>
              <w:tcPr>
                <w:tcW w:w="1275" w:type="dxa"/>
                <w:shd w:val="clear" w:color="auto" w:fill="auto"/>
                <w:vAlign w:val="center"/>
              </w:tcPr>
              <w:p>
                <w:pPr>
                  <w:jc w:val="right"/>
                  <w:rPr>
                    <w:rFonts w:ascii="宋体" w:hAnsi="宋体" w:cs="宋体"/>
                    <w:color w:val="000000"/>
                  </w:rPr>
                </w:pPr>
                <w:r>
                  <w:rPr>
                    <w:rFonts w:ascii="宋体" w:hAnsi="宋体" w:cs="宋体" w:hint="eastAsia"/>
                    <w:kern w:val="2"/>
                    <w:lang w:bidi="ar"/>
                  </w:rPr>
                  <w:t>80,446</w:t>
                </w:r>
              </w:p>
            </w:tc>
            <w:tc>
              <w:tcPr>
                <w:tcW w:w="1560" w:type="dxa"/>
                <w:shd w:val="clear" w:color="auto" w:fill="auto"/>
                <w:vAlign w:val="center"/>
              </w:tcPr>
              <w:p>
                <w:pPr>
                  <w:jc w:val="right"/>
                  <w:rPr>
                    <w:rFonts w:ascii="宋体" w:hAnsi="宋体" w:cs="宋体"/>
                    <w:color w:val="000000"/>
                  </w:rPr>
                </w:pPr>
                <w:r>
                  <w:rPr>
                    <w:rFonts w:ascii="宋体" w:hAnsi="宋体"/>
                  </w:rPr>
                  <w:t>-25</w:t>
                </w:r>
              </w:p>
            </w:tc>
            <w:tc>
              <w:tcPr>
                <w:tcW w:w="855" w:type="dxa"/>
                <w:shd w:val="clear" w:color="auto" w:fill="auto"/>
                <w:noWrap/>
                <w:vAlign w:val="center"/>
              </w:tcPr>
              <w:p>
                <w:pPr>
                  <w:jc w:val="right"/>
                  <w:rPr>
                    <w:rFonts w:ascii="宋体" w:hAnsi="宋体" w:cs="宋体"/>
                    <w:color w:val="000000"/>
                  </w:rPr>
                </w:pPr>
              </w:p>
            </w:tc>
          </w:tr>
          <w:tr>
            <w:trPr>
              <w:trHeight w:val="397"/>
              <w:jc w:val="center"/>
            </w:trPr>
            <w:tc>
              <w:tcPr>
                <w:tcW w:w="2511" w:type="dxa"/>
                <w:shd w:val="clear" w:color="auto" w:fill="auto"/>
                <w:noWrap/>
                <w:vAlign w:val="center"/>
              </w:tcPr>
              <w:p>
                <w:pPr>
                  <w:rPr>
                    <w:rFonts w:ascii="宋体" w:hAnsi="宋体" w:cs="宋体"/>
                    <w:color w:val="000000"/>
                  </w:rPr>
                </w:pPr>
                <w:r>
                  <w:rPr>
                    <w:rFonts w:ascii="宋体" w:hAnsi="宋体" w:cs="宋体" w:hint="eastAsia"/>
                    <w:color w:val="000000"/>
                  </w:rPr>
                  <w:t>联营企业</w:t>
                </w:r>
              </w:p>
            </w:tc>
            <w:tc>
              <w:tcPr>
                <w:tcW w:w="3013" w:type="dxa"/>
                <w:shd w:val="clear" w:color="auto" w:fill="auto"/>
                <w:noWrap/>
                <w:vAlign w:val="center"/>
              </w:tcPr>
              <w:p>
                <w:pPr>
                  <w:rPr>
                    <w:rFonts w:ascii="宋体" w:hAnsi="宋体" w:cs="宋体"/>
                    <w:color w:val="000000"/>
                  </w:rPr>
                </w:pPr>
                <w:r>
                  <w:rPr>
                    <w:rFonts w:ascii="宋体" w:hAnsi="宋体" w:cs="宋体" w:hint="eastAsia"/>
                    <w:color w:val="000000"/>
                  </w:rPr>
                  <w:t>山能财司收到存款净额</w:t>
                </w:r>
              </w:p>
            </w:tc>
            <w:tc>
              <w:tcPr>
                <w:tcW w:w="1275" w:type="dxa"/>
                <w:shd w:val="clear" w:color="auto" w:fill="auto"/>
                <w:vAlign w:val="center"/>
              </w:tcPr>
              <w:p>
                <w:pPr>
                  <w:jc w:val="right"/>
                  <w:rPr>
                    <w:rFonts w:ascii="宋体" w:hAnsi="宋体" w:cs="宋体"/>
                    <w:color w:val="000000"/>
                  </w:rPr>
                </w:pPr>
                <w:r>
                  <w:rPr>
                    <w:rFonts w:ascii="宋体" w:hAnsi="宋体" w:cs="宋体" w:hint="eastAsia"/>
                    <w:kern w:val="2"/>
                    <w:lang w:bidi="ar"/>
                  </w:rPr>
                  <w:t>57</w:t>
                </w:r>
              </w:p>
            </w:tc>
            <w:tc>
              <w:tcPr>
                <w:tcW w:w="1560" w:type="dxa"/>
                <w:shd w:val="clear" w:color="auto" w:fill="auto"/>
                <w:vAlign w:val="center"/>
              </w:tcPr>
              <w:p>
                <w:pPr>
                  <w:jc w:val="right"/>
                  <w:rPr>
                    <w:rFonts w:ascii="宋体" w:hAnsi="宋体" w:cs="宋体"/>
                    <w:color w:val="000000"/>
                  </w:rPr>
                </w:pPr>
                <w:r>
                  <w:rPr>
                    <w:rFonts w:ascii="宋体" w:hAnsi="宋体"/>
                  </w:rPr>
                  <w:t>20</w:t>
                </w:r>
              </w:p>
            </w:tc>
            <w:tc>
              <w:tcPr>
                <w:tcW w:w="855" w:type="dxa"/>
                <w:shd w:val="clear" w:color="auto" w:fill="auto"/>
                <w:noWrap/>
                <w:vAlign w:val="center"/>
              </w:tcPr>
              <w:p>
                <w:pPr>
                  <w:jc w:val="right"/>
                  <w:rPr>
                    <w:rFonts w:ascii="宋体" w:hAnsi="宋体" w:cs="宋体"/>
                    <w:color w:val="000000"/>
                  </w:rPr>
                </w:pPr>
              </w:p>
            </w:tc>
          </w:tr>
        </w:tbl>
        <w:p>
          <w:pPr>
            <w:autoSpaceDE w:val="0"/>
            <w:autoSpaceDN w:val="0"/>
            <w:adjustRightInd w:val="0"/>
            <w:spacing w:line="360" w:lineRule="exact"/>
            <w:rPr>
              <w:rFonts w:ascii="宋体" w:hAnsi="宋体"/>
            </w:rPr>
          </w:pP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注1：根据本公司与山东能源签订的劳务及服务互供协议，由山东能源下属各部门、单位向本公司提供约定服务并收取相应的费用，交易价格以市场价格、政府定价或双方协议价格确定，2025年获批准的交易上限金额为3,733,000千元。</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注2：</w:t>
          </w:r>
          <w:r>
            <w:rPr>
              <w:rFonts w:ascii="宋体" w:hAnsi="宋体" w:hint="eastAsia"/>
              <w:spacing w:val="-2"/>
            </w:rPr>
            <w:t>山能财司利息收入是指给予关联方贷款所收到的利息收入，适用利率为现行借款利率。</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注3：山能财司手续费收入是指给予关联方提供的担保手续费、保函手续费、承兑手续费和委托贷款手续费等。</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注4：山能财司利息支出是指吸收关联方存款及关联方借款所发生的利息费用。适用利率为现行银行利率。</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lastRenderedPageBreak/>
            <w:t>注5：山能财司发放贷款是指山能财司发放予关联方的贷款及贴现。</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注6：山能财司收回贷款是指关联方向山能财司偿还贷款及贴现。</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注7：山能财司收到存款净额是指山能财司收到（返还）山东能源及其关联方的净存款。</w:t>
          </w:r>
        </w:p>
      </w:sdtContent>
    </w:sdt>
    <w:p>
      <w:pPr>
        <w:pStyle w:val="Style178"/>
        <w:numPr>
          <w:ilvl w:val="0"/>
          <w:numId w:val="126"/>
        </w:numPr>
        <w:rPr>
          <w:szCs w:val="21"/>
        </w:rPr>
      </w:pPr>
      <w:r>
        <w:rPr>
          <w:rFonts w:hint="eastAsia"/>
          <w:szCs w:val="21"/>
        </w:rPr>
        <w:t>应收、应付关联方等未结算项目情况</w:t>
      </w:r>
    </w:p>
    <w:p>
      <w:pPr>
        <w:pStyle w:val="Style179"/>
        <w:numPr>
          <w:ilvl w:val="3"/>
          <w:numId w:val="128"/>
        </w:numPr>
        <w:ind w:left="426" w:hangingChars="202" w:hanging="426"/>
        <w:rPr>
          <w:rFonts w:ascii="宋体" w:hAnsi="宋体" w:cs="Arial"/>
          <w:sz w:val="21"/>
          <w:szCs w:val="21"/>
        </w:rPr>
      </w:pPr>
      <w:r>
        <w:rPr>
          <w:rFonts w:hint="eastAsia"/>
          <w:sz w:val="21"/>
          <w:szCs w:val="21"/>
        </w:rPr>
        <w:t>应收项目</w:t>
      </w:r>
    </w:p>
    <w:sdt>
      <w:sdtPr>
        <w:rPr>
          <w:rFonts w:hint="eastAsia"/>
        </w:rPr>
        <w:alias w:val="是否适用：应收项目[双击切换]"/>
        <w:tag w:val="_GBC_4ae94d538d2e44ae839d59a1751a6d01"/>
        <w:id w:val="-22999963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上市公司应收关联方款项"/>
          <w:tag w:val="_GBC_83968b233566404db428b085bcb695b8"/>
          <w:id w:val="8442815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上市公司应收关联方款项"/>
          <w:tag w:val="_GBC_546206ef37784e9ca5284158e64b95dc"/>
          <w:id w:val="-13014499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552"/>
        <w:gridCol w:w="1276"/>
        <w:gridCol w:w="1134"/>
        <w:gridCol w:w="1275"/>
        <w:gridCol w:w="1276"/>
      </w:tblGrid>
      <w:tr>
        <w:sdt>
          <w:sdtPr>
            <w:tag w:val="_PLD_c0c6dc2d23f94f929199b42c584f57ca"/>
            <w:id w:val="-492565158"/>
          </w:sdtPr>
          <w:sdtContent>
            <w:tc>
              <w:tcPr>
                <w:tcW w:w="2552" w:type="dxa"/>
                <w:vMerge w:val="restart"/>
                <w:tcBorders>
                  <w:top w:val="single" w:sz="4" w:space="0" w:color="auto"/>
                  <w:left w:val="single" w:sz="4" w:space="0" w:color="auto"/>
                  <w:right w:val="single" w:sz="4" w:space="0" w:color="auto"/>
                </w:tcBorders>
                <w:vAlign w:val="center"/>
              </w:tcPr>
              <w:p>
                <w:pPr>
                  <w:jc w:val="center"/>
                </w:pPr>
                <w:r>
                  <w:rPr>
                    <w:rFonts w:hint="eastAsia"/>
                  </w:rPr>
                  <w:t>项目名称</w:t>
                </w:r>
              </w:p>
            </w:tc>
          </w:sdtContent>
        </w:sdt>
        <w:sdt>
          <w:sdtPr>
            <w:tag w:val="_PLD_56aedf077d5c4d3b814d04d193f71af7"/>
            <w:id w:val="-2109888173"/>
          </w:sdtPr>
          <w:sdtContent>
            <w:tc>
              <w:tcPr>
                <w:tcW w:w="2552" w:type="dxa"/>
                <w:vMerge w:val="restart"/>
                <w:tcBorders>
                  <w:top w:val="single" w:sz="4" w:space="0" w:color="auto"/>
                  <w:left w:val="single" w:sz="4" w:space="0" w:color="auto"/>
                  <w:right w:val="single" w:sz="4" w:space="0" w:color="auto"/>
                </w:tcBorders>
                <w:vAlign w:val="center"/>
              </w:tcPr>
              <w:p>
                <w:pPr>
                  <w:jc w:val="center"/>
                </w:pPr>
                <w:r>
                  <w:rPr>
                    <w:rFonts w:hint="eastAsia"/>
                  </w:rPr>
                  <w:t>关联方</w:t>
                </w:r>
              </w:p>
            </w:tc>
          </w:sdtContent>
        </w:sdt>
        <w:sdt>
          <w:sdtPr>
            <w:tag w:val="_PLD_e8867e7b52fb42f4b447e445a20beebc"/>
            <w:id w:val="1112319053"/>
          </w:sdtPr>
          <w:sdtContent>
            <w:tc>
              <w:tcPr>
                <w:tcW w:w="2410"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期末余额</w:t>
                </w:r>
              </w:p>
            </w:tc>
          </w:sdtContent>
        </w:sdt>
        <w:sdt>
          <w:sdtPr>
            <w:tag w:val="_PLD_6a4888e558004037a5faac678bea523c"/>
            <w:id w:val="2040774155"/>
          </w:sdtPr>
          <w:sdtContent>
            <w:tc>
              <w:tcPr>
                <w:tcW w:w="2551"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期初余额</w:t>
                </w:r>
              </w:p>
            </w:tc>
          </w:sdtContent>
        </w:sdt>
      </w:tr>
      <w:tr>
        <w:tc>
          <w:tcPr>
            <w:tcW w:w="2552" w:type="dxa"/>
            <w:vMerge/>
            <w:tcBorders>
              <w:left w:val="single" w:sz="4" w:space="0" w:color="auto"/>
              <w:bottom w:val="single" w:sz="4" w:space="0" w:color="auto"/>
              <w:right w:val="single" w:sz="4" w:space="0" w:color="auto"/>
            </w:tcBorders>
            <w:vAlign w:val="center"/>
          </w:tcPr>
          <w:p>
            <w:pPr>
              <w:jc w:val="center"/>
            </w:pPr>
          </w:p>
        </w:tc>
        <w:tc>
          <w:tcPr>
            <w:tcW w:w="2552" w:type="dxa"/>
            <w:vMerge/>
            <w:tcBorders>
              <w:left w:val="single" w:sz="4" w:space="0" w:color="auto"/>
              <w:bottom w:val="single" w:sz="4" w:space="0" w:color="auto"/>
              <w:right w:val="single" w:sz="4" w:space="0" w:color="auto"/>
            </w:tcBorders>
            <w:vAlign w:val="center"/>
          </w:tcPr>
          <w:p>
            <w:pPr>
              <w:jc w:val="center"/>
            </w:pPr>
          </w:p>
        </w:tc>
        <w:sdt>
          <w:sdtPr>
            <w:tag w:val="_PLD_0545f54235344f978e1e8356e1b05042"/>
            <w:id w:val="371888487"/>
          </w:sdtPr>
          <w:sdtContent>
            <w:tc>
              <w:tcPr>
                <w:tcW w:w="127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账面余额</w:t>
                </w:r>
              </w:p>
            </w:tc>
          </w:sdtContent>
        </w:sdt>
        <w:sdt>
          <w:sdtPr>
            <w:tag w:val="_PLD_9e6982f3b5cd46e9b3be23eda364cd7a"/>
            <w:id w:val="2106759604"/>
          </w:sdtPr>
          <w:sdtContent>
            <w:tc>
              <w:tcPr>
                <w:tcW w:w="113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坏账准备</w:t>
                </w:r>
              </w:p>
            </w:tc>
          </w:sdtContent>
        </w:sdt>
        <w:sdt>
          <w:sdtPr>
            <w:tag w:val="_PLD_5c8e0a4ac99e4539bea932f77317d8de"/>
            <w:id w:val="-431281843"/>
          </w:sdtPr>
          <w:sdtContent>
            <w:tc>
              <w:tcPr>
                <w:tcW w:w="127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账面余额</w:t>
                </w:r>
              </w:p>
            </w:tc>
          </w:sdtContent>
        </w:sdt>
        <w:sdt>
          <w:sdtPr>
            <w:tag w:val="_PLD_c5afa9908d794831a4bc715802a1061d"/>
            <w:id w:val="-952251897"/>
          </w:sdtPr>
          <w:sdtContent>
            <w:tc>
              <w:tcPr>
                <w:tcW w:w="127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坏账准备</w:t>
                </w:r>
              </w:p>
            </w:tc>
          </w:sdtContent>
        </w:sdt>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应收款项融资</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128,077</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134,572</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应收款项融资</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控股股东之联营企业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28</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应收款项融资</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72,000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应收票据</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138,724</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5,913</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应收票据</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控股股东之合营企业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5,934</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应收票据</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控股股东之联营企业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1,946</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应收账款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1,532,420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14,016</w:t>
            </w: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1,753,471</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应收账款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控股股东之联营企业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186,993</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应收账款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控股股东之合营企业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4,693</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应收账款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合营企业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982</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6,907</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应收账款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2,949</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44,032</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应收账款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其他关联方</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1,662</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738,173</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合同资产</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3,880</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预付款项</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79,185</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75,895</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预付款项</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控股股东之联营企业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20,000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预付款项</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其他关联方</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18,054</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24,208</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预付款项</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1,986</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其他应收款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rPr>
              <w:t>18,776,92</w:t>
            </w:r>
            <w:r>
              <w:rPr>
                <w:rFonts w:ascii="宋体" w:hAnsi="宋体" w:hint="eastAsia"/>
              </w:rPr>
              <w:t>4</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943</w:t>
            </w: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160,502</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其他应收款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控股股东之联营企业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256</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其他应收款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hint="eastAsia"/>
              </w:rPr>
              <w:t>控股股东之合营企业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100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其他应收款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128,689</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214,998</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其他应收款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合营企业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1,120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其他应收款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其他关联方</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925,307</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958,649</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其他流动资产</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9,681,000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242,025</w:t>
            </w: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7,494,950</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187,374</w:t>
            </w: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其他流动资产</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其他关联方</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其他流动资产</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cs="宋体" w:hint="eastAsia"/>
              </w:rPr>
              <w:t>168,000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cs="宋体" w:hint="eastAsia"/>
              </w:rPr>
              <w:t>4,200</w:t>
            </w: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818,000</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20,450</w:t>
            </w: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一年内到期的非流动资产</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1,000,000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25,000</w:t>
            </w: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3,177,650</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50,000</w:t>
            </w: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一年内到期的非流动资产</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62,612</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242,446</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2,424</w:t>
            </w: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长期应收款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100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1,033,573</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长期应收款</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联营企业</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87,742</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3,302</w:t>
            </w: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其他非流动资产</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控股股东及其控制的公司</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3,285,000</w:t>
            </w: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82,125</w:t>
            </w: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4,666,196</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114,750</w:t>
            </w:r>
          </w:p>
        </w:tc>
      </w:tr>
      <w:tr>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其他非流动资产</w:t>
            </w:r>
          </w:p>
        </w:tc>
        <w:tc>
          <w:tcPr>
            <w:tcW w:w="2552"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pPr>
            <w:r>
              <w:rPr>
                <w:rFonts w:hint="eastAsia"/>
              </w:rPr>
              <w:t>其他关联方</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617</w:t>
            </w:r>
          </w:p>
        </w:tc>
        <w:tc>
          <w:tcPr>
            <w:tcW w:w="1276"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bl>
    <w:p>
      <w:pPr>
        <w:rPr>
          <w:rFonts w:ascii="仿宋_GB2312" w:eastAsia="仿宋_GB2312"/>
        </w:rPr>
      </w:pPr>
    </w:p>
    <w:p>
      <w:pPr>
        <w:rPr>
          <w:rFonts w:ascii="仿宋_GB2312" w:eastAsia="仿宋_GB2312"/>
        </w:rPr>
      </w:pPr>
    </w:p>
    <w:p>
      <w:pPr>
        <w:pStyle w:val="Style179"/>
        <w:numPr>
          <w:ilvl w:val="3"/>
          <w:numId w:val="128"/>
        </w:numPr>
        <w:ind w:left="426" w:hangingChars="202" w:hanging="426"/>
        <w:rPr>
          <w:rFonts w:ascii="宋体" w:hAnsi="宋体" w:cs="Arial"/>
          <w:sz w:val="21"/>
          <w:szCs w:val="21"/>
        </w:rPr>
      </w:pPr>
      <w:r>
        <w:rPr>
          <w:rFonts w:hint="eastAsia"/>
          <w:sz w:val="21"/>
          <w:szCs w:val="21"/>
        </w:rPr>
        <w:t>应付项目</w:t>
      </w:r>
    </w:p>
    <w:sdt>
      <w:sdtPr>
        <w:rPr>
          <w:rFonts w:hint="eastAsia"/>
        </w:rPr>
        <w:alias w:val="是否适用：应付项目[双击切换]"/>
        <w:tag w:val="_GBC_41bc31a1fefb4e25918c1ece7c27be62"/>
        <w:id w:val="-87854403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lastRenderedPageBreak/>
        <w:t>单位：</w:t>
      </w:r>
      <w:sdt>
        <w:sdtPr>
          <w:rPr>
            <w:rFonts w:hint="eastAsia"/>
          </w:rPr>
          <w:alias w:val="单位：上市公司应付关联方款项"/>
          <w:tag w:val="_GBC_dda5edeadff34e4f829b49a813d869a1"/>
          <w:id w:val="-13414693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上市公司应付关联方款项"/>
          <w:tag w:val="_GBC_5830ef25ff41407f8d8b3fde33e4bdf1"/>
          <w:id w:val="-8227390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835"/>
        <w:gridCol w:w="1984"/>
        <w:gridCol w:w="1984"/>
      </w:tblGrid>
      <w:tr>
        <w:sdt>
          <w:sdtPr>
            <w:tag w:val="_PLD_e606617d378f48ec942565c9488249ee"/>
            <w:id w:val="-1526557751"/>
          </w:sdtPr>
          <w:sdtContent>
            <w:tc>
              <w:tcPr>
                <w:tcW w:w="2551" w:type="dxa"/>
                <w:tcBorders>
                  <w:top w:val="single" w:sz="4" w:space="0" w:color="auto"/>
                  <w:left w:val="single" w:sz="4" w:space="0" w:color="auto"/>
                  <w:right w:val="single" w:sz="4" w:space="0" w:color="auto"/>
                </w:tcBorders>
                <w:vAlign w:val="center"/>
              </w:tcPr>
              <w:p>
                <w:pPr>
                  <w:jc w:val="center"/>
                </w:pPr>
                <w:r>
                  <w:rPr>
                    <w:rFonts w:hint="eastAsia"/>
                  </w:rPr>
                  <w:t>项目名称</w:t>
                </w:r>
              </w:p>
            </w:tc>
          </w:sdtContent>
        </w:sdt>
        <w:sdt>
          <w:sdtPr>
            <w:tag w:val="_PLD_8c0f65fb9987497db9d8cb750665f14a"/>
            <w:id w:val="-129556975"/>
          </w:sdtPr>
          <w:sdtContent>
            <w:tc>
              <w:tcPr>
                <w:tcW w:w="2835" w:type="dxa"/>
                <w:tcBorders>
                  <w:top w:val="single" w:sz="4" w:space="0" w:color="auto"/>
                  <w:left w:val="single" w:sz="4" w:space="0" w:color="auto"/>
                  <w:right w:val="single" w:sz="4" w:space="0" w:color="auto"/>
                </w:tcBorders>
                <w:vAlign w:val="center"/>
              </w:tcPr>
              <w:p>
                <w:pPr>
                  <w:jc w:val="center"/>
                </w:pPr>
                <w:r>
                  <w:rPr>
                    <w:rFonts w:hint="eastAsia"/>
                  </w:rPr>
                  <w:t>关联方</w:t>
                </w:r>
              </w:p>
            </w:tc>
          </w:sdtContent>
        </w:sdt>
        <w:sdt>
          <w:sdtPr>
            <w:tag w:val="_PLD_6abb3a201708442494b9fede0eddf518"/>
            <w:id w:val="-1368444742"/>
          </w:sdtPr>
          <w:sdtContent>
            <w:tc>
              <w:tcPr>
                <w:tcW w:w="198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期末账面余额</w:t>
                </w:r>
              </w:p>
            </w:tc>
          </w:sdtContent>
        </w:sdt>
        <w:sdt>
          <w:sdtPr>
            <w:tag w:val="_PLD_55efe2bab54445818fecaf16ed9366f9"/>
            <w:id w:val="-1399893906"/>
          </w:sdtPr>
          <w:sdtContent>
            <w:tc>
              <w:tcPr>
                <w:tcW w:w="198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期初账面余额</w:t>
                </w:r>
              </w:p>
            </w:tc>
          </w:sdtContent>
        </w:sdt>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应付票据</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控股股东及其控制的公司</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1,732,558</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445,808</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应付票据</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控股股东之联营企业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82,882</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应付票据</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联营企业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92,731</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4,810</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应付票据</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合营企业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20,200</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应付票据</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其他关联方</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36,580</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应付账款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控股股东及其控制的公司</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7,800,343</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7,278,346</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应付账款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控股股东之联营企业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279,979</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应付账款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联营企业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185,027</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118,897</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应付账款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合营企业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29,401</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应付账款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其他关联方</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223,179</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72,072</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合同负债</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控股股东及其控制的公司</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244,934</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183,068</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合同负债</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联营企业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12,922</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11,682</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合同负债</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其他关联方</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44</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313,749</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其他应付款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控股股东及其控制的公司</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8,997,972</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32,776,427</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其他应付款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控股股东之联营企业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10,434</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其他应付款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联营企业</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1,044</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1,118</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其他应付款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其他关联方</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559,363</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12,233</w:t>
            </w:r>
          </w:p>
        </w:tc>
      </w:tr>
      <w:tr>
        <w:tc>
          <w:tcPr>
            <w:tcW w:w="2551"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长期应付款</w:t>
            </w:r>
          </w:p>
        </w:tc>
        <w:tc>
          <w:tcPr>
            <w:tcW w:w="2835"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宋体" w:hAnsi="宋体"/>
              </w:rPr>
            </w:pPr>
            <w:r>
              <w:rPr>
                <w:rFonts w:ascii="宋体" w:hAnsi="宋体" w:hint="eastAsia"/>
              </w:rPr>
              <w:t>控股股东及其控制的公司</w:t>
            </w: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p>
        </w:tc>
        <w:tc>
          <w:tcPr>
            <w:tcW w:w="19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ascii="宋体" w:hAnsi="宋体"/>
              </w:rPr>
            </w:pPr>
            <w:r>
              <w:rPr>
                <w:rFonts w:ascii="宋体" w:hAnsi="宋体" w:hint="eastAsia"/>
              </w:rPr>
              <w:t>248,704</w:t>
            </w:r>
          </w:p>
        </w:tc>
      </w:tr>
    </w:tbl>
    <w:p>
      <w:pPr>
        <w:rPr>
          <w:rFonts w:ascii="仿宋_GB2312" w:eastAsia="仿宋_GB2312" w:hAnsiTheme="minorHAnsi" w:cstheme="minorBidi"/>
        </w:rPr>
      </w:pPr>
    </w:p>
    <w:p>
      <w:pPr>
        <w:pStyle w:val="Style179"/>
        <w:numPr>
          <w:ilvl w:val="3"/>
          <w:numId w:val="128"/>
        </w:numPr>
        <w:ind w:left="426" w:hangingChars="202" w:hanging="426"/>
        <w:rPr>
          <w:rFonts w:ascii="宋体" w:hAnsi="宋体" w:cs="Arial"/>
          <w:sz w:val="21"/>
          <w:szCs w:val="21"/>
        </w:rPr>
      </w:pPr>
      <w:r>
        <w:rPr>
          <w:rFonts w:hint="eastAsia"/>
          <w:sz w:val="21"/>
          <w:szCs w:val="21"/>
        </w:rPr>
        <w:t>其他项目</w:t>
      </w:r>
    </w:p>
    <w:sdt>
      <w:sdtPr>
        <w:alias w:val="是否适用：关联方其他未结算项目情况[双击切换]"/>
        <w:tag w:val="_GBC_61142f5ee3c54a58901e03781b59f5db"/>
        <w:id w:val="-54637610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仿宋_GB2312" w:eastAsia="仿宋_GB2312"/>
        </w:rPr>
      </w:pPr>
    </w:p>
    <w:p>
      <w:pPr>
        <w:pStyle w:val="Style178"/>
        <w:numPr>
          <w:ilvl w:val="0"/>
          <w:numId w:val="126"/>
        </w:numPr>
        <w:rPr>
          <w:szCs w:val="21"/>
        </w:rPr>
      </w:pPr>
      <w:r>
        <w:rPr>
          <w:rFonts w:hint="eastAsia"/>
          <w:szCs w:val="21"/>
        </w:rPr>
        <w:t>关联方承诺</w:t>
      </w:r>
    </w:p>
    <w:sdt>
      <w:sdtPr>
        <w:rPr>
          <w:rFonts w:hint="eastAsia"/>
        </w:rPr>
        <w:alias w:val="是否适用：关联方承诺[双击切换]"/>
        <w:tag w:val="_GBC_cf52a7b0760b4670b5fc5ea8d7363a6c"/>
        <w:id w:val="-159639886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tabs>
          <w:tab w:val="left" w:pos="1134"/>
        </w:tabs>
        <w:rPr>
          <w:rFonts w:ascii="Cambria" w:eastAsiaTheme="minorEastAsia" w:hAnsi="Cambria" w:cs="Cambria"/>
        </w:rPr>
      </w:pPr>
    </w:p>
    <w:p>
      <w:pPr>
        <w:pStyle w:val="Style178"/>
        <w:numPr>
          <w:ilvl w:val="0"/>
          <w:numId w:val="126"/>
        </w:numPr>
        <w:rPr>
          <w:szCs w:val="21"/>
        </w:rPr>
      </w:pPr>
      <w:r>
        <w:rPr>
          <w:rFonts w:hint="eastAsia"/>
          <w:szCs w:val="21"/>
        </w:rPr>
        <w:t>其他</w:t>
      </w:r>
    </w:p>
    <w:sdt>
      <w:sdtPr>
        <w:rPr>
          <w:rFonts w:hint="eastAsia"/>
        </w:rPr>
        <w:alias w:val="是否适用：关联方及关联情况的其他说明[双击切换]"/>
        <w:tag w:val="_GBC_0fbd096440c645128adaffccb05f4e2f"/>
        <w:id w:val="-308024968"/>
        <w:placeholder>
          <w:docPart w:val="GBC22222222222222222222222222222"/>
        </w:placeholder>
      </w:sdtPr>
      <w:sdtContent>
        <w:p>
          <w:pPr>
            <w:tabs>
              <w:tab w:val="left" w:pos="1134"/>
            </w:tabs>
            <w:rPr>
              <w:rFonts w:asciiTheme="minorEastAsia" w:eastAsiaTheme="minorEastAsia" w:hAnsiTheme="minorEastAsia" w:cs="Cambria"/>
              <w:bCs/>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tabs>
          <w:tab w:val="left" w:pos="1134"/>
        </w:tabs>
        <w:rPr>
          <w:rFonts w:cs="Cambria"/>
        </w:rPr>
      </w:pPr>
    </w:p>
    <w:p>
      <w:pPr>
        <w:pStyle w:val="Style177"/>
        <w:numPr>
          <w:ilvl w:val="0"/>
          <w:numId w:val="66"/>
        </w:numPr>
        <w:rPr>
          <w:rFonts w:ascii="宋体" w:hAnsi="宋体"/>
          <w:szCs w:val="21"/>
        </w:rPr>
      </w:pPr>
      <w:r>
        <w:rPr>
          <w:rFonts w:hint="eastAsia"/>
          <w:szCs w:val="21"/>
        </w:rPr>
        <w:t>股份支付</w:t>
      </w:r>
    </w:p>
    <w:p>
      <w:pPr>
        <w:pStyle w:val="Style178"/>
        <w:numPr>
          <w:ilvl w:val="0"/>
          <w:numId w:val="129"/>
        </w:numPr>
        <w:ind w:left="450" w:hanging="450"/>
        <w:rPr>
          <w:color w:val="000000" w:themeColor="text1"/>
          <w:szCs w:val="21"/>
        </w:rPr>
      </w:pPr>
      <w:bookmarkStart w:id="541" w:name="_Hlk182486041"/>
      <w:bookmarkStart w:id="542" w:name="_Hlk40787153"/>
      <w:bookmarkStart w:id="543" w:name="_Hlk151135509"/>
      <w:r>
        <w:rPr>
          <w:rFonts w:hint="eastAsia"/>
          <w:color w:val="000000" w:themeColor="text1"/>
          <w:szCs w:val="21"/>
        </w:rPr>
        <w:t>各项权益工具</w:t>
      </w:r>
    </w:p>
    <w:p>
      <w:pPr>
        <w:pStyle w:val="Style189"/>
        <w:numPr>
          <w:ilvl w:val="0"/>
          <w:numId w:val="130"/>
        </w:numPr>
        <w:ind w:firstLineChars="0"/>
        <w:rPr>
          <w:b/>
          <w:bCs/>
          <w:sz w:val="21"/>
          <w:szCs w:val="21"/>
        </w:rPr>
      </w:pPr>
      <w:r>
        <w:rPr>
          <w:rFonts w:hint="eastAsia"/>
          <w:b/>
          <w:bCs/>
          <w:sz w:val="21"/>
          <w:szCs w:val="21"/>
        </w:rPr>
        <w:t>明细情况</w:t>
      </w:r>
    </w:p>
    <w:bookmarkStart w:id="544" w:name="_Hlk168492989" w:displacedByCustomXml="next"/>
    <w:sdt>
      <w:sdtPr>
        <w:rPr>
          <w:color w:val="000000" w:themeColor="text1"/>
        </w:rPr>
        <w:alias w:val="是否适用：各项权益工具[双击切换]"/>
        <w:tag w:val="_GBC_591f7158994b46b7adfcd7566ff3a5b8"/>
        <w:id w:val="-91394140"/>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pPr>
        <w:jc w:val="right"/>
        <w:rPr>
          <w:color w:val="000000" w:themeColor="text1"/>
        </w:rPr>
      </w:pPr>
      <w:bookmarkStart w:id="545" w:name="_Hlk168478628"/>
      <w:bookmarkEnd w:id="544"/>
      <w:r>
        <w:rPr>
          <w:rFonts w:hint="eastAsia"/>
          <w:color w:val="000000" w:themeColor="text1"/>
        </w:rPr>
        <w:t>数量单位：</w:t>
      </w:r>
      <w:sdt>
        <w:sdtPr>
          <w:rPr>
            <w:rFonts w:hint="eastAsia"/>
            <w:color w:val="000000" w:themeColor="text1"/>
          </w:rPr>
          <w:alias w:val="单位：各项权益工具"/>
          <w:tag w:val="_GBC_f9118237b13b46fa959144ad6b662be7"/>
          <w:id w:val="1222330000"/>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color w:val="000000" w:themeColor="text1"/>
            </w:rPr>
            <w:t>股</w:t>
          </w:r>
        </w:sdtContent>
      </w:sdt>
      <w:r>
        <w:rPr>
          <w:rFonts w:hint="eastAsia"/>
          <w:color w:val="000000" w:themeColor="text1"/>
        </w:rPr>
        <w:t>金额单位：</w:t>
      </w:r>
      <w:sdt>
        <w:sdtPr>
          <w:rPr>
            <w:rFonts w:hint="eastAsia"/>
            <w:color w:val="000000" w:themeColor="text1"/>
          </w:rPr>
          <w:alias w:val="单位2：各项权益工具"/>
          <w:tag w:val="_GBC_fa84b873287342688a4021d513324ea8"/>
          <w:id w:val="55043783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千元</w:t>
          </w:r>
          <w:r>
            <w:rPr>
              <w:rFonts w:hint="eastAsia"/>
              <w:color w:val="000000" w:themeColor="text1"/>
            </w:rPr>
            <w:t xml:space="preserve">  </w:t>
          </w:r>
        </w:sdtContent>
      </w:sdt>
      <w:r>
        <w:rPr>
          <w:rFonts w:hint="eastAsia"/>
          <w:color w:val="000000" w:themeColor="text1"/>
        </w:rPr>
        <w:t>币种：</w:t>
      </w:r>
      <w:sdt>
        <w:sdtPr>
          <w:rPr>
            <w:rFonts w:hint="eastAsia"/>
            <w:color w:val="000000" w:themeColor="text1"/>
          </w:rPr>
          <w:alias w:val="币种：各项权益工具"/>
          <w:tag w:val="_GBC_d0f31367b35b40b4ba63e0ed88e46383"/>
          <w:id w:val="-9247294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14"/>
        <w:tblW w:w="10915" w:type="dxa"/>
        <w:tblInd w:w="-1281" w:type="dxa"/>
        <w:tblLayout w:type="fixed"/>
        <w:tblLook w:val="04A0" w:firstRow="1" w:lastRow="0" w:firstColumn="1" w:lastColumn="0" w:noHBand="0" w:noVBand="1"/>
      </w:tblPr>
      <w:tblGrid>
        <w:gridCol w:w="1418"/>
        <w:gridCol w:w="1134"/>
        <w:gridCol w:w="1134"/>
        <w:gridCol w:w="1418"/>
        <w:gridCol w:w="1134"/>
        <w:gridCol w:w="1417"/>
        <w:gridCol w:w="992"/>
        <w:gridCol w:w="1276"/>
        <w:gridCol w:w="992"/>
      </w:tblGrid>
      <w:tr>
        <w:trPr>
          <w:trHeight w:val="135"/>
        </w:trPr>
        <w:sdt>
          <w:sdtPr>
            <w:tag w:val="_PLD_690cf5dfd31740caa39726bd6df8a195"/>
            <w:id w:val="786466590"/>
          </w:sdtPr>
          <w:sdtContent>
            <w:tc>
              <w:tcPr>
                <w:tcW w:w="1418" w:type="dxa"/>
                <w:vMerge w:val="restart"/>
                <w:vAlign w:val="center"/>
              </w:tcPr>
              <w:p>
                <w:pPr>
                  <w:jc w:val="center"/>
                  <w:rPr>
                    <w:color w:val="000000" w:themeColor="text1"/>
                  </w:rPr>
                </w:pPr>
                <w:r>
                  <w:rPr>
                    <w:rFonts w:hint="eastAsia"/>
                    <w:color w:val="000000" w:themeColor="text1"/>
                  </w:rPr>
                  <w:t>授予对象类别</w:t>
                </w:r>
              </w:p>
            </w:tc>
          </w:sdtContent>
        </w:sdt>
        <w:sdt>
          <w:sdtPr>
            <w:tag w:val="_PLD_47636284d34941ff8254e3d10dfc5f15"/>
            <w:id w:val="-205798909"/>
          </w:sdtPr>
          <w:sdtContent>
            <w:tc>
              <w:tcPr>
                <w:tcW w:w="2268" w:type="dxa"/>
                <w:gridSpan w:val="2"/>
                <w:vAlign w:val="center"/>
              </w:tcPr>
              <w:p>
                <w:pPr>
                  <w:jc w:val="center"/>
                  <w:rPr>
                    <w:color w:val="000000" w:themeColor="text1"/>
                  </w:rPr>
                </w:pPr>
                <w:r>
                  <w:rPr>
                    <w:rFonts w:hint="eastAsia"/>
                    <w:color w:val="000000" w:themeColor="text1"/>
                  </w:rPr>
                  <w:t>本期授予</w:t>
                </w:r>
              </w:p>
            </w:tc>
          </w:sdtContent>
        </w:sdt>
        <w:sdt>
          <w:sdtPr>
            <w:tag w:val="_PLD_e9cf9113d398485a9015619d11b52468"/>
            <w:id w:val="1096516724"/>
          </w:sdtPr>
          <w:sdtContent>
            <w:tc>
              <w:tcPr>
                <w:tcW w:w="2552" w:type="dxa"/>
                <w:gridSpan w:val="2"/>
                <w:vAlign w:val="center"/>
              </w:tcPr>
              <w:p>
                <w:pPr>
                  <w:jc w:val="center"/>
                  <w:rPr>
                    <w:color w:val="000000" w:themeColor="text1"/>
                  </w:rPr>
                </w:pPr>
                <w:r>
                  <w:rPr>
                    <w:rFonts w:hint="eastAsia"/>
                    <w:color w:val="000000" w:themeColor="text1"/>
                  </w:rPr>
                  <w:t>本期行权</w:t>
                </w:r>
              </w:p>
            </w:tc>
          </w:sdtContent>
        </w:sdt>
        <w:sdt>
          <w:sdtPr>
            <w:tag w:val="_PLD_d4140e827d5c4aa88dc07b8324b32d54"/>
            <w:id w:val="-1011059374"/>
          </w:sdtPr>
          <w:sdtContent>
            <w:tc>
              <w:tcPr>
                <w:tcW w:w="2409" w:type="dxa"/>
                <w:gridSpan w:val="2"/>
                <w:vAlign w:val="center"/>
              </w:tcPr>
              <w:p>
                <w:pPr>
                  <w:jc w:val="center"/>
                  <w:rPr>
                    <w:color w:val="000000" w:themeColor="text1"/>
                  </w:rPr>
                </w:pPr>
                <w:r>
                  <w:rPr>
                    <w:rFonts w:hint="eastAsia"/>
                    <w:color w:val="000000" w:themeColor="text1"/>
                  </w:rPr>
                  <w:t>本期解锁</w:t>
                </w:r>
              </w:p>
            </w:tc>
          </w:sdtContent>
        </w:sdt>
        <w:sdt>
          <w:sdtPr>
            <w:tag w:val="_PLD_0f5c44353169409c992507082b20a9bf"/>
            <w:id w:val="362712845"/>
          </w:sdtPr>
          <w:sdtContent>
            <w:tc>
              <w:tcPr>
                <w:tcW w:w="2268" w:type="dxa"/>
                <w:gridSpan w:val="2"/>
                <w:vAlign w:val="center"/>
              </w:tcPr>
              <w:p>
                <w:pPr>
                  <w:jc w:val="center"/>
                  <w:rPr>
                    <w:color w:val="000000" w:themeColor="text1"/>
                  </w:rPr>
                </w:pPr>
                <w:r>
                  <w:rPr>
                    <w:rFonts w:hint="eastAsia"/>
                    <w:color w:val="000000" w:themeColor="text1"/>
                  </w:rPr>
                  <w:t>本期失效</w:t>
                </w:r>
              </w:p>
            </w:tc>
          </w:sdtContent>
        </w:sdt>
      </w:tr>
      <w:tr>
        <w:trPr>
          <w:trHeight w:val="135"/>
        </w:trPr>
        <w:tc>
          <w:tcPr>
            <w:tcW w:w="1418" w:type="dxa"/>
            <w:vMerge/>
            <w:vAlign w:val="center"/>
          </w:tcPr>
          <w:p>
            <w:pPr>
              <w:jc w:val="center"/>
              <w:rPr>
                <w:color w:val="000000" w:themeColor="text1"/>
              </w:rPr>
            </w:pPr>
          </w:p>
        </w:tc>
        <w:sdt>
          <w:sdtPr>
            <w:tag w:val="_PLD_08ea8ae5029246858239315872be9751"/>
            <w:id w:val="865788912"/>
          </w:sdtPr>
          <w:sdtContent>
            <w:tc>
              <w:tcPr>
                <w:tcW w:w="1134" w:type="dxa"/>
                <w:vAlign w:val="center"/>
              </w:tcPr>
              <w:p>
                <w:pPr>
                  <w:jc w:val="center"/>
                  <w:rPr>
                    <w:color w:val="000000" w:themeColor="text1"/>
                  </w:rPr>
                </w:pPr>
                <w:r>
                  <w:rPr>
                    <w:rFonts w:hint="eastAsia"/>
                    <w:color w:val="000000" w:themeColor="text1"/>
                  </w:rPr>
                  <w:t>数量</w:t>
                </w:r>
              </w:p>
            </w:tc>
          </w:sdtContent>
        </w:sdt>
        <w:sdt>
          <w:sdtPr>
            <w:tag w:val="_PLD_50a6b9f3a585453d8d1f0e8e97f8f69a"/>
            <w:id w:val="-417412994"/>
          </w:sdtPr>
          <w:sdtContent>
            <w:tc>
              <w:tcPr>
                <w:tcW w:w="1134" w:type="dxa"/>
                <w:vAlign w:val="center"/>
              </w:tcPr>
              <w:p>
                <w:pPr>
                  <w:jc w:val="center"/>
                  <w:rPr>
                    <w:color w:val="000000" w:themeColor="text1"/>
                  </w:rPr>
                </w:pPr>
                <w:r>
                  <w:rPr>
                    <w:rFonts w:hint="eastAsia"/>
                    <w:color w:val="000000" w:themeColor="text1"/>
                  </w:rPr>
                  <w:t>金额</w:t>
                </w:r>
              </w:p>
            </w:tc>
          </w:sdtContent>
        </w:sdt>
        <w:sdt>
          <w:sdtPr>
            <w:tag w:val="_PLD_f276c0b44af641ad847ba8f6a3f3c137"/>
            <w:id w:val="-383021576"/>
          </w:sdtPr>
          <w:sdtContent>
            <w:tc>
              <w:tcPr>
                <w:tcW w:w="1418" w:type="dxa"/>
                <w:vAlign w:val="center"/>
              </w:tcPr>
              <w:p>
                <w:pPr>
                  <w:jc w:val="center"/>
                  <w:rPr>
                    <w:color w:val="000000" w:themeColor="text1"/>
                  </w:rPr>
                </w:pPr>
                <w:r>
                  <w:rPr>
                    <w:rFonts w:hint="eastAsia"/>
                    <w:color w:val="000000" w:themeColor="text1"/>
                  </w:rPr>
                  <w:t>数量</w:t>
                </w:r>
              </w:p>
            </w:tc>
          </w:sdtContent>
        </w:sdt>
        <w:sdt>
          <w:sdtPr>
            <w:tag w:val="_PLD_4f5e328f5f124eadbca10c5aae8346a0"/>
            <w:id w:val="-1213963354"/>
          </w:sdtPr>
          <w:sdtContent>
            <w:tc>
              <w:tcPr>
                <w:tcW w:w="1134" w:type="dxa"/>
                <w:vAlign w:val="center"/>
              </w:tcPr>
              <w:p>
                <w:pPr>
                  <w:jc w:val="center"/>
                  <w:rPr>
                    <w:color w:val="000000" w:themeColor="text1"/>
                  </w:rPr>
                </w:pPr>
                <w:r>
                  <w:rPr>
                    <w:rFonts w:hint="eastAsia"/>
                    <w:color w:val="000000" w:themeColor="text1"/>
                  </w:rPr>
                  <w:t>金额</w:t>
                </w:r>
              </w:p>
            </w:tc>
          </w:sdtContent>
        </w:sdt>
        <w:sdt>
          <w:sdtPr>
            <w:tag w:val="_PLD_f0e2d02c3ba14b0f9921153a835b1418"/>
            <w:id w:val="498393300"/>
          </w:sdtPr>
          <w:sdtContent>
            <w:tc>
              <w:tcPr>
                <w:tcW w:w="1417" w:type="dxa"/>
                <w:vAlign w:val="center"/>
              </w:tcPr>
              <w:p>
                <w:pPr>
                  <w:jc w:val="center"/>
                  <w:rPr>
                    <w:color w:val="000000" w:themeColor="text1"/>
                  </w:rPr>
                </w:pPr>
                <w:r>
                  <w:rPr>
                    <w:rFonts w:hint="eastAsia"/>
                    <w:color w:val="000000" w:themeColor="text1"/>
                  </w:rPr>
                  <w:t>数量</w:t>
                </w:r>
              </w:p>
            </w:tc>
          </w:sdtContent>
        </w:sdt>
        <w:sdt>
          <w:sdtPr>
            <w:tag w:val="_PLD_2988b48211264d67a60e42098266f5c8"/>
            <w:id w:val="-2085063695"/>
          </w:sdtPr>
          <w:sdtContent>
            <w:tc>
              <w:tcPr>
                <w:tcW w:w="992" w:type="dxa"/>
                <w:vAlign w:val="center"/>
              </w:tcPr>
              <w:p>
                <w:pPr>
                  <w:jc w:val="center"/>
                  <w:rPr>
                    <w:color w:val="000000" w:themeColor="text1"/>
                  </w:rPr>
                </w:pPr>
                <w:r>
                  <w:rPr>
                    <w:rFonts w:hint="eastAsia"/>
                    <w:color w:val="000000" w:themeColor="text1"/>
                  </w:rPr>
                  <w:t>金额</w:t>
                </w:r>
              </w:p>
            </w:tc>
          </w:sdtContent>
        </w:sdt>
        <w:sdt>
          <w:sdtPr>
            <w:tag w:val="_PLD_23aded98d13140e1907fbf2255bab032"/>
            <w:id w:val="1303959386"/>
          </w:sdtPr>
          <w:sdtContent>
            <w:tc>
              <w:tcPr>
                <w:tcW w:w="1276" w:type="dxa"/>
                <w:vAlign w:val="center"/>
              </w:tcPr>
              <w:p>
                <w:pPr>
                  <w:jc w:val="center"/>
                  <w:rPr>
                    <w:color w:val="000000" w:themeColor="text1"/>
                  </w:rPr>
                </w:pPr>
                <w:r>
                  <w:rPr>
                    <w:rFonts w:hint="eastAsia"/>
                    <w:color w:val="000000" w:themeColor="text1"/>
                  </w:rPr>
                  <w:t>数量</w:t>
                </w:r>
              </w:p>
            </w:tc>
          </w:sdtContent>
        </w:sdt>
        <w:sdt>
          <w:sdtPr>
            <w:tag w:val="_PLD_ef8da1e1b02d4677809aa9360a11844b"/>
            <w:id w:val="171849675"/>
          </w:sdtPr>
          <w:sdtContent>
            <w:tc>
              <w:tcPr>
                <w:tcW w:w="992" w:type="dxa"/>
                <w:vAlign w:val="center"/>
              </w:tcPr>
              <w:p>
                <w:pPr>
                  <w:jc w:val="center"/>
                  <w:rPr>
                    <w:color w:val="000000" w:themeColor="text1"/>
                  </w:rPr>
                </w:pPr>
                <w:r>
                  <w:rPr>
                    <w:rFonts w:hint="eastAsia"/>
                    <w:color w:val="000000" w:themeColor="text1"/>
                  </w:rPr>
                  <w:t>金额</w:t>
                </w:r>
              </w:p>
            </w:tc>
          </w:sdtContent>
        </w:sdt>
      </w:tr>
      <w:tr>
        <w:tc>
          <w:tcPr>
            <w:tcW w:w="1418" w:type="dxa"/>
            <w:vAlign w:val="center"/>
          </w:tcPr>
          <w:p>
            <w:pPr>
              <w:rPr>
                <w:rFonts w:asciiTheme="minorEastAsia" w:eastAsiaTheme="minorEastAsia" w:hAnsiTheme="minorEastAsia"/>
              </w:rPr>
            </w:pPr>
            <w:r>
              <w:rPr>
                <w:rFonts w:hint="eastAsia"/>
              </w:rPr>
              <w:t>限制性股票激励计划</w:t>
            </w:r>
          </w:p>
        </w:tc>
        <w:tc>
          <w:tcPr>
            <w:tcW w:w="1134" w:type="dxa"/>
            <w:vAlign w:val="center"/>
          </w:tcPr>
          <w:p>
            <w:pPr>
              <w:jc w:val="right"/>
              <w:rPr>
                <w:rFonts w:ascii="宋体" w:hAnsi="宋体"/>
              </w:rPr>
            </w:pPr>
          </w:p>
        </w:tc>
        <w:tc>
          <w:tcPr>
            <w:tcW w:w="1134" w:type="dxa"/>
            <w:vAlign w:val="center"/>
          </w:tcPr>
          <w:p>
            <w:pPr>
              <w:jc w:val="right"/>
              <w:rPr>
                <w:rFonts w:ascii="宋体" w:hAnsi="宋体"/>
              </w:rPr>
            </w:pPr>
          </w:p>
        </w:tc>
        <w:tc>
          <w:tcPr>
            <w:tcW w:w="1418" w:type="dxa"/>
            <w:vAlign w:val="center"/>
          </w:tcPr>
          <w:p>
            <w:pPr>
              <w:jc w:val="right"/>
              <w:rPr>
                <w:rFonts w:ascii="宋体" w:hAnsi="宋体"/>
              </w:rPr>
            </w:pPr>
          </w:p>
        </w:tc>
        <w:tc>
          <w:tcPr>
            <w:tcW w:w="1134" w:type="dxa"/>
            <w:vAlign w:val="center"/>
          </w:tcPr>
          <w:p>
            <w:pPr>
              <w:jc w:val="right"/>
              <w:rPr>
                <w:rFonts w:ascii="宋体" w:hAnsi="宋体"/>
              </w:rPr>
            </w:pPr>
          </w:p>
        </w:tc>
        <w:tc>
          <w:tcPr>
            <w:tcW w:w="1417" w:type="dxa"/>
            <w:vAlign w:val="center"/>
          </w:tcPr>
          <w:p>
            <w:pPr>
              <w:jc w:val="right"/>
              <w:rPr>
                <w:rFonts w:ascii="宋体" w:hAnsi="宋体"/>
              </w:rPr>
            </w:pPr>
            <w:r>
              <w:rPr>
                <w:rFonts w:ascii="宋体" w:hAnsi="宋体"/>
              </w:rPr>
              <w:t>36,738,700</w:t>
            </w:r>
          </w:p>
        </w:tc>
        <w:tc>
          <w:tcPr>
            <w:tcW w:w="992" w:type="dxa"/>
            <w:vAlign w:val="center"/>
          </w:tcPr>
          <w:p>
            <w:pPr>
              <w:jc w:val="right"/>
              <w:rPr>
                <w:rFonts w:ascii="宋体" w:hAnsi="宋体"/>
              </w:rPr>
            </w:pPr>
            <w:r>
              <w:rPr>
                <w:rFonts w:ascii="宋体" w:hAnsi="宋体"/>
              </w:rPr>
              <w:t>51,557</w:t>
            </w:r>
          </w:p>
        </w:tc>
        <w:tc>
          <w:tcPr>
            <w:tcW w:w="1276" w:type="dxa"/>
            <w:vAlign w:val="center"/>
          </w:tcPr>
          <w:p>
            <w:pPr>
              <w:jc w:val="right"/>
              <w:rPr>
                <w:rFonts w:ascii="宋体" w:hAnsi="宋体"/>
              </w:rPr>
            </w:pPr>
            <w:r>
              <w:rPr>
                <w:rFonts w:ascii="宋体" w:hAnsi="宋体"/>
              </w:rPr>
              <w:t>2,379,858</w:t>
            </w:r>
          </w:p>
        </w:tc>
        <w:tc>
          <w:tcPr>
            <w:tcW w:w="992" w:type="dxa"/>
            <w:vAlign w:val="center"/>
          </w:tcPr>
          <w:p>
            <w:pPr>
              <w:jc w:val="right"/>
              <w:rPr>
                <w:rFonts w:ascii="宋体" w:hAnsi="宋体"/>
              </w:rPr>
            </w:pPr>
            <w:r>
              <w:rPr>
                <w:rFonts w:ascii="宋体" w:hAnsi="宋体"/>
              </w:rPr>
              <w:t>3,340</w:t>
            </w:r>
          </w:p>
        </w:tc>
      </w:tr>
      <w:tr>
        <w:tc>
          <w:tcPr>
            <w:tcW w:w="1418" w:type="dxa"/>
            <w:vAlign w:val="center"/>
          </w:tcPr>
          <w:p>
            <w:pPr>
              <w:rPr>
                <w:rFonts w:asciiTheme="minorEastAsia" w:eastAsiaTheme="minorEastAsia" w:hAnsiTheme="minorEastAsia"/>
              </w:rPr>
            </w:pPr>
            <w:r>
              <w:rPr>
                <w:rFonts w:hint="eastAsia"/>
              </w:rPr>
              <w:t>澳洲公司</w:t>
            </w:r>
          </w:p>
        </w:tc>
        <w:tc>
          <w:tcPr>
            <w:tcW w:w="1134" w:type="dxa"/>
            <w:vAlign w:val="center"/>
          </w:tcPr>
          <w:p>
            <w:pPr>
              <w:jc w:val="right"/>
              <w:rPr>
                <w:rFonts w:ascii="宋体" w:hAnsi="宋体"/>
              </w:rPr>
            </w:pPr>
            <w:r>
              <w:rPr>
                <w:rFonts w:ascii="宋体" w:hAnsi="宋体"/>
              </w:rPr>
              <w:t>682,609</w:t>
            </w:r>
          </w:p>
        </w:tc>
        <w:tc>
          <w:tcPr>
            <w:tcW w:w="1134" w:type="dxa"/>
            <w:vAlign w:val="center"/>
          </w:tcPr>
          <w:p>
            <w:pPr>
              <w:jc w:val="right"/>
              <w:rPr>
                <w:rFonts w:ascii="宋体" w:hAnsi="宋体"/>
              </w:rPr>
            </w:pPr>
            <w:r>
              <w:rPr>
                <w:rFonts w:ascii="宋体" w:hAnsi="宋体"/>
              </w:rPr>
              <w:t>18,574</w:t>
            </w:r>
          </w:p>
        </w:tc>
        <w:tc>
          <w:tcPr>
            <w:tcW w:w="1418" w:type="dxa"/>
            <w:vAlign w:val="center"/>
          </w:tcPr>
          <w:p>
            <w:pPr>
              <w:jc w:val="right"/>
              <w:rPr>
                <w:rFonts w:ascii="宋体" w:hAnsi="宋体"/>
              </w:rPr>
            </w:pPr>
            <w:r>
              <w:rPr>
                <w:rFonts w:ascii="宋体" w:hAnsi="宋体"/>
              </w:rPr>
              <w:t>1,500,266</w:t>
            </w:r>
          </w:p>
        </w:tc>
        <w:tc>
          <w:tcPr>
            <w:tcW w:w="1134" w:type="dxa"/>
            <w:vAlign w:val="center"/>
          </w:tcPr>
          <w:p>
            <w:pPr>
              <w:jc w:val="right"/>
              <w:rPr>
                <w:rFonts w:ascii="宋体" w:hAnsi="宋体"/>
              </w:rPr>
            </w:pPr>
            <w:r>
              <w:rPr>
                <w:rFonts w:ascii="宋体" w:hAnsi="宋体"/>
              </w:rPr>
              <w:t>40,823</w:t>
            </w:r>
          </w:p>
        </w:tc>
        <w:tc>
          <w:tcPr>
            <w:tcW w:w="1417" w:type="dxa"/>
            <w:vAlign w:val="center"/>
          </w:tcPr>
          <w:p>
            <w:pPr>
              <w:jc w:val="right"/>
              <w:rPr>
                <w:rFonts w:ascii="宋体" w:hAnsi="宋体"/>
              </w:rPr>
            </w:pPr>
          </w:p>
        </w:tc>
        <w:tc>
          <w:tcPr>
            <w:tcW w:w="992" w:type="dxa"/>
            <w:vAlign w:val="center"/>
          </w:tcPr>
          <w:p>
            <w:pPr>
              <w:jc w:val="right"/>
              <w:rPr>
                <w:rFonts w:ascii="宋体" w:hAnsi="宋体"/>
              </w:rPr>
            </w:pPr>
          </w:p>
        </w:tc>
        <w:tc>
          <w:tcPr>
            <w:tcW w:w="1276" w:type="dxa"/>
            <w:vAlign w:val="center"/>
          </w:tcPr>
          <w:p>
            <w:pPr>
              <w:jc w:val="right"/>
              <w:rPr>
                <w:rFonts w:ascii="宋体" w:hAnsi="宋体"/>
              </w:rPr>
            </w:pPr>
            <w:r>
              <w:rPr>
                <w:rFonts w:ascii="宋体" w:hAnsi="宋体"/>
              </w:rPr>
              <w:t>1,984</w:t>
            </w:r>
          </w:p>
        </w:tc>
        <w:tc>
          <w:tcPr>
            <w:tcW w:w="992" w:type="dxa"/>
            <w:vAlign w:val="center"/>
          </w:tcPr>
          <w:p>
            <w:pPr>
              <w:jc w:val="right"/>
              <w:rPr>
                <w:rFonts w:ascii="宋体" w:hAnsi="宋体"/>
              </w:rPr>
            </w:pPr>
            <w:r>
              <w:rPr>
                <w:rFonts w:ascii="宋体" w:hAnsi="宋体"/>
              </w:rPr>
              <w:t>54</w:t>
            </w:r>
          </w:p>
        </w:tc>
      </w:tr>
      <w:tr>
        <w:tc>
          <w:tcPr>
            <w:tcW w:w="1418" w:type="dxa"/>
            <w:vAlign w:val="center"/>
          </w:tcPr>
          <w:p>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1134" w:type="dxa"/>
            <w:vAlign w:val="center"/>
          </w:tcPr>
          <w:p>
            <w:pPr>
              <w:jc w:val="right"/>
              <w:rPr>
                <w:rFonts w:ascii="宋体" w:hAnsi="宋体"/>
              </w:rPr>
            </w:pPr>
            <w:r>
              <w:rPr>
                <w:rFonts w:ascii="宋体" w:hAnsi="宋体"/>
              </w:rPr>
              <w:t>682,609</w:t>
            </w:r>
          </w:p>
        </w:tc>
        <w:tc>
          <w:tcPr>
            <w:tcW w:w="1134" w:type="dxa"/>
            <w:vAlign w:val="center"/>
          </w:tcPr>
          <w:p>
            <w:pPr>
              <w:jc w:val="right"/>
              <w:rPr>
                <w:rFonts w:ascii="宋体" w:hAnsi="宋体"/>
              </w:rPr>
            </w:pPr>
            <w:r>
              <w:rPr>
                <w:rFonts w:ascii="宋体" w:hAnsi="宋体"/>
              </w:rPr>
              <w:t>18,574</w:t>
            </w:r>
          </w:p>
        </w:tc>
        <w:tc>
          <w:tcPr>
            <w:tcW w:w="1418" w:type="dxa"/>
            <w:vAlign w:val="center"/>
          </w:tcPr>
          <w:p>
            <w:pPr>
              <w:jc w:val="right"/>
              <w:rPr>
                <w:rFonts w:ascii="宋体" w:hAnsi="宋体"/>
              </w:rPr>
            </w:pPr>
            <w:r>
              <w:rPr>
                <w:rFonts w:ascii="宋体" w:hAnsi="宋体"/>
              </w:rPr>
              <w:t>1,500,266</w:t>
            </w:r>
          </w:p>
        </w:tc>
        <w:tc>
          <w:tcPr>
            <w:tcW w:w="1134" w:type="dxa"/>
            <w:vAlign w:val="center"/>
          </w:tcPr>
          <w:p>
            <w:pPr>
              <w:jc w:val="right"/>
              <w:rPr>
                <w:rFonts w:ascii="宋体" w:hAnsi="宋体"/>
              </w:rPr>
            </w:pPr>
            <w:r>
              <w:rPr>
                <w:rFonts w:ascii="宋体" w:hAnsi="宋体"/>
              </w:rPr>
              <w:t>40,823</w:t>
            </w:r>
          </w:p>
        </w:tc>
        <w:tc>
          <w:tcPr>
            <w:tcW w:w="1417" w:type="dxa"/>
            <w:vAlign w:val="center"/>
          </w:tcPr>
          <w:p>
            <w:pPr>
              <w:jc w:val="right"/>
              <w:rPr>
                <w:rFonts w:ascii="宋体" w:hAnsi="宋体"/>
              </w:rPr>
            </w:pPr>
            <w:r>
              <w:rPr>
                <w:rFonts w:ascii="宋体" w:hAnsi="宋体"/>
              </w:rPr>
              <w:t>36,738,700</w:t>
            </w:r>
          </w:p>
        </w:tc>
        <w:tc>
          <w:tcPr>
            <w:tcW w:w="992" w:type="dxa"/>
            <w:vAlign w:val="center"/>
          </w:tcPr>
          <w:p>
            <w:pPr>
              <w:jc w:val="right"/>
              <w:rPr>
                <w:rFonts w:ascii="宋体" w:hAnsi="宋体"/>
              </w:rPr>
            </w:pPr>
            <w:r>
              <w:rPr>
                <w:rFonts w:ascii="宋体" w:hAnsi="宋体"/>
              </w:rPr>
              <w:t>51,557</w:t>
            </w:r>
          </w:p>
        </w:tc>
        <w:tc>
          <w:tcPr>
            <w:tcW w:w="1276" w:type="dxa"/>
            <w:vAlign w:val="center"/>
          </w:tcPr>
          <w:p>
            <w:pPr>
              <w:jc w:val="right"/>
              <w:rPr>
                <w:rFonts w:ascii="宋体" w:hAnsi="宋体"/>
              </w:rPr>
            </w:pPr>
            <w:r>
              <w:rPr>
                <w:rFonts w:ascii="宋体" w:hAnsi="宋体"/>
              </w:rPr>
              <w:t>2,381,842</w:t>
            </w:r>
          </w:p>
        </w:tc>
        <w:tc>
          <w:tcPr>
            <w:tcW w:w="992" w:type="dxa"/>
            <w:vAlign w:val="center"/>
          </w:tcPr>
          <w:p>
            <w:pPr>
              <w:jc w:val="right"/>
              <w:rPr>
                <w:rFonts w:ascii="宋体" w:hAnsi="宋体"/>
              </w:rPr>
            </w:pPr>
            <w:r>
              <w:rPr>
                <w:rFonts w:ascii="宋体" w:hAnsi="宋体"/>
              </w:rPr>
              <w:t>3,394</w:t>
            </w:r>
          </w:p>
        </w:tc>
      </w:tr>
    </w:tbl>
    <w:p>
      <w:pPr>
        <w:rPr>
          <w:color w:val="000000" w:themeColor="text1"/>
        </w:rPr>
      </w:pPr>
    </w:p>
    <w:p>
      <w:pPr>
        <w:pStyle w:val="Style189"/>
        <w:numPr>
          <w:ilvl w:val="0"/>
          <w:numId w:val="130"/>
        </w:numPr>
        <w:ind w:firstLineChars="0"/>
        <w:rPr>
          <w:b/>
          <w:bCs/>
          <w:sz w:val="21"/>
          <w:szCs w:val="21"/>
        </w:rPr>
      </w:pPr>
      <w:r>
        <w:rPr>
          <w:rFonts w:hint="eastAsia"/>
          <w:b/>
          <w:bCs/>
          <w:sz w:val="21"/>
          <w:szCs w:val="21"/>
        </w:rPr>
        <w:t>期末发行在外的股票期权或其他权益工具</w:t>
      </w:r>
    </w:p>
    <w:bookmarkStart w:id="546" w:name="_Hlk168493896" w:displacedByCustomXml="next"/>
    <w:bookmarkStart w:id="547" w:name="_Hlk168493917" w:displacedByCustomXml="next"/>
    <w:sdt>
      <w:sdtPr>
        <w:rPr>
          <w:color w:val="000000" w:themeColor="text1"/>
        </w:rPr>
        <w:alias w:val="是否适用：期末发行在外的股票期权或其他权益工具[双击切换]"/>
        <w:tag w:val="_GBC_8f850d6c945b493292d68c3127f1182d"/>
        <w:id w:val="-1038120371"/>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545"/>
    <w:bookmarkEnd w:id="547"/>
    <w:bookmarkEnd w:id="546"/>
    <w:p>
      <w:pPr>
        <w:rPr>
          <w:color w:val="000000" w:themeColor="text1"/>
        </w:rPr>
      </w:pPr>
    </w:p>
    <w:tbl>
      <w:tblPr>
        <w:tblStyle w:val="g14"/>
        <w:tblW w:w="9049" w:type="dxa"/>
        <w:tblInd w:w="0" w:type="dxa"/>
        <w:tblLayout w:type="fixed"/>
        <w:tblLook w:val="04A0" w:firstRow="1" w:lastRow="0" w:firstColumn="1" w:lastColumn="0" w:noHBand="0" w:noVBand="1"/>
      </w:tblPr>
      <w:tblGrid>
        <w:gridCol w:w="1809"/>
        <w:gridCol w:w="1810"/>
        <w:gridCol w:w="1810"/>
        <w:gridCol w:w="1810"/>
        <w:gridCol w:w="1810"/>
      </w:tblGrid>
      <w:tr>
        <w:sdt>
          <w:sdtPr>
            <w:tag w:val="_PLD_e8fd5b6831ea472e98926c6d39e972c6"/>
            <w:id w:val="-85925076"/>
          </w:sdtPr>
          <w:sdtContent>
            <w:tc>
              <w:tcPr>
                <w:tcW w:w="1809" w:type="dxa"/>
                <w:vMerge w:val="restart"/>
                <w:vAlign w:val="center"/>
              </w:tcPr>
              <w:p>
                <w:pPr>
                  <w:jc w:val="center"/>
                  <w:rPr>
                    <w:color w:val="000000" w:themeColor="text1"/>
                  </w:rPr>
                </w:pPr>
                <w:r>
                  <w:rPr>
                    <w:rFonts w:hint="eastAsia"/>
                    <w:color w:val="000000" w:themeColor="text1"/>
                  </w:rPr>
                  <w:t>授予对象类别</w:t>
                </w:r>
              </w:p>
            </w:tc>
          </w:sdtContent>
        </w:sdt>
        <w:sdt>
          <w:sdtPr>
            <w:tag w:val="_PLD_fcede67ffdbd4d3e923cb7d61f2372d1"/>
            <w:id w:val="2005855136"/>
          </w:sdtPr>
          <w:sdtContent>
            <w:tc>
              <w:tcPr>
                <w:tcW w:w="3620" w:type="dxa"/>
                <w:gridSpan w:val="2"/>
                <w:vAlign w:val="center"/>
              </w:tcPr>
              <w:p>
                <w:pPr>
                  <w:jc w:val="center"/>
                  <w:rPr>
                    <w:color w:val="000000" w:themeColor="text1"/>
                  </w:rPr>
                </w:pPr>
                <w:r>
                  <w:rPr>
                    <w:rFonts w:hint="eastAsia"/>
                    <w:color w:val="000000" w:themeColor="text1"/>
                  </w:rPr>
                  <w:t>期末发行在外的股票期权</w:t>
                </w:r>
              </w:p>
            </w:tc>
          </w:sdtContent>
        </w:sdt>
        <w:sdt>
          <w:sdtPr>
            <w:tag w:val="_PLD_25f7320c473949bf961ec285778af328"/>
            <w:id w:val="-1200164264"/>
          </w:sdtPr>
          <w:sdtContent>
            <w:tc>
              <w:tcPr>
                <w:tcW w:w="3620" w:type="dxa"/>
                <w:gridSpan w:val="2"/>
                <w:vAlign w:val="center"/>
              </w:tcPr>
              <w:p>
                <w:pPr>
                  <w:jc w:val="center"/>
                  <w:rPr>
                    <w:color w:val="000000" w:themeColor="text1"/>
                  </w:rPr>
                </w:pPr>
                <w:r>
                  <w:rPr>
                    <w:rFonts w:hint="eastAsia"/>
                    <w:color w:val="000000" w:themeColor="text1"/>
                  </w:rPr>
                  <w:t>期末发行在外的其他权益工具</w:t>
                </w:r>
              </w:p>
            </w:tc>
          </w:sdtContent>
        </w:sdt>
      </w:tr>
      <w:tr>
        <w:tc>
          <w:tcPr>
            <w:tcW w:w="1809" w:type="dxa"/>
            <w:vMerge/>
            <w:vAlign w:val="center"/>
          </w:tcPr>
          <w:p>
            <w:pPr>
              <w:rPr>
                <w:color w:val="000000" w:themeColor="text1"/>
              </w:rPr>
            </w:pPr>
          </w:p>
        </w:tc>
        <w:sdt>
          <w:sdtPr>
            <w:tag w:val="_PLD_35b8232087b648c09fe34ed612d59d3d"/>
            <w:id w:val="-2006279398"/>
          </w:sdtPr>
          <w:sdtContent>
            <w:tc>
              <w:tcPr>
                <w:tcW w:w="1810" w:type="dxa"/>
                <w:vAlign w:val="center"/>
              </w:tcPr>
              <w:p>
                <w:pPr>
                  <w:jc w:val="center"/>
                  <w:rPr>
                    <w:color w:val="000000" w:themeColor="text1"/>
                  </w:rPr>
                </w:pPr>
                <w:r>
                  <w:rPr>
                    <w:rFonts w:hint="eastAsia"/>
                    <w:color w:val="000000" w:themeColor="text1"/>
                  </w:rPr>
                  <w:t>行权价格的范围</w:t>
                </w:r>
              </w:p>
            </w:tc>
          </w:sdtContent>
        </w:sdt>
        <w:sdt>
          <w:sdtPr>
            <w:tag w:val="_PLD_e10581b09aa64ab3b8d7c66a46ac090e"/>
            <w:id w:val="-1523775616"/>
          </w:sdtPr>
          <w:sdtContent>
            <w:tc>
              <w:tcPr>
                <w:tcW w:w="1810" w:type="dxa"/>
                <w:vAlign w:val="center"/>
              </w:tcPr>
              <w:p>
                <w:pPr>
                  <w:jc w:val="center"/>
                  <w:rPr>
                    <w:color w:val="000000" w:themeColor="text1"/>
                  </w:rPr>
                </w:pPr>
                <w:r>
                  <w:rPr>
                    <w:rFonts w:hint="eastAsia"/>
                    <w:color w:val="000000" w:themeColor="text1"/>
                  </w:rPr>
                  <w:t>合同剩余期限</w:t>
                </w:r>
              </w:p>
            </w:tc>
          </w:sdtContent>
        </w:sdt>
        <w:sdt>
          <w:sdtPr>
            <w:tag w:val="_PLD_0c953f9d4c3c45a28239172e7650bf83"/>
            <w:id w:val="33855679"/>
          </w:sdtPr>
          <w:sdtContent>
            <w:tc>
              <w:tcPr>
                <w:tcW w:w="1810" w:type="dxa"/>
                <w:vAlign w:val="center"/>
              </w:tcPr>
              <w:p>
                <w:pPr>
                  <w:jc w:val="center"/>
                  <w:rPr>
                    <w:color w:val="000000" w:themeColor="text1"/>
                  </w:rPr>
                </w:pPr>
                <w:r>
                  <w:rPr>
                    <w:rFonts w:hint="eastAsia"/>
                    <w:color w:val="000000" w:themeColor="text1"/>
                  </w:rPr>
                  <w:t>行权价格的范围</w:t>
                </w:r>
              </w:p>
            </w:tc>
          </w:sdtContent>
        </w:sdt>
        <w:sdt>
          <w:sdtPr>
            <w:tag w:val="_PLD_61cb35eeba6b461b8df415a2e671593a"/>
            <w:id w:val="837822448"/>
          </w:sdtPr>
          <w:sdtContent>
            <w:tc>
              <w:tcPr>
                <w:tcW w:w="1810" w:type="dxa"/>
                <w:vAlign w:val="center"/>
              </w:tcPr>
              <w:p>
                <w:pPr>
                  <w:jc w:val="center"/>
                  <w:rPr>
                    <w:color w:val="000000" w:themeColor="text1"/>
                  </w:rPr>
                </w:pPr>
                <w:r>
                  <w:rPr>
                    <w:rFonts w:hint="eastAsia"/>
                    <w:color w:val="000000" w:themeColor="text1"/>
                  </w:rPr>
                  <w:t>合同剩余期限</w:t>
                </w:r>
              </w:p>
            </w:tc>
          </w:sdtContent>
        </w:sdt>
      </w:tr>
      <w:tr>
        <w:tc>
          <w:tcPr>
            <w:tcW w:w="1809" w:type="dxa"/>
            <w:vAlign w:val="center"/>
          </w:tcPr>
          <w:p>
            <w:pPr>
              <w:rPr>
                <w:rFonts w:ascii="宋体" w:hAnsi="宋体"/>
              </w:rPr>
            </w:pPr>
            <w:r>
              <w:rPr>
                <w:rFonts w:ascii="宋体" w:hAnsi="宋体" w:hint="eastAsia"/>
              </w:rPr>
              <w:t>限制性股票激励计划</w:t>
            </w:r>
          </w:p>
        </w:tc>
        <w:tc>
          <w:tcPr>
            <w:tcW w:w="1810" w:type="dxa"/>
            <w:vAlign w:val="center"/>
          </w:tcPr>
          <w:p>
            <w:pPr>
              <w:jc w:val="right"/>
              <w:rPr>
                <w:rFonts w:ascii="宋体" w:hAnsi="宋体"/>
              </w:rPr>
            </w:pPr>
          </w:p>
        </w:tc>
        <w:tc>
          <w:tcPr>
            <w:tcW w:w="1810" w:type="dxa"/>
            <w:vAlign w:val="center"/>
          </w:tcPr>
          <w:p>
            <w:pPr>
              <w:jc w:val="right"/>
              <w:rPr>
                <w:rFonts w:ascii="宋体" w:hAnsi="宋体"/>
              </w:rPr>
            </w:pPr>
          </w:p>
        </w:tc>
        <w:tc>
          <w:tcPr>
            <w:tcW w:w="1810" w:type="dxa"/>
            <w:vAlign w:val="center"/>
          </w:tcPr>
          <w:p>
            <w:pPr>
              <w:jc w:val="right"/>
              <w:rPr>
                <w:rFonts w:ascii="宋体" w:hAnsi="宋体"/>
              </w:rPr>
            </w:pPr>
            <w:r>
              <w:rPr>
                <w:rFonts w:ascii="宋体" w:hAnsi="宋体" w:hint="eastAsia"/>
              </w:rPr>
              <w:t>1.4033元/股</w:t>
            </w:r>
          </w:p>
        </w:tc>
        <w:tc>
          <w:tcPr>
            <w:tcW w:w="1810" w:type="dxa"/>
            <w:vAlign w:val="center"/>
          </w:tcPr>
          <w:p>
            <w:pPr>
              <w:jc w:val="right"/>
              <w:rPr>
                <w:rFonts w:ascii="宋体" w:hAnsi="宋体"/>
              </w:rPr>
            </w:pPr>
            <w:r>
              <w:rPr>
                <w:rFonts w:ascii="宋体" w:hAnsi="宋体" w:hint="eastAsia"/>
              </w:rPr>
              <w:t>1-2年</w:t>
            </w:r>
          </w:p>
        </w:tc>
      </w:tr>
    </w:tbl>
    <w:p>
      <w:pPr>
        <w:rPr>
          <w:color w:val="000000" w:themeColor="text1"/>
        </w:rPr>
      </w:pPr>
    </w:p>
    <w:p>
      <w:pPr>
        <w:rPr>
          <w:color w:val="000000" w:themeColor="text1"/>
        </w:rPr>
      </w:pPr>
      <w:r>
        <w:rPr>
          <w:rFonts w:hint="eastAsia"/>
          <w:color w:val="000000" w:themeColor="text1"/>
        </w:rPr>
        <w:t>其他说明</w:t>
      </w:r>
    </w:p>
    <w:sdt>
      <w:sdtPr>
        <w:rPr>
          <w:color w:val="000000" w:themeColor="text1"/>
        </w:rPr>
        <w:alias w:val="期末发行在外的股票期权或其他权益工具的其他说明"/>
        <w:tag w:val="_GBC_e794ebc2a12b497b98daaadb53f3058d"/>
        <w:id w:val="1641619651"/>
        <w:placeholder>
          <w:docPart w:val="GBC22222222222222222222222222222"/>
        </w:placeholder>
      </w:sdtPr>
      <w:sdtContent>
        <w:p>
          <w:pPr>
            <w:rPr>
              <w:color w:val="000000" w:themeColor="text1"/>
            </w:rPr>
          </w:pPr>
          <w:r>
            <w:rPr>
              <w:rFonts w:hint="eastAsia"/>
              <w:color w:val="000000" w:themeColor="text1"/>
            </w:rPr>
            <w:t>-</w:t>
          </w:r>
        </w:p>
      </w:sdtContent>
    </w:sdt>
    <w:p>
      <w:pPr>
        <w:pStyle w:val="Style217"/>
      </w:pPr>
    </w:p>
    <w:p>
      <w:pPr>
        <w:pStyle w:val="Style178"/>
        <w:numPr>
          <w:ilvl w:val="0"/>
          <w:numId w:val="129"/>
        </w:numPr>
        <w:ind w:left="450" w:hanging="450"/>
        <w:rPr>
          <w:color w:val="000000" w:themeColor="text1"/>
          <w:szCs w:val="21"/>
        </w:rPr>
      </w:pPr>
      <w:bookmarkStart w:id="548" w:name="_Hlk40787299"/>
      <w:bookmarkEnd w:id="541"/>
      <w:bookmarkEnd w:id="542"/>
      <w:r>
        <w:rPr>
          <w:rFonts w:hint="eastAsia"/>
          <w:color w:val="000000" w:themeColor="text1"/>
          <w:szCs w:val="21"/>
        </w:rPr>
        <w:t>以权益结算的股份支付情况</w:t>
      </w:r>
    </w:p>
    <w:sdt>
      <w:sdtPr>
        <w:alias w:val="是否适用：以权益结算的股份支付情况[双击切换]"/>
        <w:tag w:val="_GBC_8723814961d6478ca2db4f04f2667fcd"/>
        <w:id w:val="49415210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wordWrap w:val="0"/>
        <w:jc w:val="right"/>
      </w:pPr>
      <w:r>
        <w:rPr>
          <w:rFonts w:hint="eastAsia"/>
        </w:rPr>
        <w:t>单位：</w:t>
      </w:r>
      <w:sdt>
        <w:sdtPr>
          <w:rPr>
            <w:rFonts w:hint="eastAsia"/>
          </w:rPr>
          <w:alias w:val="单位：以权益结算的股份支付情况"/>
          <w:tag w:val="_GBC_5aea0fdc69f14c4bbde218236ae1cc97"/>
          <w:id w:val="-123040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以权益结算的股份支付情况"/>
          <w:tag w:val="_GBC_28dd71343c064b1198c5e79c02ae3633"/>
          <w:id w:val="3786072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405"/>
      </w:tblGrid>
      <w:tr>
        <w:tc>
          <w:tcPr>
            <w:tcW w:w="4643" w:type="dxa"/>
            <w:tcBorders>
              <w:top w:val="single" w:sz="4" w:space="0" w:color="auto"/>
              <w:left w:val="single" w:sz="4" w:space="0" w:color="auto"/>
              <w:bottom w:val="single" w:sz="4" w:space="0" w:color="auto"/>
              <w:right w:val="single" w:sz="4" w:space="0" w:color="auto"/>
            </w:tcBorders>
            <w:vAlign w:val="center"/>
          </w:tcPr>
          <w:sdt>
            <w:sdtPr>
              <w:rPr>
                <w:rFonts w:hint="eastAsia"/>
              </w:rPr>
              <w:tag w:val="_PLD_6666ccd1e9ce4e0c95efc74e515ddc98"/>
              <w:id w:val="-2041347988"/>
            </w:sdtPr>
            <w:sdtContent>
              <w:p>
                <w:pPr>
                  <w:pStyle w:val="Style217"/>
                </w:pPr>
                <w:r>
                  <w:t>以权益结算的股份支付对象</w:t>
                </w:r>
              </w:p>
            </w:sdtContent>
          </w:sdt>
        </w:tc>
        <w:sdt>
          <w:sdtPr>
            <w:alias w:val="以权益结算的股份支付对象"/>
            <w:tag w:val="_GBC_11e962ff39ec4b1383ece06b99360366"/>
            <w:id w:val="321858405"/>
          </w:sdtPr>
          <w:sdtContent>
            <w:tc>
              <w:tcPr>
                <w:tcW w:w="4405"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w:t>
                </w:r>
              </w:p>
            </w:tc>
          </w:sdtContent>
        </w:sdt>
      </w:tr>
      <w:tr>
        <w:tc>
          <w:tcPr>
            <w:tcW w:w="4643"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授予日权益工具公允价值的确定方法</w:t>
            </w:r>
          </w:p>
        </w:tc>
        <w:tc>
          <w:tcPr>
            <w:tcW w:w="4405"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w:t>
            </w:r>
          </w:p>
        </w:tc>
      </w:tr>
      <w:tr>
        <w:tc>
          <w:tcPr>
            <w:tcW w:w="4643"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授予日权益工具公允价值的重要参数</w:t>
            </w:r>
          </w:p>
        </w:tc>
        <w:tc>
          <w:tcPr>
            <w:tcW w:w="4405"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w:t>
            </w:r>
          </w:p>
        </w:tc>
      </w:tr>
      <w:tr>
        <w:tc>
          <w:tcPr>
            <w:tcW w:w="4643"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可行权权益工具数量的确定依据</w:t>
            </w:r>
          </w:p>
        </w:tc>
        <w:tc>
          <w:tcPr>
            <w:tcW w:w="4405"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w:t>
            </w:r>
          </w:p>
        </w:tc>
      </w:tr>
      <w:tr>
        <w:tc>
          <w:tcPr>
            <w:tcW w:w="4643"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本期估计与上期估计有重大差异的原因</w:t>
            </w:r>
          </w:p>
        </w:tc>
        <w:tc>
          <w:tcPr>
            <w:tcW w:w="4405"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w:t>
            </w:r>
          </w:p>
        </w:tc>
      </w:tr>
      <w:tr>
        <w:tc>
          <w:tcPr>
            <w:tcW w:w="4643"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以权益结算的股份支付计入资本公积的累计金额</w:t>
            </w:r>
          </w:p>
        </w:tc>
        <w:tc>
          <w:tcPr>
            <w:tcW w:w="4405" w:type="dxa"/>
            <w:tcBorders>
              <w:top w:val="single" w:sz="4" w:space="0" w:color="auto"/>
              <w:left w:val="single" w:sz="4" w:space="0" w:color="auto"/>
              <w:bottom w:val="single" w:sz="4" w:space="0" w:color="auto"/>
              <w:right w:val="single" w:sz="4" w:space="0" w:color="auto"/>
            </w:tcBorders>
            <w:vAlign w:val="center"/>
          </w:tcPr>
          <w:p>
            <w:pPr>
              <w:jc w:val="right"/>
            </w:pPr>
            <w:r>
              <w:rPr>
                <w:rFonts w:hint="eastAsia"/>
              </w:rPr>
              <w:t>-</w:t>
            </w:r>
          </w:p>
        </w:tc>
      </w:tr>
    </w:tbl>
    <w:p>
      <w:pPr>
        <w:pStyle w:val="Style217"/>
      </w:pPr>
      <w:r>
        <w:rPr>
          <w:rFonts w:hint="eastAsia"/>
        </w:rPr>
        <w:t>其他说明：</w:t>
      </w:r>
    </w:p>
    <w:sdt>
      <w:sdtPr>
        <w:rPr>
          <w:rFonts w:ascii="Times New Roman" w:hAnsi="Times New Roman" w:cs="Times New Roman"/>
          <w:kern w:val="0"/>
          <w:sz w:val="21"/>
          <w:szCs w:val="21"/>
          <w14:ligatures w14:val="none"/>
        </w:rPr>
        <w:alias w:val="以权益结算的股份支付的说明"/>
        <w:tag w:val="_GBC_aa7c942701ab49d5aa249ab5394898bc"/>
        <w:id w:val="553429268"/>
        <w:placeholder>
          <w:docPart w:val="GBC22222222222222222222222222222"/>
        </w:placeholder>
      </w:sdtPr>
      <w:sdtContent>
        <w:p>
          <w:pPr>
            <w:pStyle w:val="Style209"/>
            <w:rPr>
              <w:sz w:val="21"/>
              <w:szCs w:val="21"/>
            </w:rPr>
          </w:pPr>
          <w:r>
            <w:rPr>
              <w:rFonts w:ascii="Times New Roman" w:hAnsi="Times New Roman" w:cs="Times New Roman" w:hint="eastAsia"/>
              <w:kern w:val="0"/>
              <w:sz w:val="21"/>
              <w:szCs w:val="21"/>
              <w14:ligatures w14:val="none"/>
            </w:rPr>
            <w:t>（</w:t>
          </w:r>
          <w:r>
            <w:rPr>
              <w:rFonts w:ascii="Times New Roman" w:hAnsi="Times New Roman" w:cs="Times New Roman" w:hint="eastAsia"/>
              <w:kern w:val="0"/>
              <w:sz w:val="21"/>
              <w:szCs w:val="21"/>
              <w14:ligatures w14:val="none"/>
            </w:rPr>
            <w:t>1</w:t>
          </w:r>
          <w:r>
            <w:rPr>
              <w:rFonts w:ascii="Times New Roman" w:hAnsi="Times New Roman" w:cs="Times New Roman" w:hint="eastAsia"/>
              <w:kern w:val="0"/>
              <w:sz w:val="21"/>
              <w:szCs w:val="21"/>
              <w14:ligatures w14:val="none"/>
            </w:rPr>
            <w:t>）</w:t>
          </w:r>
          <w:r>
            <w:rPr>
              <w:rFonts w:hint="eastAsia"/>
              <w:sz w:val="21"/>
              <w:szCs w:val="21"/>
            </w:rPr>
            <w:t>本公司</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2022年1月27日，本集团根据激励计划以2022年1月27日为授予日，以11.72元每股为授予价格，向符合条件的1,256名激励对象授予6,234万股限制性股票。本集团董事会审议授予相关事项后，在资金缴纳过程中，11名激励对象因个人原因自愿放弃公司向其授予的全部限制性股票，合计放弃60万股限制性股票，激励对象由1,256人调整为1,245人，授予的限制性股票数量由6,234万股调整为6,174万股。本激励计划限售期分别为自限制性股票授予登记完成之日起24月，36月，48月。截止2022年2月12日止，公司已收到1,245位股权激励对象缴纳的6,174万股限制性股票购股款人民币72,359.28万元。其中，计入股本6,174.00万元，计入资本公积66,185.28万元。</w:t>
          </w:r>
        </w:p>
        <w:p>
          <w:pPr>
            <w:autoSpaceDE w:val="0"/>
            <w:autoSpaceDN w:val="0"/>
            <w:adjustRightInd w:val="0"/>
            <w:spacing w:afterLines="50" w:after="120" w:line="340" w:lineRule="exact"/>
            <w:ind w:firstLineChars="200" w:firstLine="420"/>
            <w:rPr>
              <w:rFonts w:ascii="宋体" w:hAnsi="宋体"/>
            </w:rPr>
          </w:pPr>
          <w:r>
            <w:rPr>
              <w:rFonts w:ascii="宋体" w:hAnsi="宋体" w:hint="eastAsia"/>
            </w:rPr>
            <w:t>2022年6月30日，公司2021年度股东周年大会审议批准2021年度利润分配方案，以分红派息股权登记日公司总股本为基数，派发现金股利人民币1.60元/股(含税)，另派发特别现金股利人民币0.40元/股(含税)，合计派发现金股利人民币2.00元/股(含税)。2023年6月30日，公司2022年度股东周年大会审议批准2022年度利润分配方案，以分红派息股权登记日公司总股本为基数，派发现金股利人民币3.07元/股(含税)，另派发特别现金股利人民币1.23元/股(含税)，合计派发现金股利人民币4.30元/股(含税)；每股派送红股0.5股。因此，根据相关规定限制性股票数量由6,174万股调整为9,261万股，限制性股票的回购价格调整为3.6133元/股。</w:t>
          </w:r>
        </w:p>
        <w:p>
          <w:pPr>
            <w:autoSpaceDE w:val="0"/>
            <w:autoSpaceDN w:val="0"/>
            <w:adjustRightInd w:val="0"/>
            <w:spacing w:afterLines="50" w:after="120" w:line="340" w:lineRule="exact"/>
            <w:ind w:firstLineChars="200" w:firstLine="420"/>
            <w:rPr>
              <w:rFonts w:ascii="宋体" w:hAnsi="宋体"/>
            </w:rPr>
          </w:pPr>
          <w:r>
            <w:rPr>
              <w:rFonts w:ascii="宋体" w:hAnsi="宋体" w:hint="eastAsia"/>
            </w:rPr>
            <w:t>2023年8月25日，公司第九届董事会第二次会议和第九届监事会第二次会议审议批准了《关于调整2021年A股限制性股票激励计划相关事项的议案》。鉴于本激励计划26名激励对象因调动、退休等原因，已不符合激励条件，应对其已获授但尚未解除限售的限制性股票267万股进行回购注销；本次限制性股票于2023年11月16日完成注销。</w:t>
          </w:r>
        </w:p>
        <w:p>
          <w:pPr>
            <w:autoSpaceDE w:val="0"/>
            <w:autoSpaceDN w:val="0"/>
            <w:adjustRightInd w:val="0"/>
            <w:spacing w:afterLines="50" w:after="120" w:line="340" w:lineRule="exact"/>
            <w:ind w:firstLineChars="200" w:firstLine="420"/>
            <w:rPr>
              <w:rFonts w:ascii="宋体" w:hAnsi="宋体"/>
            </w:rPr>
          </w:pPr>
          <w:r>
            <w:rPr>
              <w:rFonts w:ascii="宋体" w:hAnsi="宋体" w:hint="eastAsia"/>
            </w:rPr>
            <w:t>2024年2月23日，公司第九届董事会第五次会议和第九届监事会第四次会议审议批准了《关于回购注销部分激励对象限制性股票的议案》，同意根据2021年A股限制性股票激励计划回购22名激励对象已获授但尚未解除限售的限制性股票140.118万股。本次限制性股票于2024年5月完成注销。</w:t>
          </w:r>
        </w:p>
        <w:p>
          <w:pPr>
            <w:autoSpaceDE w:val="0"/>
            <w:autoSpaceDN w:val="0"/>
            <w:adjustRightInd w:val="0"/>
            <w:spacing w:afterLines="50" w:after="120" w:line="340" w:lineRule="exact"/>
            <w:ind w:firstLineChars="200" w:firstLine="420"/>
            <w:rPr>
              <w:rFonts w:ascii="宋体" w:hAnsi="宋体"/>
            </w:rPr>
          </w:pPr>
          <w:r>
            <w:rPr>
              <w:rFonts w:ascii="宋体" w:hAnsi="宋体" w:hint="eastAsia"/>
            </w:rPr>
            <w:lastRenderedPageBreak/>
            <w:t>2024年2月23日，公司第九届董事会第五次会议和第九届监事会第四次会议审议批准了《关于公司2021年A股限制性股票激励计划第一个解除限售期解除限售条件成就的议案》，同意2021年A股限制性股票激励计划第一个解除限售期解锁限售条件成就，同意对1201名激励对象所对应的2916.342万股限制性股票进行解除限售。</w:t>
          </w:r>
        </w:p>
        <w:p>
          <w:pPr>
            <w:autoSpaceDE w:val="0"/>
            <w:autoSpaceDN w:val="0"/>
            <w:adjustRightInd w:val="0"/>
            <w:spacing w:afterLines="50" w:after="120" w:line="340" w:lineRule="exact"/>
            <w:ind w:firstLineChars="200" w:firstLine="420"/>
            <w:rPr>
              <w:rFonts w:ascii="宋体" w:hAnsi="宋体"/>
            </w:rPr>
          </w:pPr>
          <w:r>
            <w:rPr>
              <w:rFonts w:ascii="宋体" w:hAnsi="宋体" w:hint="eastAsia"/>
            </w:rPr>
            <w:t>2024年3月28日，公司第九届董事会第六次会议，审议通过了公司2023年度利润分配方案以实施权益分派股权登记日登记的总股本为基数向全体股东每股派发现金股利1.49元（含税）每股派送红股0.5股，公司2024年10月25日召开的2024年度第一次临时股东大会审议通过了公司2024年半年度利润分配方案，以方案实施前的公司总股本10,039,860,402股为基数，每股派发现金红利人民币0.23元(含税)。因此，根据相关规定限制性股票数量由8,994万股调整为7,718万股，限制性股票的回购价格调整为1.4564元/股。</w:t>
          </w:r>
        </w:p>
        <w:p>
          <w:pPr>
            <w:autoSpaceDE w:val="0"/>
            <w:autoSpaceDN w:val="0"/>
            <w:adjustRightInd w:val="0"/>
            <w:spacing w:afterLines="50" w:after="120" w:line="340" w:lineRule="exact"/>
            <w:ind w:firstLineChars="200" w:firstLine="420"/>
            <w:rPr>
              <w:rFonts w:ascii="宋体" w:hAnsi="宋体"/>
            </w:rPr>
          </w:pPr>
          <w:r>
            <w:rPr>
              <w:rFonts w:ascii="宋体" w:hAnsi="宋体" w:hint="eastAsia"/>
            </w:rPr>
            <w:t>2025年2月24日，公司第九届董事会第十三次会议决议批准了《关于回购注销部分激励对象限制性股票的议案》，同意公司2021年A股限制性股票激励计划回购价格由人民币3.6133元/股调整为人民币1.4033元/股，公司出资约427.406万元回购注销名激励对象的237.986万股限制性股票；批准确认2021年A股限制性股票激励计划第二个解除限售条件已经达成，对1171名激励对象授权的3637.870万股限制性股票解除限售。</w:t>
          </w:r>
        </w:p>
        <w:p>
          <w:pPr>
            <w:autoSpaceDE w:val="0"/>
            <w:autoSpaceDN w:val="0"/>
            <w:adjustRightInd w:val="0"/>
            <w:spacing w:afterLines="50" w:after="120" w:line="340" w:lineRule="exact"/>
            <w:ind w:firstLineChars="200" w:firstLine="420"/>
            <w:rPr>
              <w:rFonts w:ascii="宋体" w:hAnsi="宋体"/>
            </w:rPr>
          </w:pPr>
          <w:r>
            <w:rPr>
              <w:rFonts w:ascii="宋体" w:hAnsi="宋体" w:hint="eastAsia"/>
            </w:rPr>
            <w:t>截至2025年12月31日，公司总股本为10,037,480,544.00份，其中：无限售条件股9,999,411,082.00份，有限售条件股38,069,462.00份。</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393_10120230|0|desc|||0|1"/>
          </w:tblPr>
          <w:tblGrid>
            <w:gridCol w:w="4111"/>
            <w:gridCol w:w="4468"/>
          </w:tblGrid>
          <w:tr>
            <w:trPr>
              <w:trHeight w:val="397"/>
              <w:tblHeader/>
              <w:jc w:val="center"/>
            </w:trPr>
            <w:tc>
              <w:tcPr>
                <w:tcW w:w="4111" w:type="dxa"/>
                <w:shd w:val="clear" w:color="auto" w:fill="auto"/>
                <w:vAlign w:val="center"/>
              </w:tcPr>
              <w:p>
                <w:pPr>
                  <w:spacing w:line="340" w:lineRule="exact"/>
                  <w:jc w:val="center"/>
                  <w:rPr>
                    <w:rFonts w:ascii="宋体" w:hAnsi="宋体"/>
                    <w:b/>
                  </w:rPr>
                </w:pPr>
                <w:r>
                  <w:rPr>
                    <w:rFonts w:ascii="宋体" w:hAnsi="宋体" w:hint="eastAsia"/>
                    <w:b/>
                  </w:rPr>
                  <w:t>项目</w:t>
                </w:r>
              </w:p>
            </w:tc>
            <w:tc>
              <w:tcPr>
                <w:tcW w:w="4468" w:type="dxa"/>
                <w:shd w:val="clear" w:color="auto" w:fill="auto"/>
                <w:vAlign w:val="center"/>
              </w:tcPr>
              <w:p>
                <w:pPr>
                  <w:spacing w:line="340" w:lineRule="exact"/>
                  <w:jc w:val="center"/>
                  <w:rPr>
                    <w:rFonts w:ascii="宋体" w:hAnsi="宋体"/>
                    <w:b/>
                  </w:rPr>
                </w:pPr>
                <w:r>
                  <w:rPr>
                    <w:rFonts w:ascii="宋体" w:hAnsi="宋体" w:hint="eastAsia"/>
                    <w:b/>
                  </w:rPr>
                  <w:t>内容</w:t>
                </w:r>
              </w:p>
            </w:tc>
          </w:tr>
          <w:tr>
            <w:trPr>
              <w:trHeight w:val="397"/>
              <w:jc w:val="center"/>
            </w:trPr>
            <w:tc>
              <w:tcPr>
                <w:tcW w:w="4111" w:type="dxa"/>
                <w:shd w:val="clear" w:color="auto" w:fill="auto"/>
                <w:vAlign w:val="center"/>
              </w:tcPr>
              <w:p>
                <w:pPr>
                  <w:spacing w:line="340" w:lineRule="exact"/>
                  <w:rPr>
                    <w:rFonts w:ascii="宋体" w:hAnsi="宋体"/>
                  </w:rPr>
                </w:pPr>
                <w:r>
                  <w:rPr>
                    <w:rFonts w:ascii="宋体" w:hAnsi="宋体" w:hint="eastAsia"/>
                  </w:rPr>
                  <w:t>授予日权益工具公允价值的确定方法</w:t>
                </w:r>
              </w:p>
            </w:tc>
            <w:tc>
              <w:tcPr>
                <w:tcW w:w="4468" w:type="dxa"/>
                <w:shd w:val="clear" w:color="auto" w:fill="auto"/>
                <w:vAlign w:val="center"/>
              </w:tcPr>
              <w:p>
                <w:pPr>
                  <w:spacing w:line="340" w:lineRule="exact"/>
                  <w:jc w:val="center"/>
                  <w:rPr>
                    <w:rFonts w:ascii="宋体" w:hAnsi="宋体"/>
                  </w:rPr>
                </w:pPr>
                <w:r>
                  <w:rPr>
                    <w:rFonts w:ascii="宋体" w:hAnsi="宋体"/>
                  </w:rPr>
                  <w:t>Black-Scholes期权定价模型来计算期权的公允价值</w:t>
                </w:r>
              </w:p>
            </w:tc>
          </w:tr>
          <w:tr>
            <w:trPr>
              <w:trHeight w:val="397"/>
              <w:jc w:val="center"/>
            </w:trPr>
            <w:tc>
              <w:tcPr>
                <w:tcW w:w="4111" w:type="dxa"/>
                <w:shd w:val="clear" w:color="auto" w:fill="auto"/>
                <w:vAlign w:val="center"/>
              </w:tcPr>
              <w:p>
                <w:pPr>
                  <w:spacing w:line="340" w:lineRule="exact"/>
                  <w:rPr>
                    <w:rFonts w:ascii="宋体" w:hAnsi="宋体"/>
                  </w:rPr>
                </w:pPr>
                <w:r>
                  <w:rPr>
                    <w:rFonts w:ascii="宋体" w:hAnsi="宋体" w:hint="eastAsia"/>
                  </w:rPr>
                  <w:t>可行权权益工具数量的确定依据</w:t>
                </w:r>
              </w:p>
            </w:tc>
            <w:tc>
              <w:tcPr>
                <w:tcW w:w="4468" w:type="dxa"/>
                <w:shd w:val="clear" w:color="auto" w:fill="auto"/>
                <w:vAlign w:val="center"/>
              </w:tcPr>
              <w:p>
                <w:pPr>
                  <w:spacing w:line="340" w:lineRule="exact"/>
                  <w:jc w:val="center"/>
                  <w:rPr>
                    <w:rFonts w:ascii="宋体" w:hAnsi="宋体"/>
                  </w:rPr>
                </w:pPr>
                <w:r>
                  <w:rPr>
                    <w:rFonts w:ascii="宋体" w:hAnsi="宋体" w:hint="eastAsia"/>
                  </w:rPr>
                  <w:t>对可行权权益工具数量的最佳估计</w:t>
                </w:r>
              </w:p>
            </w:tc>
          </w:tr>
          <w:tr>
            <w:trPr>
              <w:trHeight w:val="397"/>
              <w:jc w:val="center"/>
            </w:trPr>
            <w:tc>
              <w:tcPr>
                <w:tcW w:w="4111" w:type="dxa"/>
                <w:shd w:val="clear" w:color="auto" w:fill="auto"/>
                <w:vAlign w:val="center"/>
              </w:tcPr>
              <w:p>
                <w:pPr>
                  <w:spacing w:line="340" w:lineRule="exact"/>
                  <w:rPr>
                    <w:rFonts w:ascii="宋体" w:hAnsi="宋体"/>
                  </w:rPr>
                </w:pPr>
                <w:r>
                  <w:rPr>
                    <w:rFonts w:ascii="宋体" w:hAnsi="宋体" w:hint="eastAsia"/>
                  </w:rPr>
                  <w:t>本期估计与上期估计有重大差异的原因</w:t>
                </w:r>
              </w:p>
            </w:tc>
            <w:tc>
              <w:tcPr>
                <w:tcW w:w="4468" w:type="dxa"/>
                <w:shd w:val="clear" w:color="auto" w:fill="auto"/>
                <w:vAlign w:val="center"/>
              </w:tcPr>
              <w:p>
                <w:pPr>
                  <w:spacing w:line="340" w:lineRule="exact"/>
                  <w:jc w:val="center"/>
                  <w:rPr>
                    <w:rFonts w:ascii="宋体" w:hAnsi="宋体"/>
                  </w:rPr>
                </w:pPr>
                <w:r>
                  <w:rPr>
                    <w:rFonts w:ascii="宋体" w:hAnsi="宋体" w:hint="eastAsia"/>
                  </w:rPr>
                  <w:t>无</w:t>
                </w:r>
              </w:p>
            </w:tc>
          </w:tr>
          <w:tr>
            <w:trPr>
              <w:trHeight w:val="397"/>
              <w:jc w:val="center"/>
            </w:trPr>
            <w:tc>
              <w:tcPr>
                <w:tcW w:w="4111" w:type="dxa"/>
                <w:shd w:val="clear" w:color="auto" w:fill="auto"/>
                <w:vAlign w:val="center"/>
              </w:tcPr>
              <w:p>
                <w:pPr>
                  <w:spacing w:line="340" w:lineRule="exact"/>
                  <w:rPr>
                    <w:rFonts w:ascii="宋体" w:hAnsi="宋体"/>
                  </w:rPr>
                </w:pPr>
                <w:r>
                  <w:rPr>
                    <w:rFonts w:ascii="宋体" w:hAnsi="宋体" w:hint="eastAsia"/>
                  </w:rPr>
                  <w:t>以权益结算的股份支付计入资本公积的累计金额</w:t>
                </w:r>
              </w:p>
            </w:tc>
            <w:tc>
              <w:tcPr>
                <w:tcW w:w="4468" w:type="dxa"/>
                <w:shd w:val="clear" w:color="auto" w:fill="auto"/>
                <w:vAlign w:val="center"/>
              </w:tcPr>
              <w:p>
                <w:pPr>
                  <w:spacing w:line="340" w:lineRule="exact"/>
                  <w:jc w:val="center"/>
                  <w:rPr>
                    <w:rFonts w:ascii="宋体" w:hAnsi="宋体"/>
                  </w:rPr>
                </w:pPr>
                <w:r>
                  <w:rPr>
                    <w:rFonts w:ascii="宋体" w:hAnsi="宋体" w:hint="eastAsia"/>
                  </w:rPr>
                  <w:t>734,704</w:t>
                </w:r>
              </w:p>
            </w:tc>
          </w:tr>
        </w:tbl>
        <w:p>
          <w:pPr>
            <w:pStyle w:val="Style2061"/>
            <w:wordWrap/>
            <w:spacing w:afterLines="0" w:after="0" w:line="340" w:lineRule="exact"/>
            <w:rPr>
              <w:rFonts w:hAnsi="宋体"/>
              <w:sz w:val="21"/>
              <w:szCs w:val="21"/>
            </w:rPr>
          </w:pPr>
        </w:p>
        <w:p>
          <w:pPr>
            <w:pStyle w:val="Style209"/>
            <w:rPr>
              <w:sz w:val="21"/>
              <w:szCs w:val="21"/>
            </w:rPr>
          </w:pPr>
          <w:r>
            <w:rPr>
              <w:rFonts w:hint="eastAsia"/>
              <w:sz w:val="21"/>
              <w:szCs w:val="21"/>
            </w:rPr>
            <w:t>（2）澳洲</w:t>
          </w:r>
        </w:p>
        <w:p>
          <w:pPr>
            <w:autoSpaceDE w:val="0"/>
            <w:autoSpaceDN w:val="0"/>
            <w:adjustRightInd w:val="0"/>
            <w:spacing w:afterLines="50" w:after="120" w:line="340" w:lineRule="exact"/>
            <w:ind w:firstLineChars="200" w:firstLine="420"/>
            <w:rPr>
              <w:rFonts w:ascii="宋体" w:hAnsi="宋体"/>
            </w:rPr>
          </w:pPr>
          <w:r>
            <w:rPr>
              <w:rFonts w:ascii="宋体" w:hAnsi="宋体" w:hint="eastAsia"/>
            </w:rPr>
            <w:t>截至2025年12月31日，本公司之子公司澳洲公司根据激励计划向核心管理层人员授予</w:t>
          </w:r>
          <w:r>
            <w:rPr>
              <w:rFonts w:ascii="宋体" w:hAnsi="宋体"/>
            </w:rPr>
            <w:t>2,432,874</w:t>
          </w:r>
          <w:r>
            <w:rPr>
              <w:rFonts w:ascii="宋体" w:hAnsi="宋体" w:hint="eastAsia"/>
            </w:rPr>
            <w:t>份期权，占截止2025年12月31日公司总股本的0.2%。此激励计划为长期激励计划，2025年长期激励计划授予激励对象</w:t>
          </w:r>
          <w:r>
            <w:rPr>
              <w:rFonts w:ascii="宋体" w:hAnsi="宋体"/>
            </w:rPr>
            <w:t>682,609</w:t>
          </w:r>
          <w:r>
            <w:rPr>
              <w:rFonts w:ascii="宋体" w:hAnsi="宋体" w:hint="eastAsia"/>
            </w:rPr>
            <w:t>份期权，若满足相关可行权条件，将于2027年12月31日行权。若无法满足相关可行权条件，此期权将于2028年1月1日到期失效。</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rzMyUpsdf0SKHUeNwBsbEg|0|desc|||0|1"/>
          </w:tblPr>
          <w:tblGrid>
            <w:gridCol w:w="4267"/>
            <w:gridCol w:w="4312"/>
          </w:tblGrid>
          <w:tr>
            <w:trPr>
              <w:cantSplit/>
              <w:trHeight w:val="397"/>
              <w:tblHeader/>
              <w:jc w:val="center"/>
            </w:trPr>
            <w:tc>
              <w:tcPr>
                <w:tcW w:w="4267" w:type="dxa"/>
                <w:shd w:val="clear" w:color="auto" w:fill="auto"/>
                <w:vAlign w:val="center"/>
              </w:tcPr>
              <w:p>
                <w:pPr>
                  <w:jc w:val="center"/>
                  <w:rPr>
                    <w:rFonts w:ascii="宋体" w:hAnsi="宋体"/>
                    <w:b/>
                    <w:bCs/>
                    <w:color w:val="000000"/>
                  </w:rPr>
                </w:pPr>
                <w:r>
                  <w:rPr>
                    <w:rFonts w:ascii="宋体" w:hAnsi="宋体" w:hint="eastAsia"/>
                    <w:b/>
                    <w:bCs/>
                    <w:color w:val="000000"/>
                  </w:rPr>
                  <w:t>项目</w:t>
                </w:r>
              </w:p>
            </w:tc>
            <w:tc>
              <w:tcPr>
                <w:tcW w:w="4312" w:type="dxa"/>
                <w:shd w:val="clear" w:color="auto" w:fill="auto"/>
                <w:vAlign w:val="center"/>
              </w:tcPr>
              <w:p>
                <w:pPr>
                  <w:jc w:val="center"/>
                  <w:rPr>
                    <w:rFonts w:ascii="宋体" w:hAnsi="宋体"/>
                    <w:b/>
                    <w:bCs/>
                    <w:color w:val="000000"/>
                  </w:rPr>
                </w:pPr>
                <w:r>
                  <w:rPr>
                    <w:rFonts w:ascii="宋体" w:hAnsi="宋体" w:hint="eastAsia"/>
                    <w:b/>
                    <w:bCs/>
                    <w:color w:val="000000"/>
                  </w:rPr>
                  <w:t>内容</w:t>
                </w:r>
              </w:p>
            </w:tc>
          </w:tr>
          <w:tr>
            <w:trPr>
              <w:cantSplit/>
              <w:trHeight w:val="397"/>
              <w:jc w:val="center"/>
            </w:trPr>
            <w:tc>
              <w:tcPr>
                <w:tcW w:w="4267" w:type="dxa"/>
                <w:shd w:val="clear" w:color="auto" w:fill="auto"/>
                <w:noWrap/>
                <w:vAlign w:val="center"/>
              </w:tcPr>
              <w:p>
                <w:pPr>
                  <w:rPr>
                    <w:rFonts w:ascii="宋体" w:hAnsi="宋体"/>
                    <w:color w:val="000000"/>
                  </w:rPr>
                </w:pPr>
                <w:r>
                  <w:rPr>
                    <w:rFonts w:ascii="宋体" w:hAnsi="宋体" w:hint="eastAsia"/>
                    <w:color w:val="000000"/>
                  </w:rPr>
                  <w:t>授予日权益工具公允价值的确定方法</w:t>
                </w:r>
              </w:p>
            </w:tc>
            <w:tc>
              <w:tcPr>
                <w:tcW w:w="4312" w:type="dxa"/>
                <w:shd w:val="clear" w:color="auto" w:fill="auto"/>
                <w:noWrap/>
                <w:vAlign w:val="center"/>
              </w:tcPr>
              <w:p>
                <w:pPr>
                  <w:jc w:val="center"/>
                  <w:rPr>
                    <w:rFonts w:ascii="宋体" w:hAnsi="宋体"/>
                    <w:color w:val="000000"/>
                  </w:rPr>
                </w:pPr>
                <w:r>
                  <w:rPr>
                    <w:rFonts w:ascii="宋体" w:hAnsi="宋体" w:hint="eastAsia"/>
                    <w:color w:val="000000"/>
                  </w:rPr>
                  <w:t>Black-Scholes期权定价模型来计算期权的公允价值</w:t>
                </w:r>
              </w:p>
            </w:tc>
          </w:tr>
          <w:tr>
            <w:trPr>
              <w:cantSplit/>
              <w:trHeight w:val="397"/>
              <w:jc w:val="center"/>
            </w:trPr>
            <w:tc>
              <w:tcPr>
                <w:tcW w:w="4267" w:type="dxa"/>
                <w:shd w:val="clear" w:color="auto" w:fill="auto"/>
                <w:noWrap/>
                <w:vAlign w:val="center"/>
              </w:tcPr>
              <w:p>
                <w:pPr>
                  <w:rPr>
                    <w:rFonts w:ascii="宋体" w:hAnsi="宋体"/>
                    <w:color w:val="000000"/>
                  </w:rPr>
                </w:pPr>
                <w:r>
                  <w:rPr>
                    <w:rFonts w:ascii="宋体" w:hAnsi="宋体" w:hint="eastAsia"/>
                    <w:color w:val="000000"/>
                  </w:rPr>
                  <w:t>可行权权益工具数量的确定依据</w:t>
                </w:r>
              </w:p>
            </w:tc>
            <w:tc>
              <w:tcPr>
                <w:tcW w:w="4312" w:type="dxa"/>
                <w:shd w:val="clear" w:color="auto" w:fill="auto"/>
                <w:noWrap/>
                <w:vAlign w:val="center"/>
              </w:tcPr>
              <w:p>
                <w:pPr>
                  <w:jc w:val="center"/>
                  <w:rPr>
                    <w:rFonts w:ascii="宋体" w:hAnsi="宋体"/>
                    <w:color w:val="000000"/>
                  </w:rPr>
                </w:pPr>
                <w:r>
                  <w:rPr>
                    <w:rFonts w:ascii="宋体" w:hAnsi="宋体" w:hint="eastAsia"/>
                    <w:color w:val="000000"/>
                  </w:rPr>
                  <w:t>对可行权权益工具数量的最佳估计</w:t>
                </w:r>
              </w:p>
            </w:tc>
          </w:tr>
          <w:tr>
            <w:trPr>
              <w:cantSplit/>
              <w:trHeight w:val="397"/>
              <w:jc w:val="center"/>
            </w:trPr>
            <w:tc>
              <w:tcPr>
                <w:tcW w:w="4267" w:type="dxa"/>
                <w:shd w:val="clear" w:color="auto" w:fill="auto"/>
                <w:noWrap/>
                <w:vAlign w:val="center"/>
              </w:tcPr>
              <w:p>
                <w:pPr>
                  <w:rPr>
                    <w:rFonts w:ascii="宋体" w:hAnsi="宋体"/>
                    <w:color w:val="000000"/>
                  </w:rPr>
                </w:pPr>
                <w:r>
                  <w:rPr>
                    <w:rFonts w:ascii="宋体" w:hAnsi="宋体" w:hint="eastAsia"/>
                    <w:color w:val="000000"/>
                  </w:rPr>
                  <w:t>本期估计与上期估计有重大差异的原因</w:t>
                </w:r>
              </w:p>
            </w:tc>
            <w:tc>
              <w:tcPr>
                <w:tcW w:w="4312" w:type="dxa"/>
                <w:shd w:val="clear" w:color="auto" w:fill="auto"/>
                <w:noWrap/>
                <w:vAlign w:val="center"/>
              </w:tcPr>
              <w:p>
                <w:pPr>
                  <w:jc w:val="center"/>
                  <w:rPr>
                    <w:rFonts w:ascii="宋体" w:hAnsi="宋体"/>
                    <w:color w:val="000000"/>
                  </w:rPr>
                </w:pPr>
                <w:r>
                  <w:rPr>
                    <w:rFonts w:ascii="宋体" w:hAnsi="宋体" w:hint="eastAsia"/>
                    <w:color w:val="000000"/>
                  </w:rPr>
                  <w:t>无</w:t>
                </w:r>
              </w:p>
            </w:tc>
          </w:tr>
          <w:tr>
            <w:trPr>
              <w:cantSplit/>
              <w:trHeight w:val="397"/>
              <w:jc w:val="center"/>
            </w:trPr>
            <w:tc>
              <w:tcPr>
                <w:tcW w:w="4267" w:type="dxa"/>
                <w:shd w:val="clear" w:color="auto" w:fill="auto"/>
                <w:noWrap/>
                <w:vAlign w:val="center"/>
              </w:tcPr>
              <w:p>
                <w:pPr>
                  <w:rPr>
                    <w:rFonts w:ascii="宋体" w:hAnsi="宋体"/>
                    <w:color w:val="000000"/>
                  </w:rPr>
                </w:pPr>
                <w:r>
                  <w:rPr>
                    <w:rFonts w:ascii="宋体" w:hAnsi="宋体" w:hint="eastAsia"/>
                    <w:color w:val="000000"/>
                  </w:rPr>
                  <w:t>以权益结算的股份支付计入资本公积的累计金额</w:t>
                </w:r>
              </w:p>
            </w:tc>
            <w:tc>
              <w:tcPr>
                <w:tcW w:w="4312" w:type="dxa"/>
                <w:shd w:val="clear" w:color="auto" w:fill="auto"/>
                <w:noWrap/>
                <w:vAlign w:val="center"/>
              </w:tcPr>
              <w:p>
                <w:pPr>
                  <w:jc w:val="center"/>
                  <w:rPr>
                    <w:rFonts w:ascii="宋体" w:hAnsi="宋体"/>
                    <w:color w:val="000000"/>
                  </w:rPr>
                </w:pPr>
                <w:r>
                  <w:rPr>
                    <w:rFonts w:ascii="宋体" w:hAnsi="宋体"/>
                    <w:color w:val="000000"/>
                  </w:rPr>
                  <w:t>66,868</w:t>
                </w:r>
              </w:p>
            </w:tc>
          </w:tr>
        </w:tbl>
        <w:p>
          <w:pPr>
            <w:rPr>
              <w:rFonts w:ascii="宋体" w:hAnsi="宋体"/>
            </w:rPr>
          </w:pPr>
        </w:p>
        <w:p>
          <w:pPr>
            <w:pStyle w:val="Style209"/>
            <w:rPr>
              <w:sz w:val="21"/>
              <w:szCs w:val="21"/>
            </w:rPr>
          </w:pPr>
          <w:r>
            <w:rPr>
              <w:rFonts w:hint="eastAsia"/>
              <w:sz w:val="21"/>
              <w:szCs w:val="21"/>
            </w:rPr>
            <w:lastRenderedPageBreak/>
            <w:t>（3）物泊科技</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本集团上期新增并表公司物泊科技股份有限公司，存在向核心管理层人员授予30,000,000份股权激励股票，占截止2025年12月31日公司总股本的3.01%。</w:t>
          </w:r>
        </w:p>
      </w:sdtContent>
    </w:sdt>
    <w:bookmarkEnd w:id="543"/>
    <w:bookmarkEnd w:id="548"/>
    <w:p>
      <w:pPr>
        <w:pStyle w:val="Style178"/>
        <w:numPr>
          <w:ilvl w:val="0"/>
          <w:numId w:val="129"/>
        </w:numPr>
        <w:ind w:left="450" w:hanging="450"/>
        <w:rPr>
          <w:color w:val="000000" w:themeColor="text1"/>
          <w:szCs w:val="21"/>
        </w:rPr>
      </w:pPr>
      <w:r>
        <w:rPr>
          <w:rFonts w:hint="eastAsia"/>
          <w:color w:val="000000" w:themeColor="text1"/>
          <w:szCs w:val="21"/>
        </w:rPr>
        <w:t>以现金结算的股份支付情况</w:t>
      </w:r>
    </w:p>
    <w:sdt>
      <w:sdtPr>
        <w:alias w:val="是否适用：以现金结算的股份支付情况[双击切换]"/>
        <w:tag w:val="_GBC_aa134f611909486bb3a2d6258058f88d"/>
        <w:id w:val="-797148131"/>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129"/>
        </w:numPr>
        <w:ind w:left="450" w:hanging="450"/>
        <w:rPr>
          <w:color w:val="000000" w:themeColor="text1"/>
          <w:szCs w:val="21"/>
        </w:rPr>
      </w:pPr>
      <w:bookmarkStart w:id="549" w:name="_Hlk182486377"/>
      <w:r>
        <w:rPr>
          <w:rFonts w:hint="eastAsia"/>
          <w:color w:val="000000" w:themeColor="text1"/>
          <w:szCs w:val="21"/>
        </w:rPr>
        <w:t>本期股份支付费用</w:t>
      </w:r>
    </w:p>
    <w:bookmarkStart w:id="550" w:name="_Hlk168494235" w:displacedByCustomXml="next"/>
    <w:sdt>
      <w:sdtPr>
        <w:rPr>
          <w:color w:val="000000" w:themeColor="text1"/>
        </w:rPr>
        <w:alias w:val="是否适用：股份支付费用[双击切换]"/>
        <w:tag w:val="_GBC_1ce28477cfda4be8ba3dd9f6b49b5010"/>
        <w:id w:val="-1183579262"/>
        <w:placeholder>
          <w:docPart w:val="GBC22222222222222222222222222222"/>
        </w:placeholder>
      </w:sdtPr>
      <w:sdtContent>
        <w:p>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pPr>
        <w:jc w:val="right"/>
        <w:rPr>
          <w:color w:val="000000" w:themeColor="text1"/>
        </w:rPr>
      </w:pPr>
      <w:bookmarkStart w:id="551" w:name="_Hlk168494618"/>
      <w:bookmarkEnd w:id="550"/>
      <w:r>
        <w:rPr>
          <w:rFonts w:hint="eastAsia"/>
          <w:color w:val="000000" w:themeColor="text1"/>
        </w:rPr>
        <w:t>单位：</w:t>
      </w:r>
      <w:sdt>
        <w:sdtPr>
          <w:rPr>
            <w:rFonts w:hint="eastAsia"/>
            <w:color w:val="000000" w:themeColor="text1"/>
          </w:rPr>
          <w:alias w:val="单位：股份支付费用"/>
          <w:tag w:val="_GBC_fa8b4c68205a49bca9ddabb13842faf1"/>
          <w:id w:val="-35025648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千元</w:t>
          </w:r>
          <w:r>
            <w:rPr>
              <w:rFonts w:hint="eastAsia"/>
              <w:color w:val="000000" w:themeColor="text1"/>
            </w:rPr>
            <w:t xml:space="preserve">  </w:t>
          </w:r>
        </w:sdtContent>
      </w:sdt>
      <w:r>
        <w:rPr>
          <w:rFonts w:hint="eastAsia"/>
          <w:color w:val="000000" w:themeColor="text1"/>
        </w:rPr>
        <w:t>币种：</w:t>
      </w:r>
      <w:sdt>
        <w:sdtPr>
          <w:rPr>
            <w:rFonts w:hint="eastAsia"/>
            <w:color w:val="000000" w:themeColor="text1"/>
          </w:rPr>
          <w:alias w:val="币种：股份支付费用"/>
          <w:tag w:val="_GBC_6e8897592033420a8edb8433bc9271f5"/>
          <w:id w:val="-10915429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14"/>
        <w:tblW w:w="9049" w:type="dxa"/>
        <w:tblInd w:w="0" w:type="dxa"/>
        <w:tblLayout w:type="fixed"/>
        <w:tblLook w:val="04A0" w:firstRow="1" w:lastRow="0" w:firstColumn="1" w:lastColumn="0" w:noHBand="0" w:noVBand="1"/>
      </w:tblPr>
      <w:tblGrid>
        <w:gridCol w:w="3016"/>
        <w:gridCol w:w="3016"/>
        <w:gridCol w:w="3017"/>
      </w:tblGrid>
      <w:tr>
        <w:sdt>
          <w:sdtPr>
            <w:tag w:val="_PLD_58cbd34a362f4beeb751f57c604d7d40"/>
            <w:id w:val="480042335"/>
          </w:sdtPr>
          <w:sdtContent>
            <w:tc>
              <w:tcPr>
                <w:tcW w:w="3016" w:type="dxa"/>
                <w:vAlign w:val="center"/>
              </w:tcPr>
              <w:p>
                <w:pPr>
                  <w:jc w:val="center"/>
                  <w:rPr>
                    <w:color w:val="000000" w:themeColor="text1"/>
                  </w:rPr>
                </w:pPr>
                <w:r>
                  <w:rPr>
                    <w:color w:val="000000" w:themeColor="text1"/>
                  </w:rPr>
                  <w:t>授予对象类别</w:t>
                </w:r>
              </w:p>
            </w:tc>
          </w:sdtContent>
        </w:sdt>
        <w:sdt>
          <w:sdtPr>
            <w:tag w:val="_PLD_f92a7621244d46c8a1e16f0f41ea1378"/>
            <w:id w:val="-559010681"/>
          </w:sdtPr>
          <w:sdtContent>
            <w:tc>
              <w:tcPr>
                <w:tcW w:w="3016" w:type="dxa"/>
                <w:vAlign w:val="center"/>
              </w:tcPr>
              <w:p>
                <w:pPr>
                  <w:jc w:val="center"/>
                  <w:rPr>
                    <w:color w:val="000000" w:themeColor="text1"/>
                  </w:rPr>
                </w:pPr>
                <w:r>
                  <w:rPr>
                    <w:color w:val="000000" w:themeColor="text1"/>
                  </w:rPr>
                  <w:t>以权益结算的股份支付费用</w:t>
                </w:r>
              </w:p>
            </w:tc>
          </w:sdtContent>
        </w:sdt>
        <w:sdt>
          <w:sdtPr>
            <w:tag w:val="_PLD_ff1e5fc970694cab997211d684671242"/>
            <w:id w:val="-2005498979"/>
          </w:sdtPr>
          <w:sdtContent>
            <w:tc>
              <w:tcPr>
                <w:tcW w:w="3017" w:type="dxa"/>
                <w:vAlign w:val="center"/>
              </w:tcPr>
              <w:p>
                <w:pPr>
                  <w:jc w:val="center"/>
                  <w:rPr>
                    <w:color w:val="000000" w:themeColor="text1"/>
                  </w:rPr>
                </w:pPr>
                <w:r>
                  <w:rPr>
                    <w:color w:val="000000" w:themeColor="text1"/>
                  </w:rPr>
                  <w:t>以现金结算的股份支付费用</w:t>
                </w:r>
              </w:p>
            </w:tc>
          </w:sdtContent>
        </w:sdt>
      </w:tr>
      <w:tr>
        <w:tc>
          <w:tcPr>
            <w:tcW w:w="3016" w:type="dxa"/>
          </w:tcPr>
          <w:p>
            <w:pPr>
              <w:rPr>
                <w:rFonts w:asciiTheme="minorEastAsia" w:eastAsiaTheme="minorEastAsia" w:hAnsiTheme="minorEastAsia"/>
              </w:rPr>
            </w:pPr>
            <w:r>
              <w:rPr>
                <w:rFonts w:hint="eastAsia"/>
              </w:rPr>
              <w:t>本公司</w:t>
            </w:r>
          </w:p>
        </w:tc>
        <w:tc>
          <w:tcPr>
            <w:tcW w:w="3016" w:type="dxa"/>
            <w:vAlign w:val="center"/>
          </w:tcPr>
          <w:p>
            <w:pPr>
              <w:jc w:val="right"/>
              <w:rPr>
                <w:rFonts w:ascii="宋体" w:hAnsi="宋体"/>
              </w:rPr>
            </w:pPr>
            <w:r>
              <w:rPr>
                <w:rFonts w:ascii="宋体" w:hAnsi="宋体"/>
              </w:rPr>
              <w:t>47,420</w:t>
            </w:r>
          </w:p>
        </w:tc>
        <w:tc>
          <w:tcPr>
            <w:tcW w:w="3017" w:type="dxa"/>
            <w:vAlign w:val="center"/>
          </w:tcPr>
          <w:p>
            <w:pPr>
              <w:jc w:val="right"/>
              <w:rPr>
                <w:rFonts w:asciiTheme="minorEastAsia" w:eastAsiaTheme="minorEastAsia" w:hAnsiTheme="minorEastAsia"/>
              </w:rPr>
            </w:pPr>
          </w:p>
        </w:tc>
      </w:tr>
      <w:tr>
        <w:tc>
          <w:tcPr>
            <w:tcW w:w="3016" w:type="dxa"/>
          </w:tcPr>
          <w:p>
            <w:pPr>
              <w:rPr>
                <w:rFonts w:asciiTheme="minorEastAsia" w:eastAsiaTheme="minorEastAsia" w:hAnsiTheme="minorEastAsia"/>
              </w:rPr>
            </w:pPr>
            <w:r>
              <w:rPr>
                <w:rFonts w:hint="eastAsia"/>
              </w:rPr>
              <w:t>澳洲公司</w:t>
            </w:r>
          </w:p>
        </w:tc>
        <w:tc>
          <w:tcPr>
            <w:tcW w:w="3016" w:type="dxa"/>
            <w:vAlign w:val="center"/>
          </w:tcPr>
          <w:p>
            <w:pPr>
              <w:jc w:val="right"/>
              <w:rPr>
                <w:rFonts w:ascii="宋体" w:hAnsi="宋体"/>
              </w:rPr>
            </w:pPr>
            <w:r>
              <w:rPr>
                <w:rFonts w:ascii="宋体" w:hAnsi="宋体"/>
              </w:rPr>
              <w:t>26,619</w:t>
            </w:r>
          </w:p>
        </w:tc>
        <w:tc>
          <w:tcPr>
            <w:tcW w:w="3017" w:type="dxa"/>
            <w:vAlign w:val="center"/>
          </w:tcPr>
          <w:p>
            <w:pPr>
              <w:jc w:val="right"/>
              <w:rPr>
                <w:rFonts w:asciiTheme="minorEastAsia" w:eastAsiaTheme="minorEastAsia" w:hAnsiTheme="minorEastAsia"/>
              </w:rPr>
            </w:pPr>
          </w:p>
        </w:tc>
      </w:tr>
      <w:tr>
        <w:tc>
          <w:tcPr>
            <w:tcW w:w="3016" w:type="dxa"/>
          </w:tcPr>
          <w:p>
            <w:pPr>
              <w:rPr>
                <w:rFonts w:asciiTheme="minorEastAsia" w:eastAsiaTheme="minorEastAsia" w:hAnsiTheme="minorEastAsia"/>
              </w:rPr>
            </w:pPr>
            <w:r>
              <w:rPr>
                <w:rFonts w:hint="eastAsia"/>
              </w:rPr>
              <w:t>物泊科技</w:t>
            </w:r>
          </w:p>
        </w:tc>
        <w:tc>
          <w:tcPr>
            <w:tcW w:w="3016" w:type="dxa"/>
            <w:vAlign w:val="center"/>
          </w:tcPr>
          <w:p>
            <w:pPr>
              <w:jc w:val="right"/>
              <w:rPr>
                <w:rFonts w:ascii="宋体" w:hAnsi="宋体"/>
              </w:rPr>
            </w:pPr>
            <w:r>
              <w:rPr>
                <w:rFonts w:ascii="宋体" w:hAnsi="宋体"/>
              </w:rPr>
              <w:t>6,597</w:t>
            </w:r>
          </w:p>
        </w:tc>
        <w:tc>
          <w:tcPr>
            <w:tcW w:w="3017" w:type="dxa"/>
            <w:vAlign w:val="center"/>
          </w:tcPr>
          <w:p>
            <w:pPr>
              <w:jc w:val="right"/>
              <w:rPr>
                <w:rFonts w:asciiTheme="minorEastAsia" w:eastAsiaTheme="minorEastAsia" w:hAnsiTheme="minorEastAsia"/>
              </w:rPr>
            </w:pPr>
          </w:p>
        </w:tc>
      </w:tr>
      <w:tr>
        <w:tc>
          <w:tcPr>
            <w:tcW w:w="3016" w:type="dxa"/>
            <w:vAlign w:val="center"/>
          </w:tcPr>
          <w:p>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合计</w:t>
            </w:r>
          </w:p>
        </w:tc>
        <w:tc>
          <w:tcPr>
            <w:tcW w:w="3016" w:type="dxa"/>
            <w:vAlign w:val="center"/>
          </w:tcPr>
          <w:p>
            <w:pPr>
              <w:jc w:val="right"/>
              <w:rPr>
                <w:rFonts w:ascii="宋体" w:hAnsi="宋体"/>
              </w:rPr>
            </w:pPr>
            <w:r>
              <w:rPr>
                <w:rFonts w:ascii="宋体" w:hAnsi="宋体"/>
              </w:rPr>
              <w:t>80,636</w:t>
            </w:r>
          </w:p>
        </w:tc>
        <w:tc>
          <w:tcPr>
            <w:tcW w:w="3017" w:type="dxa"/>
            <w:vAlign w:val="center"/>
          </w:tcPr>
          <w:p>
            <w:pPr>
              <w:jc w:val="right"/>
              <w:rPr>
                <w:rFonts w:asciiTheme="minorEastAsia" w:eastAsiaTheme="minorEastAsia" w:hAnsiTheme="minorEastAsia"/>
              </w:rPr>
            </w:pPr>
          </w:p>
        </w:tc>
      </w:tr>
    </w:tbl>
    <w:p>
      <w:pPr>
        <w:rPr>
          <w:color w:val="000000" w:themeColor="text1"/>
        </w:rPr>
      </w:pPr>
    </w:p>
    <w:p>
      <w:pPr>
        <w:rPr>
          <w:color w:val="000000" w:themeColor="text1"/>
        </w:rPr>
      </w:pPr>
      <w:bookmarkStart w:id="552" w:name="_Hlk168494436"/>
      <w:bookmarkEnd w:id="551"/>
      <w:r>
        <w:rPr>
          <w:rFonts w:hint="eastAsia"/>
          <w:color w:val="000000" w:themeColor="text1"/>
        </w:rPr>
        <w:t>其他说明</w:t>
      </w:r>
    </w:p>
    <w:sdt>
      <w:sdtPr>
        <w:rPr>
          <w:color w:val="000000" w:themeColor="text1"/>
        </w:rPr>
        <w:alias w:val="股份支付费用的说明"/>
        <w:tag w:val="_GBC_e3b08f7b639e457ebe1c766fe0d0f181"/>
        <w:id w:val="-1994023122"/>
        <w:placeholder>
          <w:docPart w:val="GBC22222222222222222222222222222"/>
        </w:placeholder>
      </w:sdtPr>
      <w:sdtContent>
        <w:p>
          <w:pPr>
            <w:rPr>
              <w:color w:val="000000" w:themeColor="text1"/>
            </w:rPr>
          </w:pPr>
          <w:r>
            <w:rPr>
              <w:rFonts w:hint="eastAsia"/>
              <w:color w:val="000000" w:themeColor="text1"/>
            </w:rPr>
            <w:t>-</w:t>
          </w:r>
        </w:p>
      </w:sdtContent>
    </w:sdt>
    <w:p>
      <w:pPr>
        <w:rPr>
          <w:color w:val="000000" w:themeColor="text1"/>
        </w:rPr>
      </w:pPr>
    </w:p>
    <w:bookmarkEnd w:id="549"/>
    <w:bookmarkEnd w:id="552"/>
    <w:p>
      <w:pPr>
        <w:pStyle w:val="Style178"/>
        <w:numPr>
          <w:ilvl w:val="0"/>
          <w:numId w:val="129"/>
        </w:numPr>
        <w:ind w:left="450" w:hanging="450"/>
        <w:rPr>
          <w:color w:val="000000" w:themeColor="text1"/>
          <w:szCs w:val="21"/>
        </w:rPr>
      </w:pPr>
      <w:r>
        <w:rPr>
          <w:rFonts w:hint="eastAsia"/>
          <w:color w:val="000000" w:themeColor="text1"/>
          <w:szCs w:val="21"/>
        </w:rPr>
        <w:t>股份支付的修改、终止情况</w:t>
      </w:r>
    </w:p>
    <w:sdt>
      <w:sdtPr>
        <w:rPr>
          <w:rFonts w:hint="eastAsia"/>
        </w:rPr>
        <w:alias w:val="是否适用：股份支付的修改、终止情况[双击切换]"/>
        <w:tag w:val="_GBC_6da986e9834d42b9bb7548673f325962"/>
        <w:id w:val="302202299"/>
        <w:placeholder>
          <w:docPart w:val="GBC22222222222222222222222222222"/>
        </w:placeholder>
      </w:sdtPr>
      <w:sdtContent>
        <w:p>
          <w:pPr>
            <w:rPr>
              <w:rFonts w:asciiTheme="minorHAnsi" w:eastAsiaTheme="minorEastAsia" w:hAnsiTheme="minorHAnsi" w:cstheme="minorBidi"/>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ind w:firstLineChars="100" w:firstLine="210"/>
      </w:pPr>
    </w:p>
    <w:p>
      <w:pPr>
        <w:pStyle w:val="Style178"/>
        <w:numPr>
          <w:ilvl w:val="0"/>
          <w:numId w:val="129"/>
        </w:numPr>
        <w:ind w:left="450" w:hanging="450"/>
        <w:rPr>
          <w:color w:val="000000" w:themeColor="text1"/>
          <w:szCs w:val="21"/>
        </w:rPr>
      </w:pPr>
      <w:r>
        <w:rPr>
          <w:rFonts w:hint="eastAsia"/>
          <w:color w:val="000000" w:themeColor="text1"/>
          <w:szCs w:val="21"/>
        </w:rPr>
        <w:t>其他</w:t>
      </w:r>
    </w:p>
    <w:sdt>
      <w:sdtPr>
        <w:rPr>
          <w:rFonts w:hint="eastAsia"/>
        </w:rPr>
        <w:alias w:val="是否适用：股份支付的其他情况说明[双击切换]"/>
        <w:tag w:val="_GBC_d03d26e0d4844b798c3d4b87d2578ece"/>
        <w:id w:val="-210039974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szCs w:val="21"/>
        </w:rPr>
      </w:pPr>
      <w:r>
        <w:rPr>
          <w:rFonts w:hint="eastAsia"/>
          <w:szCs w:val="21"/>
        </w:rPr>
        <w:t>承诺及或有事项</w:t>
      </w:r>
    </w:p>
    <w:p>
      <w:pPr>
        <w:pStyle w:val="Style178"/>
        <w:numPr>
          <w:ilvl w:val="0"/>
          <w:numId w:val="131"/>
        </w:numPr>
        <w:rPr>
          <w:rFonts w:ascii="宋体" w:hAnsi="宋体"/>
          <w:szCs w:val="21"/>
        </w:rPr>
      </w:pPr>
      <w:r>
        <w:rPr>
          <w:rFonts w:ascii="宋体" w:hAnsi="宋体" w:hint="eastAsia"/>
          <w:szCs w:val="21"/>
        </w:rPr>
        <w:t>重要承诺事项</w:t>
      </w:r>
    </w:p>
    <w:sdt>
      <w:sdtPr>
        <w:alias w:val="是否适用：重要承诺事项[双击切换]"/>
        <w:tag w:val="_GBC_568be9a6805040a8b9fbd5c5d07b45dd"/>
        <w:id w:val="1816071570"/>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r>
        <w:rPr>
          <w:rFonts w:hint="eastAsia"/>
        </w:rPr>
        <w:t>资产负债表日存在的对外重要承诺、性质、金额</w:t>
      </w:r>
    </w:p>
    <w:bookmarkStart w:id="553" w:name="_Hlk224569860" w:displacedByCustomXml="next"/>
    <w:sdt>
      <w:sdtPr>
        <w:rPr>
          <w:rFonts w:cs="Cambria"/>
          <w:bCs/>
        </w:rPr>
        <w:alias w:val="资产负债表日存在的重要承诺"/>
        <w:tag w:val="_GBC_d8961aa2bd524a56bb4914de9e5d2dc3"/>
        <w:id w:val="-706789086"/>
        <w:lock w:val="sdtLocked"/>
        <w:placeholder>
          <w:docPart w:val="GBC22222222222222222222222222222"/>
        </w:placeholder>
      </w:sdtPr>
      <w:sdtContent>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6"/>
            <w:gridCol w:w="2381"/>
            <w:gridCol w:w="2382"/>
          </w:tblGrid>
          <w:tr>
            <w:trPr>
              <w:trHeight w:val="329"/>
              <w:tblHeader/>
              <w:jc w:val="center"/>
            </w:trPr>
            <w:tc>
              <w:tcPr>
                <w:tcW w:w="3816" w:type="dxa"/>
                <w:shd w:val="clear" w:color="auto" w:fill="auto"/>
                <w:vAlign w:val="center"/>
              </w:tcPr>
              <w:p>
                <w:pPr>
                  <w:jc w:val="center"/>
                  <w:rPr>
                    <w:rFonts w:ascii="宋体" w:hAnsi="宋体" w:cs="宋体"/>
                    <w:b/>
                    <w:bCs/>
                    <w:color w:val="000000"/>
                  </w:rPr>
                </w:pPr>
                <w:r>
                  <w:rPr>
                    <w:rFonts w:ascii="宋体" w:hAnsi="宋体" w:cs="宋体" w:hint="eastAsia"/>
                    <w:b/>
                    <w:bCs/>
                    <w:color w:val="000000"/>
                  </w:rPr>
                  <w:t>承诺事项</w:t>
                </w:r>
              </w:p>
            </w:tc>
            <w:tc>
              <w:tcPr>
                <w:tcW w:w="2381" w:type="dxa"/>
                <w:shd w:val="clear" w:color="auto" w:fill="auto"/>
                <w:vAlign w:val="center"/>
              </w:tcPr>
              <w:p>
                <w:pPr>
                  <w:jc w:val="center"/>
                  <w:rPr>
                    <w:rFonts w:ascii="宋体" w:hAnsi="宋体" w:cs="宋体"/>
                    <w:b/>
                    <w:bCs/>
                    <w:color w:val="000000"/>
                  </w:rPr>
                </w:pPr>
                <w:r>
                  <w:rPr>
                    <w:rFonts w:ascii="宋体" w:hAnsi="宋体" w:cs="宋体" w:hint="eastAsia"/>
                    <w:b/>
                    <w:bCs/>
                    <w:color w:val="000000"/>
                  </w:rPr>
                  <w:t>期末余额</w:t>
                </w:r>
              </w:p>
            </w:tc>
            <w:tc>
              <w:tcPr>
                <w:tcW w:w="2382" w:type="dxa"/>
                <w:shd w:val="clear" w:color="auto" w:fill="auto"/>
                <w:vAlign w:val="center"/>
              </w:tcPr>
              <w:p>
                <w:pPr>
                  <w:jc w:val="center"/>
                  <w:rPr>
                    <w:rFonts w:ascii="宋体" w:hAnsi="宋体" w:cs="宋体"/>
                    <w:b/>
                    <w:bCs/>
                    <w:color w:val="000000"/>
                  </w:rPr>
                </w:pPr>
                <w:r>
                  <w:rPr>
                    <w:rFonts w:ascii="宋体" w:hAnsi="宋体" w:cs="宋体" w:hint="eastAsia"/>
                    <w:b/>
                    <w:bCs/>
                    <w:color w:val="000000"/>
                  </w:rPr>
                  <w:t>期初余额</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准东五彩湾矿区项目</w:t>
                </w:r>
              </w:p>
            </w:tc>
            <w:tc>
              <w:tcPr>
                <w:tcW w:w="2381" w:type="dxa"/>
                <w:shd w:val="clear" w:color="auto" w:fill="auto"/>
                <w:vAlign w:val="center"/>
              </w:tcPr>
              <w:p>
                <w:pPr>
                  <w:jc w:val="right"/>
                  <w:rPr>
                    <w:rFonts w:ascii="宋体" w:hAnsi="宋体" w:cs="宋体"/>
                    <w:color w:val="000000"/>
                  </w:rPr>
                </w:pPr>
                <w:r>
                  <w:rPr>
                    <w:rFonts w:ascii="宋体" w:hAnsi="宋体" w:cs="宋体" w:hint="eastAsia"/>
                    <w:color w:val="000000"/>
                  </w:rPr>
                  <w:t>3,095,358</w:t>
                </w:r>
              </w:p>
            </w:tc>
            <w:tc>
              <w:tcPr>
                <w:tcW w:w="2382" w:type="dxa"/>
                <w:shd w:val="clear" w:color="auto" w:fill="auto"/>
                <w:vAlign w:val="center"/>
              </w:tcPr>
              <w:p>
                <w:pPr>
                  <w:jc w:val="right"/>
                  <w:rPr>
                    <w:rFonts w:ascii="宋体" w:hAnsi="宋体" w:cs="宋体"/>
                    <w:color w:val="000000"/>
                  </w:rPr>
                </w:pPr>
                <w:r>
                  <w:rPr>
                    <w:rFonts w:ascii="宋体" w:hAnsi="宋体" w:cs="宋体" w:hint="eastAsia"/>
                  </w:rPr>
                  <w:t>4,818,661</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鲁南化工煤化工项目</w:t>
                </w:r>
              </w:p>
            </w:tc>
            <w:tc>
              <w:tcPr>
                <w:tcW w:w="2381" w:type="dxa"/>
                <w:shd w:val="clear" w:color="auto" w:fill="auto"/>
                <w:vAlign w:val="center"/>
              </w:tcPr>
              <w:p>
                <w:pPr>
                  <w:jc w:val="right"/>
                  <w:rPr>
                    <w:rFonts w:ascii="宋体" w:hAnsi="宋体" w:cs="宋体"/>
                    <w:color w:val="000000"/>
                  </w:rPr>
                </w:pPr>
                <w:r>
                  <w:rPr>
                    <w:rFonts w:ascii="宋体" w:hAnsi="宋体" w:cs="宋体" w:hint="eastAsia"/>
                    <w:color w:val="000000"/>
                  </w:rPr>
                  <w:t>1,404,882</w:t>
                </w:r>
              </w:p>
            </w:tc>
            <w:tc>
              <w:tcPr>
                <w:tcW w:w="2382" w:type="dxa"/>
                <w:shd w:val="clear" w:color="auto" w:fill="auto"/>
                <w:vAlign w:val="center"/>
              </w:tcPr>
              <w:p>
                <w:pPr>
                  <w:jc w:val="right"/>
                  <w:rPr>
                    <w:rFonts w:ascii="宋体" w:hAnsi="宋体" w:cs="宋体"/>
                    <w:color w:val="000000"/>
                  </w:rPr>
                </w:pPr>
                <w:r>
                  <w:rPr>
                    <w:rFonts w:ascii="宋体" w:hAnsi="宋体" w:cs="宋体" w:hint="eastAsia"/>
                    <w:color w:val="000000"/>
                  </w:rPr>
                  <w:t>692,436</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万福煤矿项目</w:t>
                </w:r>
              </w:p>
            </w:tc>
            <w:tc>
              <w:tcPr>
                <w:tcW w:w="2381" w:type="dxa"/>
                <w:shd w:val="clear" w:color="auto" w:fill="auto"/>
                <w:vAlign w:val="center"/>
              </w:tcPr>
              <w:p>
                <w:pPr>
                  <w:jc w:val="right"/>
                  <w:rPr>
                    <w:rFonts w:ascii="宋体" w:hAnsi="宋体" w:cs="宋体"/>
                    <w:color w:val="000000"/>
                  </w:rPr>
                </w:pPr>
                <w:r>
                  <w:rPr>
                    <w:rFonts w:ascii="宋体" w:hAnsi="宋体" w:cs="宋体"/>
                    <w:color w:val="000000"/>
                  </w:rPr>
                  <w:t>283,384</w:t>
                </w:r>
              </w:p>
            </w:tc>
            <w:tc>
              <w:tcPr>
                <w:tcW w:w="2382" w:type="dxa"/>
                <w:shd w:val="clear" w:color="auto" w:fill="auto"/>
                <w:vAlign w:val="center"/>
              </w:tcPr>
              <w:p>
                <w:pPr>
                  <w:jc w:val="right"/>
                  <w:rPr>
                    <w:rFonts w:ascii="宋体" w:hAnsi="宋体" w:cs="宋体"/>
                    <w:color w:val="000000"/>
                  </w:rPr>
                </w:pPr>
                <w:r>
                  <w:rPr>
                    <w:rFonts w:ascii="宋体" w:hAnsi="宋体" w:cs="宋体" w:hint="eastAsia"/>
                    <w:color w:val="000000"/>
                  </w:rPr>
                  <w:t>499,965</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兖矿泰安港公铁水联运物流园</w:t>
                </w:r>
              </w:p>
            </w:tc>
            <w:tc>
              <w:tcPr>
                <w:tcW w:w="2381" w:type="dxa"/>
                <w:shd w:val="clear" w:color="auto" w:fill="auto"/>
                <w:vAlign w:val="center"/>
              </w:tcPr>
              <w:p>
                <w:pPr>
                  <w:jc w:val="right"/>
                  <w:rPr>
                    <w:rFonts w:ascii="宋体" w:hAnsi="宋体" w:cs="宋体"/>
                    <w:color w:val="000000"/>
                  </w:rPr>
                </w:pPr>
                <w:r>
                  <w:rPr>
                    <w:rFonts w:ascii="宋体" w:hAnsi="宋体" w:cs="宋体" w:hint="eastAsia"/>
                    <w:color w:val="000000"/>
                  </w:rPr>
                  <w:t>2,666</w:t>
                </w:r>
              </w:p>
            </w:tc>
            <w:tc>
              <w:tcPr>
                <w:tcW w:w="2382" w:type="dxa"/>
                <w:shd w:val="clear" w:color="auto" w:fill="auto"/>
                <w:vAlign w:val="center"/>
              </w:tcPr>
              <w:p>
                <w:pPr>
                  <w:jc w:val="right"/>
                  <w:rPr>
                    <w:rFonts w:ascii="宋体" w:hAnsi="宋体" w:cs="宋体"/>
                    <w:color w:val="000000"/>
                  </w:rPr>
                </w:pPr>
                <w:r>
                  <w:rPr>
                    <w:rFonts w:ascii="宋体" w:hAnsi="宋体" w:cs="宋体" w:hint="eastAsia"/>
                    <w:color w:val="000000"/>
                  </w:rPr>
                  <w:t>403,530</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上海山东能源大厦项目</w:t>
                </w:r>
              </w:p>
            </w:tc>
            <w:tc>
              <w:tcPr>
                <w:tcW w:w="2381" w:type="dxa"/>
                <w:shd w:val="clear" w:color="auto" w:fill="auto"/>
                <w:vAlign w:val="center"/>
              </w:tcPr>
              <w:p>
                <w:pPr>
                  <w:jc w:val="right"/>
                  <w:rPr>
                    <w:rFonts w:ascii="宋体" w:hAnsi="宋体" w:cs="宋体"/>
                    <w:color w:val="000000"/>
                  </w:rPr>
                </w:pPr>
                <w:r>
                  <w:rPr>
                    <w:rFonts w:ascii="宋体" w:hAnsi="宋体" w:cs="宋体" w:hint="eastAsia"/>
                    <w:color w:val="000000"/>
                  </w:rPr>
                  <w:t>103,405</w:t>
                </w:r>
              </w:p>
            </w:tc>
            <w:tc>
              <w:tcPr>
                <w:tcW w:w="2382" w:type="dxa"/>
                <w:shd w:val="clear" w:color="auto" w:fill="auto"/>
                <w:vAlign w:val="center"/>
              </w:tcPr>
              <w:p>
                <w:pPr>
                  <w:jc w:val="right"/>
                  <w:rPr>
                    <w:rFonts w:ascii="宋体" w:hAnsi="宋体" w:cs="宋体"/>
                    <w:color w:val="000000"/>
                  </w:rPr>
                </w:pPr>
                <w:r>
                  <w:rPr>
                    <w:rFonts w:ascii="宋体" w:hAnsi="宋体" w:cs="宋体" w:hint="eastAsia"/>
                    <w:color w:val="000000"/>
                  </w:rPr>
                  <w:t>225,029</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兖矿能源智慧制造园区项目</w:t>
                </w:r>
              </w:p>
            </w:tc>
            <w:tc>
              <w:tcPr>
                <w:tcW w:w="2381" w:type="dxa"/>
                <w:shd w:val="clear" w:color="auto" w:fill="auto"/>
                <w:vAlign w:val="center"/>
              </w:tcPr>
              <w:p>
                <w:pPr>
                  <w:jc w:val="right"/>
                  <w:rPr>
                    <w:rFonts w:ascii="宋体" w:hAnsi="宋体" w:cs="宋体"/>
                    <w:color w:val="000000"/>
                  </w:rPr>
                </w:pPr>
              </w:p>
            </w:tc>
            <w:tc>
              <w:tcPr>
                <w:tcW w:w="2382" w:type="dxa"/>
                <w:shd w:val="clear" w:color="auto" w:fill="auto"/>
                <w:vAlign w:val="center"/>
              </w:tcPr>
              <w:p>
                <w:pPr>
                  <w:jc w:val="right"/>
                  <w:rPr>
                    <w:rFonts w:ascii="宋体" w:hAnsi="宋体" w:cs="宋体"/>
                    <w:color w:val="000000"/>
                  </w:rPr>
                </w:pPr>
                <w:r>
                  <w:rPr>
                    <w:rFonts w:ascii="宋体" w:hAnsi="宋体" w:cs="宋体" w:hint="eastAsia"/>
                    <w:color w:val="000000"/>
                  </w:rPr>
                  <w:t>85,589</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兴隆庄煤矿膏体充填系统地面充填站建设工程</w:t>
                </w:r>
              </w:p>
            </w:tc>
            <w:tc>
              <w:tcPr>
                <w:tcW w:w="2381" w:type="dxa"/>
                <w:shd w:val="clear" w:color="auto" w:fill="auto"/>
                <w:vAlign w:val="center"/>
              </w:tcPr>
              <w:p>
                <w:pPr>
                  <w:jc w:val="right"/>
                  <w:rPr>
                    <w:rFonts w:ascii="宋体" w:hAnsi="宋体" w:cs="宋体"/>
                    <w:color w:val="000000"/>
                  </w:rPr>
                </w:pPr>
              </w:p>
            </w:tc>
            <w:tc>
              <w:tcPr>
                <w:tcW w:w="2382" w:type="dxa"/>
                <w:shd w:val="clear" w:color="auto" w:fill="auto"/>
                <w:vAlign w:val="center"/>
              </w:tcPr>
              <w:p>
                <w:pPr>
                  <w:jc w:val="right"/>
                  <w:rPr>
                    <w:rFonts w:ascii="宋体" w:hAnsi="宋体" w:cs="宋体"/>
                    <w:color w:val="000000"/>
                  </w:rPr>
                </w:pPr>
                <w:r>
                  <w:rPr>
                    <w:rFonts w:ascii="宋体" w:hAnsi="宋体" w:cs="宋体" w:hint="eastAsia"/>
                    <w:color w:val="000000"/>
                  </w:rPr>
                  <w:t>63,129</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金鸡滩矿井和选煤厂项目</w:t>
                </w:r>
              </w:p>
            </w:tc>
            <w:tc>
              <w:tcPr>
                <w:tcW w:w="2381" w:type="dxa"/>
                <w:shd w:val="clear" w:color="auto" w:fill="auto"/>
                <w:vAlign w:val="center"/>
              </w:tcPr>
              <w:p>
                <w:pPr>
                  <w:jc w:val="right"/>
                  <w:rPr>
                    <w:rFonts w:ascii="宋体" w:hAnsi="宋体" w:cs="宋体"/>
                    <w:color w:val="000000"/>
                  </w:rPr>
                </w:pPr>
                <w:r>
                  <w:rPr>
                    <w:rFonts w:ascii="宋体" w:hAnsi="宋体" w:cs="宋体" w:hint="eastAsia"/>
                    <w:color w:val="000000"/>
                  </w:rPr>
                  <w:t>33,775</w:t>
                </w:r>
              </w:p>
            </w:tc>
            <w:tc>
              <w:tcPr>
                <w:tcW w:w="2382" w:type="dxa"/>
                <w:shd w:val="clear" w:color="auto" w:fill="auto"/>
                <w:vAlign w:val="center"/>
              </w:tcPr>
              <w:p>
                <w:pPr>
                  <w:jc w:val="right"/>
                  <w:rPr>
                    <w:rFonts w:ascii="宋体" w:hAnsi="宋体" w:cs="宋体"/>
                    <w:color w:val="000000"/>
                  </w:rPr>
                </w:pPr>
                <w:r>
                  <w:rPr>
                    <w:rFonts w:ascii="宋体" w:hAnsi="宋体" w:cs="宋体" w:hint="eastAsia"/>
                  </w:rPr>
                  <w:t>48,089</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荣信甲醇厂二期项目</w:t>
                </w:r>
              </w:p>
            </w:tc>
            <w:tc>
              <w:tcPr>
                <w:tcW w:w="2381" w:type="dxa"/>
                <w:shd w:val="clear" w:color="auto" w:fill="auto"/>
                <w:vAlign w:val="center"/>
              </w:tcPr>
              <w:p>
                <w:pPr>
                  <w:jc w:val="right"/>
                  <w:rPr>
                    <w:rFonts w:ascii="宋体" w:hAnsi="宋体" w:cs="宋体"/>
                    <w:color w:val="000000"/>
                  </w:rPr>
                </w:pPr>
                <w:r>
                  <w:rPr>
                    <w:rFonts w:ascii="宋体" w:hAnsi="宋体" w:cs="宋体" w:hint="eastAsia"/>
                    <w:color w:val="000000"/>
                  </w:rPr>
                  <w:t>7,508,738</w:t>
                </w:r>
              </w:p>
            </w:tc>
            <w:tc>
              <w:tcPr>
                <w:tcW w:w="2382" w:type="dxa"/>
                <w:shd w:val="clear" w:color="auto" w:fill="auto"/>
                <w:vAlign w:val="center"/>
              </w:tcPr>
              <w:p>
                <w:pPr>
                  <w:jc w:val="right"/>
                  <w:rPr>
                    <w:rFonts w:ascii="宋体" w:hAnsi="宋体" w:cs="宋体"/>
                    <w:color w:val="000000"/>
                  </w:rPr>
                </w:pPr>
                <w:r>
                  <w:rPr>
                    <w:rFonts w:ascii="宋体" w:hAnsi="宋体" w:cs="宋体" w:hint="eastAsia"/>
                  </w:rPr>
                  <w:t>450</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石拉乌素矿井及选煤厂项目</w:t>
                </w:r>
              </w:p>
            </w:tc>
            <w:tc>
              <w:tcPr>
                <w:tcW w:w="2381" w:type="dxa"/>
                <w:shd w:val="clear" w:color="auto" w:fill="auto"/>
                <w:vAlign w:val="center"/>
              </w:tcPr>
              <w:p>
                <w:pPr>
                  <w:jc w:val="right"/>
                  <w:rPr>
                    <w:rFonts w:ascii="宋体" w:hAnsi="宋体" w:cs="宋体"/>
                    <w:color w:val="000000"/>
                  </w:rPr>
                </w:pPr>
                <w:r>
                  <w:rPr>
                    <w:rFonts w:ascii="宋体" w:hAnsi="宋体" w:cs="宋体"/>
                    <w:color w:val="000000"/>
                  </w:rPr>
                  <w:t>553,140</w:t>
                </w:r>
              </w:p>
            </w:tc>
            <w:tc>
              <w:tcPr>
                <w:tcW w:w="2382" w:type="dxa"/>
                <w:shd w:val="clear" w:color="auto" w:fill="auto"/>
                <w:vAlign w:val="center"/>
              </w:tcPr>
              <w:p>
                <w:pPr>
                  <w:jc w:val="right"/>
                  <w:rPr>
                    <w:rFonts w:ascii="宋体" w:hAnsi="宋体" w:cs="宋体"/>
                    <w:color w:val="000000"/>
                  </w:rPr>
                </w:pPr>
                <w:r>
                  <w:rPr>
                    <w:rFonts w:ascii="宋体" w:hAnsi="宋体" w:cs="宋体" w:hint="eastAsia"/>
                  </w:rPr>
                  <w:t>59</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80万/吨煤制烯烃项目</w:t>
                </w:r>
              </w:p>
            </w:tc>
            <w:tc>
              <w:tcPr>
                <w:tcW w:w="2381" w:type="dxa"/>
                <w:shd w:val="clear" w:color="auto" w:fill="auto"/>
                <w:vAlign w:val="center"/>
              </w:tcPr>
              <w:p>
                <w:pPr>
                  <w:jc w:val="right"/>
                  <w:rPr>
                    <w:rFonts w:ascii="宋体" w:hAnsi="宋体" w:cs="宋体"/>
                    <w:color w:val="000000"/>
                  </w:rPr>
                </w:pPr>
                <w:r>
                  <w:rPr>
                    <w:rFonts w:ascii="宋体" w:hAnsi="宋体" w:cs="宋体" w:hint="eastAsia"/>
                    <w:color w:val="000000"/>
                  </w:rPr>
                  <w:t>2,753,760</w:t>
                </w:r>
              </w:p>
            </w:tc>
            <w:tc>
              <w:tcPr>
                <w:tcW w:w="2382" w:type="dxa"/>
                <w:shd w:val="clear" w:color="auto" w:fill="auto"/>
                <w:vAlign w:val="center"/>
              </w:tcPr>
              <w:p>
                <w:pPr>
                  <w:jc w:val="right"/>
                  <w:rPr>
                    <w:rFonts w:ascii="宋体" w:hAnsi="宋体" w:cs="宋体"/>
                    <w:color w:val="000000"/>
                  </w:rPr>
                </w:pPr>
              </w:p>
            </w:tc>
          </w:tr>
          <w:tr>
            <w:trPr>
              <w:trHeight w:val="329"/>
              <w:jc w:val="center"/>
            </w:trPr>
            <w:tc>
              <w:tcPr>
                <w:tcW w:w="3816" w:type="dxa"/>
                <w:shd w:val="clear" w:color="auto" w:fill="auto"/>
                <w:noWrap/>
              </w:tcPr>
              <w:p>
                <w:pPr>
                  <w:rPr>
                    <w:rFonts w:ascii="宋体" w:hAnsi="宋体" w:cs="宋体"/>
                    <w:color w:val="000000"/>
                  </w:rPr>
                </w:pPr>
                <w:r>
                  <w:rPr>
                    <w:rFonts w:ascii="宋体" w:hAnsi="宋体" w:hint="eastAsia"/>
                  </w:rPr>
                  <w:t>准东铁路专用线项目</w:t>
                </w:r>
              </w:p>
            </w:tc>
            <w:tc>
              <w:tcPr>
                <w:tcW w:w="2381" w:type="dxa"/>
                <w:shd w:val="clear" w:color="auto" w:fill="auto"/>
                <w:vAlign w:val="center"/>
              </w:tcPr>
              <w:p>
                <w:pPr>
                  <w:jc w:val="right"/>
                  <w:rPr>
                    <w:rFonts w:ascii="宋体" w:hAnsi="宋体" w:cs="宋体"/>
                    <w:color w:val="000000"/>
                  </w:rPr>
                </w:pPr>
                <w:r>
                  <w:rPr>
                    <w:rFonts w:ascii="宋体" w:hAnsi="宋体"/>
                  </w:rPr>
                  <w:t>868,313</w:t>
                </w:r>
              </w:p>
            </w:tc>
            <w:tc>
              <w:tcPr>
                <w:tcW w:w="2382" w:type="dxa"/>
                <w:shd w:val="clear" w:color="auto" w:fill="auto"/>
                <w:vAlign w:val="center"/>
              </w:tcPr>
              <w:p>
                <w:pPr>
                  <w:jc w:val="right"/>
                  <w:rPr>
                    <w:rFonts w:ascii="宋体" w:hAnsi="宋体" w:cs="宋体"/>
                    <w:color w:val="000000"/>
                  </w:rPr>
                </w:pP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lastRenderedPageBreak/>
                  <w:t>油房壕煤矿井项目</w:t>
                </w:r>
              </w:p>
            </w:tc>
            <w:tc>
              <w:tcPr>
                <w:tcW w:w="2381" w:type="dxa"/>
                <w:shd w:val="clear" w:color="auto" w:fill="auto"/>
                <w:vAlign w:val="center"/>
              </w:tcPr>
              <w:p>
                <w:pPr>
                  <w:jc w:val="right"/>
                  <w:rPr>
                    <w:rFonts w:ascii="宋体" w:hAnsi="宋体" w:cs="宋体"/>
                    <w:color w:val="000000"/>
                  </w:rPr>
                </w:pPr>
                <w:r>
                  <w:rPr>
                    <w:rFonts w:ascii="宋体" w:hAnsi="宋体" w:cs="宋体" w:hint="eastAsia"/>
                    <w:color w:val="000000"/>
                  </w:rPr>
                  <w:t>1,105,515</w:t>
                </w:r>
              </w:p>
            </w:tc>
            <w:tc>
              <w:tcPr>
                <w:tcW w:w="2382" w:type="dxa"/>
                <w:shd w:val="clear" w:color="auto" w:fill="auto"/>
                <w:vAlign w:val="center"/>
              </w:tcPr>
              <w:p>
                <w:pPr>
                  <w:jc w:val="right"/>
                  <w:rPr>
                    <w:rFonts w:ascii="宋体" w:hAnsi="宋体" w:cs="宋体"/>
                    <w:color w:val="000000"/>
                  </w:rPr>
                </w:pPr>
                <w:r>
                  <w:rPr>
                    <w:rFonts w:ascii="宋体" w:hAnsi="宋体" w:cs="宋体"/>
                    <w:color w:val="000000"/>
                  </w:rPr>
                  <w:t>419,252</w:t>
                </w:r>
              </w:p>
            </w:tc>
          </w:tr>
          <w:tr>
            <w:trPr>
              <w:trHeight w:val="329"/>
              <w:jc w:val="center"/>
            </w:trPr>
            <w:tc>
              <w:tcPr>
                <w:tcW w:w="3816" w:type="dxa"/>
                <w:shd w:val="clear" w:color="auto" w:fill="auto"/>
                <w:noWrap/>
                <w:vAlign w:val="center"/>
              </w:tcPr>
              <w:p>
                <w:pPr>
                  <w:rPr>
                    <w:rFonts w:ascii="宋体" w:hAnsi="宋体" w:cs="宋体"/>
                    <w:color w:val="000000"/>
                  </w:rPr>
                </w:pPr>
                <w:r>
                  <w:rPr>
                    <w:rFonts w:ascii="宋体" w:hAnsi="宋体" w:cs="宋体" w:hint="eastAsia"/>
                    <w:color w:val="000000"/>
                  </w:rPr>
                  <w:t>其他</w:t>
                </w:r>
              </w:p>
            </w:tc>
            <w:tc>
              <w:tcPr>
                <w:tcW w:w="2381" w:type="dxa"/>
                <w:shd w:val="clear" w:color="auto" w:fill="auto"/>
                <w:vAlign w:val="center"/>
              </w:tcPr>
              <w:p>
                <w:pPr>
                  <w:jc w:val="right"/>
                  <w:rPr>
                    <w:rFonts w:ascii="宋体" w:hAnsi="宋体" w:cs="宋体"/>
                    <w:color w:val="000000"/>
                  </w:rPr>
                </w:pPr>
                <w:r>
                  <w:rPr>
                    <w:rFonts w:ascii="宋体" w:hAnsi="宋体"/>
                  </w:rPr>
                  <w:t>1,154,373</w:t>
                </w:r>
              </w:p>
            </w:tc>
            <w:tc>
              <w:tcPr>
                <w:tcW w:w="2382" w:type="dxa"/>
                <w:shd w:val="clear" w:color="auto" w:fill="auto"/>
                <w:vAlign w:val="center"/>
              </w:tcPr>
              <w:p>
                <w:pPr>
                  <w:jc w:val="right"/>
                  <w:rPr>
                    <w:rFonts w:ascii="宋体" w:hAnsi="宋体" w:cs="宋体"/>
                    <w:color w:val="000000"/>
                  </w:rPr>
                </w:pPr>
                <w:r>
                  <w:rPr>
                    <w:rFonts w:ascii="宋体" w:hAnsi="宋体" w:cs="宋体" w:hint="eastAsia"/>
                    <w:color w:val="000000"/>
                  </w:rPr>
                  <w:t>325,091</w:t>
                </w:r>
              </w:p>
            </w:tc>
          </w:tr>
          <w:tr>
            <w:trPr>
              <w:trHeight w:val="329"/>
              <w:jc w:val="center"/>
            </w:trPr>
            <w:tc>
              <w:tcPr>
                <w:tcW w:w="3816" w:type="dxa"/>
                <w:shd w:val="clear" w:color="auto" w:fill="auto"/>
                <w:noWrap/>
                <w:vAlign w:val="center"/>
              </w:tcPr>
              <w:p>
                <w:pPr>
                  <w:jc w:val="center"/>
                  <w:rPr>
                    <w:rFonts w:ascii="宋体" w:hAnsi="宋体" w:cs="宋体"/>
                    <w:color w:val="000000"/>
                  </w:rPr>
                </w:pPr>
                <w:r>
                  <w:rPr>
                    <w:rFonts w:ascii="宋体" w:hAnsi="宋体" w:cs="宋体" w:hint="eastAsia"/>
                    <w:color w:val="000000"/>
                  </w:rPr>
                  <w:t>合计</w:t>
                </w:r>
              </w:p>
            </w:tc>
            <w:tc>
              <w:tcPr>
                <w:tcW w:w="2381" w:type="dxa"/>
                <w:shd w:val="clear" w:color="auto" w:fill="auto"/>
                <w:vAlign w:val="center"/>
              </w:tcPr>
              <w:p>
                <w:pPr>
                  <w:jc w:val="right"/>
                  <w:rPr>
                    <w:rFonts w:ascii="宋体" w:hAnsi="宋体" w:cs="宋体"/>
                    <w:color w:val="000000"/>
                  </w:rPr>
                </w:pPr>
                <w:r>
                  <w:rPr>
                    <w:rFonts w:ascii="宋体" w:hAnsi="宋体"/>
                  </w:rPr>
                  <w:t>18,867,309</w:t>
                </w:r>
              </w:p>
            </w:tc>
            <w:tc>
              <w:tcPr>
                <w:tcW w:w="2382" w:type="dxa"/>
                <w:shd w:val="clear" w:color="auto" w:fill="auto"/>
                <w:vAlign w:val="center"/>
              </w:tcPr>
              <w:p>
                <w:pPr>
                  <w:jc w:val="right"/>
                  <w:rPr>
                    <w:rFonts w:ascii="宋体" w:hAnsi="宋体" w:cs="宋体"/>
                    <w:color w:val="000000"/>
                  </w:rPr>
                </w:pPr>
                <w:r>
                  <w:rPr>
                    <w:rFonts w:ascii="宋体" w:hAnsi="宋体" w:cs="宋体" w:hint="eastAsia"/>
                    <w:color w:val="000000"/>
                  </w:rPr>
                  <w:t>7,581,280</w:t>
                </w:r>
              </w:p>
            </w:tc>
          </w:tr>
        </w:tbl>
        <w:p>
          <w:pPr>
            <w:rPr>
              <w:rFonts w:cs="Cambria"/>
              <w:bCs/>
            </w:rPr>
          </w:pPr>
        </w:p>
      </w:sdtContent>
    </w:sdt>
    <w:bookmarkEnd w:id="553"/>
    <w:p>
      <w:pPr>
        <w:pStyle w:val="Style217"/>
      </w:pPr>
    </w:p>
    <w:p>
      <w:pPr>
        <w:pStyle w:val="Style178"/>
        <w:numPr>
          <w:ilvl w:val="0"/>
          <w:numId w:val="131"/>
        </w:numPr>
        <w:rPr>
          <w:rFonts w:ascii="宋体" w:hAnsi="宋体"/>
          <w:szCs w:val="21"/>
        </w:rPr>
      </w:pPr>
      <w:r>
        <w:rPr>
          <w:rFonts w:ascii="宋体" w:hAnsi="宋体" w:hint="eastAsia"/>
          <w:szCs w:val="21"/>
        </w:rPr>
        <w:t>或有事项</w:t>
      </w:r>
    </w:p>
    <w:p>
      <w:pPr>
        <w:pStyle w:val="Style179"/>
        <w:numPr>
          <w:ilvl w:val="3"/>
          <w:numId w:val="132"/>
        </w:numPr>
        <w:ind w:left="426" w:hangingChars="202" w:hanging="426"/>
        <w:rPr>
          <w:sz w:val="21"/>
          <w:szCs w:val="21"/>
        </w:rPr>
      </w:pPr>
      <w:r>
        <w:rPr>
          <w:rFonts w:hint="eastAsia"/>
          <w:sz w:val="21"/>
          <w:szCs w:val="21"/>
        </w:rPr>
        <w:t>资产负债表日存在的重要或有事项</w:t>
      </w:r>
    </w:p>
    <w:sdt>
      <w:sdtPr>
        <w:rPr>
          <w:rFonts w:hint="eastAsia"/>
        </w:rPr>
        <w:alias w:val="是否适用：资产负债表日存在的重要或有事项[双击切换]"/>
        <w:tag w:val="_GBC_d987504ad98e408986b4fc6f62089ffe"/>
        <w:id w:val="-11607261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资产负债表日存在的重要或有事项"/>
        <w:tag w:val="_GBC_44fe1af4de6e4875a4861efb466efdca"/>
        <w:id w:val="-234472779"/>
        <w:placeholder>
          <w:docPart w:val="GBC22222222222222222222222222222"/>
        </w:placeholder>
      </w:sdtPr>
      <w:sdtEndPr>
        <w:rPr>
          <w:rFonts w:hint="eastAsia"/>
        </w:rPr>
      </w:sdtEndPr>
      <w:sdtContent>
        <w:p>
          <w:pPr>
            <w:ind w:firstLineChars="200" w:firstLine="420"/>
          </w:pPr>
          <w:r>
            <w:rPr>
              <w:rFonts w:hint="eastAsia"/>
            </w:rPr>
            <w:t>1</w:t>
          </w:r>
          <w:r>
            <w:rPr>
              <w:rFonts w:hint="eastAsia"/>
            </w:rPr>
            <w:t>）澳洲公司及其合营公司</w:t>
          </w:r>
        </w:p>
        <w:tbl>
          <w:tblPr>
            <w:tblStyle w:val="Style10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1"/>
            <w:gridCol w:w="1161"/>
            <w:gridCol w:w="1161"/>
          </w:tblGrid>
          <w:tr>
            <w:trPr>
              <w:trHeight w:val="397"/>
              <w:tblHeader/>
              <w:jc w:val="center"/>
            </w:trPr>
            <w:tc>
              <w:tcPr>
                <w:tcW w:w="3720" w:type="pct"/>
                <w:shd w:val="clear" w:color="auto" w:fill="auto"/>
                <w:vAlign w:val="center"/>
              </w:tcPr>
              <w:p>
                <w:pPr>
                  <w:jc w:val="center"/>
                  <w:rPr>
                    <w:rFonts w:ascii="宋体" w:hAnsi="宋体"/>
                    <w:b/>
                    <w:bCs/>
                    <w:color w:val="000000"/>
                  </w:rPr>
                </w:pPr>
                <w:r>
                  <w:rPr>
                    <w:rFonts w:ascii="宋体" w:hAnsi="宋体" w:hint="eastAsia"/>
                    <w:b/>
                    <w:bCs/>
                    <w:color w:val="000000"/>
                  </w:rPr>
                  <w:t>项目</w:t>
                </w:r>
              </w:p>
            </w:tc>
            <w:tc>
              <w:tcPr>
                <w:tcW w:w="640" w:type="pct"/>
                <w:shd w:val="clear" w:color="auto" w:fill="auto"/>
                <w:vAlign w:val="center"/>
              </w:tcPr>
              <w:p>
                <w:pPr>
                  <w:jc w:val="center"/>
                  <w:rPr>
                    <w:rFonts w:ascii="宋体" w:hAnsi="宋体"/>
                    <w:b/>
                    <w:bCs/>
                    <w:color w:val="000000"/>
                  </w:rPr>
                </w:pPr>
                <w:r>
                  <w:rPr>
                    <w:rFonts w:ascii="宋体" w:hAnsi="宋体" w:hint="eastAsia"/>
                    <w:b/>
                    <w:bCs/>
                    <w:color w:val="000000"/>
                  </w:rPr>
                  <w:t>年末余额</w:t>
                </w:r>
              </w:p>
            </w:tc>
            <w:tc>
              <w:tcPr>
                <w:tcW w:w="640" w:type="pct"/>
                <w:shd w:val="clear" w:color="auto" w:fill="auto"/>
                <w:vAlign w:val="center"/>
              </w:tcPr>
              <w:p>
                <w:pPr>
                  <w:jc w:val="center"/>
                  <w:rPr>
                    <w:rFonts w:ascii="宋体" w:hAnsi="宋体"/>
                    <w:b/>
                    <w:bCs/>
                    <w:color w:val="000000"/>
                  </w:rPr>
                </w:pPr>
                <w:r>
                  <w:rPr>
                    <w:rFonts w:ascii="宋体" w:hAnsi="宋体" w:hint="eastAsia"/>
                    <w:b/>
                    <w:bCs/>
                    <w:color w:val="000000"/>
                  </w:rPr>
                  <w:t>年初余额</w:t>
                </w:r>
              </w:p>
            </w:tc>
          </w:tr>
          <w:tr>
            <w:trPr>
              <w:trHeight w:val="397"/>
              <w:jc w:val="center"/>
            </w:trPr>
            <w:tc>
              <w:tcPr>
                <w:tcW w:w="3720" w:type="pct"/>
                <w:shd w:val="clear" w:color="auto" w:fill="auto"/>
                <w:noWrap/>
                <w:vAlign w:val="center"/>
              </w:tcPr>
              <w:p>
                <w:pPr>
                  <w:rPr>
                    <w:rFonts w:ascii="宋体" w:hAnsi="宋体"/>
                    <w:color w:val="000000"/>
                  </w:rPr>
                </w:pPr>
                <w:r>
                  <w:rPr>
                    <w:rFonts w:ascii="宋体" w:hAnsi="宋体" w:hint="eastAsia"/>
                    <w:color w:val="000000"/>
                  </w:rPr>
                  <w:t>对日常经营提供履约保函</w:t>
                </w:r>
              </w:p>
            </w:tc>
            <w:tc>
              <w:tcPr>
                <w:tcW w:w="640" w:type="pct"/>
                <w:shd w:val="clear" w:color="auto" w:fill="auto"/>
                <w:vAlign w:val="center"/>
              </w:tcPr>
              <w:p>
                <w:pPr>
                  <w:jc w:val="right"/>
                  <w:rPr>
                    <w:rFonts w:ascii="宋体" w:hAnsi="宋体"/>
                    <w:color w:val="000000"/>
                  </w:rPr>
                </w:pPr>
                <w:r>
                  <w:rPr>
                    <w:rFonts w:ascii="宋体" w:hAnsi="宋体" w:hint="eastAsia"/>
                    <w:color w:val="000000"/>
                  </w:rPr>
                  <w:t>1,781,967</w:t>
                </w:r>
              </w:p>
            </w:tc>
            <w:tc>
              <w:tcPr>
                <w:tcW w:w="640" w:type="pct"/>
                <w:shd w:val="clear" w:color="auto" w:fill="auto"/>
                <w:vAlign w:val="center"/>
              </w:tcPr>
              <w:p>
                <w:pPr>
                  <w:jc w:val="right"/>
                  <w:rPr>
                    <w:rFonts w:ascii="宋体" w:hAnsi="宋体"/>
                    <w:color w:val="000000"/>
                  </w:rPr>
                </w:pPr>
                <w:r>
                  <w:rPr>
                    <w:rFonts w:ascii="宋体" w:hAnsi="宋体" w:hint="eastAsia"/>
                    <w:color w:val="000000"/>
                  </w:rPr>
                  <w:t>1,707,343</w:t>
                </w:r>
              </w:p>
            </w:tc>
          </w:tr>
          <w:tr>
            <w:trPr>
              <w:trHeight w:val="397"/>
              <w:jc w:val="center"/>
            </w:trPr>
            <w:tc>
              <w:tcPr>
                <w:tcW w:w="3720" w:type="pct"/>
                <w:shd w:val="clear" w:color="auto" w:fill="auto"/>
                <w:noWrap/>
                <w:vAlign w:val="center"/>
              </w:tcPr>
              <w:p>
                <w:pPr>
                  <w:rPr>
                    <w:rFonts w:ascii="宋体" w:hAnsi="宋体"/>
                    <w:color w:val="000000"/>
                  </w:rPr>
                </w:pPr>
                <w:r>
                  <w:rPr>
                    <w:rFonts w:ascii="宋体" w:hAnsi="宋体" w:hint="eastAsia"/>
                    <w:color w:val="000000"/>
                  </w:rPr>
                  <w:t>按照法律要求对某些采矿权的复原成本向政府部门提供履约保函</w:t>
                </w:r>
              </w:p>
            </w:tc>
            <w:tc>
              <w:tcPr>
                <w:tcW w:w="640" w:type="pct"/>
                <w:shd w:val="clear" w:color="auto" w:fill="auto"/>
                <w:vAlign w:val="center"/>
              </w:tcPr>
              <w:p>
                <w:pPr>
                  <w:jc w:val="right"/>
                  <w:rPr>
                    <w:rFonts w:ascii="宋体" w:hAnsi="宋体"/>
                    <w:color w:val="000000"/>
                  </w:rPr>
                </w:pPr>
                <w:r>
                  <w:rPr>
                    <w:rFonts w:ascii="宋体" w:hAnsi="宋体" w:hint="eastAsia"/>
                    <w:color w:val="000000"/>
                  </w:rPr>
                  <w:t>3,211,201</w:t>
                </w:r>
              </w:p>
            </w:tc>
            <w:tc>
              <w:tcPr>
                <w:tcW w:w="640" w:type="pct"/>
                <w:shd w:val="clear" w:color="auto" w:fill="auto"/>
                <w:vAlign w:val="center"/>
              </w:tcPr>
              <w:p>
                <w:pPr>
                  <w:jc w:val="right"/>
                  <w:rPr>
                    <w:rFonts w:ascii="宋体" w:hAnsi="宋体"/>
                    <w:color w:val="000000"/>
                  </w:rPr>
                </w:pPr>
                <w:r>
                  <w:rPr>
                    <w:rFonts w:ascii="宋体" w:hAnsi="宋体" w:hint="eastAsia"/>
                    <w:color w:val="000000"/>
                  </w:rPr>
                  <w:t>2,653,182</w:t>
                </w:r>
              </w:p>
            </w:tc>
          </w:tr>
          <w:tr>
            <w:trPr>
              <w:trHeight w:val="397"/>
              <w:jc w:val="center"/>
            </w:trPr>
            <w:tc>
              <w:tcPr>
                <w:tcW w:w="3720" w:type="pct"/>
                <w:shd w:val="clear" w:color="auto" w:fill="auto"/>
                <w:noWrap/>
                <w:vAlign w:val="center"/>
              </w:tcPr>
              <w:p>
                <w:pPr>
                  <w:jc w:val="center"/>
                  <w:rPr>
                    <w:rFonts w:ascii="宋体" w:hAnsi="宋体"/>
                    <w:color w:val="000000"/>
                  </w:rPr>
                </w:pPr>
                <w:r>
                  <w:rPr>
                    <w:rFonts w:ascii="宋体" w:hAnsi="宋体" w:hint="eastAsia"/>
                    <w:color w:val="000000"/>
                  </w:rPr>
                  <w:t>合计</w:t>
                </w:r>
              </w:p>
            </w:tc>
            <w:tc>
              <w:tcPr>
                <w:tcW w:w="640" w:type="pct"/>
                <w:shd w:val="clear" w:color="auto" w:fill="auto"/>
                <w:vAlign w:val="center"/>
              </w:tcPr>
              <w:p>
                <w:pPr>
                  <w:jc w:val="right"/>
                  <w:rPr>
                    <w:rFonts w:ascii="宋体" w:hAnsi="宋体"/>
                    <w:color w:val="000000"/>
                  </w:rPr>
                </w:pPr>
                <w:r>
                  <w:rPr>
                    <w:rFonts w:ascii="宋体" w:hAnsi="宋体" w:hint="eastAsia"/>
                    <w:color w:val="000000"/>
                  </w:rPr>
                  <w:t>4,993,168</w:t>
                </w:r>
              </w:p>
            </w:tc>
            <w:tc>
              <w:tcPr>
                <w:tcW w:w="640" w:type="pct"/>
                <w:shd w:val="clear" w:color="auto" w:fill="auto"/>
                <w:vAlign w:val="center"/>
              </w:tcPr>
              <w:p>
                <w:pPr>
                  <w:jc w:val="right"/>
                  <w:rPr>
                    <w:rFonts w:ascii="宋体" w:hAnsi="宋体"/>
                    <w:color w:val="000000"/>
                  </w:rPr>
                </w:pPr>
                <w:r>
                  <w:rPr>
                    <w:rFonts w:ascii="宋体" w:hAnsi="宋体" w:hint="eastAsia"/>
                    <w:color w:val="000000"/>
                  </w:rPr>
                  <w:t>4,360,525</w:t>
                </w:r>
              </w:p>
            </w:tc>
          </w:tr>
        </w:tbl>
        <w:p>
          <w:pPr>
            <w:pStyle w:val="Style217"/>
          </w:pPr>
        </w:p>
        <w:p>
          <w:pPr>
            <w:ind w:firstLineChars="200" w:firstLine="420"/>
            <w:rPr>
              <w:rFonts w:ascii="宋体" w:hAnsi="宋体"/>
            </w:rPr>
          </w:pPr>
          <w:r>
            <w:rPr>
              <w:rFonts w:ascii="宋体" w:hAnsi="宋体" w:hint="eastAsia"/>
            </w:rPr>
            <w:t>2）沙钢（北京）国际投资有限公司（“沙钢北京”）诉讼案</w:t>
          </w:r>
        </w:p>
        <w:p>
          <w:pPr>
            <w:ind w:firstLineChars="200" w:firstLine="420"/>
            <w:rPr>
              <w:rFonts w:ascii="宋体" w:hAnsi="宋体"/>
            </w:rPr>
          </w:pPr>
          <w:r>
            <w:rPr>
              <w:rFonts w:ascii="宋体" w:hAnsi="宋体" w:hint="eastAsia"/>
            </w:rPr>
            <w:t>2021年4月，兖矿能源全资子公司端信供应链以煤炭买卖合同纠纷为由，将沙钢北京诉至深圳市中级人民法院（“深圳中院”），要求其返还货款本金121,606千元及相应逾期付款违约金，李磊、沙钢集团对上述款项承担连带责任。一审审理过程中，端信供应链变更诉讼请求，请求沙钢集团单独承担连带责任。</w:t>
          </w:r>
        </w:p>
        <w:p>
          <w:pPr>
            <w:ind w:firstLineChars="200" w:firstLine="420"/>
            <w:rPr>
              <w:rFonts w:ascii="宋体" w:hAnsi="宋体"/>
            </w:rPr>
          </w:pPr>
          <w:r>
            <w:rPr>
              <w:rFonts w:ascii="宋体" w:hAnsi="宋体" w:hint="eastAsia"/>
            </w:rPr>
            <w:t>2023年3月，端信供应链收到一审胜诉判决。沙钢北京向广东省高级人民法院提起上诉。</w:t>
          </w:r>
        </w:p>
        <w:p>
          <w:pPr>
            <w:ind w:firstLineChars="200" w:firstLine="420"/>
            <w:rPr>
              <w:rFonts w:ascii="宋体" w:hAnsi="宋体"/>
            </w:rPr>
          </w:pPr>
          <w:r>
            <w:rPr>
              <w:rFonts w:ascii="宋体" w:hAnsi="宋体" w:hint="eastAsia"/>
            </w:rPr>
            <w:t>2025年3月，端信供应链收到二审判决，沙钢北京承担债务清偿责任，驳回端信供应链其他诉讼请求。</w:t>
          </w:r>
        </w:p>
        <w:p>
          <w:pPr>
            <w:ind w:firstLineChars="200" w:firstLine="420"/>
            <w:rPr>
              <w:rFonts w:ascii="宋体" w:hAnsi="宋体"/>
            </w:rPr>
          </w:pPr>
          <w:r>
            <w:rPr>
              <w:rFonts w:ascii="宋体" w:hAnsi="宋体" w:hint="eastAsia"/>
            </w:rPr>
            <w:t>2025年6月端信供应链收到深圳中院执行裁定书，因沙钢北京无可执行财产，本次执行程序终结。</w:t>
          </w:r>
        </w:p>
        <w:p>
          <w:pPr>
            <w:ind w:firstLineChars="200" w:firstLine="420"/>
            <w:rPr>
              <w:rFonts w:ascii="宋体" w:hAnsi="宋体"/>
            </w:rPr>
          </w:pPr>
          <w:r>
            <w:rPr>
              <w:rFonts w:ascii="宋体" w:hAnsi="宋体" w:hint="eastAsia"/>
            </w:rPr>
            <w:t>截至本报告期末，公司对本案涉及账面款项计提了减值准备，本次诉讼事项不会对公司期后利润产生不利影响。</w:t>
          </w:r>
        </w:p>
        <w:p>
          <w:pPr>
            <w:ind w:firstLineChars="200" w:firstLine="420"/>
            <w:rPr>
              <w:rFonts w:ascii="宋体" w:hAnsi="宋体"/>
            </w:rPr>
          </w:pPr>
          <w:r>
            <w:rPr>
              <w:rFonts w:ascii="宋体" w:hAnsi="宋体" w:hint="eastAsia"/>
            </w:rPr>
            <w:t>3）深圳市麦凯莱科技有限公司（以下简称“麦凯莱公司”）诉讼案</w:t>
          </w:r>
        </w:p>
        <w:p>
          <w:pPr>
            <w:ind w:firstLineChars="200" w:firstLine="420"/>
            <w:rPr>
              <w:rFonts w:ascii="宋体" w:hAnsi="宋体"/>
            </w:rPr>
          </w:pPr>
          <w:r>
            <w:rPr>
              <w:rFonts w:ascii="宋体" w:hAnsi="宋体" w:hint="eastAsia"/>
            </w:rPr>
            <w:t>2023年2月，端信供应链以债权债务纠纷为由，将麦凯莱公司及相关担保人起诉至深圳中院，要求其清偿到期债务、利息及违约金共计396,189千元。</w:t>
          </w:r>
        </w:p>
        <w:p>
          <w:pPr>
            <w:ind w:firstLineChars="200" w:firstLine="420"/>
            <w:rPr>
              <w:rFonts w:ascii="宋体" w:hAnsi="宋体"/>
            </w:rPr>
          </w:pPr>
          <w:r>
            <w:rPr>
              <w:rFonts w:ascii="宋体" w:hAnsi="宋体" w:hint="eastAsia"/>
            </w:rPr>
            <w:t>2024年6月，深圳中院裁定麦凯莱公司破产清算。</w:t>
          </w:r>
        </w:p>
        <w:p>
          <w:pPr>
            <w:ind w:firstLineChars="200" w:firstLine="420"/>
            <w:rPr>
              <w:rFonts w:ascii="宋体" w:hAnsi="宋体"/>
            </w:rPr>
          </w:pPr>
          <w:r>
            <w:rPr>
              <w:rFonts w:ascii="宋体" w:hAnsi="宋体" w:hint="eastAsia"/>
            </w:rPr>
            <w:t>2024年8月，端信供应链向麦凯莱公司破产管理人申报债权509,882千元。</w:t>
          </w:r>
        </w:p>
        <w:p>
          <w:pPr>
            <w:ind w:firstLineChars="200" w:firstLine="420"/>
            <w:rPr>
              <w:rFonts w:ascii="宋体" w:hAnsi="宋体"/>
            </w:rPr>
          </w:pPr>
          <w:r>
            <w:rPr>
              <w:rFonts w:ascii="宋体" w:hAnsi="宋体" w:hint="eastAsia"/>
            </w:rPr>
            <w:t>2024年12月，端信供应链收到一审判决，深圳中院判决支持端信供应链的诉讼请求。被告麦凯莱公司向广东省高级人民法院提起上诉。</w:t>
          </w:r>
        </w:p>
        <w:p>
          <w:pPr>
            <w:ind w:firstLineChars="200" w:firstLine="420"/>
            <w:rPr>
              <w:rFonts w:ascii="宋体" w:hAnsi="宋体"/>
            </w:rPr>
          </w:pPr>
          <w:r>
            <w:rPr>
              <w:rFonts w:ascii="宋体" w:hAnsi="宋体" w:hint="eastAsia"/>
            </w:rPr>
            <w:t>2025年9月，端信供应链收到广东省高级人员法院出具的裁定书，裁定麦凯莱公司未交诉讼费，按自动撤回上诉处理。一审判决自裁定书送达后生效。2025年10月30日公司向深圳中院申请强制执行。</w:t>
          </w:r>
        </w:p>
        <w:p>
          <w:pPr>
            <w:ind w:firstLineChars="200" w:firstLine="420"/>
            <w:rPr>
              <w:rFonts w:ascii="宋体" w:hAnsi="宋体"/>
            </w:rPr>
          </w:pPr>
          <w:r>
            <w:rPr>
              <w:rFonts w:ascii="宋体" w:hAnsi="宋体" w:hint="eastAsia"/>
            </w:rPr>
            <w:t>截至本报告披露日，深圳中院尚未出具执行裁定。</w:t>
          </w:r>
        </w:p>
        <w:p>
          <w:pPr>
            <w:ind w:firstLineChars="200" w:firstLine="420"/>
            <w:rPr>
              <w:rFonts w:ascii="宋体" w:hAnsi="宋体"/>
            </w:rPr>
          </w:pPr>
          <w:r>
            <w:rPr>
              <w:rFonts w:ascii="宋体" w:hAnsi="宋体" w:hint="eastAsia"/>
            </w:rPr>
            <w:t>截至本报告期末，公司对本案涉及账面款项计提了减值准备，本次诉讼事项不会对公司期后利润产生不利影响。</w:t>
          </w:r>
        </w:p>
        <w:p>
          <w:pPr>
            <w:ind w:firstLineChars="200" w:firstLine="420"/>
            <w:rPr>
              <w:rFonts w:ascii="宋体" w:hAnsi="宋体"/>
            </w:rPr>
          </w:pPr>
          <w:r>
            <w:rPr>
              <w:rFonts w:ascii="宋体" w:hAnsi="宋体" w:hint="eastAsia"/>
            </w:rPr>
            <w:t>4）苏宁易购集团股份有限公司（以下简称“苏宁易购”）诉讼案</w:t>
          </w:r>
        </w:p>
        <w:p>
          <w:pPr>
            <w:ind w:firstLineChars="200" w:firstLine="420"/>
            <w:rPr>
              <w:rFonts w:ascii="宋体" w:hAnsi="宋体"/>
            </w:rPr>
          </w:pPr>
          <w:r>
            <w:rPr>
              <w:rFonts w:ascii="宋体" w:hAnsi="宋体" w:hint="eastAsia"/>
            </w:rPr>
            <w:t>2023年2月，端信供应链以买卖合同纠纷为由，将苏宁易购起诉至南京市中级人民法院，要求其偿付货款、利息及违约金共计670,900千元。</w:t>
          </w:r>
        </w:p>
        <w:p>
          <w:pPr>
            <w:ind w:firstLineChars="200" w:firstLine="420"/>
            <w:rPr>
              <w:rFonts w:ascii="宋体" w:hAnsi="宋体"/>
            </w:rPr>
          </w:pPr>
          <w:r>
            <w:rPr>
              <w:rFonts w:ascii="宋体" w:hAnsi="宋体" w:hint="eastAsia"/>
            </w:rPr>
            <w:t>2025年1月，端信供应链收到南京市中级人民法院裁定书，以涉嫌经济犯罪为由，裁定驳回起诉，将案件移交公安机关。</w:t>
          </w:r>
        </w:p>
        <w:p>
          <w:pPr>
            <w:ind w:firstLineChars="200" w:firstLine="420"/>
            <w:rPr>
              <w:rFonts w:ascii="宋体" w:hAnsi="宋体"/>
            </w:rPr>
          </w:pPr>
          <w:r>
            <w:rPr>
              <w:rFonts w:ascii="宋体" w:hAnsi="宋体" w:hint="eastAsia"/>
            </w:rPr>
            <w:lastRenderedPageBreak/>
            <w:t>截至本报告期末，公司对本案涉及账面款项计提了减值准备，本次诉讼事项不会对公司期后利润产生不利影响。</w:t>
          </w:r>
        </w:p>
        <w:p>
          <w:pPr>
            <w:ind w:firstLineChars="200" w:firstLine="420"/>
            <w:rPr>
              <w:rFonts w:ascii="宋体" w:hAnsi="宋体"/>
            </w:rPr>
          </w:pPr>
          <w:r>
            <w:rPr>
              <w:rFonts w:ascii="宋体" w:hAnsi="宋体" w:hint="eastAsia"/>
            </w:rPr>
            <w:t>5）中融盛国际融资租赁（天津）有限公司（以下简称“中融盛”）诉讼案</w:t>
          </w:r>
        </w:p>
        <w:p>
          <w:pPr>
            <w:ind w:firstLineChars="200" w:firstLine="420"/>
            <w:rPr>
              <w:rFonts w:ascii="宋体" w:hAnsi="宋体"/>
            </w:rPr>
          </w:pPr>
          <w:r>
            <w:rPr>
              <w:rFonts w:ascii="宋体" w:hAnsi="宋体" w:hint="eastAsia"/>
            </w:rPr>
            <w:t>2023年11月，内蒙古金控以违反保理及融资租赁合同为由，将中融盛等被告诉至呼和浩特市中级人民法院，要求中融盛等被告支付保理及融资租赁款本金246,093千元及相应利息和违约金，并要求大唐国际发展集团有限公司承担连带责任。</w:t>
          </w:r>
        </w:p>
        <w:p>
          <w:pPr>
            <w:ind w:firstLineChars="200" w:firstLine="420"/>
            <w:rPr>
              <w:rFonts w:ascii="宋体" w:hAnsi="宋体"/>
            </w:rPr>
          </w:pPr>
          <w:r>
            <w:rPr>
              <w:rFonts w:ascii="宋体" w:hAnsi="宋体" w:hint="eastAsia"/>
            </w:rPr>
            <w:t>2025年6月，内蒙古金控收到呼和浩特市中级人民法院判决，驳回内蒙古金控的诉讼请求。内蒙古金控向内蒙古自治区高级人民法院提起上诉。</w:t>
          </w:r>
        </w:p>
        <w:p>
          <w:pPr>
            <w:ind w:firstLineChars="200" w:firstLine="420"/>
            <w:rPr>
              <w:rFonts w:ascii="宋体" w:hAnsi="宋体"/>
            </w:rPr>
          </w:pPr>
          <w:r>
            <w:rPr>
              <w:rFonts w:ascii="宋体" w:hAnsi="宋体" w:hint="eastAsia"/>
            </w:rPr>
            <w:t>本案已收到法院判决，驳回内蒙古金控诉讼请求，内蒙古金控已提起上诉。目前等待开庭通知。</w:t>
          </w:r>
        </w:p>
        <w:p>
          <w:pPr>
            <w:ind w:firstLineChars="200" w:firstLine="420"/>
            <w:rPr>
              <w:rFonts w:ascii="宋体" w:hAnsi="宋体"/>
            </w:rPr>
          </w:pPr>
          <w:r>
            <w:rPr>
              <w:rFonts w:ascii="宋体" w:hAnsi="宋体" w:hint="eastAsia"/>
            </w:rPr>
            <w:t>6）内蒙古久泰新材料科技股份有限公司（以下简称“久泰公司”）仲裁案</w:t>
          </w:r>
        </w:p>
        <w:p>
          <w:pPr>
            <w:ind w:firstLineChars="200" w:firstLine="420"/>
            <w:rPr>
              <w:rFonts w:ascii="宋体" w:hAnsi="宋体"/>
            </w:rPr>
          </w:pPr>
          <w:r>
            <w:rPr>
              <w:rFonts w:ascii="宋体" w:hAnsi="宋体" w:hint="eastAsia"/>
            </w:rPr>
            <w:t>2024年8月，公司向中国国际经济贸易仲裁委员会（“中国贸仲”）提出仲裁申请，要求久泰公司退还股权转让款、违约金、垫付款等共计约1,438,160千元，同时承担本案仲裁费、保全费、保险费、律师费及其他实现债权的费用，要求三名被申请人承担连带责任。</w:t>
          </w:r>
        </w:p>
        <w:p>
          <w:pPr>
            <w:ind w:firstLineChars="200" w:firstLine="420"/>
            <w:rPr>
              <w:rFonts w:ascii="宋体" w:hAnsi="宋体"/>
            </w:rPr>
          </w:pPr>
          <w:r>
            <w:rPr>
              <w:rFonts w:ascii="宋体" w:hAnsi="宋体" w:hint="eastAsia"/>
            </w:rPr>
            <w:t>2025年7月，公司收到中国贸仲裁决书，裁决久泰公司等三名被申请人退还公司煤矿股权转让款及垫付的部分矿业权出让收益共计686,391千元，并承担部分保全费、律师费等。</w:t>
          </w:r>
        </w:p>
        <w:p>
          <w:pPr>
            <w:ind w:firstLineChars="200" w:firstLine="420"/>
            <w:rPr>
              <w:rFonts w:ascii="宋体" w:hAnsi="宋体"/>
            </w:rPr>
          </w:pPr>
          <w:r>
            <w:rPr>
              <w:rFonts w:ascii="宋体" w:hAnsi="宋体" w:hint="eastAsia"/>
            </w:rPr>
            <w:t>7）西部新时代投资股份有限公司（以下简称“西部新时代”）仲裁案</w:t>
          </w:r>
        </w:p>
        <w:p>
          <w:pPr>
            <w:ind w:firstLineChars="200" w:firstLine="420"/>
            <w:rPr>
              <w:rFonts w:ascii="宋体" w:hAnsi="宋体"/>
            </w:rPr>
          </w:pPr>
          <w:r>
            <w:rPr>
              <w:rFonts w:ascii="宋体" w:hAnsi="宋体" w:hint="eastAsia"/>
            </w:rPr>
            <w:t>2024年12月，昊盛煤业向济南仲裁委员会提出仲裁申请，要求西部新时代根据《增资协议》的约定履行增资义务，并承担相应违约责任等共计约1,208,666千元。</w:t>
          </w:r>
        </w:p>
        <w:p>
          <w:pPr>
            <w:ind w:firstLineChars="200" w:firstLine="420"/>
            <w:rPr>
              <w:rFonts w:ascii="宋体" w:hAnsi="宋体"/>
            </w:rPr>
          </w:pPr>
          <w:r>
            <w:rPr>
              <w:rFonts w:ascii="宋体" w:hAnsi="宋体" w:hint="eastAsia"/>
            </w:rPr>
            <w:t>2025年5月，公司收到济南仲裁委员会裁决书，裁决西部新时代向昊盛煤业缴纳增资款共计564,739千元，并承担相应的违约金、保全费、仲裁费等。</w:t>
          </w:r>
        </w:p>
        <w:p>
          <w:pPr>
            <w:ind w:firstLineChars="200" w:firstLine="420"/>
            <w:rPr>
              <w:rFonts w:ascii="宋体" w:hAnsi="宋体"/>
            </w:rPr>
          </w:pPr>
          <w:r>
            <w:rPr>
              <w:rFonts w:ascii="宋体" w:hAnsi="宋体" w:hint="eastAsia"/>
            </w:rPr>
            <w:t>8）中国金谷国际信托有限责任公司（以下简称“金谷信托”）诉讼案</w:t>
          </w:r>
        </w:p>
        <w:p>
          <w:pPr>
            <w:ind w:firstLineChars="200" w:firstLine="420"/>
            <w:rPr>
              <w:rFonts w:ascii="宋体" w:hAnsi="宋体"/>
            </w:rPr>
          </w:pPr>
          <w:r>
            <w:rPr>
              <w:rFonts w:ascii="宋体" w:hAnsi="宋体" w:hint="eastAsia"/>
            </w:rPr>
            <w:t>2025年1月，昊盛煤业向鄂尔多斯市中级人民法院提出诉讼，要求金谷信托承担其继受西部新时代取得的昊盛煤业股权对应的增资义务、违约金等共计约1,208,666千元。</w:t>
          </w:r>
        </w:p>
        <w:p>
          <w:pPr>
            <w:ind w:firstLineChars="200" w:firstLine="420"/>
            <w:rPr>
              <w:rFonts w:ascii="宋体" w:hAnsi="宋体"/>
            </w:rPr>
          </w:pPr>
          <w:r>
            <w:rPr>
              <w:rFonts w:ascii="宋体" w:hAnsi="宋体" w:hint="eastAsia"/>
            </w:rPr>
            <w:t>2026年1月，昊盛煤业收到一审胜诉判决，金谷信托向内蒙古自治区高级人民法院提起上诉。</w:t>
          </w:r>
        </w:p>
        <w:p>
          <w:pPr>
            <w:ind w:firstLineChars="200" w:firstLine="420"/>
            <w:rPr>
              <w:rFonts w:ascii="宋体" w:hAnsi="宋体"/>
            </w:rPr>
          </w:pPr>
          <w:r>
            <w:rPr>
              <w:rFonts w:ascii="宋体" w:hAnsi="宋体" w:hint="eastAsia"/>
            </w:rPr>
            <w:t>截至本报告披露日，内蒙古自治区高级人民法院尚未作出裁决。</w:t>
          </w:r>
        </w:p>
        <w:p>
          <w:pPr>
            <w:ind w:firstLineChars="200" w:firstLine="420"/>
            <w:rPr>
              <w:rFonts w:ascii="宋体" w:hAnsi="宋体"/>
            </w:rPr>
          </w:pPr>
          <w:r>
            <w:rPr>
              <w:rFonts w:ascii="宋体" w:hAnsi="宋体" w:hint="eastAsia"/>
            </w:rPr>
            <w:t>本案目前正在履行二审程序，尚无法判断本次诉讼事项对公司期后利润的影响。</w:t>
          </w:r>
        </w:p>
        <w:p>
          <w:pPr>
            <w:ind w:firstLineChars="200" w:firstLine="420"/>
            <w:rPr>
              <w:rFonts w:ascii="宋体" w:hAnsi="宋体"/>
            </w:rPr>
          </w:pPr>
          <w:r>
            <w:rPr>
              <w:rFonts w:ascii="宋体" w:hAnsi="宋体" w:hint="eastAsia"/>
            </w:rPr>
            <w:t>9）鄂尔多斯文化产业投资有限公司、百年树人（集团）有限公司仲裁案</w:t>
          </w:r>
        </w:p>
        <w:p>
          <w:pPr>
            <w:ind w:firstLineChars="200" w:firstLine="420"/>
            <w:rPr>
              <w:rFonts w:ascii="宋体" w:hAnsi="宋体"/>
            </w:rPr>
          </w:pPr>
          <w:r>
            <w:rPr>
              <w:rFonts w:ascii="宋体" w:hAnsi="宋体" w:hint="eastAsia"/>
            </w:rPr>
            <w:t>2024年10月，内蒙古矿业依据签署的《鄂尔多斯文化产业园文化教育有限公司增资协议》，向呼和浩特仲裁委员会申请仲裁。要求鄂尔多斯文化产业投资有限公司、百年树人（集团）有限公司履行回购义务，向内蒙古矿业支付股权转让款、资金占用费、违约金共计342,922千元。</w:t>
          </w:r>
        </w:p>
        <w:p>
          <w:pPr>
            <w:ind w:firstLineChars="200" w:firstLine="420"/>
            <w:rPr>
              <w:rFonts w:ascii="宋体" w:hAnsi="宋体"/>
            </w:rPr>
          </w:pPr>
          <w:r>
            <w:rPr>
              <w:rFonts w:ascii="宋体" w:hAnsi="宋体" w:hint="eastAsia"/>
            </w:rPr>
            <w:t>截至本报告披露日，呼和浩特仲裁委员会尚未作出裁决。</w:t>
          </w:r>
        </w:p>
        <w:p>
          <w:pPr>
            <w:ind w:firstLineChars="200" w:firstLine="420"/>
          </w:pPr>
          <w:r>
            <w:rPr>
              <w:rFonts w:ascii="宋体" w:hAnsi="宋体" w:hint="eastAsia"/>
            </w:rPr>
            <w:t>本案目前正在履行仲裁程序，尚无法判断本次仲裁事项对公司期后利润的影响</w:t>
          </w:r>
          <w:r>
            <w:rPr>
              <w:rFonts w:hint="eastAsia"/>
            </w:rPr>
            <w:t>。</w:t>
          </w:r>
        </w:p>
      </w:sdtContent>
    </w:sdt>
    <w:p>
      <w:pPr>
        <w:pStyle w:val="Style179"/>
        <w:numPr>
          <w:ilvl w:val="3"/>
          <w:numId w:val="132"/>
        </w:numPr>
        <w:ind w:left="426" w:hangingChars="202" w:hanging="426"/>
        <w:rPr>
          <w:sz w:val="21"/>
          <w:szCs w:val="21"/>
        </w:rPr>
      </w:pPr>
      <w:r>
        <w:rPr>
          <w:rFonts w:hint="eastAsia"/>
          <w:sz w:val="21"/>
          <w:szCs w:val="21"/>
        </w:rPr>
        <w:t>公司没有需要披露的重要或有事项，也应予以说明：</w:t>
      </w:r>
    </w:p>
    <w:sdt>
      <w:sdtPr>
        <w:rPr>
          <w:rFonts w:hint="eastAsia"/>
        </w:rPr>
        <w:alias w:val="是否适用：公司没有需要披露的重要或有事项，也应予以说明[双击切换]"/>
        <w:tag w:val="_GBC_07f7b2e649f24a948656f8714cbf5345"/>
        <w:id w:val="204609012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Theme="minorHAnsi" w:hAnsiTheme="minorHAnsi" w:cstheme="minorBidi"/>
        </w:rPr>
      </w:pPr>
    </w:p>
    <w:p>
      <w:pPr>
        <w:pStyle w:val="Style178"/>
        <w:numPr>
          <w:ilvl w:val="0"/>
          <w:numId w:val="131"/>
        </w:numPr>
        <w:rPr>
          <w:rFonts w:ascii="宋体" w:hAnsi="宋体"/>
          <w:szCs w:val="21"/>
        </w:rPr>
      </w:pPr>
      <w:r>
        <w:rPr>
          <w:rFonts w:ascii="宋体" w:hAnsi="宋体" w:hint="eastAsia"/>
          <w:szCs w:val="21"/>
        </w:rPr>
        <w:t>其他</w:t>
      </w:r>
    </w:p>
    <w:sdt>
      <w:sdtPr>
        <w:rPr>
          <w:rFonts w:hint="eastAsia"/>
        </w:rPr>
        <w:alias w:val="是否适用：承诺及或有事项的其他情况说明[双击切换]"/>
        <w:tag w:val="_GBC_cf5b3c02da904b4ea27843983d9a6248"/>
        <w:id w:val="209990316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szCs w:val="21"/>
        </w:rPr>
      </w:pPr>
      <w:r>
        <w:rPr>
          <w:rFonts w:hint="eastAsia"/>
          <w:szCs w:val="21"/>
        </w:rPr>
        <w:t>资产负债表日后事项</w:t>
      </w:r>
    </w:p>
    <w:p>
      <w:pPr>
        <w:pStyle w:val="Style178"/>
        <w:numPr>
          <w:ilvl w:val="0"/>
          <w:numId w:val="133"/>
        </w:numPr>
        <w:rPr>
          <w:szCs w:val="21"/>
        </w:rPr>
      </w:pPr>
      <w:r>
        <w:rPr>
          <w:rFonts w:hint="eastAsia"/>
          <w:szCs w:val="21"/>
        </w:rPr>
        <w:t>重要的非调整事项</w:t>
      </w:r>
    </w:p>
    <w:sdt>
      <w:sdtPr>
        <w:alias w:val="是否适用：重要的非调整事项[双击切换]"/>
        <w:tag w:val="_GBC_5d94a9ce52454687be716014c1894fef"/>
        <w:id w:val="-180098457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133"/>
        </w:numPr>
        <w:rPr>
          <w:szCs w:val="21"/>
        </w:rPr>
      </w:pPr>
      <w:r>
        <w:rPr>
          <w:rFonts w:hint="eastAsia"/>
          <w:szCs w:val="21"/>
        </w:rPr>
        <w:t>利润分配情况</w:t>
      </w:r>
    </w:p>
    <w:sdt>
      <w:sdtPr>
        <w:alias w:val="是否适用：利润分配情况[双击切换]"/>
        <w:tag w:val="_GBC_9a91fb54a6c146e5b9ee1ecff3141237"/>
        <w:id w:val="-48778193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lastRenderedPageBreak/>
        <w:t>单位：</w:t>
      </w:r>
      <w:sdt>
        <w:sdtPr>
          <w:rPr>
            <w:rFonts w:hint="eastAsia"/>
          </w:rPr>
          <w:alias w:val="单位：财务附注：资产负债表日后利润分配情况说明"/>
          <w:tag w:val="_GBC_6424df7632ca4cf5ab9e9760e3119d62"/>
          <w:id w:val="49978929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Pr>
              <w:rFonts w:hint="eastAsia"/>
            </w:rPr>
            <w:t xml:space="preserve">  </w:t>
          </w:r>
        </w:sdtContent>
      </w:sdt>
      <w:r>
        <w:rPr>
          <w:rFonts w:hint="eastAsia"/>
        </w:rPr>
        <w:t>币种：</w:t>
      </w:r>
      <w:sdt>
        <w:sdtPr>
          <w:rPr>
            <w:rFonts w:hint="eastAsia"/>
          </w:rPr>
          <w:alias w:val="币种：财务附注：资产负债表日后利润分配情况说明"/>
          <w:tag w:val="_GBC_e75fd1607c614d249844c767ceffa84e"/>
          <w:id w:val="47264382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2"/>
        <w:gridCol w:w="5326"/>
      </w:tblGrid>
      <w:tr>
        <w:tc>
          <w:tcPr>
            <w:tcW w:w="3722" w:type="dxa"/>
            <w:tcBorders>
              <w:top w:val="single" w:sz="4" w:space="0" w:color="auto"/>
              <w:left w:val="single" w:sz="4" w:space="0" w:color="auto"/>
              <w:bottom w:val="single" w:sz="4" w:space="0" w:color="auto"/>
              <w:right w:val="single" w:sz="4" w:space="0" w:color="auto"/>
            </w:tcBorders>
            <w:vAlign w:val="center"/>
          </w:tcPr>
          <w:p>
            <w:pPr>
              <w:pStyle w:val="Style175"/>
              <w:rPr>
                <w:sz w:val="21"/>
                <w:szCs w:val="21"/>
              </w:rPr>
            </w:pPr>
            <w:r>
              <w:rPr>
                <w:rFonts w:hint="eastAsia"/>
                <w:sz w:val="21"/>
                <w:szCs w:val="21"/>
              </w:rPr>
              <w:t>拟分配的利润或股利</w:t>
            </w:r>
          </w:p>
        </w:tc>
        <w:sdt>
          <w:sdtPr>
            <w:rPr>
              <w:rFonts w:ascii="宋体" w:hAnsi="宋体"/>
            </w:rPr>
            <w:alias w:val="资产负债表日后拟分配的利润或股利"/>
            <w:tag w:val="_GBC_3add72466c2e49709858581a726eb392"/>
            <w:id w:val="1701200467"/>
          </w:sdtPr>
          <w:sdtContent>
            <w:tc>
              <w:tcPr>
                <w:tcW w:w="53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5,018,740,000</w:t>
                </w:r>
              </w:p>
            </w:tc>
          </w:sdtContent>
        </w:sdt>
      </w:tr>
      <w:tr>
        <w:tc>
          <w:tcPr>
            <w:tcW w:w="3722" w:type="dxa"/>
            <w:tcBorders>
              <w:top w:val="single" w:sz="4" w:space="0" w:color="auto"/>
              <w:left w:val="single" w:sz="4" w:space="0" w:color="auto"/>
              <w:bottom w:val="single" w:sz="4" w:space="0" w:color="auto"/>
              <w:right w:val="single" w:sz="4" w:space="0" w:color="auto"/>
            </w:tcBorders>
            <w:vAlign w:val="center"/>
          </w:tcPr>
          <w:p>
            <w:pPr>
              <w:pStyle w:val="Style175"/>
              <w:rPr>
                <w:sz w:val="21"/>
                <w:szCs w:val="21"/>
              </w:rPr>
            </w:pPr>
            <w:r>
              <w:rPr>
                <w:rFonts w:hint="eastAsia"/>
                <w:sz w:val="21"/>
                <w:szCs w:val="21"/>
              </w:rPr>
              <w:t>经审议批准宣告发放的利润或股利</w:t>
            </w:r>
          </w:p>
        </w:tc>
        <w:tc>
          <w:tcPr>
            <w:tcW w:w="532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5,018,740,000</w:t>
            </w:r>
          </w:p>
        </w:tc>
      </w:tr>
    </w:tbl>
    <w:p>
      <w:pPr>
        <w:pStyle w:val="Style217"/>
      </w:pPr>
      <w:r>
        <w:rPr>
          <w:rFonts w:hint="eastAsia"/>
        </w:rPr>
        <w:t>2026年3月27日，经本公司第九届董事会第二十二次会议审议通过，2025年度现金股利为0.5元/股（含税），扣除2025年半年度现金股利0.18元/股（含税）后，以权益分派股权登记日总股本为基数，派发2025年度末期现金股利0.32元/股（含税）。</w:t>
      </w:r>
    </w:p>
    <w:p>
      <w:pPr>
        <w:pStyle w:val="Style178"/>
        <w:numPr>
          <w:ilvl w:val="0"/>
          <w:numId w:val="133"/>
        </w:numPr>
        <w:rPr>
          <w:szCs w:val="21"/>
        </w:rPr>
      </w:pPr>
      <w:r>
        <w:rPr>
          <w:rFonts w:hint="eastAsia"/>
          <w:szCs w:val="21"/>
        </w:rPr>
        <w:t>销售退回</w:t>
      </w:r>
    </w:p>
    <w:sdt>
      <w:sdtPr>
        <w:alias w:val="是否适用：销售退回[双击切换]"/>
        <w:tag w:val="_GBC_7fb2ecaa1ffb494486f4a8b2e94240d2"/>
        <w:id w:val="-81649344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133"/>
        </w:numPr>
        <w:rPr>
          <w:szCs w:val="21"/>
        </w:rPr>
      </w:pPr>
      <w:r>
        <w:rPr>
          <w:rFonts w:hint="eastAsia"/>
          <w:szCs w:val="21"/>
        </w:rPr>
        <w:t>其他资产负债表日后事项说明</w:t>
      </w:r>
    </w:p>
    <w:sdt>
      <w:sdtPr>
        <w:rPr>
          <w:rFonts w:hint="eastAsia"/>
        </w:rPr>
        <w:alias w:val="是否适用：其他资产负债表日后事项说明[双击切换]"/>
        <w:tag w:val="_GBC_4fc0f824aaea4ed096cae3b9f97ff314"/>
        <w:id w:val="-49095358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szCs w:val="21"/>
        </w:rPr>
      </w:pPr>
      <w:r>
        <w:rPr>
          <w:rFonts w:hint="eastAsia"/>
          <w:szCs w:val="21"/>
        </w:rPr>
        <w:t>其他重要事项</w:t>
      </w:r>
    </w:p>
    <w:p>
      <w:pPr>
        <w:pStyle w:val="Style178"/>
        <w:numPr>
          <w:ilvl w:val="0"/>
          <w:numId w:val="134"/>
        </w:numPr>
        <w:rPr>
          <w:szCs w:val="21"/>
        </w:rPr>
      </w:pPr>
      <w:r>
        <w:rPr>
          <w:rFonts w:hint="eastAsia"/>
          <w:szCs w:val="21"/>
        </w:rPr>
        <w:t>前期会计差错更正</w:t>
      </w:r>
    </w:p>
    <w:p>
      <w:pPr>
        <w:pStyle w:val="Style217"/>
      </w:pPr>
      <w:r>
        <w:rPr>
          <w:rFonts w:hint="eastAsia"/>
        </w:rPr>
        <w:t>详见“重要事项”的“公司对会计政策、会计估计变更或重大会计差错更正原因和影响的分析说明”</w:t>
      </w:r>
    </w:p>
    <w:p>
      <w:pPr>
        <w:pStyle w:val="Style178"/>
        <w:numPr>
          <w:ilvl w:val="0"/>
          <w:numId w:val="134"/>
        </w:numPr>
        <w:rPr>
          <w:szCs w:val="21"/>
        </w:rPr>
      </w:pPr>
      <w:r>
        <w:rPr>
          <w:rFonts w:hint="eastAsia"/>
          <w:szCs w:val="21"/>
        </w:rPr>
        <w:t>重要债务重组</w:t>
      </w:r>
    </w:p>
    <w:sdt>
      <w:sdtPr>
        <w:alias w:val="是否适用：重要债务重组[双击切换]"/>
        <w:tag w:val="_GBC_6b3631222f074ee0b23297cdcd94685f"/>
        <w:id w:val="-112924080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134"/>
        </w:numPr>
        <w:rPr>
          <w:szCs w:val="21"/>
        </w:rPr>
      </w:pPr>
      <w:r>
        <w:rPr>
          <w:rFonts w:hint="eastAsia"/>
          <w:szCs w:val="21"/>
        </w:rPr>
        <w:t>资产置换</w:t>
      </w:r>
    </w:p>
    <w:p>
      <w:pPr>
        <w:pStyle w:val="Style179"/>
        <w:numPr>
          <w:ilvl w:val="3"/>
          <w:numId w:val="135"/>
        </w:numPr>
        <w:ind w:left="426" w:hangingChars="202" w:hanging="426"/>
        <w:rPr>
          <w:sz w:val="21"/>
          <w:szCs w:val="21"/>
        </w:rPr>
      </w:pPr>
      <w:r>
        <w:rPr>
          <w:rFonts w:hint="eastAsia"/>
          <w:sz w:val="21"/>
          <w:szCs w:val="21"/>
        </w:rPr>
        <w:t>非货币性资产交换</w:t>
      </w:r>
    </w:p>
    <w:sdt>
      <w:sdtPr>
        <w:rPr>
          <w:rFonts w:hint="eastAsia"/>
        </w:rPr>
        <w:alias w:val="是否适用：非货币性资产交换[双击切换]"/>
        <w:tag w:val="_GBC_480975ada702478dae8a1468d6e0c3cd"/>
        <w:id w:val="394247869"/>
        <w:placeholder>
          <w:docPart w:val="GBC22222222222222222222222222222"/>
        </w:placeholder>
      </w:sdtPr>
      <w:sdtContent>
        <w:p>
          <w:pPr>
            <w:spacing w:line="360" w:lineRule="exact"/>
            <w:ind w:right="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9"/>
        <w:numPr>
          <w:ilvl w:val="3"/>
          <w:numId w:val="135"/>
        </w:numPr>
        <w:ind w:left="426" w:hangingChars="202" w:hanging="426"/>
        <w:rPr>
          <w:sz w:val="21"/>
          <w:szCs w:val="21"/>
        </w:rPr>
      </w:pPr>
      <w:r>
        <w:rPr>
          <w:rFonts w:hint="eastAsia"/>
          <w:sz w:val="21"/>
          <w:szCs w:val="21"/>
        </w:rPr>
        <w:t>其他资产置换</w:t>
      </w:r>
    </w:p>
    <w:sdt>
      <w:sdtPr>
        <w:rPr>
          <w:rFonts w:hint="eastAsia"/>
        </w:rPr>
        <w:alias w:val="是否适用：其他资产置换[双击切换]"/>
        <w:tag w:val="_GBC_d4d75cf02549483681739e6eb10910ff"/>
        <w:id w:val="-104844156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numPr>
          <w:ilvl w:val="0"/>
          <w:numId w:val="134"/>
        </w:numPr>
        <w:rPr>
          <w:szCs w:val="21"/>
        </w:rPr>
      </w:pPr>
      <w:r>
        <w:rPr>
          <w:rFonts w:hint="eastAsia"/>
          <w:szCs w:val="21"/>
        </w:rPr>
        <w:t>年金计划</w:t>
      </w:r>
    </w:p>
    <w:sdt>
      <w:sdtPr>
        <w:rPr>
          <w:szCs w:val="21"/>
        </w:rPr>
        <w:alias w:val="是否适用：年金计划[双击切换]"/>
        <w:tag w:val="_GBC_7abcd6901bc848d8b58391e0ddd63034"/>
        <w:id w:val="1730575814"/>
        <w:placeholder>
          <w:docPart w:val="GBC22222222222222222222222222222"/>
        </w:placeholder>
      </w:sdtPr>
      <w:sdtContent>
        <w:p>
          <w:pPr>
            <w:pStyle w:val="Style217"/>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rPr>
        <w:alias w:val="公司年金计划的说明"/>
        <w:tag w:val="_GBC_c6d896234c45444f94531f5e749f3198"/>
        <w:id w:val="1814749275"/>
        <w:placeholder>
          <w:docPart w:val="GBC22222222222222222222222222222"/>
        </w:placeholder>
      </w:sdtPr>
      <w:sdtContent>
        <w:p>
          <w:pPr>
            <w:autoSpaceDE w:val="0"/>
            <w:autoSpaceDN w:val="0"/>
            <w:adjustRightInd w:val="0"/>
            <w:spacing w:afterLines="50" w:after="120" w:line="360" w:lineRule="exact"/>
            <w:ind w:firstLineChars="200" w:firstLine="420"/>
            <w:rPr>
              <w:rFonts w:ascii="宋体" w:hAnsi="宋体"/>
            </w:rPr>
          </w:pPr>
          <w:r>
            <w:rPr>
              <w:rFonts w:ascii="宋体" w:hAnsi="宋体" w:hint="eastAsia"/>
              <w:color w:val="000000" w:themeColor="text1"/>
            </w:rPr>
            <w:t>为</w:t>
          </w:r>
          <w:r>
            <w:rPr>
              <w:rFonts w:ascii="宋体" w:hAnsi="宋体" w:hint="eastAsia"/>
            </w:rPr>
            <w:t>保障和提高职工退休后的待遇水平，根据《企业年金办法》(人力资源和社会保障部令第36号)、《山东省国资委关于省管企业建立企业年金制度的指导意见》(鲁国资考核〔2017〕1号)等有关规定，本集团制定了企业年金的相关管理办法。</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集团年金缴费由单位和职工共同承担，单位缴费的列支渠道按照国家有关规定执行；职工个人缴费由单位从职工工资代扣代缴。企业缴费每年不超过本企业上年度职工工资总额的8%，企业和职工个人缴费合计不超过本企业上年度职工工资总额的12%。年金制度实施的初期，职工个人缴费部分最低不得低于企业为其缴费部分的四分之一,以后年度逐步提高,最终与企业缴费相匹配。新参加工作的职工在与企业签订劳动合同后、试用期满的次月起开始企业年金缴费，单位新调入的职工从调入单位发放工资的当月开始企业年金缴费。</w:t>
          </w:r>
        </w:p>
        <w:p>
          <w:pPr>
            <w:autoSpaceDE w:val="0"/>
            <w:autoSpaceDN w:val="0"/>
            <w:adjustRightInd w:val="0"/>
            <w:spacing w:afterLines="50" w:after="120" w:line="360" w:lineRule="exact"/>
            <w:ind w:firstLineChars="200" w:firstLine="420"/>
            <w:rPr>
              <w:rFonts w:ascii="宋体" w:hAnsi="宋体"/>
            </w:rPr>
          </w:pPr>
          <w:r>
            <w:rPr>
              <w:rFonts w:ascii="宋体" w:hAnsi="宋体" w:hint="eastAsia"/>
            </w:rPr>
            <w:t>本集团企业年金采用法人受托管理模式，本集团所归集的企业年金基金由本集团公司人力资源服务中心委托受托人进行管理。个人账户下设单位缴费子账户和个人缴费子账户，分别记录单</w:t>
          </w:r>
          <w:r>
            <w:rPr>
              <w:rFonts w:ascii="宋体" w:hAnsi="宋体" w:hint="eastAsia"/>
            </w:rPr>
            <w:lastRenderedPageBreak/>
            <w:t>位缴费分配给职工个人的部分及其投资收益、职工个人缴费及其投资收益。职工企业年金个人账户中单位缴费及其投资收益，按一定规则归属于职工个人。未归属于职工个人的部分，记入企业账户。职工企业年金个人账户中个人缴费及其投资收益自始归属于职工个人。</w:t>
          </w:r>
        </w:p>
        <w:p>
          <w:pPr>
            <w:rPr>
              <w:rFonts w:asciiTheme="minorHAnsi" w:eastAsiaTheme="minorEastAsia" w:hAnsiTheme="minorHAnsi" w:cstheme="minorBidi"/>
            </w:rPr>
          </w:pPr>
        </w:p>
      </w:sdtContent>
    </w:sdt>
    <w:p>
      <w:pPr>
        <w:pStyle w:val="Style217"/>
      </w:pPr>
    </w:p>
    <w:p>
      <w:pPr>
        <w:pStyle w:val="Style178"/>
        <w:numPr>
          <w:ilvl w:val="0"/>
          <w:numId w:val="134"/>
        </w:numPr>
        <w:rPr>
          <w:szCs w:val="21"/>
        </w:rPr>
      </w:pPr>
      <w:r>
        <w:rPr>
          <w:rFonts w:hint="eastAsia"/>
          <w:szCs w:val="21"/>
        </w:rPr>
        <w:t>终止经营</w:t>
      </w:r>
    </w:p>
    <w:p>
      <w:pPr>
        <w:rPr>
          <w:rFonts w:cstheme="minorBidi"/>
          <w:kern w:val="2"/>
        </w:rPr>
        <w:sectPr>
          <w:pgSz w:w="11906" w:h="16838"/>
          <w:pgMar w:top="1525" w:right="1276" w:bottom="1440" w:left="1797" w:header="856" w:footer="992" w:gutter="0"/>
          <w:cols w:space="425"/>
          <w:docGrid w:linePitch="312"/>
        </w:sectPr>
      </w:pPr>
      <w:sdt>
        <w:sdtPr>
          <w:alias w:val="是否适用：终止经营[双击切换]"/>
          <w:tag w:val="_GBC_667e81a5639a48488e957a55e45c7763"/>
          <w:id w:val="1769188945"/>
          <w:placeholder>
            <w:docPart w:val="GBC22222222222222222222222222222"/>
          </w:placeholder>
        </w:sdtPr>
        <w:sdtContent>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sdtContent>
      </w:sdt>
    </w:p>
    <w:p>
      <w:pPr>
        <w:pStyle w:val="Style217"/>
      </w:pPr>
    </w:p>
    <w:p>
      <w:pPr>
        <w:pStyle w:val="Style178"/>
        <w:numPr>
          <w:ilvl w:val="0"/>
          <w:numId w:val="134"/>
        </w:numPr>
        <w:rPr>
          <w:szCs w:val="21"/>
        </w:rPr>
      </w:pPr>
      <w:r>
        <w:rPr>
          <w:rFonts w:hint="eastAsia"/>
          <w:szCs w:val="21"/>
        </w:rPr>
        <w:t>分部信息</w:t>
      </w:r>
    </w:p>
    <w:p>
      <w:pPr>
        <w:pStyle w:val="Style179"/>
        <w:numPr>
          <w:ilvl w:val="3"/>
          <w:numId w:val="136"/>
        </w:numPr>
        <w:ind w:left="426" w:hangingChars="202" w:hanging="426"/>
        <w:rPr>
          <w:sz w:val="21"/>
          <w:szCs w:val="21"/>
        </w:rPr>
      </w:pPr>
      <w:r>
        <w:rPr>
          <w:rFonts w:hint="eastAsia"/>
          <w:sz w:val="21"/>
          <w:szCs w:val="21"/>
        </w:rPr>
        <w:t>报告分部的确定依据与会计政策</w:t>
      </w:r>
    </w:p>
    <w:sdt>
      <w:sdtPr>
        <w:rPr>
          <w:rFonts w:hint="eastAsia"/>
        </w:rPr>
        <w:alias w:val="是否适用：报告分部的确定依据与会计政策[双击切换]"/>
        <w:tag w:val="_GBC_b3cac5485321452cadb6e7ec2be5d907"/>
        <w:id w:val="-97460778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3"/>
          <w:numId w:val="136"/>
        </w:numPr>
        <w:ind w:left="426" w:hangingChars="202" w:hanging="426"/>
        <w:rPr>
          <w:sz w:val="21"/>
          <w:szCs w:val="21"/>
        </w:rPr>
      </w:pPr>
      <w:r>
        <w:rPr>
          <w:rFonts w:hint="eastAsia"/>
          <w:sz w:val="21"/>
          <w:szCs w:val="21"/>
        </w:rPr>
        <w:t>报告分部的财务信息</w:t>
      </w:r>
    </w:p>
    <w:sdt>
      <w:sdtPr>
        <w:rPr>
          <w:rFonts w:ascii="宋体" w:hAnsi="宋体" w:hint="eastAsia"/>
          <w:sz w:val="21"/>
          <w:szCs w:val="21"/>
        </w:rPr>
        <w:alias w:val="是否适用：报告分部的财务信息[双击切换]"/>
        <w:tag w:val="_GBC_560c7b592f324714b8c87339e43684af"/>
        <w:id w:val="1638836387"/>
        <w:placeholder>
          <w:docPart w:val="GBC22222222222222222222222222222"/>
        </w:placeholder>
      </w:sdtPr>
      <w:sdtContent>
        <w:p>
          <w:pPr>
            <w:pStyle w:val="Style189"/>
            <w:ind w:firstLineChars="0" w:firstLine="0"/>
            <w:jc w:val="left"/>
            <w:rPr>
              <w:rFonts w:ascii="宋体" w:hAnsi="宋体"/>
              <w:sz w:val="21"/>
              <w:szCs w:val="21"/>
            </w:rPr>
          </w:pPr>
          <w:r>
            <w:rPr>
              <w:rFonts w:ascii="宋体" w:hAnsi="宋体"/>
              <w:sz w:val="21"/>
              <w:szCs w:val="21"/>
            </w:rPr>
            <w:fldChar w:fldCharType="begin"/>
          </w:r>
          <w:r>
            <w:rPr>
              <w:rFonts w:ascii="宋体" w:hAnsi="宋体" w:hint="eastAsia"/>
              <w:sz w:val="21"/>
              <w:szCs w:val="21"/>
            </w:rPr>
            <w:instrText xml:space="preserve"> MACROBUTTON  SnrToggleCheckbox √适用  </w:instrText>
          </w:r>
          <w:r>
            <w:rPr>
              <w:rFonts w:ascii="宋体" w:hAnsi="宋体"/>
              <w:sz w:val="21"/>
              <w:szCs w:val="21"/>
            </w:rPr>
            <w:fldChar w:fldCharType="end"/>
          </w:r>
          <w:r>
            <w:rPr>
              <w:rFonts w:ascii="宋体" w:hAnsi="宋体"/>
              <w:sz w:val="21"/>
              <w:szCs w:val="21"/>
            </w:rPr>
            <w:fldChar w:fldCharType="begin"/>
          </w:r>
          <w:r>
            <w:rPr>
              <w:rFonts w:ascii="宋体" w:hAnsi="宋体" w:hint="eastAsia"/>
              <w:sz w:val="21"/>
              <w:szCs w:val="21"/>
            </w:rPr>
            <w:instrText xml:space="preserve"> MACROBUTTON  SnrToggleCheckbox □不适用 </w:instrText>
          </w:r>
          <w:r>
            <w:rPr>
              <w:rFonts w:ascii="宋体" w:hAnsi="宋体"/>
              <w:sz w:val="21"/>
              <w:szCs w:val="21"/>
            </w:rPr>
            <w:fldChar w:fldCharType="end"/>
          </w:r>
        </w:p>
      </w:sdtContent>
    </w:sdt>
    <w:p>
      <w:pPr>
        <w:pStyle w:val="Style189"/>
        <w:tabs>
          <w:tab w:val="right" w:pos="13873"/>
        </w:tabs>
        <w:ind w:firstLineChars="0" w:firstLine="0"/>
        <w:jc w:val="left"/>
        <w:rPr>
          <w:rFonts w:ascii="宋体" w:hAnsi="宋体"/>
          <w:sz w:val="21"/>
          <w:szCs w:val="21"/>
        </w:rPr>
      </w:pPr>
    </w:p>
    <w:p>
      <w:pPr>
        <w:pStyle w:val="Style189"/>
        <w:tabs>
          <w:tab w:val="right" w:pos="13873"/>
        </w:tabs>
        <w:ind w:firstLineChars="0" w:firstLine="0"/>
        <w:jc w:val="left"/>
        <w:rPr>
          <w:rFonts w:ascii="宋体" w:hAnsi="宋体"/>
          <w:sz w:val="21"/>
          <w:szCs w:val="21"/>
        </w:rPr>
      </w:pPr>
      <w:r>
        <w:rPr>
          <w:rFonts w:ascii="宋体" w:hAnsi="宋体" w:hint="eastAsia"/>
          <w:sz w:val="21"/>
          <w:szCs w:val="21"/>
        </w:rPr>
        <w:t>2025年分部信息</w:t>
      </w:r>
    </w:p>
    <w:p>
      <w:pPr>
        <w:pStyle w:val="Style189"/>
        <w:tabs>
          <w:tab w:val="right" w:pos="13873"/>
        </w:tabs>
        <w:ind w:firstLineChars="0" w:firstLine="0"/>
        <w:jc w:val="left"/>
        <w:rPr>
          <w:rFonts w:ascii="宋体" w:hAnsi="宋体"/>
          <w:sz w:val="21"/>
          <w:szCs w:val="21"/>
        </w:rPr>
      </w:pPr>
      <w:r>
        <w:rPr>
          <w:rFonts w:ascii="宋体" w:hAnsi="宋体" w:hint="eastAsia"/>
          <w:sz w:val="21"/>
          <w:szCs w:val="21"/>
        </w:rPr>
        <w:tab/>
        <w:t>单位：</w:t>
      </w:r>
      <w:sdt>
        <w:sdtPr>
          <w:rPr>
            <w:rFonts w:ascii="宋体" w:hAnsi="宋体" w:hint="eastAsia"/>
            <w:sz w:val="21"/>
            <w:szCs w:val="21"/>
          </w:rPr>
          <w:alias w:val="单位：财务附注：报告分部的财务信息"/>
          <w:tag w:val="_GBC_7605447fe81f42cb8fddf03d31f4d9f1"/>
          <w:id w:val="-4860192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 w:val="21"/>
              <w:szCs w:val="21"/>
            </w:rPr>
            <w:t xml:space="preserve">千元  </w:t>
          </w:r>
        </w:sdtContent>
      </w:sdt>
      <w:r>
        <w:rPr>
          <w:rFonts w:ascii="宋体" w:hAnsi="宋体" w:hint="eastAsia"/>
          <w:sz w:val="21"/>
          <w:szCs w:val="21"/>
        </w:rPr>
        <w:t>币种：</w:t>
      </w:r>
      <w:sdt>
        <w:sdtPr>
          <w:rPr>
            <w:rFonts w:ascii="宋体" w:hAnsi="宋体" w:hint="eastAsia"/>
            <w:sz w:val="21"/>
            <w:szCs w:val="21"/>
          </w:rPr>
          <w:alias w:val="币种：财务附注：报告分部的财务信息"/>
          <w:tag w:val="_GBC_91822203e5c047ed9e288f2f546dc41a"/>
          <w:id w:val="-1603182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 w:val="21"/>
              <w:szCs w:val="21"/>
            </w:rPr>
            <w:t>人民币</w:t>
          </w:r>
        </w:sdtContent>
      </w:sdt>
    </w:p>
    <w:tbl>
      <w:tblPr>
        <w:tblStyle w:val="Style100"/>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701"/>
        <w:gridCol w:w="1701"/>
        <w:gridCol w:w="1701"/>
        <w:gridCol w:w="1701"/>
        <w:gridCol w:w="1701"/>
        <w:gridCol w:w="1701"/>
        <w:gridCol w:w="1701"/>
      </w:tblGrid>
      <w:tr>
        <w:trPr>
          <w:trHeight w:val="295"/>
        </w:trPr>
        <w:sdt>
          <w:sdtPr>
            <w:tag w:val="_PLD_8bb9bb00490c4a64b03d36d56a7709e9"/>
            <w:id w:val="1910193250"/>
          </w:sdtPr>
          <w:sdtContent>
            <w:tc>
              <w:tcPr>
                <w:tcW w:w="212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alias w:val="分部报告科目名称"/>
            <w:tag w:val="_GBC_d1aef1f6815f4feea7e8db1d0cd6557a"/>
            <w:id w:val="-1113514496"/>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煤炭业务</w:t>
                </w:r>
              </w:p>
            </w:tc>
          </w:sdtContent>
        </w:sdt>
        <w:sdt>
          <w:sdtPr>
            <w:alias w:val="分部报告科目名称"/>
            <w:tag w:val="_GBC_d1aef1f6815f4feea7e8db1d0cd6557a"/>
            <w:id w:val="724953533"/>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煤化工、电力及热力</w:t>
                </w:r>
              </w:p>
            </w:tc>
          </w:sdtContent>
        </w:sdt>
        <w:sdt>
          <w:sdtPr>
            <w:alias w:val="分部报告科目名称"/>
            <w:tag w:val="_GBC_d1aef1f6815f4feea7e8db1d0cd6557a"/>
            <w:id w:val="1868104764"/>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矿用设备制造</w:t>
                </w:r>
              </w:p>
            </w:tc>
          </w:sdtContent>
        </w:sdt>
        <w:sdt>
          <w:sdtPr>
            <w:alias w:val="分部报告科目名称"/>
            <w:tag w:val="_GBC_d1aef1f6815f4feea7e8db1d0cd6557a"/>
            <w:id w:val="-1407830745"/>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非煤炭贸易及物流</w:t>
                </w:r>
              </w:p>
            </w:tc>
          </w:sdtContent>
        </w:sdt>
        <w:sdt>
          <w:sdtPr>
            <w:alias w:val="分部报告科目名称"/>
            <w:tag w:val="_GBC_d1aef1f6815f4feea7e8db1d0cd6557a"/>
            <w:id w:val="1800793682"/>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贷款和融资租赁</w:t>
                </w:r>
              </w:p>
            </w:tc>
          </w:sdtContent>
        </w:sdt>
        <w:sdt>
          <w:sdtPr>
            <w:alias w:val="分部报告科目名称"/>
            <w:tag w:val="_GBC_d1aef1f6815f4feea7e8db1d0cd6557a"/>
            <w:id w:val="731516414"/>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未分配项目</w:t>
                </w:r>
              </w:p>
            </w:tc>
          </w:sdtContent>
        </w:sdt>
        <w:sdt>
          <w:sdtPr>
            <w:tag w:val="_PLD_caa532a3a35d4f79bf28cdd5e48fdb25"/>
            <w:id w:val="394013939"/>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分部间抵销</w:t>
                </w:r>
              </w:p>
            </w:tc>
          </w:sdtContent>
        </w:sdt>
        <w:sdt>
          <w:sdtPr>
            <w:tag w:val="_PLD_9308666856e6454c86d77bbd6c0e9bde"/>
            <w:id w:val="-1139347875"/>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sdtContent>
        </w:sdt>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营业收入</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102,868,175</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35,866,089</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3,709,275</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19,303,711</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1,715,645</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18,496,980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37,027,016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144,932,859</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对外交易收入</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88,666,141</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27,513,006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2,078,431</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18,352,128</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871,881</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7,451,272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144,932,859</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分部间交易收入</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14,202,034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8,353,083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1,630,844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951,583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843,764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11,045,708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37,027,016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营业成本及费用</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82,896,48</w:t>
            </w:r>
            <w:r>
              <w:rPr>
                <w:rFonts w:ascii="宋体" w:hAnsi="宋体" w:hint="eastAsia"/>
              </w:rPr>
              <w:t>8</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32,344,914</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3,703,471</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19,365,580</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772,069</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16,954,96</w:t>
            </w:r>
            <w:r>
              <w:rPr>
                <w:rFonts w:ascii="宋体" w:hAnsi="宋体" w:hint="eastAsia"/>
              </w:rPr>
              <w:t>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29,539,397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126,498,094</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对外销售成本</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56,595,1</w:t>
            </w:r>
            <w:r>
              <w:rPr>
                <w:rFonts w:ascii="宋体" w:hAnsi="宋体" w:hint="eastAsia"/>
              </w:rPr>
              <w:t>49</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20,718,097</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1,519,122</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17,815,036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454,584</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5,307,19</w:t>
            </w:r>
            <w:r>
              <w:rPr>
                <w:rFonts w:ascii="宋体" w:hAnsi="宋体" w:hint="eastAsia"/>
              </w:rPr>
              <w:t>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102,409,181</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分部间销售成本</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14,138,005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8,353,907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1,631,046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918,928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102,301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11,141,246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36,285,433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期间费用及减值损失</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12,163,334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3,272,910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553,303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631,616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215,184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506,530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-6,746,036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24,088,913</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营业利润</w:t>
            </w:r>
            <w:r>
              <w:rPr>
                <w:rFonts w:hint="eastAsia"/>
              </w:rPr>
              <w:t>(</w:t>
            </w:r>
            <w:r>
              <w:rPr>
                <w:rFonts w:hint="eastAsia"/>
              </w:rPr>
              <w:t>亏损</w:t>
            </w:r>
            <w:r>
              <w:rPr>
                <w:rFonts w:hint="eastAsia"/>
              </w:rPr>
              <w:t>)</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hint="eastAsia"/>
              </w:rPr>
              <w:t>19,971,687</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3,521,175</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5,804</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-61,869</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943,576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1,542,011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7,487,619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18,434,765</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资产总额</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458,823,581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67,317,948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5,374,746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15,295,610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63,783,288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85,274,836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242,925,736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452,944,273</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负债总额</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281,951,451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33,033,289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2,704,187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8,388,386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43,103,879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56,761,758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144,095,510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281,847,440</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补充信息</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折旧和摊销费用</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15,259,402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3,830,428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143,995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112,007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35,410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1,543,256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3,654,771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17,269,727</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折旧和摊销以外的非现金费用</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172,363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6,279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-26,399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-19,090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59,889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-262,224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-69,182</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资本性支出</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11,643,759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1,940,483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23,384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39,535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5,162,103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861,561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1,150,000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18,520,825</w:t>
            </w:r>
          </w:p>
        </w:tc>
      </w:tr>
    </w:tbl>
    <w:p>
      <w:pPr>
        <w:pStyle w:val="Style217"/>
      </w:pPr>
    </w:p>
    <w:p>
      <w:pPr>
        <w:pStyle w:val="Style189"/>
        <w:tabs>
          <w:tab w:val="right" w:pos="13873"/>
        </w:tabs>
        <w:ind w:firstLineChars="0" w:firstLine="0"/>
        <w:jc w:val="left"/>
        <w:rPr>
          <w:rFonts w:ascii="宋体" w:hAnsi="宋体"/>
          <w:sz w:val="21"/>
          <w:szCs w:val="21"/>
        </w:rPr>
      </w:pPr>
      <w:r>
        <w:rPr>
          <w:rFonts w:ascii="宋体" w:hAnsi="宋体" w:hint="eastAsia"/>
          <w:sz w:val="21"/>
          <w:szCs w:val="21"/>
        </w:rPr>
        <w:lastRenderedPageBreak/>
        <w:t>2024年分部信息</w:t>
      </w:r>
    </w:p>
    <w:p>
      <w:pPr>
        <w:pStyle w:val="Style189"/>
        <w:tabs>
          <w:tab w:val="right" w:pos="13873"/>
        </w:tabs>
        <w:ind w:firstLineChars="0" w:firstLine="0"/>
        <w:jc w:val="left"/>
        <w:rPr>
          <w:rFonts w:ascii="宋体" w:hAnsi="宋体"/>
          <w:sz w:val="21"/>
          <w:szCs w:val="21"/>
        </w:rPr>
      </w:pPr>
      <w:r>
        <w:rPr>
          <w:rFonts w:ascii="宋体" w:hAnsi="宋体" w:hint="eastAsia"/>
          <w:sz w:val="21"/>
          <w:szCs w:val="21"/>
        </w:rPr>
        <w:tab/>
        <w:t>单位：</w:t>
      </w:r>
      <w:sdt>
        <w:sdtPr>
          <w:rPr>
            <w:rFonts w:ascii="宋体" w:hAnsi="宋体" w:hint="eastAsia"/>
            <w:sz w:val="21"/>
            <w:szCs w:val="21"/>
          </w:rPr>
          <w:alias w:val="单位：财务附注：报告分部的财务信息"/>
          <w:tag w:val="_GBC_7605447fe81f42cb8fddf03d31f4d9f1"/>
          <w:id w:val="-958951467"/>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 w:val="21"/>
              <w:szCs w:val="21"/>
            </w:rPr>
            <w:t xml:space="preserve">千元  </w:t>
          </w:r>
        </w:sdtContent>
      </w:sdt>
      <w:r>
        <w:rPr>
          <w:rFonts w:ascii="宋体" w:hAnsi="宋体" w:hint="eastAsia"/>
          <w:sz w:val="21"/>
          <w:szCs w:val="21"/>
        </w:rPr>
        <w:t>币种：</w:t>
      </w:r>
      <w:sdt>
        <w:sdtPr>
          <w:rPr>
            <w:rFonts w:ascii="宋体" w:hAnsi="宋体" w:hint="eastAsia"/>
            <w:sz w:val="21"/>
            <w:szCs w:val="21"/>
          </w:rPr>
          <w:alias w:val="币种：财务附注：报告分部的财务信息"/>
          <w:tag w:val="_GBC_91822203e5c047ed9e288f2f546dc41a"/>
          <w:id w:val="73528215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 w:val="21"/>
              <w:szCs w:val="21"/>
            </w:rPr>
            <w:t>人民币</w:t>
          </w:r>
        </w:sdtContent>
      </w:sdt>
    </w:p>
    <w:tbl>
      <w:tblPr>
        <w:tblStyle w:val="Style100"/>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701"/>
        <w:gridCol w:w="1701"/>
        <w:gridCol w:w="1701"/>
        <w:gridCol w:w="1701"/>
        <w:gridCol w:w="1701"/>
        <w:gridCol w:w="1701"/>
        <w:gridCol w:w="1701"/>
      </w:tblGrid>
      <w:tr>
        <w:trPr>
          <w:trHeight w:val="295"/>
        </w:trPr>
        <w:sdt>
          <w:sdtPr>
            <w:tag w:val="_PLD_8bb9bb00490c4a64b03d36d56a7709e9"/>
            <w:id w:val="204137844"/>
          </w:sdtPr>
          <w:sdtContent>
            <w:tc>
              <w:tcPr>
                <w:tcW w:w="212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项目</w:t>
                </w:r>
              </w:p>
            </w:tc>
          </w:sdtContent>
        </w:sdt>
        <w:sdt>
          <w:sdtPr>
            <w:alias w:val="分部报告科目名称"/>
            <w:tag w:val="_GBC_d1aef1f6815f4feea7e8db1d0cd6557a"/>
            <w:id w:val="-193548275"/>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煤炭业务</w:t>
                </w:r>
              </w:p>
            </w:tc>
          </w:sdtContent>
        </w:sdt>
        <w:sdt>
          <w:sdtPr>
            <w:alias w:val="分部报告科目名称"/>
            <w:tag w:val="_GBC_d1aef1f6815f4feea7e8db1d0cd6557a"/>
            <w:id w:val="1257240533"/>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煤化工、电力及热力</w:t>
                </w:r>
              </w:p>
            </w:tc>
          </w:sdtContent>
        </w:sdt>
        <w:sdt>
          <w:sdtPr>
            <w:alias w:val="分部报告科目名称"/>
            <w:tag w:val="_GBC_d1aef1f6815f4feea7e8db1d0cd6557a"/>
            <w:id w:val="361168739"/>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矿用设备制造</w:t>
                </w:r>
              </w:p>
            </w:tc>
          </w:sdtContent>
        </w:sdt>
        <w:sdt>
          <w:sdtPr>
            <w:alias w:val="分部报告科目名称"/>
            <w:tag w:val="_GBC_d1aef1f6815f4feea7e8db1d0cd6557a"/>
            <w:id w:val="-627701544"/>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非煤炭贸易及物流</w:t>
                </w:r>
              </w:p>
            </w:tc>
          </w:sdtContent>
        </w:sdt>
        <w:sdt>
          <w:sdtPr>
            <w:alias w:val="分部报告科目名称"/>
            <w:tag w:val="_GBC_d1aef1f6815f4feea7e8db1d0cd6557a"/>
            <w:id w:val="-1599411961"/>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贷款和融资租赁</w:t>
                </w:r>
              </w:p>
            </w:tc>
          </w:sdtContent>
        </w:sdt>
        <w:sdt>
          <w:sdtPr>
            <w:alias w:val="分部报告科目名称"/>
            <w:tag w:val="_GBC_d1aef1f6815f4feea7e8db1d0cd6557a"/>
            <w:id w:val="811982943"/>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未分配项目</w:t>
                </w:r>
              </w:p>
            </w:tc>
          </w:sdtContent>
        </w:sdt>
        <w:sdt>
          <w:sdtPr>
            <w:tag w:val="_PLD_caa532a3a35d4f79bf28cdd5e48fdb25"/>
            <w:id w:val="351072302"/>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分部间抵销</w:t>
                </w:r>
              </w:p>
            </w:tc>
          </w:sdtContent>
        </w:sdt>
        <w:sdt>
          <w:sdtPr>
            <w:tag w:val="_PLD_9308666856e6454c86d77bbd6c0e9bde"/>
            <w:id w:val="1969467359"/>
          </w:sdtPr>
          <w:sdtContent>
            <w:tc>
              <w:tcPr>
                <w:tcW w:w="170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sdtContent>
        </w:sdt>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营业收入</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123,187,862</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38,707,706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4,826,677</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8,770,472</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2,145,136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22,682,550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43,648,255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156,672,14</w:t>
            </w:r>
            <w:r>
              <w:rPr>
                <w:rFonts w:ascii="宋体" w:hAnsi="宋体" w:hint="eastAsia"/>
              </w:rPr>
              <w:t>8</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对外交易收入</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107,123,573</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29,141,814</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1,607,672</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7,889,864</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1,173,170</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9,736,055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156,672,14</w:t>
            </w:r>
            <w:r>
              <w:rPr>
                <w:rFonts w:ascii="宋体" w:hAnsi="宋体" w:hint="eastAsia"/>
              </w:rPr>
              <w:t>8</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分部间交易收入</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16,064,289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9,565,892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3,219,005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880,608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971,966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12,946,495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43,648,255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营业成本及费用</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87,847,80</w:t>
            </w:r>
            <w:r>
              <w:rPr>
                <w:rFonts w:ascii="宋体" w:hAnsi="宋体" w:cs="宋体" w:hint="eastAsia"/>
              </w:rPr>
              <w:t>9</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36,767,826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5,178,417</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11,615,948</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565,950</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18,666,353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32,399,994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128,242,30</w:t>
            </w:r>
            <w:r>
              <w:rPr>
                <w:rFonts w:ascii="宋体" w:hAnsi="宋体" w:hint="eastAsia"/>
              </w:rPr>
              <w:t>9</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对外销售成本</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59,167,644</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23,490,051</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1,247,600</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10,489,097</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53,309</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5,913,022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100,360,723</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分部间销售成本</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15,855,140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9,565,892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3,030,056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880,609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252,982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12,683,041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42,267,720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期间费用及减值损失</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12,825,02</w:t>
            </w:r>
            <w:r>
              <w:rPr>
                <w:rFonts w:ascii="宋体" w:hAnsi="宋体" w:hint="eastAsia"/>
              </w:rPr>
              <w:t>5</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3,711,883</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900,761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246,242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259,659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70,290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-9,867,726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27,881,58</w:t>
            </w:r>
            <w:r>
              <w:rPr>
                <w:rFonts w:ascii="宋体" w:hAnsi="宋体" w:hint="eastAsia"/>
              </w:rPr>
              <w:t>6</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营业利润</w:t>
            </w:r>
            <w:r>
              <w:rPr>
                <w:rFonts w:hint="eastAsia"/>
              </w:rPr>
              <w:t>(</w:t>
            </w:r>
            <w:r>
              <w:rPr>
                <w:rFonts w:hint="eastAsia"/>
              </w:rPr>
              <w:t>亏损</w:t>
            </w:r>
            <w:r>
              <w:rPr>
                <w:rFonts w:hint="eastAsia"/>
              </w:rPr>
              <w:t>)</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35,340,053</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1,939,880</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-351,740</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-2,845,476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1,579,186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cs="宋体"/>
              </w:rPr>
              <w:t>4,016,197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11,248,261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28,429,839</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资产总额</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419,755,446</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62,103,461</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11,043,047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14,136,830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65,525,017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66,400,198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227,060,694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411,903,305</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负债总额</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248,544,909</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29,773,853</w:t>
            </w:r>
          </w:p>
        </w:tc>
        <w:tc>
          <w:tcPr>
            <w:tcW w:w="170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4,036,189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6,827,722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40,376,115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64,537,016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131,813,350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262,282,454</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补充信息</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折旧和摊销费用</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13,938,679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3,235,921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471,470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400,076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74,609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1,548,211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2,180,083</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17,488,883</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折旧和摊销以外的非现金费用</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-82,741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-12,389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-10,631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-8,744</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313,131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-33,686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164,940</w:t>
            </w:r>
          </w:p>
        </w:tc>
      </w:tr>
      <w:tr>
        <w:trPr>
          <w:trHeight w:val="295"/>
        </w:trPr>
        <w:tc>
          <w:tcPr>
            <w:tcW w:w="2127"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资本性支出</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10,564,685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510,486</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179,115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83,675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5,822,291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1,390,657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18,550,909</w:t>
            </w:r>
          </w:p>
        </w:tc>
      </w:tr>
    </w:tbl>
    <w:p>
      <w:pPr>
        <w:pStyle w:val="Style217"/>
      </w:pPr>
    </w:p>
    <w:p>
      <w:pPr>
        <w:pStyle w:val="Style179"/>
        <w:numPr>
          <w:ilvl w:val="3"/>
          <w:numId w:val="136"/>
        </w:numPr>
        <w:ind w:left="426" w:hangingChars="202" w:hanging="426"/>
        <w:rPr>
          <w:sz w:val="21"/>
          <w:szCs w:val="21"/>
        </w:rPr>
      </w:pPr>
      <w:r>
        <w:rPr>
          <w:rFonts w:hint="eastAsia"/>
          <w:sz w:val="21"/>
          <w:szCs w:val="21"/>
        </w:rP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1703207979"/>
        <w:placeholder>
          <w:docPart w:val="GBC22222222222222222222222222222"/>
        </w:placeholder>
      </w:sdtPr>
      <w:sdtContent>
        <w:p>
          <w:pPr>
            <w:jc w:val="both"/>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9"/>
        <w:numPr>
          <w:ilvl w:val="3"/>
          <w:numId w:val="136"/>
        </w:numPr>
        <w:ind w:left="426" w:hangingChars="202" w:hanging="426"/>
        <w:rPr>
          <w:sz w:val="21"/>
          <w:szCs w:val="21"/>
        </w:rPr>
      </w:pPr>
      <w:r>
        <w:rPr>
          <w:rFonts w:hint="eastAsia"/>
          <w:sz w:val="21"/>
          <w:szCs w:val="21"/>
        </w:rPr>
        <w:t>其他说明</w:t>
      </w:r>
    </w:p>
    <w:sdt>
      <w:sdtPr>
        <w:rPr>
          <w:rFonts w:hint="eastAsia"/>
        </w:rPr>
        <w:alias w:val="是否适用：分部信息的其他说明[双击切换]"/>
        <w:tag w:val="_GBC_a7173613038248df8d31b8ffe91e1e27"/>
        <w:id w:val="-1303304582"/>
        <w:placeholder>
          <w:docPart w:val="GBC22222222222222222222222222222"/>
        </w:placeholder>
      </w:sdtPr>
      <w:sdtContent>
        <w:p>
          <w:pPr>
            <w:sectPr>
              <w:pgSz w:w="16838" w:h="11906" w:orient="landscape"/>
              <w:pgMar w:top="1797" w:right="1525" w:bottom="1276" w:left="1440" w:header="856" w:footer="992" w:gutter="0"/>
              <w:cols w:space="425"/>
              <w:docGrid w:linePitch="312"/>
            </w:sect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8"/>
        <w:numPr>
          <w:ilvl w:val="0"/>
          <w:numId w:val="134"/>
        </w:numPr>
        <w:rPr>
          <w:szCs w:val="21"/>
        </w:rPr>
      </w:pPr>
      <w:r>
        <w:rPr>
          <w:rFonts w:hint="eastAsia"/>
          <w:szCs w:val="21"/>
        </w:rPr>
        <w:t>其他对投资者决策有影响的重要交易和事项</w:t>
      </w:r>
    </w:p>
    <w:sdt>
      <w:sdtPr>
        <w:rPr>
          <w:rFonts w:hint="eastAsia"/>
        </w:rPr>
        <w:alias w:val="是否适用：其他对投资者决策有影响的重要交易和事项[双击切换]"/>
        <w:tag w:val="_GBC_fb50fde0c1774b5b8ae2688488649ea7"/>
        <w:id w:val="1856689172"/>
        <w:placeholder>
          <w:docPart w:val="GBC22222222222222222222222222222"/>
        </w:placeholder>
      </w:sdtPr>
      <w:sdtContent>
        <w:p>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8"/>
        <w:numPr>
          <w:ilvl w:val="0"/>
          <w:numId w:val="134"/>
        </w:numPr>
        <w:rPr>
          <w:szCs w:val="21"/>
        </w:rPr>
      </w:pPr>
      <w:r>
        <w:rPr>
          <w:rFonts w:hint="eastAsia"/>
          <w:szCs w:val="21"/>
        </w:rPr>
        <w:t>其他</w:t>
      </w:r>
    </w:p>
    <w:sdt>
      <w:sdtPr>
        <w:rPr>
          <w:rFonts w:hint="eastAsia"/>
        </w:rPr>
        <w:alias w:val="是否适用：其他重要事项的说明[双击切换]"/>
        <w:tag w:val="_GBC_fb43f52ac5bc49a4b33e34d6b1758f09"/>
        <w:id w:val="181282171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7"/>
        <w:numPr>
          <w:ilvl w:val="0"/>
          <w:numId w:val="66"/>
        </w:numPr>
        <w:rPr>
          <w:rFonts w:ascii="宋体" w:hAnsi="宋体"/>
          <w:szCs w:val="21"/>
        </w:rPr>
      </w:pPr>
      <w:r>
        <w:rPr>
          <w:rFonts w:hint="eastAsia"/>
          <w:szCs w:val="21"/>
        </w:rPr>
        <w:t>母公司财务报表主要项目注释</w:t>
      </w:r>
    </w:p>
    <w:p>
      <w:pPr>
        <w:pStyle w:val="Style178"/>
        <w:rPr>
          <w:szCs w:val="21"/>
        </w:rPr>
      </w:pPr>
      <w:r>
        <w:rPr>
          <w:rFonts w:ascii="宋体" w:hAnsi="宋体" w:hint="eastAsia"/>
          <w:szCs w:val="21"/>
        </w:rPr>
        <w:t>1、应收账款</w:t>
      </w:r>
    </w:p>
    <w:p>
      <w:pPr>
        <w:pStyle w:val="Style179"/>
        <w:numPr>
          <w:ilvl w:val="3"/>
          <w:numId w:val="137"/>
        </w:numPr>
        <w:ind w:left="426" w:hangingChars="202" w:hanging="426"/>
        <w:rPr>
          <w:sz w:val="21"/>
          <w:szCs w:val="21"/>
        </w:rPr>
      </w:pPr>
      <w:bookmarkStart w:id="554" w:name="_Hlk533796665"/>
      <w:r>
        <w:rPr>
          <w:rFonts w:hint="eastAsia"/>
          <w:sz w:val="21"/>
          <w:szCs w:val="21"/>
        </w:rPr>
        <w:t>按账龄披露</w:t>
      </w:r>
    </w:p>
    <w:sdt>
      <w:sdtPr>
        <w:alias w:val="是否适用：母公司应收账款按账龄披露[双击切换]"/>
        <w:tag w:val="_GBC_dafcd7d733014c4a8aaa9a9a4b6c92f1"/>
        <w:id w:val="66730161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应收账款按账龄披露"/>
          <w:tag w:val="_GBC_6f3238355b1f4a02b89a4d1aa10b0026"/>
          <w:id w:val="13370363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应收账款按账龄披露"/>
          <w:tag w:val="_GBC_c255ef872ced4f4ba9701062491ddd60"/>
          <w:id w:val="435258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3051"/>
        <w:gridCol w:w="3051"/>
      </w:tblGrid>
      <w:tr>
        <w:trPr>
          <w:cantSplit/>
        </w:trPr>
        <w:sdt>
          <w:sdtPr>
            <w:tag w:val="_PLD_91f1d8bffa9649c89e109fe838d32207"/>
            <w:id w:val="-2089303456"/>
          </w:sdtPr>
          <w:sdtContent>
            <w:tc>
              <w:tcPr>
                <w:tcW w:w="294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账龄</w:t>
                </w:r>
              </w:p>
            </w:tc>
          </w:sdtContent>
        </w:sdt>
        <w:sdt>
          <w:sdtPr>
            <w:tag w:val="_PLD_6b7aa27e99b34e1eb61af3bd12c578d2"/>
            <w:id w:val="1379437662"/>
          </w:sdtPr>
          <w:sdtContent>
            <w:tc>
              <w:tcPr>
                <w:tcW w:w="305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期末账面余额</w:t>
                </w:r>
              </w:p>
            </w:tc>
          </w:sdtContent>
        </w:sdt>
        <w:sdt>
          <w:sdtPr>
            <w:tag w:val="_PLD_0e2d3c046f184578857e4606189d40ef"/>
            <w:id w:val="1200051440"/>
          </w:sdtPr>
          <w:sdtContent>
            <w:tc>
              <w:tcPr>
                <w:tcW w:w="305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期初账面余额</w:t>
                </w:r>
              </w:p>
            </w:tc>
          </w:sdtContent>
        </w:sdt>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1年以内（含1年）</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1,511,619</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1,458,498</w:t>
            </w:r>
          </w:p>
        </w:tc>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1至2年</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663,526</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822,458</w:t>
            </w:r>
          </w:p>
        </w:tc>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2至3年</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274,014</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35,386</w:t>
            </w:r>
          </w:p>
        </w:tc>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3年以上</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262,866</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249,513</w:t>
            </w:r>
          </w:p>
        </w:tc>
      </w:tr>
      <w:tr>
        <w:trPr>
          <w:cantSplit/>
        </w:trPr>
        <w:tc>
          <w:tcPr>
            <w:tcW w:w="294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2,712,025</w:t>
            </w:r>
          </w:p>
        </w:tc>
        <w:tc>
          <w:tcPr>
            <w:tcW w:w="3051"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2,565,855</w:t>
            </w:r>
          </w:p>
        </w:tc>
      </w:tr>
    </w:tbl>
    <w:p>
      <w:pPr>
        <w:pStyle w:val="Style217"/>
      </w:pPr>
    </w:p>
    <w:p>
      <w:pPr>
        <w:pStyle w:val="Style217"/>
      </w:pPr>
    </w:p>
    <w:p>
      <w:pPr>
        <w:pStyle w:val="Style179"/>
        <w:numPr>
          <w:ilvl w:val="3"/>
          <w:numId w:val="137"/>
        </w:numPr>
        <w:ind w:left="426" w:hangingChars="202" w:hanging="426"/>
        <w:rPr>
          <w:sz w:val="21"/>
          <w:szCs w:val="21"/>
        </w:rPr>
      </w:pPr>
      <w:bookmarkStart w:id="555" w:name="_Hlk533796703"/>
      <w:bookmarkEnd w:id="554"/>
      <w:r>
        <w:rPr>
          <w:rFonts w:hint="eastAsia"/>
          <w:sz w:val="21"/>
          <w:szCs w:val="21"/>
        </w:rPr>
        <w:t>按坏账计提方法分类披露</w:t>
      </w:r>
    </w:p>
    <w:sdt>
      <w:sdtPr>
        <w:alias w:val="是否适用：母公司应收账款按坏账计提方法分类披露[双击切换]"/>
        <w:tag w:val="_GBC_7881b37ba62844928bb3a0f84fa1312c"/>
        <w:id w:val="-79560105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autoSpaceDE w:val="0"/>
        <w:autoSpaceDN w:val="0"/>
        <w:adjustRightInd w:val="0"/>
        <w:ind w:left="425" w:right="105" w:firstLineChars="0" w:firstLine="0"/>
        <w:jc w:val="right"/>
        <w:rPr>
          <w:sz w:val="21"/>
          <w:szCs w:val="21"/>
        </w:rPr>
      </w:pPr>
      <w:r>
        <w:rPr>
          <w:rFonts w:hint="eastAsia"/>
          <w:sz w:val="21"/>
          <w:szCs w:val="21"/>
        </w:rPr>
        <w:t>单位：</w:t>
      </w:r>
      <w:sdt>
        <w:sdtPr>
          <w:rPr>
            <w:rFonts w:hint="eastAsia"/>
            <w:sz w:val="21"/>
            <w:szCs w:val="21"/>
          </w:rPr>
          <w:alias w:val="单位：母公司应收账款按坏账计提方法分类披露"/>
          <w:tag w:val="_GBC_57cfa95657c1492d995c84aaa01cd7a5"/>
          <w:id w:val="2203270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 w:val="21"/>
              <w:szCs w:val="21"/>
            </w:rPr>
            <w:t>千元</w:t>
          </w:r>
          <w:r>
            <w:rPr>
              <w:rFonts w:hint="eastAsia"/>
              <w:sz w:val="21"/>
              <w:szCs w:val="21"/>
            </w:rPr>
            <w:t xml:space="preserve">  </w:t>
          </w:r>
        </w:sdtContent>
      </w:sdt>
      <w:r>
        <w:rPr>
          <w:rFonts w:hint="eastAsia"/>
          <w:sz w:val="21"/>
          <w:szCs w:val="21"/>
        </w:rPr>
        <w:t>币种：</w:t>
      </w:r>
      <w:sdt>
        <w:sdtPr>
          <w:rPr>
            <w:rFonts w:hint="eastAsia"/>
            <w:sz w:val="21"/>
            <w:szCs w:val="21"/>
          </w:rPr>
          <w:alias w:val="币种：母公司应收账款按坏账计提方法分类披露"/>
          <w:tag w:val="_GBC_b8d2fec8e15e43c8b9a141c04cb5fea0"/>
          <w:id w:val="1948872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 w:val="21"/>
              <w:szCs w:val="21"/>
            </w:rPr>
            <w:t>人民币</w:t>
          </w:r>
        </w:sdtContent>
      </w:sdt>
    </w:p>
    <w:tbl>
      <w:tblPr>
        <w:tblStyle w:val="Style100"/>
        <w:tblW w:w="11483"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992"/>
        <w:gridCol w:w="993"/>
        <w:gridCol w:w="850"/>
        <w:gridCol w:w="1276"/>
        <w:gridCol w:w="1276"/>
        <w:gridCol w:w="850"/>
        <w:gridCol w:w="992"/>
        <w:gridCol w:w="851"/>
        <w:gridCol w:w="1276"/>
      </w:tblGrid>
      <w:tr>
        <w:trPr>
          <w:cantSplit/>
          <w:trHeight w:val="259"/>
        </w:trPr>
        <w:sdt>
          <w:sdtPr>
            <w:tag w:val="_PLD_0b6f94bf734a49f28ff9eb2211eccc4e"/>
            <w:id w:val="1171055929"/>
          </w:sdtPr>
          <w:sdtContent>
            <w:tc>
              <w:tcPr>
                <w:tcW w:w="851" w:type="dxa"/>
                <w:vMerge w:val="restart"/>
                <w:tcBorders>
                  <w:top w:val="single" w:sz="4" w:space="0" w:color="auto"/>
                  <w:left w:val="single" w:sz="4" w:space="0" w:color="auto"/>
                  <w:right w:val="single" w:sz="4" w:space="0" w:color="auto"/>
                </w:tcBorders>
                <w:vAlign w:val="center"/>
              </w:tcPr>
              <w:p>
                <w:pPr>
                  <w:jc w:val="center"/>
                </w:pPr>
                <w:r>
                  <w:rPr>
                    <w:rFonts w:hint="eastAsia"/>
                  </w:rPr>
                  <w:t>类别</w:t>
                </w:r>
              </w:p>
            </w:tc>
          </w:sdtContent>
        </w:sdt>
        <w:sdt>
          <w:sdtPr>
            <w:tag w:val="_PLD_cadda055920649559b4578dc73b6f05e"/>
            <w:id w:val="871727142"/>
          </w:sdtPr>
          <w:sdtContent>
            <w:tc>
              <w:tcPr>
                <w:tcW w:w="5387" w:type="dxa"/>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期末余额</w:t>
                </w:r>
              </w:p>
            </w:tc>
          </w:sdtContent>
        </w:sdt>
        <w:sdt>
          <w:sdtPr>
            <w:tag w:val="_PLD_28a8aaa48276458aa987282704951cc5"/>
            <w:id w:val="-1632006284"/>
          </w:sdtPr>
          <w:sdtContent>
            <w:tc>
              <w:tcPr>
                <w:tcW w:w="5245" w:type="dxa"/>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pPr>
                <w:r>
                  <w:rPr>
                    <w:rFonts w:hint="eastAsia"/>
                  </w:rPr>
                  <w:t>期初余额</w:t>
                </w:r>
              </w:p>
            </w:tc>
          </w:sdtContent>
        </w:sdt>
      </w:tr>
      <w:tr>
        <w:trPr>
          <w:cantSplit/>
          <w:trHeight w:val="227"/>
        </w:trPr>
        <w:tc>
          <w:tcPr>
            <w:tcW w:w="851" w:type="dxa"/>
            <w:vMerge/>
            <w:tcBorders>
              <w:left w:val="single" w:sz="4" w:space="0" w:color="auto"/>
              <w:right w:val="single" w:sz="4" w:space="0" w:color="auto"/>
            </w:tcBorders>
            <w:vAlign w:val="center"/>
          </w:tcPr>
          <w:p>
            <w:pPr>
              <w:pStyle w:val="Style217"/>
              <w:rPr>
                <w:szCs w:val="21"/>
              </w:rPr>
            </w:pPr>
          </w:p>
        </w:tc>
        <w:sdt>
          <w:sdtPr>
            <w:tag w:val="_PLD_b6e4cad360f948d68bd5af2c3f52e83a"/>
            <w:id w:val="-1336296853"/>
          </w:sdtPr>
          <w:sdtContent>
            <w:tc>
              <w:tcPr>
                <w:tcW w:w="2268"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账面余额</w:t>
                </w:r>
              </w:p>
            </w:tc>
          </w:sdtContent>
        </w:sdt>
        <w:sdt>
          <w:sdtPr>
            <w:tag w:val="_PLD_1812a70770914fa4b8145f493ad4c468"/>
            <w:id w:val="1923688719"/>
          </w:sdtPr>
          <w:sdtContent>
            <w:tc>
              <w:tcPr>
                <w:tcW w:w="1843"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坏账准备</w:t>
                </w:r>
              </w:p>
            </w:tc>
          </w:sdtContent>
        </w:sdt>
        <w:sdt>
          <w:sdtPr>
            <w:tag w:val="_PLD_970be2ae3a84456bb0feb4eb360d2b2f"/>
            <w:id w:val="1979419071"/>
          </w:sdtPr>
          <w:sdtContent>
            <w:tc>
              <w:tcPr>
                <w:tcW w:w="1276" w:type="dxa"/>
                <w:vMerge w:val="restart"/>
                <w:tcBorders>
                  <w:top w:val="single" w:sz="4" w:space="0" w:color="auto"/>
                  <w:left w:val="single" w:sz="4" w:space="0" w:color="auto"/>
                  <w:right w:val="single" w:sz="4" w:space="0" w:color="auto"/>
                </w:tcBorders>
                <w:vAlign w:val="center"/>
              </w:tcPr>
              <w:p>
                <w:pPr>
                  <w:jc w:val="center"/>
                </w:pPr>
                <w:r>
                  <w:rPr>
                    <w:rFonts w:hint="eastAsia"/>
                  </w:rPr>
                  <w:t>账面</w:t>
                </w:r>
              </w:p>
              <w:p>
                <w:pPr>
                  <w:jc w:val="center"/>
                </w:pPr>
                <w:r>
                  <w:rPr>
                    <w:rFonts w:hint="eastAsia"/>
                  </w:rPr>
                  <w:t>价值</w:t>
                </w:r>
              </w:p>
            </w:tc>
          </w:sdtContent>
        </w:sdt>
        <w:sdt>
          <w:sdtPr>
            <w:tag w:val="_PLD_be04f05fbfa341e1a7546ee304164c92"/>
            <w:id w:val="-814177577"/>
          </w:sdtPr>
          <w:sdtContent>
            <w:tc>
              <w:tcPr>
                <w:tcW w:w="2126" w:type="dxa"/>
                <w:gridSpan w:val="2"/>
                <w:tcBorders>
                  <w:top w:val="single" w:sz="4" w:space="0" w:color="auto"/>
                  <w:left w:val="single" w:sz="4" w:space="0" w:color="auto"/>
                  <w:right w:val="single" w:sz="4" w:space="0" w:color="auto"/>
                </w:tcBorders>
                <w:vAlign w:val="center"/>
              </w:tcPr>
              <w:p>
                <w:pPr>
                  <w:jc w:val="center"/>
                </w:pPr>
                <w:r>
                  <w:rPr>
                    <w:rFonts w:hint="eastAsia"/>
                  </w:rPr>
                  <w:t>账面余额</w:t>
                </w:r>
              </w:p>
            </w:tc>
          </w:sdtContent>
        </w:sdt>
        <w:sdt>
          <w:sdtPr>
            <w:tag w:val="_PLD_708baf88b6ab4f6ca208582ef2033d3e"/>
            <w:id w:val="1697503182"/>
          </w:sdtPr>
          <w:sdtContent>
            <w:tc>
              <w:tcPr>
                <w:tcW w:w="1843" w:type="dxa"/>
                <w:gridSpan w:val="2"/>
                <w:tcBorders>
                  <w:top w:val="single" w:sz="4" w:space="0" w:color="auto"/>
                  <w:left w:val="single" w:sz="4" w:space="0" w:color="auto"/>
                  <w:right w:val="single" w:sz="4" w:space="0" w:color="auto"/>
                </w:tcBorders>
                <w:vAlign w:val="center"/>
              </w:tcPr>
              <w:p>
                <w:pPr>
                  <w:jc w:val="center"/>
                </w:pPr>
                <w:r>
                  <w:rPr>
                    <w:rFonts w:hint="eastAsia"/>
                  </w:rPr>
                  <w:t>坏账准备</w:t>
                </w:r>
              </w:p>
            </w:tc>
          </w:sdtContent>
        </w:sdt>
        <w:sdt>
          <w:sdtPr>
            <w:tag w:val="_PLD_7c2453d3d43547428eaaafae8df8b7d0"/>
            <w:id w:val="1756008335"/>
          </w:sdtPr>
          <w:sdtContent>
            <w:tc>
              <w:tcPr>
                <w:tcW w:w="1276" w:type="dxa"/>
                <w:vMerge w:val="restart"/>
                <w:tcBorders>
                  <w:top w:val="single" w:sz="4" w:space="0" w:color="auto"/>
                  <w:left w:val="single" w:sz="4" w:space="0" w:color="auto"/>
                  <w:right w:val="single" w:sz="4" w:space="0" w:color="auto"/>
                </w:tcBorders>
                <w:vAlign w:val="center"/>
              </w:tcPr>
              <w:p>
                <w:pPr>
                  <w:jc w:val="center"/>
                </w:pPr>
                <w:r>
                  <w:rPr>
                    <w:rFonts w:hint="eastAsia"/>
                  </w:rPr>
                  <w:t>账面</w:t>
                </w:r>
              </w:p>
              <w:p>
                <w:pPr>
                  <w:jc w:val="center"/>
                </w:pPr>
                <w:r>
                  <w:rPr>
                    <w:rFonts w:hint="eastAsia"/>
                  </w:rPr>
                  <w:t>价值</w:t>
                </w:r>
              </w:p>
            </w:tc>
          </w:sdtContent>
        </w:sdt>
      </w:tr>
      <w:tr>
        <w:trPr>
          <w:cantSplit/>
          <w:trHeight w:val="375"/>
        </w:trPr>
        <w:tc>
          <w:tcPr>
            <w:tcW w:w="851" w:type="dxa"/>
            <w:vMerge/>
            <w:tcBorders>
              <w:left w:val="single" w:sz="4" w:space="0" w:color="auto"/>
              <w:bottom w:val="single" w:sz="4" w:space="0" w:color="auto"/>
              <w:right w:val="single" w:sz="4" w:space="0" w:color="auto"/>
            </w:tcBorders>
            <w:vAlign w:val="center"/>
          </w:tcPr>
          <w:p>
            <w:pPr>
              <w:pStyle w:val="Style217"/>
              <w:rPr>
                <w:szCs w:val="21"/>
              </w:rPr>
            </w:pPr>
          </w:p>
        </w:tc>
        <w:sdt>
          <w:sdtPr>
            <w:tag w:val="_PLD_c5c981ae53b144af90139d228c5285af"/>
            <w:id w:val="-952473195"/>
          </w:sdtPr>
          <w:sdtContent>
            <w:tc>
              <w:tcPr>
                <w:tcW w:w="1276"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c62cdb22fba648808acfebda9f29289b"/>
            <w:id w:val="-529730046"/>
          </w:sdtPr>
          <w:sdtContent>
            <w:tc>
              <w:tcPr>
                <w:tcW w:w="992" w:type="dxa"/>
                <w:tcBorders>
                  <w:left w:val="single" w:sz="4" w:space="0" w:color="auto"/>
                  <w:bottom w:val="single" w:sz="4" w:space="0" w:color="auto"/>
                  <w:right w:val="single" w:sz="4" w:space="0" w:color="auto"/>
                </w:tcBorders>
                <w:vAlign w:val="center"/>
              </w:tcPr>
              <w:p>
                <w:pPr>
                  <w:jc w:val="center"/>
                </w:pPr>
                <w:r>
                  <w:rPr>
                    <w:rFonts w:hint="eastAsia"/>
                  </w:rPr>
                  <w:t>比例</w:t>
                </w:r>
                <w:r>
                  <w:t>(%)</w:t>
                </w:r>
              </w:p>
            </w:tc>
          </w:sdtContent>
        </w:sdt>
        <w:sdt>
          <w:sdtPr>
            <w:tag w:val="_PLD_d259a31756a946a6a441328cc78413fc"/>
            <w:id w:val="330956288"/>
          </w:sdtPr>
          <w:sdtContent>
            <w:tc>
              <w:tcPr>
                <w:tcW w:w="993"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f74078100e7348efb6fa93b2ac934809"/>
            <w:id w:val="-1281337002"/>
          </w:sdtPr>
          <w:sdtContent>
            <w:tc>
              <w:tcPr>
                <w:tcW w:w="850" w:type="dxa"/>
                <w:tcBorders>
                  <w:left w:val="single" w:sz="4" w:space="0" w:color="auto"/>
                  <w:bottom w:val="single" w:sz="4" w:space="0" w:color="auto"/>
                  <w:right w:val="single" w:sz="4" w:space="0" w:color="auto"/>
                </w:tcBorders>
                <w:vAlign w:val="center"/>
              </w:tcPr>
              <w:p>
                <w:pPr>
                  <w:jc w:val="center"/>
                </w:pPr>
                <w:r>
                  <w:rPr>
                    <w:rFonts w:hint="eastAsia"/>
                  </w:rPr>
                  <w:t>计提比例</w:t>
                </w:r>
                <w:r>
                  <w:t>(%)</w:t>
                </w:r>
              </w:p>
            </w:tc>
          </w:sdtContent>
        </w:sdt>
        <w:tc>
          <w:tcPr>
            <w:tcW w:w="1276" w:type="dxa"/>
            <w:vMerge/>
            <w:tcBorders>
              <w:left w:val="single" w:sz="4" w:space="0" w:color="auto"/>
              <w:bottom w:val="single" w:sz="4" w:space="0" w:color="auto"/>
              <w:right w:val="single" w:sz="4" w:space="0" w:color="auto"/>
            </w:tcBorders>
            <w:vAlign w:val="center"/>
          </w:tcPr>
          <w:p>
            <w:pPr>
              <w:jc w:val="center"/>
            </w:pPr>
          </w:p>
        </w:tc>
        <w:sdt>
          <w:sdtPr>
            <w:tag w:val="_PLD_4b188b463cd04b5f935c04bb97091ad7"/>
            <w:id w:val="-2028708851"/>
          </w:sdtPr>
          <w:sdtContent>
            <w:tc>
              <w:tcPr>
                <w:tcW w:w="1276"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0eb49b8077f24050b883fe1c83156c6a"/>
            <w:id w:val="-1007977173"/>
          </w:sdtPr>
          <w:sdtContent>
            <w:tc>
              <w:tcPr>
                <w:tcW w:w="850" w:type="dxa"/>
                <w:tcBorders>
                  <w:left w:val="single" w:sz="4" w:space="0" w:color="auto"/>
                  <w:bottom w:val="single" w:sz="4" w:space="0" w:color="auto"/>
                  <w:right w:val="single" w:sz="4" w:space="0" w:color="auto"/>
                </w:tcBorders>
                <w:vAlign w:val="center"/>
              </w:tcPr>
              <w:p>
                <w:pPr>
                  <w:jc w:val="center"/>
                </w:pPr>
                <w:r>
                  <w:rPr>
                    <w:rFonts w:hint="eastAsia"/>
                  </w:rPr>
                  <w:t>比例</w:t>
                </w:r>
                <w:r>
                  <w:t>(%)</w:t>
                </w:r>
              </w:p>
            </w:tc>
          </w:sdtContent>
        </w:sdt>
        <w:sdt>
          <w:sdtPr>
            <w:tag w:val="_PLD_97b959dafb2649fe9097ba91d4d77a2f"/>
            <w:id w:val="811757761"/>
          </w:sdtPr>
          <w:sdtContent>
            <w:tc>
              <w:tcPr>
                <w:tcW w:w="992" w:type="dxa"/>
                <w:tcBorders>
                  <w:left w:val="single" w:sz="4" w:space="0" w:color="auto"/>
                  <w:bottom w:val="single" w:sz="4" w:space="0" w:color="auto"/>
                  <w:right w:val="single" w:sz="4" w:space="0" w:color="auto"/>
                </w:tcBorders>
                <w:vAlign w:val="center"/>
              </w:tcPr>
              <w:p>
                <w:pPr>
                  <w:jc w:val="center"/>
                </w:pPr>
                <w:r>
                  <w:rPr>
                    <w:rFonts w:hint="eastAsia"/>
                  </w:rPr>
                  <w:t>金额</w:t>
                </w:r>
              </w:p>
            </w:tc>
          </w:sdtContent>
        </w:sdt>
        <w:sdt>
          <w:sdtPr>
            <w:tag w:val="_PLD_99dda048c2a04725a5d8bfac8b356378"/>
            <w:id w:val="-81763026"/>
          </w:sdtPr>
          <w:sdtContent>
            <w:tc>
              <w:tcPr>
                <w:tcW w:w="851" w:type="dxa"/>
                <w:tcBorders>
                  <w:left w:val="single" w:sz="4" w:space="0" w:color="auto"/>
                  <w:bottom w:val="single" w:sz="4" w:space="0" w:color="auto"/>
                  <w:right w:val="single" w:sz="4" w:space="0" w:color="auto"/>
                </w:tcBorders>
                <w:vAlign w:val="center"/>
              </w:tcPr>
              <w:p>
                <w:pPr>
                  <w:jc w:val="center"/>
                </w:pPr>
                <w:r>
                  <w:rPr>
                    <w:rFonts w:hint="eastAsia"/>
                  </w:rPr>
                  <w:t>计提比例</w:t>
                </w:r>
                <w:r>
                  <w:t>(%)</w:t>
                </w:r>
              </w:p>
            </w:tc>
          </w:sdtContent>
        </w:sdt>
        <w:tc>
          <w:tcPr>
            <w:tcW w:w="1276" w:type="dxa"/>
            <w:vMerge/>
            <w:tcBorders>
              <w:left w:val="single" w:sz="4" w:space="0" w:color="auto"/>
              <w:bottom w:val="single" w:sz="4" w:space="0" w:color="auto"/>
              <w:right w:val="single" w:sz="4" w:space="0" w:color="auto"/>
            </w:tcBorders>
            <w:vAlign w:val="center"/>
          </w:tcPr>
          <w:p>
            <w:pPr>
              <w:jc w:val="center"/>
            </w:pPr>
          </w:p>
        </w:tc>
      </w:tr>
      <w:tr>
        <w:trPr>
          <w:cantSplit/>
        </w:trPr>
        <w:tc>
          <w:tcPr>
            <w:tcW w:w="8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按单项计提坏账准备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239,827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8.84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239,827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240,890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9.39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194,774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80.86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46,116</w:t>
            </w:r>
          </w:p>
        </w:tc>
      </w:tr>
      <w:tr>
        <w:trPr>
          <w:cantSplit/>
        </w:trPr>
        <w:tc>
          <w:tcPr>
            <w:tcW w:w="85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按组合计提坏账准备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2,472,198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91.16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2,821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2,469,377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2,324,965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90.61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10,793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2,314,172</w:t>
            </w:r>
          </w:p>
        </w:tc>
      </w:tr>
      <w:tr>
        <w:trPr>
          <w:cantSplit/>
        </w:trPr>
        <w:sdt>
          <w:sdtPr>
            <w:tag w:val="_PLD_3e90aa50b20c494dafda2d9726e46570"/>
            <w:id w:val="-60332477"/>
          </w:sdtPr>
          <w:sdtContent>
            <w:tc>
              <w:tcPr>
                <w:tcW w:w="1148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pPr>
                  <w:pStyle w:val="Style217"/>
                </w:pPr>
                <w:r>
                  <w:rPr>
                    <w:rFonts w:hint="eastAsia"/>
                  </w:rPr>
                  <w:t>其中：</w:t>
                </w:r>
              </w:p>
            </w:tc>
          </w:sdtContent>
        </w:sdt>
      </w:tr>
      <w:tr>
        <w:trPr>
          <w:cantSplit/>
        </w:trPr>
        <w:sdt>
          <w:sdtPr>
            <w:alias w:val="按组合计提坏账准备的应收账款明细-组合名称"/>
            <w:tag w:val="_GBC_bb95ca191c6548418732405aecc5c303"/>
            <w:id w:val="2086341729"/>
          </w:sdtPr>
          <w:sdtContent>
            <w:tc>
              <w:tcPr>
                <w:tcW w:w="851" w:type="dxa"/>
                <w:tcBorders>
                  <w:top w:val="single" w:sz="4" w:space="0" w:color="auto"/>
                  <w:left w:val="single" w:sz="4" w:space="0" w:color="auto"/>
                  <w:bottom w:val="single" w:sz="4" w:space="0" w:color="auto"/>
                  <w:right w:val="single" w:sz="4" w:space="0" w:color="auto"/>
                </w:tcBorders>
                <w:vAlign w:val="center"/>
              </w:tcPr>
              <w:p>
                <w:pPr>
                  <w:jc w:val="both"/>
                  <w:rPr>
                    <w:color w:val="808080"/>
                  </w:rPr>
                </w:pPr>
                <w:r>
                  <w:rPr>
                    <w:rFonts w:hint="eastAsia"/>
                  </w:rPr>
                  <w:t>账龄组合</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180,269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6.65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2,821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177,448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195,274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7.61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10,793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5.53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184,481</w:t>
            </w:r>
          </w:p>
        </w:tc>
      </w:tr>
      <w:tr>
        <w:trPr>
          <w:cantSplit/>
        </w:trPr>
        <w:sdt>
          <w:sdtPr>
            <w:alias w:val="按组合计提坏账准备的应收账款明细-组合名称"/>
            <w:tag w:val="_GBC_bb95ca191c6548418732405aecc5c303"/>
            <w:id w:val="530998397"/>
          </w:sdtPr>
          <w:sdtContent>
            <w:tc>
              <w:tcPr>
                <w:tcW w:w="851" w:type="dxa"/>
                <w:tcBorders>
                  <w:top w:val="single" w:sz="4" w:space="0" w:color="auto"/>
                  <w:left w:val="single" w:sz="4" w:space="0" w:color="auto"/>
                  <w:bottom w:val="single" w:sz="4" w:space="0" w:color="auto"/>
                  <w:right w:val="single" w:sz="4" w:space="0" w:color="auto"/>
                </w:tcBorders>
                <w:vAlign w:val="center"/>
              </w:tcPr>
              <w:p>
                <w:pPr>
                  <w:jc w:val="both"/>
                  <w:rPr>
                    <w:color w:val="808080"/>
                  </w:rPr>
                </w:pPr>
                <w:r>
                  <w:rPr>
                    <w:rFonts w:hint="eastAsia"/>
                  </w:rPr>
                  <w:t>关联方组合</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2,291,929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84.51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2,291,929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2,129,691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2,129,691</w:t>
            </w:r>
          </w:p>
        </w:tc>
      </w:tr>
      <w:tr>
        <w:trPr>
          <w:cantSplit/>
        </w:trPr>
        <w:tc>
          <w:tcPr>
            <w:tcW w:w="85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pPr>
            <w:r>
              <w:rPr>
                <w:rFonts w:hint="eastAsia"/>
              </w:rPr>
              <w:t>合计</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2,712,025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hint="eastAsia"/>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242,648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2,469,377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2,565,855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hint="eastAsia"/>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205,567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ascii="宋体" w:hAnsi="宋体"/>
              </w:rPr>
            </w:pPr>
            <w:r>
              <w:rPr>
                <w:rFonts w:ascii="宋体" w:hAnsi="宋体" w:hint="eastAsia"/>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宋体" w:hAnsi="宋体"/>
              </w:rPr>
            </w:pPr>
            <w:r>
              <w:rPr>
                <w:rFonts w:ascii="宋体" w:hAnsi="宋体"/>
              </w:rPr>
              <w:t>2,360,288</w:t>
            </w:r>
          </w:p>
        </w:tc>
      </w:tr>
    </w:tbl>
    <w:p>
      <w:pPr>
        <w:pStyle w:val="Style217"/>
      </w:pPr>
    </w:p>
    <w:bookmarkEnd w:id="555"/>
    <w:p>
      <w:pPr>
        <w:pStyle w:val="Style217"/>
      </w:pPr>
      <w:r>
        <w:rPr>
          <w:rFonts w:hint="eastAsia"/>
        </w:rPr>
        <w:t>按单项计提坏账准备：</w:t>
      </w:r>
    </w:p>
    <w:sdt>
      <w:sdtPr>
        <w:alias w:val="是否适用：母公司应收账款按单项计提坏账准备[双击切换]"/>
        <w:tag w:val="_GBC_1cd34dae0bf14ebba3d99534844e7d95"/>
        <w:id w:val="145860201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ind w:left="5880" w:right="105"/>
        <w:jc w:val="right"/>
      </w:pPr>
      <w:bookmarkStart w:id="556" w:name="_Hlk533796752"/>
      <w:r>
        <w:rPr>
          <w:rFonts w:hint="eastAsia"/>
        </w:rPr>
        <w:t>位：</w:t>
      </w:r>
      <w:sdt>
        <w:sdtPr>
          <w:rPr>
            <w:rFonts w:hint="eastAsia"/>
          </w:rPr>
          <w:alias w:val="单位：母公司应收账款按单项计提坏账准备"/>
          <w:tag w:val="_GBC_92bc20ad98a2451daf91a5a49b199fd6"/>
          <w:id w:val="12904756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应收账款按单项计提坏账准备"/>
          <w:tag w:val="_GBC_0a6db35d2d144335a2ac2dfe3b629ff1"/>
          <w:id w:val="18351805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1117"/>
        <w:gridCol w:w="1275"/>
        <w:gridCol w:w="1134"/>
        <w:gridCol w:w="1276"/>
        <w:gridCol w:w="1134"/>
        <w:gridCol w:w="1541"/>
      </w:tblGrid>
      <w:tr>
        <w:sdt>
          <w:sdtPr>
            <w:tag w:val="_PLD_bf06f48741cf4f8683629bc86fe4253a"/>
            <w:id w:val="1492676615"/>
          </w:sdtPr>
          <w:sdtContent>
            <w:tc>
              <w:tcPr>
                <w:tcW w:w="1572" w:type="dxa"/>
                <w:vMerge w:val="restart"/>
                <w:vAlign w:val="center"/>
              </w:tcPr>
              <w:p>
                <w:pPr>
                  <w:jc w:val="center"/>
                </w:pPr>
                <w:r>
                  <w:rPr>
                    <w:rFonts w:hint="eastAsia"/>
                  </w:rPr>
                  <w:t>名称</w:t>
                </w:r>
              </w:p>
            </w:tc>
          </w:sdtContent>
        </w:sdt>
        <w:tc>
          <w:tcPr>
            <w:tcW w:w="2392" w:type="dxa"/>
            <w:gridSpan w:val="2"/>
            <w:vAlign w:val="center"/>
          </w:tcPr>
          <w:p>
            <w:pPr>
              <w:jc w:val="center"/>
            </w:pPr>
            <w:r>
              <w:rPr>
                <w:rFonts w:hint="eastAsia"/>
              </w:rPr>
              <w:t>期初余额</w:t>
            </w:r>
          </w:p>
        </w:tc>
        <w:sdt>
          <w:sdtPr>
            <w:tag w:val="_PLD_e8eabae632cb4a738dba30bece28c3a8"/>
            <w:id w:val="268892660"/>
          </w:sdtPr>
          <w:sdtContent>
            <w:tc>
              <w:tcPr>
                <w:tcW w:w="5085" w:type="dxa"/>
                <w:gridSpan w:val="4"/>
                <w:vAlign w:val="center"/>
              </w:tcPr>
              <w:p>
                <w:pPr>
                  <w:jc w:val="center"/>
                </w:pPr>
                <w:r>
                  <w:rPr>
                    <w:rFonts w:hint="eastAsia"/>
                  </w:rPr>
                  <w:t>期末余额</w:t>
                </w:r>
              </w:p>
            </w:tc>
          </w:sdtContent>
        </w:sdt>
      </w:tr>
      <w:tr>
        <w:tc>
          <w:tcPr>
            <w:tcW w:w="1572" w:type="dxa"/>
            <w:vMerge/>
            <w:vAlign w:val="center"/>
          </w:tcPr>
          <w:p>
            <w:pPr>
              <w:jc w:val="center"/>
            </w:pPr>
          </w:p>
        </w:tc>
        <w:sdt>
          <w:sdtPr>
            <w:tag w:val="_PLD_0ea49c9284ac4750b9c5ffe19ec4732c"/>
            <w:id w:val="1903103672"/>
          </w:sdtPr>
          <w:sdtContent>
            <w:tc>
              <w:tcPr>
                <w:tcW w:w="1117" w:type="dxa"/>
                <w:vAlign w:val="center"/>
              </w:tcPr>
              <w:p>
                <w:pPr>
                  <w:jc w:val="center"/>
                </w:pPr>
                <w:r>
                  <w:rPr>
                    <w:rFonts w:hint="eastAsia"/>
                  </w:rPr>
                  <w:t>账面余额</w:t>
                </w:r>
              </w:p>
            </w:tc>
          </w:sdtContent>
        </w:sdt>
        <w:sdt>
          <w:sdtPr>
            <w:tag w:val="_PLD_4e5b035254d34ab286177f908a392849"/>
            <w:id w:val="-514080474"/>
          </w:sdtPr>
          <w:sdtContent>
            <w:tc>
              <w:tcPr>
                <w:tcW w:w="1275" w:type="dxa"/>
                <w:vAlign w:val="center"/>
              </w:tcPr>
              <w:p>
                <w:pPr>
                  <w:jc w:val="center"/>
                </w:pPr>
                <w:r>
                  <w:rPr>
                    <w:rFonts w:hint="eastAsia"/>
                  </w:rPr>
                  <w:t>坏账准备</w:t>
                </w:r>
              </w:p>
            </w:tc>
          </w:sdtContent>
        </w:sdt>
        <w:sdt>
          <w:sdtPr>
            <w:tag w:val="_PLD_0ea49c9284ac4750b9c5ffe19ec4732c"/>
            <w:id w:val="791864281"/>
          </w:sdtPr>
          <w:sdtContent>
            <w:tc>
              <w:tcPr>
                <w:tcW w:w="1134" w:type="dxa"/>
                <w:vAlign w:val="center"/>
              </w:tcPr>
              <w:p>
                <w:pPr>
                  <w:jc w:val="center"/>
                </w:pPr>
                <w:r>
                  <w:rPr>
                    <w:rFonts w:hint="eastAsia"/>
                  </w:rPr>
                  <w:t>账面余额</w:t>
                </w:r>
              </w:p>
            </w:tc>
          </w:sdtContent>
        </w:sdt>
        <w:sdt>
          <w:sdtPr>
            <w:tag w:val="_PLD_4e5b035254d34ab286177f908a392849"/>
            <w:id w:val="1683632378"/>
          </w:sdtPr>
          <w:sdtContent>
            <w:tc>
              <w:tcPr>
                <w:tcW w:w="1276" w:type="dxa"/>
                <w:vAlign w:val="center"/>
              </w:tcPr>
              <w:p>
                <w:pPr>
                  <w:jc w:val="center"/>
                </w:pPr>
                <w:r>
                  <w:rPr>
                    <w:rFonts w:hint="eastAsia"/>
                  </w:rPr>
                  <w:t>坏账准备</w:t>
                </w:r>
              </w:p>
            </w:tc>
          </w:sdtContent>
        </w:sdt>
        <w:sdt>
          <w:sdtPr>
            <w:tag w:val="_PLD_9316156bac3c45f593fc5f35e8e28833"/>
            <w:id w:val="747230646"/>
          </w:sdtPr>
          <w:sdtContent>
            <w:tc>
              <w:tcPr>
                <w:tcW w:w="1134" w:type="dxa"/>
                <w:vAlign w:val="center"/>
              </w:tcPr>
              <w:p>
                <w:pPr>
                  <w:jc w:val="center"/>
                </w:pPr>
                <w:r>
                  <w:t>计提比例</w:t>
                </w:r>
                <w:r>
                  <w:rPr>
                    <w:rFonts w:hint="eastAsia"/>
                  </w:rPr>
                  <w:t>（</w:t>
                </w:r>
                <w:r>
                  <w:rPr>
                    <w:rFonts w:hint="eastAsia"/>
                  </w:rPr>
                  <w:t>%</w:t>
                </w:r>
                <w:r>
                  <w:rPr>
                    <w:rFonts w:hint="eastAsia"/>
                  </w:rPr>
                  <w:t>）</w:t>
                </w:r>
              </w:p>
            </w:tc>
          </w:sdtContent>
        </w:sdt>
        <w:sdt>
          <w:sdtPr>
            <w:tag w:val="_PLD_20dce80930bd4c9eb9bd96af960a880b"/>
            <w:id w:val="8494330"/>
          </w:sdtPr>
          <w:sdtContent>
            <w:tc>
              <w:tcPr>
                <w:tcW w:w="1541" w:type="dxa"/>
                <w:vAlign w:val="center"/>
              </w:tcPr>
              <w:p>
                <w:pPr>
                  <w:jc w:val="center"/>
                </w:pPr>
                <w:r>
                  <w:rPr>
                    <w:rFonts w:hint="eastAsia"/>
                  </w:rPr>
                  <w:t>计提理由</w:t>
                </w:r>
              </w:p>
            </w:tc>
          </w:sdtContent>
        </w:sdt>
      </w:tr>
      <w:tr>
        <w:tc>
          <w:tcPr>
            <w:tcW w:w="1572" w:type="dxa"/>
            <w:vAlign w:val="center"/>
          </w:tcPr>
          <w:p>
            <w:pPr>
              <w:pStyle w:val="Style217"/>
            </w:pPr>
            <w:r>
              <w:rPr>
                <w:rFonts w:hint="eastAsia"/>
                <w:lang w:bidi="ar"/>
              </w:rPr>
              <w:t>宝塔石化集团财务有限公司</w:t>
            </w:r>
          </w:p>
        </w:tc>
        <w:tc>
          <w:tcPr>
            <w:tcW w:w="1117" w:type="dxa"/>
            <w:vAlign w:val="center"/>
          </w:tcPr>
          <w:p>
            <w:pPr>
              <w:jc w:val="right"/>
              <w:rPr>
                <w:rFonts w:ascii="宋体" w:hAnsi="宋体"/>
              </w:rPr>
            </w:pPr>
            <w:r>
              <w:rPr>
                <w:rFonts w:ascii="宋体" w:hAnsi="宋体"/>
              </w:rPr>
              <w:t>235,613</w:t>
            </w:r>
          </w:p>
        </w:tc>
        <w:tc>
          <w:tcPr>
            <w:tcW w:w="1275" w:type="dxa"/>
            <w:vAlign w:val="center"/>
          </w:tcPr>
          <w:p>
            <w:pPr>
              <w:jc w:val="right"/>
              <w:rPr>
                <w:rFonts w:ascii="宋体" w:hAnsi="宋体"/>
              </w:rPr>
            </w:pPr>
            <w:r>
              <w:rPr>
                <w:rFonts w:ascii="宋体" w:hAnsi="宋体"/>
              </w:rPr>
              <w:t>189,497</w:t>
            </w:r>
          </w:p>
        </w:tc>
        <w:tc>
          <w:tcPr>
            <w:tcW w:w="1134" w:type="dxa"/>
            <w:vAlign w:val="center"/>
          </w:tcPr>
          <w:p>
            <w:pPr>
              <w:jc w:val="right"/>
              <w:rPr>
                <w:rFonts w:ascii="宋体" w:hAnsi="宋体"/>
              </w:rPr>
            </w:pPr>
            <w:r>
              <w:rPr>
                <w:rFonts w:ascii="宋体" w:hAnsi="宋体"/>
              </w:rPr>
              <w:t>235,410</w:t>
            </w:r>
          </w:p>
        </w:tc>
        <w:tc>
          <w:tcPr>
            <w:tcW w:w="1276" w:type="dxa"/>
            <w:vAlign w:val="center"/>
          </w:tcPr>
          <w:p>
            <w:pPr>
              <w:jc w:val="right"/>
              <w:rPr>
                <w:rFonts w:ascii="宋体" w:hAnsi="宋体"/>
              </w:rPr>
            </w:pPr>
            <w:r>
              <w:rPr>
                <w:rFonts w:ascii="宋体" w:hAnsi="宋体" w:hint="eastAsia"/>
              </w:rPr>
              <w:t>235,410</w:t>
            </w:r>
          </w:p>
        </w:tc>
        <w:tc>
          <w:tcPr>
            <w:tcW w:w="1134" w:type="dxa"/>
            <w:vAlign w:val="center"/>
          </w:tcPr>
          <w:p>
            <w:pPr>
              <w:jc w:val="center"/>
              <w:rPr>
                <w:rFonts w:ascii="宋体" w:hAnsi="宋体"/>
              </w:rPr>
            </w:pPr>
            <w:r>
              <w:rPr>
                <w:rFonts w:ascii="宋体" w:hAnsi="宋体"/>
              </w:rPr>
              <w:t>100</w:t>
            </w:r>
          </w:p>
        </w:tc>
        <w:tc>
          <w:tcPr>
            <w:tcW w:w="1541" w:type="dxa"/>
            <w:vAlign w:val="center"/>
          </w:tcPr>
          <w:p>
            <w:pPr>
              <w:jc w:val="center"/>
              <w:rPr>
                <w:highlight w:val="yellow"/>
              </w:rPr>
            </w:pPr>
            <w:r>
              <w:rPr>
                <w:rFonts w:hint="eastAsia"/>
              </w:rPr>
              <w:t>预计无法收回</w:t>
            </w:r>
          </w:p>
        </w:tc>
      </w:tr>
      <w:tr>
        <w:tc>
          <w:tcPr>
            <w:tcW w:w="1572" w:type="dxa"/>
            <w:vAlign w:val="center"/>
          </w:tcPr>
          <w:p>
            <w:pPr>
              <w:pStyle w:val="Style217"/>
            </w:pPr>
            <w:r>
              <w:rPr>
                <w:rFonts w:hint="eastAsia"/>
                <w:lang w:bidi="ar"/>
              </w:rPr>
              <w:t>山西天浩化工股份有限公司</w:t>
            </w:r>
          </w:p>
        </w:tc>
        <w:tc>
          <w:tcPr>
            <w:tcW w:w="1117" w:type="dxa"/>
            <w:vAlign w:val="center"/>
          </w:tcPr>
          <w:p>
            <w:pPr>
              <w:jc w:val="right"/>
              <w:rPr>
                <w:rFonts w:ascii="宋体" w:hAnsi="宋体"/>
              </w:rPr>
            </w:pPr>
            <w:r>
              <w:rPr>
                <w:rFonts w:ascii="宋体" w:hAnsi="宋体"/>
              </w:rPr>
              <w:t>4,769</w:t>
            </w:r>
          </w:p>
        </w:tc>
        <w:tc>
          <w:tcPr>
            <w:tcW w:w="1275" w:type="dxa"/>
            <w:vAlign w:val="center"/>
          </w:tcPr>
          <w:p>
            <w:pPr>
              <w:jc w:val="right"/>
              <w:rPr>
                <w:rFonts w:ascii="宋体" w:hAnsi="宋体"/>
              </w:rPr>
            </w:pPr>
            <w:r>
              <w:rPr>
                <w:rFonts w:ascii="宋体" w:hAnsi="宋体"/>
              </w:rPr>
              <w:t>4,769</w:t>
            </w:r>
          </w:p>
        </w:tc>
        <w:tc>
          <w:tcPr>
            <w:tcW w:w="1134" w:type="dxa"/>
            <w:vAlign w:val="center"/>
          </w:tcPr>
          <w:p>
            <w:pPr>
              <w:jc w:val="right"/>
              <w:rPr>
                <w:rFonts w:ascii="宋体" w:hAnsi="宋体"/>
              </w:rPr>
            </w:pPr>
          </w:p>
        </w:tc>
        <w:tc>
          <w:tcPr>
            <w:tcW w:w="1276" w:type="dxa"/>
            <w:vAlign w:val="center"/>
          </w:tcPr>
          <w:p>
            <w:pPr>
              <w:jc w:val="right"/>
              <w:rPr>
                <w:rFonts w:ascii="宋体" w:hAnsi="宋体"/>
              </w:rPr>
            </w:pPr>
          </w:p>
        </w:tc>
        <w:tc>
          <w:tcPr>
            <w:tcW w:w="1134" w:type="dxa"/>
            <w:vAlign w:val="center"/>
          </w:tcPr>
          <w:p>
            <w:pPr>
              <w:jc w:val="center"/>
              <w:rPr>
                <w:rFonts w:ascii="宋体" w:hAnsi="宋体"/>
              </w:rPr>
            </w:pPr>
            <w:r>
              <w:rPr>
                <w:rFonts w:ascii="宋体" w:hAnsi="宋体"/>
              </w:rPr>
              <w:t>100</w:t>
            </w:r>
          </w:p>
        </w:tc>
        <w:tc>
          <w:tcPr>
            <w:tcW w:w="1541" w:type="dxa"/>
            <w:vAlign w:val="center"/>
          </w:tcPr>
          <w:p>
            <w:pPr>
              <w:jc w:val="center"/>
              <w:rPr>
                <w:highlight w:val="yellow"/>
              </w:rPr>
            </w:pPr>
          </w:p>
        </w:tc>
      </w:tr>
      <w:tr>
        <w:tc>
          <w:tcPr>
            <w:tcW w:w="1572" w:type="dxa"/>
            <w:vAlign w:val="center"/>
          </w:tcPr>
          <w:p>
            <w:pPr>
              <w:pStyle w:val="Style217"/>
            </w:pPr>
            <w:r>
              <w:rPr>
                <w:rFonts w:hint="eastAsia"/>
                <w:lang w:bidi="ar"/>
              </w:rPr>
              <w:t>其他不重大客户</w:t>
            </w:r>
          </w:p>
        </w:tc>
        <w:tc>
          <w:tcPr>
            <w:tcW w:w="1117" w:type="dxa"/>
            <w:vAlign w:val="center"/>
          </w:tcPr>
          <w:p>
            <w:pPr>
              <w:jc w:val="right"/>
              <w:rPr>
                <w:rFonts w:ascii="宋体" w:hAnsi="宋体"/>
              </w:rPr>
            </w:pPr>
            <w:r>
              <w:rPr>
                <w:rFonts w:ascii="宋体" w:hAnsi="宋体"/>
              </w:rPr>
              <w:t>508</w:t>
            </w:r>
          </w:p>
        </w:tc>
        <w:tc>
          <w:tcPr>
            <w:tcW w:w="1275" w:type="dxa"/>
            <w:vAlign w:val="center"/>
          </w:tcPr>
          <w:p>
            <w:pPr>
              <w:jc w:val="right"/>
              <w:rPr>
                <w:rFonts w:ascii="宋体" w:hAnsi="宋体"/>
              </w:rPr>
            </w:pPr>
            <w:r>
              <w:rPr>
                <w:rFonts w:ascii="宋体" w:hAnsi="宋体"/>
              </w:rPr>
              <w:t>508</w:t>
            </w:r>
          </w:p>
        </w:tc>
        <w:tc>
          <w:tcPr>
            <w:tcW w:w="1134" w:type="dxa"/>
            <w:vAlign w:val="center"/>
          </w:tcPr>
          <w:p>
            <w:pPr>
              <w:jc w:val="right"/>
              <w:rPr>
                <w:rFonts w:ascii="宋体" w:hAnsi="宋体"/>
              </w:rPr>
            </w:pPr>
            <w:r>
              <w:rPr>
                <w:rFonts w:ascii="宋体" w:hAnsi="宋体"/>
              </w:rPr>
              <w:t>4,417</w:t>
            </w:r>
          </w:p>
        </w:tc>
        <w:tc>
          <w:tcPr>
            <w:tcW w:w="1276" w:type="dxa"/>
            <w:vAlign w:val="center"/>
          </w:tcPr>
          <w:p>
            <w:pPr>
              <w:jc w:val="right"/>
              <w:rPr>
                <w:rFonts w:ascii="宋体" w:hAnsi="宋体"/>
              </w:rPr>
            </w:pPr>
            <w:r>
              <w:rPr>
                <w:rFonts w:ascii="宋体" w:hAnsi="宋体"/>
              </w:rPr>
              <w:t>4,417</w:t>
            </w:r>
          </w:p>
        </w:tc>
        <w:tc>
          <w:tcPr>
            <w:tcW w:w="1134" w:type="dxa"/>
            <w:vAlign w:val="center"/>
          </w:tcPr>
          <w:p>
            <w:pPr>
              <w:jc w:val="center"/>
              <w:rPr>
                <w:rFonts w:ascii="宋体" w:hAnsi="宋体"/>
              </w:rPr>
            </w:pPr>
            <w:r>
              <w:rPr>
                <w:rFonts w:ascii="宋体" w:hAnsi="宋体"/>
              </w:rPr>
              <w:t>100</w:t>
            </w:r>
          </w:p>
        </w:tc>
        <w:tc>
          <w:tcPr>
            <w:tcW w:w="1541" w:type="dxa"/>
            <w:vAlign w:val="center"/>
          </w:tcPr>
          <w:p>
            <w:pPr>
              <w:jc w:val="center"/>
              <w:rPr>
                <w:highlight w:val="yellow"/>
              </w:rPr>
            </w:pPr>
            <w:r>
              <w:rPr>
                <w:rFonts w:hint="eastAsia"/>
              </w:rPr>
              <w:t>预计无法收回</w:t>
            </w:r>
          </w:p>
        </w:tc>
      </w:tr>
      <w:tr>
        <w:tc>
          <w:tcPr>
            <w:tcW w:w="1572" w:type="dxa"/>
            <w:vAlign w:val="center"/>
          </w:tcPr>
          <w:p>
            <w:pPr>
              <w:jc w:val="center"/>
            </w:pPr>
            <w:r>
              <w:rPr>
                <w:rFonts w:hint="eastAsia"/>
              </w:rPr>
              <w:t>合计</w:t>
            </w:r>
          </w:p>
        </w:tc>
        <w:tc>
          <w:tcPr>
            <w:tcW w:w="1117" w:type="dxa"/>
            <w:vAlign w:val="center"/>
          </w:tcPr>
          <w:p>
            <w:pPr>
              <w:jc w:val="right"/>
              <w:rPr>
                <w:rFonts w:ascii="宋体" w:hAnsi="宋体"/>
              </w:rPr>
            </w:pPr>
            <w:r>
              <w:rPr>
                <w:rFonts w:ascii="宋体" w:hAnsi="宋体"/>
              </w:rPr>
              <w:t>240,890</w:t>
            </w:r>
          </w:p>
        </w:tc>
        <w:tc>
          <w:tcPr>
            <w:tcW w:w="1275" w:type="dxa"/>
            <w:vAlign w:val="center"/>
          </w:tcPr>
          <w:p>
            <w:pPr>
              <w:jc w:val="right"/>
              <w:rPr>
                <w:rFonts w:ascii="宋体" w:hAnsi="宋体"/>
              </w:rPr>
            </w:pPr>
            <w:r>
              <w:rPr>
                <w:rFonts w:ascii="宋体" w:hAnsi="宋体"/>
              </w:rPr>
              <w:t>194,774</w:t>
            </w:r>
          </w:p>
        </w:tc>
        <w:tc>
          <w:tcPr>
            <w:tcW w:w="1134" w:type="dxa"/>
            <w:vAlign w:val="center"/>
          </w:tcPr>
          <w:p>
            <w:pPr>
              <w:jc w:val="right"/>
              <w:rPr>
                <w:rFonts w:ascii="宋体" w:hAnsi="宋体"/>
              </w:rPr>
            </w:pPr>
            <w:r>
              <w:rPr>
                <w:rFonts w:ascii="宋体" w:hAnsi="宋体"/>
              </w:rPr>
              <w:t>239,827</w:t>
            </w:r>
          </w:p>
        </w:tc>
        <w:tc>
          <w:tcPr>
            <w:tcW w:w="1276" w:type="dxa"/>
            <w:vAlign w:val="center"/>
          </w:tcPr>
          <w:p>
            <w:pPr>
              <w:jc w:val="right"/>
              <w:rPr>
                <w:rFonts w:ascii="宋体" w:hAnsi="宋体"/>
              </w:rPr>
            </w:pPr>
            <w:r>
              <w:rPr>
                <w:rFonts w:ascii="宋体" w:hAnsi="宋体"/>
              </w:rPr>
              <w:t>239,827</w:t>
            </w:r>
          </w:p>
        </w:tc>
        <w:tc>
          <w:tcPr>
            <w:tcW w:w="1134" w:type="dxa"/>
            <w:vAlign w:val="center"/>
          </w:tcPr>
          <w:p>
            <w:pPr>
              <w:jc w:val="center"/>
              <w:rPr>
                <w:rFonts w:ascii="宋体" w:hAnsi="宋体"/>
              </w:rPr>
            </w:pPr>
            <w:r>
              <w:rPr>
                <w:rFonts w:ascii="宋体" w:hAnsi="宋体"/>
              </w:rPr>
              <w:t>100</w:t>
            </w:r>
          </w:p>
        </w:tc>
        <w:tc>
          <w:tcPr>
            <w:tcW w:w="1541" w:type="dxa"/>
            <w:vAlign w:val="center"/>
          </w:tcPr>
          <w:p>
            <w:pPr>
              <w:jc w:val="center"/>
            </w:pPr>
            <w:r>
              <w:rPr>
                <w:rFonts w:hint="eastAsia"/>
              </w:rPr>
              <w:t>/</w:t>
            </w:r>
          </w:p>
        </w:tc>
      </w:tr>
    </w:tbl>
    <w:p>
      <w:pPr>
        <w:pStyle w:val="Style217"/>
      </w:pPr>
    </w:p>
    <w:p>
      <w:pPr>
        <w:pStyle w:val="Style217"/>
      </w:pPr>
      <w:r>
        <w:rPr>
          <w:rFonts w:hint="eastAsia"/>
        </w:rPr>
        <w:t>按单项计提坏账准备的说明：</w:t>
      </w:r>
    </w:p>
    <w:sdt>
      <w:sdtPr>
        <w:alias w:val="是否适用：母公司应收账款按单项计提坏账准备的说明[双击切换]"/>
        <w:tag w:val="_GBC_30d6fcd4135245dd83d85379087b4e62"/>
        <w:id w:val="197502523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556" w:displacedByCustomXml="next"/>
    <w:sdt>
      <w:sdtPr>
        <w:tag w:val="_PLD_23aec57fe4b34ac2aa7d42cb52467101"/>
        <w:id w:val="-1066804424"/>
      </w:sdtPr>
      <w:sdtContent>
        <w:p>
          <w:pPr>
            <w:pStyle w:val="Style217"/>
          </w:pPr>
          <w:r>
            <w:rPr>
              <w:rFonts w:hint="eastAsia"/>
            </w:rPr>
            <w:t>按组合计提坏账准备：</w:t>
          </w:r>
        </w:p>
      </w:sdtContent>
    </w:sdt>
    <w:sdt>
      <w:sdtPr>
        <w:alias w:val="是否适用：母公司应收账款按组合计提坏账准备[双击切换]"/>
        <w:tag w:val="_GBC_70ac43d24876403083fb1d281c12cd7e"/>
        <w:id w:val="152498202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bookmarkStart w:id="557" w:name="_Hlk533796778"/>
      <w:r>
        <w:rPr>
          <w:rFonts w:hint="eastAsia"/>
        </w:rPr>
        <w:t>组合计提项目：</w:t>
      </w:r>
      <w:sdt>
        <w:sdtPr>
          <w:rPr>
            <w:rFonts w:hint="eastAsia"/>
          </w:rPr>
          <w:alias w:val="按组合计提坏账准备的应收账款明细-组合名称"/>
          <w:tag w:val="_GBC_f2cd2e7d8a6f493ebfd1838be7b87223"/>
          <w:id w:val="-664015628"/>
          <w:placeholder>
            <w:docPart w:val="GBC22222222222222222222222222222"/>
          </w:placeholder>
          <w:comboBox>
            <w:listItem w:displayText="关联方组合" w:value="关联方组合"/>
            <w:listItem w:displayText="账龄组合" w:value="账龄组合"/>
          </w:comboBox>
        </w:sdtPr>
        <w:sdtContent>
          <w:r>
            <w:rPr>
              <w:rFonts w:hint="eastAsia"/>
            </w:rPr>
            <w:t>-</w:t>
          </w:r>
        </w:sdtContent>
      </w:sdt>
    </w:p>
    <w:p>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4080675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应收账款按组合计提坏账准备"/>
          <w:tag w:val="_GBC_f64b56aa027540f0b7ab78abc6fef514"/>
          <w:id w:val="-19756710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309"/>
        <w:gridCol w:w="2350"/>
        <w:gridCol w:w="2294"/>
      </w:tblGrid>
      <w:tr>
        <w:sdt>
          <w:sdtPr>
            <w:tag w:val="_PLD_685d7e84e47740668b70cce04f42de5b"/>
            <w:id w:val="-672564317"/>
          </w:sdtPr>
          <w:sdtContent>
            <w:tc>
              <w:tcPr>
                <w:tcW w:w="2095" w:type="dxa"/>
                <w:vMerge w:val="restart"/>
                <w:vAlign w:val="center"/>
              </w:tcPr>
              <w:p>
                <w:pPr>
                  <w:jc w:val="center"/>
                </w:pPr>
                <w:r>
                  <w:rPr>
                    <w:rFonts w:hint="eastAsia"/>
                  </w:rPr>
                  <w:t>名称</w:t>
                </w:r>
              </w:p>
            </w:tc>
          </w:sdtContent>
        </w:sdt>
        <w:sdt>
          <w:sdtPr>
            <w:tag w:val="_PLD_80bd7906b1fa41658076794e93d74585"/>
            <w:id w:val="1703199125"/>
          </w:sdtPr>
          <w:sdtContent>
            <w:tc>
              <w:tcPr>
                <w:tcW w:w="6953" w:type="dxa"/>
                <w:gridSpan w:val="3"/>
                <w:vAlign w:val="center"/>
              </w:tcPr>
              <w:p>
                <w:pPr>
                  <w:jc w:val="center"/>
                </w:pPr>
                <w:r>
                  <w:rPr>
                    <w:rFonts w:hint="eastAsia"/>
                  </w:rPr>
                  <w:t>期末余额</w:t>
                </w:r>
              </w:p>
            </w:tc>
          </w:sdtContent>
        </w:sdt>
      </w:tr>
      <w:tr>
        <w:tc>
          <w:tcPr>
            <w:tcW w:w="2095" w:type="dxa"/>
            <w:vMerge/>
            <w:vAlign w:val="center"/>
          </w:tcPr>
          <w:p>
            <w:pPr>
              <w:jc w:val="center"/>
            </w:pPr>
          </w:p>
        </w:tc>
        <w:sdt>
          <w:sdtPr>
            <w:tag w:val="_PLD_696cb3bb4809472f88c41396728262f5"/>
            <w:id w:val="-443531387"/>
          </w:sdtPr>
          <w:sdtContent>
            <w:tc>
              <w:tcPr>
                <w:tcW w:w="2309" w:type="dxa"/>
                <w:vAlign w:val="center"/>
              </w:tcPr>
              <w:p>
                <w:pPr>
                  <w:jc w:val="center"/>
                </w:pPr>
                <w:r>
                  <w:rPr>
                    <w:rFonts w:hint="eastAsia"/>
                  </w:rPr>
                  <w:t>账面余额</w:t>
                </w:r>
              </w:p>
            </w:tc>
          </w:sdtContent>
        </w:sdt>
        <w:sdt>
          <w:sdtPr>
            <w:tag w:val="_PLD_70e2c6a60e9b4f08bbbb1a23cd403ade"/>
            <w:id w:val="416838033"/>
          </w:sdtPr>
          <w:sdtContent>
            <w:tc>
              <w:tcPr>
                <w:tcW w:w="2350" w:type="dxa"/>
                <w:vAlign w:val="center"/>
              </w:tcPr>
              <w:p>
                <w:pPr>
                  <w:jc w:val="center"/>
                </w:pPr>
                <w:r>
                  <w:rPr>
                    <w:rFonts w:hint="eastAsia"/>
                  </w:rPr>
                  <w:t>坏账准备</w:t>
                </w:r>
              </w:p>
            </w:tc>
          </w:sdtContent>
        </w:sdt>
        <w:sdt>
          <w:sdtPr>
            <w:tag w:val="_PLD_1fd76d95bed54fc5b0c669cf7b1d5e18"/>
            <w:id w:val="539406163"/>
          </w:sdtPr>
          <w:sdtContent>
            <w:tc>
              <w:tcPr>
                <w:tcW w:w="2294" w:type="dxa"/>
                <w:vAlign w:val="center"/>
              </w:tcPr>
              <w:p>
                <w:pPr>
                  <w:jc w:val="center"/>
                </w:pPr>
                <w:r>
                  <w:t>计提比例</w:t>
                </w:r>
                <w:r>
                  <w:rPr>
                    <w:rFonts w:hint="eastAsia"/>
                  </w:rPr>
                  <w:t>（</w:t>
                </w:r>
                <w:r>
                  <w:rPr>
                    <w:rFonts w:hint="eastAsia"/>
                  </w:rPr>
                  <w:t>%</w:t>
                </w:r>
                <w:r>
                  <w:rPr>
                    <w:rFonts w:hint="eastAsia"/>
                  </w:rPr>
                  <w:t>）</w:t>
                </w:r>
              </w:p>
            </w:tc>
          </w:sdtContent>
        </w:sdt>
      </w:tr>
      <w:tr>
        <w:tc>
          <w:tcPr>
            <w:tcW w:w="2095" w:type="dxa"/>
          </w:tcPr>
          <w:p>
            <w:pPr>
              <w:rPr>
                <w:rFonts w:ascii="宋体" w:hAnsi="宋体"/>
              </w:rPr>
            </w:pPr>
            <w:r>
              <w:rPr>
                <w:rFonts w:ascii="宋体" w:hAnsi="宋体" w:hint="eastAsia"/>
              </w:rPr>
              <w:t>1年以内（含1年）</w:t>
            </w:r>
          </w:p>
        </w:tc>
        <w:tc>
          <w:tcPr>
            <w:tcW w:w="2309" w:type="dxa"/>
          </w:tcPr>
          <w:p>
            <w:pPr>
              <w:jc w:val="right"/>
              <w:rPr>
                <w:rFonts w:ascii="宋体" w:hAnsi="宋体"/>
              </w:rPr>
            </w:pPr>
            <w:r>
              <w:rPr>
                <w:rFonts w:ascii="宋体" w:hAnsi="宋体"/>
              </w:rPr>
              <w:t>175,239</w:t>
            </w:r>
          </w:p>
        </w:tc>
        <w:tc>
          <w:tcPr>
            <w:tcW w:w="2350" w:type="dxa"/>
          </w:tcPr>
          <w:p>
            <w:pPr>
              <w:jc w:val="right"/>
              <w:rPr>
                <w:rFonts w:ascii="宋体" w:hAnsi="宋体"/>
              </w:rPr>
            </w:pPr>
            <w:r>
              <w:rPr>
                <w:rFonts w:ascii="宋体" w:hAnsi="宋体"/>
              </w:rPr>
              <w:t>2,169</w:t>
            </w:r>
          </w:p>
        </w:tc>
        <w:tc>
          <w:tcPr>
            <w:tcW w:w="2294" w:type="dxa"/>
          </w:tcPr>
          <w:p>
            <w:pPr>
              <w:jc w:val="right"/>
              <w:rPr>
                <w:rFonts w:ascii="宋体" w:hAnsi="宋体"/>
              </w:rPr>
            </w:pPr>
            <w:r>
              <w:rPr>
                <w:rFonts w:ascii="宋体" w:hAnsi="宋体"/>
              </w:rPr>
              <w:t>1.24</w:t>
            </w:r>
          </w:p>
        </w:tc>
      </w:tr>
      <w:tr>
        <w:tc>
          <w:tcPr>
            <w:tcW w:w="2095" w:type="dxa"/>
          </w:tcPr>
          <w:p>
            <w:pPr>
              <w:rPr>
                <w:rFonts w:ascii="宋体" w:hAnsi="宋体"/>
              </w:rPr>
            </w:pPr>
            <w:r>
              <w:rPr>
                <w:rFonts w:ascii="宋体" w:hAnsi="宋体" w:hint="eastAsia"/>
              </w:rPr>
              <w:t>1-2年</w:t>
            </w:r>
          </w:p>
        </w:tc>
        <w:tc>
          <w:tcPr>
            <w:tcW w:w="2309" w:type="dxa"/>
          </w:tcPr>
          <w:p>
            <w:pPr>
              <w:jc w:val="right"/>
              <w:rPr>
                <w:rFonts w:ascii="宋体" w:hAnsi="宋体"/>
              </w:rPr>
            </w:pPr>
            <w:r>
              <w:rPr>
                <w:rFonts w:ascii="宋体" w:hAnsi="宋体"/>
              </w:rPr>
              <w:t>4,910</w:t>
            </w:r>
          </w:p>
        </w:tc>
        <w:tc>
          <w:tcPr>
            <w:tcW w:w="2350" w:type="dxa"/>
          </w:tcPr>
          <w:p>
            <w:pPr>
              <w:jc w:val="right"/>
              <w:rPr>
                <w:rFonts w:ascii="宋体" w:hAnsi="宋体"/>
              </w:rPr>
            </w:pPr>
            <w:r>
              <w:rPr>
                <w:rFonts w:ascii="宋体" w:hAnsi="宋体"/>
              </w:rPr>
              <w:t>617</w:t>
            </w:r>
          </w:p>
        </w:tc>
        <w:tc>
          <w:tcPr>
            <w:tcW w:w="2294" w:type="dxa"/>
          </w:tcPr>
          <w:p>
            <w:pPr>
              <w:jc w:val="right"/>
              <w:rPr>
                <w:rFonts w:ascii="宋体" w:hAnsi="宋体"/>
              </w:rPr>
            </w:pPr>
            <w:r>
              <w:rPr>
                <w:rFonts w:ascii="宋体" w:hAnsi="宋体"/>
              </w:rPr>
              <w:t>12.57</w:t>
            </w:r>
          </w:p>
        </w:tc>
      </w:tr>
      <w:tr>
        <w:tc>
          <w:tcPr>
            <w:tcW w:w="2095" w:type="dxa"/>
          </w:tcPr>
          <w:p>
            <w:pPr>
              <w:rPr>
                <w:rFonts w:ascii="宋体" w:hAnsi="宋体"/>
              </w:rPr>
            </w:pPr>
            <w:r>
              <w:rPr>
                <w:rFonts w:ascii="宋体" w:hAnsi="宋体" w:hint="eastAsia"/>
              </w:rPr>
              <w:t>2-3年</w:t>
            </w:r>
          </w:p>
        </w:tc>
        <w:tc>
          <w:tcPr>
            <w:tcW w:w="2309" w:type="dxa"/>
          </w:tcPr>
          <w:p>
            <w:pPr>
              <w:jc w:val="right"/>
              <w:rPr>
                <w:rFonts w:ascii="宋体" w:hAnsi="宋体"/>
              </w:rPr>
            </w:pPr>
            <w:r>
              <w:rPr>
                <w:rFonts w:ascii="宋体" w:hAnsi="宋体"/>
              </w:rPr>
              <w:t>120</w:t>
            </w:r>
          </w:p>
        </w:tc>
        <w:tc>
          <w:tcPr>
            <w:tcW w:w="2350" w:type="dxa"/>
          </w:tcPr>
          <w:p>
            <w:pPr>
              <w:jc w:val="right"/>
              <w:rPr>
                <w:rFonts w:ascii="宋体" w:hAnsi="宋体"/>
              </w:rPr>
            </w:pPr>
            <w:r>
              <w:rPr>
                <w:rFonts w:ascii="宋体" w:hAnsi="宋体"/>
              </w:rPr>
              <w:t>35</w:t>
            </w:r>
          </w:p>
        </w:tc>
        <w:tc>
          <w:tcPr>
            <w:tcW w:w="2294" w:type="dxa"/>
          </w:tcPr>
          <w:p>
            <w:pPr>
              <w:jc w:val="right"/>
              <w:rPr>
                <w:rFonts w:ascii="宋体" w:hAnsi="宋体"/>
              </w:rPr>
            </w:pPr>
            <w:r>
              <w:rPr>
                <w:rFonts w:ascii="宋体" w:hAnsi="宋体"/>
              </w:rPr>
              <w:t>29.17</w:t>
            </w:r>
          </w:p>
        </w:tc>
      </w:tr>
      <w:tr>
        <w:tc>
          <w:tcPr>
            <w:tcW w:w="2095" w:type="dxa"/>
            <w:vAlign w:val="center"/>
          </w:tcPr>
          <w:p>
            <w:pPr>
              <w:jc w:val="center"/>
            </w:pPr>
            <w:r>
              <w:rPr>
                <w:rFonts w:hint="eastAsia"/>
              </w:rPr>
              <w:t>合计</w:t>
            </w:r>
          </w:p>
        </w:tc>
        <w:tc>
          <w:tcPr>
            <w:tcW w:w="2309" w:type="dxa"/>
          </w:tcPr>
          <w:p>
            <w:pPr>
              <w:jc w:val="right"/>
              <w:rPr>
                <w:rFonts w:ascii="宋体" w:hAnsi="宋体"/>
              </w:rPr>
            </w:pPr>
            <w:r>
              <w:rPr>
                <w:rFonts w:ascii="宋体" w:hAnsi="宋体"/>
              </w:rPr>
              <w:t>180,269</w:t>
            </w:r>
          </w:p>
        </w:tc>
        <w:tc>
          <w:tcPr>
            <w:tcW w:w="2350" w:type="dxa"/>
          </w:tcPr>
          <w:p>
            <w:pPr>
              <w:jc w:val="right"/>
              <w:rPr>
                <w:rFonts w:ascii="宋体" w:hAnsi="宋体"/>
              </w:rPr>
            </w:pPr>
            <w:r>
              <w:rPr>
                <w:rFonts w:ascii="宋体" w:hAnsi="宋体"/>
              </w:rPr>
              <w:t>2,821</w:t>
            </w:r>
          </w:p>
        </w:tc>
        <w:tc>
          <w:tcPr>
            <w:tcW w:w="2294" w:type="dxa"/>
          </w:tcPr>
          <w:p>
            <w:pPr>
              <w:jc w:val="right"/>
              <w:rPr>
                <w:rFonts w:ascii="宋体" w:hAnsi="宋体"/>
              </w:rPr>
            </w:pPr>
            <w:r>
              <w:rPr>
                <w:rFonts w:ascii="宋体" w:hAnsi="宋体"/>
              </w:rPr>
              <w:t>42.98</w:t>
            </w:r>
          </w:p>
        </w:tc>
      </w:tr>
    </w:tbl>
    <w:p>
      <w:pPr>
        <w:pStyle w:val="Style217"/>
      </w:pPr>
      <w:r>
        <w:rPr>
          <w:rFonts w:hint="eastAsia"/>
        </w:rPr>
        <w:t>按组合计提坏账准备的说明：</w:t>
      </w:r>
    </w:p>
    <w:sdt>
      <w:sdtPr>
        <w:alias w:val="是否适用：母公司应收账款按组合计提坏账的确认标准及说明[双击切换]"/>
        <w:tag w:val="_GBC_63044b38e77844689beec86348cdea93"/>
        <w:id w:val="155233612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bookmarkStart w:id="558" w:name="_Hlk534616017"/>
      <w:bookmarkEnd w:id="557"/>
      <w:r>
        <w:rPr>
          <w:rFonts w:hint="eastAsia"/>
        </w:rPr>
        <w:t>按预期信用损失一般模型计提坏账准备</w:t>
      </w:r>
    </w:p>
    <w:sdt>
      <w:sdtPr>
        <w:alias w:val="是否适用：母公司应收账款按一般预计信用损失模型计提坏账[双击切换]"/>
        <w:tag w:val="_GBC_681a6428f5004327ac9c72b5eb632f13"/>
        <w:id w:val="49238226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autoSpaceDE w:val="0"/>
        <w:autoSpaceDN w:val="0"/>
        <w:adjustRightInd w:val="0"/>
        <w:ind w:rightChars="50" w:right="105"/>
      </w:pPr>
      <w:r>
        <w:rPr>
          <w:rFonts w:hint="eastAsia"/>
        </w:rPr>
        <w:t>各阶段划分依据和坏账准备计提比例</w:t>
      </w:r>
    </w:p>
    <w:sdt>
      <w:sdtPr>
        <w:rPr>
          <w:bCs/>
        </w:rPr>
        <w:alias w:val="各阶段划分依据和坏账准备计提比例"/>
        <w:tag w:val="_GBC_715f45f6066e4ba295d3973a2eed903b"/>
        <w:id w:val="-847635301"/>
        <w:placeholder>
          <w:docPart w:val="GBC22222222222222222222222222222"/>
        </w:placeholder>
      </w:sdtPr>
      <w:sdtContent>
        <w:p>
          <w:pPr>
            <w:rPr>
              <w:bCs/>
            </w:rPr>
          </w:pPr>
          <w:r>
            <w:rPr>
              <w:rFonts w:hint="eastAsia"/>
              <w:bCs/>
            </w:rPr>
            <w:t>-</w:t>
          </w:r>
        </w:p>
      </w:sdtContent>
    </w:sdt>
    <w:p>
      <w:pPr>
        <w:pStyle w:val="Style217"/>
      </w:pPr>
    </w:p>
    <w:p>
      <w:pPr>
        <w:pStyle w:val="Style201"/>
        <w:rPr>
          <w:sz w:val="21"/>
          <w:szCs w:val="21"/>
        </w:rPr>
      </w:pPr>
      <w:r>
        <w:rPr>
          <w:rFonts w:hint="eastAsia"/>
          <w:sz w:val="21"/>
          <w:szCs w:val="21"/>
        </w:rPr>
        <w:t>对本期发生损失准备变动的应收账款账面余额显著变动的情况说明：</w:t>
      </w:r>
    </w:p>
    <w:sdt>
      <w:sdtPr>
        <w:alias w:val="是否适用：母公司对本期发生损失准备变动的账面余额显著变动的情况说明[双击切换]"/>
        <w:tag w:val="_GBC_2624b4d5ae5d4288ad7c6f9bcbcff810"/>
        <w:id w:val="-1301533807"/>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9"/>
        <w:numPr>
          <w:ilvl w:val="3"/>
          <w:numId w:val="137"/>
        </w:numPr>
        <w:ind w:left="426" w:hangingChars="202" w:hanging="426"/>
        <w:rPr>
          <w:sz w:val="21"/>
          <w:szCs w:val="21"/>
        </w:rPr>
      </w:pPr>
      <w:bookmarkStart w:id="559" w:name="_Hlk534890665"/>
      <w:bookmarkEnd w:id="558"/>
      <w:r>
        <w:rPr>
          <w:rFonts w:hint="eastAsia"/>
          <w:sz w:val="21"/>
          <w:szCs w:val="21"/>
        </w:rPr>
        <w:t>坏账准备的情况</w:t>
      </w:r>
    </w:p>
    <w:sdt>
      <w:sdtPr>
        <w:alias w:val="是否适用：母公司应收账款坏账准备情况[双击切换]"/>
        <w:tag w:val="_GBC_c4b273c4d86b423ea0abe5794b3a9a07"/>
        <w:id w:val="-157904889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snapToGrid w:val="0"/>
        <w:spacing w:line="240" w:lineRule="atLeast"/>
        <w:ind w:left="425" w:firstLineChars="0" w:firstLine="0"/>
        <w:jc w:val="right"/>
        <w:rPr>
          <w:sz w:val="21"/>
          <w:szCs w:val="21"/>
        </w:rPr>
      </w:pPr>
      <w:r>
        <w:rPr>
          <w:rFonts w:hint="eastAsia"/>
          <w:sz w:val="21"/>
          <w:szCs w:val="21"/>
        </w:rPr>
        <w:t>单位：</w:t>
      </w:r>
      <w:sdt>
        <w:sdtPr>
          <w:rPr>
            <w:rFonts w:hint="eastAsia"/>
            <w:sz w:val="21"/>
            <w:szCs w:val="21"/>
          </w:rPr>
          <w:alias w:val="单位：母公司应收账款坏账准备情况"/>
          <w:tag w:val="_GBC_297876b5a195460cabc3796e317c400c"/>
          <w:id w:val="2574897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 w:val="21"/>
              <w:szCs w:val="21"/>
            </w:rPr>
            <w:t>千元</w:t>
          </w:r>
          <w:r>
            <w:rPr>
              <w:rFonts w:hint="eastAsia"/>
              <w:sz w:val="21"/>
              <w:szCs w:val="21"/>
            </w:rPr>
            <w:t xml:space="preserve">  </w:t>
          </w:r>
        </w:sdtContent>
      </w:sdt>
      <w:r>
        <w:rPr>
          <w:rFonts w:hint="eastAsia"/>
          <w:sz w:val="21"/>
          <w:szCs w:val="21"/>
        </w:rPr>
        <w:t>币种：</w:t>
      </w:r>
      <w:sdt>
        <w:sdtPr>
          <w:rPr>
            <w:rFonts w:hint="eastAsia"/>
            <w:sz w:val="21"/>
            <w:szCs w:val="21"/>
          </w:rPr>
          <w:alias w:val="币种：母公司应收账款坏账准备情况"/>
          <w:tag w:val="_GBC_e88786d88c2b4853820fef447c6f542a"/>
          <w:id w:val="21116947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 w:val="21"/>
              <w:szCs w:val="21"/>
            </w:rPr>
            <w:t>人民币</w:t>
          </w:r>
        </w:sdtContent>
      </w:sdt>
    </w:p>
    <w:tbl>
      <w:tblPr>
        <w:tblStyle w:val="Style100"/>
        <w:tblW w:w="905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82"/>
        <w:gridCol w:w="1244"/>
        <w:gridCol w:w="1351"/>
        <w:gridCol w:w="1244"/>
        <w:gridCol w:w="1248"/>
        <w:gridCol w:w="1246"/>
        <w:gridCol w:w="1241"/>
      </w:tblGrid>
      <w:tr>
        <w:trPr>
          <w:jc w:val="center"/>
        </w:trPr>
        <w:sdt>
          <w:sdtPr>
            <w:tag w:val="_PLD_98300d230c0347eb87a2635ad51c1d00"/>
            <w:id w:val="-745416013"/>
          </w:sdtPr>
          <w:sdtContent>
            <w:tc>
              <w:tcPr>
                <w:tcW w:w="1482" w:type="dxa"/>
                <w:vMerge w:val="restart"/>
                <w:shd w:val="clear" w:color="auto" w:fill="FFFFFF"/>
                <w:vAlign w:val="center"/>
              </w:tcPr>
              <w:p>
                <w:pPr>
                  <w:widowControl w:val="0"/>
                  <w:jc w:val="center"/>
                </w:pPr>
                <w:r>
                  <w:t>类别</w:t>
                </w:r>
              </w:p>
            </w:tc>
          </w:sdtContent>
        </w:sdt>
        <w:sdt>
          <w:sdtPr>
            <w:tag w:val="_PLD_7769f2b383ef45cea01b90026bb353c2"/>
            <w:id w:val="1649092776"/>
          </w:sdtPr>
          <w:sdtContent>
            <w:tc>
              <w:tcPr>
                <w:tcW w:w="1244" w:type="dxa"/>
                <w:vMerge w:val="restart"/>
                <w:shd w:val="clear" w:color="auto" w:fill="FFFFFF"/>
                <w:vAlign w:val="center"/>
              </w:tcPr>
              <w:p>
                <w:pPr>
                  <w:widowControl w:val="0"/>
                  <w:jc w:val="center"/>
                </w:pPr>
                <w:r>
                  <w:t>期初余额</w:t>
                </w:r>
              </w:p>
            </w:tc>
          </w:sdtContent>
        </w:sdt>
        <w:sdt>
          <w:sdtPr>
            <w:tag w:val="_PLD_cd024d723ca84c77aded9d7b7313563b"/>
            <w:id w:val="-80304711"/>
          </w:sdtPr>
          <w:sdtContent>
            <w:tc>
              <w:tcPr>
                <w:tcW w:w="5089" w:type="dxa"/>
                <w:gridSpan w:val="4"/>
                <w:shd w:val="clear" w:color="auto" w:fill="FFFFFF"/>
                <w:vAlign w:val="center"/>
              </w:tcPr>
              <w:p>
                <w:pPr>
                  <w:widowControl w:val="0"/>
                  <w:jc w:val="center"/>
                </w:pPr>
                <w:r>
                  <w:rPr>
                    <w:rFonts w:hint="eastAsia"/>
                  </w:rPr>
                  <w:t>本期变动</w:t>
                </w:r>
                <w:r>
                  <w:t>金额</w:t>
                </w:r>
              </w:p>
            </w:tc>
          </w:sdtContent>
        </w:sdt>
        <w:sdt>
          <w:sdtPr>
            <w:tag w:val="_PLD_1225558b3fd34599bc2c3f9eb23fba1e"/>
            <w:id w:val="391310653"/>
          </w:sdtPr>
          <w:sdtContent>
            <w:tc>
              <w:tcPr>
                <w:tcW w:w="1241" w:type="dxa"/>
                <w:vMerge w:val="restart"/>
                <w:shd w:val="clear" w:color="auto" w:fill="FFFFFF"/>
                <w:vAlign w:val="center"/>
              </w:tcPr>
              <w:p>
                <w:pPr>
                  <w:widowControl w:val="0"/>
                  <w:jc w:val="center"/>
                </w:pPr>
                <w:r>
                  <w:t>期末余额</w:t>
                </w:r>
              </w:p>
            </w:tc>
          </w:sdtContent>
        </w:sdt>
      </w:tr>
      <w:tr>
        <w:trPr>
          <w:jc w:val="center"/>
        </w:trPr>
        <w:tc>
          <w:tcPr>
            <w:tcW w:w="1482" w:type="dxa"/>
            <w:vMerge/>
            <w:shd w:val="clear" w:color="auto" w:fill="FFFFFF"/>
            <w:vAlign w:val="center"/>
          </w:tcPr>
          <w:p>
            <w:pPr>
              <w:widowControl w:val="0"/>
              <w:jc w:val="center"/>
            </w:pPr>
          </w:p>
        </w:tc>
        <w:tc>
          <w:tcPr>
            <w:tcW w:w="1244" w:type="dxa"/>
            <w:vMerge/>
            <w:shd w:val="clear" w:color="auto" w:fill="FFFFFF"/>
            <w:vAlign w:val="center"/>
          </w:tcPr>
          <w:p>
            <w:pPr>
              <w:widowControl w:val="0"/>
              <w:jc w:val="center"/>
            </w:pPr>
          </w:p>
        </w:tc>
        <w:sdt>
          <w:sdtPr>
            <w:tag w:val="_PLD_3e1ba6e4785f430c89e70b3081ee1f0a"/>
            <w:id w:val="-1261913553"/>
          </w:sdtPr>
          <w:sdtContent>
            <w:tc>
              <w:tcPr>
                <w:tcW w:w="1351" w:type="dxa"/>
                <w:shd w:val="clear" w:color="auto" w:fill="FFFFFF"/>
                <w:vAlign w:val="center"/>
              </w:tcPr>
              <w:p>
                <w:pPr>
                  <w:widowControl w:val="0"/>
                  <w:jc w:val="center"/>
                </w:pPr>
                <w:r>
                  <w:t>计提</w:t>
                </w:r>
              </w:p>
            </w:tc>
          </w:sdtContent>
        </w:sdt>
        <w:sdt>
          <w:sdtPr>
            <w:tag w:val="_PLD_e1238ab8ec634edb975aa51e169f4488"/>
            <w:id w:val="105860156"/>
          </w:sdtPr>
          <w:sdtContent>
            <w:tc>
              <w:tcPr>
                <w:tcW w:w="1244" w:type="dxa"/>
                <w:shd w:val="clear" w:color="auto" w:fill="FFFFFF"/>
                <w:vAlign w:val="center"/>
              </w:tcPr>
              <w:p>
                <w:pPr>
                  <w:widowControl w:val="0"/>
                  <w:jc w:val="center"/>
                </w:pPr>
                <w:r>
                  <w:rPr>
                    <w:rFonts w:hint="eastAsia"/>
                  </w:rPr>
                  <w:t>收回或转回</w:t>
                </w:r>
              </w:p>
            </w:tc>
          </w:sdtContent>
        </w:sdt>
        <w:tc>
          <w:tcPr>
            <w:tcW w:w="1248" w:type="dxa"/>
            <w:shd w:val="clear" w:color="auto" w:fill="FFFFFF"/>
            <w:vAlign w:val="center"/>
          </w:tcPr>
          <w:sdt>
            <w:sdtPr>
              <w:tag w:val="_PLD_4909ee6a3062412caf5e93a150ca2e23"/>
              <w:id w:val="-541443313"/>
            </w:sdtPr>
            <w:sdtContent>
              <w:p>
                <w:pPr>
                  <w:widowControl w:val="0"/>
                  <w:jc w:val="center"/>
                </w:pPr>
                <w:r>
                  <w:rPr>
                    <w:rFonts w:hint="eastAsia"/>
                  </w:rPr>
                  <w:t>转销或核销</w:t>
                </w:r>
              </w:p>
            </w:sdtContent>
          </w:sdt>
        </w:tc>
        <w:tc>
          <w:tcPr>
            <w:tcW w:w="1246" w:type="dxa"/>
            <w:shd w:val="clear" w:color="auto" w:fill="FFFFFF"/>
            <w:vAlign w:val="center"/>
          </w:tcPr>
          <w:sdt>
            <w:sdtPr>
              <w:tag w:val="_PLD_b95e9591908443ef8eef29a18814ebfa"/>
              <w:id w:val="102848312"/>
            </w:sdtPr>
            <w:sdtContent>
              <w:p>
                <w:pPr>
                  <w:widowControl w:val="0"/>
                  <w:jc w:val="center"/>
                </w:pPr>
                <w:r>
                  <w:rPr>
                    <w:rFonts w:hint="eastAsia"/>
                  </w:rPr>
                  <w:t>其他变动</w:t>
                </w:r>
              </w:p>
            </w:sdtContent>
          </w:sdt>
        </w:tc>
        <w:tc>
          <w:tcPr>
            <w:tcW w:w="1241" w:type="dxa"/>
            <w:vMerge/>
            <w:shd w:val="clear" w:color="auto" w:fill="FFFFFF"/>
            <w:vAlign w:val="center"/>
          </w:tcPr>
          <w:p>
            <w:pPr>
              <w:widowControl w:val="0"/>
              <w:jc w:val="right"/>
            </w:pPr>
          </w:p>
        </w:tc>
      </w:tr>
      <w:tr>
        <w:trPr>
          <w:jc w:val="center"/>
        </w:trPr>
        <w:tc>
          <w:tcPr>
            <w:tcW w:w="1482" w:type="dxa"/>
          </w:tcPr>
          <w:p>
            <w:pPr>
              <w:widowControl w:val="0"/>
            </w:pPr>
            <w:r>
              <w:rPr>
                <w:rFonts w:hint="eastAsia"/>
              </w:rPr>
              <w:t>应收账款坏账准备</w:t>
            </w:r>
          </w:p>
        </w:tc>
        <w:tc>
          <w:tcPr>
            <w:tcW w:w="1244" w:type="dxa"/>
            <w:vAlign w:val="center"/>
          </w:tcPr>
          <w:p>
            <w:pPr>
              <w:widowControl w:val="0"/>
              <w:jc w:val="right"/>
              <w:rPr>
                <w:rFonts w:ascii="宋体" w:hAnsi="宋体"/>
              </w:rPr>
            </w:pPr>
            <w:r>
              <w:rPr>
                <w:rFonts w:ascii="宋体" w:hAnsi="宋体" w:hint="eastAsia"/>
              </w:rPr>
              <w:t>205,567</w:t>
            </w:r>
          </w:p>
        </w:tc>
        <w:tc>
          <w:tcPr>
            <w:tcW w:w="1351" w:type="dxa"/>
            <w:vAlign w:val="center"/>
          </w:tcPr>
          <w:p>
            <w:pPr>
              <w:widowControl w:val="0"/>
              <w:jc w:val="right"/>
              <w:rPr>
                <w:rFonts w:ascii="宋体" w:hAnsi="宋体"/>
              </w:rPr>
            </w:pPr>
            <w:r>
              <w:rPr>
                <w:rFonts w:ascii="宋体" w:hAnsi="宋体" w:hint="eastAsia"/>
              </w:rPr>
              <w:t>50,508</w:t>
            </w:r>
          </w:p>
        </w:tc>
        <w:tc>
          <w:tcPr>
            <w:tcW w:w="1244" w:type="dxa"/>
            <w:vAlign w:val="center"/>
          </w:tcPr>
          <w:p>
            <w:pPr>
              <w:widowControl w:val="0"/>
              <w:jc w:val="right"/>
              <w:rPr>
                <w:rFonts w:ascii="宋体" w:hAnsi="宋体"/>
              </w:rPr>
            </w:pPr>
            <w:r>
              <w:rPr>
                <w:rFonts w:ascii="宋体" w:hAnsi="宋体" w:hint="eastAsia"/>
              </w:rPr>
              <w:t>8,568</w:t>
            </w:r>
          </w:p>
        </w:tc>
        <w:tc>
          <w:tcPr>
            <w:tcW w:w="1248" w:type="dxa"/>
            <w:vAlign w:val="center"/>
          </w:tcPr>
          <w:p>
            <w:pPr>
              <w:widowControl w:val="0"/>
              <w:jc w:val="right"/>
              <w:rPr>
                <w:rFonts w:ascii="宋体" w:hAnsi="宋体"/>
              </w:rPr>
            </w:pPr>
            <w:r>
              <w:rPr>
                <w:rFonts w:ascii="宋体" w:hAnsi="宋体" w:hint="eastAsia"/>
              </w:rPr>
              <w:t>4,859</w:t>
            </w:r>
          </w:p>
        </w:tc>
        <w:tc>
          <w:tcPr>
            <w:tcW w:w="1246" w:type="dxa"/>
            <w:vAlign w:val="center"/>
          </w:tcPr>
          <w:p>
            <w:pPr>
              <w:widowControl w:val="0"/>
              <w:jc w:val="right"/>
              <w:rPr>
                <w:rFonts w:ascii="宋体" w:hAnsi="宋体"/>
              </w:rPr>
            </w:pPr>
          </w:p>
        </w:tc>
        <w:tc>
          <w:tcPr>
            <w:tcW w:w="1241" w:type="dxa"/>
            <w:vAlign w:val="center"/>
          </w:tcPr>
          <w:p>
            <w:pPr>
              <w:widowControl w:val="0"/>
              <w:jc w:val="right"/>
              <w:rPr>
                <w:rFonts w:ascii="宋体" w:hAnsi="宋体"/>
              </w:rPr>
            </w:pPr>
            <w:r>
              <w:rPr>
                <w:rFonts w:ascii="宋体" w:hAnsi="宋体" w:hint="eastAsia"/>
              </w:rPr>
              <w:t>242,648</w:t>
            </w:r>
          </w:p>
        </w:tc>
      </w:tr>
      <w:tr>
        <w:trPr>
          <w:jc w:val="center"/>
        </w:trPr>
        <w:tc>
          <w:tcPr>
            <w:tcW w:w="1482" w:type="dxa"/>
            <w:vAlign w:val="center"/>
          </w:tcPr>
          <w:p>
            <w:pPr>
              <w:widowControl w:val="0"/>
              <w:jc w:val="center"/>
            </w:pPr>
            <w:r>
              <w:rPr>
                <w:rFonts w:hint="eastAsia"/>
              </w:rPr>
              <w:t>合计</w:t>
            </w:r>
          </w:p>
        </w:tc>
        <w:tc>
          <w:tcPr>
            <w:tcW w:w="1244" w:type="dxa"/>
            <w:vAlign w:val="center"/>
          </w:tcPr>
          <w:p>
            <w:pPr>
              <w:widowControl w:val="0"/>
              <w:jc w:val="right"/>
              <w:rPr>
                <w:rFonts w:ascii="宋体" w:hAnsi="宋体"/>
              </w:rPr>
            </w:pPr>
            <w:r>
              <w:rPr>
                <w:rFonts w:ascii="宋体" w:hAnsi="宋体"/>
              </w:rPr>
              <w:t>205,567</w:t>
            </w:r>
          </w:p>
        </w:tc>
        <w:tc>
          <w:tcPr>
            <w:tcW w:w="1351" w:type="dxa"/>
            <w:vAlign w:val="center"/>
          </w:tcPr>
          <w:p>
            <w:pPr>
              <w:widowControl w:val="0"/>
              <w:jc w:val="right"/>
              <w:rPr>
                <w:rFonts w:ascii="宋体" w:hAnsi="宋体"/>
              </w:rPr>
            </w:pPr>
            <w:r>
              <w:rPr>
                <w:rFonts w:ascii="宋体" w:hAnsi="宋体"/>
              </w:rPr>
              <w:t>50,508</w:t>
            </w:r>
          </w:p>
        </w:tc>
        <w:tc>
          <w:tcPr>
            <w:tcW w:w="1244" w:type="dxa"/>
            <w:vAlign w:val="center"/>
          </w:tcPr>
          <w:p>
            <w:pPr>
              <w:widowControl w:val="0"/>
              <w:jc w:val="right"/>
              <w:rPr>
                <w:rFonts w:ascii="宋体" w:hAnsi="宋体"/>
              </w:rPr>
            </w:pPr>
            <w:r>
              <w:rPr>
                <w:rFonts w:ascii="宋体" w:hAnsi="宋体"/>
              </w:rPr>
              <w:t>8,568</w:t>
            </w:r>
          </w:p>
        </w:tc>
        <w:tc>
          <w:tcPr>
            <w:tcW w:w="1248" w:type="dxa"/>
            <w:vAlign w:val="center"/>
          </w:tcPr>
          <w:p>
            <w:pPr>
              <w:widowControl w:val="0"/>
              <w:jc w:val="right"/>
              <w:rPr>
                <w:rFonts w:ascii="宋体" w:hAnsi="宋体"/>
              </w:rPr>
            </w:pPr>
            <w:r>
              <w:rPr>
                <w:rFonts w:ascii="宋体" w:hAnsi="宋体"/>
              </w:rPr>
              <w:t>4,859</w:t>
            </w:r>
          </w:p>
        </w:tc>
        <w:tc>
          <w:tcPr>
            <w:tcW w:w="1246" w:type="dxa"/>
            <w:vAlign w:val="center"/>
          </w:tcPr>
          <w:p>
            <w:pPr>
              <w:widowControl w:val="0"/>
              <w:jc w:val="right"/>
              <w:rPr>
                <w:rFonts w:ascii="宋体" w:hAnsi="宋体"/>
              </w:rPr>
            </w:pPr>
          </w:p>
        </w:tc>
        <w:tc>
          <w:tcPr>
            <w:tcW w:w="1241" w:type="dxa"/>
            <w:vAlign w:val="center"/>
          </w:tcPr>
          <w:p>
            <w:pPr>
              <w:widowControl w:val="0"/>
              <w:jc w:val="right"/>
              <w:rPr>
                <w:rFonts w:ascii="宋体" w:hAnsi="宋体"/>
              </w:rPr>
            </w:pPr>
            <w:r>
              <w:rPr>
                <w:rFonts w:ascii="宋体" w:hAnsi="宋体"/>
              </w:rPr>
              <w:t>242,648</w:t>
            </w:r>
          </w:p>
        </w:tc>
      </w:tr>
    </w:tbl>
    <w:p>
      <w:pPr>
        <w:pStyle w:val="Style201"/>
        <w:rPr>
          <w:sz w:val="21"/>
          <w:szCs w:val="21"/>
        </w:rPr>
      </w:pPr>
    </w:p>
    <w:p>
      <w:pPr>
        <w:pStyle w:val="Style217"/>
      </w:pPr>
      <w:bookmarkStart w:id="560" w:name="_Hlk153789356"/>
      <w:bookmarkEnd w:id="559"/>
      <w:r>
        <w:rPr>
          <w:rFonts w:hint="eastAsia"/>
        </w:rPr>
        <w:t>其中本期坏账准备收回或转回金额重要的：</w:t>
      </w:r>
    </w:p>
    <w:sdt>
      <w:sdtPr>
        <w:alias w:val="是否适用：母公司其中本期坏账准备收回或转回金额重要的[双击切换]"/>
        <w:tag w:val="_GBC_5f9ff028d97f4757bc779516f257bedd"/>
        <w:id w:val="123080753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应收账款坏账准备情况的说明"/>
        <w:tag w:val="_GBC_cff8cbc4c64e413fadcc7d21dcb34fc7"/>
        <w:id w:val="787317733"/>
        <w:placeholder>
          <w:docPart w:val="GBC22222222222222222222222222222"/>
        </w:placeholder>
      </w:sdtPr>
      <w:sdtContent>
        <w:p>
          <w:pPr>
            <w:ind w:rightChars="-759" w:right="-1594"/>
          </w:pPr>
          <w:r>
            <w:rPr>
              <w:rFonts w:hint="eastAsia"/>
            </w:rPr>
            <w:t>-</w:t>
          </w:r>
        </w:p>
      </w:sdtContent>
    </w:sdt>
    <w:p>
      <w:pPr>
        <w:ind w:rightChars="-759" w:right="-1594"/>
      </w:pPr>
    </w:p>
    <w:bookmarkEnd w:id="560"/>
    <w:p>
      <w:pPr>
        <w:pStyle w:val="Style179"/>
        <w:numPr>
          <w:ilvl w:val="3"/>
          <w:numId w:val="137"/>
        </w:numPr>
        <w:ind w:left="426" w:hangingChars="202" w:hanging="426"/>
        <w:rPr>
          <w:sz w:val="21"/>
          <w:szCs w:val="21"/>
        </w:rPr>
      </w:pPr>
      <w:r>
        <w:rPr>
          <w:rFonts w:hint="eastAsia"/>
          <w:sz w:val="21"/>
          <w:szCs w:val="21"/>
        </w:rPr>
        <w:t>本期实际核销的应收账款情况</w:t>
      </w:r>
    </w:p>
    <w:sdt>
      <w:sdtPr>
        <w:alias w:val="是否适用：母公司本期实际核销的应收账款情况[双击切换]"/>
        <w:tag w:val="_GBC_a30d476ac6184bc98f9b334fa55067ac"/>
        <w:id w:val="142121187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其中重要的应收账款核销情况</w:t>
      </w:r>
    </w:p>
    <w:sdt>
      <w:sdtPr>
        <w:alias w:val="是否适用：母公司其中重要的应收账款核销情况[双击切换]"/>
        <w:tag w:val="_GBC_7110dba4b9b14a6ea7177cba57fd2d03"/>
        <w:id w:val="-132357765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应收账款核销说明：</w:t>
      </w:r>
    </w:p>
    <w:sdt>
      <w:sdtPr>
        <w:rPr>
          <w:rFonts w:hint="eastAsia"/>
        </w:rPr>
        <w:alias w:val="是否适用：母公司应收账款核销说明[双击切换]"/>
        <w:tag w:val="_GBC_2ba809c9e31c411795d7353d4b11a774"/>
        <w:id w:val="-1599479405"/>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9"/>
        <w:numPr>
          <w:ilvl w:val="3"/>
          <w:numId w:val="137"/>
        </w:numPr>
        <w:ind w:left="426" w:hangingChars="202" w:hanging="426"/>
        <w:rPr>
          <w:sz w:val="21"/>
          <w:szCs w:val="21"/>
        </w:rPr>
      </w:pPr>
      <w:bookmarkStart w:id="561" w:name="_Hlk153789714"/>
      <w:bookmarkStart w:id="562" w:name="_Hlk90023019"/>
      <w:r>
        <w:rPr>
          <w:rFonts w:hint="eastAsia"/>
          <w:sz w:val="21"/>
          <w:szCs w:val="21"/>
        </w:rPr>
        <w:t>按欠款方归集的期末余额前五名的应收账款和合同资产情况</w:t>
      </w:r>
    </w:p>
    <w:sdt>
      <w:sdtPr>
        <w:rPr>
          <w:rFonts w:hint="eastAsia"/>
        </w:rPr>
        <w:alias w:val="是否适用：按欠款方归集的期末余额前五名的应收账款情况[双击切换]"/>
        <w:tag w:val="_GBC_7fffc10e897f45d19e0dc3f8ffc2224f"/>
        <w:id w:val="1036382356"/>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alias w:val="单位：财务附注：应收账款前五名欠款情况"/>
          <w:tag w:val="_GBC_e41caaf031c645a09f9ff82e1bde3008"/>
          <w:id w:val="-6555284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r>
            <w:rPr>
              <w:rFonts w:hint="eastAsia"/>
            </w:rPr>
            <w:t xml:space="preserve">  </w:t>
          </w:r>
        </w:sdtContent>
      </w:sdt>
      <w:r>
        <w:rPr>
          <w:rFonts w:hint="eastAsia"/>
        </w:rPr>
        <w:t>币种：</w:t>
      </w:r>
      <w:sdt>
        <w:sdtPr>
          <w:rPr>
            <w:rFonts w:hint="eastAsia"/>
          </w:rPr>
          <w:alias w:val="币种：财务附注：应收账款前五名欠款情况"/>
          <w:tag w:val="_GBC_03b6faf9055245869ad37558d10f0525"/>
          <w:id w:val="6853379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0"/>
        <w:gridCol w:w="2260"/>
        <w:gridCol w:w="2260"/>
      </w:tblGrid>
      <w:tr>
        <w:trPr>
          <w:cantSplit/>
        </w:trPr>
        <w:sdt>
          <w:sdtPr>
            <w:tag w:val="_PLD_68ef52d85e9b4f23a72393cc4b01b204"/>
            <w:id w:val="211151505"/>
          </w:sdtPr>
          <w:sdtContent>
            <w:tc>
              <w:tcPr>
                <w:tcW w:w="2260" w:type="dxa"/>
                <w:vAlign w:val="center"/>
              </w:tcPr>
              <w:p>
                <w:pPr>
                  <w:ind w:right="105"/>
                  <w:jc w:val="center"/>
                </w:pPr>
                <w:r>
                  <w:rPr>
                    <w:rFonts w:hint="eastAsia"/>
                  </w:rPr>
                  <w:t>单位名称</w:t>
                </w:r>
              </w:p>
            </w:tc>
          </w:sdtContent>
        </w:sdt>
        <w:sdt>
          <w:sdtPr>
            <w:tag w:val="_PLD_a62fd4b0ddfb407795d57ea0471df65a"/>
            <w:id w:val="749623577"/>
          </w:sdtPr>
          <w:sdtContent>
            <w:tc>
              <w:tcPr>
                <w:tcW w:w="2260" w:type="dxa"/>
                <w:vAlign w:val="center"/>
              </w:tcPr>
              <w:p>
                <w:pPr>
                  <w:ind w:right="73"/>
                  <w:jc w:val="center"/>
                </w:pPr>
                <w:r>
                  <w:rPr>
                    <w:rFonts w:hint="eastAsia"/>
                  </w:rPr>
                  <w:t>应收账款期末余额</w:t>
                </w:r>
              </w:p>
            </w:tc>
          </w:sdtContent>
        </w:sdt>
        <w:sdt>
          <w:sdtPr>
            <w:tag w:val="_PLD_e84ecb8c9e5146e8b4ede4a709c5ef5f"/>
            <w:id w:val="1828699047"/>
          </w:sdtPr>
          <w:sdtContent>
            <w:tc>
              <w:tcPr>
                <w:tcW w:w="2260" w:type="dxa"/>
                <w:vAlign w:val="center"/>
              </w:tcPr>
              <w:p>
                <w:pPr>
                  <w:jc w:val="center"/>
                </w:pPr>
                <w:r>
                  <w:rPr>
                    <w:rFonts w:hint="eastAsia"/>
                  </w:rPr>
                  <w:t>占应收账款和合同资产期末余额合计数的比例（</w:t>
                </w:r>
                <w:r>
                  <w:rPr>
                    <w:rFonts w:hint="eastAsia"/>
                  </w:rPr>
                  <w:t>%</w:t>
                </w:r>
                <w:r>
                  <w:rPr>
                    <w:rFonts w:hint="eastAsia"/>
                  </w:rPr>
                  <w:t>）</w:t>
                </w:r>
              </w:p>
            </w:tc>
          </w:sdtContent>
        </w:sdt>
        <w:sdt>
          <w:sdtPr>
            <w:tag w:val="_PLD_da58e99405a342aa95b8ffb814c33752"/>
            <w:id w:val="1734730105"/>
          </w:sdtPr>
          <w:sdtContent>
            <w:tc>
              <w:tcPr>
                <w:tcW w:w="2260" w:type="dxa"/>
                <w:vAlign w:val="center"/>
              </w:tcPr>
              <w:p>
                <w:pPr>
                  <w:jc w:val="center"/>
                </w:pPr>
                <w:r>
                  <w:rPr>
                    <w:rFonts w:hint="eastAsia"/>
                  </w:rPr>
                  <w:t>坏账准备期末余额</w:t>
                </w:r>
              </w:p>
            </w:tc>
          </w:sdtContent>
        </w:sdt>
      </w:tr>
      <w:tr>
        <w:trPr>
          <w:cantSplit/>
        </w:trPr>
        <w:tc>
          <w:tcPr>
            <w:tcW w:w="2260" w:type="dxa"/>
            <w:vAlign w:val="center"/>
          </w:tcPr>
          <w:p>
            <w:pPr>
              <w:ind w:right="105"/>
              <w:rPr>
                <w:rFonts w:ascii="宋体" w:hAnsi="宋体"/>
              </w:rPr>
            </w:pPr>
            <w:r>
              <w:rPr>
                <w:rFonts w:ascii="宋体" w:hAnsi="宋体" w:cs="宋体" w:hint="eastAsia"/>
              </w:rPr>
              <w:t>鄂尔多斯市营盘壕煤炭有限公司</w:t>
            </w:r>
          </w:p>
        </w:tc>
        <w:tc>
          <w:tcPr>
            <w:tcW w:w="2260" w:type="dxa"/>
            <w:vAlign w:val="center"/>
          </w:tcPr>
          <w:p>
            <w:pPr>
              <w:ind w:right="73"/>
              <w:jc w:val="right"/>
              <w:rPr>
                <w:rFonts w:ascii="宋体" w:hAnsi="宋体"/>
              </w:rPr>
            </w:pPr>
            <w:r>
              <w:rPr>
                <w:rFonts w:ascii="宋体" w:hAnsi="宋体"/>
              </w:rPr>
              <w:t>573,684</w:t>
            </w:r>
          </w:p>
        </w:tc>
        <w:tc>
          <w:tcPr>
            <w:tcW w:w="2260" w:type="dxa"/>
            <w:vAlign w:val="center"/>
          </w:tcPr>
          <w:p>
            <w:pPr>
              <w:jc w:val="right"/>
              <w:rPr>
                <w:rFonts w:ascii="宋体" w:hAnsi="宋体"/>
              </w:rPr>
            </w:pPr>
            <w:r>
              <w:rPr>
                <w:rFonts w:ascii="宋体" w:hAnsi="宋体"/>
              </w:rPr>
              <w:t>21.15</w:t>
            </w:r>
          </w:p>
        </w:tc>
        <w:tc>
          <w:tcPr>
            <w:tcW w:w="2260" w:type="dxa"/>
            <w:vAlign w:val="center"/>
          </w:tcPr>
          <w:p>
            <w:pPr>
              <w:jc w:val="right"/>
              <w:rPr>
                <w:rFonts w:ascii="宋体" w:hAnsi="宋体"/>
              </w:rPr>
            </w:pPr>
          </w:p>
        </w:tc>
      </w:tr>
      <w:tr>
        <w:trPr>
          <w:cantSplit/>
        </w:trPr>
        <w:tc>
          <w:tcPr>
            <w:tcW w:w="2260" w:type="dxa"/>
            <w:vAlign w:val="center"/>
          </w:tcPr>
          <w:p>
            <w:pPr>
              <w:ind w:right="105"/>
              <w:rPr>
                <w:rFonts w:ascii="宋体" w:hAnsi="宋体"/>
              </w:rPr>
            </w:pPr>
            <w:r>
              <w:rPr>
                <w:rFonts w:ascii="宋体" w:hAnsi="宋体" w:cs="宋体" w:hint="eastAsia"/>
              </w:rPr>
              <w:t>内蒙古昊盛煤业有限公司</w:t>
            </w:r>
          </w:p>
        </w:tc>
        <w:tc>
          <w:tcPr>
            <w:tcW w:w="2260" w:type="dxa"/>
            <w:vAlign w:val="center"/>
          </w:tcPr>
          <w:p>
            <w:pPr>
              <w:ind w:right="73"/>
              <w:jc w:val="right"/>
              <w:rPr>
                <w:rFonts w:ascii="宋体" w:hAnsi="宋体"/>
              </w:rPr>
            </w:pPr>
            <w:r>
              <w:rPr>
                <w:rFonts w:ascii="宋体" w:hAnsi="宋体"/>
              </w:rPr>
              <w:t>532,913</w:t>
            </w:r>
          </w:p>
        </w:tc>
        <w:tc>
          <w:tcPr>
            <w:tcW w:w="2260" w:type="dxa"/>
            <w:vAlign w:val="center"/>
          </w:tcPr>
          <w:p>
            <w:pPr>
              <w:jc w:val="right"/>
              <w:rPr>
                <w:rFonts w:ascii="宋体" w:hAnsi="宋体"/>
              </w:rPr>
            </w:pPr>
            <w:r>
              <w:rPr>
                <w:rFonts w:ascii="宋体" w:hAnsi="宋体"/>
              </w:rPr>
              <w:t>19.65</w:t>
            </w:r>
          </w:p>
        </w:tc>
        <w:tc>
          <w:tcPr>
            <w:tcW w:w="2260" w:type="dxa"/>
            <w:vAlign w:val="center"/>
          </w:tcPr>
          <w:p>
            <w:pPr>
              <w:jc w:val="right"/>
              <w:rPr>
                <w:rFonts w:ascii="宋体" w:hAnsi="宋体"/>
              </w:rPr>
            </w:pPr>
          </w:p>
        </w:tc>
      </w:tr>
      <w:tr>
        <w:trPr>
          <w:cantSplit/>
        </w:trPr>
        <w:tc>
          <w:tcPr>
            <w:tcW w:w="2260" w:type="dxa"/>
            <w:vAlign w:val="center"/>
          </w:tcPr>
          <w:p>
            <w:pPr>
              <w:ind w:right="105"/>
              <w:rPr>
                <w:rFonts w:ascii="宋体" w:hAnsi="宋体"/>
              </w:rPr>
            </w:pPr>
            <w:r>
              <w:rPr>
                <w:rFonts w:ascii="宋体" w:hAnsi="宋体" w:cs="宋体" w:hint="eastAsia"/>
              </w:rPr>
              <w:t>山西和顺天池能源有限责任公司</w:t>
            </w:r>
          </w:p>
        </w:tc>
        <w:tc>
          <w:tcPr>
            <w:tcW w:w="2260" w:type="dxa"/>
            <w:vAlign w:val="center"/>
          </w:tcPr>
          <w:p>
            <w:pPr>
              <w:ind w:right="73"/>
              <w:jc w:val="right"/>
              <w:rPr>
                <w:rFonts w:ascii="宋体" w:hAnsi="宋体"/>
              </w:rPr>
            </w:pPr>
            <w:r>
              <w:rPr>
                <w:rFonts w:ascii="宋体" w:hAnsi="宋体"/>
              </w:rPr>
              <w:t>290,102</w:t>
            </w:r>
          </w:p>
        </w:tc>
        <w:tc>
          <w:tcPr>
            <w:tcW w:w="2260" w:type="dxa"/>
            <w:vAlign w:val="center"/>
          </w:tcPr>
          <w:p>
            <w:pPr>
              <w:jc w:val="right"/>
              <w:rPr>
                <w:rFonts w:ascii="宋体" w:hAnsi="宋体"/>
              </w:rPr>
            </w:pPr>
            <w:r>
              <w:rPr>
                <w:rFonts w:ascii="宋体" w:hAnsi="宋体"/>
              </w:rPr>
              <w:t>10.70</w:t>
            </w:r>
          </w:p>
        </w:tc>
        <w:tc>
          <w:tcPr>
            <w:tcW w:w="2260" w:type="dxa"/>
            <w:vAlign w:val="center"/>
          </w:tcPr>
          <w:p>
            <w:pPr>
              <w:jc w:val="right"/>
              <w:rPr>
                <w:rFonts w:ascii="宋体" w:hAnsi="宋体"/>
              </w:rPr>
            </w:pPr>
          </w:p>
        </w:tc>
      </w:tr>
      <w:tr>
        <w:trPr>
          <w:cantSplit/>
        </w:trPr>
        <w:tc>
          <w:tcPr>
            <w:tcW w:w="2260" w:type="dxa"/>
            <w:vAlign w:val="center"/>
          </w:tcPr>
          <w:p>
            <w:pPr>
              <w:ind w:right="105"/>
              <w:rPr>
                <w:rFonts w:ascii="宋体" w:hAnsi="宋体"/>
              </w:rPr>
            </w:pPr>
            <w:r>
              <w:rPr>
                <w:rFonts w:ascii="宋体" w:hAnsi="宋体" w:cs="宋体" w:hint="eastAsia"/>
              </w:rPr>
              <w:t>宝塔石化集团财务有限公司</w:t>
            </w:r>
          </w:p>
        </w:tc>
        <w:tc>
          <w:tcPr>
            <w:tcW w:w="2260" w:type="dxa"/>
            <w:vAlign w:val="center"/>
          </w:tcPr>
          <w:p>
            <w:pPr>
              <w:ind w:right="73"/>
              <w:jc w:val="right"/>
              <w:rPr>
                <w:rFonts w:ascii="宋体" w:hAnsi="宋体"/>
              </w:rPr>
            </w:pPr>
            <w:r>
              <w:rPr>
                <w:rFonts w:ascii="宋体" w:hAnsi="宋体"/>
              </w:rPr>
              <w:t>235,410</w:t>
            </w:r>
          </w:p>
        </w:tc>
        <w:tc>
          <w:tcPr>
            <w:tcW w:w="2260" w:type="dxa"/>
            <w:vAlign w:val="center"/>
          </w:tcPr>
          <w:p>
            <w:pPr>
              <w:jc w:val="right"/>
              <w:rPr>
                <w:rFonts w:ascii="宋体" w:hAnsi="宋体"/>
              </w:rPr>
            </w:pPr>
            <w:r>
              <w:rPr>
                <w:rFonts w:ascii="宋体" w:hAnsi="宋体"/>
              </w:rPr>
              <w:t>8.68</w:t>
            </w:r>
          </w:p>
        </w:tc>
        <w:tc>
          <w:tcPr>
            <w:tcW w:w="2260" w:type="dxa"/>
            <w:vAlign w:val="center"/>
          </w:tcPr>
          <w:p>
            <w:pPr>
              <w:jc w:val="right"/>
              <w:rPr>
                <w:rFonts w:ascii="宋体" w:hAnsi="宋体"/>
              </w:rPr>
            </w:pPr>
            <w:r>
              <w:rPr>
                <w:rFonts w:ascii="宋体" w:hAnsi="宋体"/>
              </w:rPr>
              <w:t>235,410</w:t>
            </w:r>
          </w:p>
        </w:tc>
      </w:tr>
      <w:tr>
        <w:trPr>
          <w:cantSplit/>
        </w:trPr>
        <w:tc>
          <w:tcPr>
            <w:tcW w:w="2260" w:type="dxa"/>
            <w:vAlign w:val="center"/>
          </w:tcPr>
          <w:p>
            <w:pPr>
              <w:ind w:right="105"/>
              <w:rPr>
                <w:rFonts w:ascii="宋体" w:hAnsi="宋体"/>
              </w:rPr>
            </w:pPr>
            <w:r>
              <w:rPr>
                <w:rFonts w:ascii="宋体" w:hAnsi="宋体" w:cs="宋体" w:hint="eastAsia"/>
              </w:rPr>
              <w:t>兖矿东华重工有限公司</w:t>
            </w:r>
          </w:p>
        </w:tc>
        <w:tc>
          <w:tcPr>
            <w:tcW w:w="2260" w:type="dxa"/>
            <w:vAlign w:val="center"/>
          </w:tcPr>
          <w:p>
            <w:pPr>
              <w:ind w:right="73"/>
              <w:jc w:val="right"/>
              <w:rPr>
                <w:rFonts w:ascii="宋体" w:hAnsi="宋体"/>
              </w:rPr>
            </w:pPr>
            <w:r>
              <w:rPr>
                <w:rFonts w:ascii="宋体" w:hAnsi="宋体"/>
              </w:rPr>
              <w:t>147,918</w:t>
            </w:r>
          </w:p>
        </w:tc>
        <w:tc>
          <w:tcPr>
            <w:tcW w:w="2260" w:type="dxa"/>
            <w:vAlign w:val="center"/>
          </w:tcPr>
          <w:p>
            <w:pPr>
              <w:jc w:val="right"/>
              <w:rPr>
                <w:rFonts w:ascii="宋体" w:hAnsi="宋体"/>
              </w:rPr>
            </w:pPr>
            <w:r>
              <w:rPr>
                <w:rFonts w:ascii="宋体" w:hAnsi="宋体"/>
              </w:rPr>
              <w:t>5.45</w:t>
            </w:r>
          </w:p>
        </w:tc>
        <w:tc>
          <w:tcPr>
            <w:tcW w:w="2260" w:type="dxa"/>
            <w:vAlign w:val="center"/>
          </w:tcPr>
          <w:p>
            <w:pPr>
              <w:jc w:val="right"/>
              <w:rPr>
                <w:rFonts w:ascii="宋体" w:hAnsi="宋体"/>
              </w:rPr>
            </w:pPr>
          </w:p>
        </w:tc>
      </w:tr>
      <w:tr>
        <w:trPr>
          <w:cantSplit/>
        </w:trPr>
        <w:tc>
          <w:tcPr>
            <w:tcW w:w="2260" w:type="dxa"/>
            <w:vAlign w:val="center"/>
          </w:tcPr>
          <w:p>
            <w:pPr>
              <w:ind w:right="105"/>
              <w:jc w:val="center"/>
            </w:pPr>
            <w:r>
              <w:rPr>
                <w:rFonts w:hint="eastAsia"/>
              </w:rPr>
              <w:t>合计</w:t>
            </w:r>
          </w:p>
        </w:tc>
        <w:tc>
          <w:tcPr>
            <w:tcW w:w="2260" w:type="dxa"/>
            <w:vAlign w:val="center"/>
          </w:tcPr>
          <w:p>
            <w:pPr>
              <w:ind w:right="73"/>
              <w:jc w:val="right"/>
              <w:rPr>
                <w:rFonts w:ascii="宋体" w:hAnsi="宋体"/>
              </w:rPr>
            </w:pPr>
            <w:r>
              <w:rPr>
                <w:rFonts w:ascii="宋体" w:hAnsi="宋体"/>
              </w:rPr>
              <w:t>1,780,027</w:t>
            </w:r>
          </w:p>
        </w:tc>
        <w:tc>
          <w:tcPr>
            <w:tcW w:w="2260" w:type="dxa"/>
            <w:vAlign w:val="center"/>
          </w:tcPr>
          <w:p>
            <w:pPr>
              <w:jc w:val="right"/>
              <w:rPr>
                <w:rFonts w:ascii="宋体" w:hAnsi="宋体"/>
              </w:rPr>
            </w:pPr>
            <w:r>
              <w:rPr>
                <w:rFonts w:ascii="宋体" w:hAnsi="宋体"/>
              </w:rPr>
              <w:t>65.63</w:t>
            </w:r>
          </w:p>
        </w:tc>
        <w:tc>
          <w:tcPr>
            <w:tcW w:w="2260" w:type="dxa"/>
            <w:vAlign w:val="center"/>
          </w:tcPr>
          <w:p>
            <w:pPr>
              <w:jc w:val="right"/>
              <w:rPr>
                <w:rFonts w:ascii="宋体" w:hAnsi="宋体"/>
              </w:rPr>
            </w:pPr>
            <w:r>
              <w:rPr>
                <w:rFonts w:ascii="宋体" w:hAnsi="宋体"/>
              </w:rPr>
              <w:t>235,410</w:t>
            </w:r>
          </w:p>
        </w:tc>
      </w:tr>
    </w:tbl>
    <w:p>
      <w:pPr>
        <w:pStyle w:val="Style217"/>
      </w:pPr>
    </w:p>
    <w:p>
      <w:pPr>
        <w:snapToGrid w:val="0"/>
        <w:spacing w:line="240" w:lineRule="atLeast"/>
      </w:pPr>
      <w:r>
        <w:rPr>
          <w:rFonts w:hint="eastAsia"/>
        </w:rPr>
        <w:t>其他说明：</w:t>
      </w:r>
    </w:p>
    <w:sdt>
      <w:sdtPr>
        <w:alias w:val="按欠款方归集的期末余额前五名的应收账款情况的说明"/>
        <w:tag w:val="_GBC_4233d26567cb46b2a0053fbc4949e5ad"/>
        <w:id w:val="1027680361"/>
        <w:placeholder>
          <w:docPart w:val="GBC22222222222222222222222222222"/>
        </w:placeholder>
      </w:sdtPr>
      <w:sdtContent>
        <w:p>
          <w:pPr>
            <w:snapToGrid w:val="0"/>
            <w:spacing w:line="240" w:lineRule="atLeast"/>
          </w:pPr>
          <w:r>
            <w:rPr>
              <w:rFonts w:hint="eastAsia"/>
            </w:rPr>
            <w:t>-</w:t>
          </w:r>
        </w:p>
      </w:sdtContent>
    </w:sdt>
    <w:p>
      <w:pPr>
        <w:snapToGrid w:val="0"/>
        <w:spacing w:line="240" w:lineRule="atLeast"/>
      </w:pPr>
    </w:p>
    <w:bookmarkEnd w:id="561"/>
    <w:bookmarkEnd w:id="562"/>
    <w:p>
      <w:pPr>
        <w:pStyle w:val="Style217"/>
      </w:pPr>
      <w:r>
        <w:rPr>
          <w:rFonts w:hint="eastAsia"/>
        </w:rPr>
        <w:t>其他</w:t>
      </w:r>
      <w:r>
        <w:t>说明：</w:t>
      </w:r>
    </w:p>
    <w:sdt>
      <w:sdtPr>
        <w:alias w:val="是否适用：母公司应收账款其他说明[双击切换]"/>
        <w:tag w:val="_GBC_4765684a53b9474f898fa6c2bd313427"/>
        <w:id w:val="-194869023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napToGrid w:val="0"/>
        <w:spacing w:line="240" w:lineRule="atLeast"/>
      </w:pPr>
    </w:p>
    <w:p>
      <w:pPr>
        <w:pStyle w:val="Style178"/>
        <w:rPr>
          <w:szCs w:val="21"/>
        </w:rPr>
      </w:pPr>
      <w:r>
        <w:rPr>
          <w:rFonts w:ascii="宋体" w:hAnsi="宋体" w:hint="eastAsia"/>
          <w:szCs w:val="21"/>
        </w:rPr>
        <w:t>2、其他应收款</w:t>
      </w:r>
    </w:p>
    <w:p>
      <w:pPr>
        <w:pStyle w:val="Style179"/>
        <w:rPr>
          <w:sz w:val="21"/>
          <w:szCs w:val="21"/>
        </w:rPr>
      </w:pPr>
      <w:bookmarkStart w:id="563" w:name="_Hlk533796954"/>
      <w:bookmarkStart w:id="564" w:name="_Hlk153789873"/>
      <w:r>
        <w:rPr>
          <w:rFonts w:hint="eastAsia"/>
          <w:sz w:val="21"/>
          <w:szCs w:val="21"/>
        </w:rPr>
        <w:t>项目列示</w:t>
      </w:r>
    </w:p>
    <w:sdt>
      <w:sdtPr>
        <w:alias w:val="是否适用：母公司其他应收款分类列示[双击切换]"/>
        <w:tag w:val="_GBC_eca97260629e4985b01404cfe0f9630b"/>
        <w:id w:val="-143928637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其他应收款分类列示"/>
          <w:tag w:val="_GBC_3e648241a63447daac5dd00971efb146"/>
          <w:id w:val="-1375765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其他应收款分类列示"/>
          <w:tag w:val="_GBC_c7b8206dd7dd44fcb02f4cced206c1b8"/>
          <w:id w:val="-2713276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196"/>
        <w:gridCol w:w="2938"/>
        <w:gridCol w:w="2924"/>
      </w:tblGrid>
      <w:tr>
        <w:trPr>
          <w:cantSplit/>
        </w:trPr>
        <w:sdt>
          <w:sdtPr>
            <w:tag w:val="_PLD_3fbe550dc0704e7ebed42463d474129d"/>
            <w:id w:val="974253261"/>
          </w:sdtPr>
          <w:sdtContent>
            <w:tc>
              <w:tcPr>
                <w:tcW w:w="3196" w:type="dxa"/>
                <w:vAlign w:val="center"/>
              </w:tcPr>
              <w:p>
                <w:pPr>
                  <w:jc w:val="center"/>
                </w:pPr>
                <w:r>
                  <w:rPr>
                    <w:rFonts w:hint="eastAsia"/>
                  </w:rPr>
                  <w:t>项目</w:t>
                </w:r>
              </w:p>
            </w:tc>
          </w:sdtContent>
        </w:sdt>
        <w:sdt>
          <w:sdtPr>
            <w:tag w:val="_PLD_5161bba6c7a3460784316b0695f47487"/>
            <w:id w:val="-559864266"/>
          </w:sdtPr>
          <w:sdtContent>
            <w:tc>
              <w:tcPr>
                <w:tcW w:w="2938" w:type="dxa"/>
                <w:vAlign w:val="center"/>
              </w:tcPr>
              <w:p>
                <w:pPr>
                  <w:jc w:val="center"/>
                </w:pPr>
                <w:r>
                  <w:rPr>
                    <w:rFonts w:hint="eastAsia"/>
                  </w:rPr>
                  <w:t>期末余额</w:t>
                </w:r>
              </w:p>
            </w:tc>
          </w:sdtContent>
        </w:sdt>
        <w:sdt>
          <w:sdtPr>
            <w:tag w:val="_PLD_54007dfc9bc24ec0b86bc4694efe4938"/>
            <w:id w:val="1102613940"/>
          </w:sdtPr>
          <w:sdtContent>
            <w:tc>
              <w:tcPr>
                <w:tcW w:w="2924" w:type="dxa"/>
                <w:vAlign w:val="center"/>
              </w:tcPr>
              <w:p>
                <w:pPr>
                  <w:jc w:val="center"/>
                </w:pPr>
                <w:r>
                  <w:rPr>
                    <w:rFonts w:hint="eastAsia"/>
                  </w:rPr>
                  <w:t>期初余额</w:t>
                </w:r>
              </w:p>
            </w:tc>
          </w:sdtContent>
        </w:sdt>
      </w:tr>
      <w:tr>
        <w:trPr>
          <w:cantSplit/>
        </w:trPr>
        <w:tc>
          <w:tcPr>
            <w:tcW w:w="3196" w:type="dxa"/>
            <w:vAlign w:val="center"/>
          </w:tcPr>
          <w:p>
            <w:pPr>
              <w:ind w:right="5"/>
            </w:pPr>
            <w:r>
              <w:rPr>
                <w:rFonts w:hint="eastAsia"/>
              </w:rPr>
              <w:t>应收股利</w:t>
            </w:r>
          </w:p>
        </w:tc>
        <w:tc>
          <w:tcPr>
            <w:tcW w:w="2938" w:type="dxa"/>
          </w:tcPr>
          <w:p>
            <w:pPr>
              <w:ind w:right="5"/>
              <w:jc w:val="right"/>
              <w:rPr>
                <w:rFonts w:ascii="宋体" w:hAnsi="宋体"/>
              </w:rPr>
            </w:pPr>
            <w:r>
              <w:rPr>
                <w:rFonts w:ascii="宋体" w:hAnsi="宋体"/>
              </w:rPr>
              <w:t>11,090,778</w:t>
            </w:r>
          </w:p>
        </w:tc>
        <w:tc>
          <w:tcPr>
            <w:tcW w:w="2924" w:type="dxa"/>
          </w:tcPr>
          <w:p>
            <w:pPr>
              <w:ind w:right="5"/>
              <w:jc w:val="right"/>
              <w:rPr>
                <w:rFonts w:ascii="宋体" w:hAnsi="宋体"/>
              </w:rPr>
            </w:pPr>
            <w:r>
              <w:rPr>
                <w:rFonts w:ascii="宋体" w:hAnsi="宋体"/>
              </w:rPr>
              <w:t>10,657,134</w:t>
            </w:r>
          </w:p>
        </w:tc>
      </w:tr>
      <w:tr>
        <w:trPr>
          <w:cantSplit/>
        </w:trPr>
        <w:tc>
          <w:tcPr>
            <w:tcW w:w="3196" w:type="dxa"/>
            <w:vAlign w:val="center"/>
          </w:tcPr>
          <w:p>
            <w:pPr>
              <w:ind w:right="5"/>
            </w:pPr>
            <w:r>
              <w:rPr>
                <w:rFonts w:hint="eastAsia"/>
              </w:rPr>
              <w:t>其他应收款</w:t>
            </w:r>
          </w:p>
        </w:tc>
        <w:tc>
          <w:tcPr>
            <w:tcW w:w="2938" w:type="dxa"/>
            <w:vAlign w:val="center"/>
          </w:tcPr>
          <w:p>
            <w:pPr>
              <w:ind w:right="5"/>
              <w:jc w:val="right"/>
              <w:rPr>
                <w:rFonts w:ascii="宋体" w:hAnsi="宋体"/>
              </w:rPr>
            </w:pPr>
            <w:r>
              <w:rPr>
                <w:rFonts w:ascii="宋体" w:hAnsi="宋体"/>
              </w:rPr>
              <w:t>61,859,258</w:t>
            </w:r>
          </w:p>
        </w:tc>
        <w:tc>
          <w:tcPr>
            <w:tcW w:w="2924" w:type="dxa"/>
          </w:tcPr>
          <w:p>
            <w:pPr>
              <w:ind w:right="5"/>
              <w:jc w:val="right"/>
              <w:rPr>
                <w:rFonts w:ascii="宋体" w:hAnsi="宋体"/>
              </w:rPr>
            </w:pPr>
            <w:r>
              <w:rPr>
                <w:rFonts w:ascii="宋体" w:hAnsi="宋体"/>
              </w:rPr>
              <w:t>41,979,259</w:t>
            </w:r>
          </w:p>
        </w:tc>
      </w:tr>
      <w:tr>
        <w:trPr>
          <w:cantSplit/>
        </w:trPr>
        <w:tc>
          <w:tcPr>
            <w:tcW w:w="3196" w:type="dxa"/>
            <w:vAlign w:val="center"/>
          </w:tcPr>
          <w:p>
            <w:pPr>
              <w:autoSpaceDE w:val="0"/>
              <w:autoSpaceDN w:val="0"/>
              <w:adjustRightInd w:val="0"/>
            </w:pPr>
            <w:r>
              <w:rPr>
                <w:rFonts w:hint="eastAsia"/>
              </w:rPr>
              <w:t>合计</w:t>
            </w:r>
          </w:p>
        </w:tc>
        <w:tc>
          <w:tcPr>
            <w:tcW w:w="2938" w:type="dxa"/>
            <w:vAlign w:val="center"/>
          </w:tcPr>
          <w:p>
            <w:pPr>
              <w:jc w:val="right"/>
              <w:rPr>
                <w:rFonts w:ascii="宋体" w:hAnsi="宋体"/>
              </w:rPr>
            </w:pPr>
            <w:r>
              <w:rPr>
                <w:rFonts w:ascii="宋体" w:hAnsi="宋体"/>
              </w:rPr>
              <w:t>72,950,036</w:t>
            </w:r>
          </w:p>
        </w:tc>
        <w:tc>
          <w:tcPr>
            <w:tcW w:w="2924" w:type="dxa"/>
          </w:tcPr>
          <w:p>
            <w:pPr>
              <w:jc w:val="right"/>
              <w:rPr>
                <w:rFonts w:ascii="宋体" w:hAnsi="宋体"/>
              </w:rPr>
            </w:pPr>
            <w:r>
              <w:rPr>
                <w:rFonts w:ascii="宋体" w:hAnsi="宋体"/>
              </w:rPr>
              <w:t>52,636,393</w:t>
            </w:r>
          </w:p>
        </w:tc>
      </w:tr>
    </w:tbl>
    <w:p>
      <w:pPr>
        <w:pStyle w:val="Style217"/>
      </w:pPr>
    </w:p>
    <w:p>
      <w:pPr>
        <w:pStyle w:val="Style217"/>
      </w:pPr>
      <w:bookmarkStart w:id="565" w:name="_Hlk533797002"/>
      <w:bookmarkEnd w:id="563"/>
      <w:bookmarkEnd w:id="564"/>
      <w:r>
        <w:rPr>
          <w:rFonts w:hint="eastAsia"/>
        </w:rPr>
        <w:t>其他说明：</w:t>
      </w:r>
    </w:p>
    <w:sdt>
      <w:sdtPr>
        <w:alias w:val="是否适用：母公司其他应收款分类列示其他说明[双击切换]"/>
        <w:tag w:val="_GBC_17d0b67d20cb486dbc08e07c11e1224a"/>
        <w:id w:val="-192757253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565"/>
    <w:p>
      <w:pPr>
        <w:pStyle w:val="Style179"/>
        <w:rPr>
          <w:sz w:val="21"/>
          <w:szCs w:val="21"/>
        </w:rPr>
      </w:pPr>
      <w:r>
        <w:rPr>
          <w:rFonts w:hint="eastAsia"/>
          <w:sz w:val="21"/>
          <w:szCs w:val="21"/>
        </w:rPr>
        <w:lastRenderedPageBreak/>
        <w:t>应收利息</w:t>
      </w:r>
    </w:p>
    <w:p>
      <w:pPr>
        <w:pStyle w:val="Style180"/>
        <w:numPr>
          <w:ilvl w:val="0"/>
          <w:numId w:val="138"/>
        </w:numPr>
        <w:ind w:leftChars="0"/>
        <w:rPr>
          <w:sz w:val="21"/>
          <w:szCs w:val="21"/>
        </w:rPr>
      </w:pPr>
      <w:bookmarkStart w:id="566" w:name="_Hlk533797042"/>
      <w:r>
        <w:rPr>
          <w:rFonts w:hint="eastAsia"/>
          <w:sz w:val="21"/>
          <w:szCs w:val="21"/>
        </w:rPr>
        <w:t>应收利息分类</w:t>
      </w:r>
    </w:p>
    <w:sdt>
      <w:sdtPr>
        <w:alias w:val="是否适用：母公司应收利息分类[双击切换]"/>
        <w:tag w:val="_GBC_5e0cba78d09b4764ada25ce89de1c4fd"/>
        <w:id w:val="113074025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138"/>
        </w:numPr>
        <w:ind w:leftChars="0"/>
        <w:rPr>
          <w:sz w:val="21"/>
          <w:szCs w:val="21"/>
        </w:rPr>
      </w:pPr>
      <w:bookmarkStart w:id="567" w:name="_Hlk533797114"/>
      <w:bookmarkEnd w:id="566"/>
      <w:r>
        <w:rPr>
          <w:rFonts w:hint="eastAsia"/>
          <w:sz w:val="21"/>
          <w:szCs w:val="21"/>
        </w:rPr>
        <w:t>重要逾期利息</w:t>
      </w:r>
    </w:p>
    <w:sdt>
      <w:sdtPr>
        <w:alias w:val="是否适用：母公司重要逾期利息[双击切换]"/>
        <w:tag w:val="_GBC_2d954f5af6a64a34941652eeb166dce8"/>
        <w:id w:val="143085952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138"/>
        </w:numPr>
        <w:ind w:leftChars="0"/>
        <w:rPr>
          <w:sz w:val="21"/>
          <w:szCs w:val="21"/>
        </w:rPr>
      </w:pPr>
      <w:bookmarkStart w:id="568" w:name="_Hlk153789950"/>
      <w:bookmarkStart w:id="569" w:name="_Hlk154149455"/>
      <w:r>
        <w:rPr>
          <w:rFonts w:hint="eastAsia"/>
          <w:sz w:val="21"/>
          <w:szCs w:val="21"/>
        </w:rPr>
        <w:t>按坏账计提方法分类披露</w:t>
      </w:r>
    </w:p>
    <w:sdt>
      <w:sdtPr>
        <w:alias w:val="是否适用：按坏账计提方法分类披露[双击切换]"/>
        <w:tag w:val="_GBC_fe4d472a766545fe91e93448a26e5403"/>
        <w:id w:val="207261791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w:t>
      </w:r>
    </w:p>
    <w:sdt>
      <w:sdtPr>
        <w:alias w:val="是否适用：母公司按单项计提坏账准备的详细情况[双击切换]"/>
        <w:tag w:val="_GBC_d06b9654dbc04fa7af49f1a5ad28f657"/>
        <w:id w:val="-197691168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按单项计提坏账准备的说明：</w:t>
      </w:r>
    </w:p>
    <w:sdt>
      <w:sdtPr>
        <w:alias w:val="是否适用：母公司按单项计提坏账准备的说明[双击切换]"/>
        <w:tag w:val="_GBC_7a6fa6b7c7de4c12942ac6477ec9ffb8"/>
        <w:id w:val="-85696675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Cs/>
        </w:rPr>
      </w:pPr>
      <w:r>
        <w:rPr>
          <w:rFonts w:ascii="Calibri" w:hAnsi="Calibri" w:hint="eastAsia"/>
          <w:bCs/>
        </w:rPr>
        <w:t>按组合计提坏账准备：</w:t>
      </w:r>
    </w:p>
    <w:sdt>
      <w:sdtPr>
        <w:rPr>
          <w:rFonts w:ascii="Calibri" w:hAnsi="Calibri"/>
        </w:rPr>
        <w:alias w:val="是否适用：母公司按组合计提坏账准备的详细情况[双击切换]"/>
        <w:tag w:val="_GBC_ce999ec0925c4191a03a5c3b162652e0"/>
        <w:id w:val="-53466239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Calibri" w:hAnsi="Calibri"/>
          <w:b/>
          <w:bCs/>
        </w:rPr>
      </w:pPr>
    </w:p>
    <w:p>
      <w:pPr>
        <w:pStyle w:val="Style180"/>
        <w:numPr>
          <w:ilvl w:val="0"/>
          <w:numId w:val="138"/>
        </w:numPr>
        <w:ind w:leftChars="0"/>
        <w:rPr>
          <w:sz w:val="21"/>
          <w:szCs w:val="21"/>
        </w:rPr>
      </w:pPr>
      <w:bookmarkStart w:id="570" w:name="_Hlk533868784"/>
      <w:bookmarkEnd w:id="567"/>
      <w:bookmarkEnd w:id="568"/>
      <w:bookmarkEnd w:id="569"/>
      <w:r>
        <w:rPr>
          <w:rFonts w:hint="eastAsia"/>
          <w:sz w:val="21"/>
          <w:szCs w:val="21"/>
        </w:rPr>
        <w:t>按预期信用损失一般模型计提坏账准备</w:t>
      </w:r>
    </w:p>
    <w:sdt>
      <w:sdtPr>
        <w:alias w:val="是否适用：母公司应收利息坏账准备调节表[双击切换]"/>
        <w:tag w:val="_GBC_f31c9323c5434941917fd7e42ea1fd1b"/>
        <w:id w:val="-136544298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autoSpaceDE w:val="0"/>
        <w:autoSpaceDN w:val="0"/>
        <w:adjustRightInd w:val="0"/>
        <w:ind w:rightChars="50" w:right="105"/>
      </w:pPr>
      <w:bookmarkStart w:id="571" w:name="OLE_LINK5"/>
      <w:r>
        <w:rPr>
          <w:rFonts w:hint="eastAsia"/>
        </w:rPr>
        <w:t>各阶段划分依据和坏账准备计提比例</w:t>
      </w:r>
    </w:p>
    <w:bookmarkEnd w:id="571" w:displacedByCustomXml="next"/>
    <w:sdt>
      <w:sdtPr>
        <w:rPr>
          <w:bCs/>
        </w:rPr>
        <w:alias w:val="应收利息各阶段划分依据和坏账准备计提比例"/>
        <w:tag w:val="_GBC_b77aa29618704a4d96dead6a87509661"/>
        <w:id w:val="1291238693"/>
        <w:placeholder>
          <w:docPart w:val="GBC22222222222222222222222222222"/>
        </w:placeholder>
      </w:sdtPr>
      <w:sdtContent>
        <w:p>
          <w:pPr>
            <w:rPr>
              <w:bCs/>
            </w:rPr>
          </w:pPr>
          <w:r>
            <w:rPr>
              <w:rFonts w:hint="eastAsia"/>
              <w:bCs/>
            </w:rPr>
            <w:t>-</w:t>
          </w:r>
        </w:p>
      </w:sdtContent>
    </w:sdt>
    <w:p>
      <w:pPr>
        <w:rPr>
          <w:bCs/>
        </w:rPr>
      </w:pPr>
    </w:p>
    <w:p>
      <w:pPr>
        <w:pStyle w:val="Style201"/>
        <w:rPr>
          <w:sz w:val="21"/>
          <w:szCs w:val="21"/>
        </w:rPr>
      </w:pPr>
      <w:r>
        <w:rPr>
          <w:rFonts w:hint="eastAsia"/>
          <w:sz w:val="21"/>
          <w:szCs w:val="21"/>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98237938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138"/>
        </w:numPr>
        <w:ind w:leftChars="0"/>
        <w:rPr>
          <w:sz w:val="21"/>
          <w:szCs w:val="21"/>
        </w:rPr>
      </w:pPr>
      <w:bookmarkStart w:id="572" w:name="_Hlk533797211"/>
      <w:bookmarkStart w:id="573" w:name="_Hlk154149866"/>
      <w:bookmarkStart w:id="574" w:name="_Hlk153790581"/>
      <w:bookmarkEnd w:id="570"/>
      <w:bookmarkEnd w:id="572"/>
      <w:r>
        <w:rPr>
          <w:rFonts w:hint="eastAsia"/>
          <w:sz w:val="21"/>
          <w:szCs w:val="21"/>
        </w:rPr>
        <w:t>坏账准备的情况</w:t>
      </w:r>
    </w:p>
    <w:sdt>
      <w:sdtPr>
        <w:alias w:val="是否适用：母公司坏账准备情况[双击切换]"/>
        <w:tag w:val="_GBC_44a257b47fa748eca2cab9dd0877e841"/>
        <w:id w:val="-209430932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其中本期坏账准备收回或转回金额重要的：</w:t>
      </w:r>
    </w:p>
    <w:sdt>
      <w:sdtPr>
        <w:alias w:val="是否适用：本期坏账准备收回或转回金额重要的[双击切换]"/>
        <w:tag w:val="_GBC_dda1c249e9da4520abee515b8b42f5f4"/>
        <w:id w:val="114200256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母公司坏账准备情况的说明"/>
        <w:tag w:val="_GBC_31b65196a31b451f9f81b4cd487599d5"/>
        <w:id w:val="-1157379733"/>
        <w:placeholder>
          <w:docPart w:val="GBC22222222222222222222222222222"/>
        </w:placeholder>
      </w:sdtPr>
      <w:sdtContent>
        <w:p>
          <w:pPr>
            <w:ind w:rightChars="20" w:right="42"/>
          </w:pPr>
          <w:r>
            <w:rPr>
              <w:rFonts w:hint="eastAsia"/>
            </w:rPr>
            <w:t>-</w:t>
          </w:r>
        </w:p>
      </w:sdtContent>
    </w:sdt>
    <w:p>
      <w:pPr>
        <w:ind w:rightChars="-759" w:right="-1594"/>
      </w:pPr>
    </w:p>
    <w:p>
      <w:pPr>
        <w:pStyle w:val="Style180"/>
        <w:numPr>
          <w:ilvl w:val="0"/>
          <w:numId w:val="138"/>
        </w:numPr>
        <w:ind w:leftChars="0"/>
        <w:rPr>
          <w:sz w:val="21"/>
          <w:szCs w:val="21"/>
        </w:rPr>
      </w:pPr>
      <w:r>
        <w:rPr>
          <w:rFonts w:hint="eastAsia"/>
          <w:sz w:val="21"/>
          <w:szCs w:val="21"/>
        </w:rPr>
        <w:t>本期实际核销的应收利息情况</w:t>
      </w:r>
    </w:p>
    <w:sdt>
      <w:sdtPr>
        <w:alias w:val="是否适用：实际核销的情况[双击切换]"/>
        <w:tag w:val="_GBC_078b310c81244c1d880a4059768019f1"/>
        <w:id w:val="-203865560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其中重要的应收利息核销情况</w:t>
      </w:r>
    </w:p>
    <w:sdt>
      <w:sdtPr>
        <w:rPr>
          <w:rFonts w:hint="eastAsia"/>
        </w:rPr>
        <w:alias w:val="是否适用：母公司重要的核销情况[双击切换]"/>
        <w:tag w:val="_GBC_d68df6b80a1a45bcb388baf56df1b958"/>
        <w:id w:val="148821079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核销说明：</w:t>
      </w:r>
    </w:p>
    <w:sdt>
      <w:sdtPr>
        <w:alias w:val="是否适用：母公司核销说明[双击切换]"/>
        <w:tag w:val="_GBC_dd0453ff96014cb191f4b96cd3787f15"/>
        <w:id w:val="1335801453"/>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bookmarkEnd w:id="573"/>
    <w:p>
      <w:pPr>
        <w:pStyle w:val="Style217"/>
      </w:pPr>
      <w:r>
        <w:rPr>
          <w:rFonts w:hint="eastAsia"/>
        </w:rPr>
        <w:t>其他说明：</w:t>
      </w:r>
    </w:p>
    <w:sdt>
      <w:sdtPr>
        <w:rPr>
          <w:rFonts w:hint="eastAsia"/>
        </w:rPr>
        <w:alias w:val="是否适用：应收利息的说明[双击切换]"/>
        <w:tag w:val="_GBC_9a3e6e5b075544d3b90be42ae9d883ef"/>
        <w:id w:val="-85211306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574"/>
    <w:p>
      <w:pPr>
        <w:pStyle w:val="Style179"/>
        <w:ind w:left="360" w:hanging="360"/>
        <w:rPr>
          <w:sz w:val="21"/>
          <w:szCs w:val="21"/>
        </w:rPr>
      </w:pPr>
      <w:r>
        <w:rPr>
          <w:rFonts w:hint="eastAsia"/>
          <w:sz w:val="21"/>
          <w:szCs w:val="21"/>
        </w:rPr>
        <w:t>应收股利</w:t>
      </w:r>
    </w:p>
    <w:p>
      <w:pPr>
        <w:pStyle w:val="Style180"/>
        <w:numPr>
          <w:ilvl w:val="0"/>
          <w:numId w:val="138"/>
        </w:numPr>
        <w:ind w:leftChars="0"/>
        <w:rPr>
          <w:sz w:val="21"/>
          <w:szCs w:val="21"/>
        </w:rPr>
      </w:pPr>
      <w:bookmarkStart w:id="575" w:name="_Hlk533797257"/>
      <w:r>
        <w:rPr>
          <w:rFonts w:hint="eastAsia"/>
          <w:sz w:val="21"/>
          <w:szCs w:val="21"/>
        </w:rPr>
        <w:t>应收股利</w:t>
      </w:r>
    </w:p>
    <w:sdt>
      <w:sdtPr>
        <w:alias w:val="是否适用：母公司应收股利[双击切换]"/>
        <w:tag w:val="_GBC_a52dcf5153694fbe9527781c61a5006e"/>
        <w:id w:val="136787842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138"/>
        </w:numPr>
        <w:ind w:leftChars="0"/>
        <w:rPr>
          <w:sz w:val="21"/>
          <w:szCs w:val="21"/>
        </w:rPr>
      </w:pPr>
      <w:bookmarkStart w:id="576" w:name="_Hlk533797316"/>
      <w:bookmarkEnd w:id="575"/>
      <w:r>
        <w:rPr>
          <w:rFonts w:hint="eastAsia"/>
          <w:sz w:val="21"/>
          <w:szCs w:val="21"/>
        </w:rPr>
        <w:t>重要的账龄超过</w:t>
      </w:r>
      <w:r>
        <w:rPr>
          <w:rFonts w:hint="eastAsia"/>
          <w:sz w:val="21"/>
          <w:szCs w:val="21"/>
        </w:rPr>
        <w:t>1</w:t>
      </w:r>
      <w:r>
        <w:rPr>
          <w:rFonts w:hint="eastAsia"/>
          <w:sz w:val="21"/>
          <w:szCs w:val="21"/>
        </w:rPr>
        <w:t>年的应收股利</w:t>
      </w:r>
    </w:p>
    <w:sdt>
      <w:sdtPr>
        <w:alias w:val="是否适用：母公司重要的账龄超过1年的应收股利[双击切换]"/>
        <w:tag w:val="_GBC_70eb463d08894908bb104ae0b258e76e"/>
        <w:id w:val="171191786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138"/>
        </w:numPr>
        <w:ind w:leftChars="0"/>
        <w:rPr>
          <w:rFonts w:ascii="宋体" w:hAnsi="宋体"/>
          <w:sz w:val="21"/>
          <w:szCs w:val="21"/>
        </w:rPr>
      </w:pPr>
      <w:bookmarkStart w:id="577" w:name="_Hlk153790907"/>
      <w:bookmarkStart w:id="578" w:name="_Hlk154150045"/>
      <w:r>
        <w:rPr>
          <w:rFonts w:ascii="宋体" w:hAnsi="宋体" w:hint="eastAsia"/>
          <w:sz w:val="21"/>
          <w:szCs w:val="21"/>
        </w:rPr>
        <w:t>按坏账计提方法分类披露</w:t>
      </w:r>
    </w:p>
    <w:sdt>
      <w:sdtPr>
        <w:alias w:val="是否适用：母公司按坏账计提方法分类披露[双击切换]"/>
        <w:tag w:val="_GBC_3e6131bf64764260959e58957d1a923e"/>
        <w:id w:val="-432588653"/>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w:t>
      </w:r>
    </w:p>
    <w:sdt>
      <w:sdtPr>
        <w:alias w:val="是否适用：母公司按单项计提坏账准备的详细情况[双击切换]"/>
        <w:tag w:val="_GBC_0bffd65beafa48e6aca929c5c2140787"/>
        <w:id w:val="-147205356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按单项计提坏账准备的说明：</w:t>
      </w:r>
    </w:p>
    <w:sdt>
      <w:sdtPr>
        <w:alias w:val="是否适用：母公司按单项计提坏账准备的说明[双击切换]"/>
        <w:tag w:val="_GBC_3ff3367dda784192860c78e5be49cae0"/>
        <w:id w:val="73582536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宋体" w:hAnsi="宋体"/>
          <w:bCs/>
        </w:rPr>
      </w:pPr>
      <w:r>
        <w:rPr>
          <w:rFonts w:ascii="宋体" w:hAnsi="宋体" w:hint="eastAsia"/>
          <w:bCs/>
        </w:rPr>
        <w:t>按组合计提坏账准备：</w:t>
      </w:r>
    </w:p>
    <w:sdt>
      <w:sdtPr>
        <w:alias w:val="是否适用：母公司按组合计提坏账准备的详细情况[双击切换]"/>
        <w:tag w:val="_GBC_5b769fae73d0491bae227d3968699870"/>
        <w:id w:val="176630839"/>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rPr>
          <w:rFonts w:ascii="宋体" w:hAnsi="宋体"/>
          <w:b/>
          <w:bCs/>
        </w:rPr>
      </w:pPr>
    </w:p>
    <w:p>
      <w:pPr>
        <w:pStyle w:val="Style180"/>
        <w:numPr>
          <w:ilvl w:val="0"/>
          <w:numId w:val="138"/>
        </w:numPr>
        <w:ind w:leftChars="0"/>
        <w:rPr>
          <w:rFonts w:ascii="宋体" w:hAnsi="宋体"/>
          <w:sz w:val="21"/>
          <w:szCs w:val="21"/>
        </w:rPr>
      </w:pPr>
      <w:bookmarkStart w:id="579" w:name="_Hlk533868874"/>
      <w:bookmarkEnd w:id="576"/>
      <w:bookmarkEnd w:id="577"/>
      <w:bookmarkEnd w:id="578"/>
      <w:r>
        <w:rPr>
          <w:rFonts w:ascii="宋体" w:hAnsi="宋体" w:hint="eastAsia"/>
          <w:sz w:val="21"/>
          <w:szCs w:val="21"/>
        </w:rPr>
        <w:t>按预期信用损失一般模型计提坏账准备</w:t>
      </w:r>
    </w:p>
    <w:sdt>
      <w:sdtPr>
        <w:alias w:val="是否适用：母公司应收股利坏账准备调节表[双击切换]"/>
        <w:tag w:val="_GBC_5cbd8c1c52fa42d19db26aadad6a74b8"/>
        <w:id w:val="-199741467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autoSpaceDE w:val="0"/>
        <w:autoSpaceDN w:val="0"/>
        <w:adjustRightInd w:val="0"/>
        <w:ind w:rightChars="50" w:right="105"/>
        <w:rPr>
          <w:rFonts w:ascii="宋体" w:hAnsi="宋体"/>
        </w:rPr>
      </w:pPr>
      <w:r>
        <w:rPr>
          <w:rFonts w:ascii="宋体" w:hAnsi="宋体" w:hint="eastAsia"/>
        </w:rPr>
        <w:t>各阶段划分依据和坏账准备计提比例</w:t>
      </w:r>
    </w:p>
    <w:sdt>
      <w:sdtPr>
        <w:rPr>
          <w:rFonts w:ascii="宋体" w:hAnsi="宋体"/>
          <w:bCs/>
        </w:rPr>
        <w:alias w:val="应收股利各阶段划分依据和坏账准备计提比例"/>
        <w:tag w:val="_GBC_add0117a614f4e33bfb451894481c309"/>
        <w:id w:val="265513092"/>
        <w:placeholder>
          <w:docPart w:val="GBC22222222222222222222222222222"/>
        </w:placeholder>
      </w:sdtPr>
      <w:sdtContent>
        <w:p>
          <w:pPr>
            <w:rPr>
              <w:rFonts w:ascii="宋体" w:hAnsi="宋体"/>
              <w:bCs/>
            </w:rPr>
          </w:pPr>
          <w:r>
            <w:rPr>
              <w:rFonts w:ascii="宋体" w:hAnsi="宋体" w:hint="eastAsia"/>
              <w:bCs/>
            </w:rPr>
            <w:t>-</w:t>
          </w:r>
        </w:p>
      </w:sdtContent>
    </w:sdt>
    <w:p>
      <w:pPr>
        <w:autoSpaceDE w:val="0"/>
        <w:autoSpaceDN w:val="0"/>
        <w:adjustRightInd w:val="0"/>
        <w:ind w:rightChars="50" w:right="105"/>
        <w:rPr>
          <w:rFonts w:ascii="宋体" w:hAnsi="宋体"/>
        </w:rPr>
      </w:pPr>
    </w:p>
    <w:p>
      <w:pPr>
        <w:pStyle w:val="Style201"/>
        <w:rPr>
          <w:rFonts w:ascii="宋体" w:hAnsi="宋体"/>
          <w:sz w:val="21"/>
          <w:szCs w:val="21"/>
        </w:rPr>
      </w:pPr>
      <w:r>
        <w:rPr>
          <w:rFonts w:ascii="宋体" w:hAnsi="宋体" w:hint="eastAsia"/>
          <w:sz w:val="21"/>
          <w:szCs w:val="21"/>
        </w:rPr>
        <w:t>对本期发生损失准备变动的应收股利账面余额显著变动的情况说明：</w:t>
      </w:r>
    </w:p>
    <w:sdt>
      <w:sdtPr>
        <w:rPr>
          <w:rFonts w:hint="eastAsia"/>
        </w:rPr>
        <w:alias w:val="是否适用：母公司应收股利本期发生损失准备变动且账面余额显著变动的情况说明[双击切换]"/>
        <w:tag w:val="_GBC_97e9fe7a49b947f79ce9d174eeaf0f5f"/>
        <w:id w:val="-436827111"/>
        <w:placeholder>
          <w:docPart w:val="GBC22222222222222222222222222222"/>
        </w:placeholder>
      </w:sdtPr>
      <w:sdtContent>
        <w:p>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80"/>
        <w:numPr>
          <w:ilvl w:val="0"/>
          <w:numId w:val="138"/>
        </w:numPr>
        <w:ind w:leftChars="0"/>
      </w:pPr>
      <w:bookmarkStart w:id="580" w:name="_Hlk153792018"/>
      <w:bookmarkStart w:id="581" w:name="_Hlk154150256"/>
      <w:bookmarkEnd w:id="579"/>
      <w:r>
        <w:rPr>
          <w:rFonts w:hint="eastAsia"/>
        </w:rPr>
        <w:t>坏账准备的情况</w:t>
      </w:r>
    </w:p>
    <w:sdt>
      <w:sdtPr>
        <w:alias w:val="是否适用：母公司坏账准备情况[双击切换]"/>
        <w:tag w:val="_GBC_821565a30d3745e0bc44de118b7dee6f"/>
        <w:id w:val="66161636"/>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其中本期坏账准备收回或转回金额重要的：</w:t>
      </w:r>
    </w:p>
    <w:sdt>
      <w:sdtPr>
        <w:alias w:val="是否适用：母公司本期坏账准备收回或转回金额重要的[双击切换]"/>
        <w:tag w:val="_GBC_0d1ed1559d1344db8b219f59e8d21024"/>
        <w:id w:val="-159238299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其他说明：</w:t>
      </w:r>
    </w:p>
    <w:sdt>
      <w:sdtPr>
        <w:alias w:val="母公司坏账准备情况的说明"/>
        <w:tag w:val="_GBC_1ed1f4303f9641fba538e08ef13fe5e7"/>
        <w:id w:val="1523515479"/>
        <w:placeholder>
          <w:docPart w:val="GBC22222222222222222222222222222"/>
        </w:placeholder>
      </w:sdtPr>
      <w:sdtContent>
        <w:p>
          <w:pPr>
            <w:ind w:rightChars="20" w:right="42"/>
          </w:pPr>
          <w:r>
            <w:rPr>
              <w:rFonts w:hint="eastAsia"/>
            </w:rPr>
            <w:t>-</w:t>
          </w:r>
        </w:p>
      </w:sdtContent>
    </w:sdt>
    <w:p>
      <w:pPr>
        <w:ind w:rightChars="-759" w:right="-1594"/>
      </w:pPr>
    </w:p>
    <w:p>
      <w:pPr>
        <w:pStyle w:val="Style180"/>
        <w:numPr>
          <w:ilvl w:val="0"/>
          <w:numId w:val="138"/>
        </w:numPr>
        <w:ind w:leftChars="0"/>
      </w:pPr>
      <w:bookmarkStart w:id="582" w:name="_Hlk155883151"/>
      <w:r>
        <w:rPr>
          <w:rFonts w:hint="eastAsia"/>
        </w:rPr>
        <w:t>本期实际核销的应收股利情况</w:t>
      </w:r>
    </w:p>
    <w:sdt>
      <w:sdtPr>
        <w:alias w:val="是否适用：母公司实际核销的情况[双击切换]"/>
        <w:tag w:val="_GBC_1b5ee2d7fd5a4b549b2a2bd673f1698a"/>
        <w:id w:val="156182877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582"/>
    <w:p>
      <w:pPr>
        <w:pStyle w:val="Style217"/>
      </w:pPr>
      <w:r>
        <w:rPr>
          <w:rFonts w:hint="eastAsia"/>
        </w:rPr>
        <w:t>其中重要的应收股利核销情况</w:t>
      </w:r>
    </w:p>
    <w:sdt>
      <w:sdtPr>
        <w:rPr>
          <w:rFonts w:hint="eastAsia"/>
        </w:rPr>
        <w:alias w:val="是否适用：母公司重要的核销情况[双击切换]"/>
        <w:tag w:val="_GBC_2151c3ad65384379897352f370874db1"/>
        <w:id w:val="-35696602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核销说明：</w:t>
      </w:r>
    </w:p>
    <w:sdt>
      <w:sdtPr>
        <w:alias w:val="是否适用：母公司核销说明[双击切换]"/>
        <w:tag w:val="_GBC_f8d1d851a8a641b3b3733ca0037885d1"/>
        <w:id w:val="-2077343243"/>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217"/>
      </w:pPr>
      <w:bookmarkStart w:id="583" w:name="_Hlk533797406"/>
      <w:bookmarkEnd w:id="580"/>
      <w:bookmarkEnd w:id="581"/>
      <w:r>
        <w:rPr>
          <w:rFonts w:hint="eastAsia"/>
        </w:rPr>
        <w:t>其他说明：</w:t>
      </w:r>
    </w:p>
    <w:sdt>
      <w:sdtPr>
        <w:alias w:val="是否适用：母公司应收股利其他说明[双击切换]"/>
        <w:tag w:val="_GBC_75450c3c0332439986937f5dec59f65c"/>
        <w:id w:val="-117789030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583"/>
    <w:p>
      <w:pPr>
        <w:pStyle w:val="Style217"/>
      </w:pPr>
    </w:p>
    <w:p>
      <w:pPr>
        <w:pStyle w:val="Style179"/>
        <w:ind w:left="360" w:hanging="360"/>
      </w:pPr>
      <w:r>
        <w:rPr>
          <w:rFonts w:hint="eastAsia"/>
        </w:rPr>
        <w:t>其他应收款</w:t>
      </w:r>
    </w:p>
    <w:p>
      <w:pPr>
        <w:pStyle w:val="Style180"/>
        <w:numPr>
          <w:ilvl w:val="0"/>
          <w:numId w:val="138"/>
        </w:numPr>
        <w:ind w:leftChars="0"/>
      </w:pPr>
      <w:bookmarkStart w:id="584" w:name="_Hlk153797719"/>
      <w:bookmarkStart w:id="585" w:name="_Hlk533797447"/>
      <w:r>
        <w:rPr>
          <w:rFonts w:hint="eastAsia"/>
        </w:rPr>
        <w:t>按账龄披露</w:t>
      </w:r>
    </w:p>
    <w:sdt>
      <w:sdtPr>
        <w:alias w:val="是否适用：母公司其他应收款按账龄披露[双击切换]"/>
        <w:tag w:val="_GBC_5c11b96990fa439da812b87b47ed4c80"/>
        <w:id w:val="214469244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其他应收款按账龄披露"/>
          <w:tag w:val="_GBC_41616ef98f834aa2b100f687773d3969"/>
          <w:id w:val="19928318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其他应收款按账龄披露"/>
          <w:tag w:val="_GBC_5e3917487f6647c3bad62a8fb87ea91e"/>
          <w:id w:val="6870330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072"/>
        <w:gridCol w:w="2993"/>
        <w:gridCol w:w="2993"/>
      </w:tblGrid>
      <w:tr>
        <w:trPr>
          <w:cantSplit/>
        </w:trPr>
        <w:sdt>
          <w:sdtPr>
            <w:tag w:val="_PLD_e6b4d3ce2efb49849027845f309f652a"/>
            <w:id w:val="-1311786272"/>
          </w:sdtPr>
          <w:sdtContent>
            <w:tc>
              <w:tcPr>
                <w:tcW w:w="3072"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账龄</w:t>
                </w:r>
              </w:p>
            </w:tc>
          </w:sdtContent>
        </w:sdt>
        <w:sdt>
          <w:sdtPr>
            <w:tag w:val="_PLD_2a2524c4aa88497fa0bf73f43366d799"/>
            <w:id w:val="-2103098511"/>
          </w:sdtPr>
          <w:sdtContent>
            <w:tc>
              <w:tcPr>
                <w:tcW w:w="2993"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期末账面余额</w:t>
                </w:r>
              </w:p>
            </w:tc>
          </w:sdtContent>
        </w:sdt>
        <w:tc>
          <w:tcPr>
            <w:tcW w:w="2993" w:type="dxa"/>
            <w:tcBorders>
              <w:top w:val="single" w:sz="4" w:space="0" w:color="auto"/>
              <w:left w:val="single" w:sz="4" w:space="0" w:color="auto"/>
              <w:bottom w:val="single" w:sz="4" w:space="0" w:color="auto"/>
              <w:right w:val="single" w:sz="4" w:space="0" w:color="auto"/>
            </w:tcBorders>
            <w:vAlign w:val="center"/>
          </w:tcPr>
          <w:sdt>
            <w:sdtPr>
              <w:tag w:val="_PLD_63769de747ae44d5b345aed18107390b"/>
              <w:id w:val="-1685360072"/>
            </w:sdtPr>
            <w:sdtContent>
              <w:p>
                <w:pPr>
                  <w:jc w:val="center"/>
                </w:pPr>
                <w:r>
                  <w:rPr>
                    <w:rFonts w:hint="eastAsia"/>
                  </w:rPr>
                  <w:t>期初账面余额</w:t>
                </w:r>
              </w:p>
            </w:sdtContent>
          </w:sdt>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1年以内（含1年）</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31,146,606</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41,929,461</w:t>
            </w:r>
          </w:p>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1至2年</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31,271,795</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61,231</w:t>
            </w:r>
          </w:p>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2至3年</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1,881</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1,679</w:t>
            </w:r>
          </w:p>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3年以上</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91,744</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96,649</w:t>
            </w:r>
          </w:p>
        </w:tc>
      </w:tr>
      <w:tr>
        <w:trPr>
          <w:cantSplit/>
        </w:trPr>
        <w:tc>
          <w:tcPr>
            <w:tcW w:w="3072"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62,512,026</w:t>
            </w:r>
          </w:p>
        </w:tc>
        <w:tc>
          <w:tcPr>
            <w:tcW w:w="2993" w:type="dxa"/>
            <w:tcBorders>
              <w:top w:val="single" w:sz="4" w:space="0" w:color="auto"/>
              <w:left w:val="single" w:sz="4" w:space="0" w:color="auto"/>
              <w:bottom w:val="single" w:sz="4" w:space="0" w:color="auto"/>
              <w:right w:val="single" w:sz="4" w:space="0" w:color="auto"/>
            </w:tcBorders>
          </w:tcPr>
          <w:p>
            <w:pPr>
              <w:jc w:val="right"/>
              <w:rPr>
                <w:rFonts w:ascii="宋体" w:hAnsi="宋体"/>
              </w:rPr>
            </w:pPr>
            <w:r>
              <w:rPr>
                <w:rFonts w:ascii="宋体" w:hAnsi="宋体"/>
              </w:rPr>
              <w:t>42,089,020</w:t>
            </w:r>
          </w:p>
        </w:tc>
      </w:tr>
    </w:tbl>
    <w:p>
      <w:pPr>
        <w:pStyle w:val="Style217"/>
      </w:pPr>
    </w:p>
    <w:p>
      <w:pPr>
        <w:pStyle w:val="Style217"/>
      </w:pPr>
    </w:p>
    <w:bookmarkEnd w:id="584"/>
    <w:p>
      <w:pPr>
        <w:pStyle w:val="Style180"/>
        <w:numPr>
          <w:ilvl w:val="0"/>
          <w:numId w:val="138"/>
        </w:numPr>
        <w:ind w:leftChars="0"/>
      </w:pPr>
      <w:r>
        <w:rPr>
          <w:rFonts w:hint="eastAsia"/>
        </w:rPr>
        <w:t>按款项性质分类情况</w:t>
      </w:r>
    </w:p>
    <w:p>
      <w:pPr>
        <w:pStyle w:val="Style217"/>
      </w:pPr>
      <w:sdt>
        <w:sdtPr>
          <w:alias w:val="是否适用：母公司其他应收款按款项性质分类情况[双击切换]"/>
          <w:tag w:val="_GBC_a5e5418d19394a1c8f8093184d9b360a"/>
          <w:id w:val="409042007"/>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母公司其他应收款按款项性质分类情况"/>
          <w:tag w:val="_GBC_451485fc33dc4b2c9be5a44730242ca7"/>
          <w:id w:val="20723881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财务附注：母公司其他应收款按款项性质分类情况"/>
          <w:tag w:val="_GBC_f3e8ad411fc545a19718a43203281efd"/>
          <w:id w:val="17644158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4"/>
        <w:tblW w:w="9047" w:type="dxa"/>
        <w:tblInd w:w="0" w:type="dxa"/>
        <w:tblLayout w:type="fixed"/>
        <w:tblLook w:val="04A0" w:firstRow="1" w:lastRow="0" w:firstColumn="1" w:lastColumn="0" w:noHBand="0" w:noVBand="1"/>
      </w:tblPr>
      <w:tblGrid>
        <w:gridCol w:w="3076"/>
        <w:gridCol w:w="2980"/>
        <w:gridCol w:w="2991"/>
      </w:tblGrid>
      <w:tr>
        <w:sdt>
          <w:sdtPr>
            <w:tag w:val="_PLD_fa2a2127303b4deebb2bcaea193eb6d9"/>
            <w:id w:val="-818038048"/>
          </w:sdtPr>
          <w:sdtContent>
            <w:tc>
              <w:tcPr>
                <w:tcW w:w="3076" w:type="dxa"/>
                <w:vAlign w:val="center"/>
              </w:tcPr>
              <w:p>
                <w:pPr>
                  <w:jc w:val="center"/>
                </w:pPr>
                <w:r>
                  <w:rPr>
                    <w:rFonts w:hint="eastAsia"/>
                  </w:rPr>
                  <w:t>款项性质</w:t>
                </w:r>
              </w:p>
            </w:tc>
          </w:sdtContent>
        </w:sdt>
        <w:sdt>
          <w:sdtPr>
            <w:tag w:val="_PLD_aa55d719329144e5a0eafd36222d0851"/>
            <w:id w:val="-1981686513"/>
          </w:sdtPr>
          <w:sdtContent>
            <w:tc>
              <w:tcPr>
                <w:tcW w:w="2980" w:type="dxa"/>
                <w:vAlign w:val="center"/>
              </w:tcPr>
              <w:p>
                <w:pPr>
                  <w:jc w:val="center"/>
                </w:pPr>
                <w:r>
                  <w:rPr>
                    <w:rFonts w:hint="eastAsia"/>
                  </w:rPr>
                  <w:t>期末账面余额</w:t>
                </w:r>
              </w:p>
            </w:tc>
          </w:sdtContent>
        </w:sdt>
        <w:sdt>
          <w:sdtPr>
            <w:tag w:val="_PLD_146282129b6a4b52a6963dad9647679a"/>
            <w:id w:val="-281886714"/>
          </w:sdtPr>
          <w:sdtContent>
            <w:tc>
              <w:tcPr>
                <w:tcW w:w="2991" w:type="dxa"/>
                <w:vAlign w:val="center"/>
              </w:tcPr>
              <w:p>
                <w:pPr>
                  <w:jc w:val="center"/>
                </w:pPr>
                <w:r>
                  <w:rPr>
                    <w:rFonts w:hint="eastAsia"/>
                  </w:rPr>
                  <w:t>期初账面余额</w:t>
                </w:r>
              </w:p>
            </w:tc>
          </w:sdtContent>
        </w:sdt>
      </w:tr>
      <w:tr>
        <w:tc>
          <w:tcPr>
            <w:tcW w:w="3076" w:type="dxa"/>
            <w:vAlign w:val="center"/>
          </w:tcPr>
          <w:p>
            <w:pPr>
              <w:rPr>
                <w:highlight w:val="yellow"/>
              </w:rPr>
            </w:pPr>
            <w:r>
              <w:rPr>
                <w:rFonts w:ascii="宋体" w:hAnsi="宋体" w:cs="宋体" w:hint="eastAsia"/>
              </w:rPr>
              <w:t>往来款</w:t>
            </w:r>
          </w:p>
        </w:tc>
        <w:tc>
          <w:tcPr>
            <w:tcW w:w="2980" w:type="dxa"/>
            <w:vAlign w:val="center"/>
          </w:tcPr>
          <w:p>
            <w:pPr>
              <w:jc w:val="right"/>
              <w:rPr>
                <w:rFonts w:ascii="宋体" w:hAnsi="宋体"/>
              </w:rPr>
            </w:pPr>
            <w:r>
              <w:rPr>
                <w:rFonts w:ascii="宋体" w:hAnsi="宋体" w:cs="宋体" w:hint="eastAsia"/>
              </w:rPr>
              <w:t>43,431,800</w:t>
            </w:r>
          </w:p>
        </w:tc>
        <w:tc>
          <w:tcPr>
            <w:tcW w:w="2991" w:type="dxa"/>
          </w:tcPr>
          <w:p>
            <w:pPr>
              <w:jc w:val="right"/>
              <w:rPr>
                <w:rFonts w:ascii="宋体" w:hAnsi="宋体"/>
              </w:rPr>
            </w:pPr>
            <w:r>
              <w:rPr>
                <w:rFonts w:ascii="宋体" w:hAnsi="宋体"/>
              </w:rPr>
              <w:t>41,760,015</w:t>
            </w:r>
          </w:p>
        </w:tc>
      </w:tr>
      <w:tr>
        <w:tc>
          <w:tcPr>
            <w:tcW w:w="3076" w:type="dxa"/>
            <w:vAlign w:val="center"/>
          </w:tcPr>
          <w:p>
            <w:pPr>
              <w:rPr>
                <w:highlight w:val="yellow"/>
              </w:rPr>
            </w:pPr>
            <w:r>
              <w:rPr>
                <w:rFonts w:ascii="宋体" w:hAnsi="宋体" w:cs="宋体" w:hint="eastAsia"/>
              </w:rPr>
              <w:t>预计无法收回的款项</w:t>
            </w:r>
          </w:p>
        </w:tc>
        <w:tc>
          <w:tcPr>
            <w:tcW w:w="2980" w:type="dxa"/>
            <w:vAlign w:val="center"/>
          </w:tcPr>
          <w:p>
            <w:pPr>
              <w:jc w:val="right"/>
              <w:rPr>
                <w:rFonts w:ascii="宋体" w:hAnsi="宋体"/>
              </w:rPr>
            </w:pPr>
            <w:r>
              <w:rPr>
                <w:rFonts w:ascii="宋体" w:hAnsi="宋体" w:cs="宋体" w:hint="eastAsia"/>
              </w:rPr>
              <w:t>650,860</w:t>
            </w:r>
          </w:p>
        </w:tc>
        <w:tc>
          <w:tcPr>
            <w:tcW w:w="2991" w:type="dxa"/>
          </w:tcPr>
          <w:p>
            <w:pPr>
              <w:jc w:val="right"/>
              <w:rPr>
                <w:rFonts w:ascii="宋体" w:hAnsi="宋体"/>
              </w:rPr>
            </w:pPr>
            <w:r>
              <w:rPr>
                <w:rFonts w:ascii="宋体" w:hAnsi="宋体"/>
              </w:rPr>
              <w:t>100,572</w:t>
            </w:r>
          </w:p>
        </w:tc>
      </w:tr>
      <w:tr>
        <w:tc>
          <w:tcPr>
            <w:tcW w:w="3076" w:type="dxa"/>
            <w:vAlign w:val="center"/>
          </w:tcPr>
          <w:p>
            <w:pPr>
              <w:rPr>
                <w:highlight w:val="yellow"/>
              </w:rPr>
            </w:pPr>
            <w:r>
              <w:rPr>
                <w:rFonts w:ascii="宋体" w:hAnsi="宋体" w:cs="宋体" w:hint="eastAsia"/>
              </w:rPr>
              <w:t>应收代垫款</w:t>
            </w:r>
          </w:p>
        </w:tc>
        <w:tc>
          <w:tcPr>
            <w:tcW w:w="2980" w:type="dxa"/>
            <w:vAlign w:val="center"/>
          </w:tcPr>
          <w:p>
            <w:pPr>
              <w:jc w:val="right"/>
              <w:rPr>
                <w:rFonts w:ascii="宋体" w:hAnsi="宋体"/>
              </w:rPr>
            </w:pPr>
            <w:r>
              <w:rPr>
                <w:rFonts w:ascii="宋体" w:hAnsi="宋体" w:cs="宋体" w:hint="eastAsia"/>
              </w:rPr>
              <w:t>29,035</w:t>
            </w:r>
          </w:p>
        </w:tc>
        <w:tc>
          <w:tcPr>
            <w:tcW w:w="2991" w:type="dxa"/>
          </w:tcPr>
          <w:p>
            <w:pPr>
              <w:jc w:val="right"/>
              <w:rPr>
                <w:rFonts w:ascii="宋体" w:hAnsi="宋体"/>
              </w:rPr>
            </w:pPr>
            <w:r>
              <w:rPr>
                <w:rFonts w:ascii="宋体" w:hAnsi="宋体"/>
              </w:rPr>
              <w:t>16,477</w:t>
            </w:r>
          </w:p>
        </w:tc>
      </w:tr>
      <w:tr>
        <w:tc>
          <w:tcPr>
            <w:tcW w:w="3076" w:type="dxa"/>
            <w:vAlign w:val="center"/>
          </w:tcPr>
          <w:p>
            <w:pPr>
              <w:rPr>
                <w:highlight w:val="yellow"/>
              </w:rPr>
            </w:pPr>
            <w:r>
              <w:rPr>
                <w:rFonts w:ascii="宋体" w:hAnsi="宋体" w:cs="宋体" w:hint="eastAsia"/>
              </w:rPr>
              <w:t>押金保证金</w:t>
            </w:r>
          </w:p>
        </w:tc>
        <w:tc>
          <w:tcPr>
            <w:tcW w:w="2980" w:type="dxa"/>
            <w:vAlign w:val="center"/>
          </w:tcPr>
          <w:p>
            <w:pPr>
              <w:jc w:val="right"/>
              <w:rPr>
                <w:rFonts w:ascii="宋体" w:hAnsi="宋体"/>
              </w:rPr>
            </w:pPr>
            <w:r>
              <w:rPr>
                <w:rFonts w:ascii="宋体" w:hAnsi="宋体" w:cs="宋体" w:hint="eastAsia"/>
              </w:rPr>
              <w:t>1,669</w:t>
            </w:r>
          </w:p>
        </w:tc>
        <w:tc>
          <w:tcPr>
            <w:tcW w:w="2991" w:type="dxa"/>
          </w:tcPr>
          <w:p>
            <w:pPr>
              <w:jc w:val="right"/>
              <w:rPr>
                <w:rFonts w:ascii="宋体" w:hAnsi="宋体"/>
              </w:rPr>
            </w:pPr>
            <w:r>
              <w:rPr>
                <w:rFonts w:ascii="宋体" w:hAnsi="宋体"/>
              </w:rPr>
              <w:t>201,005</w:t>
            </w:r>
          </w:p>
        </w:tc>
      </w:tr>
      <w:tr>
        <w:tc>
          <w:tcPr>
            <w:tcW w:w="3076" w:type="dxa"/>
            <w:vAlign w:val="center"/>
          </w:tcPr>
          <w:p>
            <w:pPr>
              <w:rPr>
                <w:highlight w:val="yellow"/>
              </w:rPr>
            </w:pPr>
            <w:r>
              <w:rPr>
                <w:rFonts w:ascii="宋体" w:hAnsi="宋体" w:cs="宋体" w:hint="eastAsia"/>
              </w:rPr>
              <w:t>备用金</w:t>
            </w:r>
          </w:p>
        </w:tc>
        <w:tc>
          <w:tcPr>
            <w:tcW w:w="2980" w:type="dxa"/>
            <w:vAlign w:val="center"/>
          </w:tcPr>
          <w:p>
            <w:pPr>
              <w:jc w:val="right"/>
              <w:rPr>
                <w:rFonts w:ascii="宋体" w:hAnsi="宋体"/>
              </w:rPr>
            </w:pPr>
            <w:r>
              <w:rPr>
                <w:rFonts w:ascii="宋体" w:hAnsi="宋体" w:cs="宋体" w:hint="eastAsia"/>
              </w:rPr>
              <w:t>2,659</w:t>
            </w:r>
          </w:p>
        </w:tc>
        <w:tc>
          <w:tcPr>
            <w:tcW w:w="2991" w:type="dxa"/>
          </w:tcPr>
          <w:p>
            <w:pPr>
              <w:jc w:val="right"/>
              <w:rPr>
                <w:rFonts w:ascii="宋体" w:hAnsi="宋体"/>
              </w:rPr>
            </w:pPr>
            <w:r>
              <w:rPr>
                <w:rFonts w:ascii="宋体" w:hAnsi="宋体"/>
              </w:rPr>
              <w:t>10,951</w:t>
            </w:r>
          </w:p>
        </w:tc>
      </w:tr>
      <w:tr>
        <w:tc>
          <w:tcPr>
            <w:tcW w:w="3076" w:type="dxa"/>
            <w:vAlign w:val="center"/>
          </w:tcPr>
          <w:p>
            <w:pPr>
              <w:pStyle w:val="Style93"/>
            </w:pPr>
            <w:r>
              <w:rPr>
                <w:rFonts w:ascii="宋体" w:hAnsi="宋体" w:cs="宋体" w:hint="eastAsia"/>
              </w:rPr>
              <w:t>复兴一期承诺期业绩补偿</w:t>
            </w:r>
          </w:p>
        </w:tc>
        <w:tc>
          <w:tcPr>
            <w:tcW w:w="2980" w:type="dxa"/>
            <w:vAlign w:val="center"/>
          </w:tcPr>
          <w:p>
            <w:pPr>
              <w:jc w:val="right"/>
              <w:rPr>
                <w:rFonts w:ascii="宋体" w:hAnsi="宋体"/>
              </w:rPr>
            </w:pPr>
            <w:r>
              <w:rPr>
                <w:rFonts w:ascii="宋体" w:hAnsi="宋体" w:cs="宋体" w:hint="eastAsia"/>
              </w:rPr>
              <w:t>18,360,561</w:t>
            </w:r>
          </w:p>
        </w:tc>
        <w:tc>
          <w:tcPr>
            <w:tcW w:w="2991" w:type="dxa"/>
          </w:tcPr>
          <w:p>
            <w:pPr>
              <w:jc w:val="right"/>
              <w:rPr>
                <w:rFonts w:ascii="宋体" w:hAnsi="宋体"/>
              </w:rPr>
            </w:pPr>
          </w:p>
        </w:tc>
      </w:tr>
      <w:tr>
        <w:tc>
          <w:tcPr>
            <w:tcW w:w="3076" w:type="dxa"/>
            <w:vAlign w:val="center"/>
          </w:tcPr>
          <w:p>
            <w:pPr>
              <w:rPr>
                <w:highlight w:val="yellow"/>
              </w:rPr>
            </w:pPr>
            <w:r>
              <w:rPr>
                <w:rFonts w:ascii="宋体" w:hAnsi="宋体" w:cs="宋体" w:hint="eastAsia"/>
              </w:rPr>
              <w:t>其他</w:t>
            </w:r>
          </w:p>
        </w:tc>
        <w:tc>
          <w:tcPr>
            <w:tcW w:w="2980" w:type="dxa"/>
            <w:vAlign w:val="center"/>
          </w:tcPr>
          <w:p>
            <w:pPr>
              <w:jc w:val="right"/>
              <w:rPr>
                <w:rFonts w:ascii="宋体" w:hAnsi="宋体"/>
              </w:rPr>
            </w:pPr>
            <w:r>
              <w:rPr>
                <w:rFonts w:ascii="宋体" w:hAnsi="宋体" w:cs="宋体" w:hint="eastAsia"/>
              </w:rPr>
              <w:t>35,442</w:t>
            </w:r>
          </w:p>
        </w:tc>
        <w:tc>
          <w:tcPr>
            <w:tcW w:w="2991" w:type="dxa"/>
          </w:tcPr>
          <w:p>
            <w:pPr>
              <w:jc w:val="right"/>
              <w:rPr>
                <w:rFonts w:ascii="宋体" w:hAnsi="宋体"/>
              </w:rPr>
            </w:pPr>
          </w:p>
        </w:tc>
      </w:tr>
      <w:tr>
        <w:tc>
          <w:tcPr>
            <w:tcW w:w="3076" w:type="dxa"/>
            <w:vAlign w:val="center"/>
          </w:tcPr>
          <w:p>
            <w:pPr>
              <w:jc w:val="center"/>
            </w:pPr>
            <w:r>
              <w:rPr>
                <w:rFonts w:ascii="宋体" w:hAnsi="宋体" w:cs="宋体" w:hint="eastAsia"/>
                <w:u w:val="double"/>
              </w:rPr>
              <w:t>合计</w:t>
            </w:r>
          </w:p>
        </w:tc>
        <w:tc>
          <w:tcPr>
            <w:tcW w:w="2980" w:type="dxa"/>
            <w:vAlign w:val="center"/>
          </w:tcPr>
          <w:p>
            <w:pPr>
              <w:jc w:val="right"/>
              <w:rPr>
                <w:rFonts w:ascii="宋体" w:hAnsi="宋体"/>
              </w:rPr>
            </w:pPr>
            <w:r>
              <w:rPr>
                <w:rFonts w:ascii="宋体" w:hAnsi="宋体" w:cs="宋体" w:hint="eastAsia"/>
                <w:u w:val="double"/>
              </w:rPr>
              <w:t>62,512,026</w:t>
            </w:r>
          </w:p>
        </w:tc>
        <w:tc>
          <w:tcPr>
            <w:tcW w:w="2991" w:type="dxa"/>
          </w:tcPr>
          <w:p>
            <w:pPr>
              <w:jc w:val="right"/>
              <w:rPr>
                <w:rFonts w:ascii="宋体" w:hAnsi="宋体"/>
              </w:rPr>
            </w:pPr>
            <w:r>
              <w:rPr>
                <w:rFonts w:ascii="宋体" w:hAnsi="宋体"/>
              </w:rPr>
              <w:t>42,089,020</w:t>
            </w:r>
          </w:p>
        </w:tc>
      </w:tr>
    </w:tbl>
    <w:p>
      <w:pPr>
        <w:pStyle w:val="Style217"/>
      </w:pPr>
    </w:p>
    <w:p>
      <w:pPr>
        <w:pStyle w:val="Style180"/>
        <w:numPr>
          <w:ilvl w:val="0"/>
          <w:numId w:val="138"/>
        </w:numPr>
        <w:ind w:leftChars="0"/>
      </w:pPr>
      <w:bookmarkStart w:id="586" w:name="_Hlk533870927"/>
      <w:bookmarkEnd w:id="585"/>
      <w:r>
        <w:rPr>
          <w:rFonts w:hint="eastAsia"/>
        </w:rPr>
        <w:t>坏账准备计提情况</w:t>
      </w:r>
    </w:p>
    <w:sdt>
      <w:sdtPr>
        <w:alias w:val="是否适用：母公司其他应收款坏账准备调节表[双击切换]"/>
        <w:tag w:val="_GBC_34d55fda2adc4508bb77a03583cd3d2d"/>
        <w:id w:val="11095309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b494dbb0c2794f39b9fb29a12fc478f8"/>
          <w:id w:val="10855790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其他应收款坏账准备调节表"/>
          <w:tag w:val="_GBC_a5fe64b13e1448e3b1446e3cf0428cfc"/>
          <w:id w:val="-10273288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560"/>
        <w:gridCol w:w="1985"/>
        <w:gridCol w:w="1985"/>
        <w:gridCol w:w="1706"/>
      </w:tblGrid>
      <w:tr>
        <w:sdt>
          <w:sdtPr>
            <w:tag w:val="_PLD_21b2d66f9e3e44f9a3867e2f9fa483ea"/>
            <w:id w:val="1945487616"/>
          </w:sdtPr>
          <w:sdtContent>
            <w:tc>
              <w:tcPr>
                <w:tcW w:w="1811" w:type="dxa"/>
                <w:vMerge w:val="restart"/>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620022524"/>
          </w:sdtPr>
          <w:sdtContent>
            <w:tc>
              <w:tcPr>
                <w:tcW w:w="1560"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215663246"/>
          </w:sdtPr>
          <w:sdtContent>
            <w:tc>
              <w:tcPr>
                <w:tcW w:w="1985"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2121520591"/>
          </w:sdtPr>
          <w:sdtContent>
            <w:tc>
              <w:tcPr>
                <w:tcW w:w="1985"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40806886"/>
          </w:sdtPr>
          <w:sdtContent>
            <w:tc>
              <w:tcPr>
                <w:tcW w:w="1706" w:type="dxa"/>
                <w:vMerge w:val="restart"/>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tc>
          <w:tcPr>
            <w:tcW w:w="1811" w:type="dxa"/>
            <w:vMerge/>
            <w:vAlign w:val="center"/>
          </w:tcPr>
          <w:p>
            <w:pPr>
              <w:jc w:val="center"/>
              <w:rPr>
                <w:color w:val="008000"/>
              </w:rPr>
            </w:pPr>
          </w:p>
        </w:tc>
        <w:sdt>
          <w:sdtPr>
            <w:tag w:val="_PLD_6c31319b241149a587899b0690e3641d"/>
            <w:id w:val="-771617577"/>
          </w:sdtPr>
          <w:sdtContent>
            <w:tc>
              <w:tcPr>
                <w:tcW w:w="1560"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661861064"/>
          </w:sdtPr>
          <w:sdtContent>
            <w:tc>
              <w:tcPr>
                <w:tcW w:w="1985"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947665654"/>
          </w:sdtPr>
          <w:sdtContent>
            <w:tc>
              <w:tcPr>
                <w:tcW w:w="1985" w:type="dxa"/>
                <w:vAlign w:val="center"/>
              </w:tcPr>
              <w:p>
                <w:pPr>
                  <w:pStyle w:val="Style123"/>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1706" w:type="dxa"/>
            <w:vMerge/>
            <w:vAlign w:val="center"/>
          </w:tcPr>
          <w:p>
            <w:pPr>
              <w:jc w:val="center"/>
              <w:rPr>
                <w:color w:val="008000"/>
              </w:rPr>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1月1日余额</w:t>
            </w:r>
          </w:p>
        </w:tc>
        <w:tc>
          <w:tcPr>
            <w:tcW w:w="1560" w:type="dxa"/>
            <w:vAlign w:val="center"/>
          </w:tcPr>
          <w:p>
            <w:pPr>
              <w:jc w:val="right"/>
            </w:pPr>
          </w:p>
        </w:tc>
        <w:tc>
          <w:tcPr>
            <w:tcW w:w="1985" w:type="dxa"/>
            <w:vAlign w:val="center"/>
          </w:tcPr>
          <w:p>
            <w:pPr>
              <w:jc w:val="right"/>
              <w:rPr>
                <w:rFonts w:ascii="宋体" w:hAnsi="宋体"/>
              </w:rPr>
            </w:pPr>
            <w:r>
              <w:rPr>
                <w:rFonts w:ascii="宋体" w:hAnsi="宋体"/>
              </w:rPr>
              <w:t>9,189</w:t>
            </w:r>
          </w:p>
        </w:tc>
        <w:tc>
          <w:tcPr>
            <w:tcW w:w="1985" w:type="dxa"/>
            <w:vAlign w:val="center"/>
          </w:tcPr>
          <w:p>
            <w:pPr>
              <w:jc w:val="right"/>
              <w:rPr>
                <w:rFonts w:ascii="宋体" w:hAnsi="宋体"/>
              </w:rPr>
            </w:pPr>
            <w:r>
              <w:rPr>
                <w:rFonts w:ascii="宋体" w:hAnsi="宋体"/>
              </w:rPr>
              <w:t>100,572</w:t>
            </w:r>
          </w:p>
        </w:tc>
        <w:tc>
          <w:tcPr>
            <w:tcW w:w="1706" w:type="dxa"/>
            <w:vAlign w:val="center"/>
          </w:tcPr>
          <w:p>
            <w:pPr>
              <w:jc w:val="right"/>
              <w:rPr>
                <w:rFonts w:ascii="宋体" w:hAnsi="宋体"/>
              </w:rPr>
            </w:pPr>
            <w:r>
              <w:rPr>
                <w:rFonts w:ascii="宋体" w:hAnsi="宋体"/>
              </w:rPr>
              <w:t>109,761</w:t>
            </w: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2025年1月1日余额在本期</w:t>
            </w:r>
          </w:p>
        </w:tc>
        <w:tc>
          <w:tcPr>
            <w:tcW w:w="1560" w:type="dxa"/>
            <w:vAlign w:val="center"/>
          </w:tcPr>
          <w:p>
            <w:pPr>
              <w:jc w:val="right"/>
            </w:pPr>
          </w:p>
        </w:tc>
        <w:tc>
          <w:tcPr>
            <w:tcW w:w="1985" w:type="dxa"/>
            <w:vAlign w:val="center"/>
          </w:tcPr>
          <w:p>
            <w:pPr>
              <w:jc w:val="right"/>
              <w:rPr>
                <w:rFonts w:ascii="宋体" w:hAnsi="宋体"/>
              </w:rPr>
            </w:pPr>
          </w:p>
        </w:tc>
        <w:tc>
          <w:tcPr>
            <w:tcW w:w="1985" w:type="dxa"/>
            <w:vAlign w:val="center"/>
          </w:tcPr>
          <w:p>
            <w:pPr>
              <w:jc w:val="right"/>
              <w:rPr>
                <w:rFonts w:ascii="宋体" w:hAnsi="宋体"/>
              </w:rPr>
            </w:pPr>
          </w:p>
        </w:tc>
        <w:tc>
          <w:tcPr>
            <w:tcW w:w="1706" w:type="dxa"/>
            <w:vAlign w:val="center"/>
          </w:tcPr>
          <w:p>
            <w:pPr>
              <w:jc w:val="right"/>
              <w:rPr>
                <w:rFonts w:ascii="宋体" w:hAnsi="宋体"/>
              </w:rPr>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1560" w:type="dxa"/>
            <w:vAlign w:val="center"/>
          </w:tcPr>
          <w:p>
            <w:pPr>
              <w:jc w:val="right"/>
            </w:pPr>
          </w:p>
        </w:tc>
        <w:tc>
          <w:tcPr>
            <w:tcW w:w="1985" w:type="dxa"/>
            <w:vAlign w:val="center"/>
          </w:tcPr>
          <w:p>
            <w:pPr>
              <w:jc w:val="right"/>
              <w:rPr>
                <w:rFonts w:ascii="宋体" w:hAnsi="宋体"/>
              </w:rPr>
            </w:pPr>
          </w:p>
        </w:tc>
        <w:tc>
          <w:tcPr>
            <w:tcW w:w="1985" w:type="dxa"/>
            <w:vAlign w:val="center"/>
          </w:tcPr>
          <w:p>
            <w:pPr>
              <w:jc w:val="right"/>
              <w:rPr>
                <w:rFonts w:ascii="宋体" w:hAnsi="宋体"/>
              </w:rPr>
            </w:pPr>
          </w:p>
        </w:tc>
        <w:tc>
          <w:tcPr>
            <w:tcW w:w="1706" w:type="dxa"/>
            <w:vAlign w:val="center"/>
          </w:tcPr>
          <w:p>
            <w:pPr>
              <w:jc w:val="right"/>
              <w:rPr>
                <w:rFonts w:ascii="宋体" w:hAnsi="宋体"/>
              </w:rPr>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1560" w:type="dxa"/>
            <w:vAlign w:val="center"/>
          </w:tcPr>
          <w:p>
            <w:pPr>
              <w:jc w:val="right"/>
            </w:pPr>
          </w:p>
        </w:tc>
        <w:tc>
          <w:tcPr>
            <w:tcW w:w="1985" w:type="dxa"/>
            <w:vAlign w:val="center"/>
          </w:tcPr>
          <w:p>
            <w:pPr>
              <w:jc w:val="right"/>
              <w:rPr>
                <w:rFonts w:ascii="宋体" w:hAnsi="宋体"/>
              </w:rPr>
            </w:pPr>
            <w:r>
              <w:rPr>
                <w:rFonts w:ascii="宋体" w:hAnsi="宋体"/>
              </w:rPr>
              <w:t>-6,652</w:t>
            </w:r>
          </w:p>
        </w:tc>
        <w:tc>
          <w:tcPr>
            <w:tcW w:w="1985" w:type="dxa"/>
            <w:vAlign w:val="center"/>
          </w:tcPr>
          <w:p>
            <w:pPr>
              <w:jc w:val="right"/>
              <w:rPr>
                <w:rFonts w:ascii="宋体" w:hAnsi="宋体"/>
              </w:rPr>
            </w:pPr>
            <w:r>
              <w:rPr>
                <w:rFonts w:ascii="宋体" w:hAnsi="宋体"/>
              </w:rPr>
              <w:t>6,652</w:t>
            </w:r>
          </w:p>
        </w:tc>
        <w:tc>
          <w:tcPr>
            <w:tcW w:w="1706" w:type="dxa"/>
            <w:vAlign w:val="center"/>
          </w:tcPr>
          <w:p>
            <w:pPr>
              <w:jc w:val="right"/>
              <w:rPr>
                <w:rFonts w:ascii="宋体" w:hAnsi="宋体"/>
              </w:rPr>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1560" w:type="dxa"/>
            <w:vAlign w:val="center"/>
          </w:tcPr>
          <w:p>
            <w:pPr>
              <w:jc w:val="right"/>
            </w:pPr>
          </w:p>
        </w:tc>
        <w:tc>
          <w:tcPr>
            <w:tcW w:w="1985" w:type="dxa"/>
            <w:vAlign w:val="center"/>
          </w:tcPr>
          <w:p>
            <w:pPr>
              <w:jc w:val="right"/>
              <w:rPr>
                <w:rFonts w:ascii="宋体" w:hAnsi="宋体"/>
              </w:rPr>
            </w:pPr>
          </w:p>
        </w:tc>
        <w:tc>
          <w:tcPr>
            <w:tcW w:w="1985" w:type="dxa"/>
            <w:vAlign w:val="center"/>
          </w:tcPr>
          <w:p>
            <w:pPr>
              <w:jc w:val="right"/>
              <w:rPr>
                <w:rFonts w:ascii="宋体" w:hAnsi="宋体"/>
              </w:rPr>
            </w:pPr>
          </w:p>
        </w:tc>
        <w:tc>
          <w:tcPr>
            <w:tcW w:w="1706" w:type="dxa"/>
            <w:vAlign w:val="center"/>
          </w:tcPr>
          <w:p>
            <w:pPr>
              <w:jc w:val="right"/>
              <w:rPr>
                <w:rFonts w:ascii="宋体" w:hAnsi="宋体"/>
              </w:rPr>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lastRenderedPageBreak/>
              <w:t>--转回第一阶段</w:t>
            </w:r>
          </w:p>
        </w:tc>
        <w:tc>
          <w:tcPr>
            <w:tcW w:w="1560" w:type="dxa"/>
            <w:vAlign w:val="center"/>
          </w:tcPr>
          <w:p>
            <w:pPr>
              <w:jc w:val="right"/>
            </w:pPr>
          </w:p>
        </w:tc>
        <w:tc>
          <w:tcPr>
            <w:tcW w:w="1985" w:type="dxa"/>
            <w:vAlign w:val="center"/>
          </w:tcPr>
          <w:p>
            <w:pPr>
              <w:jc w:val="right"/>
              <w:rPr>
                <w:rFonts w:ascii="宋体" w:hAnsi="宋体"/>
              </w:rPr>
            </w:pPr>
          </w:p>
        </w:tc>
        <w:tc>
          <w:tcPr>
            <w:tcW w:w="1985" w:type="dxa"/>
            <w:vAlign w:val="center"/>
          </w:tcPr>
          <w:p>
            <w:pPr>
              <w:jc w:val="right"/>
              <w:rPr>
                <w:rFonts w:ascii="宋体" w:hAnsi="宋体"/>
              </w:rPr>
            </w:pPr>
          </w:p>
        </w:tc>
        <w:tc>
          <w:tcPr>
            <w:tcW w:w="1706" w:type="dxa"/>
            <w:vAlign w:val="center"/>
          </w:tcPr>
          <w:p>
            <w:pPr>
              <w:jc w:val="right"/>
              <w:rPr>
                <w:rFonts w:ascii="宋体" w:hAnsi="宋体"/>
              </w:rPr>
            </w:pP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1560" w:type="dxa"/>
            <w:vAlign w:val="center"/>
          </w:tcPr>
          <w:p>
            <w:pPr>
              <w:jc w:val="right"/>
            </w:pPr>
          </w:p>
        </w:tc>
        <w:tc>
          <w:tcPr>
            <w:tcW w:w="1985" w:type="dxa"/>
            <w:vAlign w:val="center"/>
          </w:tcPr>
          <w:p>
            <w:pPr>
              <w:jc w:val="right"/>
              <w:rPr>
                <w:rFonts w:ascii="宋体" w:hAnsi="宋体"/>
              </w:rPr>
            </w:pPr>
            <w:r>
              <w:rPr>
                <w:rFonts w:ascii="宋体" w:hAnsi="宋体"/>
              </w:rPr>
              <w:t>-629</w:t>
            </w:r>
          </w:p>
        </w:tc>
        <w:tc>
          <w:tcPr>
            <w:tcW w:w="1985" w:type="dxa"/>
            <w:vAlign w:val="center"/>
          </w:tcPr>
          <w:p>
            <w:pPr>
              <w:jc w:val="right"/>
              <w:rPr>
                <w:rFonts w:ascii="宋体" w:hAnsi="宋体"/>
              </w:rPr>
            </w:pPr>
            <w:r>
              <w:rPr>
                <w:rFonts w:ascii="宋体" w:hAnsi="宋体"/>
              </w:rPr>
              <w:t>571,876</w:t>
            </w:r>
          </w:p>
        </w:tc>
        <w:tc>
          <w:tcPr>
            <w:tcW w:w="1706" w:type="dxa"/>
            <w:vAlign w:val="center"/>
          </w:tcPr>
          <w:p>
            <w:pPr>
              <w:jc w:val="right"/>
              <w:rPr>
                <w:rFonts w:ascii="宋体" w:hAnsi="宋体"/>
              </w:rPr>
            </w:pPr>
            <w:r>
              <w:rPr>
                <w:rFonts w:ascii="宋体" w:hAnsi="宋体"/>
              </w:rPr>
              <w:t>571,247</w:t>
            </w:r>
          </w:p>
        </w:tc>
      </w:tr>
      <w:tr>
        <w:tc>
          <w:tcPr>
            <w:tcW w:w="1811" w:type="dxa"/>
            <w:vAlign w:val="center"/>
          </w:tcPr>
          <w:p>
            <w:pPr>
              <w:pStyle w:val="Style123"/>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1560" w:type="dxa"/>
            <w:vAlign w:val="center"/>
          </w:tcPr>
          <w:p>
            <w:pPr>
              <w:jc w:val="right"/>
            </w:pPr>
          </w:p>
        </w:tc>
        <w:tc>
          <w:tcPr>
            <w:tcW w:w="1985" w:type="dxa"/>
            <w:vAlign w:val="center"/>
          </w:tcPr>
          <w:p>
            <w:pPr>
              <w:jc w:val="right"/>
              <w:rPr>
                <w:rFonts w:ascii="宋体" w:hAnsi="宋体"/>
              </w:rPr>
            </w:pPr>
          </w:p>
        </w:tc>
        <w:tc>
          <w:tcPr>
            <w:tcW w:w="1985" w:type="dxa"/>
            <w:vAlign w:val="center"/>
          </w:tcPr>
          <w:p>
            <w:pPr>
              <w:jc w:val="right"/>
              <w:rPr>
                <w:rFonts w:ascii="宋体" w:hAnsi="宋体"/>
              </w:rPr>
            </w:pPr>
            <w:r>
              <w:rPr>
                <w:rFonts w:ascii="宋体" w:hAnsi="宋体"/>
              </w:rPr>
              <w:t>1,500</w:t>
            </w:r>
          </w:p>
        </w:tc>
        <w:tc>
          <w:tcPr>
            <w:tcW w:w="1706" w:type="dxa"/>
            <w:vAlign w:val="center"/>
          </w:tcPr>
          <w:p>
            <w:pPr>
              <w:jc w:val="right"/>
              <w:rPr>
                <w:rFonts w:ascii="宋体" w:hAnsi="宋体"/>
              </w:rPr>
            </w:pPr>
            <w:r>
              <w:rPr>
                <w:rFonts w:ascii="宋体" w:hAnsi="宋体"/>
              </w:rPr>
              <w:t>1,500</w:t>
            </w: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1560" w:type="dxa"/>
            <w:vAlign w:val="center"/>
          </w:tcPr>
          <w:p>
            <w:pPr>
              <w:jc w:val="right"/>
            </w:pPr>
          </w:p>
        </w:tc>
        <w:tc>
          <w:tcPr>
            <w:tcW w:w="1985" w:type="dxa"/>
            <w:vAlign w:val="center"/>
          </w:tcPr>
          <w:p>
            <w:pPr>
              <w:jc w:val="right"/>
              <w:rPr>
                <w:rFonts w:ascii="宋体" w:hAnsi="宋体"/>
              </w:rPr>
            </w:pPr>
          </w:p>
        </w:tc>
        <w:tc>
          <w:tcPr>
            <w:tcW w:w="1985" w:type="dxa"/>
            <w:vAlign w:val="center"/>
          </w:tcPr>
          <w:p>
            <w:pPr>
              <w:jc w:val="right"/>
              <w:rPr>
                <w:rFonts w:ascii="宋体" w:hAnsi="宋体"/>
              </w:rPr>
            </w:pPr>
          </w:p>
        </w:tc>
        <w:tc>
          <w:tcPr>
            <w:tcW w:w="1706" w:type="dxa"/>
            <w:vAlign w:val="center"/>
          </w:tcPr>
          <w:p>
            <w:pPr>
              <w:jc w:val="right"/>
              <w:rPr>
                <w:rFonts w:ascii="宋体" w:hAnsi="宋体"/>
              </w:rPr>
            </w:pPr>
          </w:p>
        </w:tc>
      </w:tr>
      <w:tr>
        <w:tc>
          <w:tcPr>
            <w:tcW w:w="1811" w:type="dxa"/>
            <w:vAlign w:val="center"/>
          </w:tcPr>
          <w:p>
            <w:pPr>
              <w:pStyle w:val="Style123"/>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1560" w:type="dxa"/>
            <w:vAlign w:val="center"/>
          </w:tcPr>
          <w:p>
            <w:pPr>
              <w:jc w:val="right"/>
            </w:pPr>
          </w:p>
        </w:tc>
        <w:tc>
          <w:tcPr>
            <w:tcW w:w="1985" w:type="dxa"/>
            <w:vAlign w:val="center"/>
          </w:tcPr>
          <w:p>
            <w:pPr>
              <w:jc w:val="right"/>
              <w:rPr>
                <w:rFonts w:ascii="宋体" w:hAnsi="宋体"/>
              </w:rPr>
            </w:pPr>
          </w:p>
        </w:tc>
        <w:tc>
          <w:tcPr>
            <w:tcW w:w="1985" w:type="dxa"/>
            <w:vAlign w:val="center"/>
          </w:tcPr>
          <w:p>
            <w:pPr>
              <w:jc w:val="right"/>
              <w:rPr>
                <w:rFonts w:ascii="宋体" w:hAnsi="宋体"/>
              </w:rPr>
            </w:pPr>
            <w:r>
              <w:rPr>
                <w:rFonts w:ascii="宋体" w:hAnsi="宋体"/>
              </w:rPr>
              <w:t>28,240</w:t>
            </w:r>
          </w:p>
        </w:tc>
        <w:tc>
          <w:tcPr>
            <w:tcW w:w="1706" w:type="dxa"/>
            <w:vAlign w:val="center"/>
          </w:tcPr>
          <w:p>
            <w:pPr>
              <w:jc w:val="right"/>
              <w:rPr>
                <w:rFonts w:ascii="宋体" w:hAnsi="宋体"/>
              </w:rPr>
            </w:pPr>
            <w:r>
              <w:rPr>
                <w:rFonts w:ascii="宋体" w:hAnsi="宋体"/>
              </w:rPr>
              <w:t>28,240</w:t>
            </w:r>
          </w:p>
        </w:tc>
      </w:tr>
      <w:tr>
        <w:tc>
          <w:tcPr>
            <w:tcW w:w="1811" w:type="dxa"/>
            <w:vAlign w:val="center"/>
          </w:tcPr>
          <w:p>
            <w:pPr>
              <w:pStyle w:val="Style123"/>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1560" w:type="dxa"/>
            <w:vAlign w:val="center"/>
          </w:tcPr>
          <w:p>
            <w:pPr>
              <w:jc w:val="right"/>
            </w:pPr>
          </w:p>
        </w:tc>
        <w:tc>
          <w:tcPr>
            <w:tcW w:w="1985" w:type="dxa"/>
            <w:vAlign w:val="center"/>
          </w:tcPr>
          <w:p>
            <w:pPr>
              <w:jc w:val="right"/>
              <w:rPr>
                <w:rFonts w:ascii="宋体" w:hAnsi="宋体"/>
              </w:rPr>
            </w:pPr>
          </w:p>
        </w:tc>
        <w:tc>
          <w:tcPr>
            <w:tcW w:w="1985" w:type="dxa"/>
            <w:vAlign w:val="center"/>
          </w:tcPr>
          <w:p>
            <w:pPr>
              <w:jc w:val="right"/>
              <w:rPr>
                <w:rFonts w:ascii="宋体" w:hAnsi="宋体"/>
              </w:rPr>
            </w:pPr>
            <w:r>
              <w:rPr>
                <w:rFonts w:ascii="宋体" w:hAnsi="宋体"/>
              </w:rPr>
              <w:t>1,500</w:t>
            </w:r>
          </w:p>
        </w:tc>
        <w:tc>
          <w:tcPr>
            <w:tcW w:w="1706" w:type="dxa"/>
            <w:vAlign w:val="center"/>
          </w:tcPr>
          <w:p>
            <w:pPr>
              <w:jc w:val="right"/>
              <w:rPr>
                <w:rFonts w:ascii="宋体" w:hAnsi="宋体"/>
              </w:rPr>
            </w:pPr>
            <w:r>
              <w:rPr>
                <w:rFonts w:ascii="宋体" w:hAnsi="宋体"/>
              </w:rPr>
              <w:t>1,500</w:t>
            </w:r>
          </w:p>
        </w:tc>
      </w:tr>
      <w:tr>
        <w:tc>
          <w:tcPr>
            <w:tcW w:w="1811" w:type="dxa"/>
            <w:vAlign w:val="center"/>
          </w:tcPr>
          <w:p>
            <w:pPr>
              <w:pStyle w:val="Style123"/>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t>余额</w:t>
            </w:r>
          </w:p>
        </w:tc>
        <w:tc>
          <w:tcPr>
            <w:tcW w:w="1560" w:type="dxa"/>
            <w:vAlign w:val="center"/>
          </w:tcPr>
          <w:p>
            <w:pPr>
              <w:jc w:val="right"/>
            </w:pPr>
          </w:p>
        </w:tc>
        <w:tc>
          <w:tcPr>
            <w:tcW w:w="1985" w:type="dxa"/>
            <w:vAlign w:val="center"/>
          </w:tcPr>
          <w:p>
            <w:pPr>
              <w:jc w:val="right"/>
              <w:rPr>
                <w:rFonts w:ascii="宋体" w:hAnsi="宋体"/>
              </w:rPr>
            </w:pPr>
            <w:r>
              <w:rPr>
                <w:rFonts w:ascii="宋体" w:hAnsi="宋体"/>
              </w:rPr>
              <w:t>1,908</w:t>
            </w:r>
          </w:p>
        </w:tc>
        <w:tc>
          <w:tcPr>
            <w:tcW w:w="1985" w:type="dxa"/>
            <w:vAlign w:val="center"/>
          </w:tcPr>
          <w:p>
            <w:pPr>
              <w:jc w:val="right"/>
              <w:rPr>
                <w:rFonts w:ascii="宋体" w:hAnsi="宋体"/>
              </w:rPr>
            </w:pPr>
            <w:r>
              <w:rPr>
                <w:rFonts w:ascii="宋体" w:hAnsi="宋体"/>
              </w:rPr>
              <w:t>650,860</w:t>
            </w:r>
          </w:p>
        </w:tc>
        <w:tc>
          <w:tcPr>
            <w:tcW w:w="1706" w:type="dxa"/>
            <w:vAlign w:val="center"/>
          </w:tcPr>
          <w:p>
            <w:pPr>
              <w:jc w:val="right"/>
              <w:rPr>
                <w:rFonts w:ascii="宋体" w:hAnsi="宋体"/>
              </w:rPr>
            </w:pPr>
            <w:r>
              <w:rPr>
                <w:rFonts w:ascii="宋体" w:hAnsi="宋体"/>
              </w:rPr>
              <w:t>652,768</w:t>
            </w:r>
          </w:p>
        </w:tc>
      </w:tr>
    </w:tbl>
    <w:p>
      <w:pPr>
        <w:pStyle w:val="Style217"/>
      </w:pPr>
    </w:p>
    <w:p>
      <w:pPr>
        <w:autoSpaceDE w:val="0"/>
        <w:autoSpaceDN w:val="0"/>
        <w:adjustRightInd w:val="0"/>
        <w:ind w:rightChars="50" w:right="105"/>
      </w:pPr>
      <w:r>
        <w:rPr>
          <w:rFonts w:hint="eastAsia"/>
        </w:rPr>
        <w:t>各阶段划分依据和坏账准备计提比例</w:t>
      </w:r>
    </w:p>
    <w:sdt>
      <w:sdtPr>
        <w:rPr>
          <w:bCs/>
          <w:szCs w:val="22"/>
        </w:rPr>
        <w:alias w:val="其他应收款各阶段划分依据和坏账准备计提比例"/>
        <w:tag w:val="_GBC_3c3eb8d29e064b68909ad636fcd177ff"/>
        <w:id w:val="800346069"/>
        <w:placeholder>
          <w:docPart w:val="GBC22222222222222222222222222222"/>
        </w:placeholder>
      </w:sdtPr>
      <w:sdtContent>
        <w:p>
          <w:pPr>
            <w:rPr>
              <w:bCs/>
              <w:szCs w:val="22"/>
            </w:rPr>
          </w:pP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219|0|desc|||0|1"/>
          </w:tblPr>
          <w:tblGrid>
            <w:gridCol w:w="1985"/>
            <w:gridCol w:w="1362"/>
            <w:gridCol w:w="1047"/>
            <w:gridCol w:w="1256"/>
            <w:gridCol w:w="1465"/>
            <w:gridCol w:w="1464"/>
          </w:tblGrid>
          <w:tr>
            <w:trPr>
              <w:trHeight w:val="340"/>
              <w:tblHeader/>
              <w:jc w:val="center"/>
            </w:trPr>
            <w:tc>
              <w:tcPr>
                <w:tcW w:w="1985" w:type="dxa"/>
                <w:vMerge w:val="restart"/>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类别</w:t>
                </w:r>
              </w:p>
            </w:tc>
            <w:tc>
              <w:tcPr>
                <w:tcW w:w="6594" w:type="dxa"/>
                <w:gridSpan w:val="5"/>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期末余额</w:t>
                </w:r>
              </w:p>
            </w:tc>
          </w:tr>
          <w:tr>
            <w:trPr>
              <w:trHeight w:val="340"/>
              <w:tblHeader/>
              <w:jc w:val="center"/>
            </w:trPr>
            <w:tc>
              <w:tcPr>
                <w:tcW w:w="1985" w:type="dxa"/>
                <w:vMerge/>
                <w:vAlign w:val="center"/>
              </w:tcPr>
              <w:p>
                <w:pPr>
                  <w:spacing w:line="360" w:lineRule="exact"/>
                  <w:jc w:val="center"/>
                  <w:rPr>
                    <w:rFonts w:ascii="宋体" w:hAnsi="宋体" w:cs="宋体"/>
                    <w:b/>
                    <w:color w:val="000000"/>
                  </w:rPr>
                </w:pPr>
              </w:p>
            </w:tc>
            <w:tc>
              <w:tcPr>
                <w:tcW w:w="2409" w:type="dxa"/>
                <w:gridSpan w:val="2"/>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账面余额</w:t>
                </w:r>
              </w:p>
            </w:tc>
            <w:tc>
              <w:tcPr>
                <w:tcW w:w="2721" w:type="dxa"/>
                <w:gridSpan w:val="2"/>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坏账准备</w:t>
                </w:r>
              </w:p>
            </w:tc>
            <w:tc>
              <w:tcPr>
                <w:tcW w:w="1464" w:type="dxa"/>
                <w:vMerge w:val="restart"/>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账面价值</w:t>
                </w:r>
              </w:p>
            </w:tc>
          </w:tr>
          <w:tr>
            <w:trPr>
              <w:trHeight w:val="340"/>
              <w:tblHeader/>
              <w:jc w:val="center"/>
            </w:trPr>
            <w:tc>
              <w:tcPr>
                <w:tcW w:w="1985" w:type="dxa"/>
                <w:vMerge/>
                <w:vAlign w:val="center"/>
              </w:tcPr>
              <w:p>
                <w:pPr>
                  <w:spacing w:line="360" w:lineRule="exact"/>
                  <w:jc w:val="center"/>
                  <w:rPr>
                    <w:rFonts w:ascii="宋体" w:hAnsi="宋体" w:cs="宋体"/>
                    <w:b/>
                    <w:color w:val="000000"/>
                  </w:rPr>
                </w:pPr>
              </w:p>
            </w:tc>
            <w:tc>
              <w:tcPr>
                <w:tcW w:w="1362"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金额</w:t>
                </w:r>
              </w:p>
            </w:tc>
            <w:tc>
              <w:tcPr>
                <w:tcW w:w="1047"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比例（%）</w:t>
                </w:r>
              </w:p>
            </w:tc>
            <w:tc>
              <w:tcPr>
                <w:tcW w:w="1256"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金额</w:t>
                </w:r>
              </w:p>
            </w:tc>
            <w:tc>
              <w:tcPr>
                <w:tcW w:w="1465"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计提比例（%）</w:t>
                </w:r>
              </w:p>
            </w:tc>
            <w:tc>
              <w:tcPr>
                <w:tcW w:w="1464" w:type="dxa"/>
                <w:vMerge/>
                <w:vAlign w:val="center"/>
              </w:tcPr>
              <w:p>
                <w:pPr>
                  <w:spacing w:line="360" w:lineRule="exact"/>
                  <w:jc w:val="center"/>
                  <w:rPr>
                    <w:rFonts w:ascii="宋体" w:hAnsi="宋体" w:cs="宋体"/>
                    <w:b/>
                    <w:color w:val="000000"/>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按单项计提坏账准备</w:t>
                </w:r>
              </w:p>
            </w:tc>
            <w:tc>
              <w:tcPr>
                <w:tcW w:w="1362" w:type="dxa"/>
                <w:vAlign w:val="center"/>
              </w:tcPr>
              <w:p>
                <w:pPr>
                  <w:snapToGrid w:val="0"/>
                  <w:spacing w:line="240" w:lineRule="atLeast"/>
                  <w:jc w:val="right"/>
                  <w:rPr>
                    <w:rFonts w:ascii="宋体" w:hAnsi="宋体" w:cs="宋体"/>
                  </w:rPr>
                </w:pPr>
                <w:r>
                  <w:rPr>
                    <w:rFonts w:ascii="宋体" w:hAnsi="宋体" w:cs="宋体" w:hint="eastAsia"/>
                  </w:rPr>
                  <w:t>650,860</w:t>
                </w:r>
              </w:p>
            </w:tc>
            <w:tc>
              <w:tcPr>
                <w:tcW w:w="1047" w:type="dxa"/>
                <w:vAlign w:val="center"/>
              </w:tcPr>
              <w:p>
                <w:pPr>
                  <w:snapToGrid w:val="0"/>
                  <w:spacing w:line="240" w:lineRule="atLeast"/>
                  <w:jc w:val="right"/>
                  <w:rPr>
                    <w:rFonts w:ascii="宋体" w:hAnsi="宋体" w:cs="宋体"/>
                  </w:rPr>
                </w:pPr>
                <w:r>
                  <w:rPr>
                    <w:rFonts w:ascii="宋体" w:hAnsi="宋体"/>
                  </w:rPr>
                  <w:t>1.05</w:t>
                </w:r>
              </w:p>
            </w:tc>
            <w:tc>
              <w:tcPr>
                <w:tcW w:w="1256" w:type="dxa"/>
                <w:vAlign w:val="center"/>
              </w:tcPr>
              <w:p>
                <w:pPr>
                  <w:snapToGrid w:val="0"/>
                  <w:spacing w:line="240" w:lineRule="atLeast"/>
                  <w:jc w:val="right"/>
                  <w:rPr>
                    <w:rFonts w:ascii="宋体" w:hAnsi="宋体" w:cs="宋体"/>
                  </w:rPr>
                </w:pPr>
                <w:r>
                  <w:rPr>
                    <w:rFonts w:ascii="宋体" w:hAnsi="宋体" w:cs="宋体" w:hint="eastAsia"/>
                  </w:rPr>
                  <w:t>650,860</w:t>
                </w:r>
              </w:p>
            </w:tc>
            <w:tc>
              <w:tcPr>
                <w:tcW w:w="1465" w:type="dxa"/>
                <w:vAlign w:val="center"/>
              </w:tcPr>
              <w:p>
                <w:pPr>
                  <w:snapToGrid w:val="0"/>
                  <w:spacing w:line="240" w:lineRule="atLeast"/>
                  <w:jc w:val="right"/>
                  <w:rPr>
                    <w:rFonts w:ascii="宋体" w:hAnsi="宋体" w:cs="宋体"/>
                  </w:rPr>
                </w:pPr>
                <w:r>
                  <w:rPr>
                    <w:rFonts w:ascii="宋体" w:hAnsi="宋体" w:cs="宋体" w:hint="eastAsia"/>
                  </w:rPr>
                  <w:t>100.00</w:t>
                </w:r>
              </w:p>
            </w:tc>
            <w:tc>
              <w:tcPr>
                <w:tcW w:w="1464" w:type="dxa"/>
                <w:vAlign w:val="center"/>
              </w:tcPr>
              <w:p>
                <w:pPr>
                  <w:snapToGrid w:val="0"/>
                  <w:spacing w:line="240" w:lineRule="atLeast"/>
                  <w:jc w:val="right"/>
                  <w:rPr>
                    <w:rFonts w:ascii="宋体" w:hAnsi="宋体" w:cs="宋体"/>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按组合计提坏账准备</w:t>
                </w:r>
              </w:p>
            </w:tc>
            <w:tc>
              <w:tcPr>
                <w:tcW w:w="1362" w:type="dxa"/>
                <w:vAlign w:val="center"/>
              </w:tcPr>
              <w:p>
                <w:pPr>
                  <w:snapToGrid w:val="0"/>
                  <w:spacing w:line="240" w:lineRule="atLeast"/>
                  <w:jc w:val="right"/>
                  <w:rPr>
                    <w:rFonts w:ascii="宋体" w:hAnsi="宋体" w:cs="宋体"/>
                  </w:rPr>
                </w:pPr>
                <w:r>
                  <w:rPr>
                    <w:rFonts w:ascii="宋体" w:hAnsi="宋体"/>
                  </w:rPr>
                  <w:t>61,861,166</w:t>
                </w:r>
              </w:p>
            </w:tc>
            <w:tc>
              <w:tcPr>
                <w:tcW w:w="1047" w:type="dxa"/>
                <w:vAlign w:val="center"/>
              </w:tcPr>
              <w:p>
                <w:pPr>
                  <w:snapToGrid w:val="0"/>
                  <w:spacing w:line="240" w:lineRule="atLeast"/>
                  <w:jc w:val="right"/>
                  <w:rPr>
                    <w:rFonts w:ascii="宋体" w:hAnsi="宋体" w:cs="宋体"/>
                  </w:rPr>
                </w:pPr>
                <w:r>
                  <w:rPr>
                    <w:rFonts w:ascii="宋体" w:hAnsi="宋体"/>
                  </w:rPr>
                  <w:t>98.95</w:t>
                </w:r>
              </w:p>
            </w:tc>
            <w:tc>
              <w:tcPr>
                <w:tcW w:w="1256" w:type="dxa"/>
                <w:vAlign w:val="center"/>
              </w:tcPr>
              <w:p>
                <w:pPr>
                  <w:snapToGrid w:val="0"/>
                  <w:spacing w:line="240" w:lineRule="atLeast"/>
                  <w:jc w:val="right"/>
                  <w:rPr>
                    <w:rFonts w:ascii="宋体" w:hAnsi="宋体" w:cs="宋体"/>
                  </w:rPr>
                </w:pPr>
                <w:r>
                  <w:rPr>
                    <w:rFonts w:ascii="宋体" w:hAnsi="宋体" w:cs="宋体" w:hint="eastAsia"/>
                  </w:rPr>
                  <w:t>1,908</w:t>
                </w:r>
              </w:p>
            </w:tc>
            <w:tc>
              <w:tcPr>
                <w:tcW w:w="1465" w:type="dxa"/>
                <w:vAlign w:val="center"/>
              </w:tcPr>
              <w:p>
                <w:pPr>
                  <w:snapToGrid w:val="0"/>
                  <w:spacing w:line="240" w:lineRule="atLeast"/>
                  <w:jc w:val="right"/>
                  <w:rPr>
                    <w:rFonts w:ascii="宋体" w:hAnsi="宋体" w:cs="宋体"/>
                  </w:rPr>
                </w:pPr>
              </w:p>
            </w:tc>
            <w:tc>
              <w:tcPr>
                <w:tcW w:w="1464" w:type="dxa"/>
                <w:vAlign w:val="center"/>
              </w:tcPr>
              <w:p>
                <w:pPr>
                  <w:snapToGrid w:val="0"/>
                  <w:spacing w:line="240" w:lineRule="atLeast"/>
                  <w:jc w:val="right"/>
                  <w:rPr>
                    <w:rFonts w:ascii="宋体" w:hAnsi="宋体" w:cs="宋体"/>
                  </w:rPr>
                </w:pPr>
                <w:r>
                  <w:rPr>
                    <w:rFonts w:ascii="宋体" w:hAnsi="宋体"/>
                  </w:rPr>
                  <w:t>61,859,258</w:t>
                </w: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其中：</w:t>
                </w:r>
              </w:p>
            </w:tc>
            <w:tc>
              <w:tcPr>
                <w:tcW w:w="1362" w:type="dxa"/>
                <w:vAlign w:val="center"/>
              </w:tcPr>
              <w:p>
                <w:pPr>
                  <w:snapToGrid w:val="0"/>
                  <w:spacing w:line="240" w:lineRule="atLeast"/>
                  <w:jc w:val="right"/>
                  <w:rPr>
                    <w:rFonts w:ascii="宋体" w:hAnsi="宋体" w:cs="宋体"/>
                  </w:rPr>
                </w:pPr>
              </w:p>
            </w:tc>
            <w:tc>
              <w:tcPr>
                <w:tcW w:w="1047" w:type="dxa"/>
                <w:vAlign w:val="center"/>
              </w:tcPr>
              <w:p>
                <w:pPr>
                  <w:snapToGrid w:val="0"/>
                  <w:spacing w:line="240" w:lineRule="atLeast"/>
                  <w:jc w:val="right"/>
                  <w:rPr>
                    <w:rFonts w:ascii="宋体" w:hAnsi="宋体" w:cs="宋体"/>
                  </w:rPr>
                </w:pPr>
              </w:p>
            </w:tc>
            <w:tc>
              <w:tcPr>
                <w:tcW w:w="1256" w:type="dxa"/>
                <w:vAlign w:val="center"/>
              </w:tcPr>
              <w:p>
                <w:pPr>
                  <w:snapToGrid w:val="0"/>
                  <w:spacing w:line="240" w:lineRule="atLeast"/>
                  <w:jc w:val="right"/>
                  <w:rPr>
                    <w:rFonts w:ascii="宋体" w:hAnsi="宋体" w:cs="宋体"/>
                  </w:rPr>
                </w:pPr>
              </w:p>
            </w:tc>
            <w:tc>
              <w:tcPr>
                <w:tcW w:w="1465" w:type="dxa"/>
                <w:vAlign w:val="center"/>
              </w:tcPr>
              <w:p>
                <w:pPr>
                  <w:snapToGrid w:val="0"/>
                  <w:spacing w:line="240" w:lineRule="atLeast"/>
                  <w:jc w:val="right"/>
                  <w:rPr>
                    <w:rFonts w:ascii="宋体" w:hAnsi="宋体" w:cs="宋体"/>
                  </w:rPr>
                </w:pPr>
              </w:p>
            </w:tc>
            <w:tc>
              <w:tcPr>
                <w:tcW w:w="1464" w:type="dxa"/>
                <w:vAlign w:val="center"/>
              </w:tcPr>
              <w:p>
                <w:pPr>
                  <w:snapToGrid w:val="0"/>
                  <w:spacing w:line="240" w:lineRule="atLeast"/>
                  <w:jc w:val="right"/>
                  <w:rPr>
                    <w:rFonts w:ascii="宋体" w:hAnsi="宋体" w:cs="宋体"/>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账龄组合</w:t>
                </w:r>
              </w:p>
            </w:tc>
            <w:tc>
              <w:tcPr>
                <w:tcW w:w="1362" w:type="dxa"/>
                <w:vAlign w:val="center"/>
              </w:tcPr>
              <w:p>
                <w:pPr>
                  <w:snapToGrid w:val="0"/>
                  <w:spacing w:line="240" w:lineRule="atLeast"/>
                  <w:jc w:val="right"/>
                  <w:rPr>
                    <w:rFonts w:ascii="宋体" w:hAnsi="宋体" w:cs="宋体"/>
                  </w:rPr>
                </w:pPr>
                <w:r>
                  <w:rPr>
                    <w:rFonts w:ascii="宋体" w:hAnsi="宋体"/>
                  </w:rPr>
                  <w:t>2,628</w:t>
                </w:r>
              </w:p>
            </w:tc>
            <w:tc>
              <w:tcPr>
                <w:tcW w:w="1047" w:type="dxa"/>
                <w:vAlign w:val="center"/>
              </w:tcPr>
              <w:p>
                <w:pPr>
                  <w:snapToGrid w:val="0"/>
                  <w:spacing w:line="240" w:lineRule="atLeast"/>
                  <w:jc w:val="right"/>
                  <w:rPr>
                    <w:rFonts w:ascii="宋体" w:hAnsi="宋体" w:cs="宋体"/>
                  </w:rPr>
                </w:pPr>
                <w:r>
                  <w:rPr>
                    <w:rFonts w:ascii="宋体" w:hAnsi="宋体" w:hint="eastAsia"/>
                  </w:rPr>
                  <w:t>微小</w:t>
                </w:r>
              </w:p>
            </w:tc>
            <w:tc>
              <w:tcPr>
                <w:tcW w:w="1256" w:type="dxa"/>
                <w:vAlign w:val="center"/>
              </w:tcPr>
              <w:p>
                <w:pPr>
                  <w:snapToGrid w:val="0"/>
                  <w:spacing w:line="240" w:lineRule="atLeast"/>
                  <w:jc w:val="right"/>
                  <w:rPr>
                    <w:rFonts w:ascii="宋体" w:hAnsi="宋体" w:cs="宋体"/>
                  </w:rPr>
                </w:pPr>
                <w:r>
                  <w:rPr>
                    <w:rFonts w:ascii="宋体" w:hAnsi="宋体" w:cs="宋体" w:hint="eastAsia"/>
                  </w:rPr>
                  <w:t>1,908</w:t>
                </w:r>
              </w:p>
            </w:tc>
            <w:tc>
              <w:tcPr>
                <w:tcW w:w="1465" w:type="dxa"/>
                <w:vAlign w:val="center"/>
              </w:tcPr>
              <w:p>
                <w:pPr>
                  <w:snapToGrid w:val="0"/>
                  <w:spacing w:line="240" w:lineRule="atLeast"/>
                  <w:jc w:val="right"/>
                  <w:rPr>
                    <w:rFonts w:ascii="宋体" w:hAnsi="宋体" w:cs="宋体"/>
                  </w:rPr>
                </w:pPr>
                <w:r>
                  <w:rPr>
                    <w:rFonts w:ascii="宋体" w:hAnsi="宋体" w:cs="宋体"/>
                  </w:rPr>
                  <w:t>72.6</w:t>
                </w:r>
                <w:r>
                  <w:rPr>
                    <w:rFonts w:ascii="宋体" w:hAnsi="宋体" w:cs="宋体" w:hint="eastAsia"/>
                  </w:rPr>
                  <w:t>0</w:t>
                </w:r>
              </w:p>
            </w:tc>
            <w:tc>
              <w:tcPr>
                <w:tcW w:w="1464" w:type="dxa"/>
                <w:vAlign w:val="center"/>
              </w:tcPr>
              <w:p>
                <w:pPr>
                  <w:snapToGrid w:val="0"/>
                  <w:spacing w:line="240" w:lineRule="atLeast"/>
                  <w:jc w:val="right"/>
                  <w:rPr>
                    <w:rFonts w:ascii="宋体" w:hAnsi="宋体" w:cs="宋体"/>
                  </w:rPr>
                </w:pPr>
                <w:r>
                  <w:rPr>
                    <w:rFonts w:ascii="宋体" w:hAnsi="宋体"/>
                  </w:rPr>
                  <w:t>720</w:t>
                </w: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无风险组合</w:t>
                </w:r>
              </w:p>
            </w:tc>
            <w:tc>
              <w:tcPr>
                <w:tcW w:w="1362" w:type="dxa"/>
                <w:vAlign w:val="center"/>
              </w:tcPr>
              <w:p>
                <w:pPr>
                  <w:snapToGrid w:val="0"/>
                  <w:spacing w:line="240" w:lineRule="atLeast"/>
                  <w:jc w:val="right"/>
                  <w:rPr>
                    <w:rFonts w:ascii="宋体" w:hAnsi="宋体" w:cs="宋体"/>
                  </w:rPr>
                </w:pPr>
                <w:r>
                  <w:rPr>
                    <w:rFonts w:ascii="宋体" w:hAnsi="宋体"/>
                  </w:rPr>
                  <w:t>61,858,538</w:t>
                </w:r>
              </w:p>
            </w:tc>
            <w:tc>
              <w:tcPr>
                <w:tcW w:w="1047" w:type="dxa"/>
                <w:vAlign w:val="center"/>
              </w:tcPr>
              <w:p>
                <w:pPr>
                  <w:snapToGrid w:val="0"/>
                  <w:spacing w:line="240" w:lineRule="atLeast"/>
                  <w:jc w:val="right"/>
                  <w:rPr>
                    <w:rFonts w:ascii="宋体" w:hAnsi="宋体" w:cs="宋体"/>
                  </w:rPr>
                </w:pPr>
                <w:r>
                  <w:rPr>
                    <w:rFonts w:ascii="宋体" w:hAnsi="宋体"/>
                  </w:rPr>
                  <w:t>98.95</w:t>
                </w:r>
              </w:p>
            </w:tc>
            <w:tc>
              <w:tcPr>
                <w:tcW w:w="1256" w:type="dxa"/>
                <w:vAlign w:val="center"/>
              </w:tcPr>
              <w:p>
                <w:pPr>
                  <w:snapToGrid w:val="0"/>
                  <w:spacing w:line="240" w:lineRule="atLeast"/>
                  <w:jc w:val="right"/>
                  <w:rPr>
                    <w:rFonts w:ascii="宋体" w:hAnsi="宋体" w:cs="宋体"/>
                  </w:rPr>
                </w:pPr>
              </w:p>
            </w:tc>
            <w:tc>
              <w:tcPr>
                <w:tcW w:w="1465" w:type="dxa"/>
                <w:vAlign w:val="center"/>
              </w:tcPr>
              <w:p>
                <w:pPr>
                  <w:snapToGrid w:val="0"/>
                  <w:spacing w:line="240" w:lineRule="atLeast"/>
                  <w:jc w:val="right"/>
                  <w:rPr>
                    <w:rFonts w:ascii="宋体" w:hAnsi="宋体" w:cs="宋体"/>
                  </w:rPr>
                </w:pPr>
              </w:p>
            </w:tc>
            <w:tc>
              <w:tcPr>
                <w:tcW w:w="1464" w:type="dxa"/>
                <w:vAlign w:val="center"/>
              </w:tcPr>
              <w:p>
                <w:pPr>
                  <w:snapToGrid w:val="0"/>
                  <w:spacing w:line="240" w:lineRule="atLeast"/>
                  <w:jc w:val="right"/>
                  <w:rPr>
                    <w:rFonts w:ascii="宋体" w:hAnsi="宋体" w:cs="宋体"/>
                  </w:rPr>
                </w:pPr>
                <w:r>
                  <w:rPr>
                    <w:rFonts w:ascii="宋体" w:hAnsi="宋体"/>
                  </w:rPr>
                  <w:t>61,858,538</w:t>
                </w:r>
              </w:p>
            </w:tc>
          </w:tr>
          <w:tr>
            <w:trPr>
              <w:trHeight w:val="397"/>
              <w:jc w:val="center"/>
            </w:trPr>
            <w:tc>
              <w:tcPr>
                <w:tcW w:w="1985" w:type="dxa"/>
                <w:vAlign w:val="center"/>
              </w:tcPr>
              <w:p>
                <w:pPr>
                  <w:snapToGrid w:val="0"/>
                  <w:spacing w:line="240" w:lineRule="atLeast"/>
                  <w:jc w:val="center"/>
                  <w:rPr>
                    <w:rFonts w:ascii="宋体" w:hAnsi="宋体" w:cs="宋体"/>
                  </w:rPr>
                </w:pPr>
                <w:r>
                  <w:rPr>
                    <w:rFonts w:ascii="宋体" w:hAnsi="宋体" w:cs="宋体" w:hint="eastAsia"/>
                  </w:rPr>
                  <w:t>合计</w:t>
                </w:r>
              </w:p>
            </w:tc>
            <w:tc>
              <w:tcPr>
                <w:tcW w:w="1362" w:type="dxa"/>
                <w:vAlign w:val="center"/>
              </w:tcPr>
              <w:p>
                <w:pPr>
                  <w:snapToGrid w:val="0"/>
                  <w:spacing w:line="240" w:lineRule="atLeast"/>
                  <w:jc w:val="right"/>
                  <w:rPr>
                    <w:rFonts w:ascii="宋体" w:hAnsi="宋体" w:cs="宋体"/>
                  </w:rPr>
                </w:pPr>
                <w:r>
                  <w:rPr>
                    <w:rFonts w:ascii="宋体" w:hAnsi="宋体"/>
                  </w:rPr>
                  <w:t>62,512,026</w:t>
                </w:r>
              </w:p>
            </w:tc>
            <w:tc>
              <w:tcPr>
                <w:tcW w:w="1047" w:type="dxa"/>
                <w:vAlign w:val="center"/>
              </w:tcPr>
              <w:p>
                <w:pPr>
                  <w:snapToGrid w:val="0"/>
                  <w:spacing w:line="240" w:lineRule="atLeast"/>
                  <w:jc w:val="right"/>
                  <w:rPr>
                    <w:rFonts w:ascii="宋体" w:hAnsi="宋体" w:cs="宋体"/>
                  </w:rPr>
                </w:pPr>
                <w:r>
                  <w:rPr>
                    <w:rFonts w:ascii="宋体" w:hAnsi="宋体" w:cs="宋体" w:hint="eastAsia"/>
                  </w:rPr>
                  <w:t>100.00</w:t>
                </w:r>
              </w:p>
            </w:tc>
            <w:tc>
              <w:tcPr>
                <w:tcW w:w="1256" w:type="dxa"/>
                <w:vAlign w:val="center"/>
              </w:tcPr>
              <w:p>
                <w:pPr>
                  <w:snapToGrid w:val="0"/>
                  <w:spacing w:line="240" w:lineRule="atLeast"/>
                  <w:jc w:val="right"/>
                  <w:rPr>
                    <w:rFonts w:ascii="宋体" w:hAnsi="宋体" w:cs="宋体"/>
                  </w:rPr>
                </w:pPr>
                <w:r>
                  <w:rPr>
                    <w:rFonts w:ascii="宋体" w:hAnsi="宋体" w:cs="宋体" w:hint="eastAsia"/>
                  </w:rPr>
                  <w:t>652,768</w:t>
                </w:r>
              </w:p>
            </w:tc>
            <w:tc>
              <w:tcPr>
                <w:tcW w:w="1465" w:type="dxa"/>
                <w:vAlign w:val="center"/>
              </w:tcPr>
              <w:p>
                <w:pPr>
                  <w:snapToGrid w:val="0"/>
                  <w:spacing w:line="240" w:lineRule="atLeast"/>
                  <w:jc w:val="right"/>
                  <w:rPr>
                    <w:rFonts w:ascii="宋体" w:hAnsi="宋体" w:cs="宋体"/>
                  </w:rPr>
                </w:pPr>
              </w:p>
            </w:tc>
            <w:tc>
              <w:tcPr>
                <w:tcW w:w="1464" w:type="dxa"/>
                <w:vAlign w:val="center"/>
              </w:tcPr>
              <w:p>
                <w:pPr>
                  <w:snapToGrid w:val="0"/>
                  <w:spacing w:line="240" w:lineRule="atLeast"/>
                  <w:jc w:val="right"/>
                  <w:rPr>
                    <w:rFonts w:ascii="宋体" w:hAnsi="宋体" w:cs="宋体"/>
                  </w:rPr>
                </w:pPr>
                <w:r>
                  <w:rPr>
                    <w:rFonts w:ascii="宋体" w:hAnsi="宋体"/>
                  </w:rPr>
                  <w:t>61,859,258</w:t>
                </w:r>
              </w:p>
            </w:tc>
          </w:tr>
        </w:tbl>
        <w:p>
          <w:pPr>
            <w:pStyle w:val="Style2061"/>
            <w:spacing w:after="120"/>
            <w:ind w:firstLine="400"/>
            <w:rPr>
              <w:rFonts w:hAnsi="宋体" w:cs="宋体"/>
              <w:szCs w:val="21"/>
            </w:rPr>
          </w:pPr>
          <w:r>
            <w:rPr>
              <w:rFonts w:hAnsi="宋体" w:cs="宋体" w:hint="eastAsia"/>
              <w:szCs w:val="21"/>
            </w:rPr>
            <w:t>接上表：</w:t>
          </w:r>
        </w:p>
        <w:tbl>
          <w:tblPr>
            <w:tblStyle w:val="Style100"/>
            <w:tblW w:w="857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220|0|desc|||0|1"/>
          </w:tblPr>
          <w:tblGrid>
            <w:gridCol w:w="1985"/>
            <w:gridCol w:w="1362"/>
            <w:gridCol w:w="1047"/>
            <w:gridCol w:w="1256"/>
            <w:gridCol w:w="1465"/>
            <w:gridCol w:w="1464"/>
          </w:tblGrid>
          <w:tr>
            <w:trPr>
              <w:trHeight w:val="397"/>
              <w:tblHeader/>
              <w:jc w:val="center"/>
            </w:trPr>
            <w:tc>
              <w:tcPr>
                <w:tcW w:w="1985" w:type="dxa"/>
                <w:vMerge w:val="restart"/>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类别</w:t>
                </w:r>
              </w:p>
            </w:tc>
            <w:tc>
              <w:tcPr>
                <w:tcW w:w="6594" w:type="dxa"/>
                <w:gridSpan w:val="5"/>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期初余额</w:t>
                </w:r>
              </w:p>
            </w:tc>
          </w:tr>
          <w:tr>
            <w:trPr>
              <w:trHeight w:val="397"/>
              <w:tblHeader/>
              <w:jc w:val="center"/>
            </w:trPr>
            <w:tc>
              <w:tcPr>
                <w:tcW w:w="1985" w:type="dxa"/>
                <w:vMerge/>
                <w:vAlign w:val="center"/>
              </w:tcPr>
              <w:p>
                <w:pPr>
                  <w:spacing w:line="360" w:lineRule="exact"/>
                  <w:jc w:val="center"/>
                  <w:rPr>
                    <w:rFonts w:ascii="宋体" w:hAnsi="宋体" w:cs="宋体"/>
                    <w:b/>
                    <w:color w:val="000000"/>
                  </w:rPr>
                </w:pPr>
              </w:p>
            </w:tc>
            <w:tc>
              <w:tcPr>
                <w:tcW w:w="2409" w:type="dxa"/>
                <w:gridSpan w:val="2"/>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账面余额</w:t>
                </w:r>
              </w:p>
            </w:tc>
            <w:tc>
              <w:tcPr>
                <w:tcW w:w="2721" w:type="dxa"/>
                <w:gridSpan w:val="2"/>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坏账准备</w:t>
                </w:r>
              </w:p>
            </w:tc>
            <w:tc>
              <w:tcPr>
                <w:tcW w:w="1464" w:type="dxa"/>
                <w:vMerge w:val="restart"/>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账面价值</w:t>
                </w:r>
              </w:p>
            </w:tc>
          </w:tr>
          <w:tr>
            <w:trPr>
              <w:trHeight w:val="397"/>
              <w:tblHeader/>
              <w:jc w:val="center"/>
            </w:trPr>
            <w:tc>
              <w:tcPr>
                <w:tcW w:w="1985" w:type="dxa"/>
                <w:vMerge/>
                <w:vAlign w:val="center"/>
              </w:tcPr>
              <w:p>
                <w:pPr>
                  <w:spacing w:line="360" w:lineRule="exact"/>
                  <w:jc w:val="center"/>
                  <w:rPr>
                    <w:rFonts w:ascii="宋体" w:hAnsi="宋体" w:cs="宋体"/>
                    <w:b/>
                    <w:color w:val="000000"/>
                  </w:rPr>
                </w:pPr>
              </w:p>
            </w:tc>
            <w:tc>
              <w:tcPr>
                <w:tcW w:w="1362"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金额</w:t>
                </w:r>
              </w:p>
            </w:tc>
            <w:tc>
              <w:tcPr>
                <w:tcW w:w="1047"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比例（%）</w:t>
                </w:r>
              </w:p>
            </w:tc>
            <w:tc>
              <w:tcPr>
                <w:tcW w:w="1256"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金额</w:t>
                </w:r>
              </w:p>
            </w:tc>
            <w:tc>
              <w:tcPr>
                <w:tcW w:w="1465" w:type="dxa"/>
                <w:shd w:val="clear" w:color="auto" w:fill="auto"/>
                <w:vAlign w:val="center"/>
              </w:tcPr>
              <w:p>
                <w:pPr>
                  <w:spacing w:line="360" w:lineRule="exact"/>
                  <w:jc w:val="center"/>
                  <w:rPr>
                    <w:rFonts w:ascii="宋体" w:hAnsi="宋体" w:cs="宋体"/>
                    <w:b/>
                    <w:color w:val="000000"/>
                  </w:rPr>
                </w:pPr>
                <w:r>
                  <w:rPr>
                    <w:rFonts w:ascii="宋体" w:hAnsi="宋体" w:cs="宋体" w:hint="eastAsia"/>
                    <w:b/>
                    <w:color w:val="000000"/>
                  </w:rPr>
                  <w:t>计提比例（%）</w:t>
                </w:r>
              </w:p>
            </w:tc>
            <w:tc>
              <w:tcPr>
                <w:tcW w:w="1464" w:type="dxa"/>
                <w:vMerge/>
                <w:vAlign w:val="center"/>
              </w:tcPr>
              <w:p>
                <w:pPr>
                  <w:spacing w:line="360" w:lineRule="exact"/>
                  <w:jc w:val="center"/>
                  <w:rPr>
                    <w:rFonts w:ascii="宋体" w:hAnsi="宋体" w:cs="宋体"/>
                    <w:b/>
                    <w:color w:val="000000"/>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按单项计提坏账准备</w:t>
                </w:r>
              </w:p>
            </w:tc>
            <w:tc>
              <w:tcPr>
                <w:tcW w:w="1362" w:type="dxa"/>
                <w:vAlign w:val="center"/>
              </w:tcPr>
              <w:p>
                <w:pPr>
                  <w:jc w:val="right"/>
                  <w:textAlignment w:val="center"/>
                  <w:rPr>
                    <w:rFonts w:ascii="宋体" w:hAnsi="宋体" w:cs="宋体"/>
                  </w:rPr>
                </w:pPr>
                <w:r>
                  <w:rPr>
                    <w:rFonts w:ascii="宋体" w:hAnsi="宋体" w:cs="宋体" w:hint="eastAsia"/>
                    <w:color w:val="000000"/>
                    <w:lang w:bidi="ar"/>
                  </w:rPr>
                  <w:t>100,572</w:t>
                </w:r>
              </w:p>
            </w:tc>
            <w:tc>
              <w:tcPr>
                <w:tcW w:w="1047" w:type="dxa"/>
                <w:vAlign w:val="center"/>
              </w:tcPr>
              <w:p>
                <w:pPr>
                  <w:jc w:val="right"/>
                  <w:rPr>
                    <w:rFonts w:ascii="宋体" w:hAnsi="宋体" w:cs="宋体"/>
                  </w:rPr>
                </w:pPr>
                <w:r>
                  <w:rPr>
                    <w:rFonts w:ascii="宋体" w:hAnsi="宋体" w:cs="宋体" w:hint="eastAsia"/>
                    <w:color w:val="000000"/>
                  </w:rPr>
                  <w:t>微小</w:t>
                </w:r>
              </w:p>
            </w:tc>
            <w:tc>
              <w:tcPr>
                <w:tcW w:w="1256" w:type="dxa"/>
                <w:vAlign w:val="center"/>
              </w:tcPr>
              <w:p>
                <w:pPr>
                  <w:jc w:val="right"/>
                  <w:textAlignment w:val="center"/>
                  <w:rPr>
                    <w:rFonts w:ascii="宋体" w:hAnsi="宋体" w:cs="宋体"/>
                  </w:rPr>
                </w:pPr>
                <w:r>
                  <w:rPr>
                    <w:rFonts w:ascii="宋体" w:hAnsi="宋体" w:cs="宋体" w:hint="eastAsia"/>
                    <w:color w:val="000000"/>
                    <w:lang w:bidi="ar"/>
                  </w:rPr>
                  <w:t>100,572</w:t>
                </w:r>
              </w:p>
            </w:tc>
            <w:tc>
              <w:tcPr>
                <w:tcW w:w="1465" w:type="dxa"/>
                <w:vAlign w:val="center"/>
              </w:tcPr>
              <w:p>
                <w:pPr>
                  <w:jc w:val="right"/>
                  <w:textAlignment w:val="center"/>
                  <w:rPr>
                    <w:rFonts w:ascii="宋体" w:hAnsi="宋体" w:cs="宋体"/>
                  </w:rPr>
                </w:pPr>
                <w:r>
                  <w:rPr>
                    <w:rFonts w:ascii="宋体" w:hAnsi="宋体" w:cs="宋体" w:hint="eastAsia"/>
                    <w:color w:val="000000"/>
                    <w:lang w:bidi="ar"/>
                  </w:rPr>
                  <w:t>100</w:t>
                </w:r>
              </w:p>
            </w:tc>
            <w:tc>
              <w:tcPr>
                <w:tcW w:w="1464" w:type="dxa"/>
                <w:vAlign w:val="center"/>
              </w:tcPr>
              <w:p>
                <w:pPr>
                  <w:jc w:val="right"/>
                  <w:rPr>
                    <w:rFonts w:ascii="宋体" w:hAnsi="宋体" w:cs="宋体"/>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按组合计提坏账准备</w:t>
                </w:r>
              </w:p>
            </w:tc>
            <w:tc>
              <w:tcPr>
                <w:tcW w:w="1362" w:type="dxa"/>
                <w:vAlign w:val="center"/>
              </w:tcPr>
              <w:p>
                <w:pPr>
                  <w:jc w:val="right"/>
                  <w:textAlignment w:val="center"/>
                  <w:rPr>
                    <w:rFonts w:ascii="宋体" w:hAnsi="宋体" w:cs="宋体"/>
                  </w:rPr>
                </w:pPr>
                <w:r>
                  <w:rPr>
                    <w:rFonts w:ascii="宋体" w:hAnsi="宋体" w:cs="宋体" w:hint="eastAsia"/>
                    <w:color w:val="000000"/>
                    <w:lang w:bidi="ar"/>
                  </w:rPr>
                  <w:t>41,988,448</w:t>
                </w:r>
              </w:p>
            </w:tc>
            <w:tc>
              <w:tcPr>
                <w:tcW w:w="1047" w:type="dxa"/>
                <w:vAlign w:val="center"/>
              </w:tcPr>
              <w:p>
                <w:pPr>
                  <w:jc w:val="right"/>
                  <w:textAlignment w:val="center"/>
                  <w:rPr>
                    <w:rFonts w:ascii="宋体" w:hAnsi="宋体" w:cs="宋体"/>
                  </w:rPr>
                </w:pPr>
                <w:r>
                  <w:rPr>
                    <w:rFonts w:ascii="宋体" w:hAnsi="宋体" w:cs="宋体" w:hint="eastAsia"/>
                    <w:color w:val="000000"/>
                    <w:lang w:bidi="ar"/>
                  </w:rPr>
                  <w:t>100</w:t>
                </w:r>
              </w:p>
            </w:tc>
            <w:tc>
              <w:tcPr>
                <w:tcW w:w="1256" w:type="dxa"/>
                <w:vAlign w:val="center"/>
              </w:tcPr>
              <w:p>
                <w:pPr>
                  <w:jc w:val="right"/>
                  <w:textAlignment w:val="center"/>
                  <w:rPr>
                    <w:rFonts w:ascii="宋体" w:hAnsi="宋体" w:cs="宋体"/>
                  </w:rPr>
                </w:pPr>
                <w:r>
                  <w:rPr>
                    <w:rFonts w:ascii="宋体" w:hAnsi="宋体" w:cs="宋体" w:hint="eastAsia"/>
                    <w:color w:val="000000"/>
                    <w:lang w:bidi="ar"/>
                  </w:rPr>
                  <w:t>9,189</w:t>
                </w:r>
              </w:p>
            </w:tc>
            <w:tc>
              <w:tcPr>
                <w:tcW w:w="1465" w:type="dxa"/>
                <w:vAlign w:val="center"/>
              </w:tcPr>
              <w:p>
                <w:pPr>
                  <w:jc w:val="right"/>
                  <w:textAlignment w:val="center"/>
                  <w:rPr>
                    <w:rFonts w:ascii="宋体" w:hAnsi="宋体" w:cs="宋体"/>
                  </w:rPr>
                </w:pPr>
              </w:p>
            </w:tc>
            <w:tc>
              <w:tcPr>
                <w:tcW w:w="1464" w:type="dxa"/>
                <w:vAlign w:val="center"/>
              </w:tcPr>
              <w:p>
                <w:pPr>
                  <w:jc w:val="right"/>
                  <w:textAlignment w:val="center"/>
                  <w:rPr>
                    <w:rFonts w:ascii="宋体" w:hAnsi="宋体" w:cs="宋体"/>
                  </w:rPr>
                </w:pPr>
                <w:r>
                  <w:rPr>
                    <w:rFonts w:ascii="宋体" w:hAnsi="宋体" w:cs="宋体" w:hint="eastAsia"/>
                    <w:color w:val="000000"/>
                    <w:lang w:bidi="ar"/>
                  </w:rPr>
                  <w:t>41,979,259</w:t>
                </w: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其中：</w:t>
                </w:r>
              </w:p>
            </w:tc>
            <w:tc>
              <w:tcPr>
                <w:tcW w:w="1362" w:type="dxa"/>
                <w:vAlign w:val="center"/>
              </w:tcPr>
              <w:p>
                <w:pPr>
                  <w:jc w:val="right"/>
                  <w:rPr>
                    <w:rFonts w:ascii="宋体" w:hAnsi="宋体" w:cs="宋体"/>
                  </w:rPr>
                </w:pPr>
              </w:p>
            </w:tc>
            <w:tc>
              <w:tcPr>
                <w:tcW w:w="1047" w:type="dxa"/>
                <w:vAlign w:val="center"/>
              </w:tcPr>
              <w:p>
                <w:pPr>
                  <w:jc w:val="right"/>
                  <w:rPr>
                    <w:rFonts w:ascii="宋体" w:hAnsi="宋体" w:cs="宋体"/>
                  </w:rPr>
                </w:pPr>
              </w:p>
            </w:tc>
            <w:tc>
              <w:tcPr>
                <w:tcW w:w="1256" w:type="dxa"/>
                <w:vAlign w:val="center"/>
              </w:tcPr>
              <w:p>
                <w:pPr>
                  <w:jc w:val="right"/>
                  <w:rPr>
                    <w:rFonts w:ascii="宋体" w:hAnsi="宋体" w:cs="宋体"/>
                  </w:rPr>
                </w:pPr>
              </w:p>
            </w:tc>
            <w:tc>
              <w:tcPr>
                <w:tcW w:w="1465" w:type="dxa"/>
                <w:vAlign w:val="center"/>
              </w:tcPr>
              <w:p>
                <w:pPr>
                  <w:jc w:val="right"/>
                  <w:rPr>
                    <w:rFonts w:ascii="宋体" w:hAnsi="宋体" w:cs="宋体"/>
                  </w:rPr>
                </w:pPr>
              </w:p>
            </w:tc>
            <w:tc>
              <w:tcPr>
                <w:tcW w:w="1464" w:type="dxa"/>
                <w:vAlign w:val="center"/>
              </w:tcPr>
              <w:p>
                <w:pPr>
                  <w:jc w:val="right"/>
                  <w:rPr>
                    <w:rFonts w:ascii="宋体" w:hAnsi="宋体" w:cs="宋体"/>
                  </w:rPr>
                </w:pP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账龄组合</w:t>
                </w:r>
              </w:p>
            </w:tc>
            <w:tc>
              <w:tcPr>
                <w:tcW w:w="1362" w:type="dxa"/>
                <w:vAlign w:val="center"/>
              </w:tcPr>
              <w:p>
                <w:pPr>
                  <w:jc w:val="right"/>
                  <w:textAlignment w:val="center"/>
                  <w:rPr>
                    <w:rFonts w:ascii="宋体" w:hAnsi="宋体" w:cs="宋体"/>
                  </w:rPr>
                </w:pPr>
                <w:r>
                  <w:rPr>
                    <w:rFonts w:ascii="宋体" w:hAnsi="宋体" w:cs="宋体" w:hint="eastAsia"/>
                    <w:color w:val="000000"/>
                    <w:lang w:bidi="ar"/>
                  </w:rPr>
                  <w:t>280,459</w:t>
                </w:r>
              </w:p>
            </w:tc>
            <w:tc>
              <w:tcPr>
                <w:tcW w:w="1047" w:type="dxa"/>
                <w:vAlign w:val="center"/>
              </w:tcPr>
              <w:p>
                <w:pPr>
                  <w:jc w:val="right"/>
                  <w:textAlignment w:val="center"/>
                  <w:rPr>
                    <w:rFonts w:ascii="宋体" w:hAnsi="宋体" w:cs="宋体"/>
                  </w:rPr>
                </w:pPr>
                <w:r>
                  <w:rPr>
                    <w:rFonts w:ascii="宋体" w:hAnsi="宋体" w:cs="宋体" w:hint="eastAsia"/>
                    <w:color w:val="000000"/>
                    <w:lang w:bidi="ar"/>
                  </w:rPr>
                  <w:t>1</w:t>
                </w:r>
              </w:p>
            </w:tc>
            <w:tc>
              <w:tcPr>
                <w:tcW w:w="1256" w:type="dxa"/>
                <w:vAlign w:val="center"/>
              </w:tcPr>
              <w:p>
                <w:pPr>
                  <w:jc w:val="right"/>
                  <w:textAlignment w:val="center"/>
                  <w:rPr>
                    <w:rFonts w:ascii="宋体" w:hAnsi="宋体" w:cs="宋体"/>
                  </w:rPr>
                </w:pPr>
                <w:r>
                  <w:rPr>
                    <w:rFonts w:ascii="宋体" w:hAnsi="宋体" w:cs="宋体" w:hint="eastAsia"/>
                    <w:color w:val="000000"/>
                    <w:lang w:bidi="ar"/>
                  </w:rPr>
                  <w:t>9,189</w:t>
                </w:r>
              </w:p>
            </w:tc>
            <w:tc>
              <w:tcPr>
                <w:tcW w:w="1465" w:type="dxa"/>
                <w:vAlign w:val="center"/>
              </w:tcPr>
              <w:p>
                <w:pPr>
                  <w:jc w:val="right"/>
                  <w:textAlignment w:val="center"/>
                  <w:rPr>
                    <w:rFonts w:ascii="宋体" w:hAnsi="宋体" w:cs="宋体"/>
                  </w:rPr>
                </w:pPr>
                <w:r>
                  <w:rPr>
                    <w:rFonts w:ascii="宋体" w:hAnsi="宋体" w:cs="宋体" w:hint="eastAsia"/>
                    <w:color w:val="000000"/>
                    <w:lang w:bidi="ar"/>
                  </w:rPr>
                  <w:t>3</w:t>
                </w:r>
              </w:p>
            </w:tc>
            <w:tc>
              <w:tcPr>
                <w:tcW w:w="1464" w:type="dxa"/>
                <w:vAlign w:val="center"/>
              </w:tcPr>
              <w:p>
                <w:pPr>
                  <w:jc w:val="right"/>
                  <w:textAlignment w:val="center"/>
                  <w:rPr>
                    <w:rFonts w:ascii="宋体" w:hAnsi="宋体" w:cs="宋体"/>
                  </w:rPr>
                </w:pPr>
                <w:r>
                  <w:rPr>
                    <w:rFonts w:ascii="宋体" w:hAnsi="宋体" w:cs="宋体" w:hint="eastAsia"/>
                    <w:color w:val="000000"/>
                    <w:lang w:bidi="ar"/>
                  </w:rPr>
                  <w:t>271,270</w:t>
                </w:r>
              </w:p>
            </w:tc>
          </w:tr>
          <w:tr>
            <w:trPr>
              <w:trHeight w:val="397"/>
              <w:jc w:val="center"/>
            </w:trPr>
            <w:tc>
              <w:tcPr>
                <w:tcW w:w="1985" w:type="dxa"/>
                <w:vAlign w:val="center"/>
              </w:tcPr>
              <w:p>
                <w:pPr>
                  <w:snapToGrid w:val="0"/>
                  <w:spacing w:line="240" w:lineRule="atLeast"/>
                  <w:rPr>
                    <w:rFonts w:ascii="宋体" w:hAnsi="宋体" w:cs="宋体"/>
                  </w:rPr>
                </w:pPr>
                <w:r>
                  <w:rPr>
                    <w:rFonts w:ascii="宋体" w:hAnsi="宋体" w:cs="宋体" w:hint="eastAsia"/>
                  </w:rPr>
                  <w:t>无风险组合</w:t>
                </w:r>
              </w:p>
            </w:tc>
            <w:tc>
              <w:tcPr>
                <w:tcW w:w="1362" w:type="dxa"/>
                <w:vAlign w:val="center"/>
              </w:tcPr>
              <w:p>
                <w:pPr>
                  <w:jc w:val="right"/>
                  <w:textAlignment w:val="center"/>
                  <w:rPr>
                    <w:rFonts w:ascii="宋体" w:hAnsi="宋体" w:cs="宋体"/>
                  </w:rPr>
                </w:pPr>
                <w:r>
                  <w:rPr>
                    <w:rFonts w:ascii="宋体" w:hAnsi="宋体" w:cs="宋体" w:hint="eastAsia"/>
                    <w:color w:val="000000"/>
                    <w:lang w:bidi="ar"/>
                  </w:rPr>
                  <w:t>41,707,989</w:t>
                </w:r>
              </w:p>
            </w:tc>
            <w:tc>
              <w:tcPr>
                <w:tcW w:w="1047" w:type="dxa"/>
                <w:vAlign w:val="center"/>
              </w:tcPr>
              <w:p>
                <w:pPr>
                  <w:jc w:val="right"/>
                  <w:textAlignment w:val="center"/>
                  <w:rPr>
                    <w:rFonts w:ascii="宋体" w:hAnsi="宋体" w:cs="宋体"/>
                  </w:rPr>
                </w:pPr>
                <w:r>
                  <w:rPr>
                    <w:rFonts w:ascii="宋体" w:hAnsi="宋体" w:cs="宋体" w:hint="eastAsia"/>
                    <w:color w:val="000000"/>
                    <w:lang w:bidi="ar"/>
                  </w:rPr>
                  <w:t>99</w:t>
                </w:r>
              </w:p>
            </w:tc>
            <w:tc>
              <w:tcPr>
                <w:tcW w:w="1256" w:type="dxa"/>
                <w:vAlign w:val="center"/>
              </w:tcPr>
              <w:p>
                <w:pPr>
                  <w:jc w:val="right"/>
                  <w:rPr>
                    <w:rFonts w:ascii="宋体" w:hAnsi="宋体" w:cs="宋体"/>
                  </w:rPr>
                </w:pPr>
              </w:p>
            </w:tc>
            <w:tc>
              <w:tcPr>
                <w:tcW w:w="1465" w:type="dxa"/>
                <w:vAlign w:val="center"/>
              </w:tcPr>
              <w:p>
                <w:pPr>
                  <w:jc w:val="right"/>
                  <w:rPr>
                    <w:rFonts w:ascii="宋体" w:hAnsi="宋体" w:cs="宋体"/>
                  </w:rPr>
                </w:pPr>
              </w:p>
            </w:tc>
            <w:tc>
              <w:tcPr>
                <w:tcW w:w="1464" w:type="dxa"/>
                <w:vAlign w:val="center"/>
              </w:tcPr>
              <w:p>
                <w:pPr>
                  <w:jc w:val="right"/>
                  <w:textAlignment w:val="center"/>
                  <w:rPr>
                    <w:rFonts w:ascii="宋体" w:hAnsi="宋体" w:cs="宋体"/>
                  </w:rPr>
                </w:pPr>
                <w:r>
                  <w:rPr>
                    <w:rFonts w:ascii="宋体" w:hAnsi="宋体" w:cs="宋体" w:hint="eastAsia"/>
                    <w:color w:val="000000"/>
                    <w:lang w:bidi="ar"/>
                  </w:rPr>
                  <w:t>41,707,989</w:t>
                </w:r>
              </w:p>
            </w:tc>
          </w:tr>
          <w:tr>
            <w:trPr>
              <w:trHeight w:val="397"/>
              <w:jc w:val="center"/>
            </w:trPr>
            <w:tc>
              <w:tcPr>
                <w:tcW w:w="1985" w:type="dxa"/>
                <w:vAlign w:val="center"/>
              </w:tcPr>
              <w:p>
                <w:pPr>
                  <w:snapToGrid w:val="0"/>
                  <w:spacing w:line="240" w:lineRule="atLeast"/>
                  <w:jc w:val="center"/>
                  <w:rPr>
                    <w:rFonts w:ascii="宋体" w:hAnsi="宋体" w:cs="宋体"/>
                  </w:rPr>
                </w:pPr>
                <w:r>
                  <w:rPr>
                    <w:rFonts w:ascii="宋体" w:hAnsi="宋体" w:cs="宋体" w:hint="eastAsia"/>
                  </w:rPr>
                  <w:t>合计</w:t>
                </w:r>
              </w:p>
            </w:tc>
            <w:tc>
              <w:tcPr>
                <w:tcW w:w="1362" w:type="dxa"/>
                <w:vAlign w:val="center"/>
              </w:tcPr>
              <w:p>
                <w:pPr>
                  <w:jc w:val="right"/>
                  <w:textAlignment w:val="center"/>
                  <w:rPr>
                    <w:rFonts w:ascii="宋体" w:hAnsi="宋体" w:cs="宋体"/>
                  </w:rPr>
                </w:pPr>
                <w:r>
                  <w:rPr>
                    <w:rFonts w:ascii="宋体" w:hAnsi="宋体" w:cs="宋体" w:hint="eastAsia"/>
                    <w:color w:val="000000"/>
                    <w:lang w:bidi="ar"/>
                  </w:rPr>
                  <w:t>42,089,020</w:t>
                </w:r>
              </w:p>
            </w:tc>
            <w:tc>
              <w:tcPr>
                <w:tcW w:w="1047" w:type="dxa"/>
                <w:vAlign w:val="center"/>
              </w:tcPr>
              <w:p>
                <w:pPr>
                  <w:jc w:val="right"/>
                  <w:textAlignment w:val="center"/>
                  <w:rPr>
                    <w:rFonts w:ascii="宋体" w:hAnsi="宋体" w:cs="宋体"/>
                  </w:rPr>
                </w:pPr>
                <w:r>
                  <w:rPr>
                    <w:rFonts w:ascii="宋体" w:hAnsi="宋体" w:cs="宋体" w:hint="eastAsia"/>
                    <w:color w:val="000000"/>
                    <w:lang w:bidi="ar"/>
                  </w:rPr>
                  <w:t>100</w:t>
                </w:r>
              </w:p>
            </w:tc>
            <w:tc>
              <w:tcPr>
                <w:tcW w:w="1256" w:type="dxa"/>
                <w:vAlign w:val="center"/>
              </w:tcPr>
              <w:p>
                <w:pPr>
                  <w:jc w:val="right"/>
                  <w:textAlignment w:val="center"/>
                  <w:rPr>
                    <w:rFonts w:ascii="宋体" w:hAnsi="宋体" w:cs="宋体"/>
                  </w:rPr>
                </w:pPr>
                <w:r>
                  <w:rPr>
                    <w:rFonts w:ascii="宋体" w:hAnsi="宋体" w:cs="宋体" w:hint="eastAsia"/>
                    <w:color w:val="000000"/>
                    <w:lang w:bidi="ar"/>
                  </w:rPr>
                  <w:t>109,761</w:t>
                </w:r>
              </w:p>
            </w:tc>
            <w:tc>
              <w:tcPr>
                <w:tcW w:w="1465" w:type="dxa"/>
                <w:vAlign w:val="center"/>
              </w:tcPr>
              <w:p>
                <w:pPr>
                  <w:jc w:val="right"/>
                  <w:rPr>
                    <w:rFonts w:ascii="宋体" w:hAnsi="宋体" w:cs="宋体"/>
                  </w:rPr>
                </w:pPr>
              </w:p>
            </w:tc>
            <w:tc>
              <w:tcPr>
                <w:tcW w:w="1464" w:type="dxa"/>
                <w:vAlign w:val="center"/>
              </w:tcPr>
              <w:p>
                <w:pPr>
                  <w:jc w:val="right"/>
                  <w:textAlignment w:val="center"/>
                  <w:rPr>
                    <w:rFonts w:ascii="宋体" w:hAnsi="宋体" w:cs="宋体"/>
                  </w:rPr>
                </w:pPr>
                <w:r>
                  <w:rPr>
                    <w:rFonts w:ascii="宋体" w:hAnsi="宋体" w:cs="宋体" w:hint="eastAsia"/>
                    <w:color w:val="000000"/>
                    <w:lang w:bidi="ar"/>
                  </w:rPr>
                  <w:t>41,979,259</w:t>
                </w:r>
              </w:p>
            </w:tc>
          </w:tr>
        </w:tbl>
        <w:p>
          <w:pPr>
            <w:pStyle w:val="Style2061"/>
            <w:spacing w:afterLines="0" w:after="0"/>
            <w:ind w:firstLine="400"/>
            <w:rPr>
              <w:rFonts w:hAnsi="宋体" w:cs="宋体"/>
              <w:szCs w:val="21"/>
            </w:rPr>
          </w:pPr>
        </w:p>
        <w:p>
          <w:pPr>
            <w:spacing w:afterLines="50" w:after="120" w:line="360" w:lineRule="exact"/>
            <w:ind w:firstLineChars="200" w:firstLine="420"/>
            <w:rPr>
              <w:rFonts w:ascii="宋体" w:hAnsi="宋体" w:cs="宋体"/>
            </w:rPr>
          </w:pPr>
          <w:r>
            <w:rPr>
              <w:rFonts w:ascii="宋体" w:hAnsi="宋体" w:cs="宋体" w:hint="eastAsia"/>
            </w:rPr>
            <w:t>按单项计提坏账准备：</w:t>
          </w:r>
        </w:p>
        <w:tbl>
          <w:tblPr>
            <w:tblStyle w:val="Style100"/>
            <w:tblW w:w="925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2025-11-17兖矿2025年年审\0-2025年兖矿能源TB\兖矿2025年审计报告|04.财务附注-2025年度.xlsx|W附注模板|_jds221|0|desc|||0|1"/>
          </w:tblPr>
          <w:tblGrid>
            <w:gridCol w:w="2766"/>
            <w:gridCol w:w="992"/>
            <w:gridCol w:w="992"/>
            <w:gridCol w:w="992"/>
            <w:gridCol w:w="1171"/>
            <w:gridCol w:w="993"/>
            <w:gridCol w:w="1346"/>
          </w:tblGrid>
          <w:tr>
            <w:trPr>
              <w:trHeight w:val="397"/>
              <w:tblHeader/>
              <w:jc w:val="center"/>
            </w:trPr>
            <w:tc>
              <w:tcPr>
                <w:tcW w:w="2766" w:type="dxa"/>
                <w:vMerge w:val="restart"/>
                <w:vAlign w:val="center"/>
              </w:tcPr>
              <w:p>
                <w:pPr>
                  <w:spacing w:line="360" w:lineRule="exact"/>
                  <w:jc w:val="center"/>
                  <w:rPr>
                    <w:rFonts w:ascii="宋体" w:hAnsi="宋体" w:cs="宋体"/>
                    <w:b/>
                  </w:rPr>
                </w:pPr>
                <w:r>
                  <w:rPr>
                    <w:rFonts w:ascii="宋体" w:hAnsi="宋体" w:cs="宋体" w:hint="eastAsia"/>
                    <w:b/>
                  </w:rPr>
                  <w:lastRenderedPageBreak/>
                  <w:t>名称</w:t>
                </w:r>
              </w:p>
            </w:tc>
            <w:tc>
              <w:tcPr>
                <w:tcW w:w="1984" w:type="dxa"/>
                <w:gridSpan w:val="2"/>
                <w:vAlign w:val="center"/>
              </w:tcPr>
              <w:p>
                <w:pPr>
                  <w:spacing w:line="360" w:lineRule="exact"/>
                  <w:jc w:val="center"/>
                  <w:rPr>
                    <w:rFonts w:ascii="宋体" w:hAnsi="宋体" w:cs="宋体"/>
                    <w:b/>
                  </w:rPr>
                </w:pPr>
                <w:r>
                  <w:rPr>
                    <w:rFonts w:ascii="宋体" w:hAnsi="宋体" w:cs="宋体" w:hint="eastAsia"/>
                    <w:b/>
                  </w:rPr>
                  <w:t>期初余额</w:t>
                </w:r>
              </w:p>
            </w:tc>
            <w:tc>
              <w:tcPr>
                <w:tcW w:w="4502" w:type="dxa"/>
                <w:gridSpan w:val="4"/>
                <w:vAlign w:val="center"/>
              </w:tcPr>
              <w:p>
                <w:pPr>
                  <w:spacing w:line="360" w:lineRule="exact"/>
                  <w:jc w:val="center"/>
                  <w:rPr>
                    <w:rFonts w:ascii="宋体" w:hAnsi="宋体" w:cs="宋体"/>
                    <w:b/>
                  </w:rPr>
                </w:pPr>
                <w:r>
                  <w:rPr>
                    <w:rFonts w:ascii="宋体" w:hAnsi="宋体" w:cs="宋体" w:hint="eastAsia"/>
                    <w:b/>
                  </w:rPr>
                  <w:t>期末余额</w:t>
                </w:r>
              </w:p>
            </w:tc>
          </w:tr>
          <w:tr>
            <w:trPr>
              <w:trHeight w:val="397"/>
              <w:tblHeader/>
              <w:jc w:val="center"/>
            </w:trPr>
            <w:tc>
              <w:tcPr>
                <w:tcW w:w="2766" w:type="dxa"/>
                <w:vMerge/>
                <w:vAlign w:val="center"/>
              </w:tcPr>
              <w:p>
                <w:pPr>
                  <w:spacing w:line="360" w:lineRule="exact"/>
                  <w:jc w:val="center"/>
                  <w:rPr>
                    <w:rFonts w:ascii="宋体" w:hAnsi="宋体" w:cs="宋体"/>
                    <w:b/>
                  </w:rPr>
                </w:pPr>
              </w:p>
            </w:tc>
            <w:tc>
              <w:tcPr>
                <w:tcW w:w="992" w:type="dxa"/>
                <w:vAlign w:val="center"/>
              </w:tcPr>
              <w:p>
                <w:pPr>
                  <w:spacing w:line="360" w:lineRule="exact"/>
                  <w:jc w:val="center"/>
                  <w:rPr>
                    <w:rFonts w:ascii="宋体" w:hAnsi="宋体" w:cs="宋体"/>
                    <w:b/>
                  </w:rPr>
                </w:pPr>
                <w:r>
                  <w:rPr>
                    <w:rFonts w:ascii="宋体" w:hAnsi="宋体" w:cs="宋体" w:hint="eastAsia"/>
                    <w:b/>
                  </w:rPr>
                  <w:t>账面余额</w:t>
                </w:r>
              </w:p>
            </w:tc>
            <w:tc>
              <w:tcPr>
                <w:tcW w:w="992" w:type="dxa"/>
                <w:vAlign w:val="center"/>
              </w:tcPr>
              <w:p>
                <w:pPr>
                  <w:spacing w:line="360" w:lineRule="exact"/>
                  <w:jc w:val="center"/>
                  <w:rPr>
                    <w:rFonts w:ascii="宋体" w:hAnsi="宋体" w:cs="宋体"/>
                    <w:b/>
                  </w:rPr>
                </w:pPr>
                <w:r>
                  <w:rPr>
                    <w:rFonts w:ascii="宋体" w:hAnsi="宋体" w:cs="宋体" w:hint="eastAsia"/>
                    <w:b/>
                  </w:rPr>
                  <w:t>坏账准备</w:t>
                </w:r>
              </w:p>
            </w:tc>
            <w:tc>
              <w:tcPr>
                <w:tcW w:w="992" w:type="dxa"/>
                <w:vAlign w:val="center"/>
              </w:tcPr>
              <w:p>
                <w:pPr>
                  <w:spacing w:line="360" w:lineRule="exact"/>
                  <w:jc w:val="center"/>
                  <w:rPr>
                    <w:rFonts w:ascii="宋体" w:hAnsi="宋体" w:cs="宋体"/>
                    <w:b/>
                  </w:rPr>
                </w:pPr>
                <w:r>
                  <w:rPr>
                    <w:rFonts w:ascii="宋体" w:hAnsi="宋体" w:cs="宋体" w:hint="eastAsia"/>
                    <w:b/>
                  </w:rPr>
                  <w:t>账面余额</w:t>
                </w:r>
              </w:p>
            </w:tc>
            <w:tc>
              <w:tcPr>
                <w:tcW w:w="1171" w:type="dxa"/>
                <w:vAlign w:val="center"/>
              </w:tcPr>
              <w:p>
                <w:pPr>
                  <w:spacing w:line="360" w:lineRule="exact"/>
                  <w:jc w:val="center"/>
                  <w:rPr>
                    <w:rFonts w:ascii="宋体" w:hAnsi="宋体" w:cs="宋体"/>
                    <w:b/>
                  </w:rPr>
                </w:pPr>
                <w:r>
                  <w:rPr>
                    <w:rFonts w:ascii="宋体" w:hAnsi="宋体" w:cs="宋体" w:hint="eastAsia"/>
                    <w:b/>
                  </w:rPr>
                  <w:t>坏账准备</w:t>
                </w:r>
              </w:p>
            </w:tc>
            <w:tc>
              <w:tcPr>
                <w:tcW w:w="993" w:type="dxa"/>
                <w:vAlign w:val="center"/>
              </w:tcPr>
              <w:p>
                <w:pPr>
                  <w:spacing w:line="360" w:lineRule="exact"/>
                  <w:jc w:val="center"/>
                  <w:rPr>
                    <w:rFonts w:ascii="宋体" w:hAnsi="宋体" w:cs="宋体"/>
                    <w:b/>
                  </w:rPr>
                </w:pPr>
                <w:r>
                  <w:rPr>
                    <w:rFonts w:ascii="宋体" w:hAnsi="宋体" w:cs="宋体" w:hint="eastAsia"/>
                    <w:b/>
                  </w:rPr>
                  <w:t>计提比例（%）</w:t>
                </w:r>
              </w:p>
            </w:tc>
            <w:tc>
              <w:tcPr>
                <w:tcW w:w="1346" w:type="dxa"/>
                <w:vAlign w:val="center"/>
              </w:tcPr>
              <w:p>
                <w:pPr>
                  <w:spacing w:line="360" w:lineRule="exact"/>
                  <w:jc w:val="center"/>
                  <w:rPr>
                    <w:rFonts w:ascii="宋体" w:hAnsi="宋体" w:cs="宋体"/>
                    <w:b/>
                  </w:rPr>
                </w:pPr>
                <w:r>
                  <w:rPr>
                    <w:rFonts w:ascii="宋体" w:hAnsi="宋体" w:cs="宋体" w:hint="eastAsia"/>
                    <w:b/>
                  </w:rPr>
                  <w:t>计提理由</w:t>
                </w:r>
              </w:p>
            </w:tc>
          </w:tr>
          <w:tr>
            <w:trPr>
              <w:trHeight w:val="397"/>
              <w:jc w:val="center"/>
            </w:trPr>
            <w:tc>
              <w:tcPr>
                <w:tcW w:w="2766" w:type="dxa"/>
                <w:vAlign w:val="center"/>
              </w:tcPr>
              <w:p>
                <w:pPr>
                  <w:textAlignment w:val="center"/>
                  <w:rPr>
                    <w:rFonts w:ascii="宋体" w:hAnsi="宋体" w:cs="宋体"/>
                  </w:rPr>
                </w:pPr>
                <w:r>
                  <w:rPr>
                    <w:rFonts w:ascii="宋体" w:hAnsi="宋体" w:cs="宋体" w:hint="eastAsia"/>
                    <w:color w:val="000000"/>
                    <w:lang w:bidi="ar"/>
                  </w:rPr>
                  <w:t>山西天浩化工股份有限公司</w:t>
                </w:r>
              </w:p>
            </w:tc>
            <w:tc>
              <w:tcPr>
                <w:tcW w:w="992" w:type="dxa"/>
                <w:vAlign w:val="center"/>
              </w:tcPr>
              <w:p>
                <w:pPr>
                  <w:jc w:val="right"/>
                  <w:textAlignment w:val="center"/>
                  <w:rPr>
                    <w:rFonts w:ascii="宋体" w:hAnsi="宋体" w:cs="宋体"/>
                  </w:rPr>
                </w:pPr>
                <w:r>
                  <w:rPr>
                    <w:rFonts w:ascii="宋体" w:hAnsi="宋体" w:cs="宋体" w:hint="eastAsia"/>
                    <w:color w:val="000000"/>
                    <w:lang w:bidi="ar"/>
                  </w:rPr>
                  <w:t>28,240</w:t>
                </w:r>
              </w:p>
            </w:tc>
            <w:tc>
              <w:tcPr>
                <w:tcW w:w="992" w:type="dxa"/>
                <w:vAlign w:val="center"/>
              </w:tcPr>
              <w:p>
                <w:pPr>
                  <w:jc w:val="right"/>
                  <w:textAlignment w:val="center"/>
                  <w:rPr>
                    <w:rFonts w:ascii="宋体" w:hAnsi="宋体" w:cs="宋体"/>
                  </w:rPr>
                </w:pPr>
                <w:r>
                  <w:rPr>
                    <w:rFonts w:ascii="宋体" w:hAnsi="宋体" w:cs="宋体" w:hint="eastAsia"/>
                    <w:color w:val="000000"/>
                    <w:lang w:bidi="ar"/>
                  </w:rPr>
                  <w:t>28,240</w:t>
                </w:r>
              </w:p>
            </w:tc>
            <w:tc>
              <w:tcPr>
                <w:tcW w:w="992" w:type="dxa"/>
                <w:vAlign w:val="center"/>
              </w:tcPr>
              <w:p>
                <w:pPr>
                  <w:jc w:val="right"/>
                  <w:rPr>
                    <w:rFonts w:ascii="宋体" w:hAnsi="宋体" w:cs="宋体"/>
                  </w:rPr>
                </w:pPr>
              </w:p>
            </w:tc>
            <w:tc>
              <w:tcPr>
                <w:tcW w:w="1171" w:type="dxa"/>
                <w:vAlign w:val="center"/>
              </w:tcPr>
              <w:p>
                <w:pPr>
                  <w:jc w:val="right"/>
                  <w:rPr>
                    <w:rFonts w:ascii="宋体" w:hAnsi="宋体" w:cs="宋体"/>
                  </w:rPr>
                </w:pPr>
              </w:p>
            </w:tc>
            <w:tc>
              <w:tcPr>
                <w:tcW w:w="993" w:type="dxa"/>
                <w:vAlign w:val="center"/>
              </w:tcPr>
              <w:p>
                <w:pPr>
                  <w:jc w:val="right"/>
                  <w:rPr>
                    <w:rFonts w:ascii="宋体" w:hAnsi="宋体" w:cs="宋体"/>
                  </w:rPr>
                </w:pPr>
              </w:p>
            </w:tc>
            <w:tc>
              <w:tcPr>
                <w:tcW w:w="1346" w:type="dxa"/>
                <w:vAlign w:val="center"/>
              </w:tcPr>
              <w:p>
                <w:pPr>
                  <w:rPr>
                    <w:rFonts w:ascii="宋体" w:hAnsi="宋体" w:cs="宋体"/>
                  </w:rPr>
                </w:pPr>
              </w:p>
            </w:tc>
          </w:tr>
          <w:tr>
            <w:trPr>
              <w:trHeight w:val="397"/>
              <w:jc w:val="center"/>
            </w:trPr>
            <w:tc>
              <w:tcPr>
                <w:tcW w:w="2766" w:type="dxa"/>
                <w:vAlign w:val="center"/>
              </w:tcPr>
              <w:p>
                <w:pPr>
                  <w:textAlignment w:val="center"/>
                  <w:rPr>
                    <w:rFonts w:ascii="宋体" w:hAnsi="宋体" w:cs="宋体"/>
                  </w:rPr>
                </w:pPr>
                <w:r>
                  <w:rPr>
                    <w:rFonts w:ascii="宋体" w:hAnsi="宋体" w:cs="宋体" w:hint="eastAsia"/>
                    <w:color w:val="000000"/>
                    <w:lang w:bidi="ar"/>
                  </w:rPr>
                  <w:t>贵州金宝来贸易有限公司</w:t>
                </w:r>
              </w:p>
            </w:tc>
            <w:tc>
              <w:tcPr>
                <w:tcW w:w="992" w:type="dxa"/>
                <w:vAlign w:val="center"/>
              </w:tcPr>
              <w:p>
                <w:pPr>
                  <w:jc w:val="right"/>
                  <w:textAlignment w:val="center"/>
                  <w:rPr>
                    <w:rFonts w:ascii="宋体" w:hAnsi="宋体" w:cs="宋体"/>
                  </w:rPr>
                </w:pPr>
                <w:r>
                  <w:rPr>
                    <w:rFonts w:ascii="宋体" w:hAnsi="宋体" w:cs="宋体" w:hint="eastAsia"/>
                    <w:color w:val="000000"/>
                    <w:lang w:bidi="ar"/>
                  </w:rPr>
                  <w:t>3,163</w:t>
                </w:r>
              </w:p>
            </w:tc>
            <w:tc>
              <w:tcPr>
                <w:tcW w:w="992" w:type="dxa"/>
                <w:vAlign w:val="center"/>
              </w:tcPr>
              <w:p>
                <w:pPr>
                  <w:jc w:val="right"/>
                  <w:textAlignment w:val="center"/>
                  <w:rPr>
                    <w:rFonts w:ascii="宋体" w:hAnsi="宋体" w:cs="宋体"/>
                  </w:rPr>
                </w:pPr>
                <w:r>
                  <w:rPr>
                    <w:rFonts w:ascii="宋体" w:hAnsi="宋体" w:cs="宋体" w:hint="eastAsia"/>
                    <w:color w:val="000000"/>
                    <w:lang w:bidi="ar"/>
                  </w:rPr>
                  <w:t>3,163</w:t>
                </w:r>
              </w:p>
            </w:tc>
            <w:tc>
              <w:tcPr>
                <w:tcW w:w="992" w:type="dxa"/>
                <w:vAlign w:val="center"/>
              </w:tcPr>
              <w:p>
                <w:pPr>
                  <w:jc w:val="right"/>
                  <w:textAlignment w:val="center"/>
                  <w:rPr>
                    <w:rFonts w:ascii="宋体" w:hAnsi="宋体" w:cs="宋体"/>
                  </w:rPr>
                </w:pPr>
                <w:r>
                  <w:rPr>
                    <w:rFonts w:ascii="宋体" w:hAnsi="宋体" w:cs="宋体" w:hint="eastAsia"/>
                    <w:lang w:bidi="ar"/>
                  </w:rPr>
                  <w:t>3,163</w:t>
                </w:r>
              </w:p>
            </w:tc>
            <w:tc>
              <w:tcPr>
                <w:tcW w:w="1171" w:type="dxa"/>
                <w:vAlign w:val="center"/>
              </w:tcPr>
              <w:p>
                <w:pPr>
                  <w:jc w:val="right"/>
                  <w:textAlignment w:val="center"/>
                  <w:rPr>
                    <w:rFonts w:ascii="宋体" w:hAnsi="宋体" w:cs="宋体"/>
                  </w:rPr>
                </w:pPr>
                <w:r>
                  <w:rPr>
                    <w:rFonts w:ascii="宋体" w:hAnsi="宋体" w:cs="宋体" w:hint="eastAsia"/>
                    <w:lang w:bidi="ar"/>
                  </w:rPr>
                  <w:t>3,163</w:t>
                </w:r>
              </w:p>
            </w:tc>
            <w:tc>
              <w:tcPr>
                <w:tcW w:w="993" w:type="dxa"/>
                <w:vAlign w:val="center"/>
              </w:tcPr>
              <w:p>
                <w:pPr>
                  <w:jc w:val="right"/>
                  <w:textAlignment w:val="center"/>
                  <w:rPr>
                    <w:rFonts w:ascii="宋体" w:hAnsi="宋体" w:cs="宋体"/>
                  </w:rPr>
                </w:pPr>
                <w:r>
                  <w:rPr>
                    <w:rFonts w:ascii="宋体" w:hAnsi="宋体" w:cs="宋体" w:hint="eastAsia"/>
                    <w:lang w:bidi="ar"/>
                  </w:rPr>
                  <w:t>100</w:t>
                </w:r>
              </w:p>
            </w:tc>
            <w:tc>
              <w:tcPr>
                <w:tcW w:w="1346" w:type="dxa"/>
                <w:vAlign w:val="center"/>
              </w:tcPr>
              <w:p>
                <w:pPr>
                  <w:textAlignment w:val="center"/>
                  <w:rPr>
                    <w:rFonts w:ascii="宋体" w:hAnsi="宋体" w:cs="宋体"/>
                  </w:rPr>
                </w:pPr>
                <w:r>
                  <w:rPr>
                    <w:rFonts w:ascii="宋体" w:hAnsi="宋体" w:cs="宋体" w:hint="eastAsia"/>
                    <w:color w:val="000000"/>
                    <w:lang w:bidi="ar"/>
                  </w:rPr>
                  <w:t>预计无法收回</w:t>
                </w:r>
              </w:p>
            </w:tc>
          </w:tr>
          <w:tr>
            <w:trPr>
              <w:trHeight w:val="397"/>
              <w:jc w:val="center"/>
            </w:trPr>
            <w:tc>
              <w:tcPr>
                <w:tcW w:w="2766" w:type="dxa"/>
                <w:vAlign w:val="center"/>
              </w:tcPr>
              <w:p>
                <w:pPr>
                  <w:textAlignment w:val="center"/>
                  <w:rPr>
                    <w:rFonts w:ascii="宋体" w:hAnsi="宋体" w:cs="宋体"/>
                  </w:rPr>
                </w:pPr>
                <w:r>
                  <w:rPr>
                    <w:rFonts w:ascii="宋体" w:hAnsi="宋体" w:cs="宋体" w:hint="eastAsia"/>
                    <w:color w:val="000000"/>
                    <w:lang w:bidi="ar"/>
                  </w:rPr>
                  <w:t>山东圣杨木业有限公司</w:t>
                </w:r>
              </w:p>
            </w:tc>
            <w:tc>
              <w:tcPr>
                <w:tcW w:w="992" w:type="dxa"/>
                <w:vAlign w:val="center"/>
              </w:tcPr>
              <w:p>
                <w:pPr>
                  <w:jc w:val="right"/>
                  <w:textAlignment w:val="center"/>
                  <w:rPr>
                    <w:rFonts w:ascii="宋体" w:hAnsi="宋体" w:cs="宋体"/>
                  </w:rPr>
                </w:pPr>
                <w:r>
                  <w:rPr>
                    <w:rFonts w:ascii="宋体" w:hAnsi="宋体" w:cs="宋体" w:hint="eastAsia"/>
                    <w:color w:val="000000"/>
                    <w:lang w:bidi="ar"/>
                  </w:rPr>
                  <w:t>69,169</w:t>
                </w:r>
              </w:p>
            </w:tc>
            <w:tc>
              <w:tcPr>
                <w:tcW w:w="992" w:type="dxa"/>
                <w:vAlign w:val="center"/>
              </w:tcPr>
              <w:p>
                <w:pPr>
                  <w:jc w:val="right"/>
                  <w:textAlignment w:val="center"/>
                  <w:rPr>
                    <w:rFonts w:ascii="宋体" w:hAnsi="宋体" w:cs="宋体"/>
                  </w:rPr>
                </w:pPr>
                <w:r>
                  <w:rPr>
                    <w:rFonts w:ascii="宋体" w:hAnsi="宋体" w:cs="宋体" w:hint="eastAsia"/>
                    <w:color w:val="000000"/>
                    <w:lang w:bidi="ar"/>
                  </w:rPr>
                  <w:t>69,169</w:t>
                </w:r>
              </w:p>
            </w:tc>
            <w:tc>
              <w:tcPr>
                <w:tcW w:w="992" w:type="dxa"/>
                <w:vAlign w:val="center"/>
              </w:tcPr>
              <w:p>
                <w:pPr>
                  <w:jc w:val="right"/>
                  <w:textAlignment w:val="center"/>
                  <w:rPr>
                    <w:rFonts w:ascii="宋体" w:hAnsi="宋体" w:cs="宋体"/>
                  </w:rPr>
                </w:pPr>
                <w:r>
                  <w:rPr>
                    <w:rFonts w:ascii="宋体" w:hAnsi="宋体" w:cs="宋体" w:hint="eastAsia"/>
                    <w:lang w:bidi="ar"/>
                  </w:rPr>
                  <w:t>69,169</w:t>
                </w:r>
              </w:p>
            </w:tc>
            <w:tc>
              <w:tcPr>
                <w:tcW w:w="1171" w:type="dxa"/>
                <w:vAlign w:val="center"/>
              </w:tcPr>
              <w:p>
                <w:pPr>
                  <w:jc w:val="right"/>
                  <w:textAlignment w:val="center"/>
                  <w:rPr>
                    <w:rFonts w:ascii="宋体" w:hAnsi="宋体" w:cs="宋体"/>
                  </w:rPr>
                </w:pPr>
                <w:r>
                  <w:rPr>
                    <w:rFonts w:ascii="宋体" w:hAnsi="宋体" w:cs="宋体" w:hint="eastAsia"/>
                    <w:lang w:bidi="ar"/>
                  </w:rPr>
                  <w:t>69,169</w:t>
                </w:r>
              </w:p>
            </w:tc>
            <w:tc>
              <w:tcPr>
                <w:tcW w:w="993" w:type="dxa"/>
                <w:vAlign w:val="center"/>
              </w:tcPr>
              <w:p>
                <w:pPr>
                  <w:jc w:val="right"/>
                  <w:textAlignment w:val="center"/>
                  <w:rPr>
                    <w:rFonts w:ascii="宋体" w:hAnsi="宋体" w:cs="宋体"/>
                  </w:rPr>
                </w:pPr>
                <w:r>
                  <w:rPr>
                    <w:rFonts w:ascii="宋体" w:hAnsi="宋体" w:cs="宋体" w:hint="eastAsia"/>
                    <w:lang w:bidi="ar"/>
                  </w:rPr>
                  <w:t>100</w:t>
                </w:r>
              </w:p>
            </w:tc>
            <w:tc>
              <w:tcPr>
                <w:tcW w:w="1346" w:type="dxa"/>
                <w:vAlign w:val="center"/>
              </w:tcPr>
              <w:p>
                <w:pPr>
                  <w:textAlignment w:val="center"/>
                  <w:rPr>
                    <w:rFonts w:ascii="宋体" w:hAnsi="宋体" w:cs="宋体"/>
                  </w:rPr>
                </w:pPr>
                <w:r>
                  <w:rPr>
                    <w:rFonts w:ascii="宋体" w:hAnsi="宋体" w:cs="宋体" w:hint="eastAsia"/>
                    <w:color w:val="000000"/>
                    <w:lang w:bidi="ar"/>
                  </w:rPr>
                  <w:t>预计无法收回</w:t>
                </w:r>
              </w:p>
            </w:tc>
          </w:tr>
          <w:tr>
            <w:trPr>
              <w:trHeight w:val="397"/>
              <w:jc w:val="center"/>
            </w:trPr>
            <w:tc>
              <w:tcPr>
                <w:tcW w:w="2766" w:type="dxa"/>
                <w:vAlign w:val="center"/>
              </w:tcPr>
              <w:p>
                <w:pPr>
                  <w:textAlignment w:val="center"/>
                  <w:rPr>
                    <w:rFonts w:ascii="宋体" w:hAnsi="宋体" w:cs="宋体"/>
                  </w:rPr>
                </w:pPr>
                <w:r>
                  <w:rPr>
                    <w:rFonts w:ascii="宋体" w:hAnsi="宋体" w:cs="宋体" w:hint="eastAsia"/>
                    <w:color w:val="000000"/>
                    <w:lang w:bidi="ar"/>
                  </w:rPr>
                  <w:t>山东兖煤日照港储配煤有限公司</w:t>
                </w:r>
              </w:p>
            </w:tc>
            <w:tc>
              <w:tcPr>
                <w:tcW w:w="992" w:type="dxa"/>
                <w:vAlign w:val="center"/>
              </w:tcPr>
              <w:p>
                <w:pPr>
                  <w:jc w:val="right"/>
                  <w:rPr>
                    <w:rFonts w:ascii="宋体" w:hAnsi="宋体" w:cs="宋体"/>
                  </w:rPr>
                </w:pPr>
              </w:p>
            </w:tc>
            <w:tc>
              <w:tcPr>
                <w:tcW w:w="992" w:type="dxa"/>
                <w:vAlign w:val="center"/>
              </w:tcPr>
              <w:p>
                <w:pPr>
                  <w:jc w:val="right"/>
                  <w:rPr>
                    <w:rFonts w:ascii="宋体" w:hAnsi="宋体" w:cs="宋体"/>
                  </w:rPr>
                </w:pPr>
              </w:p>
            </w:tc>
            <w:tc>
              <w:tcPr>
                <w:tcW w:w="992" w:type="dxa"/>
                <w:vAlign w:val="center"/>
              </w:tcPr>
              <w:p>
                <w:pPr>
                  <w:jc w:val="right"/>
                  <w:textAlignment w:val="center"/>
                  <w:rPr>
                    <w:rFonts w:ascii="宋体" w:hAnsi="宋体" w:cs="宋体"/>
                  </w:rPr>
                </w:pPr>
                <w:r>
                  <w:rPr>
                    <w:rFonts w:ascii="宋体" w:hAnsi="宋体" w:cs="宋体" w:hint="eastAsia"/>
                    <w:lang w:bidi="ar"/>
                  </w:rPr>
                  <w:t>361,729</w:t>
                </w:r>
              </w:p>
            </w:tc>
            <w:tc>
              <w:tcPr>
                <w:tcW w:w="1171" w:type="dxa"/>
                <w:vAlign w:val="center"/>
              </w:tcPr>
              <w:p>
                <w:pPr>
                  <w:jc w:val="right"/>
                  <w:textAlignment w:val="center"/>
                  <w:rPr>
                    <w:rFonts w:ascii="宋体" w:hAnsi="宋体" w:cs="宋体"/>
                  </w:rPr>
                </w:pPr>
                <w:r>
                  <w:rPr>
                    <w:rFonts w:ascii="宋体" w:hAnsi="宋体" w:cs="宋体" w:hint="eastAsia"/>
                    <w:lang w:bidi="ar"/>
                  </w:rPr>
                  <w:t>361,729</w:t>
                </w:r>
              </w:p>
            </w:tc>
            <w:tc>
              <w:tcPr>
                <w:tcW w:w="993" w:type="dxa"/>
                <w:vAlign w:val="center"/>
              </w:tcPr>
              <w:p>
                <w:pPr>
                  <w:jc w:val="right"/>
                  <w:textAlignment w:val="center"/>
                  <w:rPr>
                    <w:rFonts w:ascii="宋体" w:hAnsi="宋体" w:cs="宋体"/>
                  </w:rPr>
                </w:pPr>
                <w:r>
                  <w:rPr>
                    <w:rFonts w:ascii="宋体" w:hAnsi="宋体" w:cs="宋体" w:hint="eastAsia"/>
                    <w:lang w:bidi="ar"/>
                  </w:rPr>
                  <w:t>100</w:t>
                </w:r>
              </w:p>
            </w:tc>
            <w:tc>
              <w:tcPr>
                <w:tcW w:w="1346" w:type="dxa"/>
                <w:vAlign w:val="center"/>
              </w:tcPr>
              <w:p>
                <w:pPr>
                  <w:textAlignment w:val="center"/>
                  <w:rPr>
                    <w:rFonts w:ascii="宋体" w:hAnsi="宋体" w:cs="宋体"/>
                  </w:rPr>
                </w:pPr>
                <w:r>
                  <w:rPr>
                    <w:rFonts w:ascii="宋体" w:hAnsi="宋体" w:cs="宋体" w:hint="eastAsia"/>
                    <w:color w:val="000000"/>
                    <w:lang w:bidi="ar"/>
                  </w:rPr>
                  <w:t>预计无法收回</w:t>
                </w:r>
              </w:p>
            </w:tc>
          </w:tr>
          <w:tr>
            <w:trPr>
              <w:trHeight w:val="397"/>
              <w:jc w:val="center"/>
            </w:trPr>
            <w:tc>
              <w:tcPr>
                <w:tcW w:w="2766" w:type="dxa"/>
                <w:vAlign w:val="center"/>
              </w:tcPr>
              <w:p>
                <w:pPr>
                  <w:textAlignment w:val="center"/>
                  <w:rPr>
                    <w:rFonts w:ascii="宋体" w:hAnsi="宋体" w:cs="宋体"/>
                  </w:rPr>
                </w:pPr>
                <w:r>
                  <w:rPr>
                    <w:rFonts w:ascii="宋体" w:hAnsi="宋体" w:cs="宋体" w:hint="eastAsia"/>
                    <w:color w:val="000000"/>
                    <w:lang w:bidi="ar"/>
                  </w:rPr>
                  <w:t>山东中鼎云联科技有限公司</w:t>
                </w:r>
              </w:p>
            </w:tc>
            <w:tc>
              <w:tcPr>
                <w:tcW w:w="992" w:type="dxa"/>
                <w:vAlign w:val="center"/>
              </w:tcPr>
              <w:p>
                <w:pPr>
                  <w:jc w:val="right"/>
                  <w:rPr>
                    <w:rFonts w:ascii="宋体" w:hAnsi="宋体" w:cs="宋体"/>
                  </w:rPr>
                </w:pPr>
              </w:p>
            </w:tc>
            <w:tc>
              <w:tcPr>
                <w:tcW w:w="992" w:type="dxa"/>
                <w:vAlign w:val="center"/>
              </w:tcPr>
              <w:p>
                <w:pPr>
                  <w:jc w:val="right"/>
                  <w:rPr>
                    <w:rFonts w:ascii="宋体" w:hAnsi="宋体" w:cs="宋体"/>
                  </w:rPr>
                </w:pPr>
              </w:p>
            </w:tc>
            <w:tc>
              <w:tcPr>
                <w:tcW w:w="992" w:type="dxa"/>
                <w:vAlign w:val="center"/>
              </w:tcPr>
              <w:p>
                <w:pPr>
                  <w:jc w:val="right"/>
                  <w:textAlignment w:val="center"/>
                  <w:rPr>
                    <w:rFonts w:ascii="宋体" w:hAnsi="宋体" w:cs="宋体"/>
                  </w:rPr>
                </w:pPr>
                <w:r>
                  <w:rPr>
                    <w:rFonts w:ascii="宋体" w:hAnsi="宋体" w:cs="宋体" w:hint="eastAsia"/>
                    <w:lang w:bidi="ar"/>
                  </w:rPr>
                  <w:t>210,147</w:t>
                </w:r>
              </w:p>
            </w:tc>
            <w:tc>
              <w:tcPr>
                <w:tcW w:w="1171" w:type="dxa"/>
                <w:vAlign w:val="center"/>
              </w:tcPr>
              <w:p>
                <w:pPr>
                  <w:jc w:val="right"/>
                  <w:textAlignment w:val="center"/>
                  <w:rPr>
                    <w:rFonts w:ascii="宋体" w:hAnsi="宋体" w:cs="宋体"/>
                  </w:rPr>
                </w:pPr>
                <w:r>
                  <w:rPr>
                    <w:rFonts w:ascii="宋体" w:hAnsi="宋体" w:cs="宋体" w:hint="eastAsia"/>
                    <w:lang w:bidi="ar"/>
                  </w:rPr>
                  <w:t>210,147</w:t>
                </w:r>
              </w:p>
            </w:tc>
            <w:tc>
              <w:tcPr>
                <w:tcW w:w="993" w:type="dxa"/>
                <w:vAlign w:val="center"/>
              </w:tcPr>
              <w:p>
                <w:pPr>
                  <w:jc w:val="right"/>
                  <w:textAlignment w:val="center"/>
                  <w:rPr>
                    <w:rFonts w:ascii="宋体" w:hAnsi="宋体" w:cs="宋体"/>
                  </w:rPr>
                </w:pPr>
                <w:r>
                  <w:rPr>
                    <w:rFonts w:ascii="宋体" w:hAnsi="宋体" w:cs="宋体" w:hint="eastAsia"/>
                    <w:lang w:bidi="ar"/>
                  </w:rPr>
                  <w:t>100</w:t>
                </w:r>
              </w:p>
            </w:tc>
            <w:tc>
              <w:tcPr>
                <w:tcW w:w="1346" w:type="dxa"/>
                <w:vAlign w:val="center"/>
              </w:tcPr>
              <w:p>
                <w:pPr>
                  <w:textAlignment w:val="center"/>
                  <w:rPr>
                    <w:rFonts w:ascii="宋体" w:hAnsi="宋体" w:cs="宋体"/>
                  </w:rPr>
                </w:pPr>
                <w:r>
                  <w:rPr>
                    <w:rFonts w:ascii="宋体" w:hAnsi="宋体" w:cs="宋体" w:hint="eastAsia"/>
                    <w:color w:val="000000"/>
                    <w:lang w:bidi="ar"/>
                  </w:rPr>
                  <w:t>预计无法收回</w:t>
                </w:r>
              </w:p>
            </w:tc>
          </w:tr>
          <w:tr>
            <w:trPr>
              <w:trHeight w:val="397"/>
              <w:jc w:val="center"/>
            </w:trPr>
            <w:tc>
              <w:tcPr>
                <w:tcW w:w="2766" w:type="dxa"/>
                <w:vAlign w:val="center"/>
              </w:tcPr>
              <w:p>
                <w:pPr>
                  <w:textAlignment w:val="center"/>
                  <w:rPr>
                    <w:rFonts w:ascii="宋体" w:hAnsi="宋体" w:cs="宋体"/>
                  </w:rPr>
                </w:pPr>
                <w:r>
                  <w:rPr>
                    <w:rFonts w:ascii="宋体" w:hAnsi="宋体" w:cs="宋体" w:hint="eastAsia"/>
                    <w:color w:val="000000"/>
                    <w:lang w:bidi="ar"/>
                  </w:rPr>
                  <w:t>其他不重大客户</w:t>
                </w:r>
              </w:p>
            </w:tc>
            <w:tc>
              <w:tcPr>
                <w:tcW w:w="992" w:type="dxa"/>
                <w:vAlign w:val="center"/>
              </w:tcPr>
              <w:p>
                <w:pPr>
                  <w:jc w:val="right"/>
                  <w:textAlignment w:val="center"/>
                  <w:rPr>
                    <w:rFonts w:ascii="宋体" w:hAnsi="宋体" w:cs="宋体"/>
                  </w:rPr>
                </w:pPr>
              </w:p>
            </w:tc>
            <w:tc>
              <w:tcPr>
                <w:tcW w:w="992" w:type="dxa"/>
                <w:vAlign w:val="center"/>
              </w:tcPr>
              <w:p>
                <w:pPr>
                  <w:jc w:val="right"/>
                  <w:textAlignment w:val="center"/>
                  <w:rPr>
                    <w:rFonts w:ascii="宋体" w:hAnsi="宋体" w:cs="宋体"/>
                  </w:rPr>
                </w:pPr>
              </w:p>
            </w:tc>
            <w:tc>
              <w:tcPr>
                <w:tcW w:w="992" w:type="dxa"/>
                <w:vAlign w:val="center"/>
              </w:tcPr>
              <w:p>
                <w:pPr>
                  <w:jc w:val="right"/>
                  <w:textAlignment w:val="center"/>
                  <w:rPr>
                    <w:rFonts w:ascii="宋体" w:hAnsi="宋体" w:cs="宋体"/>
                    <w:lang w:bidi="ar"/>
                  </w:rPr>
                </w:pPr>
                <w:r>
                  <w:rPr>
                    <w:rFonts w:ascii="宋体" w:hAnsi="宋体" w:cs="宋体" w:hint="eastAsia"/>
                    <w:lang w:bidi="ar"/>
                  </w:rPr>
                  <w:t>6,652</w:t>
                </w:r>
              </w:p>
            </w:tc>
            <w:tc>
              <w:tcPr>
                <w:tcW w:w="1171" w:type="dxa"/>
                <w:vAlign w:val="center"/>
              </w:tcPr>
              <w:p>
                <w:pPr>
                  <w:jc w:val="right"/>
                  <w:textAlignment w:val="center"/>
                  <w:rPr>
                    <w:rFonts w:ascii="宋体" w:hAnsi="宋体" w:cs="宋体"/>
                    <w:lang w:bidi="ar"/>
                  </w:rPr>
                </w:pPr>
                <w:r>
                  <w:rPr>
                    <w:rFonts w:ascii="宋体" w:hAnsi="宋体" w:cs="宋体" w:hint="eastAsia"/>
                    <w:lang w:bidi="ar"/>
                  </w:rPr>
                  <w:t>6,652</w:t>
                </w:r>
              </w:p>
            </w:tc>
            <w:tc>
              <w:tcPr>
                <w:tcW w:w="993" w:type="dxa"/>
                <w:vAlign w:val="center"/>
              </w:tcPr>
              <w:p>
                <w:pPr>
                  <w:jc w:val="right"/>
                  <w:textAlignment w:val="center"/>
                  <w:rPr>
                    <w:rFonts w:ascii="宋体" w:hAnsi="宋体" w:cs="宋体"/>
                  </w:rPr>
                </w:pPr>
                <w:r>
                  <w:rPr>
                    <w:rFonts w:ascii="宋体" w:hAnsi="宋体" w:cs="宋体" w:hint="eastAsia"/>
                    <w:lang w:bidi="ar"/>
                  </w:rPr>
                  <w:t>100</w:t>
                </w:r>
              </w:p>
            </w:tc>
            <w:tc>
              <w:tcPr>
                <w:tcW w:w="1346" w:type="dxa"/>
                <w:vAlign w:val="center"/>
              </w:tcPr>
              <w:p>
                <w:pPr>
                  <w:textAlignment w:val="center"/>
                  <w:rPr>
                    <w:rFonts w:ascii="宋体" w:hAnsi="宋体" w:cs="宋体"/>
                  </w:rPr>
                </w:pPr>
                <w:r>
                  <w:rPr>
                    <w:rFonts w:ascii="宋体" w:hAnsi="宋体" w:cs="宋体" w:hint="eastAsia"/>
                    <w:color w:val="000000"/>
                    <w:lang w:bidi="ar"/>
                  </w:rPr>
                  <w:t>预计无法收回</w:t>
                </w:r>
              </w:p>
            </w:tc>
          </w:tr>
          <w:tr>
            <w:trPr>
              <w:trHeight w:val="397"/>
              <w:jc w:val="center"/>
            </w:trPr>
            <w:tc>
              <w:tcPr>
                <w:tcW w:w="2766" w:type="dxa"/>
                <w:vAlign w:val="center"/>
              </w:tcPr>
              <w:p>
                <w:pPr>
                  <w:jc w:val="center"/>
                  <w:textAlignment w:val="center"/>
                  <w:rPr>
                    <w:rFonts w:ascii="宋体" w:hAnsi="宋体" w:cs="宋体"/>
                  </w:rPr>
                </w:pPr>
                <w:r>
                  <w:rPr>
                    <w:rFonts w:ascii="宋体" w:hAnsi="宋体" w:cs="宋体" w:hint="eastAsia"/>
                    <w:color w:val="000000"/>
                    <w:lang w:bidi="ar"/>
                  </w:rPr>
                  <w:t>合计</w:t>
                </w:r>
              </w:p>
            </w:tc>
            <w:tc>
              <w:tcPr>
                <w:tcW w:w="992" w:type="dxa"/>
                <w:vAlign w:val="center"/>
              </w:tcPr>
              <w:p>
                <w:pPr>
                  <w:jc w:val="right"/>
                  <w:textAlignment w:val="center"/>
                  <w:rPr>
                    <w:rFonts w:ascii="宋体" w:hAnsi="宋体" w:cs="宋体"/>
                  </w:rPr>
                </w:pPr>
                <w:r>
                  <w:rPr>
                    <w:rFonts w:ascii="宋体" w:hAnsi="宋体" w:cs="宋体" w:hint="eastAsia"/>
                    <w:color w:val="000000"/>
                    <w:lang w:bidi="ar"/>
                  </w:rPr>
                  <w:t>100,572</w:t>
                </w:r>
              </w:p>
            </w:tc>
            <w:tc>
              <w:tcPr>
                <w:tcW w:w="992" w:type="dxa"/>
                <w:vAlign w:val="center"/>
              </w:tcPr>
              <w:p>
                <w:pPr>
                  <w:jc w:val="right"/>
                  <w:textAlignment w:val="center"/>
                  <w:rPr>
                    <w:rFonts w:ascii="宋体" w:hAnsi="宋体" w:cs="宋体"/>
                  </w:rPr>
                </w:pPr>
                <w:r>
                  <w:rPr>
                    <w:rFonts w:ascii="宋体" w:hAnsi="宋体" w:cs="宋体" w:hint="eastAsia"/>
                    <w:color w:val="000000"/>
                    <w:lang w:bidi="ar"/>
                  </w:rPr>
                  <w:t>100,572</w:t>
                </w:r>
              </w:p>
            </w:tc>
            <w:tc>
              <w:tcPr>
                <w:tcW w:w="992" w:type="dxa"/>
                <w:vAlign w:val="center"/>
              </w:tcPr>
              <w:p>
                <w:pPr>
                  <w:jc w:val="right"/>
                  <w:textAlignment w:val="center"/>
                  <w:rPr>
                    <w:rFonts w:ascii="宋体" w:hAnsi="宋体" w:cs="宋体"/>
                  </w:rPr>
                </w:pPr>
                <w:r>
                  <w:rPr>
                    <w:rFonts w:ascii="宋体" w:hAnsi="宋体" w:cs="宋体" w:hint="eastAsia"/>
                    <w:lang w:bidi="ar"/>
                  </w:rPr>
                  <w:t>650,860</w:t>
                </w:r>
              </w:p>
            </w:tc>
            <w:tc>
              <w:tcPr>
                <w:tcW w:w="1171" w:type="dxa"/>
                <w:vAlign w:val="center"/>
              </w:tcPr>
              <w:p>
                <w:pPr>
                  <w:jc w:val="right"/>
                  <w:textAlignment w:val="center"/>
                  <w:rPr>
                    <w:rFonts w:ascii="宋体" w:hAnsi="宋体" w:cs="宋体"/>
                  </w:rPr>
                </w:pPr>
                <w:r>
                  <w:rPr>
                    <w:rFonts w:ascii="宋体" w:hAnsi="宋体" w:cs="宋体" w:hint="eastAsia"/>
                    <w:lang w:bidi="ar"/>
                  </w:rPr>
                  <w:t>650,860</w:t>
                </w:r>
              </w:p>
            </w:tc>
            <w:tc>
              <w:tcPr>
                <w:tcW w:w="993" w:type="dxa"/>
                <w:vAlign w:val="center"/>
              </w:tcPr>
              <w:p>
                <w:pPr>
                  <w:jc w:val="right"/>
                  <w:rPr>
                    <w:rFonts w:ascii="宋体" w:hAnsi="宋体" w:cs="宋体"/>
                    <w:u w:val="double"/>
                  </w:rPr>
                </w:pPr>
              </w:p>
            </w:tc>
            <w:tc>
              <w:tcPr>
                <w:tcW w:w="1346" w:type="dxa"/>
                <w:vAlign w:val="center"/>
              </w:tcPr>
              <w:p>
                <w:pPr>
                  <w:rPr>
                    <w:rFonts w:ascii="宋体" w:hAnsi="宋体" w:cs="宋体"/>
                    <w:u w:val="double"/>
                  </w:rPr>
                </w:pPr>
              </w:p>
            </w:tc>
          </w:tr>
        </w:tbl>
        <w:p>
          <w:pPr>
            <w:rPr>
              <w:bCs/>
              <w:szCs w:val="22"/>
            </w:rPr>
          </w:pPr>
        </w:p>
      </w:sdtContent>
    </w:sdt>
    <w:p>
      <w:pPr>
        <w:rPr>
          <w:bCs/>
          <w:szCs w:val="22"/>
        </w:rPr>
      </w:pPr>
    </w:p>
    <w:p>
      <w:pPr>
        <w:pStyle w:val="Style201"/>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7520469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bookmarkStart w:id="587" w:name="_Hlk534806894"/>
      <w:bookmarkEnd w:id="586"/>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2076969070"/>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80"/>
        <w:numPr>
          <w:ilvl w:val="0"/>
          <w:numId w:val="138"/>
        </w:numPr>
        <w:ind w:leftChars="0"/>
      </w:pPr>
      <w:bookmarkStart w:id="588" w:name="_Hlk533797618"/>
      <w:bookmarkStart w:id="589" w:name="_Hlk153797908"/>
      <w:bookmarkEnd w:id="587"/>
      <w:r>
        <w:rPr>
          <w:rFonts w:hint="eastAsia"/>
        </w:rPr>
        <w:t>坏账准备的情况</w:t>
      </w:r>
    </w:p>
    <w:sdt>
      <w:sdtPr>
        <w:alias w:val="是否适用：母公司其他应收款坏账准备情况[双击切换]"/>
        <w:tag w:val="_GBC_fe964b2b8e824335995eaad4df852022"/>
        <w:id w:val="15573949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8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5353180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r>
            <w:rPr>
              <w:rFonts w:hint="eastAsia"/>
              <w:szCs w:val="21"/>
            </w:rPr>
            <w:t xml:space="preserve">  </w:t>
          </w:r>
        </w:sdtContent>
      </w:sdt>
      <w:r>
        <w:rPr>
          <w:rFonts w:hint="eastAsia"/>
          <w:szCs w:val="21"/>
        </w:rPr>
        <w:t>币种：</w:t>
      </w:r>
      <w:sdt>
        <w:sdtPr>
          <w:rPr>
            <w:rFonts w:hint="eastAsia"/>
            <w:szCs w:val="21"/>
          </w:rPr>
          <w:alias w:val="币种：母公司其他应收款坏账准备情况"/>
          <w:tag w:val="_GBC_e2ca206ffc72482a9cbe8c86c5688b1f"/>
          <w:id w:val="9451202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Style100"/>
        <w:tblW w:w="90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440"/>
        <w:gridCol w:w="1215"/>
        <w:gridCol w:w="1317"/>
        <w:gridCol w:w="1215"/>
        <w:gridCol w:w="1295"/>
        <w:gridCol w:w="1289"/>
        <w:gridCol w:w="1286"/>
      </w:tblGrid>
      <w:tr>
        <w:sdt>
          <w:sdtPr>
            <w:tag w:val="_PLD_599b4552113b431d9950cc345fc3c771"/>
            <w:id w:val="373973108"/>
          </w:sdtPr>
          <w:sdtContent>
            <w:tc>
              <w:tcPr>
                <w:tcW w:w="1440" w:type="dxa"/>
                <w:vMerge w:val="restart"/>
                <w:shd w:val="clear" w:color="auto" w:fill="FFFFFF"/>
                <w:vAlign w:val="center"/>
              </w:tcPr>
              <w:p>
                <w:pPr>
                  <w:widowControl w:val="0"/>
                  <w:jc w:val="center"/>
                </w:pPr>
                <w:r>
                  <w:t>类别</w:t>
                </w:r>
              </w:p>
            </w:tc>
          </w:sdtContent>
        </w:sdt>
        <w:sdt>
          <w:sdtPr>
            <w:tag w:val="_PLD_b04fb91e27324be18dbb1170501ea7c2"/>
            <w:id w:val="-1555461024"/>
          </w:sdtPr>
          <w:sdtContent>
            <w:tc>
              <w:tcPr>
                <w:tcW w:w="1215" w:type="dxa"/>
                <w:vMerge w:val="restart"/>
                <w:shd w:val="clear" w:color="auto" w:fill="FFFFFF"/>
                <w:vAlign w:val="center"/>
              </w:tcPr>
              <w:p>
                <w:pPr>
                  <w:widowControl w:val="0"/>
                  <w:jc w:val="center"/>
                </w:pPr>
                <w:r>
                  <w:t>期初余额</w:t>
                </w:r>
              </w:p>
            </w:tc>
          </w:sdtContent>
        </w:sdt>
        <w:sdt>
          <w:sdtPr>
            <w:tag w:val="_PLD_3162774660ba4bd791229ed0557bee42"/>
            <w:id w:val="-1927105148"/>
          </w:sdtPr>
          <w:sdtContent>
            <w:tc>
              <w:tcPr>
                <w:tcW w:w="5116" w:type="dxa"/>
                <w:gridSpan w:val="4"/>
                <w:shd w:val="clear" w:color="auto" w:fill="FFFFFF"/>
                <w:vAlign w:val="center"/>
              </w:tcPr>
              <w:p>
                <w:pPr>
                  <w:widowControl w:val="0"/>
                  <w:jc w:val="center"/>
                </w:pPr>
                <w:r>
                  <w:rPr>
                    <w:rFonts w:hint="eastAsia"/>
                  </w:rPr>
                  <w:t>本期变动</w:t>
                </w:r>
                <w:r>
                  <w:t>金额</w:t>
                </w:r>
              </w:p>
            </w:tc>
          </w:sdtContent>
        </w:sdt>
        <w:sdt>
          <w:sdtPr>
            <w:tag w:val="_PLD_d14d39f809c34e24be6fc317d43acf45"/>
            <w:id w:val="-221918573"/>
          </w:sdtPr>
          <w:sdtContent>
            <w:tc>
              <w:tcPr>
                <w:tcW w:w="1286" w:type="dxa"/>
                <w:vMerge w:val="restart"/>
                <w:shd w:val="clear" w:color="auto" w:fill="FFFFFF"/>
                <w:vAlign w:val="center"/>
              </w:tcPr>
              <w:p>
                <w:pPr>
                  <w:widowControl w:val="0"/>
                  <w:jc w:val="center"/>
                </w:pPr>
                <w:r>
                  <w:t>期末余额</w:t>
                </w:r>
              </w:p>
            </w:tc>
          </w:sdtContent>
        </w:sdt>
      </w:tr>
      <w:tr>
        <w:tc>
          <w:tcPr>
            <w:tcW w:w="1440" w:type="dxa"/>
            <w:vMerge/>
            <w:shd w:val="clear" w:color="auto" w:fill="FFFFFF"/>
            <w:vAlign w:val="center"/>
          </w:tcPr>
          <w:p>
            <w:pPr>
              <w:widowControl w:val="0"/>
              <w:jc w:val="center"/>
            </w:pPr>
          </w:p>
        </w:tc>
        <w:tc>
          <w:tcPr>
            <w:tcW w:w="1215" w:type="dxa"/>
            <w:vMerge/>
            <w:shd w:val="clear" w:color="auto" w:fill="FFFFFF"/>
            <w:vAlign w:val="center"/>
          </w:tcPr>
          <w:p>
            <w:pPr>
              <w:widowControl w:val="0"/>
              <w:jc w:val="center"/>
            </w:pPr>
          </w:p>
        </w:tc>
        <w:sdt>
          <w:sdtPr>
            <w:tag w:val="_PLD_f408f7d036804cc28ba43a0439189aa1"/>
            <w:id w:val="-741640774"/>
          </w:sdtPr>
          <w:sdtContent>
            <w:tc>
              <w:tcPr>
                <w:tcW w:w="1317" w:type="dxa"/>
                <w:shd w:val="clear" w:color="auto" w:fill="FFFFFF"/>
                <w:vAlign w:val="center"/>
              </w:tcPr>
              <w:p>
                <w:pPr>
                  <w:widowControl w:val="0"/>
                  <w:jc w:val="center"/>
                </w:pPr>
                <w:r>
                  <w:t>计提</w:t>
                </w:r>
              </w:p>
            </w:tc>
          </w:sdtContent>
        </w:sdt>
        <w:sdt>
          <w:sdtPr>
            <w:tag w:val="_PLD_694fce967684431e964389b1fbfd7773"/>
            <w:id w:val="-1423947075"/>
          </w:sdtPr>
          <w:sdtContent>
            <w:tc>
              <w:tcPr>
                <w:tcW w:w="1215" w:type="dxa"/>
                <w:shd w:val="clear" w:color="auto" w:fill="FFFFFF"/>
                <w:vAlign w:val="center"/>
              </w:tcPr>
              <w:p>
                <w:pPr>
                  <w:widowControl w:val="0"/>
                  <w:jc w:val="center"/>
                </w:pPr>
                <w:r>
                  <w:rPr>
                    <w:rFonts w:hint="eastAsia"/>
                  </w:rPr>
                  <w:t>收回或转回</w:t>
                </w:r>
              </w:p>
            </w:tc>
          </w:sdtContent>
        </w:sdt>
        <w:sdt>
          <w:sdtPr>
            <w:tag w:val="_PLD_59153f559aba461288ad06bff0782b2d"/>
            <w:id w:val="-1844707785"/>
          </w:sdtPr>
          <w:sdtContent>
            <w:tc>
              <w:tcPr>
                <w:tcW w:w="1295" w:type="dxa"/>
                <w:shd w:val="clear" w:color="auto" w:fill="FFFFFF"/>
                <w:vAlign w:val="center"/>
              </w:tcPr>
              <w:p>
                <w:pPr>
                  <w:widowControl w:val="0"/>
                  <w:jc w:val="center"/>
                </w:pPr>
                <w:r>
                  <w:rPr>
                    <w:rFonts w:hint="eastAsia"/>
                  </w:rPr>
                  <w:t>转销或核销</w:t>
                </w:r>
              </w:p>
            </w:tc>
          </w:sdtContent>
        </w:sdt>
        <w:tc>
          <w:tcPr>
            <w:tcW w:w="1289" w:type="dxa"/>
            <w:shd w:val="clear" w:color="auto" w:fill="FFFFFF"/>
            <w:vAlign w:val="center"/>
          </w:tcPr>
          <w:sdt>
            <w:sdtPr>
              <w:tag w:val="_PLD_51a0476d1e2f444f8723da1988f813f5"/>
              <w:id w:val="-509066583"/>
            </w:sdtPr>
            <w:sdtContent>
              <w:p>
                <w:pPr>
                  <w:widowControl w:val="0"/>
                  <w:jc w:val="center"/>
                </w:pPr>
                <w:r>
                  <w:rPr>
                    <w:rFonts w:hint="eastAsia"/>
                  </w:rPr>
                  <w:t>其他变动</w:t>
                </w:r>
              </w:p>
            </w:sdtContent>
          </w:sdt>
        </w:tc>
        <w:tc>
          <w:tcPr>
            <w:tcW w:w="1286" w:type="dxa"/>
            <w:vMerge/>
            <w:shd w:val="clear" w:color="auto" w:fill="FFFFFF"/>
            <w:vAlign w:val="center"/>
          </w:tcPr>
          <w:p>
            <w:pPr>
              <w:widowControl w:val="0"/>
              <w:jc w:val="right"/>
            </w:pPr>
          </w:p>
        </w:tc>
      </w:tr>
      <w:tr>
        <w:tc>
          <w:tcPr>
            <w:tcW w:w="1440" w:type="dxa"/>
          </w:tcPr>
          <w:p>
            <w:pPr>
              <w:widowControl w:val="0"/>
            </w:pPr>
            <w:r>
              <w:rPr>
                <w:rFonts w:hint="eastAsia"/>
              </w:rPr>
              <w:t>其他应收款坏账准备</w:t>
            </w:r>
          </w:p>
        </w:tc>
        <w:tc>
          <w:tcPr>
            <w:tcW w:w="1215" w:type="dxa"/>
            <w:vAlign w:val="center"/>
          </w:tcPr>
          <w:p>
            <w:pPr>
              <w:widowControl w:val="0"/>
              <w:jc w:val="right"/>
              <w:rPr>
                <w:rFonts w:ascii="宋体" w:hAnsi="宋体"/>
              </w:rPr>
            </w:pPr>
            <w:r>
              <w:rPr>
                <w:rFonts w:ascii="宋体" w:hAnsi="宋体"/>
              </w:rPr>
              <w:t>109,761</w:t>
            </w:r>
          </w:p>
        </w:tc>
        <w:tc>
          <w:tcPr>
            <w:tcW w:w="1317" w:type="dxa"/>
            <w:vAlign w:val="center"/>
          </w:tcPr>
          <w:p>
            <w:pPr>
              <w:widowControl w:val="0"/>
              <w:jc w:val="right"/>
              <w:rPr>
                <w:rFonts w:ascii="宋体" w:hAnsi="宋体"/>
              </w:rPr>
            </w:pPr>
            <w:r>
              <w:rPr>
                <w:rFonts w:ascii="宋体" w:hAnsi="宋体"/>
              </w:rPr>
              <w:t>571,247</w:t>
            </w:r>
          </w:p>
        </w:tc>
        <w:tc>
          <w:tcPr>
            <w:tcW w:w="1215" w:type="dxa"/>
            <w:vAlign w:val="center"/>
          </w:tcPr>
          <w:p>
            <w:pPr>
              <w:widowControl w:val="0"/>
              <w:jc w:val="right"/>
              <w:rPr>
                <w:rFonts w:ascii="宋体" w:hAnsi="宋体"/>
              </w:rPr>
            </w:pPr>
            <w:r>
              <w:rPr>
                <w:rFonts w:ascii="宋体" w:hAnsi="宋体"/>
              </w:rPr>
              <w:t>1,500</w:t>
            </w:r>
          </w:p>
        </w:tc>
        <w:tc>
          <w:tcPr>
            <w:tcW w:w="1295" w:type="dxa"/>
            <w:vAlign w:val="center"/>
          </w:tcPr>
          <w:p>
            <w:pPr>
              <w:widowControl w:val="0"/>
              <w:jc w:val="right"/>
              <w:rPr>
                <w:rFonts w:ascii="宋体" w:hAnsi="宋体"/>
              </w:rPr>
            </w:pPr>
            <w:r>
              <w:rPr>
                <w:rFonts w:ascii="宋体" w:hAnsi="宋体"/>
              </w:rPr>
              <w:t>28,240</w:t>
            </w:r>
          </w:p>
        </w:tc>
        <w:tc>
          <w:tcPr>
            <w:tcW w:w="1289" w:type="dxa"/>
            <w:vAlign w:val="center"/>
          </w:tcPr>
          <w:p>
            <w:pPr>
              <w:widowControl w:val="0"/>
              <w:jc w:val="right"/>
              <w:rPr>
                <w:rFonts w:ascii="宋体" w:hAnsi="宋体"/>
              </w:rPr>
            </w:pPr>
            <w:r>
              <w:rPr>
                <w:rFonts w:ascii="宋体" w:hAnsi="宋体"/>
              </w:rPr>
              <w:t>1,500</w:t>
            </w:r>
          </w:p>
        </w:tc>
        <w:tc>
          <w:tcPr>
            <w:tcW w:w="1286" w:type="dxa"/>
            <w:vAlign w:val="center"/>
          </w:tcPr>
          <w:p>
            <w:pPr>
              <w:widowControl w:val="0"/>
              <w:jc w:val="right"/>
              <w:rPr>
                <w:rFonts w:ascii="宋体" w:hAnsi="宋体"/>
              </w:rPr>
            </w:pPr>
            <w:r>
              <w:rPr>
                <w:rFonts w:ascii="宋体" w:hAnsi="宋体"/>
              </w:rPr>
              <w:t>652,768</w:t>
            </w:r>
          </w:p>
        </w:tc>
      </w:tr>
      <w:tr>
        <w:tc>
          <w:tcPr>
            <w:tcW w:w="1440" w:type="dxa"/>
            <w:vAlign w:val="center"/>
          </w:tcPr>
          <w:p>
            <w:pPr>
              <w:widowControl w:val="0"/>
              <w:jc w:val="center"/>
            </w:pPr>
            <w:r>
              <w:rPr>
                <w:rFonts w:hint="eastAsia"/>
              </w:rPr>
              <w:t>合计</w:t>
            </w:r>
          </w:p>
        </w:tc>
        <w:tc>
          <w:tcPr>
            <w:tcW w:w="1215" w:type="dxa"/>
            <w:vAlign w:val="center"/>
          </w:tcPr>
          <w:p>
            <w:pPr>
              <w:widowControl w:val="0"/>
              <w:jc w:val="right"/>
              <w:rPr>
                <w:rFonts w:ascii="宋体" w:hAnsi="宋体"/>
              </w:rPr>
            </w:pPr>
            <w:r>
              <w:rPr>
                <w:rFonts w:ascii="宋体" w:hAnsi="宋体"/>
              </w:rPr>
              <w:t>109,761</w:t>
            </w:r>
          </w:p>
        </w:tc>
        <w:tc>
          <w:tcPr>
            <w:tcW w:w="1317" w:type="dxa"/>
            <w:vAlign w:val="center"/>
          </w:tcPr>
          <w:p>
            <w:pPr>
              <w:widowControl w:val="0"/>
              <w:jc w:val="right"/>
              <w:rPr>
                <w:rFonts w:ascii="宋体" w:hAnsi="宋体"/>
              </w:rPr>
            </w:pPr>
            <w:r>
              <w:rPr>
                <w:rFonts w:ascii="宋体" w:hAnsi="宋体"/>
              </w:rPr>
              <w:t>571,247</w:t>
            </w:r>
          </w:p>
        </w:tc>
        <w:tc>
          <w:tcPr>
            <w:tcW w:w="1215" w:type="dxa"/>
            <w:vAlign w:val="center"/>
          </w:tcPr>
          <w:p>
            <w:pPr>
              <w:widowControl w:val="0"/>
              <w:jc w:val="right"/>
              <w:rPr>
                <w:rFonts w:ascii="宋体" w:hAnsi="宋体"/>
              </w:rPr>
            </w:pPr>
            <w:r>
              <w:rPr>
                <w:rFonts w:ascii="宋体" w:hAnsi="宋体"/>
              </w:rPr>
              <w:t>1,500</w:t>
            </w:r>
          </w:p>
        </w:tc>
        <w:tc>
          <w:tcPr>
            <w:tcW w:w="1295" w:type="dxa"/>
            <w:vAlign w:val="center"/>
          </w:tcPr>
          <w:p>
            <w:pPr>
              <w:widowControl w:val="0"/>
              <w:jc w:val="right"/>
              <w:rPr>
                <w:rFonts w:ascii="宋体" w:hAnsi="宋体"/>
              </w:rPr>
            </w:pPr>
            <w:r>
              <w:rPr>
                <w:rFonts w:ascii="宋体" w:hAnsi="宋体"/>
              </w:rPr>
              <w:t>28,240</w:t>
            </w:r>
          </w:p>
        </w:tc>
        <w:tc>
          <w:tcPr>
            <w:tcW w:w="1289" w:type="dxa"/>
            <w:vAlign w:val="center"/>
          </w:tcPr>
          <w:p>
            <w:pPr>
              <w:widowControl w:val="0"/>
              <w:jc w:val="right"/>
              <w:rPr>
                <w:rFonts w:ascii="宋体" w:hAnsi="宋体"/>
              </w:rPr>
            </w:pPr>
            <w:r>
              <w:rPr>
                <w:rFonts w:ascii="宋体" w:hAnsi="宋体"/>
              </w:rPr>
              <w:t>1,500</w:t>
            </w:r>
          </w:p>
        </w:tc>
        <w:tc>
          <w:tcPr>
            <w:tcW w:w="1286" w:type="dxa"/>
            <w:vAlign w:val="center"/>
          </w:tcPr>
          <w:p>
            <w:pPr>
              <w:widowControl w:val="0"/>
              <w:jc w:val="right"/>
              <w:rPr>
                <w:rFonts w:ascii="宋体" w:hAnsi="宋体"/>
              </w:rPr>
            </w:pPr>
            <w:r>
              <w:rPr>
                <w:rFonts w:ascii="宋体" w:hAnsi="宋体"/>
              </w:rPr>
              <w:t>652,768</w:t>
            </w:r>
          </w:p>
        </w:tc>
      </w:tr>
    </w:tbl>
    <w:p>
      <w:pPr>
        <w:pStyle w:val="Style217"/>
      </w:pPr>
    </w:p>
    <w:p>
      <w:pPr>
        <w:pStyle w:val="Style217"/>
      </w:pPr>
      <w:r>
        <w:rPr>
          <w:rFonts w:hint="eastAsia"/>
        </w:rPr>
        <w:t>其中本期坏账准备转回或收回金额重要的：</w:t>
      </w:r>
    </w:p>
    <w:sdt>
      <w:sdtPr>
        <w:alias w:val="是否适用：母公司其他应收款坏账准备转回或收回金额重要的[双击切换]"/>
        <w:tag w:val="_GBC_f8ce6c07169e42188641fc1bc1ab86d4"/>
        <w:id w:val="-1693454721"/>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588"/>
    <w:p>
      <w:pPr>
        <w:pStyle w:val="Style217"/>
      </w:pPr>
    </w:p>
    <w:p>
      <w:pPr>
        <w:ind w:rightChars="-759" w:right="-1594"/>
      </w:pPr>
      <w:r>
        <w:rPr>
          <w:rFonts w:hint="eastAsia"/>
        </w:rPr>
        <w:t>其他说明：</w:t>
      </w:r>
    </w:p>
    <w:sdt>
      <w:sdtPr>
        <w:alias w:val="其他应收款坏账准备情况的说明"/>
        <w:tag w:val="_GBC_66f33e1d4ef94cf78a5265ef0130e24d"/>
        <w:id w:val="-540821963"/>
        <w:placeholder>
          <w:docPart w:val="GBC22222222222222222222222222222"/>
        </w:placeholder>
      </w:sdtPr>
      <w:sdtContent>
        <w:p>
          <w:pPr>
            <w:ind w:rightChars="-759" w:right="-1594"/>
          </w:pPr>
          <w:r>
            <w:rPr>
              <w:rFonts w:hint="eastAsia"/>
            </w:rPr>
            <w:t>-</w:t>
          </w:r>
        </w:p>
      </w:sdtContent>
    </w:sdt>
    <w:p>
      <w:pPr>
        <w:ind w:rightChars="-759" w:right="-1594"/>
      </w:pPr>
    </w:p>
    <w:bookmarkEnd w:id="589"/>
    <w:p>
      <w:pPr>
        <w:pStyle w:val="Style180"/>
        <w:numPr>
          <w:ilvl w:val="0"/>
          <w:numId w:val="138"/>
        </w:numPr>
        <w:ind w:leftChars="0"/>
      </w:pPr>
      <w:r>
        <w:rPr>
          <w:rFonts w:hint="eastAsia"/>
        </w:rPr>
        <w:t>本期实际核销的其他应收款情况</w:t>
      </w:r>
    </w:p>
    <w:sdt>
      <w:sdtPr>
        <w:alias w:val="是否适用：母公司本期实际核销的其他应收款情况[双击切换]"/>
        <w:tag w:val="_GBC_1513ed448adb4dda8e855e090428591f"/>
        <w:id w:val="-2091993892"/>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217"/>
      </w:pPr>
      <w:r>
        <w:rPr>
          <w:rFonts w:hint="eastAsia"/>
        </w:rPr>
        <w:t>其中重要的其他应收款核销情况：</w:t>
      </w:r>
    </w:p>
    <w:sdt>
      <w:sdtPr>
        <w:alias w:val="是否适用：母公司其中重要的其他应收款核销情况[双击切换]"/>
        <w:tag w:val="_GBC_9c869030965c44c2962f562c051ed47e"/>
        <w:id w:val="-768845807"/>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napToGrid w:val="0"/>
        <w:spacing w:line="240" w:lineRule="atLeast"/>
      </w:pPr>
      <w:r>
        <w:rPr>
          <w:rFonts w:hint="eastAsia"/>
        </w:rPr>
        <w:t>其他应收款核销说明：</w:t>
      </w:r>
    </w:p>
    <w:sdt>
      <w:sdtPr>
        <w:rPr>
          <w:rFonts w:hint="eastAsia"/>
        </w:rPr>
        <w:alias w:val="是否适用：母公司其他应收款核销说明[双击切换]"/>
        <w:tag w:val="_GBC_a3327d4637ec4274aa83caff4b6e71fd"/>
        <w:id w:val="-492720818"/>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217"/>
      </w:pPr>
    </w:p>
    <w:p>
      <w:pPr>
        <w:pStyle w:val="Style217"/>
      </w:pPr>
    </w:p>
    <w:p>
      <w:pPr>
        <w:pStyle w:val="Style180"/>
        <w:numPr>
          <w:ilvl w:val="0"/>
          <w:numId w:val="138"/>
        </w:numPr>
        <w:ind w:leftChars="0"/>
      </w:pPr>
      <w:bookmarkStart w:id="590" w:name="_Hlk153798048"/>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42048094"/>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其他应收账款前五名欠款情况"/>
          <w:tag w:val="_GBC_a5049697dafb47839070e9dec68636fd"/>
          <w:id w:val="-19637233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财务附注：其他应收账款前五名欠款情况"/>
          <w:tag w:val="_GBC_6c4661b2d22f41aeb2f5a016fbe1a3ac"/>
          <w:id w:val="15309095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549"/>
        <w:gridCol w:w="1494"/>
        <w:gridCol w:w="1379"/>
        <w:gridCol w:w="1946"/>
        <w:gridCol w:w="1113"/>
      </w:tblGrid>
      <w:tr>
        <w:trPr>
          <w:cantSplit/>
        </w:trPr>
        <w:sdt>
          <w:sdtPr>
            <w:tag w:val="_PLD_97ae589741524eeaa277e2e3a81b13c6"/>
            <w:id w:val="2139215901"/>
          </w:sdtPr>
          <w:sdtContent>
            <w:tc>
              <w:tcPr>
                <w:tcW w:w="1565" w:type="dxa"/>
                <w:vAlign w:val="center"/>
              </w:tcPr>
              <w:p>
                <w:pPr>
                  <w:ind w:right="105"/>
                  <w:jc w:val="center"/>
                </w:pPr>
                <w:r>
                  <w:rPr>
                    <w:rFonts w:hint="eastAsia"/>
                  </w:rPr>
                  <w:t>单位名称</w:t>
                </w:r>
              </w:p>
            </w:tc>
          </w:sdtContent>
        </w:sdt>
        <w:sdt>
          <w:sdtPr>
            <w:tag w:val="_PLD_c22b4ec5955348c988f93a834a184c51"/>
            <w:id w:val="911507781"/>
          </w:sdtPr>
          <w:sdtContent>
            <w:tc>
              <w:tcPr>
                <w:tcW w:w="1549" w:type="dxa"/>
                <w:vAlign w:val="center"/>
              </w:tcPr>
              <w:p>
                <w:pPr>
                  <w:ind w:right="73"/>
                  <w:jc w:val="center"/>
                </w:pPr>
                <w:r>
                  <w:rPr>
                    <w:rFonts w:hint="eastAsia"/>
                  </w:rPr>
                  <w:t>期末余额</w:t>
                </w:r>
              </w:p>
            </w:tc>
          </w:sdtContent>
        </w:sdt>
        <w:sdt>
          <w:sdtPr>
            <w:tag w:val="_PLD_a49ad92f72864a62b0f46c5d7fa4a110"/>
            <w:id w:val="-2011208897"/>
          </w:sdtPr>
          <w:sdtContent>
            <w:tc>
              <w:tcPr>
                <w:tcW w:w="1494" w:type="dxa"/>
                <w:vAlign w:val="center"/>
              </w:tcPr>
              <w:p>
                <w:pPr>
                  <w:jc w:val="center"/>
                </w:pPr>
                <w:r>
                  <w:rPr>
                    <w:rFonts w:hint="eastAsia"/>
                  </w:rPr>
                  <w:t>占其他应收款期末余额合计数的比例</w:t>
                </w:r>
                <w:r>
                  <w:rPr>
                    <w:rFonts w:hint="eastAsia"/>
                  </w:rPr>
                  <w:t>(</w:t>
                </w:r>
                <w:r>
                  <w:t>%)</w:t>
                </w:r>
              </w:p>
            </w:tc>
          </w:sdtContent>
        </w:sdt>
        <w:sdt>
          <w:sdtPr>
            <w:tag w:val="_PLD_c8433b11194a41288fcd24feb3e7d527"/>
            <w:id w:val="-930582787"/>
          </w:sdtPr>
          <w:sdtContent>
            <w:tc>
              <w:tcPr>
                <w:tcW w:w="1379" w:type="dxa"/>
                <w:vAlign w:val="center"/>
              </w:tcPr>
              <w:p>
                <w:pPr>
                  <w:ind w:right="73"/>
                  <w:jc w:val="center"/>
                </w:pPr>
                <w:r>
                  <w:rPr>
                    <w:rFonts w:hint="eastAsia"/>
                  </w:rPr>
                  <w:t>款项的性质</w:t>
                </w:r>
              </w:p>
            </w:tc>
          </w:sdtContent>
        </w:sdt>
        <w:sdt>
          <w:sdtPr>
            <w:tag w:val="_PLD_003c0f3b03b34c10880da6ddba3d0f8c"/>
            <w:id w:val="1028610961"/>
          </w:sdtPr>
          <w:sdtContent>
            <w:tc>
              <w:tcPr>
                <w:tcW w:w="1946" w:type="dxa"/>
                <w:vAlign w:val="center"/>
              </w:tcPr>
              <w:p>
                <w:pPr>
                  <w:ind w:right="73"/>
                  <w:jc w:val="center"/>
                </w:pPr>
                <w:r>
                  <w:rPr>
                    <w:rFonts w:hint="eastAsia"/>
                  </w:rPr>
                  <w:t>账龄</w:t>
                </w:r>
              </w:p>
            </w:tc>
          </w:sdtContent>
        </w:sdt>
        <w:sdt>
          <w:sdtPr>
            <w:tag w:val="_PLD_de96d0c3523e4231935073b8b7dd47be"/>
            <w:id w:val="809522487"/>
          </w:sdtPr>
          <w:sdtContent>
            <w:tc>
              <w:tcPr>
                <w:tcW w:w="1113" w:type="dxa"/>
                <w:vAlign w:val="center"/>
              </w:tcPr>
              <w:p>
                <w:pPr>
                  <w:jc w:val="center"/>
                </w:pPr>
                <w:r>
                  <w:rPr>
                    <w:rFonts w:hint="eastAsia"/>
                  </w:rPr>
                  <w:t>坏账准备</w:t>
                </w:r>
              </w:p>
              <w:p>
                <w:pPr>
                  <w:jc w:val="center"/>
                </w:pPr>
                <w:r>
                  <w:rPr>
                    <w:rFonts w:hint="eastAsia"/>
                  </w:rPr>
                  <w:t>期末余额</w:t>
                </w:r>
              </w:p>
            </w:tc>
          </w:sdtContent>
        </w:sdt>
      </w:tr>
      <w:tr>
        <w:trPr>
          <w:cantSplit/>
        </w:trPr>
        <w:tc>
          <w:tcPr>
            <w:tcW w:w="1565" w:type="dxa"/>
            <w:vAlign w:val="center"/>
          </w:tcPr>
          <w:p>
            <w:pPr>
              <w:ind w:right="105"/>
              <w:jc w:val="both"/>
              <w:rPr>
                <w:rFonts w:ascii="宋体" w:hAnsi="宋体"/>
              </w:rPr>
            </w:pPr>
            <w:r>
              <w:rPr>
                <w:rFonts w:hint="eastAsia"/>
              </w:rPr>
              <w:t>兖煤国际控股有限公司</w:t>
            </w:r>
          </w:p>
        </w:tc>
        <w:tc>
          <w:tcPr>
            <w:tcW w:w="1549" w:type="dxa"/>
            <w:vAlign w:val="center"/>
          </w:tcPr>
          <w:p>
            <w:pPr>
              <w:ind w:right="73"/>
              <w:jc w:val="right"/>
              <w:rPr>
                <w:rFonts w:ascii="宋体" w:hAnsi="宋体"/>
              </w:rPr>
            </w:pPr>
            <w:r>
              <w:rPr>
                <w:rFonts w:ascii="宋体" w:hAnsi="宋体" w:hint="eastAsia"/>
              </w:rPr>
              <w:t>9,734,732</w:t>
            </w:r>
          </w:p>
        </w:tc>
        <w:tc>
          <w:tcPr>
            <w:tcW w:w="1494" w:type="dxa"/>
            <w:vAlign w:val="center"/>
          </w:tcPr>
          <w:p>
            <w:pPr>
              <w:jc w:val="right"/>
              <w:rPr>
                <w:rFonts w:ascii="宋体" w:hAnsi="宋体"/>
              </w:rPr>
            </w:pPr>
            <w:r>
              <w:rPr>
                <w:rFonts w:ascii="宋体" w:hAnsi="宋体"/>
              </w:rPr>
              <w:t>15.57</w:t>
            </w:r>
          </w:p>
        </w:tc>
        <w:tc>
          <w:tcPr>
            <w:tcW w:w="1379" w:type="dxa"/>
            <w:vAlign w:val="center"/>
          </w:tcPr>
          <w:p>
            <w:pPr>
              <w:ind w:right="73"/>
              <w:jc w:val="center"/>
              <w:rPr>
                <w:rFonts w:ascii="宋体" w:hAnsi="宋体"/>
              </w:rPr>
            </w:pPr>
            <w:r>
              <w:rPr>
                <w:rFonts w:ascii="宋体" w:hAnsi="宋体" w:hint="eastAsia"/>
              </w:rPr>
              <w:t>往来款</w:t>
            </w:r>
          </w:p>
        </w:tc>
        <w:tc>
          <w:tcPr>
            <w:tcW w:w="1946" w:type="dxa"/>
            <w:vAlign w:val="center"/>
          </w:tcPr>
          <w:p>
            <w:pPr>
              <w:ind w:right="73"/>
              <w:jc w:val="right"/>
              <w:rPr>
                <w:rFonts w:ascii="宋体" w:hAnsi="宋体"/>
              </w:rPr>
            </w:pPr>
            <w:r>
              <w:rPr>
                <w:rFonts w:ascii="宋体" w:hAnsi="宋体" w:hint="eastAsia"/>
              </w:rPr>
              <w:t>1年以内、1-2年</w:t>
            </w:r>
          </w:p>
        </w:tc>
        <w:tc>
          <w:tcPr>
            <w:tcW w:w="1113" w:type="dxa"/>
            <w:vAlign w:val="center"/>
          </w:tcPr>
          <w:p>
            <w:pPr>
              <w:jc w:val="right"/>
            </w:pPr>
          </w:p>
        </w:tc>
      </w:tr>
      <w:tr>
        <w:trPr>
          <w:cantSplit/>
        </w:trPr>
        <w:tc>
          <w:tcPr>
            <w:tcW w:w="1565" w:type="dxa"/>
            <w:vAlign w:val="center"/>
          </w:tcPr>
          <w:p>
            <w:pPr>
              <w:ind w:right="105"/>
              <w:jc w:val="both"/>
              <w:rPr>
                <w:rFonts w:ascii="宋体" w:hAnsi="宋体"/>
              </w:rPr>
            </w:pPr>
            <w:r>
              <w:rPr>
                <w:rFonts w:hint="eastAsia"/>
              </w:rPr>
              <w:t>兖煤万福能源有限公司</w:t>
            </w:r>
          </w:p>
        </w:tc>
        <w:tc>
          <w:tcPr>
            <w:tcW w:w="1549" w:type="dxa"/>
            <w:vAlign w:val="center"/>
          </w:tcPr>
          <w:p>
            <w:pPr>
              <w:ind w:right="73"/>
              <w:jc w:val="right"/>
              <w:rPr>
                <w:rFonts w:ascii="宋体" w:hAnsi="宋体"/>
              </w:rPr>
            </w:pPr>
            <w:r>
              <w:rPr>
                <w:rFonts w:ascii="宋体" w:hAnsi="宋体" w:hint="eastAsia"/>
              </w:rPr>
              <w:t>7,300,003</w:t>
            </w:r>
          </w:p>
        </w:tc>
        <w:tc>
          <w:tcPr>
            <w:tcW w:w="1494" w:type="dxa"/>
            <w:vAlign w:val="center"/>
          </w:tcPr>
          <w:p>
            <w:pPr>
              <w:jc w:val="right"/>
              <w:rPr>
                <w:rFonts w:ascii="宋体" w:hAnsi="宋体"/>
              </w:rPr>
            </w:pPr>
            <w:r>
              <w:rPr>
                <w:rFonts w:ascii="宋体" w:hAnsi="宋体"/>
              </w:rPr>
              <w:t>11.68</w:t>
            </w:r>
          </w:p>
        </w:tc>
        <w:tc>
          <w:tcPr>
            <w:tcW w:w="1379" w:type="dxa"/>
            <w:vAlign w:val="center"/>
          </w:tcPr>
          <w:p>
            <w:pPr>
              <w:ind w:right="73"/>
              <w:jc w:val="center"/>
              <w:rPr>
                <w:rFonts w:ascii="宋体" w:hAnsi="宋体"/>
              </w:rPr>
            </w:pPr>
            <w:r>
              <w:rPr>
                <w:rFonts w:ascii="宋体" w:hAnsi="宋体" w:hint="eastAsia"/>
              </w:rPr>
              <w:t>往来款</w:t>
            </w:r>
          </w:p>
        </w:tc>
        <w:tc>
          <w:tcPr>
            <w:tcW w:w="1946" w:type="dxa"/>
            <w:vAlign w:val="center"/>
          </w:tcPr>
          <w:p>
            <w:pPr>
              <w:ind w:right="283"/>
              <w:jc w:val="right"/>
              <w:rPr>
                <w:rFonts w:ascii="宋体" w:hAnsi="宋体"/>
              </w:rPr>
            </w:pPr>
            <w:r>
              <w:rPr>
                <w:rFonts w:ascii="宋体" w:hAnsi="宋体" w:hint="eastAsia"/>
              </w:rPr>
              <w:t>1年以内、1-2年、3年以上</w:t>
            </w:r>
          </w:p>
        </w:tc>
        <w:tc>
          <w:tcPr>
            <w:tcW w:w="1113" w:type="dxa"/>
            <w:vAlign w:val="center"/>
          </w:tcPr>
          <w:p>
            <w:pPr>
              <w:jc w:val="right"/>
            </w:pPr>
          </w:p>
        </w:tc>
      </w:tr>
      <w:tr>
        <w:trPr>
          <w:cantSplit/>
        </w:trPr>
        <w:tc>
          <w:tcPr>
            <w:tcW w:w="1565" w:type="dxa"/>
            <w:vAlign w:val="center"/>
          </w:tcPr>
          <w:p>
            <w:pPr>
              <w:ind w:right="105"/>
              <w:jc w:val="both"/>
              <w:rPr>
                <w:rFonts w:ascii="宋体" w:hAnsi="宋体"/>
              </w:rPr>
            </w:pPr>
            <w:r>
              <w:rPr>
                <w:rFonts w:hint="eastAsia"/>
              </w:rPr>
              <w:t>内蒙古矿业（集团）有限责任公司</w:t>
            </w:r>
          </w:p>
        </w:tc>
        <w:tc>
          <w:tcPr>
            <w:tcW w:w="1549" w:type="dxa"/>
            <w:vAlign w:val="center"/>
          </w:tcPr>
          <w:p>
            <w:pPr>
              <w:ind w:right="73"/>
              <w:jc w:val="right"/>
              <w:rPr>
                <w:rFonts w:ascii="宋体" w:hAnsi="宋体"/>
              </w:rPr>
            </w:pPr>
            <w:r>
              <w:rPr>
                <w:rFonts w:ascii="宋体" w:hAnsi="宋体"/>
              </w:rPr>
              <w:t>6,763,175</w:t>
            </w:r>
          </w:p>
        </w:tc>
        <w:tc>
          <w:tcPr>
            <w:tcW w:w="1494" w:type="dxa"/>
            <w:vAlign w:val="center"/>
          </w:tcPr>
          <w:p>
            <w:pPr>
              <w:jc w:val="right"/>
              <w:rPr>
                <w:rFonts w:ascii="宋体" w:hAnsi="宋体"/>
              </w:rPr>
            </w:pPr>
            <w:r>
              <w:rPr>
                <w:rFonts w:ascii="宋体" w:hAnsi="宋体"/>
              </w:rPr>
              <w:t>10.82</w:t>
            </w:r>
          </w:p>
        </w:tc>
        <w:tc>
          <w:tcPr>
            <w:tcW w:w="1379" w:type="dxa"/>
            <w:vAlign w:val="center"/>
          </w:tcPr>
          <w:p>
            <w:pPr>
              <w:ind w:right="73"/>
              <w:jc w:val="center"/>
              <w:rPr>
                <w:rFonts w:ascii="宋体" w:hAnsi="宋体"/>
              </w:rPr>
            </w:pPr>
            <w:r>
              <w:rPr>
                <w:rFonts w:ascii="宋体" w:hAnsi="宋体" w:hint="eastAsia"/>
              </w:rPr>
              <w:t>往来款</w:t>
            </w:r>
          </w:p>
        </w:tc>
        <w:tc>
          <w:tcPr>
            <w:tcW w:w="1946" w:type="dxa"/>
            <w:vAlign w:val="center"/>
          </w:tcPr>
          <w:p>
            <w:pPr>
              <w:ind w:right="73"/>
              <w:jc w:val="right"/>
              <w:rPr>
                <w:rFonts w:ascii="宋体" w:hAnsi="宋体"/>
              </w:rPr>
            </w:pPr>
            <w:r>
              <w:rPr>
                <w:rFonts w:ascii="宋体" w:hAnsi="宋体" w:hint="eastAsia"/>
              </w:rPr>
              <w:t>1年以内、1-2年</w:t>
            </w:r>
          </w:p>
        </w:tc>
        <w:tc>
          <w:tcPr>
            <w:tcW w:w="1113" w:type="dxa"/>
            <w:vAlign w:val="center"/>
          </w:tcPr>
          <w:p>
            <w:pPr>
              <w:jc w:val="right"/>
            </w:pPr>
          </w:p>
        </w:tc>
      </w:tr>
      <w:tr>
        <w:trPr>
          <w:cantSplit/>
        </w:trPr>
        <w:tc>
          <w:tcPr>
            <w:tcW w:w="1565" w:type="dxa"/>
            <w:vAlign w:val="center"/>
          </w:tcPr>
          <w:p>
            <w:pPr>
              <w:ind w:right="105"/>
              <w:jc w:val="both"/>
              <w:rPr>
                <w:rFonts w:ascii="宋体" w:hAnsi="宋体"/>
              </w:rPr>
            </w:pPr>
            <w:r>
              <w:rPr>
                <w:rFonts w:hint="eastAsia"/>
              </w:rPr>
              <w:t>山东能源集团有限公司</w:t>
            </w:r>
          </w:p>
        </w:tc>
        <w:tc>
          <w:tcPr>
            <w:tcW w:w="1549" w:type="dxa"/>
            <w:vAlign w:val="center"/>
          </w:tcPr>
          <w:p>
            <w:pPr>
              <w:ind w:right="73"/>
              <w:jc w:val="right"/>
              <w:rPr>
                <w:rFonts w:ascii="宋体" w:hAnsi="宋体"/>
              </w:rPr>
            </w:pPr>
            <w:r>
              <w:rPr>
                <w:rFonts w:ascii="宋体" w:hAnsi="宋体"/>
              </w:rPr>
              <w:t>5,643,097</w:t>
            </w:r>
          </w:p>
        </w:tc>
        <w:tc>
          <w:tcPr>
            <w:tcW w:w="1494" w:type="dxa"/>
            <w:vAlign w:val="center"/>
          </w:tcPr>
          <w:p>
            <w:pPr>
              <w:jc w:val="right"/>
              <w:rPr>
                <w:rFonts w:ascii="宋体" w:hAnsi="宋体"/>
              </w:rPr>
            </w:pPr>
            <w:r>
              <w:rPr>
                <w:rFonts w:ascii="宋体" w:hAnsi="宋体"/>
              </w:rPr>
              <w:t>9.03</w:t>
            </w:r>
          </w:p>
        </w:tc>
        <w:tc>
          <w:tcPr>
            <w:tcW w:w="1379" w:type="dxa"/>
            <w:vAlign w:val="center"/>
          </w:tcPr>
          <w:p>
            <w:pPr>
              <w:ind w:right="73"/>
              <w:jc w:val="center"/>
              <w:rPr>
                <w:rFonts w:ascii="宋体" w:hAnsi="宋体"/>
              </w:rPr>
            </w:pPr>
            <w:r>
              <w:rPr>
                <w:rFonts w:ascii="宋体" w:hAnsi="宋体" w:hint="eastAsia"/>
              </w:rPr>
              <w:t>复兴一期承诺期业绩补偿、往来款</w:t>
            </w:r>
          </w:p>
        </w:tc>
        <w:tc>
          <w:tcPr>
            <w:tcW w:w="1946" w:type="dxa"/>
            <w:vAlign w:val="center"/>
          </w:tcPr>
          <w:p>
            <w:pPr>
              <w:ind w:right="73"/>
              <w:jc w:val="center"/>
              <w:rPr>
                <w:rFonts w:ascii="宋体" w:hAnsi="宋体"/>
              </w:rPr>
            </w:pPr>
            <w:r>
              <w:rPr>
                <w:rFonts w:ascii="宋体" w:hAnsi="宋体"/>
              </w:rPr>
              <w:t>1年以内</w:t>
            </w:r>
          </w:p>
        </w:tc>
        <w:tc>
          <w:tcPr>
            <w:tcW w:w="1113" w:type="dxa"/>
            <w:vAlign w:val="center"/>
          </w:tcPr>
          <w:p>
            <w:pPr>
              <w:jc w:val="right"/>
            </w:pPr>
          </w:p>
        </w:tc>
      </w:tr>
      <w:tr>
        <w:trPr>
          <w:cantSplit/>
        </w:trPr>
        <w:tc>
          <w:tcPr>
            <w:tcW w:w="1565" w:type="dxa"/>
            <w:vAlign w:val="center"/>
          </w:tcPr>
          <w:p>
            <w:pPr>
              <w:ind w:right="105"/>
              <w:jc w:val="both"/>
              <w:rPr>
                <w:rFonts w:ascii="宋体" w:hAnsi="宋体"/>
              </w:rPr>
            </w:pPr>
            <w:r>
              <w:rPr>
                <w:rFonts w:hint="eastAsia"/>
              </w:rPr>
              <w:t>兖矿新疆能化有限公司</w:t>
            </w:r>
          </w:p>
        </w:tc>
        <w:tc>
          <w:tcPr>
            <w:tcW w:w="1549" w:type="dxa"/>
            <w:vAlign w:val="center"/>
          </w:tcPr>
          <w:p>
            <w:pPr>
              <w:ind w:right="73"/>
              <w:jc w:val="right"/>
              <w:rPr>
                <w:rFonts w:ascii="宋体" w:hAnsi="宋体"/>
              </w:rPr>
            </w:pPr>
            <w:r>
              <w:rPr>
                <w:rFonts w:ascii="宋体" w:hAnsi="宋体" w:hint="eastAsia"/>
              </w:rPr>
              <w:t>5,000,000</w:t>
            </w:r>
          </w:p>
        </w:tc>
        <w:tc>
          <w:tcPr>
            <w:tcW w:w="1494" w:type="dxa"/>
            <w:vAlign w:val="center"/>
          </w:tcPr>
          <w:p>
            <w:pPr>
              <w:jc w:val="right"/>
              <w:rPr>
                <w:rFonts w:ascii="宋体" w:hAnsi="宋体"/>
              </w:rPr>
            </w:pPr>
            <w:r>
              <w:rPr>
                <w:rFonts w:ascii="宋体" w:hAnsi="宋体"/>
              </w:rPr>
              <w:t>8.00</w:t>
            </w:r>
          </w:p>
        </w:tc>
        <w:tc>
          <w:tcPr>
            <w:tcW w:w="1379" w:type="dxa"/>
            <w:vAlign w:val="center"/>
          </w:tcPr>
          <w:p>
            <w:pPr>
              <w:ind w:right="73"/>
              <w:jc w:val="center"/>
              <w:rPr>
                <w:rFonts w:ascii="宋体" w:hAnsi="宋体"/>
              </w:rPr>
            </w:pPr>
            <w:r>
              <w:rPr>
                <w:rFonts w:ascii="宋体" w:hAnsi="宋体" w:hint="eastAsia"/>
              </w:rPr>
              <w:t>往来款</w:t>
            </w:r>
          </w:p>
        </w:tc>
        <w:tc>
          <w:tcPr>
            <w:tcW w:w="1946" w:type="dxa"/>
            <w:vAlign w:val="center"/>
          </w:tcPr>
          <w:p>
            <w:pPr>
              <w:ind w:right="73"/>
              <w:jc w:val="right"/>
              <w:rPr>
                <w:rFonts w:ascii="宋体" w:hAnsi="宋体"/>
              </w:rPr>
            </w:pPr>
            <w:r>
              <w:rPr>
                <w:rFonts w:ascii="宋体" w:hAnsi="宋体" w:hint="eastAsia"/>
              </w:rPr>
              <w:t>1年以内、1-2年</w:t>
            </w:r>
          </w:p>
        </w:tc>
        <w:tc>
          <w:tcPr>
            <w:tcW w:w="1113" w:type="dxa"/>
            <w:vAlign w:val="center"/>
          </w:tcPr>
          <w:p>
            <w:pPr>
              <w:jc w:val="right"/>
            </w:pPr>
          </w:p>
        </w:tc>
      </w:tr>
      <w:tr>
        <w:trPr>
          <w:cantSplit/>
        </w:trPr>
        <w:tc>
          <w:tcPr>
            <w:tcW w:w="1565" w:type="dxa"/>
            <w:vAlign w:val="center"/>
          </w:tcPr>
          <w:p>
            <w:pPr>
              <w:ind w:right="105"/>
              <w:jc w:val="center"/>
            </w:pPr>
            <w:r>
              <w:rPr>
                <w:rFonts w:hint="eastAsia"/>
              </w:rPr>
              <w:t>合计</w:t>
            </w:r>
          </w:p>
        </w:tc>
        <w:tc>
          <w:tcPr>
            <w:tcW w:w="1549" w:type="dxa"/>
          </w:tcPr>
          <w:p>
            <w:pPr>
              <w:ind w:right="73"/>
              <w:jc w:val="right"/>
              <w:rPr>
                <w:rFonts w:ascii="宋体" w:hAnsi="宋体"/>
              </w:rPr>
            </w:pPr>
            <w:r>
              <w:rPr>
                <w:rFonts w:ascii="宋体" w:hAnsi="宋体"/>
              </w:rPr>
              <w:t>34,441,007</w:t>
            </w:r>
          </w:p>
        </w:tc>
        <w:tc>
          <w:tcPr>
            <w:tcW w:w="1494" w:type="dxa"/>
            <w:vAlign w:val="center"/>
          </w:tcPr>
          <w:p>
            <w:pPr>
              <w:jc w:val="right"/>
              <w:rPr>
                <w:rFonts w:ascii="宋体" w:hAnsi="宋体"/>
              </w:rPr>
            </w:pPr>
            <w:r>
              <w:rPr>
                <w:rFonts w:ascii="宋体" w:hAnsi="宋体"/>
              </w:rPr>
              <w:t>55</w:t>
            </w:r>
            <w:r>
              <w:rPr>
                <w:rFonts w:ascii="宋体" w:hAnsi="宋体" w:hint="eastAsia"/>
              </w:rPr>
              <w:t>.10</w:t>
            </w:r>
          </w:p>
        </w:tc>
        <w:tc>
          <w:tcPr>
            <w:tcW w:w="1379" w:type="dxa"/>
            <w:vAlign w:val="center"/>
          </w:tcPr>
          <w:p>
            <w:pPr>
              <w:ind w:right="73"/>
              <w:jc w:val="center"/>
            </w:pPr>
            <w:r>
              <w:t>/</w:t>
            </w:r>
          </w:p>
        </w:tc>
        <w:tc>
          <w:tcPr>
            <w:tcW w:w="1946" w:type="dxa"/>
            <w:vAlign w:val="center"/>
          </w:tcPr>
          <w:p>
            <w:pPr>
              <w:ind w:right="73"/>
              <w:jc w:val="center"/>
            </w:pPr>
            <w:r>
              <w:t>/</w:t>
            </w:r>
          </w:p>
        </w:tc>
        <w:tc>
          <w:tcPr>
            <w:tcW w:w="1113" w:type="dxa"/>
            <w:vAlign w:val="center"/>
          </w:tcPr>
          <w:p>
            <w:pPr>
              <w:jc w:val="right"/>
            </w:pPr>
          </w:p>
        </w:tc>
      </w:tr>
    </w:tbl>
    <w:p>
      <w:pPr>
        <w:pStyle w:val="Style217"/>
      </w:pPr>
    </w:p>
    <w:p>
      <w:pPr>
        <w:pStyle w:val="Style180"/>
        <w:numPr>
          <w:ilvl w:val="0"/>
          <w:numId w:val="138"/>
        </w:numPr>
        <w:ind w:leftChars="0"/>
      </w:pPr>
      <w:bookmarkStart w:id="591" w:name="_Hlk153798113"/>
      <w:bookmarkEnd w:id="590"/>
      <w:r>
        <w:rPr>
          <w:rFonts w:hint="eastAsia"/>
        </w:rPr>
        <w:t>因资金集中管理而列报于其他应收款</w:t>
      </w:r>
    </w:p>
    <w:sdt>
      <w:sdtPr>
        <w:alias w:val="是否适用：母公司因资金集中管理而列报于其他应收款[双击切换]"/>
        <w:tag w:val="_GBC_618dc514c72c4f30836fe51ef5fc4589"/>
        <w:id w:val="2087806186"/>
        <w:placeholder>
          <w:docPart w:val="GBC22222222222222222222222222222"/>
        </w:placeholder>
      </w:sdtPr>
      <w:sdtContent>
        <w:p>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snapToGrid w:val="0"/>
        <w:spacing w:line="240" w:lineRule="atLeast"/>
      </w:pPr>
    </w:p>
    <w:bookmarkEnd w:id="591"/>
    <w:p>
      <w:pPr>
        <w:pStyle w:val="Style217"/>
      </w:pPr>
      <w:r>
        <w:rPr>
          <w:rFonts w:hint="eastAsia"/>
        </w:rPr>
        <w:t>其他</w:t>
      </w:r>
      <w:r>
        <w:t>说明：</w:t>
      </w:r>
    </w:p>
    <w:sdt>
      <w:sdtPr>
        <w:rPr>
          <w:rFonts w:hint="eastAsia"/>
        </w:rPr>
        <w:alias w:val="是否适用：母公司其他应收款的其他说明[双击切换]"/>
        <w:tag w:val="_GBC_479bc9ed241548c695a3905f38eb23fd"/>
        <w:id w:val="-1037437987"/>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8"/>
      </w:pPr>
      <w:r>
        <w:rPr>
          <w:rFonts w:ascii="宋体" w:hAnsi="宋体" w:hint="eastAsia"/>
          <w:szCs w:val="21"/>
        </w:rPr>
        <w:t>3、长期股权投资</w:t>
      </w:r>
    </w:p>
    <w:sdt>
      <w:sdtPr>
        <w:alias w:val="是否适用：母公司长期股权投资[双击切换]"/>
        <w:tag w:val="_GBC_57a2f87498c64eab83308bdf3afc6268"/>
        <w:id w:val="-522092775"/>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长期股权投资"/>
          <w:tag w:val="_GBC_9d11e81055cb4017a0055a75ae95ae64"/>
          <w:id w:val="9231562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财务附注：长期股权投资"/>
          <w:tag w:val="_GBC_fbeeb4a7e8254b6dbbd1030f26dad505"/>
          <w:id w:val="-15037333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8"/>
        <w:gridCol w:w="992"/>
        <w:gridCol w:w="1418"/>
        <w:gridCol w:w="1417"/>
        <w:gridCol w:w="851"/>
        <w:gridCol w:w="1559"/>
      </w:tblGrid>
      <w:tr>
        <w:trPr>
          <w:cantSplit/>
        </w:trPr>
        <w:sdt>
          <w:sdtPr>
            <w:tag w:val="_PLD_0747ffd7336145fcb6d5e622fab54966"/>
            <w:id w:val="14663283"/>
          </w:sdtPr>
          <w:sdtContent>
            <w:tc>
              <w:tcPr>
                <w:tcW w:w="2552" w:type="dxa"/>
                <w:vMerge w:val="restart"/>
                <w:vAlign w:val="center"/>
              </w:tcPr>
              <w:p>
                <w:pPr>
                  <w:jc w:val="center"/>
                </w:pPr>
                <w:r>
                  <w:rPr>
                    <w:rFonts w:hint="eastAsia"/>
                  </w:rPr>
                  <w:t>项目</w:t>
                </w:r>
              </w:p>
            </w:tc>
          </w:sdtContent>
        </w:sdt>
        <w:sdt>
          <w:sdtPr>
            <w:tag w:val="_PLD_0b9f6f6d89c44029bf1de3ed5f6a4aa0"/>
            <w:id w:val="-1625069780"/>
          </w:sdtPr>
          <w:sdtContent>
            <w:tc>
              <w:tcPr>
                <w:tcW w:w="3828" w:type="dxa"/>
                <w:gridSpan w:val="3"/>
                <w:vAlign w:val="center"/>
              </w:tcPr>
              <w:p>
                <w:pPr>
                  <w:jc w:val="center"/>
                </w:pPr>
                <w:r>
                  <w:rPr>
                    <w:rFonts w:hint="eastAsia"/>
                  </w:rPr>
                  <w:t>期末余额</w:t>
                </w:r>
              </w:p>
            </w:tc>
          </w:sdtContent>
        </w:sdt>
        <w:sdt>
          <w:sdtPr>
            <w:tag w:val="_PLD_d1ebeae29ff34029a10a8e0c447a171b"/>
            <w:id w:val="1718244467"/>
          </w:sdtPr>
          <w:sdtContent>
            <w:tc>
              <w:tcPr>
                <w:tcW w:w="3827" w:type="dxa"/>
                <w:gridSpan w:val="3"/>
                <w:vAlign w:val="center"/>
              </w:tcPr>
              <w:p>
                <w:pPr>
                  <w:jc w:val="center"/>
                </w:pPr>
                <w:r>
                  <w:rPr>
                    <w:rFonts w:hint="eastAsia"/>
                  </w:rPr>
                  <w:t>期初余额</w:t>
                </w:r>
              </w:p>
            </w:tc>
          </w:sdtContent>
        </w:sdt>
      </w:tr>
      <w:tr>
        <w:trPr>
          <w:cantSplit/>
        </w:trPr>
        <w:tc>
          <w:tcPr>
            <w:tcW w:w="2552" w:type="dxa"/>
            <w:vMerge/>
            <w:vAlign w:val="center"/>
          </w:tcPr>
          <w:p>
            <w:pPr>
              <w:jc w:val="center"/>
            </w:pPr>
          </w:p>
        </w:tc>
        <w:sdt>
          <w:sdtPr>
            <w:tag w:val="_PLD_dd00c7deeb1e4ede9c3e40d64760a230"/>
            <w:id w:val="611317999"/>
          </w:sdtPr>
          <w:sdtContent>
            <w:tc>
              <w:tcPr>
                <w:tcW w:w="1418" w:type="dxa"/>
                <w:vAlign w:val="center"/>
              </w:tcPr>
              <w:p>
                <w:pPr>
                  <w:jc w:val="center"/>
                </w:pPr>
                <w:r>
                  <w:rPr>
                    <w:rFonts w:hint="eastAsia"/>
                  </w:rPr>
                  <w:t>账面余额</w:t>
                </w:r>
              </w:p>
            </w:tc>
          </w:sdtContent>
        </w:sdt>
        <w:sdt>
          <w:sdtPr>
            <w:tag w:val="_PLD_dc4e6ed6511949b7a546924cafae2546"/>
            <w:id w:val="1323779100"/>
          </w:sdtPr>
          <w:sdtContent>
            <w:tc>
              <w:tcPr>
                <w:tcW w:w="992" w:type="dxa"/>
                <w:vAlign w:val="center"/>
              </w:tcPr>
              <w:p>
                <w:pPr>
                  <w:jc w:val="center"/>
                </w:pPr>
                <w:r>
                  <w:rPr>
                    <w:rFonts w:hint="eastAsia"/>
                  </w:rPr>
                  <w:t>减值准备</w:t>
                </w:r>
              </w:p>
            </w:tc>
          </w:sdtContent>
        </w:sdt>
        <w:sdt>
          <w:sdtPr>
            <w:tag w:val="_PLD_1d7bbdc4e6144c95a3fcb7369904bea6"/>
            <w:id w:val="1039465158"/>
          </w:sdtPr>
          <w:sdtContent>
            <w:tc>
              <w:tcPr>
                <w:tcW w:w="1418" w:type="dxa"/>
                <w:vAlign w:val="center"/>
              </w:tcPr>
              <w:p>
                <w:pPr>
                  <w:jc w:val="center"/>
                </w:pPr>
                <w:r>
                  <w:rPr>
                    <w:rFonts w:hint="eastAsia"/>
                  </w:rPr>
                  <w:t>账面价值</w:t>
                </w:r>
              </w:p>
            </w:tc>
          </w:sdtContent>
        </w:sdt>
        <w:sdt>
          <w:sdtPr>
            <w:tag w:val="_PLD_bd8a9c944702423e9ff20ddba1c4b3aa"/>
            <w:id w:val="-21164494"/>
          </w:sdtPr>
          <w:sdtContent>
            <w:tc>
              <w:tcPr>
                <w:tcW w:w="1417" w:type="dxa"/>
                <w:vAlign w:val="center"/>
              </w:tcPr>
              <w:p>
                <w:pPr>
                  <w:jc w:val="center"/>
                </w:pPr>
                <w:r>
                  <w:rPr>
                    <w:rFonts w:hint="eastAsia"/>
                  </w:rPr>
                  <w:t>账面余额</w:t>
                </w:r>
              </w:p>
            </w:tc>
          </w:sdtContent>
        </w:sdt>
        <w:sdt>
          <w:sdtPr>
            <w:tag w:val="_PLD_708c7153bc9a48c792e109da0ba5f2f8"/>
            <w:id w:val="-282116245"/>
          </w:sdtPr>
          <w:sdtContent>
            <w:tc>
              <w:tcPr>
                <w:tcW w:w="851" w:type="dxa"/>
                <w:vAlign w:val="center"/>
              </w:tcPr>
              <w:p>
                <w:pPr>
                  <w:jc w:val="center"/>
                </w:pPr>
                <w:r>
                  <w:rPr>
                    <w:rFonts w:hint="eastAsia"/>
                  </w:rPr>
                  <w:t>减值准备</w:t>
                </w:r>
              </w:p>
            </w:tc>
          </w:sdtContent>
        </w:sdt>
        <w:sdt>
          <w:sdtPr>
            <w:tag w:val="_PLD_1516e7000a9747a28074e3f321fa96a7"/>
            <w:id w:val="1148172506"/>
          </w:sdtPr>
          <w:sdtContent>
            <w:tc>
              <w:tcPr>
                <w:tcW w:w="1559" w:type="dxa"/>
                <w:vAlign w:val="center"/>
              </w:tcPr>
              <w:p>
                <w:pPr>
                  <w:jc w:val="center"/>
                </w:pPr>
                <w:r>
                  <w:rPr>
                    <w:rFonts w:hint="eastAsia"/>
                  </w:rPr>
                  <w:t>账面价值</w:t>
                </w:r>
              </w:p>
            </w:tc>
          </w:sdtContent>
        </w:sdt>
      </w:tr>
      <w:tr>
        <w:trPr>
          <w:cantSplit/>
        </w:trPr>
        <w:tc>
          <w:tcPr>
            <w:tcW w:w="2552" w:type="dxa"/>
            <w:vAlign w:val="center"/>
          </w:tcPr>
          <w:p>
            <w:pPr>
              <w:pStyle w:val="Style217"/>
            </w:pPr>
            <w:r>
              <w:rPr>
                <w:rFonts w:hint="eastAsia"/>
              </w:rPr>
              <w:t>对子公司投资</w:t>
            </w:r>
          </w:p>
        </w:tc>
        <w:tc>
          <w:tcPr>
            <w:tcW w:w="1418" w:type="dxa"/>
            <w:vAlign w:val="center"/>
          </w:tcPr>
          <w:p>
            <w:pPr>
              <w:jc w:val="right"/>
              <w:rPr>
                <w:rFonts w:ascii="宋体" w:hAnsi="宋体"/>
              </w:rPr>
            </w:pPr>
            <w:r>
              <w:rPr>
                <w:rFonts w:ascii="宋体" w:hAnsi="宋体"/>
              </w:rPr>
              <w:t>106,696,927</w:t>
            </w:r>
          </w:p>
        </w:tc>
        <w:tc>
          <w:tcPr>
            <w:tcW w:w="992" w:type="dxa"/>
            <w:vAlign w:val="center"/>
          </w:tcPr>
          <w:p>
            <w:pPr>
              <w:jc w:val="right"/>
              <w:rPr>
                <w:rFonts w:ascii="宋体" w:hAnsi="宋体"/>
              </w:rPr>
            </w:pPr>
            <w:r>
              <w:rPr>
                <w:rFonts w:ascii="宋体" w:hAnsi="宋体"/>
              </w:rPr>
              <w:t>260,240</w:t>
            </w:r>
          </w:p>
        </w:tc>
        <w:tc>
          <w:tcPr>
            <w:tcW w:w="1418" w:type="dxa"/>
            <w:vAlign w:val="center"/>
          </w:tcPr>
          <w:p>
            <w:pPr>
              <w:jc w:val="right"/>
              <w:rPr>
                <w:rFonts w:ascii="宋体" w:hAnsi="宋体"/>
              </w:rPr>
            </w:pPr>
            <w:r>
              <w:rPr>
                <w:rFonts w:ascii="宋体" w:hAnsi="宋体"/>
              </w:rPr>
              <w:t>106,436,687</w:t>
            </w:r>
          </w:p>
        </w:tc>
        <w:tc>
          <w:tcPr>
            <w:tcW w:w="1417" w:type="dxa"/>
            <w:vAlign w:val="center"/>
          </w:tcPr>
          <w:p>
            <w:pPr>
              <w:jc w:val="right"/>
              <w:rPr>
                <w:rFonts w:ascii="宋体" w:hAnsi="宋体"/>
              </w:rPr>
            </w:pPr>
            <w:r>
              <w:rPr>
                <w:rFonts w:ascii="宋体" w:hAnsi="宋体"/>
              </w:rPr>
              <w:t>98,656,624</w:t>
            </w:r>
          </w:p>
        </w:tc>
        <w:tc>
          <w:tcPr>
            <w:tcW w:w="85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rPr>
              <w:t>98,656,624</w:t>
            </w:r>
          </w:p>
        </w:tc>
      </w:tr>
      <w:tr>
        <w:trPr>
          <w:cantSplit/>
        </w:trPr>
        <w:tc>
          <w:tcPr>
            <w:tcW w:w="2552" w:type="dxa"/>
            <w:vAlign w:val="center"/>
          </w:tcPr>
          <w:p>
            <w:pPr>
              <w:pStyle w:val="Style217"/>
            </w:pPr>
            <w:r>
              <w:rPr>
                <w:rFonts w:hint="eastAsia"/>
              </w:rPr>
              <w:t>对联营、合营企业投资</w:t>
            </w:r>
          </w:p>
        </w:tc>
        <w:tc>
          <w:tcPr>
            <w:tcW w:w="1418" w:type="dxa"/>
            <w:vAlign w:val="center"/>
          </w:tcPr>
          <w:p>
            <w:pPr>
              <w:jc w:val="right"/>
              <w:rPr>
                <w:rFonts w:ascii="宋体" w:hAnsi="宋体"/>
              </w:rPr>
            </w:pPr>
            <w:r>
              <w:rPr>
                <w:rFonts w:ascii="宋体" w:hAnsi="宋体"/>
              </w:rPr>
              <w:t>7,419,198</w:t>
            </w:r>
          </w:p>
        </w:tc>
        <w:tc>
          <w:tcPr>
            <w:tcW w:w="992" w:type="dxa"/>
            <w:vAlign w:val="center"/>
          </w:tcPr>
          <w:p>
            <w:pPr>
              <w:jc w:val="right"/>
              <w:rPr>
                <w:rFonts w:ascii="宋体" w:hAnsi="宋体"/>
              </w:rPr>
            </w:pPr>
          </w:p>
        </w:tc>
        <w:tc>
          <w:tcPr>
            <w:tcW w:w="1418" w:type="dxa"/>
            <w:vAlign w:val="center"/>
          </w:tcPr>
          <w:p>
            <w:pPr>
              <w:jc w:val="right"/>
              <w:rPr>
                <w:rFonts w:ascii="宋体" w:hAnsi="宋体"/>
              </w:rPr>
            </w:pPr>
            <w:r>
              <w:rPr>
                <w:rFonts w:ascii="宋体" w:hAnsi="宋体"/>
              </w:rPr>
              <w:t>7,419,198</w:t>
            </w:r>
          </w:p>
        </w:tc>
        <w:tc>
          <w:tcPr>
            <w:tcW w:w="1417" w:type="dxa"/>
            <w:vAlign w:val="center"/>
          </w:tcPr>
          <w:p>
            <w:pPr>
              <w:jc w:val="right"/>
              <w:rPr>
                <w:rFonts w:ascii="宋体" w:hAnsi="宋体"/>
              </w:rPr>
            </w:pPr>
            <w:r>
              <w:rPr>
                <w:rFonts w:ascii="宋体" w:hAnsi="宋体"/>
              </w:rPr>
              <w:t>7,505,946</w:t>
            </w:r>
          </w:p>
        </w:tc>
        <w:tc>
          <w:tcPr>
            <w:tcW w:w="85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rPr>
              <w:t>7,505,946</w:t>
            </w:r>
          </w:p>
        </w:tc>
      </w:tr>
      <w:tr>
        <w:trPr>
          <w:cantSplit/>
        </w:trPr>
        <w:tc>
          <w:tcPr>
            <w:tcW w:w="2552" w:type="dxa"/>
            <w:vAlign w:val="center"/>
          </w:tcPr>
          <w:p>
            <w:pPr>
              <w:jc w:val="center"/>
            </w:pPr>
            <w:r>
              <w:rPr>
                <w:rFonts w:hint="eastAsia"/>
              </w:rPr>
              <w:t>合计</w:t>
            </w:r>
          </w:p>
        </w:tc>
        <w:tc>
          <w:tcPr>
            <w:tcW w:w="1418" w:type="dxa"/>
            <w:vAlign w:val="center"/>
          </w:tcPr>
          <w:p>
            <w:pPr>
              <w:jc w:val="right"/>
              <w:rPr>
                <w:rFonts w:ascii="宋体" w:hAnsi="宋体"/>
              </w:rPr>
            </w:pPr>
            <w:r>
              <w:rPr>
                <w:rFonts w:ascii="宋体" w:hAnsi="宋体"/>
              </w:rPr>
              <w:t>114,116,125</w:t>
            </w:r>
          </w:p>
        </w:tc>
        <w:tc>
          <w:tcPr>
            <w:tcW w:w="992" w:type="dxa"/>
            <w:vAlign w:val="center"/>
          </w:tcPr>
          <w:p>
            <w:pPr>
              <w:jc w:val="right"/>
              <w:rPr>
                <w:rFonts w:ascii="宋体" w:hAnsi="宋体"/>
              </w:rPr>
            </w:pPr>
            <w:r>
              <w:rPr>
                <w:rFonts w:ascii="宋体" w:hAnsi="宋体"/>
              </w:rPr>
              <w:t>260,240</w:t>
            </w:r>
          </w:p>
        </w:tc>
        <w:tc>
          <w:tcPr>
            <w:tcW w:w="1418" w:type="dxa"/>
            <w:vAlign w:val="center"/>
          </w:tcPr>
          <w:p>
            <w:pPr>
              <w:jc w:val="right"/>
              <w:rPr>
                <w:rFonts w:ascii="宋体" w:hAnsi="宋体"/>
              </w:rPr>
            </w:pPr>
            <w:r>
              <w:rPr>
                <w:rFonts w:ascii="宋体" w:hAnsi="宋体"/>
              </w:rPr>
              <w:t>113,855,885</w:t>
            </w:r>
          </w:p>
        </w:tc>
        <w:tc>
          <w:tcPr>
            <w:tcW w:w="1417" w:type="dxa"/>
            <w:vAlign w:val="center"/>
          </w:tcPr>
          <w:p>
            <w:pPr>
              <w:jc w:val="right"/>
              <w:rPr>
                <w:rFonts w:ascii="宋体" w:hAnsi="宋体"/>
              </w:rPr>
            </w:pPr>
            <w:r>
              <w:rPr>
                <w:rFonts w:ascii="宋体" w:hAnsi="宋体"/>
              </w:rPr>
              <w:t>106,162,570</w:t>
            </w:r>
          </w:p>
        </w:tc>
        <w:tc>
          <w:tcPr>
            <w:tcW w:w="851" w:type="dxa"/>
            <w:vAlign w:val="center"/>
          </w:tcPr>
          <w:p>
            <w:pPr>
              <w:jc w:val="right"/>
              <w:rPr>
                <w:rFonts w:ascii="宋体" w:hAnsi="宋体"/>
              </w:rPr>
            </w:pPr>
          </w:p>
        </w:tc>
        <w:tc>
          <w:tcPr>
            <w:tcW w:w="1559" w:type="dxa"/>
            <w:vAlign w:val="center"/>
          </w:tcPr>
          <w:p>
            <w:pPr>
              <w:jc w:val="right"/>
              <w:rPr>
                <w:rFonts w:ascii="宋体" w:hAnsi="宋体"/>
              </w:rPr>
            </w:pPr>
            <w:r>
              <w:rPr>
                <w:rFonts w:ascii="宋体" w:hAnsi="宋体"/>
              </w:rPr>
              <w:t>106,162,570</w:t>
            </w:r>
          </w:p>
        </w:tc>
      </w:tr>
    </w:tbl>
    <w:p>
      <w:pPr>
        <w:pStyle w:val="Style217"/>
      </w:pPr>
    </w:p>
    <w:p>
      <w:pPr>
        <w:pStyle w:val="Style179"/>
      </w:pPr>
      <w:bookmarkStart w:id="592" w:name="_Hlk183097113"/>
      <w:r>
        <w:rPr>
          <w:rFonts w:hint="eastAsia"/>
        </w:rPr>
        <w:t>(1).对子公司投资</w:t>
      </w:r>
    </w:p>
    <w:sdt>
      <w:sdtPr>
        <w:alias w:val="是否适用：母公司对子公司投资[双击切换]"/>
        <w:tag w:val="_GBC_db6ca6099b0a42bca0cbba7ead69557f"/>
        <w:id w:val="-223302629"/>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对子公司投资"/>
          <w:tag w:val="_GBC_744810ff600d4176af7d45c0bf0b7978"/>
          <w:id w:val="-1950794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财务附注：对子公司投资"/>
          <w:tag w:val="_GBC_d2f8249dd813484db8850cd3e6e60609"/>
          <w:id w:val="20155693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11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447"/>
        <w:gridCol w:w="709"/>
        <w:gridCol w:w="1275"/>
        <w:gridCol w:w="993"/>
        <w:gridCol w:w="992"/>
        <w:gridCol w:w="567"/>
        <w:gridCol w:w="1559"/>
        <w:gridCol w:w="1134"/>
      </w:tblGrid>
      <w:tr>
        <w:trPr>
          <w:trHeight w:val="226"/>
        </w:trPr>
        <w:bookmarkStart w:id="593" w:name="_Hlk224553815" w:displacedByCustomXml="next"/>
        <w:sdt>
          <w:sdtPr>
            <w:tag w:val="_PLD_d6bd1b977853473e95bd45b9709f33ad"/>
            <w:id w:val="1153646010"/>
          </w:sdtPr>
          <w:sdtContent>
            <w:tc>
              <w:tcPr>
                <w:tcW w:w="2523" w:type="dxa"/>
                <w:vMerge w:val="restart"/>
                <w:tcBorders>
                  <w:top w:val="single" w:sz="4" w:space="0" w:color="auto"/>
                  <w:left w:val="single" w:sz="4" w:space="0" w:color="auto"/>
                  <w:right w:val="single" w:sz="4" w:space="0" w:color="auto"/>
                </w:tcBorders>
                <w:vAlign w:val="center"/>
              </w:tcPr>
              <w:p>
                <w:pPr>
                  <w:jc w:val="center"/>
                </w:pPr>
                <w:r>
                  <w:rPr>
                    <w:rFonts w:hint="eastAsia"/>
                  </w:rPr>
                  <w:t>被投资单位</w:t>
                </w:r>
              </w:p>
            </w:tc>
          </w:sdtContent>
        </w:sdt>
        <w:sdt>
          <w:sdtPr>
            <w:tag w:val="_PLD_dfca273db8c94621ae808db0b8393c3e"/>
            <w:id w:val="1645703610"/>
          </w:sdtPr>
          <w:sdtContent>
            <w:tc>
              <w:tcPr>
                <w:tcW w:w="1447" w:type="dxa"/>
                <w:vMerge w:val="restart"/>
                <w:tcBorders>
                  <w:top w:val="single" w:sz="4" w:space="0" w:color="auto"/>
                  <w:left w:val="single" w:sz="4" w:space="0" w:color="auto"/>
                  <w:right w:val="single" w:sz="4" w:space="0" w:color="auto"/>
                </w:tcBorders>
                <w:vAlign w:val="center"/>
              </w:tcPr>
              <w:p>
                <w:pPr>
                  <w:jc w:val="center"/>
                </w:pPr>
                <w:r>
                  <w:rPr>
                    <w:rFonts w:hint="eastAsia"/>
                  </w:rPr>
                  <w:t>期初余额（账面价值）</w:t>
                </w:r>
              </w:p>
            </w:tc>
          </w:sdtContent>
        </w:sdt>
        <w:sdt>
          <w:sdtPr>
            <w:tag w:val="_PLD_207fa0db16cd408da51641aebf065076"/>
            <w:id w:val="903180208"/>
          </w:sdtPr>
          <w:sdtContent>
            <w:tc>
              <w:tcPr>
                <w:tcW w:w="709" w:type="dxa"/>
                <w:vMerge w:val="restart"/>
                <w:tcBorders>
                  <w:top w:val="single" w:sz="4" w:space="0" w:color="auto"/>
                  <w:left w:val="single" w:sz="4" w:space="0" w:color="auto"/>
                  <w:right w:val="single" w:sz="4" w:space="0" w:color="auto"/>
                </w:tcBorders>
                <w:vAlign w:val="center"/>
              </w:tcPr>
              <w:p>
                <w:pPr>
                  <w:jc w:val="center"/>
                </w:pPr>
                <w:r>
                  <w:rPr>
                    <w:rFonts w:hint="eastAsia"/>
                  </w:rPr>
                  <w:t>减值准备期初余额</w:t>
                </w:r>
              </w:p>
            </w:tc>
          </w:sdtContent>
        </w:sdt>
        <w:sdt>
          <w:sdtPr>
            <w:tag w:val="_PLD_102d3532a197425b9668f17eda325ed9"/>
            <w:id w:val="338436903"/>
          </w:sdtPr>
          <w:sdtContent>
            <w:tc>
              <w:tcPr>
                <w:tcW w:w="3827" w:type="dxa"/>
                <w:gridSpan w:val="4"/>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本期增减变动</w:t>
                </w:r>
              </w:p>
            </w:tc>
          </w:sdtContent>
        </w:sdt>
        <w:sdt>
          <w:sdtPr>
            <w:tag w:val="_PLD_2554c67582634570800484fc9e2a0422"/>
            <w:id w:val="-330523513"/>
          </w:sdtPr>
          <w:sdtContent>
            <w:tc>
              <w:tcPr>
                <w:tcW w:w="1559" w:type="dxa"/>
                <w:vMerge w:val="restart"/>
                <w:tcBorders>
                  <w:top w:val="single" w:sz="4" w:space="0" w:color="auto"/>
                  <w:left w:val="single" w:sz="4" w:space="0" w:color="auto"/>
                  <w:right w:val="single" w:sz="4" w:space="0" w:color="auto"/>
                </w:tcBorders>
                <w:vAlign w:val="center"/>
              </w:tcPr>
              <w:p>
                <w:pPr>
                  <w:jc w:val="center"/>
                </w:pPr>
                <w:r>
                  <w:rPr>
                    <w:rFonts w:hint="eastAsia"/>
                  </w:rPr>
                  <w:t>期末余额（账面价值）</w:t>
                </w:r>
              </w:p>
            </w:tc>
          </w:sdtContent>
        </w:sdt>
        <w:sdt>
          <w:sdtPr>
            <w:tag w:val="_PLD_506ae787a0d747fd8b850b3b13cc1e28"/>
            <w:id w:val="1209996674"/>
          </w:sdtPr>
          <w:sdtContent>
            <w:tc>
              <w:tcPr>
                <w:tcW w:w="1134" w:type="dxa"/>
                <w:vMerge w:val="restart"/>
                <w:tcBorders>
                  <w:top w:val="single" w:sz="4" w:space="0" w:color="auto"/>
                  <w:left w:val="single" w:sz="4" w:space="0" w:color="auto"/>
                  <w:right w:val="single" w:sz="4" w:space="0" w:color="auto"/>
                </w:tcBorders>
                <w:vAlign w:val="center"/>
              </w:tcPr>
              <w:p>
                <w:pPr>
                  <w:jc w:val="center"/>
                </w:pPr>
                <w:r>
                  <w:rPr>
                    <w:rFonts w:hint="eastAsia"/>
                  </w:rPr>
                  <w:t>减值准备期末余额</w:t>
                </w:r>
              </w:p>
            </w:tc>
          </w:sdtContent>
        </w:sdt>
      </w:tr>
      <w:tr>
        <w:trPr>
          <w:trHeight w:val="405"/>
        </w:trPr>
        <w:tc>
          <w:tcPr>
            <w:tcW w:w="2523" w:type="dxa"/>
            <w:vMerge/>
            <w:tcBorders>
              <w:left w:val="single" w:sz="4" w:space="0" w:color="auto"/>
              <w:bottom w:val="single" w:sz="4" w:space="0" w:color="auto"/>
              <w:right w:val="single" w:sz="4" w:space="0" w:color="auto"/>
            </w:tcBorders>
            <w:vAlign w:val="center"/>
          </w:tcPr>
          <w:p>
            <w:pPr>
              <w:jc w:val="center"/>
            </w:pPr>
          </w:p>
        </w:tc>
        <w:tc>
          <w:tcPr>
            <w:tcW w:w="1447" w:type="dxa"/>
            <w:vMerge/>
            <w:tcBorders>
              <w:left w:val="single" w:sz="4" w:space="0" w:color="auto"/>
              <w:bottom w:val="single" w:sz="4" w:space="0" w:color="auto"/>
              <w:right w:val="single" w:sz="4" w:space="0" w:color="auto"/>
            </w:tcBorders>
            <w:vAlign w:val="center"/>
          </w:tcPr>
          <w:p>
            <w:pPr>
              <w:jc w:val="center"/>
            </w:pPr>
          </w:p>
        </w:tc>
        <w:tc>
          <w:tcPr>
            <w:tcW w:w="709" w:type="dxa"/>
            <w:vMerge/>
            <w:tcBorders>
              <w:left w:val="single" w:sz="4" w:space="0" w:color="auto"/>
              <w:bottom w:val="single" w:sz="4" w:space="0" w:color="auto"/>
              <w:right w:val="single" w:sz="4" w:space="0" w:color="auto"/>
            </w:tcBorders>
            <w:vAlign w:val="center"/>
          </w:tcPr>
          <w:p>
            <w:pPr>
              <w:jc w:val="center"/>
            </w:pPr>
          </w:p>
        </w:tc>
        <w:sdt>
          <w:sdtPr>
            <w:tag w:val="_PLD_82e1276ea16049878dd86dc7f97ce1b8"/>
            <w:id w:val="2030520909"/>
          </w:sdtPr>
          <w:sdtContent>
            <w:tc>
              <w:tcPr>
                <w:tcW w:w="127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追加投资</w:t>
                </w:r>
              </w:p>
            </w:tc>
          </w:sdtContent>
        </w:sdt>
        <w:sdt>
          <w:sdtPr>
            <w:tag w:val="_PLD_38bb9dba87bb42bfaf6b04b85c4cc3d4"/>
            <w:id w:val="-1285731003"/>
          </w:sdtPr>
          <w:sdtContent>
            <w:tc>
              <w:tcPr>
                <w:tcW w:w="993" w:type="dxa"/>
                <w:tcBorders>
                  <w:left w:val="single" w:sz="4" w:space="0" w:color="auto"/>
                  <w:bottom w:val="single" w:sz="4" w:space="0" w:color="auto"/>
                  <w:right w:val="single" w:sz="4" w:space="0" w:color="auto"/>
                </w:tcBorders>
                <w:vAlign w:val="center"/>
              </w:tcPr>
              <w:p>
                <w:pPr>
                  <w:jc w:val="center"/>
                </w:pPr>
                <w:r>
                  <w:rPr>
                    <w:rFonts w:hint="eastAsia"/>
                  </w:rPr>
                  <w:t>减少投资</w:t>
                </w:r>
              </w:p>
            </w:tc>
          </w:sdtContent>
        </w:sdt>
        <w:sdt>
          <w:sdtPr>
            <w:tag w:val="_PLD_c8ba4c1973d24083b160e5d4377dba54"/>
            <w:id w:val="-1713564893"/>
          </w:sdtPr>
          <w:sdtContent>
            <w:tc>
              <w:tcPr>
                <w:tcW w:w="992" w:type="dxa"/>
                <w:tcBorders>
                  <w:left w:val="single" w:sz="4" w:space="0" w:color="auto"/>
                  <w:bottom w:val="single" w:sz="4" w:space="0" w:color="auto"/>
                  <w:right w:val="single" w:sz="4" w:space="0" w:color="auto"/>
                </w:tcBorders>
                <w:vAlign w:val="center"/>
              </w:tcPr>
              <w:p>
                <w:pPr>
                  <w:jc w:val="center"/>
                </w:pPr>
                <w:r>
                  <w:rPr>
                    <w:rFonts w:hint="eastAsia"/>
                  </w:rPr>
                  <w:t>计提减值准备</w:t>
                </w:r>
              </w:p>
            </w:tc>
          </w:sdtContent>
        </w:sdt>
        <w:sdt>
          <w:sdtPr>
            <w:tag w:val="_PLD_1fc11db026f7483585537cdf471d9062"/>
            <w:id w:val="1784305330"/>
          </w:sdtPr>
          <w:sdtContent>
            <w:tc>
              <w:tcPr>
                <w:tcW w:w="567" w:type="dxa"/>
                <w:tcBorders>
                  <w:left w:val="single" w:sz="4" w:space="0" w:color="auto"/>
                  <w:bottom w:val="single" w:sz="4" w:space="0" w:color="auto"/>
                  <w:right w:val="single" w:sz="4" w:space="0" w:color="auto"/>
                </w:tcBorders>
                <w:vAlign w:val="center"/>
              </w:tcPr>
              <w:p>
                <w:pPr>
                  <w:jc w:val="center"/>
                </w:pPr>
                <w:r>
                  <w:rPr>
                    <w:rFonts w:hint="eastAsia"/>
                  </w:rPr>
                  <w:t>其他</w:t>
                </w:r>
              </w:p>
            </w:tc>
          </w:sdtContent>
        </w:sdt>
        <w:tc>
          <w:tcPr>
            <w:tcW w:w="1559" w:type="dxa"/>
            <w:vMerge/>
            <w:tcBorders>
              <w:left w:val="single" w:sz="4" w:space="0" w:color="auto"/>
              <w:bottom w:val="single" w:sz="4" w:space="0" w:color="auto"/>
              <w:right w:val="single" w:sz="4" w:space="0" w:color="auto"/>
            </w:tcBorders>
            <w:vAlign w:val="center"/>
          </w:tcPr>
          <w:p>
            <w:pPr>
              <w:jc w:val="center"/>
            </w:pPr>
          </w:p>
        </w:tc>
        <w:tc>
          <w:tcPr>
            <w:tcW w:w="1134" w:type="dxa"/>
            <w:vMerge/>
            <w:tcBorders>
              <w:left w:val="single" w:sz="4" w:space="0" w:color="auto"/>
              <w:bottom w:val="single" w:sz="4" w:space="0" w:color="auto"/>
              <w:right w:val="single" w:sz="4" w:space="0" w:color="auto"/>
            </w:tcBorders>
            <w:vAlign w:val="center"/>
          </w:tcPr>
          <w:p>
            <w:pPr>
              <w:jc w:val="cente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兖州煤业澳大利亚有限公司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21,425,119</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21,425,119</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兖煤国际（控股）有限公司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4,212,512</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4,212,512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兖矿东平陆港有限公司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60,000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兖矿能源（鄂尔多斯）有限公司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8,440,145</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8,440,145</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兖矿东华重工有限公司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2,154,177</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2,154,177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兖州煤业山西能化有限公司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435,026</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435,026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山西和顺天池能源有限责任公司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73,180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73,180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兖州煤业榆林能化有限公司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1,400,000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1,400,000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兖煤菏泽能化有限公司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2,924,344</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2,924,344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内蒙古昊盛煤业有限公司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8,079,315</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248,483</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8,327,798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兖矿能源集团国际贸易有限公司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300,000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兖矿瑞丰国际贸易有限公司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102,000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102,000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端信投资控股（北京）有限公司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4,060,000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4,060,000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端信投资控股（深圳）有限公司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1,100,000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1,100,000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山东端信供应链管理有限公司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200,000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山东华聚能源股份有限公司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599,523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599,523</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青岛中兖贸易有限公司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53,012</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53,012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山东兖煤日照港储配煤有限公司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209,240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209,240</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209,240</w:t>
            </w: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兖矿融资租赁有限公司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5,235,000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1,167,158</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6,402,158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上海兖矿能源发展有限公司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222,000</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222,000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山东中鼎云联科技有限公司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51,000</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51,000</w:t>
            </w: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山东兖煤航运有限公司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10,576</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10,576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兖煤矿业工程有限公司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85,200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85,200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兖煤蓝天清洁能源有限公司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306,790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306,790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兖矿能源（无锡）有限公司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131,933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131,933</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上海巨匠资产管理有限公司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500,000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兖矿能源（青岛）有限公司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500,000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兖矿智慧生态有限责任公司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80,000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80,000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内蒙古矿业（集团）有限责任公司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3,962,290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3,962,290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陕西未来能源化工有限公司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8,137,346</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8,137,346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兖矿榆林精细化工有限公司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168,218</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168,218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兖矿鲁南化工有限公司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5,777,879</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5,777,879</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兖矿济宁化工装备有限公司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55,724</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55,724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兖矿煤化供销有限公司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91,198</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91,198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山东兖矿济三电力有限公司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616,352</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616,352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兖矿物流科技有限公司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3,442,786</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200,000</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3,642,786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山东能源大厦上海有限公司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686,930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686,930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山东能源集团鲁西矿业有限公司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5,073,898</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5,073,898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兖矿新疆能化有限公司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940,931</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940,931</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兖矿煤化工程有限公司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14,465</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14,465</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邹城诚验材料检测试验有限公司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300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山东能源集团财务有限公司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4,948,236</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4,948,236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山东兖矿国拓科技工程股份有限公司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125,943</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125,943</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德伯特机械（山东）有限公司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29,540</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29,540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SMTScharfAG(沙尔夫股份公司)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254,552</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254,552</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山东天玛智能控制技术有限公司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47,398</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47,398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物泊科技股份有限公司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1,554,546</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1,554,546</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t>山东能源集团西北矿业有限公司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6,358,428</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6,358,428</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both"/>
              <w:rPr>
                <w:rFonts w:ascii="宋体" w:hAnsi="宋体"/>
              </w:rPr>
            </w:pPr>
            <w:r>
              <w:rPr>
                <w:rFonts w:ascii="宋体" w:hAnsi="宋体" w:hint="eastAsia"/>
              </w:rPr>
              <w:lastRenderedPageBreak/>
              <w:t>兖矿能源（霍林郭勒）有限公司</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44,234</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44,234</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2523"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144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98,656,624</w:t>
            </w:r>
          </w:p>
        </w:tc>
        <w:tc>
          <w:tcPr>
            <w:tcW w:w="70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8,240,303</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200,000</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260,240</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559"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106,436,687</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260,240</w:t>
            </w:r>
          </w:p>
        </w:tc>
      </w:tr>
      <w:bookmarkEnd w:id="592"/>
      <w:bookmarkEnd w:id="593"/>
    </w:tbl>
    <w:p>
      <w:pPr>
        <w:sectPr>
          <w:pgSz w:w="11906" w:h="16838"/>
          <w:pgMar w:top="1525" w:right="1276" w:bottom="1440" w:left="1797" w:header="856" w:footer="992" w:gutter="0"/>
          <w:cols w:space="425"/>
          <w:docGrid w:linePitch="312"/>
        </w:sectPr>
      </w:pPr>
    </w:p>
    <w:p>
      <w:pPr>
        <w:pStyle w:val="Style217"/>
      </w:pPr>
    </w:p>
    <w:p>
      <w:pPr>
        <w:pStyle w:val="Style179"/>
        <w:ind w:left="284"/>
      </w:pPr>
      <w:r>
        <w:rPr>
          <w:rFonts w:hint="eastAsia"/>
        </w:rPr>
        <w:t>(2).对联营、合营企业投资</w:t>
      </w:r>
    </w:p>
    <w:sdt>
      <w:sdtPr>
        <w:alias w:val="是否适用：母公司对联营、合营企业投资[双击切换]"/>
        <w:tag w:val="_GBC_2e4760cb979247e69579530b3868e897"/>
        <w:id w:val="136826588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对联营、合营企业投资"/>
          <w:tag w:val="_GBC_ccad125c53784121bdbf82967e585280"/>
          <w:id w:val="20512626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rPr>
          <w:rFonts w:hint="eastAsia"/>
        </w:rPr>
        <w:t>币种：</w:t>
      </w:r>
      <w:sdt>
        <w:sdtPr>
          <w:rPr>
            <w:rFonts w:hint="eastAsia"/>
          </w:rPr>
          <w:alias w:val="币种：母公司财务附注：对联营、合营企业投资"/>
          <w:tag w:val="_GBC_f572fc517d504bef8d5942b395a68d39"/>
          <w:id w:val="-19174725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993"/>
        <w:gridCol w:w="567"/>
        <w:gridCol w:w="1417"/>
        <w:gridCol w:w="1276"/>
        <w:gridCol w:w="1276"/>
        <w:gridCol w:w="1417"/>
        <w:gridCol w:w="1134"/>
        <w:gridCol w:w="851"/>
        <w:gridCol w:w="1275"/>
        <w:gridCol w:w="1701"/>
      </w:tblGrid>
      <w:tr>
        <w:trPr>
          <w:trHeight w:val="567"/>
        </w:trPr>
        <w:sdt>
          <w:sdtPr>
            <w:tag w:val="_PLD_cddf860d624b41069bef0850b92b7db2"/>
            <w:id w:val="841277726"/>
          </w:sdtPr>
          <w:sdtContent>
            <w:tc>
              <w:tcPr>
                <w:tcW w:w="1419" w:type="dxa"/>
                <w:vMerge w:val="restart"/>
                <w:tcBorders>
                  <w:top w:val="single" w:sz="4" w:space="0" w:color="auto"/>
                  <w:left w:val="single" w:sz="4" w:space="0" w:color="auto"/>
                  <w:right w:val="single" w:sz="4" w:space="0" w:color="auto"/>
                </w:tcBorders>
                <w:vAlign w:val="center"/>
              </w:tcPr>
              <w:p>
                <w:pPr>
                  <w:jc w:val="center"/>
                </w:pPr>
                <w:r>
                  <w:rPr>
                    <w:rFonts w:hint="eastAsia"/>
                  </w:rPr>
                  <w:t>投资</w:t>
                </w:r>
              </w:p>
              <w:p>
                <w:pPr>
                  <w:jc w:val="center"/>
                </w:pPr>
                <w:r>
                  <w:rPr>
                    <w:rFonts w:hint="eastAsia"/>
                  </w:rPr>
                  <w:t>单位</w:t>
                </w:r>
              </w:p>
            </w:tc>
          </w:sdtContent>
        </w:sdt>
        <w:sdt>
          <w:sdtPr>
            <w:tag w:val="_PLD_1e9893e3e3854470a87271f1c7db6cdb"/>
            <w:id w:val="-1349017824"/>
          </w:sdtPr>
          <w:sdtContent>
            <w:tc>
              <w:tcPr>
                <w:tcW w:w="1275" w:type="dxa"/>
                <w:vMerge w:val="restart"/>
                <w:tcBorders>
                  <w:top w:val="single" w:sz="4" w:space="0" w:color="auto"/>
                  <w:left w:val="single" w:sz="4" w:space="0" w:color="auto"/>
                  <w:right w:val="single" w:sz="4" w:space="0" w:color="auto"/>
                </w:tcBorders>
                <w:vAlign w:val="center"/>
              </w:tcPr>
              <w:p>
                <w:pPr>
                  <w:jc w:val="center"/>
                </w:pPr>
                <w:r>
                  <w:rPr>
                    <w:rFonts w:hint="eastAsia"/>
                  </w:rPr>
                  <w:t>期初</w:t>
                </w:r>
              </w:p>
              <w:p>
                <w:pPr>
                  <w:jc w:val="center"/>
                </w:pPr>
                <w:r>
                  <w:rPr>
                    <w:rFonts w:hint="eastAsia"/>
                  </w:rPr>
                  <w:t>余额（账面价值）</w:t>
                </w:r>
              </w:p>
            </w:tc>
          </w:sdtContent>
        </w:sdt>
        <w:sdt>
          <w:sdtPr>
            <w:tag w:val="_PLD_51e202fa7d4541e8b1073ad1aab00e23"/>
            <w:id w:val="13425515"/>
          </w:sdtPr>
          <w:sdtContent>
            <w:tc>
              <w:tcPr>
                <w:tcW w:w="8931" w:type="dxa"/>
                <w:gridSpan w:val="8"/>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本期增减变动</w:t>
                </w:r>
              </w:p>
            </w:tc>
          </w:sdtContent>
        </w:sdt>
        <w:sdt>
          <w:sdtPr>
            <w:tag w:val="_PLD_fb68ab3bfe254cb4ac4728b9c324a1ea"/>
            <w:id w:val="290484854"/>
          </w:sdtPr>
          <w:sdtContent>
            <w:tc>
              <w:tcPr>
                <w:tcW w:w="1275" w:type="dxa"/>
                <w:vMerge w:val="restart"/>
                <w:tcBorders>
                  <w:top w:val="single" w:sz="4" w:space="0" w:color="auto"/>
                  <w:left w:val="single" w:sz="4" w:space="0" w:color="auto"/>
                  <w:right w:val="single" w:sz="4" w:space="0" w:color="auto"/>
                </w:tcBorders>
                <w:vAlign w:val="center"/>
              </w:tcPr>
              <w:p>
                <w:pPr>
                  <w:jc w:val="center"/>
                </w:pPr>
                <w:r>
                  <w:rPr>
                    <w:rFonts w:hint="eastAsia"/>
                  </w:rPr>
                  <w:t>期末</w:t>
                </w:r>
              </w:p>
              <w:p>
                <w:pPr>
                  <w:jc w:val="center"/>
                </w:pPr>
                <w:r>
                  <w:rPr>
                    <w:rFonts w:hint="eastAsia"/>
                  </w:rPr>
                  <w:t>余额（账面价值）</w:t>
                </w:r>
              </w:p>
            </w:tc>
          </w:sdtContent>
        </w:sdt>
        <w:sdt>
          <w:sdtPr>
            <w:tag w:val="_PLD_79ea6426597c4707b961bbd96c8cf19f"/>
            <w:id w:val="-2113118806"/>
          </w:sdtPr>
          <w:sdtContent>
            <w:tc>
              <w:tcPr>
                <w:tcW w:w="1701" w:type="dxa"/>
                <w:vMerge w:val="restart"/>
                <w:tcBorders>
                  <w:top w:val="single" w:sz="4" w:space="0" w:color="auto"/>
                  <w:left w:val="single" w:sz="4" w:space="0" w:color="auto"/>
                  <w:right w:val="single" w:sz="4" w:space="0" w:color="auto"/>
                </w:tcBorders>
                <w:vAlign w:val="center"/>
              </w:tcPr>
              <w:p>
                <w:pPr>
                  <w:jc w:val="center"/>
                </w:pPr>
                <w:r>
                  <w:rPr>
                    <w:rFonts w:hint="eastAsia"/>
                  </w:rPr>
                  <w:t>减值准备期末余额</w:t>
                </w:r>
              </w:p>
            </w:tc>
          </w:sdtContent>
        </w:sdt>
      </w:tr>
      <w:tr>
        <w:trPr>
          <w:trHeight w:val="567"/>
        </w:trPr>
        <w:tc>
          <w:tcPr>
            <w:tcW w:w="1419" w:type="dxa"/>
            <w:vMerge/>
            <w:tcBorders>
              <w:left w:val="single" w:sz="4" w:space="0" w:color="auto"/>
              <w:bottom w:val="single" w:sz="4" w:space="0" w:color="auto"/>
              <w:right w:val="single" w:sz="4" w:space="0" w:color="auto"/>
            </w:tcBorders>
            <w:vAlign w:val="center"/>
          </w:tcPr>
          <w:p>
            <w:pPr>
              <w:jc w:val="center"/>
            </w:pPr>
          </w:p>
        </w:tc>
        <w:tc>
          <w:tcPr>
            <w:tcW w:w="1275" w:type="dxa"/>
            <w:vMerge/>
            <w:tcBorders>
              <w:left w:val="single" w:sz="4" w:space="0" w:color="auto"/>
              <w:bottom w:val="single" w:sz="4" w:space="0" w:color="auto"/>
              <w:right w:val="single" w:sz="4" w:space="0" w:color="auto"/>
            </w:tcBorders>
            <w:vAlign w:val="center"/>
          </w:tcPr>
          <w:p>
            <w:pPr>
              <w:jc w:val="center"/>
            </w:pPr>
          </w:p>
        </w:tc>
        <w:sdt>
          <w:sdtPr>
            <w:tag w:val="_PLD_759fe0f59b6046308988b932a5f90e06"/>
            <w:id w:val="-2031019547"/>
          </w:sdtPr>
          <w:sdtContent>
            <w:tc>
              <w:tcPr>
                <w:tcW w:w="993"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追加投资</w:t>
                </w:r>
              </w:p>
            </w:tc>
          </w:sdtContent>
        </w:sdt>
        <w:sdt>
          <w:sdtPr>
            <w:tag w:val="_PLD_6f033bedb79a4bd7bc36dc52845a5ea0"/>
            <w:id w:val="-1562167509"/>
          </w:sdtPr>
          <w:sdtContent>
            <w:tc>
              <w:tcPr>
                <w:tcW w:w="56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减少投资</w:t>
                </w:r>
              </w:p>
            </w:tc>
          </w:sdtContent>
        </w:sdt>
        <w:sdt>
          <w:sdtPr>
            <w:tag w:val="_PLD_67e4baac3d05451d940d328c18f19014"/>
            <w:id w:val="-960795458"/>
          </w:sdtPr>
          <w:sdtContent>
            <w:tc>
              <w:tcPr>
                <w:tcW w:w="141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权益法下确认的投资损益</w:t>
                </w:r>
              </w:p>
            </w:tc>
          </w:sdtContent>
        </w:sdt>
        <w:sdt>
          <w:sdtPr>
            <w:tag w:val="_PLD_700419003e5b4596b973710043374374"/>
            <w:id w:val="453992757"/>
          </w:sdtPr>
          <w:sdtContent>
            <w:tc>
              <w:tcPr>
                <w:tcW w:w="127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其他综合收益调整</w:t>
                </w:r>
              </w:p>
            </w:tc>
          </w:sdtContent>
        </w:sdt>
        <w:sdt>
          <w:sdtPr>
            <w:tag w:val="_PLD_9318c7f257d249e0a0b9bf70263601d5"/>
            <w:id w:val="-1969048054"/>
          </w:sdtPr>
          <w:sdtContent>
            <w:tc>
              <w:tcPr>
                <w:tcW w:w="127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其他权益变动</w:t>
                </w:r>
              </w:p>
            </w:tc>
          </w:sdtContent>
        </w:sdt>
        <w:sdt>
          <w:sdtPr>
            <w:tag w:val="_PLD_efb3a8c8f6b64ad1a5fbb4cf67eb4c96"/>
            <w:id w:val="164062921"/>
          </w:sdtPr>
          <w:sdtContent>
            <w:tc>
              <w:tcPr>
                <w:tcW w:w="1417"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宣告发放现金股利或利润</w:t>
                </w:r>
              </w:p>
            </w:tc>
          </w:sdtContent>
        </w:sdt>
        <w:sdt>
          <w:sdtPr>
            <w:tag w:val="_PLD_2cc45ca82119420bb4d261a3eb788ba0"/>
            <w:id w:val="2105839627"/>
          </w:sdtPr>
          <w:sdtContent>
            <w:tc>
              <w:tcPr>
                <w:tcW w:w="113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计提减值准备</w:t>
                </w:r>
              </w:p>
            </w:tc>
          </w:sdtContent>
        </w:sdt>
        <w:sdt>
          <w:sdtPr>
            <w:tag w:val="_PLD_85d3aa0f514447b38d92097f7a30e385"/>
            <w:id w:val="1435639335"/>
          </w:sdtPr>
          <w:sdtContent>
            <w:tc>
              <w:tcPr>
                <w:tcW w:w="85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其他</w:t>
                </w:r>
              </w:p>
            </w:tc>
          </w:sdtContent>
        </w:sdt>
        <w:tc>
          <w:tcPr>
            <w:tcW w:w="1275" w:type="dxa"/>
            <w:vMerge/>
            <w:tcBorders>
              <w:left w:val="single" w:sz="4" w:space="0" w:color="auto"/>
              <w:bottom w:val="single" w:sz="4" w:space="0" w:color="auto"/>
              <w:right w:val="single" w:sz="4" w:space="0" w:color="auto"/>
            </w:tcBorders>
            <w:vAlign w:val="center"/>
          </w:tcPr>
          <w:p>
            <w:pPr>
              <w:jc w:val="center"/>
            </w:pPr>
          </w:p>
        </w:tc>
        <w:tc>
          <w:tcPr>
            <w:tcW w:w="1701" w:type="dxa"/>
            <w:vMerge/>
            <w:tcBorders>
              <w:left w:val="single" w:sz="4" w:space="0" w:color="auto"/>
              <w:bottom w:val="single" w:sz="4" w:space="0" w:color="auto"/>
              <w:right w:val="single" w:sz="4" w:space="0" w:color="auto"/>
            </w:tcBorders>
            <w:vAlign w:val="center"/>
          </w:tcPr>
          <w:p>
            <w:pPr>
              <w:jc w:val="center"/>
            </w:pPr>
          </w:p>
        </w:tc>
      </w:tr>
      <w:tr>
        <w:trPr>
          <w:trHeight w:val="567"/>
        </w:trPr>
        <w:sdt>
          <w:sdtPr>
            <w:tag w:val="_PLD_b5de7a3b12554dad8d8701df843651f7"/>
            <w:id w:val="240845466"/>
          </w:sdtPr>
          <w:sdtContent>
            <w:tc>
              <w:tcPr>
                <w:tcW w:w="14601" w:type="dxa"/>
                <w:gridSpan w:val="12"/>
                <w:tcBorders>
                  <w:top w:val="single" w:sz="4" w:space="0" w:color="auto"/>
                  <w:left w:val="single" w:sz="4" w:space="0" w:color="auto"/>
                  <w:bottom w:val="single" w:sz="4" w:space="0" w:color="auto"/>
                  <w:right w:val="single" w:sz="4" w:space="0" w:color="auto"/>
                </w:tcBorders>
                <w:vAlign w:val="center"/>
              </w:tcPr>
              <w:p>
                <w:pPr>
                  <w:jc w:val="both"/>
                </w:pPr>
                <w:r>
                  <w:rPr>
                    <w:rFonts w:hint="eastAsia"/>
                  </w:rPr>
                  <w:t>一、合营企业</w:t>
                </w:r>
              </w:p>
            </w:tc>
          </w:sdtContent>
        </w:sdt>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圣地芬雷选煤工程技术（天津）有限公司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29,265</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2,454</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31,719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小计</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29,265</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2,454</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31,719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sdt>
          <w:sdtPr>
            <w:tag w:val="_PLD_473021cffa734643a0c35649ee4b5043"/>
            <w:id w:val="149112865"/>
          </w:sdtPr>
          <w:sdtContent>
            <w:tc>
              <w:tcPr>
                <w:tcW w:w="14601" w:type="dxa"/>
                <w:gridSpan w:val="12"/>
                <w:tcBorders>
                  <w:top w:val="single" w:sz="4" w:space="0" w:color="auto"/>
                  <w:left w:val="single" w:sz="4" w:space="0" w:color="auto"/>
                  <w:bottom w:val="single" w:sz="4" w:space="0" w:color="auto"/>
                  <w:right w:val="single" w:sz="4" w:space="0" w:color="auto"/>
                </w:tcBorders>
                <w:vAlign w:val="center"/>
              </w:tcPr>
              <w:p>
                <w:pPr>
                  <w:jc w:val="both"/>
                </w:pPr>
                <w:r>
                  <w:rPr>
                    <w:rFonts w:hint="eastAsia"/>
                  </w:rPr>
                  <w:t>二、联营企业</w:t>
                </w:r>
              </w:p>
            </w:tc>
          </w:sdtContent>
        </w:sdt>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山东省东岳泰恒发展有限公司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246,880</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1,927</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248,807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齐鲁银行股份有限公司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2,998,717</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390,444</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-142,801</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-270,184</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94,179</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2,881,997</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华电邹县发电有限公司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1,102,420</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33,572</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81,171</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1,054,825</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山东宝能智维工业科技有限公司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1,726</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-1,726</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lastRenderedPageBreak/>
              <w:t>山东新宝龙工业科技有限公司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52,549</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213</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-24</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52,738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上海中期期货股份有限公司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742,780</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5,636</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748,411</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山东能源（海南）智慧国际科技有限公司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93,730</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-35,209</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-2,042</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56,502</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临商银行股份有限公司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2,237,879</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96,907</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7,746</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-9,703</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2,332,829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山能（邹城）风电有限公司</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11,370</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11,370</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both"/>
            </w:pPr>
            <w:r>
              <w:rPr>
                <w:rFonts w:hint="eastAsia"/>
              </w:rPr>
              <w:t>小计</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7,476,681</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11,370</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491,764</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-137,097</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-279,889</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175,350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7,387,479</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r>
        <w:trPr>
          <w:trHeight w:val="567"/>
        </w:trPr>
        <w:tc>
          <w:tcPr>
            <w:tcW w:w="1419"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7,505,946</w:t>
            </w:r>
          </w:p>
        </w:tc>
        <w:tc>
          <w:tcPr>
            <w:tcW w:w="99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11,370</w:t>
            </w:r>
          </w:p>
        </w:tc>
        <w:tc>
          <w:tcPr>
            <w:tcW w:w="56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494,218</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-137,097</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-279,889</w:t>
            </w:r>
          </w:p>
        </w:tc>
        <w:tc>
          <w:tcPr>
            <w:tcW w:w="1417"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175,350</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85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7,419,198</w:t>
            </w:r>
          </w:p>
        </w:tc>
        <w:tc>
          <w:tcPr>
            <w:tcW w:w="1701"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p>
        </w:tc>
      </w:tr>
    </w:tbl>
    <w:p>
      <w:pPr>
        <w:sectPr>
          <w:pgSz w:w="16838" w:h="11906" w:orient="landscape"/>
          <w:pgMar w:top="1797" w:right="1525" w:bottom="1276" w:left="1440" w:header="856" w:footer="992" w:gutter="0"/>
          <w:cols w:space="425"/>
          <w:docGrid w:linePitch="312"/>
        </w:sectPr>
      </w:pPr>
    </w:p>
    <w:p>
      <w:pPr>
        <w:pStyle w:val="Style179"/>
      </w:pPr>
      <w:bookmarkStart w:id="594" w:name="_Hlk155165896"/>
      <w:r>
        <w:rPr>
          <w:rFonts w:hint="eastAsia"/>
        </w:rPr>
        <w:lastRenderedPageBreak/>
        <w:t>(3).长期股权投资的减值测试情况</w:t>
      </w:r>
    </w:p>
    <w:sdt>
      <w:sdtPr>
        <w:alias w:val="是否适用：减值测试情况[双击切换]"/>
        <w:tag w:val="_GBC_99f575f7d43c4e27846e49ee35c9e10f"/>
        <w:id w:val="168316928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594"/>
    <w:p>
      <w:pPr>
        <w:pStyle w:val="Style217"/>
      </w:pPr>
    </w:p>
    <w:p>
      <w:pPr>
        <w:pStyle w:val="Style217"/>
      </w:pPr>
      <w:r>
        <w:rPr>
          <w:rFonts w:hint="eastAsia"/>
        </w:rPr>
        <w:t>其他说明：</w:t>
      </w:r>
    </w:p>
    <w:sdt>
      <w:sdtPr>
        <w:rPr>
          <w:rFonts w:hint="eastAsia"/>
        </w:rPr>
        <w:alias w:val="长期股权投资的说明"/>
        <w:tag w:val="_GBC_938f2ac679ca480c83553ff73f8b80b6"/>
        <w:id w:val="672458833"/>
        <w:placeholder>
          <w:docPart w:val="GBC22222222222222222222222222222"/>
        </w:placeholder>
      </w:sdtPr>
      <w:sdtContent>
        <w:p>
          <w:pPr>
            <w:pStyle w:val="Style217"/>
          </w:pPr>
          <w:r>
            <w:rPr>
              <w:rFonts w:hint="eastAsia"/>
            </w:rPr>
            <w:t>-</w:t>
          </w:r>
        </w:p>
      </w:sdtContent>
    </w:sdt>
    <w:p>
      <w:pPr>
        <w:pStyle w:val="Style217"/>
      </w:pPr>
    </w:p>
    <w:p>
      <w:pPr>
        <w:pStyle w:val="Style178"/>
        <w:numPr>
          <w:ilvl w:val="0"/>
          <w:numId w:val="131"/>
        </w:numPr>
      </w:pPr>
      <w:r>
        <w:rPr>
          <w:rFonts w:ascii="宋体" w:hAnsi="宋体" w:hint="eastAsia"/>
          <w:szCs w:val="21"/>
        </w:rPr>
        <w:t>营业收入和营业成本</w:t>
      </w:r>
    </w:p>
    <w:p>
      <w:pPr>
        <w:pStyle w:val="Style179"/>
        <w:numPr>
          <w:ilvl w:val="0"/>
          <w:numId w:val="139"/>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825202839"/>
        <w:placeholder>
          <w:docPart w:val="GBC22222222222222222222222222222"/>
        </w:placeholder>
      </w:sdtPr>
      <w:sdtContent>
        <w:p>
          <w:pPr>
            <w:pStyle w:val="Style189"/>
            <w:ind w:firstLineChars="0" w:firstLine="0"/>
            <w:jc w:val="left"/>
            <w:rPr>
              <w:rFonts w:ascii="宋体" w:hAnsi="宋体"/>
              <w:bCs/>
              <w:szCs w:val="21"/>
            </w:rPr>
          </w:pPr>
          <w:r>
            <w:rPr>
              <w:rFonts w:ascii="宋体" w:hAnsi="宋体"/>
              <w:bCs/>
              <w:sz w:val="21"/>
              <w:szCs w:val="21"/>
            </w:rPr>
            <w:fldChar w:fldCharType="begin"/>
          </w:r>
          <w:r>
            <w:rPr>
              <w:rFonts w:ascii="宋体" w:hAnsi="宋体" w:hint="eastAsia"/>
              <w:bCs/>
              <w:sz w:val="21"/>
              <w:szCs w:val="21"/>
            </w:rPr>
            <w:instrText xml:space="preserve"> MACROBUTTON  SnrToggleCheckbox √适用  </w:instrText>
          </w:r>
          <w:r>
            <w:rPr>
              <w:rFonts w:ascii="宋体" w:hAnsi="宋体"/>
              <w:bCs/>
              <w:sz w:val="21"/>
              <w:szCs w:val="21"/>
            </w:rPr>
            <w:fldChar w:fldCharType="end"/>
          </w:r>
          <w:r>
            <w:rPr>
              <w:rFonts w:ascii="宋体" w:hAnsi="宋体"/>
              <w:bCs/>
              <w:sz w:val="21"/>
              <w:szCs w:val="21"/>
            </w:rPr>
            <w:fldChar w:fldCharType="begin"/>
          </w:r>
          <w:r>
            <w:rPr>
              <w:rFonts w:ascii="宋体" w:hAnsi="宋体" w:hint="eastAsia"/>
              <w:bCs/>
              <w:sz w:val="21"/>
              <w:szCs w:val="21"/>
            </w:rPr>
            <w:instrText xml:space="preserve"> MACROBUTTON  SnrToggleCheckbox □不适用 </w:instrText>
          </w:r>
          <w:r>
            <w:rPr>
              <w:rFonts w:ascii="宋体" w:hAnsi="宋体"/>
              <w:bCs/>
              <w:sz w:val="21"/>
              <w:szCs w:val="21"/>
            </w:rPr>
            <w:fldChar w:fldCharType="end"/>
          </w:r>
        </w:p>
      </w:sdtContent>
    </w:sdt>
    <w:p>
      <w:pPr>
        <w:pStyle w:val="Style18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20404690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 xml:space="preserve">千元  </w:t>
          </w:r>
        </w:sdtContent>
      </w:sdt>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4702055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Style100"/>
        <w:tblW w:w="90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665"/>
        <w:gridCol w:w="1665"/>
        <w:gridCol w:w="1514"/>
        <w:gridCol w:w="1363"/>
      </w:tblGrid>
      <w:tr>
        <w:sdt>
          <w:sdtPr>
            <w:tag w:val="_PLD_03d52d676cf8435a8f7a530f92cd7617"/>
            <w:id w:val="2056500704"/>
          </w:sdtPr>
          <w:sdtContent>
            <w:tc>
              <w:tcPr>
                <w:tcW w:w="2841" w:type="dxa"/>
                <w:vMerge w:val="restart"/>
                <w:tcBorders>
                  <w:top w:val="single" w:sz="4" w:space="0" w:color="auto"/>
                  <w:left w:val="single" w:sz="4" w:space="0" w:color="auto"/>
                  <w:right w:val="single" w:sz="4" w:space="0" w:color="auto"/>
                </w:tcBorders>
                <w:vAlign w:val="center"/>
              </w:tcPr>
              <w:p>
                <w:pPr>
                  <w:jc w:val="center"/>
                </w:pPr>
                <w:r>
                  <w:rPr>
                    <w:rFonts w:hint="eastAsia"/>
                  </w:rPr>
                  <w:t>项目</w:t>
                </w:r>
              </w:p>
            </w:tc>
          </w:sdtContent>
        </w:sdt>
        <w:sdt>
          <w:sdtPr>
            <w:tag w:val="_PLD_32b5faadfe0b45d19044be5526af3c2d"/>
            <w:id w:val="-1133093269"/>
          </w:sdtPr>
          <w:sdtContent>
            <w:tc>
              <w:tcPr>
                <w:tcW w:w="3330"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本期发生额</w:t>
                </w:r>
              </w:p>
            </w:tc>
          </w:sdtContent>
        </w:sdt>
        <w:sdt>
          <w:sdtPr>
            <w:tag w:val="_PLD_5e3b95dc7e564cbabd77bf88c8a43781"/>
            <w:id w:val="2102835447"/>
          </w:sdtPr>
          <w:sdtContent>
            <w:tc>
              <w:tcPr>
                <w:tcW w:w="2877" w:type="dxa"/>
                <w:gridSpan w:val="2"/>
                <w:tcBorders>
                  <w:top w:val="single" w:sz="4" w:space="0" w:color="auto"/>
                  <w:left w:val="single" w:sz="4" w:space="0" w:color="auto"/>
                  <w:bottom w:val="single" w:sz="4" w:space="0" w:color="auto"/>
                  <w:right w:val="single" w:sz="4" w:space="0" w:color="auto"/>
                </w:tcBorders>
                <w:vAlign w:val="center"/>
              </w:tcPr>
              <w:p>
                <w:pPr>
                  <w:jc w:val="center"/>
                </w:pPr>
                <w:r>
                  <w:rPr>
                    <w:rFonts w:hint="eastAsia"/>
                  </w:rPr>
                  <w:t>上期发生额</w:t>
                </w:r>
              </w:p>
            </w:tc>
          </w:sdtContent>
        </w:sdt>
      </w:tr>
      <w:tr>
        <w:tc>
          <w:tcPr>
            <w:tcW w:w="2841" w:type="dxa"/>
            <w:vMerge/>
            <w:tcBorders>
              <w:left w:val="single" w:sz="4" w:space="0" w:color="auto"/>
              <w:bottom w:val="single" w:sz="4" w:space="0" w:color="auto"/>
              <w:right w:val="single" w:sz="4" w:space="0" w:color="auto"/>
            </w:tcBorders>
            <w:vAlign w:val="center"/>
          </w:tcPr>
          <w:p>
            <w:pPr>
              <w:jc w:val="center"/>
            </w:pPr>
          </w:p>
        </w:tc>
        <w:sdt>
          <w:sdtPr>
            <w:tag w:val="_PLD_35d68e9def174e9fb111f9c26dc6e586"/>
            <w:id w:val="1094215536"/>
          </w:sdtPr>
          <w:sdtContent>
            <w:tc>
              <w:tcPr>
                <w:tcW w:w="166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收入</w:t>
                </w:r>
              </w:p>
            </w:tc>
          </w:sdtContent>
        </w:sdt>
        <w:sdt>
          <w:sdtPr>
            <w:tag w:val="_PLD_bca4c40811a6455bb6f684093a6c0c7d"/>
            <w:id w:val="-1865435368"/>
          </w:sdtPr>
          <w:sdtContent>
            <w:tc>
              <w:tcPr>
                <w:tcW w:w="1665"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成本</w:t>
                </w:r>
              </w:p>
            </w:tc>
          </w:sdtContent>
        </w:sdt>
        <w:sdt>
          <w:sdtPr>
            <w:tag w:val="_PLD_913bf231029842ff9aedaf2297b238c1"/>
            <w:id w:val="1745758637"/>
          </w:sdtPr>
          <w:sdtContent>
            <w:tc>
              <w:tcPr>
                <w:tcW w:w="1514"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收入</w:t>
                </w:r>
              </w:p>
            </w:tc>
          </w:sdtContent>
        </w:sdt>
        <w:sdt>
          <w:sdtPr>
            <w:tag w:val="_PLD_f626f406150145439510a3b7f1a71e39"/>
            <w:id w:val="255728239"/>
          </w:sdtPr>
          <w:sdtContent>
            <w:tc>
              <w:tcPr>
                <w:tcW w:w="1363"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成本</w:t>
                </w:r>
              </w:p>
            </w:tc>
          </w:sdtContent>
        </w:sdt>
      </w:tr>
      <w:tr>
        <w:tc>
          <w:tcPr>
            <w:tcW w:w="284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主营业务</w:t>
            </w:r>
          </w:p>
        </w:tc>
        <w:tc>
          <w:tcPr>
            <w:tcW w:w="166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12,046,129</w:t>
            </w:r>
          </w:p>
        </w:tc>
        <w:tc>
          <w:tcPr>
            <w:tcW w:w="166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7,806,413</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17,641,982</w:t>
            </w:r>
          </w:p>
        </w:tc>
        <w:tc>
          <w:tcPr>
            <w:tcW w:w="136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8,399,361</w:t>
            </w:r>
          </w:p>
        </w:tc>
      </w:tr>
      <w:tr>
        <w:tc>
          <w:tcPr>
            <w:tcW w:w="2841" w:type="dxa"/>
            <w:tcBorders>
              <w:top w:val="single" w:sz="4" w:space="0" w:color="auto"/>
              <w:left w:val="single" w:sz="4" w:space="0" w:color="auto"/>
              <w:bottom w:val="single" w:sz="4" w:space="0" w:color="auto"/>
              <w:right w:val="single" w:sz="4" w:space="0" w:color="auto"/>
            </w:tcBorders>
            <w:vAlign w:val="center"/>
          </w:tcPr>
          <w:p>
            <w:pPr>
              <w:pStyle w:val="Style217"/>
            </w:pPr>
            <w:r>
              <w:rPr>
                <w:rFonts w:hint="eastAsia"/>
              </w:rPr>
              <w:t>其他业务</w:t>
            </w:r>
          </w:p>
        </w:tc>
        <w:tc>
          <w:tcPr>
            <w:tcW w:w="166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4,637,571</w:t>
            </w:r>
          </w:p>
        </w:tc>
        <w:tc>
          <w:tcPr>
            <w:tcW w:w="166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5,577,770</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5,430,543</w:t>
            </w:r>
          </w:p>
        </w:tc>
        <w:tc>
          <w:tcPr>
            <w:tcW w:w="136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6,313,550</w:t>
            </w:r>
          </w:p>
        </w:tc>
      </w:tr>
      <w:tr>
        <w:tc>
          <w:tcPr>
            <w:tcW w:w="2841"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合计</w:t>
            </w:r>
          </w:p>
        </w:tc>
        <w:tc>
          <w:tcPr>
            <w:tcW w:w="166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16,683,700</w:t>
            </w:r>
          </w:p>
        </w:tc>
        <w:tc>
          <w:tcPr>
            <w:tcW w:w="1665"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13,384,183</w:t>
            </w:r>
          </w:p>
        </w:tc>
        <w:tc>
          <w:tcPr>
            <w:tcW w:w="1514"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23,072,525</w:t>
            </w:r>
          </w:p>
        </w:tc>
        <w:tc>
          <w:tcPr>
            <w:tcW w:w="1363"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14,712,911</w:t>
            </w:r>
          </w:p>
        </w:tc>
      </w:tr>
    </w:tbl>
    <w:p>
      <w:pPr>
        <w:pStyle w:val="Style217"/>
      </w:pPr>
    </w:p>
    <w:bookmarkStart w:id="595" w:name="_Hlk153798384" w:displacedByCustomXml="next"/>
    <w:bookmarkStart w:id="596" w:name="_Hlk533798810" w:displacedByCustomXml="next"/>
    <w:sdt>
      <w:sdtPr>
        <w:rPr>
          <w:rFonts w:ascii="宋体" w:eastAsia="宋体" w:hAnsi="宋体" w:cs="宋体" w:hint="eastAsia"/>
          <w:b w:val="0"/>
          <w:bCs w:val="0"/>
          <w:kern w:val="0"/>
          <w:sz w:val="21"/>
          <w:szCs w:val="24"/>
        </w:rPr>
        <w:alias w:val="模块:母公司营业收入、营业成本的分解信息"/>
        <w:tag w:val="_SEC_37411609543c494ea4ff0d898d351419"/>
        <w:id w:val="1049874358"/>
        <w:placeholder>
          <w:docPart w:val="GBC22222222222222222222222222222"/>
        </w:placeholder>
      </w:sdtPr>
      <w:sdtEndPr>
        <w:rPr>
          <w:rFonts w:ascii="Times New Roman" w:hAnsi="Times New Roman" w:cs="Times New Roman" w:hint="default"/>
          <w:color w:val="000000" w:themeColor="text1"/>
          <w:szCs w:val="20"/>
        </w:rPr>
      </w:sdtEndPr>
      <w:sdtContent>
        <w:p>
          <w:pPr>
            <w:pStyle w:val="Style179"/>
            <w:numPr>
              <w:ilvl w:val="0"/>
              <w:numId w:val="139"/>
            </w:numPr>
          </w:pPr>
          <w:r>
            <w:rPr>
              <w:rFonts w:hint="eastAsia"/>
            </w:rPr>
            <w:t>营业收入、营业成本的分解信息</w:t>
          </w:r>
        </w:p>
        <w:sdt>
          <w:sdtPr>
            <w:rPr>
              <w:rFonts w:ascii="宋体" w:hAnsi="宋体"/>
              <w:szCs w:val="21"/>
            </w:rPr>
            <w:alias w:val="是否适用：母公司营业收入、营业成本的分解信息 [双击切换]"/>
            <w:tag w:val="_GBC_ebb0bd28b90c4b2b9a1a99758f2ade01"/>
            <w:id w:val="1600297316"/>
            <w:placeholder>
              <w:docPart w:val="GBC22222222222222222222222222222"/>
            </w:placeholder>
          </w:sdtPr>
          <w:sdtContent>
            <w:p>
              <w:pPr>
                <w:pStyle w:val="Style189"/>
                <w:ind w:firstLineChars="0" w:firstLine="0"/>
                <w:jc w:val="left"/>
                <w:rPr>
                  <w:rFonts w:ascii="宋体" w:hAnsi="宋体"/>
                  <w:szCs w:val="21"/>
                </w:rPr>
              </w:pPr>
              <w:r>
                <w:rPr>
                  <w:rFonts w:ascii="宋体" w:hAnsi="宋体"/>
                  <w:sz w:val="21"/>
                  <w:szCs w:val="21"/>
                </w:rPr>
                <w:fldChar w:fldCharType="begin"/>
              </w:r>
              <w:r>
                <w:rPr>
                  <w:rFonts w:ascii="宋体" w:hAnsi="宋体" w:hint="eastAsia"/>
                  <w:sz w:val="21"/>
                  <w:szCs w:val="21"/>
                </w:rPr>
                <w:instrText xml:space="preserve"> MACROBUTTON  SnrToggleCheckbox □适用 </w:instrText>
              </w:r>
              <w:r>
                <w:rPr>
                  <w:rFonts w:ascii="宋体" w:hAnsi="宋体"/>
                  <w:sz w:val="21"/>
                  <w:szCs w:val="21"/>
                </w:rPr>
                <w:fldChar w:fldCharType="end"/>
              </w:r>
              <w:r>
                <w:rPr>
                  <w:rFonts w:ascii="宋体" w:hAnsi="宋体"/>
                  <w:sz w:val="21"/>
                  <w:szCs w:val="21"/>
                </w:rPr>
                <w:fldChar w:fldCharType="begin"/>
              </w:r>
              <w:r>
                <w:rPr>
                  <w:rFonts w:ascii="宋体" w:hAnsi="宋体" w:hint="eastAsia"/>
                  <w:sz w:val="21"/>
                  <w:szCs w:val="21"/>
                </w:rPr>
                <w:instrText xml:space="preserve"> MACROBUTTON  SnrToggleCheckbox √不适用 </w:instrText>
              </w:r>
              <w:r>
                <w:rPr>
                  <w:rFonts w:ascii="宋体" w:hAnsi="宋体"/>
                  <w:sz w:val="21"/>
                  <w:szCs w:val="21"/>
                </w:rPr>
                <w:fldChar w:fldCharType="end"/>
              </w:r>
            </w:p>
          </w:sdtContent>
        </w:sdt>
        <w:p>
          <w:pPr>
            <w:pStyle w:val="Style189"/>
            <w:ind w:firstLineChars="0" w:firstLine="0"/>
            <w:jc w:val="left"/>
          </w:pPr>
        </w:p>
        <w:p>
          <w:pPr>
            <w:pStyle w:val="Style217"/>
          </w:pPr>
          <w:r>
            <w:rPr>
              <w:rFonts w:hint="eastAsia"/>
            </w:rPr>
            <w:t>其他说明：</w:t>
          </w:r>
        </w:p>
        <w:sdt>
          <w:sdtPr>
            <w:alias w:val="是否适用：母公司营业收入、营业成本的分解信息说明 [双击切换]"/>
            <w:tag w:val="_GBC_579e9b003cbd4b94a5da57be65a206f7"/>
            <w:id w:val="-260367689"/>
            <w:placeholder>
              <w:docPart w:val="GBC22222222222222222222222222222"/>
            </w:placeholder>
          </w:sdtPr>
          <w:sdtContent>
            <w:p>
              <w:pPr>
                <w:rPr>
                  <w:color w:val="000000" w:themeColor="text1"/>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rPr>
              <w:color w:val="000000" w:themeColor="text1"/>
            </w:rPr>
          </w:pPr>
        </w:p>
      </w:sdtContent>
    </w:sdt>
    <w:p>
      <w:pPr>
        <w:pStyle w:val="Style179"/>
        <w:numPr>
          <w:ilvl w:val="0"/>
          <w:numId w:val="139"/>
        </w:numPr>
      </w:pPr>
      <w:bookmarkStart w:id="597" w:name="_Hlk155961563"/>
      <w:bookmarkEnd w:id="595"/>
      <w:r>
        <w:rPr>
          <w:rFonts w:hint="eastAsia"/>
        </w:rPr>
        <w:t>履约义务的说明</w:t>
      </w:r>
    </w:p>
    <w:sdt>
      <w:sdtPr>
        <w:alias w:val="是否适用：履约义务的说明[双击切换]"/>
        <w:tag w:val="_GBC_0b818a1fe50c41248e0bae7b16db682e"/>
        <w:id w:val="-56579896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pStyle w:val="Style179"/>
        <w:numPr>
          <w:ilvl w:val="0"/>
          <w:numId w:val="139"/>
        </w:numPr>
      </w:pPr>
      <w:bookmarkStart w:id="598" w:name="_Hlk533798958"/>
      <w:bookmarkEnd w:id="596"/>
      <w:bookmarkEnd w:id="597"/>
      <w:r>
        <w:rPr>
          <w:rFonts w:hint="eastAsia"/>
        </w:rPr>
        <w:t>分摊至剩余履约义务的说明</w:t>
      </w:r>
    </w:p>
    <w:sdt>
      <w:sdtPr>
        <w:alias w:val="是否适用：母公司分摊至剩余履约义务的说明[双击切换]"/>
        <w:tag w:val="_GBC_7f0a9adae5ea4624a849a396f1ce90b1"/>
        <w:id w:val="-1180494402"/>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Arial" w:hAnsi="Arial"/>
        </w:rPr>
      </w:pPr>
    </w:p>
    <w:p>
      <w:pPr>
        <w:pStyle w:val="Style179"/>
        <w:numPr>
          <w:ilvl w:val="0"/>
          <w:numId w:val="139"/>
        </w:numPr>
      </w:pPr>
      <w:bookmarkStart w:id="599" w:name="_Hlk153798573"/>
      <w:bookmarkEnd w:id="598"/>
      <w:r>
        <w:rPr>
          <w:rFonts w:hint="eastAsia"/>
        </w:rPr>
        <w:t>重大合同变更或重大交易价格调整</w:t>
      </w:r>
    </w:p>
    <w:sdt>
      <w:sdtPr>
        <w:alias w:val="是否适用：母公司重大合同变更或重大交易价格调整[双击切换]"/>
        <w:tag w:val="_GBC_df0026b6a6ff4f0a99c85462586d2446"/>
        <w:id w:val="168085271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ascii="Arial" w:hAnsi="Arial"/>
        </w:rPr>
      </w:pPr>
    </w:p>
    <w:p>
      <w:pPr>
        <w:spacing w:before="60" w:after="60"/>
      </w:pPr>
      <w:bookmarkStart w:id="600" w:name="_Hlk533798751"/>
      <w:bookmarkEnd w:id="599"/>
      <w:r>
        <w:rPr>
          <w:rFonts w:hint="eastAsia"/>
        </w:rPr>
        <w:t>其他说明：</w:t>
      </w:r>
    </w:p>
    <w:p>
      <w:pPr>
        <w:pStyle w:val="Style217"/>
      </w:pPr>
      <w:sdt>
        <w:sdtPr>
          <w:alias w:val="主营业务说明"/>
          <w:tag w:val="_GBC_fd583c7468404a3e83de872adae134a2"/>
          <w:id w:val="-1793889323"/>
          <w:placeholder>
            <w:docPart w:val="GBC22222222222222222222222222222"/>
          </w:placeholder>
        </w:sdtPr>
        <w:sdtContent>
          <w:r>
            <w:rPr>
              <w:rFonts w:hint="eastAsia"/>
            </w:rPr>
            <w:t>-</w:t>
          </w:r>
        </w:sdtContent>
      </w:sdt>
    </w:p>
    <w:p>
      <w:pPr>
        <w:pStyle w:val="Style217"/>
      </w:pPr>
    </w:p>
    <w:p>
      <w:pPr>
        <w:pStyle w:val="Style178"/>
        <w:numPr>
          <w:ilvl w:val="0"/>
          <w:numId w:val="131"/>
        </w:numPr>
      </w:pPr>
      <w:bookmarkStart w:id="601" w:name="OLE_LINK6"/>
      <w:bookmarkStart w:id="602" w:name="_Hlk10548739"/>
      <w:bookmarkStart w:id="603" w:name="_Hlk24031063"/>
      <w:bookmarkEnd w:id="600"/>
      <w:r>
        <w:rPr>
          <w:rFonts w:ascii="宋体" w:hAnsi="宋体" w:hint="eastAsia"/>
          <w:szCs w:val="21"/>
        </w:rPr>
        <w:t>投资收益</w:t>
      </w:r>
      <w:bookmarkEnd w:id="601"/>
    </w:p>
    <w:sdt>
      <w:sdtPr>
        <w:alias w:val="是否适用：母公司投资收益[双击切换]"/>
        <w:tag w:val="_GBC_c2bb46ec06e343088b38ac6340f45fb2"/>
        <w:id w:val="656187998"/>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0787084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r>
            <w:rPr>
              <w:rFonts w:hint="eastAsia"/>
            </w:rPr>
            <w:t xml:space="preserve">  </w:t>
          </w:r>
        </w:sdtContent>
      </w:sdt>
      <w:r>
        <w:t>币种</w:t>
      </w:r>
      <w:r>
        <w:rPr>
          <w:rFonts w:hint="eastAsia"/>
        </w:rPr>
        <w:t>：</w:t>
      </w:r>
      <w:sdt>
        <w:sdtPr>
          <w:rPr>
            <w:rFonts w:hint="eastAsia"/>
          </w:rPr>
          <w:alias w:val="币种：财务附注：会计报表中的投资收益项目增加"/>
          <w:tag w:val="_GBC_4090bf40cd1647838a8c5908dbc544c5"/>
          <w:id w:val="-2254611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2268"/>
        <w:gridCol w:w="2248"/>
      </w:tblGrid>
      <w:tr>
        <w:bookmarkStart w:id="604" w:name="_Hlk24031106" w:displacedByCustomXml="next"/>
        <w:sdt>
          <w:sdtPr>
            <w:tag w:val="_PLD_507ed5c985ab48c59a18c2d57dd68c9c"/>
            <w:id w:val="-511068222"/>
          </w:sdtPr>
          <w:sdtContent>
            <w:tc>
              <w:tcPr>
                <w:tcW w:w="4531" w:type="dxa"/>
                <w:vAlign w:val="center"/>
              </w:tcPr>
              <w:p>
                <w:pPr>
                  <w:ind w:left="420" w:hanging="420"/>
                  <w:jc w:val="center"/>
                </w:pPr>
                <w:r>
                  <w:rPr>
                    <w:rFonts w:hint="eastAsia"/>
                  </w:rPr>
                  <w:t>项目</w:t>
                </w:r>
              </w:p>
            </w:tc>
          </w:sdtContent>
        </w:sdt>
        <w:sdt>
          <w:sdtPr>
            <w:tag w:val="_PLD_47187d04b5814de2ac4d8e7ab7f3dcf5"/>
            <w:id w:val="-533427409"/>
          </w:sdtPr>
          <w:sdtContent>
            <w:tc>
              <w:tcPr>
                <w:tcW w:w="2268" w:type="dxa"/>
                <w:vAlign w:val="center"/>
              </w:tcPr>
              <w:p>
                <w:pPr>
                  <w:jc w:val="center"/>
                </w:pPr>
                <w:r>
                  <w:rPr>
                    <w:rFonts w:hint="eastAsia"/>
                  </w:rPr>
                  <w:t>本期发生额</w:t>
                </w:r>
              </w:p>
            </w:tc>
          </w:sdtContent>
        </w:sdt>
        <w:sdt>
          <w:sdtPr>
            <w:tag w:val="_PLD_9b38c11702ff453c93beb78507ab4be2"/>
            <w:id w:val="-276866801"/>
          </w:sdtPr>
          <w:sdtContent>
            <w:tc>
              <w:tcPr>
                <w:tcW w:w="2248" w:type="dxa"/>
                <w:vAlign w:val="center"/>
              </w:tcPr>
              <w:p>
                <w:pPr>
                  <w:jc w:val="center"/>
                </w:pPr>
                <w:r>
                  <w:rPr>
                    <w:rFonts w:hint="eastAsia"/>
                  </w:rPr>
                  <w:t>上期发生额</w:t>
                </w:r>
              </w:p>
            </w:tc>
          </w:sdtContent>
        </w:sdt>
      </w:tr>
      <w:tr>
        <w:tc>
          <w:tcPr>
            <w:tcW w:w="4531" w:type="dxa"/>
            <w:vAlign w:val="center"/>
          </w:tcPr>
          <w:p>
            <w:pPr>
              <w:pStyle w:val="Style217"/>
            </w:pPr>
            <w:r>
              <w:t>成本法核算的长期股权投资收益</w:t>
            </w:r>
          </w:p>
        </w:tc>
        <w:tc>
          <w:tcPr>
            <w:tcW w:w="2268" w:type="dxa"/>
            <w:vAlign w:val="center"/>
          </w:tcPr>
          <w:p>
            <w:pPr>
              <w:jc w:val="right"/>
              <w:rPr>
                <w:rFonts w:ascii="宋体" w:hAnsi="宋体"/>
              </w:rPr>
            </w:pPr>
            <w:r>
              <w:rPr>
                <w:rFonts w:ascii="宋体" w:hAnsi="宋体"/>
              </w:rPr>
              <w:t>7,949,268</w:t>
            </w:r>
          </w:p>
        </w:tc>
        <w:tc>
          <w:tcPr>
            <w:tcW w:w="2248" w:type="dxa"/>
            <w:vAlign w:val="center"/>
          </w:tcPr>
          <w:p>
            <w:pPr>
              <w:jc w:val="right"/>
              <w:rPr>
                <w:rFonts w:ascii="宋体" w:hAnsi="宋体"/>
              </w:rPr>
            </w:pPr>
            <w:r>
              <w:rPr>
                <w:rFonts w:ascii="宋体" w:hAnsi="宋体"/>
              </w:rPr>
              <w:t>10,276,159</w:t>
            </w:r>
          </w:p>
        </w:tc>
      </w:tr>
      <w:tr>
        <w:tc>
          <w:tcPr>
            <w:tcW w:w="4531" w:type="dxa"/>
            <w:vAlign w:val="center"/>
          </w:tcPr>
          <w:p>
            <w:pPr>
              <w:pStyle w:val="Style217"/>
            </w:pPr>
            <w:r>
              <w:rPr>
                <w:rFonts w:hint="eastAsia"/>
              </w:rPr>
              <w:t>权益法核算的长期股权投资收益</w:t>
            </w:r>
          </w:p>
        </w:tc>
        <w:tc>
          <w:tcPr>
            <w:tcW w:w="2268" w:type="dxa"/>
            <w:vAlign w:val="center"/>
          </w:tcPr>
          <w:p>
            <w:pPr>
              <w:jc w:val="right"/>
              <w:rPr>
                <w:rFonts w:ascii="宋体" w:hAnsi="宋体"/>
              </w:rPr>
            </w:pPr>
            <w:r>
              <w:rPr>
                <w:rFonts w:ascii="宋体" w:hAnsi="宋体"/>
              </w:rPr>
              <w:t>494,218</w:t>
            </w:r>
          </w:p>
        </w:tc>
        <w:tc>
          <w:tcPr>
            <w:tcW w:w="2248" w:type="dxa"/>
            <w:vAlign w:val="center"/>
          </w:tcPr>
          <w:p>
            <w:pPr>
              <w:jc w:val="right"/>
              <w:rPr>
                <w:rFonts w:ascii="宋体" w:hAnsi="宋体"/>
              </w:rPr>
            </w:pPr>
            <w:r>
              <w:rPr>
                <w:rFonts w:ascii="宋体" w:hAnsi="宋体"/>
              </w:rPr>
              <w:t>516,747</w:t>
            </w:r>
          </w:p>
        </w:tc>
      </w:tr>
      <w:tr>
        <w:tc>
          <w:tcPr>
            <w:tcW w:w="4531" w:type="dxa"/>
            <w:vAlign w:val="center"/>
          </w:tcPr>
          <w:p>
            <w:pPr>
              <w:pStyle w:val="Style217"/>
            </w:pPr>
            <w:r>
              <w:rPr>
                <w:rFonts w:hint="eastAsia"/>
              </w:rPr>
              <w:t>其他权益工具投资持有期间取得的股利收入</w:t>
            </w:r>
          </w:p>
        </w:tc>
        <w:tc>
          <w:tcPr>
            <w:tcW w:w="2268" w:type="dxa"/>
            <w:vAlign w:val="center"/>
          </w:tcPr>
          <w:p>
            <w:pPr>
              <w:jc w:val="right"/>
              <w:rPr>
                <w:rFonts w:ascii="宋体" w:hAnsi="宋体"/>
              </w:rPr>
            </w:pPr>
            <w:r>
              <w:rPr>
                <w:rFonts w:ascii="宋体" w:hAnsi="宋体"/>
              </w:rPr>
              <w:t>135</w:t>
            </w:r>
          </w:p>
        </w:tc>
        <w:tc>
          <w:tcPr>
            <w:tcW w:w="2248" w:type="dxa"/>
            <w:vAlign w:val="center"/>
          </w:tcPr>
          <w:p>
            <w:pPr>
              <w:jc w:val="right"/>
              <w:rPr>
                <w:rFonts w:ascii="宋体" w:hAnsi="宋体"/>
              </w:rPr>
            </w:pPr>
            <w:r>
              <w:rPr>
                <w:rFonts w:ascii="宋体" w:hAnsi="宋体"/>
              </w:rPr>
              <w:t>9,065</w:t>
            </w:r>
          </w:p>
        </w:tc>
      </w:tr>
      <w:tr>
        <w:tc>
          <w:tcPr>
            <w:tcW w:w="4531" w:type="dxa"/>
            <w:vAlign w:val="center"/>
          </w:tcPr>
          <w:p>
            <w:pPr>
              <w:pStyle w:val="Style217"/>
            </w:pPr>
            <w:r>
              <w:rPr>
                <w:rFonts w:hint="eastAsia"/>
              </w:rPr>
              <w:t>处置交易性金融资产取得的投资收益</w:t>
            </w:r>
          </w:p>
        </w:tc>
        <w:tc>
          <w:tcPr>
            <w:tcW w:w="2268" w:type="dxa"/>
            <w:vAlign w:val="center"/>
          </w:tcPr>
          <w:p>
            <w:pPr>
              <w:jc w:val="right"/>
              <w:rPr>
                <w:rFonts w:ascii="宋体" w:hAnsi="宋体"/>
              </w:rPr>
            </w:pPr>
          </w:p>
        </w:tc>
        <w:tc>
          <w:tcPr>
            <w:tcW w:w="2248" w:type="dxa"/>
            <w:vAlign w:val="center"/>
          </w:tcPr>
          <w:p>
            <w:pPr>
              <w:jc w:val="right"/>
              <w:rPr>
                <w:rFonts w:ascii="宋体" w:hAnsi="宋体"/>
              </w:rPr>
            </w:pPr>
            <w:r>
              <w:rPr>
                <w:rFonts w:ascii="宋体" w:hAnsi="宋体"/>
              </w:rPr>
              <w:t>3,833</w:t>
            </w:r>
          </w:p>
        </w:tc>
      </w:tr>
      <w:tr>
        <w:tc>
          <w:tcPr>
            <w:tcW w:w="4531" w:type="dxa"/>
            <w:vAlign w:val="center"/>
          </w:tcPr>
          <w:p>
            <w:pPr>
              <w:jc w:val="center"/>
            </w:pPr>
            <w:r>
              <w:rPr>
                <w:rFonts w:hint="eastAsia"/>
              </w:rPr>
              <w:t>合计</w:t>
            </w:r>
          </w:p>
        </w:tc>
        <w:tc>
          <w:tcPr>
            <w:tcW w:w="2268" w:type="dxa"/>
            <w:vAlign w:val="center"/>
          </w:tcPr>
          <w:p>
            <w:pPr>
              <w:jc w:val="right"/>
              <w:rPr>
                <w:rFonts w:ascii="宋体" w:hAnsi="宋体"/>
              </w:rPr>
            </w:pPr>
            <w:r>
              <w:rPr>
                <w:rFonts w:ascii="宋体" w:hAnsi="宋体"/>
              </w:rPr>
              <w:t>8,443,621</w:t>
            </w:r>
          </w:p>
        </w:tc>
        <w:tc>
          <w:tcPr>
            <w:tcW w:w="2248" w:type="dxa"/>
            <w:vAlign w:val="center"/>
          </w:tcPr>
          <w:p>
            <w:pPr>
              <w:jc w:val="right"/>
              <w:rPr>
                <w:rFonts w:ascii="宋体" w:hAnsi="宋体"/>
              </w:rPr>
            </w:pPr>
            <w:r>
              <w:rPr>
                <w:rFonts w:ascii="宋体" w:hAnsi="宋体"/>
              </w:rPr>
              <w:t>10,805,804</w:t>
            </w:r>
          </w:p>
        </w:tc>
      </w:tr>
    </w:tbl>
    <w:p>
      <w:pPr>
        <w:spacing w:line="360" w:lineRule="exact"/>
      </w:pPr>
      <w:bookmarkStart w:id="605" w:name="_Hlk10720480"/>
      <w:bookmarkEnd w:id="602"/>
      <w:bookmarkEnd w:id="604"/>
      <w:r>
        <w:rPr>
          <w:rFonts w:hint="eastAsia"/>
        </w:rPr>
        <w:lastRenderedPageBreak/>
        <w:t>其他说明：</w:t>
      </w:r>
      <w:bookmarkEnd w:id="605"/>
    </w:p>
    <w:sdt>
      <w:sdtPr>
        <w:alias w:val="投资收益说明"/>
        <w:tag w:val="_GBC_003661b91b5144cfbf329a4aeb060fe6"/>
        <w:id w:val="-68358849"/>
        <w:placeholder>
          <w:docPart w:val="GBC22222222222222222222222222222"/>
        </w:placeholder>
      </w:sdtPr>
      <w:sdtContent>
        <w:p>
          <w:pPr>
            <w:pStyle w:val="Style217"/>
          </w:pPr>
          <w:r>
            <w:rPr>
              <w:rFonts w:hint="eastAsia"/>
            </w:rPr>
            <w:t>-</w:t>
          </w:r>
        </w:p>
      </w:sdtContent>
    </w:sdt>
    <w:p>
      <w:pPr>
        <w:pStyle w:val="Style217"/>
      </w:pPr>
    </w:p>
    <w:bookmarkEnd w:id="603"/>
    <w:p>
      <w:pPr>
        <w:pStyle w:val="Style178"/>
        <w:numPr>
          <w:ilvl w:val="0"/>
          <w:numId w:val="131"/>
        </w:numPr>
      </w:pPr>
      <w:r>
        <w:rPr>
          <w:rFonts w:ascii="宋体" w:hAnsi="宋体" w:hint="eastAsia"/>
          <w:szCs w:val="21"/>
        </w:rPr>
        <w:t>其他</w:t>
      </w:r>
    </w:p>
    <w:sdt>
      <w:sdtPr>
        <w:rPr>
          <w:rFonts w:hint="eastAsia"/>
        </w:rPr>
        <w:alias w:val="是否适用：母公司会计报表附注的其他说明事项[双击切换]"/>
        <w:tag w:val="_GBC_da1bbbf487cd4e98b945920735517f12"/>
        <w:id w:val="-13263342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rightChars="-759" w:right="-1594"/>
      </w:pPr>
    </w:p>
    <w:p>
      <w:pPr>
        <w:pStyle w:val="Style177"/>
        <w:numPr>
          <w:ilvl w:val="0"/>
          <w:numId w:val="66"/>
        </w:numPr>
        <w:rPr>
          <w:rFonts w:ascii="宋体" w:hAnsi="宋体"/>
        </w:rPr>
      </w:pPr>
      <w:r>
        <w:rPr>
          <w:rFonts w:hint="eastAsia"/>
        </w:rPr>
        <w:t>补充资料</w:t>
      </w:r>
    </w:p>
    <w:p>
      <w:pPr>
        <w:pStyle w:val="Style178"/>
        <w:numPr>
          <w:ilvl w:val="0"/>
          <w:numId w:val="140"/>
        </w:numPr>
        <w:rPr>
          <w:rFonts w:ascii="宋体" w:hAnsi="宋体"/>
          <w:szCs w:val="21"/>
        </w:rPr>
      </w:pPr>
      <w:bookmarkStart w:id="606" w:name="_Hlk535584690"/>
      <w:bookmarkStart w:id="607" w:name="_Hlk152579827"/>
      <w:r>
        <w:rPr>
          <w:rFonts w:ascii="宋体" w:hAnsi="宋体" w:hint="eastAsia"/>
          <w:szCs w:val="21"/>
        </w:rPr>
        <w:t>当期非经常性损益情况</w:t>
      </w:r>
    </w:p>
    <w:sdt>
      <w:sdtPr>
        <w:alias w:val="是否适用：当期非经常性损益明细表[双击切换]"/>
        <w:tag w:val="_GBC_b3c7aec730db408a9d46da725d5662b4"/>
        <w:id w:val="-145085633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扣除非经常性损益项目和金额"/>
          <w:tag w:val="_GBC_63d386bc1f1d45a9803caa6346ef271f"/>
          <w:id w:val="-1679891091"/>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币种：</w:t>
      </w:r>
      <w:sdt>
        <w:sdtPr>
          <w:rPr>
            <w:rFonts w:hint="eastAsia"/>
          </w:rPr>
          <w:alias w:val="币种：扣除非经常性损益项目和金额"/>
          <w:tag w:val="_GBC_fb530451edb743d2bcc0dacb892d672d"/>
          <w:id w:val="-434059579"/>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4"/>
        <w:tblW w:w="9041" w:type="dxa"/>
        <w:tblInd w:w="0" w:type="dxa"/>
        <w:tblLayout w:type="fixed"/>
        <w:tblLook w:val="04A0" w:firstRow="1" w:lastRow="0" w:firstColumn="1" w:lastColumn="0" w:noHBand="0" w:noVBand="1"/>
      </w:tblPr>
      <w:tblGrid>
        <w:gridCol w:w="4477"/>
        <w:gridCol w:w="2188"/>
        <w:gridCol w:w="2376"/>
      </w:tblGrid>
      <w:tr>
        <w:sdt>
          <w:sdtPr>
            <w:tag w:val="_PLD_f2882777d10a4346880b6d11ab006214"/>
            <w:id w:val="-438376968"/>
          </w:sdtPr>
          <w:sdtContent>
            <w:tc>
              <w:tcPr>
                <w:tcW w:w="4477" w:type="dxa"/>
                <w:vAlign w:val="center"/>
              </w:tcPr>
              <w:p>
                <w:pPr>
                  <w:pStyle w:val="Style189"/>
                  <w:ind w:firstLineChars="0" w:firstLine="0"/>
                  <w:jc w:val="center"/>
                  <w:rPr>
                    <w:rFonts w:ascii="宋体" w:hAnsi="宋体"/>
                    <w:szCs w:val="21"/>
                  </w:rPr>
                </w:pPr>
                <w:r>
                  <w:rPr>
                    <w:rFonts w:ascii="宋体" w:hAnsi="宋体" w:hint="eastAsia"/>
                    <w:szCs w:val="21"/>
                  </w:rPr>
                  <w:t>项目</w:t>
                </w:r>
              </w:p>
            </w:tc>
          </w:sdtContent>
        </w:sdt>
        <w:sdt>
          <w:sdtPr>
            <w:tag w:val="_PLD_1f5c769dc7ea434a90d739329712e1ed"/>
            <w:id w:val="-1027177766"/>
          </w:sdtPr>
          <w:sdtContent>
            <w:tc>
              <w:tcPr>
                <w:tcW w:w="2188" w:type="dxa"/>
                <w:vAlign w:val="center"/>
              </w:tcPr>
              <w:p>
                <w:pPr>
                  <w:pStyle w:val="Style189"/>
                  <w:ind w:firstLineChars="0" w:firstLine="0"/>
                  <w:jc w:val="center"/>
                  <w:rPr>
                    <w:rFonts w:ascii="宋体" w:hAnsi="宋体"/>
                    <w:szCs w:val="21"/>
                  </w:rPr>
                </w:pPr>
                <w:r>
                  <w:rPr>
                    <w:rFonts w:ascii="宋体" w:hAnsi="宋体" w:hint="eastAsia"/>
                    <w:szCs w:val="21"/>
                  </w:rPr>
                  <w:t>金额</w:t>
                </w:r>
              </w:p>
            </w:tc>
          </w:sdtContent>
        </w:sdt>
        <w:sdt>
          <w:sdtPr>
            <w:tag w:val="_PLD_e78492b22a7c4b8aa4989eb26eb4c98c"/>
            <w:id w:val="1196267201"/>
          </w:sdtPr>
          <w:sdtContent>
            <w:tc>
              <w:tcPr>
                <w:tcW w:w="2376" w:type="dxa"/>
                <w:vAlign w:val="center"/>
              </w:tcPr>
              <w:p>
                <w:pPr>
                  <w:pStyle w:val="Style189"/>
                  <w:ind w:firstLineChars="0" w:firstLine="0"/>
                  <w:jc w:val="center"/>
                  <w:rPr>
                    <w:rFonts w:ascii="宋体" w:hAnsi="宋体"/>
                    <w:szCs w:val="21"/>
                  </w:rPr>
                </w:pPr>
                <w:r>
                  <w:rPr>
                    <w:rFonts w:ascii="宋体" w:hAnsi="宋体" w:hint="eastAsia"/>
                    <w:szCs w:val="21"/>
                  </w:rPr>
                  <w:t>说明</w:t>
                </w:r>
              </w:p>
            </w:tc>
          </w:sdtContent>
        </w:sdt>
      </w:tr>
      <w:tr>
        <w:tc>
          <w:tcPr>
            <w:tcW w:w="4477" w:type="dxa"/>
            <w:vAlign w:val="center"/>
          </w:tcPr>
          <w:p>
            <w:pPr>
              <w:pStyle w:val="Style189"/>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2188" w:type="dxa"/>
            <w:vAlign w:val="center"/>
          </w:tcPr>
          <w:p>
            <w:pPr>
              <w:jc w:val="right"/>
              <w:rPr>
                <w:rFonts w:ascii="宋体" w:hAnsi="宋体"/>
                <w:kern w:val="2"/>
              </w:rPr>
            </w:pPr>
            <w:r>
              <w:rPr>
                <w:rFonts w:ascii="宋体" w:hAnsi="宋体"/>
              </w:rPr>
              <w:t>771,118</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2188" w:type="dxa"/>
            <w:vAlign w:val="center"/>
          </w:tcPr>
          <w:p>
            <w:pPr>
              <w:jc w:val="right"/>
              <w:rPr>
                <w:rFonts w:ascii="宋体" w:hAnsi="宋体"/>
                <w:kern w:val="2"/>
              </w:rPr>
            </w:pPr>
            <w:r>
              <w:rPr>
                <w:rFonts w:ascii="宋体" w:hAnsi="宋体"/>
              </w:rPr>
              <w:t>206,720</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2188" w:type="dxa"/>
            <w:vAlign w:val="center"/>
          </w:tcPr>
          <w:p>
            <w:pPr>
              <w:jc w:val="right"/>
              <w:rPr>
                <w:rFonts w:ascii="宋体" w:hAnsi="宋体"/>
                <w:kern w:val="2"/>
              </w:rPr>
            </w:pPr>
            <w:r>
              <w:rPr>
                <w:rFonts w:ascii="宋体" w:hAnsi="宋体"/>
              </w:rPr>
              <w:t>99,128</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pPr>
            <w:r>
              <w:rPr>
                <w:rFonts w:hint="eastAsia"/>
              </w:rPr>
              <w:t>单独进行减值测试的应收款项减值准备转回</w:t>
            </w:r>
          </w:p>
        </w:tc>
        <w:tc>
          <w:tcPr>
            <w:tcW w:w="2188" w:type="dxa"/>
            <w:vAlign w:val="center"/>
          </w:tcPr>
          <w:p>
            <w:pPr>
              <w:jc w:val="right"/>
              <w:rPr>
                <w:rFonts w:ascii="宋体" w:hAnsi="宋体"/>
                <w:kern w:val="2"/>
              </w:rPr>
            </w:pPr>
            <w:r>
              <w:rPr>
                <w:rFonts w:ascii="宋体" w:hAnsi="宋体"/>
                <w:kern w:val="2"/>
              </w:rPr>
              <w:t>8</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2188" w:type="dxa"/>
            <w:vAlign w:val="center"/>
          </w:tcPr>
          <w:p>
            <w:pPr>
              <w:jc w:val="right"/>
              <w:rPr>
                <w:rFonts w:ascii="宋体" w:hAnsi="宋体"/>
                <w:kern w:val="2"/>
              </w:rPr>
            </w:pP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szCs w:val="21"/>
              </w:rPr>
              <w:t>同一控制下企业合并产生的子公司期初至合并日的当期净损益</w:t>
            </w:r>
          </w:p>
        </w:tc>
        <w:tc>
          <w:tcPr>
            <w:tcW w:w="2188" w:type="dxa"/>
            <w:vAlign w:val="center"/>
          </w:tcPr>
          <w:p>
            <w:pPr>
              <w:jc w:val="right"/>
              <w:rPr>
                <w:rFonts w:ascii="宋体" w:hAnsi="宋体"/>
                <w:kern w:val="2"/>
              </w:rPr>
            </w:pPr>
            <w:r>
              <w:rPr>
                <w:rFonts w:ascii="宋体" w:hAnsi="宋体" w:hint="eastAsia"/>
                <w:kern w:val="2"/>
              </w:rPr>
              <w:t>582,237</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szCs w:val="21"/>
              </w:rPr>
              <w:t>债务重组损益</w:t>
            </w:r>
          </w:p>
        </w:tc>
        <w:tc>
          <w:tcPr>
            <w:tcW w:w="2188" w:type="dxa"/>
            <w:vAlign w:val="center"/>
          </w:tcPr>
          <w:p>
            <w:pPr>
              <w:jc w:val="right"/>
              <w:rPr>
                <w:rFonts w:ascii="宋体" w:hAnsi="宋体"/>
                <w:kern w:val="2"/>
              </w:rPr>
            </w:pPr>
            <w:r>
              <w:rPr>
                <w:rFonts w:ascii="宋体" w:hAnsi="宋体"/>
                <w:kern w:val="2"/>
              </w:rPr>
              <w:t>5,244</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szCs w:val="21"/>
              </w:rPr>
              <w:t>因税收、会计等法律、法规</w:t>
            </w:r>
            <w:r>
              <w:rPr>
                <w:rFonts w:hint="eastAsia"/>
                <w:szCs w:val="21"/>
              </w:rPr>
              <w:t>的调整对当期损益产生的一次性影响</w:t>
            </w:r>
          </w:p>
        </w:tc>
        <w:tc>
          <w:tcPr>
            <w:tcW w:w="2188" w:type="dxa"/>
            <w:vAlign w:val="center"/>
          </w:tcPr>
          <w:p>
            <w:pPr>
              <w:jc w:val="right"/>
              <w:rPr>
                <w:rFonts w:ascii="宋体" w:hAnsi="宋体"/>
                <w:kern w:val="2"/>
              </w:rPr>
            </w:pPr>
            <w:r>
              <w:rPr>
                <w:rFonts w:ascii="宋体" w:hAnsi="宋体"/>
                <w:kern w:val="2"/>
              </w:rPr>
              <w:t>1,705,716</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szCs w:val="21"/>
              </w:rPr>
              <w:t>采用公允价值模式进行后续计量的投资性房地产公允价值变动产生的损益</w:t>
            </w:r>
          </w:p>
        </w:tc>
        <w:tc>
          <w:tcPr>
            <w:tcW w:w="2188" w:type="dxa"/>
            <w:vAlign w:val="center"/>
          </w:tcPr>
          <w:p>
            <w:pPr>
              <w:jc w:val="right"/>
              <w:rPr>
                <w:rFonts w:ascii="宋体" w:hAnsi="宋体"/>
                <w:kern w:val="2"/>
              </w:rPr>
            </w:pPr>
            <w:r>
              <w:rPr>
                <w:rFonts w:ascii="宋体" w:hAnsi="宋体"/>
                <w:kern w:val="2"/>
              </w:rPr>
              <w:t>-19,090</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szCs w:val="21"/>
              </w:rPr>
              <w:t>除上述各项之外的其他营业外收入和支出</w:t>
            </w:r>
          </w:p>
        </w:tc>
        <w:tc>
          <w:tcPr>
            <w:tcW w:w="2188" w:type="dxa"/>
            <w:vAlign w:val="center"/>
          </w:tcPr>
          <w:p>
            <w:pPr>
              <w:jc w:val="right"/>
              <w:rPr>
                <w:rFonts w:ascii="宋体" w:hAnsi="宋体"/>
                <w:kern w:val="2"/>
              </w:rPr>
            </w:pPr>
            <w:r>
              <w:rPr>
                <w:rFonts w:ascii="宋体" w:hAnsi="宋体"/>
                <w:kern w:val="2"/>
              </w:rPr>
              <w:t>-78,735</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szCs w:val="21"/>
              </w:rPr>
              <w:t>其他符合非经常性损益定义的损益项目</w:t>
            </w:r>
          </w:p>
        </w:tc>
        <w:tc>
          <w:tcPr>
            <w:tcW w:w="2188" w:type="dxa"/>
            <w:vAlign w:val="center"/>
          </w:tcPr>
          <w:p>
            <w:pPr>
              <w:jc w:val="right"/>
              <w:rPr>
                <w:rFonts w:ascii="宋体" w:hAnsi="宋体"/>
                <w:kern w:val="2"/>
              </w:rPr>
            </w:pP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left"/>
              <w:rPr>
                <w:szCs w:val="21"/>
              </w:rPr>
            </w:pPr>
            <w:r>
              <w:rPr>
                <w:rFonts w:hint="eastAsia"/>
              </w:rPr>
              <w:t>减：</w:t>
            </w:r>
            <w:r>
              <w:rPr>
                <w:szCs w:val="21"/>
              </w:rPr>
              <w:t>所得税影响额</w:t>
            </w:r>
          </w:p>
        </w:tc>
        <w:tc>
          <w:tcPr>
            <w:tcW w:w="2188" w:type="dxa"/>
            <w:vAlign w:val="center"/>
          </w:tcPr>
          <w:p>
            <w:pPr>
              <w:jc w:val="right"/>
              <w:rPr>
                <w:rFonts w:ascii="宋体" w:hAnsi="宋体"/>
                <w:kern w:val="2"/>
              </w:rPr>
            </w:pPr>
            <w:r>
              <w:rPr>
                <w:rFonts w:ascii="宋体" w:hAnsi="宋体" w:hint="eastAsia"/>
                <w:color w:val="000000"/>
              </w:rPr>
              <w:t>847,451</w:t>
            </w:r>
          </w:p>
        </w:tc>
        <w:tc>
          <w:tcPr>
            <w:tcW w:w="2376" w:type="dxa"/>
            <w:vAlign w:val="center"/>
          </w:tcPr>
          <w:p>
            <w:pPr>
              <w:pStyle w:val="Style217"/>
            </w:pPr>
            <w:r>
              <w:rPr>
                <w:rFonts w:hint="eastAsia"/>
              </w:rPr>
              <w:t xml:space="preserve">　</w:t>
            </w:r>
          </w:p>
        </w:tc>
      </w:tr>
      <w:tr>
        <w:tc>
          <w:tcPr>
            <w:tcW w:w="4477" w:type="dxa"/>
            <w:vAlign w:val="center"/>
          </w:tcPr>
          <w:p>
            <w:pPr>
              <w:pStyle w:val="Style189"/>
              <w:ind w:firstLine="400"/>
              <w:jc w:val="left"/>
              <w:rPr>
                <w:szCs w:val="21"/>
              </w:rPr>
            </w:pPr>
            <w:r>
              <w:rPr>
                <w:szCs w:val="21"/>
              </w:rPr>
              <w:t>少数股东权益影响额</w:t>
            </w:r>
            <w:r>
              <w:rPr>
                <w:rFonts w:hint="eastAsia"/>
                <w:szCs w:val="21"/>
              </w:rPr>
              <w:t>（税后）</w:t>
            </w:r>
          </w:p>
        </w:tc>
        <w:tc>
          <w:tcPr>
            <w:tcW w:w="2188" w:type="dxa"/>
            <w:vAlign w:val="center"/>
          </w:tcPr>
          <w:p>
            <w:pPr>
              <w:jc w:val="right"/>
              <w:rPr>
                <w:rFonts w:ascii="宋体" w:hAnsi="宋体"/>
                <w:kern w:val="2"/>
              </w:rPr>
            </w:pPr>
            <w:r>
              <w:rPr>
                <w:rFonts w:ascii="宋体" w:hAnsi="宋体" w:hint="eastAsia"/>
                <w:color w:val="000000"/>
              </w:rPr>
              <w:t>1,442,936</w:t>
            </w:r>
          </w:p>
        </w:tc>
        <w:tc>
          <w:tcPr>
            <w:tcW w:w="2376" w:type="dxa"/>
            <w:vAlign w:val="center"/>
          </w:tcPr>
          <w:p>
            <w:pPr>
              <w:pStyle w:val="Style217"/>
            </w:pPr>
            <w:r>
              <w:rPr>
                <w:rFonts w:hint="eastAsia"/>
              </w:rPr>
              <w:t xml:space="preserve">　</w:t>
            </w:r>
          </w:p>
        </w:tc>
      </w:tr>
      <w:tr>
        <w:tc>
          <w:tcPr>
            <w:tcW w:w="4477" w:type="dxa"/>
            <w:vAlign w:val="center"/>
          </w:tcPr>
          <w:p>
            <w:pPr>
              <w:pStyle w:val="Style189"/>
              <w:ind w:firstLineChars="0" w:firstLine="0"/>
              <w:jc w:val="center"/>
              <w:rPr>
                <w:szCs w:val="21"/>
              </w:rPr>
            </w:pPr>
            <w:r>
              <w:rPr>
                <w:szCs w:val="21"/>
              </w:rPr>
              <w:t>合计</w:t>
            </w:r>
          </w:p>
        </w:tc>
        <w:tc>
          <w:tcPr>
            <w:tcW w:w="2188" w:type="dxa"/>
            <w:vAlign w:val="center"/>
          </w:tcPr>
          <w:p>
            <w:pPr>
              <w:jc w:val="right"/>
              <w:rPr>
                <w:rFonts w:ascii="宋体" w:hAnsi="宋体"/>
                <w:kern w:val="2"/>
              </w:rPr>
            </w:pPr>
            <w:r>
              <w:rPr>
                <w:rFonts w:ascii="宋体" w:hAnsi="宋体"/>
              </w:rPr>
              <w:t>981,959</w:t>
            </w:r>
          </w:p>
        </w:tc>
        <w:tc>
          <w:tcPr>
            <w:tcW w:w="2376" w:type="dxa"/>
            <w:vAlign w:val="center"/>
          </w:tcPr>
          <w:p>
            <w:pPr>
              <w:pStyle w:val="Style217"/>
            </w:pPr>
            <w:r>
              <w:rPr>
                <w:rFonts w:hint="eastAsia"/>
              </w:rPr>
              <w:t xml:space="preserve">　</w:t>
            </w:r>
          </w:p>
        </w:tc>
      </w:tr>
    </w:tbl>
    <w:p>
      <w:pPr>
        <w:pStyle w:val="Style217"/>
      </w:pPr>
    </w:p>
    <w:p>
      <w:pPr>
        <w:pStyle w:val="Style217"/>
      </w:pPr>
      <w:bookmarkStart w:id="608" w:name="_Hlk154752626"/>
      <w:bookmarkEnd w:id="606"/>
      <w:bookmarkEnd w:id="607"/>
      <w:r>
        <w:rPr>
          <w:rFonts w:hint="eastAsia"/>
        </w:rPr>
        <w:t>对公司将《公开发行证券的公司信息披露解释性公告第</w:t>
      </w:r>
      <w:r>
        <w:t>1号——非经常性损益》未列举的项目认定为非经常性损益项目且金额重大的，以及将《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a967cba183d54f83a4f652d6d31302c3"/>
        <w:id w:val="-1212500788"/>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p>
      <w:pPr>
        <w:spacing w:line="360" w:lineRule="exact"/>
      </w:pPr>
      <w:r>
        <w:rPr>
          <w:rFonts w:hint="eastAsia"/>
        </w:rPr>
        <w:t>其他说明：</w:t>
      </w:r>
    </w:p>
    <w:sdt>
      <w:sdtPr>
        <w:alias w:val="是否适用：非经常性损益的其他说明[双击切换]"/>
        <w:tag w:val="_GBC_02aa469151f448ef8b478dba20a7d811"/>
        <w:id w:val="1761485065"/>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217"/>
      </w:pPr>
    </w:p>
    <w:bookmarkEnd w:id="608"/>
    <w:p>
      <w:pPr>
        <w:pStyle w:val="Style151"/>
      </w:pPr>
      <w:r>
        <w:rPr>
          <w:rFonts w:hint="eastAsia"/>
        </w:rPr>
        <w:t>净资产收益率及每股收益</w:t>
      </w:r>
    </w:p>
    <w:sdt>
      <w:sdtPr>
        <w:alias w:val="是否适用：净资产收益率及每股收益[双击切换]"/>
        <w:tag w:val="_GBC_c0f530bdf9ee48239f470eda08b303d7"/>
        <w:id w:val="-184400246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Style100"/>
        <w:tblW w:w="9047" w:type="dxa"/>
        <w:tblInd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13"/>
        <w:gridCol w:w="1840"/>
        <w:gridCol w:w="2146"/>
        <w:gridCol w:w="2148"/>
      </w:tblGrid>
      <w:tr>
        <w:trPr>
          <w:trHeight w:val="270"/>
        </w:trPr>
        <w:sdt>
          <w:sdtPr>
            <w:tag w:val="_PLD_85d9a7abc9cd45768b2b5f99afa4a4ef"/>
            <w:id w:val="-1597544987"/>
          </w:sdtPr>
          <w:sdtContent>
            <w:tc>
              <w:tcPr>
                <w:tcW w:w="2913" w:type="dxa"/>
                <w:vMerge w:val="restart"/>
                <w:tcBorders>
                  <w:top w:val="single" w:sz="4" w:space="0" w:color="auto"/>
                  <w:left w:val="single" w:sz="4" w:space="0" w:color="auto"/>
                  <w:bottom w:val="single" w:sz="4" w:space="0" w:color="auto"/>
                  <w:right w:val="single" w:sz="4" w:space="0" w:color="auto"/>
                </w:tcBorders>
                <w:vAlign w:val="center"/>
              </w:tcPr>
              <w:p>
                <w:pPr>
                  <w:jc w:val="center"/>
                </w:pPr>
                <w:r>
                  <w:t>报告期利润</w:t>
                </w:r>
              </w:p>
            </w:tc>
          </w:sdtContent>
        </w:sdt>
        <w:sdt>
          <w:sdtPr>
            <w:tag w:val="_PLD_7f5ad103cbb04f7d904001b07266bf41"/>
            <w:id w:val="1385522780"/>
          </w:sdtPr>
          <w:sdtContent>
            <w:tc>
              <w:tcPr>
                <w:tcW w:w="1840" w:type="dxa"/>
                <w:vMerge w:val="restart"/>
                <w:tcBorders>
                  <w:top w:val="single" w:sz="4" w:space="0" w:color="auto"/>
                  <w:left w:val="single" w:sz="4" w:space="0" w:color="auto"/>
                  <w:right w:val="single" w:sz="4" w:space="0" w:color="auto"/>
                </w:tcBorders>
                <w:vAlign w:val="center"/>
              </w:tcPr>
              <w:p>
                <w:pPr>
                  <w:jc w:val="center"/>
                </w:pPr>
                <w:r>
                  <w:t>加权平均净资产收益率（</w:t>
                </w:r>
                <w:r>
                  <w:t>%</w:t>
                </w:r>
                <w:r>
                  <w:t>）</w:t>
                </w:r>
              </w:p>
            </w:tc>
          </w:sdtContent>
        </w:sdt>
        <w:sdt>
          <w:sdtPr>
            <w:tag w:val="_PLD_adaa515ff68f455d8bcd75e516da3040"/>
            <w:id w:val="1006631439"/>
          </w:sdtPr>
          <w:sdtContent>
            <w:tc>
              <w:tcPr>
                <w:tcW w:w="4294" w:type="dxa"/>
                <w:gridSpan w:val="2"/>
                <w:tcBorders>
                  <w:top w:val="single" w:sz="4" w:space="0" w:color="auto"/>
                  <w:left w:val="single" w:sz="4" w:space="0" w:color="auto"/>
                  <w:bottom w:val="single" w:sz="4" w:space="0" w:color="auto"/>
                  <w:right w:val="single" w:sz="4" w:space="0" w:color="auto"/>
                </w:tcBorders>
                <w:vAlign w:val="center"/>
              </w:tcPr>
              <w:p>
                <w:pPr>
                  <w:jc w:val="center"/>
                </w:pPr>
                <w:r>
                  <w:t>每股收益</w:t>
                </w:r>
              </w:p>
            </w:tc>
          </w:sdtContent>
        </w:sdt>
      </w:tr>
      <w:tr>
        <w:trPr>
          <w:trHeight w:val="360"/>
        </w:trPr>
        <w:tc>
          <w:tcPr>
            <w:tcW w:w="2913" w:type="dxa"/>
            <w:vMerge/>
            <w:tcBorders>
              <w:top w:val="single" w:sz="4" w:space="0" w:color="auto"/>
              <w:left w:val="single" w:sz="4" w:space="0" w:color="auto"/>
              <w:bottom w:val="single" w:sz="4" w:space="0" w:color="auto"/>
              <w:right w:val="single" w:sz="4" w:space="0" w:color="auto"/>
            </w:tcBorders>
            <w:vAlign w:val="center"/>
          </w:tcPr>
          <w:p>
            <w:pPr>
              <w:jc w:val="center"/>
            </w:pPr>
          </w:p>
        </w:tc>
        <w:tc>
          <w:tcPr>
            <w:tcW w:w="1840" w:type="dxa"/>
            <w:vMerge/>
            <w:tcBorders>
              <w:left w:val="single" w:sz="4" w:space="0" w:color="auto"/>
              <w:bottom w:val="single" w:sz="4" w:space="0" w:color="auto"/>
              <w:right w:val="single" w:sz="4" w:space="0" w:color="auto"/>
            </w:tcBorders>
            <w:vAlign w:val="center"/>
          </w:tcPr>
          <w:p>
            <w:pPr>
              <w:jc w:val="center"/>
            </w:pPr>
          </w:p>
        </w:tc>
        <w:sdt>
          <w:sdtPr>
            <w:tag w:val="_PLD_503a9e353572491fb64751c75881b5ac"/>
            <w:id w:val="-1842693857"/>
          </w:sdtPr>
          <w:sdtContent>
            <w:tc>
              <w:tcPr>
                <w:tcW w:w="2146" w:type="dxa"/>
                <w:tcBorders>
                  <w:top w:val="single" w:sz="4" w:space="0" w:color="auto"/>
                  <w:left w:val="single" w:sz="4" w:space="0" w:color="auto"/>
                  <w:bottom w:val="single" w:sz="4" w:space="0" w:color="auto"/>
                  <w:right w:val="single" w:sz="4" w:space="0" w:color="auto"/>
                </w:tcBorders>
                <w:vAlign w:val="center"/>
              </w:tcPr>
              <w:p>
                <w:pPr>
                  <w:jc w:val="center"/>
                </w:pPr>
                <w:r>
                  <w:t>基本每股收益</w:t>
                </w:r>
              </w:p>
            </w:tc>
          </w:sdtContent>
        </w:sdt>
        <w:sdt>
          <w:sdtPr>
            <w:tag w:val="_PLD_b57959d0e3714f2590eb4529892e5c18"/>
            <w:id w:val="1355850542"/>
          </w:sdtPr>
          <w:sdtContent>
            <w:tc>
              <w:tcPr>
                <w:tcW w:w="2148" w:type="dxa"/>
                <w:tcBorders>
                  <w:top w:val="single" w:sz="4" w:space="0" w:color="auto"/>
                  <w:left w:val="single" w:sz="4" w:space="0" w:color="auto"/>
                  <w:bottom w:val="single" w:sz="4" w:space="0" w:color="auto"/>
                  <w:right w:val="single" w:sz="4" w:space="0" w:color="auto"/>
                </w:tcBorders>
                <w:vAlign w:val="center"/>
              </w:tcPr>
              <w:p>
                <w:pPr>
                  <w:jc w:val="center"/>
                </w:pPr>
                <w:r>
                  <w:t>稀释每股收益</w:t>
                </w:r>
              </w:p>
            </w:tc>
          </w:sdtContent>
        </w:sdt>
      </w:tr>
      <w:tr>
        <w:trPr>
          <w:trHeight w:val="360"/>
        </w:trPr>
        <w:tc>
          <w:tcPr>
            <w:tcW w:w="2913" w:type="dxa"/>
            <w:tcBorders>
              <w:top w:val="single" w:sz="4" w:space="0" w:color="auto"/>
              <w:left w:val="single" w:sz="4" w:space="0" w:color="auto"/>
              <w:bottom w:val="single" w:sz="4" w:space="0" w:color="auto"/>
              <w:right w:val="single" w:sz="4" w:space="0" w:color="auto"/>
            </w:tcBorders>
            <w:vAlign w:val="center"/>
          </w:tcPr>
          <w:p>
            <w:pPr>
              <w:pStyle w:val="Style217"/>
            </w:pPr>
            <w:r>
              <w:t>归属于公司普通股股东的净利润</w:t>
            </w:r>
          </w:p>
        </w:tc>
        <w:tc>
          <w:tcPr>
            <w:tcW w:w="184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9.95</w:t>
            </w:r>
          </w:p>
        </w:tc>
        <w:tc>
          <w:tcPr>
            <w:tcW w:w="214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0.84</w:t>
            </w:r>
          </w:p>
        </w:tc>
        <w:tc>
          <w:tcPr>
            <w:tcW w:w="21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0.84</w:t>
            </w:r>
          </w:p>
        </w:tc>
      </w:tr>
      <w:tr>
        <w:trPr>
          <w:trHeight w:val="360"/>
        </w:trPr>
        <w:tc>
          <w:tcPr>
            <w:tcW w:w="2913" w:type="dxa"/>
            <w:tcBorders>
              <w:top w:val="single" w:sz="4" w:space="0" w:color="auto"/>
              <w:left w:val="single" w:sz="4" w:space="0" w:color="auto"/>
              <w:bottom w:val="single" w:sz="4" w:space="0" w:color="auto"/>
              <w:right w:val="single" w:sz="4" w:space="0" w:color="auto"/>
            </w:tcBorders>
            <w:vAlign w:val="center"/>
          </w:tcPr>
          <w:p>
            <w:pPr>
              <w:pStyle w:val="Style217"/>
            </w:pPr>
            <w:r>
              <w:t>扣除非经常性损益后归属于公司普通股股东的净利润</w:t>
            </w:r>
          </w:p>
        </w:tc>
        <w:tc>
          <w:tcPr>
            <w:tcW w:w="1840"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8.78</w:t>
            </w:r>
          </w:p>
        </w:tc>
        <w:tc>
          <w:tcPr>
            <w:tcW w:w="2146"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0.74</w:t>
            </w:r>
          </w:p>
        </w:tc>
        <w:tc>
          <w:tcPr>
            <w:tcW w:w="2148" w:type="dxa"/>
            <w:tcBorders>
              <w:top w:val="single" w:sz="4" w:space="0" w:color="auto"/>
              <w:left w:val="single" w:sz="4" w:space="0" w:color="auto"/>
              <w:bottom w:val="single" w:sz="4" w:space="0" w:color="auto"/>
              <w:right w:val="single" w:sz="4" w:space="0" w:color="auto"/>
            </w:tcBorders>
            <w:vAlign w:val="center"/>
          </w:tcPr>
          <w:p>
            <w:pPr>
              <w:jc w:val="right"/>
              <w:rPr>
                <w:rFonts w:ascii="宋体" w:hAnsi="宋体"/>
              </w:rPr>
            </w:pPr>
            <w:r>
              <w:rPr>
                <w:rFonts w:ascii="宋体" w:hAnsi="宋体"/>
              </w:rPr>
              <w:t>0.74</w:t>
            </w:r>
          </w:p>
        </w:tc>
      </w:tr>
    </w:tbl>
    <w:p>
      <w:pPr>
        <w:pStyle w:val="Style217"/>
      </w:pPr>
    </w:p>
    <w:p>
      <w:pPr>
        <w:pStyle w:val="Style178"/>
        <w:numPr>
          <w:ilvl w:val="0"/>
          <w:numId w:val="140"/>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2049101386"/>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179"/>
        <w:numPr>
          <w:ilvl w:val="0"/>
          <w:numId w:val="141"/>
        </w:numPr>
      </w:pPr>
      <w:r>
        <w:rPr>
          <w:rFonts w:hint="eastAsia"/>
        </w:rPr>
        <w:t>同时按照国际会计准则与按中国会计准则披露的财务报告中净利润和净资产差异情况</w:t>
      </w:r>
    </w:p>
    <w:sdt>
      <w:sdtPr>
        <w:rPr>
          <w:rFonts w:hint="eastAsia"/>
        </w:rPr>
        <w:alias w:val="是否适用：同时按照国际会计准则与按中国会计准则披露的财务报告中净利润和净资产差异情况[双击切换]"/>
        <w:tag w:val="_GBC_d4b99094c68c4643b25e25a564d131d1"/>
        <w:id w:val="1352682853"/>
        <w:placeholder>
          <w:docPart w:val="GBC22222222222222222222222222222"/>
        </w:placeholder>
      </w:sdtPr>
      <w:sdtContent>
        <w:p>
          <w:pPr>
            <w:pStyle w:val="Style217"/>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jc w:val="right"/>
      </w:pPr>
      <w:r>
        <w:rPr>
          <w:rFonts w:hint="eastAsia"/>
        </w:rPr>
        <w:t>单位：</w:t>
      </w:r>
      <w:sdt>
        <w:sdtPr>
          <w:rPr>
            <w:rFonts w:hint="eastAsia"/>
          </w:rPr>
          <w:alias w:val="单位：同时按照国际会计准则与按中国会计准则披露的财务报告中净利润和净资产差异情况"/>
          <w:tag w:val="_GBC_4a9c4891050f46febb181a926ba461ae"/>
          <w:id w:val="1600066485"/>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币种：</w:t>
      </w:r>
      <w:sdt>
        <w:sdtPr>
          <w:rPr>
            <w:rFonts w:hint="eastAsia"/>
          </w:rPr>
          <w:alias w:val="币种：同时按照国际会计准则与按中国会计准则披露的财务报告中净利润和净资产差异情况"/>
          <w:tag w:val="_GBC_aa48a8ffe5904da68453612258b0bfaa"/>
          <w:id w:val="1704442568"/>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Style100"/>
        <w:tblW w:w="90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512"/>
        <w:gridCol w:w="1515"/>
        <w:gridCol w:w="1512"/>
        <w:gridCol w:w="1517"/>
      </w:tblGrid>
      <w:tr>
        <w:trPr>
          <w:trHeight w:val="298"/>
        </w:trPr>
        <w:tc>
          <w:tcPr>
            <w:tcW w:w="2993" w:type="dxa"/>
            <w:vMerge w:val="restart"/>
            <w:vAlign w:val="center"/>
          </w:tcPr>
          <w:p>
            <w:pPr>
              <w:jc w:val="center"/>
            </w:pPr>
          </w:p>
        </w:tc>
        <w:sdt>
          <w:sdtPr>
            <w:tag w:val="_PLD_024e18d5f232482baf41a0f3085e0920"/>
            <w:id w:val="-89326484"/>
          </w:sdtPr>
          <w:sdtContent>
            <w:tc>
              <w:tcPr>
                <w:tcW w:w="3027" w:type="dxa"/>
                <w:gridSpan w:val="2"/>
                <w:vAlign w:val="center"/>
              </w:tcPr>
              <w:p>
                <w:pPr>
                  <w:jc w:val="center"/>
                </w:pPr>
                <w:r>
                  <w:rPr>
                    <w:rFonts w:hint="eastAsia"/>
                  </w:rPr>
                  <w:t>归属于上市公司股东的净利润</w:t>
                </w:r>
              </w:p>
            </w:tc>
          </w:sdtContent>
        </w:sdt>
        <w:sdt>
          <w:sdtPr>
            <w:tag w:val="_PLD_74ae34b8caa548c69fb90a429721e871"/>
            <w:id w:val="595127841"/>
          </w:sdtPr>
          <w:sdtContent>
            <w:tc>
              <w:tcPr>
                <w:tcW w:w="3029" w:type="dxa"/>
                <w:gridSpan w:val="2"/>
                <w:vAlign w:val="center"/>
              </w:tcPr>
              <w:p>
                <w:pPr>
                  <w:jc w:val="center"/>
                </w:pPr>
                <w:r>
                  <w:rPr>
                    <w:rFonts w:hint="eastAsia"/>
                  </w:rPr>
                  <w:t>归属于上市公司股东的净资产</w:t>
                </w:r>
              </w:p>
            </w:tc>
          </w:sdtContent>
        </w:sdt>
      </w:tr>
      <w:tr>
        <w:tc>
          <w:tcPr>
            <w:tcW w:w="2993" w:type="dxa"/>
            <w:vMerge/>
            <w:vAlign w:val="center"/>
          </w:tcPr>
          <w:p>
            <w:pPr>
              <w:jc w:val="center"/>
            </w:pPr>
          </w:p>
        </w:tc>
        <w:sdt>
          <w:sdtPr>
            <w:tag w:val="_PLD_c7129e730cf84191aa1826818da93240"/>
            <w:id w:val="-640112147"/>
          </w:sdtPr>
          <w:sdtContent>
            <w:tc>
              <w:tcPr>
                <w:tcW w:w="1512" w:type="dxa"/>
                <w:vAlign w:val="center"/>
              </w:tcPr>
              <w:p>
                <w:pPr>
                  <w:jc w:val="center"/>
                </w:pPr>
                <w:r>
                  <w:rPr>
                    <w:rFonts w:hint="eastAsia"/>
                  </w:rPr>
                  <w:t>本期发生额</w:t>
                </w:r>
              </w:p>
            </w:tc>
          </w:sdtContent>
        </w:sdt>
        <w:sdt>
          <w:sdtPr>
            <w:tag w:val="_PLD_c4db839c354947fd8745e666a8067fce"/>
            <w:id w:val="1187021748"/>
          </w:sdtPr>
          <w:sdtContent>
            <w:tc>
              <w:tcPr>
                <w:tcW w:w="1515" w:type="dxa"/>
                <w:vAlign w:val="center"/>
              </w:tcPr>
              <w:p>
                <w:pPr>
                  <w:jc w:val="center"/>
                </w:pPr>
                <w:r>
                  <w:rPr>
                    <w:rFonts w:hint="eastAsia"/>
                  </w:rPr>
                  <w:t>上期发生额</w:t>
                </w:r>
              </w:p>
            </w:tc>
          </w:sdtContent>
        </w:sdt>
        <w:sdt>
          <w:sdtPr>
            <w:tag w:val="_PLD_1d5d7e03d0eb417f92247cc25d1bba89"/>
            <w:id w:val="-89624998"/>
          </w:sdtPr>
          <w:sdtContent>
            <w:tc>
              <w:tcPr>
                <w:tcW w:w="1512" w:type="dxa"/>
                <w:vAlign w:val="center"/>
              </w:tcPr>
              <w:p>
                <w:pPr>
                  <w:jc w:val="center"/>
                </w:pPr>
                <w:r>
                  <w:rPr>
                    <w:rFonts w:hint="eastAsia"/>
                  </w:rPr>
                  <w:t>期末余额</w:t>
                </w:r>
              </w:p>
            </w:tc>
          </w:sdtContent>
        </w:sdt>
        <w:sdt>
          <w:sdtPr>
            <w:tag w:val="_PLD_06249b5a9b9b4d189488049bace5a89c"/>
            <w:id w:val="-684436006"/>
          </w:sdtPr>
          <w:sdtContent>
            <w:tc>
              <w:tcPr>
                <w:tcW w:w="1517" w:type="dxa"/>
                <w:vAlign w:val="center"/>
              </w:tcPr>
              <w:p>
                <w:pPr>
                  <w:jc w:val="center"/>
                </w:pPr>
                <w:r>
                  <w:rPr>
                    <w:rFonts w:hint="eastAsia"/>
                  </w:rPr>
                  <w:t>期初余额</w:t>
                </w:r>
              </w:p>
            </w:tc>
          </w:sdtContent>
        </w:sdt>
      </w:tr>
      <w:tr>
        <w:tc>
          <w:tcPr>
            <w:tcW w:w="2993" w:type="dxa"/>
            <w:vAlign w:val="center"/>
          </w:tcPr>
          <w:p>
            <w:pPr>
              <w:jc w:val="both"/>
            </w:pPr>
            <w:r>
              <w:rPr>
                <w:rFonts w:hint="eastAsia"/>
              </w:rPr>
              <w:t>按中国会计准则</w:t>
            </w:r>
          </w:p>
        </w:tc>
        <w:tc>
          <w:tcPr>
            <w:tcW w:w="1512" w:type="dxa"/>
            <w:shd w:val="clear" w:color="auto" w:fill="auto"/>
            <w:vAlign w:val="center"/>
          </w:tcPr>
          <w:p>
            <w:pPr>
              <w:autoSpaceDE w:val="0"/>
              <w:autoSpaceDN w:val="0"/>
              <w:adjustRightInd w:val="0"/>
              <w:snapToGrid w:val="0"/>
              <w:jc w:val="right"/>
              <w:rPr>
                <w:rFonts w:ascii="宋体" w:hAnsi="宋体"/>
              </w:rPr>
            </w:pPr>
            <w:r>
              <w:rPr>
                <w:rFonts w:ascii="宋体" w:hAnsi="宋体"/>
              </w:rPr>
              <w:t>8,380,948</w:t>
            </w:r>
          </w:p>
        </w:tc>
        <w:tc>
          <w:tcPr>
            <w:tcW w:w="1515" w:type="dxa"/>
            <w:shd w:val="clear" w:color="auto" w:fill="auto"/>
            <w:vAlign w:val="center"/>
          </w:tcPr>
          <w:p>
            <w:pPr>
              <w:autoSpaceDE w:val="0"/>
              <w:autoSpaceDN w:val="0"/>
              <w:adjustRightInd w:val="0"/>
              <w:snapToGrid w:val="0"/>
              <w:jc w:val="right"/>
              <w:rPr>
                <w:rFonts w:ascii="宋体" w:hAnsi="宋体"/>
                <w:bCs/>
              </w:rPr>
            </w:pPr>
            <w:r>
              <w:rPr>
                <w:rFonts w:ascii="宋体" w:hAnsi="宋体"/>
              </w:rPr>
              <w:t>14,862,943</w:t>
            </w:r>
          </w:p>
        </w:tc>
        <w:tc>
          <w:tcPr>
            <w:tcW w:w="1512" w:type="dxa"/>
            <w:shd w:val="clear" w:color="auto" w:fill="auto"/>
            <w:vAlign w:val="center"/>
          </w:tcPr>
          <w:p>
            <w:pPr>
              <w:jc w:val="right"/>
              <w:rPr>
                <w:rFonts w:ascii="宋体" w:hAnsi="宋体"/>
                <w:bCs/>
              </w:rPr>
            </w:pPr>
            <w:r>
              <w:rPr>
                <w:rFonts w:ascii="宋体" w:hAnsi="宋体"/>
              </w:rPr>
              <w:t>100,480,292</w:t>
            </w:r>
          </w:p>
        </w:tc>
        <w:tc>
          <w:tcPr>
            <w:tcW w:w="1517" w:type="dxa"/>
            <w:shd w:val="clear" w:color="auto" w:fill="auto"/>
            <w:vAlign w:val="center"/>
          </w:tcPr>
          <w:p>
            <w:pPr>
              <w:autoSpaceDE w:val="0"/>
              <w:autoSpaceDN w:val="0"/>
              <w:adjustRightInd w:val="0"/>
              <w:snapToGrid w:val="0"/>
              <w:jc w:val="right"/>
              <w:rPr>
                <w:rFonts w:ascii="宋体" w:hAnsi="宋体"/>
              </w:rPr>
            </w:pPr>
            <w:r>
              <w:rPr>
                <w:rFonts w:ascii="宋体" w:hAnsi="宋体"/>
              </w:rPr>
              <w:t>87,872,209</w:t>
            </w:r>
          </w:p>
        </w:tc>
      </w:tr>
      <w:tr>
        <w:sdt>
          <w:sdtPr>
            <w:tag w:val="_PLD_cc0171220fa04c20ae903b3935aef8ee"/>
            <w:id w:val="-521551796"/>
          </w:sdtPr>
          <w:sdtContent>
            <w:tc>
              <w:tcPr>
                <w:tcW w:w="9049" w:type="dxa"/>
                <w:gridSpan w:val="5"/>
                <w:shd w:val="clear" w:color="auto" w:fill="auto"/>
                <w:vAlign w:val="center"/>
              </w:tcPr>
              <w:p>
                <w:pPr>
                  <w:pStyle w:val="Style217"/>
                </w:pPr>
                <w:r>
                  <w:rPr>
                    <w:rFonts w:hint="eastAsia"/>
                  </w:rPr>
                  <w:t>按国际会计准则调整的项目及金额：</w:t>
                </w:r>
              </w:p>
            </w:tc>
          </w:sdtContent>
        </w:sdt>
      </w:tr>
      <w:tr>
        <w:tc>
          <w:tcPr>
            <w:tcW w:w="2993" w:type="dxa"/>
            <w:vAlign w:val="center"/>
          </w:tcPr>
          <w:p>
            <w:pPr>
              <w:jc w:val="both"/>
              <w:rPr>
                <w:rFonts w:ascii="宋体" w:hAnsi="宋体"/>
              </w:rPr>
            </w:pPr>
            <w:r>
              <w:rPr>
                <w:rFonts w:ascii="宋体" w:hAnsi="宋体" w:hint="eastAsia"/>
              </w:rPr>
              <w:t>1.专项储备（注1）</w:t>
            </w:r>
          </w:p>
        </w:tc>
        <w:tc>
          <w:tcPr>
            <w:tcW w:w="1512" w:type="dxa"/>
            <w:shd w:val="clear" w:color="auto" w:fill="auto"/>
            <w:vAlign w:val="center"/>
          </w:tcPr>
          <w:p>
            <w:pPr>
              <w:jc w:val="right"/>
              <w:rPr>
                <w:rFonts w:ascii="宋体" w:hAnsi="宋体"/>
              </w:rPr>
            </w:pPr>
            <w:r>
              <w:rPr>
                <w:rFonts w:ascii="宋体" w:hAnsi="宋体"/>
              </w:rPr>
              <w:t>-201,1</w:t>
            </w:r>
            <w:r>
              <w:rPr>
                <w:rFonts w:ascii="宋体" w:hAnsi="宋体" w:hint="eastAsia"/>
              </w:rPr>
              <w:t>40</w:t>
            </w:r>
          </w:p>
        </w:tc>
        <w:tc>
          <w:tcPr>
            <w:tcW w:w="1515" w:type="dxa"/>
            <w:shd w:val="clear" w:color="auto" w:fill="auto"/>
            <w:vAlign w:val="center"/>
          </w:tcPr>
          <w:p>
            <w:pPr>
              <w:jc w:val="right"/>
              <w:rPr>
                <w:rFonts w:ascii="宋体" w:hAnsi="宋体"/>
              </w:rPr>
            </w:pPr>
            <w:r>
              <w:rPr>
                <w:rFonts w:ascii="宋体" w:hAnsi="宋体"/>
              </w:rPr>
              <w:t>351,387</w:t>
            </w:r>
          </w:p>
        </w:tc>
        <w:tc>
          <w:tcPr>
            <w:tcW w:w="1512" w:type="dxa"/>
            <w:shd w:val="clear" w:color="auto" w:fill="auto"/>
            <w:vAlign w:val="center"/>
          </w:tcPr>
          <w:p>
            <w:pPr>
              <w:jc w:val="right"/>
              <w:rPr>
                <w:rFonts w:ascii="宋体" w:hAnsi="宋体"/>
              </w:rPr>
            </w:pPr>
            <w:r>
              <w:rPr>
                <w:rFonts w:ascii="宋体" w:hAnsi="宋体"/>
              </w:rPr>
              <w:t>-476,36</w:t>
            </w:r>
            <w:r>
              <w:rPr>
                <w:rFonts w:ascii="宋体" w:hAnsi="宋体" w:hint="eastAsia"/>
              </w:rPr>
              <w:t>8</w:t>
            </w:r>
          </w:p>
        </w:tc>
        <w:tc>
          <w:tcPr>
            <w:tcW w:w="1517" w:type="dxa"/>
            <w:shd w:val="clear" w:color="auto" w:fill="auto"/>
            <w:vAlign w:val="center"/>
          </w:tcPr>
          <w:p>
            <w:pPr>
              <w:jc w:val="right"/>
              <w:rPr>
                <w:rFonts w:ascii="宋体" w:hAnsi="宋体"/>
              </w:rPr>
            </w:pPr>
            <w:r>
              <w:rPr>
                <w:rFonts w:ascii="宋体" w:hAnsi="宋体"/>
              </w:rPr>
              <w:t>-246,486</w:t>
            </w:r>
          </w:p>
        </w:tc>
      </w:tr>
      <w:tr>
        <w:tc>
          <w:tcPr>
            <w:tcW w:w="2993" w:type="dxa"/>
            <w:vAlign w:val="center"/>
          </w:tcPr>
          <w:p>
            <w:pPr>
              <w:jc w:val="both"/>
              <w:rPr>
                <w:rFonts w:ascii="宋体" w:hAnsi="宋体"/>
              </w:rPr>
            </w:pPr>
            <w:r>
              <w:rPr>
                <w:rFonts w:ascii="宋体" w:hAnsi="宋体" w:hint="eastAsia"/>
              </w:rPr>
              <w:t>2.永续资本债券（注2）</w:t>
            </w:r>
          </w:p>
        </w:tc>
        <w:tc>
          <w:tcPr>
            <w:tcW w:w="1512" w:type="dxa"/>
            <w:shd w:val="clear" w:color="auto" w:fill="auto"/>
            <w:vAlign w:val="center"/>
          </w:tcPr>
          <w:p>
            <w:pPr>
              <w:jc w:val="right"/>
              <w:rPr>
                <w:rFonts w:ascii="宋体" w:hAnsi="宋体"/>
              </w:rPr>
            </w:pPr>
          </w:p>
        </w:tc>
        <w:tc>
          <w:tcPr>
            <w:tcW w:w="1515" w:type="dxa"/>
            <w:shd w:val="clear" w:color="auto" w:fill="auto"/>
            <w:vAlign w:val="center"/>
          </w:tcPr>
          <w:p>
            <w:pPr>
              <w:jc w:val="right"/>
              <w:rPr>
                <w:rFonts w:ascii="宋体" w:hAnsi="宋体"/>
              </w:rPr>
            </w:pPr>
          </w:p>
        </w:tc>
        <w:tc>
          <w:tcPr>
            <w:tcW w:w="1512" w:type="dxa"/>
            <w:shd w:val="clear" w:color="auto" w:fill="auto"/>
            <w:vAlign w:val="center"/>
          </w:tcPr>
          <w:p>
            <w:pPr>
              <w:jc w:val="right"/>
              <w:rPr>
                <w:rFonts w:ascii="宋体" w:hAnsi="宋体"/>
              </w:rPr>
            </w:pPr>
            <w:r>
              <w:rPr>
                <w:rFonts w:ascii="宋体" w:hAnsi="宋体" w:hint="eastAsia"/>
              </w:rPr>
              <w:t>28,766,651</w:t>
            </w:r>
          </w:p>
        </w:tc>
        <w:tc>
          <w:tcPr>
            <w:tcW w:w="1517" w:type="dxa"/>
            <w:shd w:val="clear" w:color="auto" w:fill="auto"/>
            <w:vAlign w:val="center"/>
          </w:tcPr>
          <w:p>
            <w:pPr>
              <w:jc w:val="right"/>
              <w:rPr>
                <w:rFonts w:ascii="宋体" w:hAnsi="宋体"/>
              </w:rPr>
            </w:pPr>
            <w:r>
              <w:rPr>
                <w:rFonts w:ascii="宋体" w:hAnsi="宋体" w:hint="eastAsia"/>
              </w:rPr>
              <w:t>23,267,221</w:t>
            </w:r>
          </w:p>
        </w:tc>
      </w:tr>
      <w:tr>
        <w:tc>
          <w:tcPr>
            <w:tcW w:w="2993" w:type="dxa"/>
            <w:vAlign w:val="center"/>
          </w:tcPr>
          <w:p>
            <w:pPr>
              <w:jc w:val="both"/>
              <w:rPr>
                <w:rFonts w:ascii="宋体" w:hAnsi="宋体"/>
              </w:rPr>
            </w:pPr>
            <w:r>
              <w:rPr>
                <w:rFonts w:ascii="宋体" w:hAnsi="宋体" w:hint="eastAsia"/>
              </w:rPr>
              <w:t>3.无形资产减值损失（注3）</w:t>
            </w:r>
          </w:p>
        </w:tc>
        <w:tc>
          <w:tcPr>
            <w:tcW w:w="1512" w:type="dxa"/>
            <w:shd w:val="clear" w:color="auto" w:fill="auto"/>
            <w:vAlign w:val="center"/>
          </w:tcPr>
          <w:p>
            <w:pPr>
              <w:jc w:val="right"/>
              <w:rPr>
                <w:rFonts w:ascii="宋体" w:hAnsi="宋体"/>
              </w:rPr>
            </w:pPr>
            <w:r>
              <w:rPr>
                <w:rFonts w:ascii="宋体" w:hAnsi="宋体" w:hint="eastAsia"/>
              </w:rPr>
              <w:t>10,199</w:t>
            </w:r>
          </w:p>
        </w:tc>
        <w:tc>
          <w:tcPr>
            <w:tcW w:w="1515" w:type="dxa"/>
            <w:shd w:val="clear" w:color="auto" w:fill="auto"/>
            <w:vAlign w:val="center"/>
          </w:tcPr>
          <w:p>
            <w:pPr>
              <w:jc w:val="right"/>
              <w:rPr>
                <w:rFonts w:ascii="宋体" w:hAnsi="宋体"/>
              </w:rPr>
            </w:pPr>
            <w:r>
              <w:rPr>
                <w:rFonts w:ascii="宋体" w:hAnsi="宋体" w:hint="eastAsia"/>
              </w:rPr>
              <w:t>10,199</w:t>
            </w:r>
          </w:p>
        </w:tc>
        <w:tc>
          <w:tcPr>
            <w:tcW w:w="1512" w:type="dxa"/>
            <w:shd w:val="clear" w:color="auto" w:fill="auto"/>
            <w:vAlign w:val="center"/>
          </w:tcPr>
          <w:p>
            <w:pPr>
              <w:jc w:val="right"/>
              <w:rPr>
                <w:rFonts w:ascii="宋体" w:hAnsi="宋体"/>
              </w:rPr>
            </w:pPr>
            <w:r>
              <w:rPr>
                <w:rFonts w:ascii="宋体" w:hAnsi="宋体" w:hint="eastAsia"/>
              </w:rPr>
              <w:t>-48,644</w:t>
            </w:r>
          </w:p>
        </w:tc>
        <w:tc>
          <w:tcPr>
            <w:tcW w:w="1517" w:type="dxa"/>
            <w:shd w:val="clear" w:color="auto" w:fill="auto"/>
            <w:vAlign w:val="center"/>
          </w:tcPr>
          <w:p>
            <w:pPr>
              <w:jc w:val="right"/>
              <w:rPr>
                <w:rFonts w:ascii="宋体" w:hAnsi="宋体"/>
              </w:rPr>
            </w:pPr>
            <w:r>
              <w:rPr>
                <w:rFonts w:ascii="宋体" w:hAnsi="宋体" w:hint="eastAsia"/>
              </w:rPr>
              <w:t>-58,843</w:t>
            </w:r>
          </w:p>
        </w:tc>
      </w:tr>
      <w:tr>
        <w:tc>
          <w:tcPr>
            <w:tcW w:w="2993" w:type="dxa"/>
            <w:vAlign w:val="center"/>
          </w:tcPr>
          <w:p>
            <w:pPr>
              <w:jc w:val="both"/>
              <w:rPr>
                <w:rFonts w:ascii="宋体" w:hAnsi="宋体"/>
              </w:rPr>
            </w:pPr>
            <w:r>
              <w:rPr>
                <w:rFonts w:ascii="宋体" w:hAnsi="宋体" w:hint="eastAsia"/>
              </w:rPr>
              <w:t>4.递延税项（注4）</w:t>
            </w:r>
          </w:p>
        </w:tc>
        <w:tc>
          <w:tcPr>
            <w:tcW w:w="1512" w:type="dxa"/>
            <w:shd w:val="clear" w:color="auto" w:fill="auto"/>
          </w:tcPr>
          <w:p>
            <w:pPr>
              <w:jc w:val="right"/>
              <w:rPr>
                <w:rFonts w:ascii="宋体" w:hAnsi="宋体"/>
              </w:rPr>
            </w:pPr>
            <w:r>
              <w:rPr>
                <w:rFonts w:ascii="宋体" w:hAnsi="宋体" w:hint="eastAsia"/>
              </w:rPr>
              <w:t>47,225</w:t>
            </w:r>
          </w:p>
        </w:tc>
        <w:tc>
          <w:tcPr>
            <w:tcW w:w="1515" w:type="dxa"/>
            <w:shd w:val="clear" w:color="auto" w:fill="auto"/>
          </w:tcPr>
          <w:p>
            <w:pPr>
              <w:jc w:val="right"/>
              <w:rPr>
                <w:rFonts w:ascii="宋体" w:hAnsi="宋体"/>
              </w:rPr>
            </w:pPr>
            <w:r>
              <w:rPr>
                <w:rFonts w:ascii="宋体" w:hAnsi="宋体"/>
              </w:rPr>
              <w:t>-90,907</w:t>
            </w:r>
          </w:p>
        </w:tc>
        <w:tc>
          <w:tcPr>
            <w:tcW w:w="1512" w:type="dxa"/>
            <w:shd w:val="clear" w:color="auto" w:fill="auto"/>
          </w:tcPr>
          <w:p>
            <w:pPr>
              <w:jc w:val="right"/>
              <w:rPr>
                <w:rFonts w:ascii="宋体" w:hAnsi="宋体"/>
              </w:rPr>
            </w:pPr>
            <w:r>
              <w:rPr>
                <w:rFonts w:ascii="宋体" w:hAnsi="宋体"/>
              </w:rPr>
              <w:t>949,992</w:t>
            </w:r>
          </w:p>
        </w:tc>
        <w:tc>
          <w:tcPr>
            <w:tcW w:w="1517" w:type="dxa"/>
            <w:shd w:val="clear" w:color="auto" w:fill="auto"/>
          </w:tcPr>
          <w:p>
            <w:pPr>
              <w:jc w:val="right"/>
              <w:rPr>
                <w:rFonts w:ascii="宋体" w:hAnsi="宋体"/>
              </w:rPr>
            </w:pPr>
            <w:r>
              <w:rPr>
                <w:rFonts w:ascii="宋体" w:hAnsi="宋体"/>
              </w:rPr>
              <w:t>902,767</w:t>
            </w:r>
          </w:p>
        </w:tc>
      </w:tr>
      <w:tr>
        <w:tc>
          <w:tcPr>
            <w:tcW w:w="2993" w:type="dxa"/>
            <w:vAlign w:val="center"/>
          </w:tcPr>
          <w:p>
            <w:pPr>
              <w:autoSpaceDE w:val="0"/>
              <w:autoSpaceDN w:val="0"/>
              <w:adjustRightInd w:val="0"/>
              <w:snapToGrid w:val="0"/>
            </w:pPr>
            <w:r>
              <w:t>按国际会计准则</w:t>
            </w:r>
          </w:p>
        </w:tc>
        <w:tc>
          <w:tcPr>
            <w:tcW w:w="1512" w:type="dxa"/>
            <w:shd w:val="clear" w:color="auto" w:fill="auto"/>
          </w:tcPr>
          <w:p>
            <w:pPr>
              <w:jc w:val="right"/>
              <w:rPr>
                <w:rFonts w:ascii="宋体" w:hAnsi="宋体"/>
              </w:rPr>
            </w:pPr>
            <w:r>
              <w:rPr>
                <w:rFonts w:ascii="宋体" w:hAnsi="宋体" w:hint="eastAsia"/>
              </w:rPr>
              <w:t>8,524,664</w:t>
            </w:r>
          </w:p>
        </w:tc>
        <w:tc>
          <w:tcPr>
            <w:tcW w:w="1515" w:type="dxa"/>
            <w:shd w:val="clear" w:color="auto" w:fill="auto"/>
          </w:tcPr>
          <w:p>
            <w:pPr>
              <w:jc w:val="right"/>
              <w:rPr>
                <w:rFonts w:ascii="宋体" w:hAnsi="宋体"/>
              </w:rPr>
            </w:pPr>
            <w:r>
              <w:rPr>
                <w:rFonts w:ascii="宋体" w:hAnsi="宋体"/>
              </w:rPr>
              <w:t>14,592,264</w:t>
            </w:r>
          </w:p>
        </w:tc>
        <w:tc>
          <w:tcPr>
            <w:tcW w:w="1512" w:type="dxa"/>
            <w:shd w:val="clear" w:color="auto" w:fill="auto"/>
          </w:tcPr>
          <w:p>
            <w:pPr>
              <w:jc w:val="right"/>
              <w:rPr>
                <w:rFonts w:ascii="宋体" w:hAnsi="宋体"/>
              </w:rPr>
            </w:pPr>
            <w:r>
              <w:rPr>
                <w:rFonts w:ascii="宋体" w:hAnsi="宋体" w:hint="eastAsia"/>
              </w:rPr>
              <w:t>71,288,661</w:t>
            </w:r>
          </w:p>
        </w:tc>
        <w:tc>
          <w:tcPr>
            <w:tcW w:w="1517" w:type="dxa"/>
            <w:shd w:val="clear" w:color="auto" w:fill="auto"/>
          </w:tcPr>
          <w:p>
            <w:pPr>
              <w:jc w:val="right"/>
              <w:rPr>
                <w:rFonts w:ascii="宋体" w:hAnsi="宋体"/>
              </w:rPr>
            </w:pPr>
            <w:r>
              <w:rPr>
                <w:rFonts w:ascii="宋体" w:hAnsi="宋体"/>
              </w:rPr>
              <w:t>64,007,550</w:t>
            </w:r>
          </w:p>
        </w:tc>
      </w:tr>
    </w:tbl>
    <w:p>
      <w:pPr>
        <w:pStyle w:val="Style217"/>
      </w:pPr>
    </w:p>
    <w:p>
      <w:pPr>
        <w:ind w:firstLineChars="200" w:firstLine="420"/>
        <w:rPr>
          <w:rFonts w:ascii="宋体" w:hAnsi="宋体"/>
        </w:rPr>
      </w:pPr>
      <w:r>
        <w:rPr>
          <w:rFonts w:ascii="宋体" w:hAnsi="宋体"/>
        </w:rPr>
        <w:t>注1：如本附注“</w:t>
      </w:r>
      <w:r>
        <w:rPr>
          <w:rFonts w:ascii="宋体" w:hAnsi="宋体" w:hint="eastAsia"/>
        </w:rPr>
        <w:t>七、58</w:t>
      </w:r>
      <w:r>
        <w:rPr>
          <w:rFonts w:ascii="宋体" w:hAnsi="宋体"/>
        </w:rPr>
        <w:t>专项储备”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pPr>
        <w:ind w:firstLineChars="200" w:firstLine="420"/>
        <w:rPr>
          <w:rFonts w:ascii="宋体" w:hAnsi="宋体"/>
        </w:rPr>
      </w:pPr>
      <w:r>
        <w:rPr>
          <w:rFonts w:ascii="宋体" w:hAnsi="宋体"/>
        </w:rPr>
        <w:t>注2：根据中国会计准则，母公司发行的永续资本债券在报表中列示于归属于母公司的所有者权益中，子公司发行的永续资本债券在报表中列示于少数股东权益，而在国际准则中需要在权益变动表单独列示。</w:t>
      </w:r>
    </w:p>
    <w:p>
      <w:pPr>
        <w:ind w:firstLineChars="200" w:firstLine="420"/>
        <w:rPr>
          <w:rFonts w:ascii="宋体" w:hAnsi="宋体"/>
        </w:rPr>
      </w:pPr>
      <w:r>
        <w:rPr>
          <w:rFonts w:ascii="宋体" w:hAnsi="宋体"/>
        </w:rPr>
        <w:t>注3：根据中国会计准则，长期资产减值准备一经确认，不得转回，在国际准则下，长期资产减值准备可以转回。</w:t>
      </w:r>
    </w:p>
    <w:p>
      <w:pPr>
        <w:ind w:firstLineChars="200" w:firstLine="420"/>
      </w:pPr>
      <w:r>
        <w:rPr>
          <w:rFonts w:ascii="宋体" w:hAnsi="宋体"/>
        </w:rPr>
        <w:t>注4：上述准则差异同时带来税务及少数股东权益的影响差异。</w:t>
      </w:r>
    </w:p>
    <w:p>
      <w:pPr>
        <w:pStyle w:val="Style179"/>
        <w:numPr>
          <w:ilvl w:val="0"/>
          <w:numId w:val="141"/>
        </w:numPr>
      </w:pPr>
      <w:r>
        <w:rPr>
          <w:rFonts w:hint="eastAsia"/>
        </w:rPr>
        <w:t>同时按照境外会计准则与按中国会计准则披露的财务报告中净利润和净资产差异情况</w:t>
      </w:r>
    </w:p>
    <w:sdt>
      <w:sdtPr>
        <w:alias w:val="是否适用：同时按照境外会计准则与按中国会计准则披露的财务报告中净利润和净资产差异情况[双击切换]"/>
        <w:tag w:val="_GBC_843a3e6ff7b04c838cebdbe1b6b920a2"/>
        <w:id w:val="-1669391782"/>
        <w:placeholder>
          <w:docPart w:val="GBC22222222222222222222222222222"/>
        </w:placeholder>
      </w:sdtPr>
      <w:sdtContent>
        <w:p>
          <w:pPr>
            <w:tabs>
              <w:tab w:val="left" w:pos="9720"/>
            </w:tabs>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tabs>
          <w:tab w:val="left" w:pos="9720"/>
        </w:tabs>
      </w:pPr>
    </w:p>
    <w:p>
      <w:pPr>
        <w:pStyle w:val="Style179"/>
        <w:numPr>
          <w:ilvl w:val="0"/>
          <w:numId w:val="141"/>
        </w:numPr>
      </w:pPr>
      <w:r>
        <w:rPr>
          <w:rFonts w:hint="eastAsia"/>
        </w:rPr>
        <w:t>境内外会计准则下会计数据差异说明，对已经境外审计机构审计的数据进行差异调节的，应注明该境外机构的名称</w:t>
      </w:r>
    </w:p>
    <w:sdt>
      <w:sdtPr>
        <w:rPr>
          <w:rFonts w:hint="eastAsia"/>
        </w:rPr>
        <w:alias w:val="是否适用：境内外会计准则下会计数据差异说明[双击切换]"/>
        <w:tag w:val="_GBC_a497ab3028c94c17bbc010bcee842739"/>
        <w:id w:val="1080109944"/>
        <w:placeholder>
          <w:docPart w:val="GBC22222222222222222222222222222"/>
        </w:placeholder>
      </w:sdtPr>
      <w:sdtContent>
        <w:p>
          <w:pPr>
            <w:rPr>
              <w:rFonts w:cstheme="minorBidi"/>
              <w:kern w:val="2"/>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pPr>
        <w:pStyle w:val="Style217"/>
      </w:pPr>
    </w:p>
    <w:p>
      <w:pPr>
        <w:pStyle w:val="Style178"/>
        <w:numPr>
          <w:ilvl w:val="0"/>
          <w:numId w:val="140"/>
        </w:numPr>
        <w:rPr>
          <w:rFonts w:ascii="宋体" w:hAnsi="宋体"/>
          <w:szCs w:val="21"/>
        </w:rPr>
      </w:pPr>
      <w:r>
        <w:rPr>
          <w:rFonts w:ascii="宋体" w:hAnsi="宋体" w:hint="eastAsia"/>
          <w:szCs w:val="21"/>
        </w:rPr>
        <w:t>其他</w:t>
      </w:r>
    </w:p>
    <w:sdt>
      <w:sdtPr>
        <w:rPr>
          <w:rFonts w:hint="eastAsia"/>
        </w:rPr>
        <w:alias w:val="是否适用：补充资料其他说明事项[双击切换]"/>
        <w:tag w:val="_GBC_96c49cb17ab64891ac1d396be649be3c"/>
        <w:id w:val="-480002274"/>
        <w:placeholder>
          <w:docPart w:val="GBC22222222222222222222222222222"/>
        </w:placeholder>
      </w:sdtPr>
      <w:sdtContent>
        <w:p>
          <w:pPr>
            <w:pStyle w:val="Style217"/>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Style93"/>
      </w:pPr>
      <w:r>
        <w:br w:type="page"/>
      </w:r>
    </w:p>
    <w:p>
      <w:pPr>
        <w:spacing w:line="360" w:lineRule="exact"/>
        <w:ind w:right="5"/>
        <w:rPr>
          <w:b/>
          <w:bCs/>
          <w:sz w:val="24"/>
        </w:rPr>
      </w:pPr>
      <w:bookmarkStart w:id="609" w:name="_Hlk90043452"/>
      <w:bookmarkStart w:id="610" w:name="_Hlk89951888"/>
    </w:p>
    <w:p>
      <w:pPr>
        <w:wordWrap w:val="0"/>
        <w:spacing w:line="360" w:lineRule="exact"/>
        <w:jc w:val="right"/>
        <w:rPr>
          <w:rFonts w:ascii="宋体" w:hAnsi="宋体"/>
          <w:u w:val="single"/>
        </w:rPr>
      </w:pPr>
      <w:r>
        <w:rPr>
          <w:rFonts w:ascii="宋体" w:hAnsi="宋体"/>
        </w:rPr>
        <w:t>董事长：</w:t>
      </w:r>
      <w:sdt>
        <w:sdtPr>
          <w:rPr>
            <w:rFonts w:ascii="宋体" w:hAnsi="宋体"/>
          </w:rPr>
          <w:alias w:val="报告发布人"/>
          <w:tag w:val="_GBC_728ad6dff57942a69e22fcccc1f10a3c"/>
          <w:id w:val="1455748828"/>
          <w:placeholder>
            <w:docPart w:val="GBC22222222222222222222222222222"/>
          </w:placeholder>
        </w:sdtPr>
        <w:sdtContent>
          <w:r>
            <w:rPr>
              <w:rFonts w:ascii="宋体" w:hAnsi="宋体" w:hint="eastAsia"/>
            </w:rPr>
            <w:t>李伟</w:t>
          </w:r>
        </w:sdtContent>
      </w:sdt>
    </w:p>
    <w:p>
      <w:pPr>
        <w:spacing w:line="360" w:lineRule="exact"/>
        <w:jc w:val="right"/>
        <w:rPr>
          <w:rFonts w:ascii="宋体" w:hAnsi="宋体"/>
        </w:rPr>
      </w:pPr>
      <w:r>
        <w:rPr>
          <w:rFonts w:ascii="宋体" w:hAnsi="宋体"/>
        </w:rPr>
        <w:t>董事会批准报送日期：</w:t>
      </w:r>
      <w:sdt>
        <w:sdtPr>
          <w:rPr>
            <w:rFonts w:ascii="宋体" w:hAnsi="宋体"/>
          </w:rPr>
          <w:alias w:val="报告董事会批准报送日期"/>
          <w:tag w:val="_GBC_7b8c4a7926dc47299591537f5943936d"/>
          <w:id w:val="-1087762160"/>
          <w:placeholder>
            <w:docPart w:val="GBC22222222222222222222222222222"/>
          </w:placeholder>
          <w:date w:fullDate="2026-03-27T00:00:00Z">
            <w:dateFormat w:val="yyyy'年'M'月'd'日'"/>
            <w:lid w:val="zh-CN"/>
            <w:storeMappedDataAs w:val="dateTime"/>
            <w:calendar w:val="gregorian"/>
          </w:date>
        </w:sdtPr>
        <w:sdtContent>
          <w:r>
            <w:rPr>
              <w:rFonts w:ascii="宋体" w:hAnsi="宋体" w:hint="eastAsia"/>
            </w:rPr>
            <w:t>2026年3月27日</w:t>
          </w:r>
        </w:sdtContent>
      </w:sdt>
    </w:p>
    <w:bookmarkEnd w:id="609"/>
    <w:bookmarkEnd w:id="610"/>
    <w:p>
      <w:pPr>
        <w:spacing w:line="360" w:lineRule="exact"/>
        <w:ind w:right="5"/>
      </w:pPr>
    </w:p>
    <w:p>
      <w:pPr>
        <w:spacing w:line="360" w:lineRule="exact"/>
        <w:ind w:right="5"/>
        <w:rPr>
          <w:b/>
          <w:sz w:val="24"/>
        </w:rPr>
      </w:pPr>
      <w:r>
        <w:rPr>
          <w:b/>
          <w:sz w:val="24"/>
        </w:rPr>
        <w:t>修订信息</w:t>
      </w:r>
    </w:p>
    <w:sdt>
      <w:sdtPr>
        <w:alias w:val="是否适用：修订信息表[双击切换]"/>
        <w:tag w:val="_GBC_888e757d42a24d3a87b71f50b0589b0a"/>
        <w:id w:val="-290746666"/>
        <w:placeholder>
          <w:docPart w:val="GBC22222222222222222222222222222"/>
        </w:placeholder>
      </w:sdtPr>
      <w:sdtContent>
        <w:p>
          <w:pPr>
            <w:pStyle w:val="Style217"/>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ectPr>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charset w:val="86"/>
    <w:family w:val="swiss"/>
    <w:pitch w:val="default"/>
    <w:sig w:usb0="00000000" w:usb1="00000000" w:usb2="00000016" w:usb3="00000000" w:csb0="602E0107"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Batang">
    <w:altName w:val="Malgun Gothic"/>
    <w:panose1 w:val="02030600000101010101"/>
    <w:charset w:val="81"/>
    <w:family w:val="roman"/>
    <w:pitch w:val="variable"/>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8"/>
      <w:jc w:val="center"/>
    </w:pPr>
    <w:r>
      <w:rPr>
        <w:b/>
        <w:bCs/>
        <w:sz w:val="24"/>
        <w:szCs w:val="24"/>
      </w:rPr>
      <w:fldChar w:fldCharType="begin"/>
    </w:r>
    <w:r>
      <w:rPr>
        <w:b/>
        <w:bCs/>
      </w:rPr>
      <w:instrText>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83</w:t>
    </w:r>
    <w:r>
      <w:rPr>
        <w:b/>
        <w:bCs/>
        <w:sz w:val="24"/>
        <w:szCs w:val="24"/>
      </w:rPr>
      <w:fldChar w:fldCharType="end"/>
    </w:r>
  </w:p>
  <w:p>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22222222222222222222222222222"/>
        <w:category>
          <w:name w:val="常规"/>
          <w:gallery w:val="placeholder"/>
        </w:category>
        <w:types>
          <w:type w:val="bbPlcHdr"/>
        </w:types>
        <w:behaviors>
          <w:behavior w:val="content"/>
        </w:behaviors>
        <w:guid w:val="{1F823479-1B2C-4501-A4CD-13FF47B8C52B}"/>
      </w:docPartPr>
      <w:docPartBody>
        <w:p>
          <w:r>
            <w:rPr>
              <w:rStyle w:val="a3"/>
              <w:rFonts w:hint="eastAsia"/>
              <w:color w:val="333399"/>
              <w:u w:val="single"/>
            </w:rPr>
            <w:t xml:space="preserve">　　　</w:t>
          </w:r>
        </w:p>
      </w:docPartBody>
    </w:docPart>
    <w:docPart>
      <w:docPartPr>
        <w:name w:val="6E3B17040A6D4773B40D2A6910B50C00"/>
        <w:category>
          <w:name w:val="常规"/>
          <w:gallery w:val="placeholder"/>
        </w:category>
        <w:types>
          <w:type w:val="bbPlcHdr"/>
        </w:types>
        <w:behaviors>
          <w:behavior w:val="content"/>
        </w:behaviors>
        <w:guid w:val="{1FC39DFF-2518-4E9E-A007-EB4F71C8A0A1}"/>
      </w:docPartPr>
      <w:docPartBody>
        <w:p>
          <w:pPr>
            <w:pStyle w:val="6E3B17040A6D4773B40D2A6910B50C00"/>
          </w:pPr>
          <w:r>
            <w:rPr>
              <w:rStyle w:val="a3"/>
              <w:rFonts w:hint="eastAsia"/>
            </w:rPr>
            <w:t xml:space="preserve">　</w:t>
          </w:r>
        </w:p>
      </w:docPartBody>
    </w:docPart>
    <w:docPart>
      <w:docPartPr>
        <w:name w:val="0A937F56087947939133828169A7C119"/>
        <w:category>
          <w:name w:val="常规"/>
          <w:gallery w:val="placeholder"/>
        </w:category>
        <w:types>
          <w:type w:val="bbPlcHdr"/>
        </w:types>
        <w:behaviors>
          <w:behavior w:val="content"/>
        </w:behaviors>
        <w:guid w:val="{32913972-D529-458E-B102-0BE7EF5B332E}"/>
      </w:docPartPr>
      <w:docPartBody>
        <w:p>
          <w:pPr>
            <w:pStyle w:val="0A937F56087947939133828169A7C119"/>
          </w:pPr>
          <w:r>
            <w:rPr>
              <w:rStyle w:val="a3"/>
              <w:rFonts w:hint="eastAsia"/>
              <w:color w:val="333399"/>
              <w:u w:val="single"/>
            </w:rPr>
            <w:t xml:space="preserve">　　　</w:t>
          </w:r>
        </w:p>
      </w:docPartBody>
    </w:docPart>
    <w:docPart>
      <w:docPartPr>
        <w:name w:val="EE8A6F7B0C054596AF3A58C646212838"/>
        <w:category>
          <w:name w:val="常规"/>
          <w:gallery w:val="placeholder"/>
        </w:category>
        <w:types>
          <w:type w:val="bbPlcHdr"/>
        </w:types>
        <w:behaviors>
          <w:behavior w:val="content"/>
        </w:behaviors>
        <w:guid w:val="{C750C5B9-C116-4E49-AC54-D5B685AFC8D4}"/>
      </w:docPartPr>
      <w:docPartBody>
        <w:p>
          <w:pPr>
            <w:pStyle w:val="EE8A6F7B0C054596AF3A58C646212838"/>
          </w:pPr>
          <w:r>
            <w:rPr>
              <w:rStyle w:val="a3"/>
              <w:rFonts w:hint="eastAsia"/>
              <w:color w:val="333399"/>
              <w:u w:val="single"/>
            </w:rPr>
            <w:t xml:space="preserve">　　　</w:t>
          </w:r>
        </w:p>
      </w:docPartBody>
    </w:docPart>
    <w:docPart>
      <w:docPartPr>
        <w:name w:val="3DF7B551C9DD44D2AD8EC67C3C7898A1"/>
        <w:category>
          <w:name w:val="常规"/>
          <w:gallery w:val="placeholder"/>
        </w:category>
        <w:types>
          <w:type w:val="bbPlcHdr"/>
        </w:types>
        <w:behaviors>
          <w:behavior w:val="content"/>
        </w:behaviors>
        <w:guid w:val="{CB9BE59D-C2DF-4D64-8751-45085404E723}"/>
      </w:docPartPr>
      <w:docPartBody>
        <w:p>
          <w:pPr>
            <w:pStyle w:val="3DF7B551C9DD44D2AD8EC67C3C7898A1"/>
          </w:pPr>
          <w:r>
            <w:rPr>
              <w:rStyle w:val="a3"/>
              <w:rFonts w:hint="eastAsia"/>
              <w:color w:val="333399"/>
              <w:u w:val="single"/>
            </w:rPr>
            <w:t xml:space="preserve">　　　</w:t>
          </w:r>
        </w:p>
      </w:docPartBody>
    </w:docPart>
    <w:docPart>
      <w:docPartPr>
        <w:name w:val="4348013967214338AA936EC95226A6E3"/>
        <w:category>
          <w:name w:val="常规"/>
          <w:gallery w:val="placeholder"/>
        </w:category>
        <w:types>
          <w:type w:val="bbPlcHdr"/>
        </w:types>
        <w:behaviors>
          <w:behavior w:val="content"/>
        </w:behaviors>
        <w:guid w:val="{8BD21D57-EE56-4E47-87D6-41C0913978BF}"/>
      </w:docPartPr>
      <w:docPartBody>
        <w:p>
          <w:pPr>
            <w:pStyle w:val="4348013967214338AA936EC95226A6E3"/>
          </w:pPr>
          <w:r>
            <w:rPr>
              <w:rStyle w:val="a3"/>
              <w:rFonts w:hint="eastAsia"/>
              <w:color w:val="333399"/>
              <w:u w:val="single"/>
            </w:rPr>
            <w:t xml:space="preserve">　　　</w:t>
          </w:r>
        </w:p>
      </w:docPartBody>
    </w:docPart>
    <w:docPart>
      <w:docPartPr>
        <w:name w:val="AC98D4FFE00646BBB52A12FCFB8CCAFE"/>
        <w:category>
          <w:name w:val="常规"/>
          <w:gallery w:val="placeholder"/>
        </w:category>
        <w:types>
          <w:type w:val="bbPlcHdr"/>
        </w:types>
        <w:behaviors>
          <w:behavior w:val="content"/>
        </w:behaviors>
        <w:guid w:val="{7E4ACECE-001B-4A9D-8C1D-550D11B7BD0E}"/>
      </w:docPartPr>
      <w:docPartBody>
        <w:p>
          <w:pPr>
            <w:pStyle w:val="AC98D4FFE00646BBB52A12FCFB8CCAFE"/>
          </w:pPr>
          <w:r>
            <w:rPr>
              <w:rStyle w:val="a3"/>
              <w:rFonts w:hint="eastAsia"/>
              <w:color w:val="333399"/>
              <w:u w:val="single"/>
            </w:rPr>
            <w:t xml:space="preserve">　　　</w:t>
          </w:r>
        </w:p>
      </w:docPartBody>
    </w:docPart>
    <w:docPart>
      <w:docPartPr>
        <w:name w:val="18E26748E5434BB1898EB1E09BA332B8"/>
        <w:category>
          <w:name w:val="常规"/>
          <w:gallery w:val="placeholder"/>
        </w:category>
        <w:types>
          <w:type w:val="bbPlcHdr"/>
        </w:types>
        <w:behaviors>
          <w:behavior w:val="content"/>
        </w:behaviors>
        <w:guid w:val="{9C72A59F-030A-49B7-9401-71CDA2279F8F}"/>
      </w:docPartPr>
      <w:docPartBody>
        <w:p>
          <w:pPr>
            <w:pStyle w:val="18E26748E5434BB1898EB1E09BA332B8"/>
          </w:pPr>
          <w:r>
            <w:rPr>
              <w:rStyle w:val="a3"/>
              <w:rFonts w:hint="eastAsia"/>
              <w:color w:val="333399"/>
              <w:u w:val="single"/>
            </w:rPr>
            <w:t xml:space="preserve">　　　</w:t>
          </w:r>
        </w:p>
      </w:docPartBody>
    </w:docPart>
    <w:docPart>
      <w:docPartPr>
        <w:name w:val="7AF455B623D14A47906215DF29E3EC3E"/>
        <w:category>
          <w:name w:val="常规"/>
          <w:gallery w:val="placeholder"/>
        </w:category>
        <w:types>
          <w:type w:val="bbPlcHdr"/>
        </w:types>
        <w:behaviors>
          <w:behavior w:val="content"/>
        </w:behaviors>
        <w:guid w:val="{1393BDD0-89C3-4C1E-8775-79AEDF987E6F}"/>
      </w:docPartPr>
      <w:docPartBody>
        <w:p>
          <w:pPr>
            <w:pStyle w:val="7AF455B623D14A47906215DF29E3EC3E"/>
          </w:pPr>
          <w:r>
            <w:rPr>
              <w:rStyle w:val="a3"/>
              <w:rFonts w:hint="eastAsia"/>
              <w:color w:val="333399"/>
              <w:u w:val="single"/>
            </w:rPr>
            <w:t xml:space="preserve">　　　</w:t>
          </w:r>
        </w:p>
      </w:docPartBody>
    </w:docPart>
    <w:docPart>
      <w:docPartPr>
        <w:name w:val="238F8DF45B2D41A5BDE3DB3A4AE8E3A4"/>
        <w:category>
          <w:name w:val="常规"/>
          <w:gallery w:val="placeholder"/>
        </w:category>
        <w:types>
          <w:type w:val="bbPlcHdr"/>
        </w:types>
        <w:behaviors>
          <w:behavior w:val="content"/>
        </w:behaviors>
        <w:guid w:val="{BA4234AA-98F2-4F23-A6A9-C028F63B1FA2}"/>
      </w:docPartPr>
      <w:docPartBody>
        <w:p>
          <w:pPr>
            <w:pStyle w:val="238F8DF45B2D41A5BDE3DB3A4AE8E3A4"/>
          </w:pPr>
          <w:r>
            <w:rPr>
              <w:rStyle w:val="a3"/>
              <w:rFonts w:hint="eastAsia"/>
            </w:rPr>
            <w:t xml:space="preserve">　</w:t>
          </w:r>
        </w:p>
      </w:docPartBody>
    </w:docPart>
    <w:docPart>
      <w:docPartPr>
        <w:name w:val="1687C2AFC64F4883B9C2ED7C90A11292"/>
        <w:category>
          <w:name w:val="常规"/>
          <w:gallery w:val="placeholder"/>
        </w:category>
        <w:types>
          <w:type w:val="bbPlcHdr"/>
        </w:types>
        <w:behaviors>
          <w:behavior w:val="content"/>
        </w:behaviors>
        <w:guid w:val="{14D0EB62-16CD-4905-9AFC-C4A35D77DEDA}"/>
      </w:docPartPr>
      <w:docPartBody>
        <w:p/>
      </w:docPartBody>
    </w:docPart>
    <w:docPart>
      <w:docPartPr>
        <w:name w:val="32E44CA5D53348F084595A0A4755BDB1"/>
        <w:category>
          <w:name w:val="常规"/>
          <w:gallery w:val="placeholder"/>
        </w:category>
        <w:types>
          <w:type w:val="bbPlcHdr"/>
        </w:types>
        <w:behaviors>
          <w:behavior w:val="content"/>
        </w:behaviors>
        <w:guid w:val="{6B4331F1-357C-4974-9034-CC3970FE621E}"/>
      </w:docPartPr>
      <w:docPartBody>
        <w:p>
          <w:pPr>
            <w:pStyle w:val="32E44CA5D53348F084595A0A4755BDB1"/>
          </w:pPr>
          <w:r>
            <w:rPr>
              <w:rStyle w:val="a3"/>
              <w:rFonts w:hint="eastAsia"/>
            </w:rPr>
            <w:t xml:space="preserve">　</w:t>
          </w:r>
        </w:p>
      </w:docPartBody>
    </w:docPart>
    <w:docPart>
      <w:docPartPr>
        <w:name w:val="2DEA67D2BCB9462FB84CF73CCFF9A26F"/>
        <w:category>
          <w:name w:val="常规"/>
          <w:gallery w:val="placeholder"/>
        </w:category>
        <w:types>
          <w:type w:val="bbPlcHdr"/>
        </w:types>
        <w:behaviors>
          <w:behavior w:val="content"/>
        </w:behaviors>
        <w:guid w:val="{BD2CC66D-A0AA-4331-B06E-BD547B3CCDEF}"/>
      </w:docPartPr>
      <w:docPartBody>
        <w:p>
          <w:pPr>
            <w:pStyle w:val="2DEA67D2BCB9462FB84CF73CCFF9A26F"/>
          </w:pPr>
          <w:r>
            <w:rPr>
              <w:rStyle w:val="a3"/>
              <w:rFonts w:hint="eastAsia"/>
            </w:rPr>
            <w:t xml:space="preserve">　</w:t>
          </w:r>
        </w:p>
      </w:docPartBody>
    </w:docPart>
    <w:docPart>
      <w:docPartPr>
        <w:name w:val="E6212C5874884B73A7241A2D2B3B6BF4"/>
        <w:category>
          <w:name w:val="常规"/>
          <w:gallery w:val="placeholder"/>
        </w:category>
        <w:types>
          <w:type w:val="bbPlcHdr"/>
        </w:types>
        <w:behaviors>
          <w:behavior w:val="content"/>
        </w:behaviors>
        <w:guid w:val="{044C02C4-F8B9-4880-B943-208AD98B5BC1}"/>
      </w:docPartPr>
      <w:docPartBody>
        <w:p>
          <w:pPr>
            <w:pStyle w:val="E6212C5874884B73A7241A2D2B3B6BF4"/>
          </w:pPr>
          <w:r>
            <w:rPr>
              <w:rStyle w:val="a3"/>
              <w:rFonts w:hint="eastAsia"/>
              <w:color w:val="333399"/>
              <w:u w:val="single"/>
            </w:rPr>
            <w:t xml:space="preserve">　　　</w:t>
          </w:r>
        </w:p>
      </w:docPartBody>
    </w:docPart>
    <w:docPart>
      <w:docPartPr>
        <w:name w:val="6C35BA39E1594F7782B3C9DB938EA362"/>
        <w:category>
          <w:name w:val="常规"/>
          <w:gallery w:val="placeholder"/>
        </w:category>
        <w:types>
          <w:type w:val="bbPlcHdr"/>
        </w:types>
        <w:behaviors>
          <w:behavior w:val="content"/>
        </w:behaviors>
        <w:guid w:val="{F74DCD4F-1948-400A-81C9-E320F063BD3E}"/>
      </w:docPartPr>
      <w:docPartBody>
        <w:p>
          <w:pPr>
            <w:pStyle w:val="6C35BA39E1594F7782B3C9DB938EA362"/>
          </w:pPr>
          <w:r>
            <w:rPr>
              <w:rStyle w:val="a3"/>
              <w:rFonts w:hint="eastAsia"/>
            </w:rPr>
            <w:t xml:space="preserve">　</w:t>
          </w:r>
        </w:p>
      </w:docPartBody>
    </w:docPart>
    <w:docPart>
      <w:docPartPr>
        <w:name w:val="BED461BA8F9E4C19B9AB186DF8561C31"/>
        <w:category>
          <w:name w:val="常规"/>
          <w:gallery w:val="placeholder"/>
        </w:category>
        <w:types>
          <w:type w:val="bbPlcHdr"/>
        </w:types>
        <w:behaviors>
          <w:behavior w:val="content"/>
        </w:behaviors>
        <w:guid w:val="{9E342D7F-86FD-4C51-BC2C-B6CA80154415}"/>
      </w:docPartPr>
      <w:docPartBody>
        <w:p>
          <w:pPr>
            <w:pStyle w:val="BED461BA8F9E4C19B9AB186DF8561C31"/>
          </w:pPr>
          <w:r>
            <w:rPr>
              <w:rStyle w:val="a3"/>
              <w:rFonts w:hint="eastAsia"/>
            </w:rPr>
            <w:t xml:space="preserve">　</w:t>
          </w:r>
        </w:p>
      </w:docPartBody>
    </w:docPart>
    <w:docPart>
      <w:docPartPr>
        <w:name w:val="B97563B66DDD4203ABEE4EC3913C04AC"/>
        <w:category>
          <w:name w:val="常规"/>
          <w:gallery w:val="placeholder"/>
        </w:category>
        <w:types>
          <w:type w:val="bbPlcHdr"/>
        </w:types>
        <w:behaviors>
          <w:behavior w:val="content"/>
        </w:behaviors>
        <w:guid w:val="{F13E8EEA-12E4-4857-AB46-A726BFE5F5CD}"/>
      </w:docPartPr>
      <w:docPartBody>
        <w:p>
          <w:pPr>
            <w:pStyle w:val="B97563B66DDD4203ABEE4EC3913C04AC"/>
          </w:pPr>
          <w:r>
            <w:rPr>
              <w:rStyle w:val="a3"/>
              <w:rFonts w:hint="eastAsia"/>
              <w:color w:val="333399"/>
              <w:u w:val="single"/>
            </w:rPr>
            <w:t xml:space="preserve">　　　</w:t>
          </w:r>
        </w:p>
      </w:docPartBody>
    </w:docPart>
    <w:docPart>
      <w:docPartPr>
        <w:name w:val="61BD4EA41D5F47EC8B6E5C9DAF192470"/>
        <w:category>
          <w:name w:val="常规"/>
          <w:gallery w:val="placeholder"/>
        </w:category>
        <w:types>
          <w:type w:val="bbPlcHdr"/>
        </w:types>
        <w:behaviors>
          <w:behavior w:val="content"/>
        </w:behaviors>
        <w:guid w:val="{C468730A-EF6F-454B-8BB8-C56CFFEC8C08}"/>
      </w:docPartPr>
      <w:docPartBody>
        <w:p>
          <w:pPr>
            <w:pStyle w:val="61BD4EA41D5F47EC8B6E5C9DAF192470"/>
          </w:pPr>
          <w:r>
            <w:rPr>
              <w:rStyle w:val="a3"/>
              <w:rFonts w:hint="eastAsia"/>
              <w:color w:val="333399"/>
              <w:u w:val="single"/>
            </w:rPr>
            <w:t xml:space="preserve">　　　</w:t>
          </w:r>
        </w:p>
      </w:docPartBody>
    </w:docPart>
    <w:docPart>
      <w:docPartPr>
        <w:name w:val="3316CC853A6C4C71B713E3392B47984D"/>
        <w:category>
          <w:name w:val="常规"/>
          <w:gallery w:val="placeholder"/>
        </w:category>
        <w:types>
          <w:type w:val="bbPlcHdr"/>
        </w:types>
        <w:behaviors>
          <w:behavior w:val="content"/>
        </w:behaviors>
        <w:guid w:val="{B019ADEB-B454-4DC3-B0EA-672178A9B53F}"/>
      </w:docPartPr>
      <w:docPartBody>
        <w:p>
          <w:pPr>
            <w:pStyle w:val="3316CC853A6C4C71B713E3392B47984D"/>
          </w:pPr>
          <w:r>
            <w:rPr>
              <w:rStyle w:val="a3"/>
              <w:rFonts w:hint="eastAsia"/>
            </w:rPr>
            <w:t xml:space="preserve">　</w:t>
          </w:r>
        </w:p>
      </w:docPartBody>
    </w:docPart>
    <w:docPart>
      <w:docPartPr>
        <w:name w:val="B502CFA585D84E91B303841F579AE7BD"/>
        <w:category>
          <w:name w:val="常规"/>
          <w:gallery w:val="placeholder"/>
        </w:category>
        <w:types>
          <w:type w:val="bbPlcHdr"/>
        </w:types>
        <w:behaviors>
          <w:behavior w:val="content"/>
        </w:behaviors>
        <w:guid w:val="{D3B81341-94EB-497A-98DF-EB94BF429206}"/>
      </w:docPartPr>
      <w:docPartBody>
        <w:p>
          <w:pPr>
            <w:pStyle w:val="B502CFA585D84E91B303841F579AE7BD"/>
          </w:pPr>
          <w:r>
            <w:rPr>
              <w:rStyle w:val="a3"/>
              <w:rFonts w:hint="eastAsia"/>
            </w:rPr>
            <w:t xml:space="preserve">　</w:t>
          </w:r>
        </w:p>
      </w:docPartBody>
    </w:docPart>
    <w:docPart>
      <w:docPartPr>
        <w:name w:val="29B5B6D3F1A44C8F9CD94987E3A04EA2"/>
        <w:category>
          <w:name w:val="常规"/>
          <w:gallery w:val="placeholder"/>
        </w:category>
        <w:types>
          <w:type w:val="bbPlcHdr"/>
        </w:types>
        <w:behaviors>
          <w:behavior w:val="content"/>
        </w:behaviors>
        <w:guid w:val="{8BFF5852-10D7-4CC9-925F-4927072C1837}"/>
      </w:docPartPr>
      <w:docPartBody>
        <w:p>
          <w:pPr>
            <w:pStyle w:val="29B5B6D3F1A44C8F9CD94987E3A04EA2"/>
          </w:pPr>
          <w:r>
            <w:rPr>
              <w:rStyle w:val="a3"/>
              <w:rFonts w:hint="eastAsia"/>
            </w:rPr>
            <w:t xml:space="preserve">　</w:t>
          </w:r>
        </w:p>
      </w:docPartBody>
    </w:docPart>
    <w:docPart>
      <w:docPartPr>
        <w:name w:val="4FA70789C5ED4E2F9C571B86DA09C9F3"/>
        <w:category>
          <w:name w:val="常规"/>
          <w:gallery w:val="placeholder"/>
        </w:category>
        <w:types>
          <w:type w:val="bbPlcHdr"/>
        </w:types>
        <w:behaviors>
          <w:behavior w:val="content"/>
        </w:behaviors>
        <w:guid w:val="{90272CE0-20C1-4A80-B903-099E6926DF49}"/>
      </w:docPartPr>
      <w:docPartBody>
        <w:p>
          <w:pPr>
            <w:pStyle w:val="4FA70789C5ED4E2F9C571B86DA09C9F3"/>
          </w:pPr>
          <w:r>
            <w:rPr>
              <w:rStyle w:val="a3"/>
              <w:rFonts w:hint="eastAsia"/>
            </w:rPr>
            <w:t xml:space="preserve">　</w:t>
          </w:r>
        </w:p>
      </w:docPartBody>
    </w:docPart>
    <w:docPart>
      <w:docPartPr>
        <w:name w:val="31CEF01F56124F588F0E01981FD6384B"/>
        <w:category>
          <w:name w:val="常规"/>
          <w:gallery w:val="placeholder"/>
        </w:category>
        <w:types>
          <w:type w:val="bbPlcHdr"/>
        </w:types>
        <w:behaviors>
          <w:behavior w:val="content"/>
        </w:behaviors>
        <w:guid w:val="{7981D82A-4680-41C4-9069-599B3BDE8172}"/>
      </w:docPartPr>
      <w:docPartBody>
        <w:p>
          <w:pPr>
            <w:pStyle w:val="31CEF01F56124F588F0E01981FD6384B"/>
          </w:pPr>
          <w:r>
            <w:rPr>
              <w:rStyle w:val="a3"/>
              <w:rFonts w:hint="eastAsia"/>
            </w:rPr>
            <w:t xml:space="preserve">　</w:t>
          </w:r>
        </w:p>
      </w:docPartBody>
    </w:docPart>
    <w:docPart>
      <w:docPartPr>
        <w:name w:val="9664DE16AB7B4578BDC0298B74C8AD75"/>
        <w:category>
          <w:name w:val="常规"/>
          <w:gallery w:val="placeholder"/>
        </w:category>
        <w:types>
          <w:type w:val="bbPlcHdr"/>
        </w:types>
        <w:behaviors>
          <w:behavior w:val="content"/>
        </w:behaviors>
        <w:guid w:val="{B9FA83F5-E068-44C5-9726-46FA4B5402C1}"/>
      </w:docPartPr>
      <w:docPartBody>
        <w:p>
          <w:pPr>
            <w:pStyle w:val="9664DE16AB7B4578BDC0298B74C8AD75"/>
          </w:pPr>
          <w:r>
            <w:rPr>
              <w:rStyle w:val="a3"/>
              <w:rFonts w:hint="eastAsia"/>
            </w:rPr>
            <w:t xml:space="preserve">　</w:t>
          </w:r>
        </w:p>
      </w:docPartBody>
    </w:docPart>
    <w:docPart>
      <w:docPartPr>
        <w:name w:val="168D4D35AA3E477DB89C9923190E7F65"/>
        <w:category>
          <w:name w:val="常规"/>
          <w:gallery w:val="placeholder"/>
        </w:category>
        <w:types>
          <w:type w:val="bbPlcHdr"/>
        </w:types>
        <w:behaviors>
          <w:behavior w:val="content"/>
        </w:behaviors>
        <w:guid w:val="{7375F727-DF4A-4D7D-99F3-5E5276467088}"/>
      </w:docPartPr>
      <w:docPartBody>
        <w:p>
          <w:pPr>
            <w:pStyle w:val="168D4D35AA3E477DB89C9923190E7F65"/>
          </w:pPr>
          <w:r>
            <w:rPr>
              <w:rStyle w:val="a3"/>
              <w:rFonts w:hint="eastAsia"/>
            </w:rPr>
            <w:t xml:space="preserve">　</w:t>
          </w:r>
        </w:p>
      </w:docPartBody>
    </w:docPart>
    <w:docPart>
      <w:docPartPr>
        <w:name w:val="973DA3EC161348F9B0318B26891FC2E4"/>
        <w:category>
          <w:name w:val="常规"/>
          <w:gallery w:val="placeholder"/>
        </w:category>
        <w:types>
          <w:type w:val="bbPlcHdr"/>
        </w:types>
        <w:behaviors>
          <w:behavior w:val="content"/>
        </w:behaviors>
        <w:guid w:val="{9779C745-96D0-4219-B91A-84204CA039A7}"/>
      </w:docPartPr>
      <w:docPartBody>
        <w:p>
          <w:pPr>
            <w:pStyle w:val="973DA3EC161348F9B0318B26891FC2E4"/>
          </w:pPr>
          <w:r>
            <w:rPr>
              <w:rStyle w:val="a3"/>
              <w:rFonts w:hint="eastAsia"/>
            </w:rPr>
            <w:t xml:space="preserve">　</w:t>
          </w:r>
        </w:p>
      </w:docPartBody>
    </w:docPart>
    <w:docPart>
      <w:docPartPr>
        <w:name w:val="42CB57C5F2734F3489323A4BCCC487B2"/>
        <w:category>
          <w:name w:val="常规"/>
          <w:gallery w:val="placeholder"/>
        </w:category>
        <w:types>
          <w:type w:val="bbPlcHdr"/>
        </w:types>
        <w:behaviors>
          <w:behavior w:val="content"/>
        </w:behaviors>
        <w:guid w:val="{3E7B2FE8-471D-45C0-A6C5-FEDC13ABA27E}"/>
      </w:docPartPr>
      <w:docPartBody>
        <w:p>
          <w:pPr>
            <w:pStyle w:val="42CB57C5F2734F3489323A4BCCC487B2"/>
          </w:pPr>
          <w:r>
            <w:rPr>
              <w:rStyle w:val="a3"/>
              <w:rFonts w:hint="eastAsia"/>
            </w:rPr>
            <w:t xml:space="preserve">　</w:t>
          </w:r>
        </w:p>
      </w:docPartBody>
    </w:docPart>
    <w:docPart>
      <w:docPartPr>
        <w:name w:val="CC545DE1E2364DDB82EFED33B4617352"/>
        <w:category>
          <w:name w:val="常规"/>
          <w:gallery w:val="placeholder"/>
        </w:category>
        <w:types>
          <w:type w:val="bbPlcHdr"/>
        </w:types>
        <w:behaviors>
          <w:behavior w:val="content"/>
        </w:behaviors>
        <w:guid w:val="{DD18D27F-F1C2-4156-9AAF-857E380C1F1A}"/>
      </w:docPartPr>
      <w:docPartBody>
        <w:p>
          <w:pPr>
            <w:pStyle w:val="CC545DE1E2364DDB82EFED33B4617352"/>
          </w:pPr>
          <w:r>
            <w:rPr>
              <w:rStyle w:val="a3"/>
              <w:rFonts w:hint="eastAsia"/>
            </w:rPr>
            <w:t xml:space="preserve">　</w:t>
          </w:r>
        </w:p>
      </w:docPartBody>
    </w:docPart>
    <w:docPart>
      <w:docPartPr>
        <w:name w:val="3D69895F28214ECAA84C052A60A3E16E"/>
        <w:category>
          <w:name w:val="常规"/>
          <w:gallery w:val="placeholder"/>
        </w:category>
        <w:types>
          <w:type w:val="bbPlcHdr"/>
        </w:types>
        <w:behaviors>
          <w:behavior w:val="content"/>
        </w:behaviors>
        <w:guid w:val="{B6A2AF0C-C67C-4BCB-A759-4F711665CC20}"/>
      </w:docPartPr>
      <w:docPartBody>
        <w:p>
          <w:pPr>
            <w:pStyle w:val="3D69895F28214ECAA84C052A60A3E16E"/>
          </w:pPr>
          <w:r>
            <w:rPr>
              <w:rStyle w:val="a3"/>
              <w:rFonts w:hint="eastAsia"/>
            </w:rPr>
            <w:t xml:space="preserve">　</w:t>
          </w:r>
        </w:p>
      </w:docPartBody>
    </w:docPart>
    <w:docPart>
      <w:docPartPr>
        <w:name w:val="4B5B35B7A69D445681BA3CC394ABF5E3"/>
        <w:category>
          <w:name w:val="常规"/>
          <w:gallery w:val="placeholder"/>
        </w:category>
        <w:types>
          <w:type w:val="bbPlcHdr"/>
        </w:types>
        <w:behaviors>
          <w:behavior w:val="content"/>
        </w:behaviors>
        <w:guid w:val="{6ECD8C4F-499B-4506-9E65-DACF7EF6DD69}"/>
      </w:docPartPr>
      <w:docPartBody>
        <w:p>
          <w:pPr>
            <w:pStyle w:val="4B5B35B7A69D445681BA3CC394ABF5E3"/>
          </w:pPr>
          <w:r>
            <w:rPr>
              <w:rStyle w:val="a3"/>
              <w:rFonts w:hint="eastAsia"/>
            </w:rPr>
            <w:t xml:space="preserve">　</w:t>
          </w:r>
        </w:p>
      </w:docPartBody>
    </w:docPart>
    <w:docPart>
      <w:docPartPr>
        <w:name w:val="8BFAD9E4DA3E4289B95646EBFD3E106C"/>
        <w:category>
          <w:name w:val="常规"/>
          <w:gallery w:val="placeholder"/>
        </w:category>
        <w:types>
          <w:type w:val="bbPlcHdr"/>
        </w:types>
        <w:behaviors>
          <w:behavior w:val="content"/>
        </w:behaviors>
        <w:guid w:val="{B8EC90AB-C348-4367-B158-9D208D19FA12}"/>
      </w:docPartPr>
      <w:docPartBody>
        <w:p>
          <w:pPr>
            <w:pStyle w:val="8BFAD9E4DA3E4289B95646EBFD3E106C"/>
          </w:pPr>
          <w:r>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charset w:val="86"/>
    <w:family w:val="swiss"/>
    <w:pitch w:val="default"/>
    <w:sig w:usb0="00000000" w:usb1="00000000" w:usb2="00000016" w:usb3="00000000" w:csb0="602E0107"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FZLTSK--GBK1-0">
    <w:altName w:val="Times New Roman"/>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Batang">
    <w:altName w:val="Malgun Gothic"/>
    <w:panose1 w:val="02030600000101010101"/>
    <w:charset w:val="81"/>
    <w:family w:val="roman"/>
    <w:pitch w:val="variable"/>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color w:val="808080"/>
    </w:rPr>
  </w:style>
  <w:style w:type="paragraph" w:customStyle="1" w:styleId="6E3B17040A6D4773B40D2A6910B50C00">
    <w:name w:val="6E3B17040A6D4773B40D2A6910B50C00"/>
    <w:qFormat/>
    <w:pPr>
      <w:widowControl w:val="0"/>
      <w:jc w:val="both"/>
    </w:pPr>
    <w:rPr>
      <w:kern w:val="2"/>
      <w:sz w:val="21"/>
      <w:szCs w:val="22"/>
    </w:rPr>
  </w:style>
  <w:style w:type="paragraph" w:customStyle="1" w:styleId="0A937F56087947939133828169A7C119">
    <w:name w:val="0A937F56087947939133828169A7C119"/>
    <w:qFormat/>
    <w:pPr>
      <w:widowControl w:val="0"/>
      <w:jc w:val="both"/>
    </w:pPr>
    <w:rPr>
      <w:kern w:val="2"/>
      <w:sz w:val="21"/>
      <w:szCs w:val="22"/>
    </w:rPr>
  </w:style>
  <w:style w:type="paragraph" w:customStyle="1" w:styleId="EE8A6F7B0C054596AF3A58C646212838">
    <w:name w:val="EE8A6F7B0C054596AF3A58C646212838"/>
    <w:qFormat/>
    <w:pPr>
      <w:widowControl w:val="0"/>
      <w:jc w:val="both"/>
    </w:pPr>
    <w:rPr>
      <w:kern w:val="2"/>
      <w:sz w:val="21"/>
      <w:szCs w:val="22"/>
    </w:rPr>
  </w:style>
  <w:style w:type="paragraph" w:customStyle="1" w:styleId="3DF7B551C9DD44D2AD8EC67C3C7898A1">
    <w:name w:val="3DF7B551C9DD44D2AD8EC67C3C7898A1"/>
    <w:qFormat/>
    <w:pPr>
      <w:widowControl w:val="0"/>
      <w:jc w:val="both"/>
    </w:pPr>
    <w:rPr>
      <w:kern w:val="2"/>
      <w:sz w:val="21"/>
      <w:szCs w:val="22"/>
    </w:rPr>
  </w:style>
  <w:style w:type="paragraph" w:customStyle="1" w:styleId="4348013967214338AA936EC95226A6E3">
    <w:name w:val="4348013967214338AA936EC95226A6E3"/>
    <w:qFormat/>
    <w:pPr>
      <w:widowControl w:val="0"/>
      <w:jc w:val="both"/>
    </w:pPr>
    <w:rPr>
      <w:kern w:val="2"/>
      <w:sz w:val="21"/>
      <w:szCs w:val="22"/>
    </w:rPr>
  </w:style>
  <w:style w:type="paragraph" w:customStyle="1" w:styleId="AC98D4FFE00646BBB52A12FCFB8CCAFE">
    <w:name w:val="AC98D4FFE00646BBB52A12FCFB8CCAFE"/>
    <w:qFormat/>
    <w:pPr>
      <w:widowControl w:val="0"/>
      <w:jc w:val="both"/>
    </w:pPr>
    <w:rPr>
      <w:kern w:val="2"/>
      <w:sz w:val="21"/>
      <w:szCs w:val="22"/>
    </w:rPr>
  </w:style>
  <w:style w:type="paragraph" w:customStyle="1" w:styleId="18E26748E5434BB1898EB1E09BA332B8">
    <w:name w:val="18E26748E5434BB1898EB1E09BA332B8"/>
    <w:qFormat/>
    <w:pPr>
      <w:widowControl w:val="0"/>
      <w:spacing w:after="160" w:line="278" w:lineRule="auto"/>
    </w:pPr>
    <w:rPr>
      <w:kern w:val="2"/>
      <w:sz w:val="22"/>
      <w:szCs w:val="24"/>
      <w14:ligatures w14:val="standardContextual"/>
    </w:rPr>
  </w:style>
  <w:style w:type="paragraph" w:customStyle="1" w:styleId="7AF455B623D14A47906215DF29E3EC3E">
    <w:name w:val="7AF455B623D14A47906215DF29E3EC3E"/>
    <w:qFormat/>
    <w:pPr>
      <w:widowControl w:val="0"/>
      <w:spacing w:after="160" w:line="278" w:lineRule="auto"/>
    </w:pPr>
    <w:rPr>
      <w:kern w:val="2"/>
      <w:sz w:val="22"/>
      <w:szCs w:val="24"/>
      <w14:ligatures w14:val="standardContextual"/>
    </w:rPr>
  </w:style>
  <w:style w:type="paragraph" w:customStyle="1" w:styleId="238F8DF45B2D41A5BDE3DB3A4AE8E3A4">
    <w:name w:val="238F8DF45B2D41A5BDE3DB3A4AE8E3A4"/>
    <w:qFormat/>
    <w:pPr>
      <w:widowControl w:val="0"/>
      <w:jc w:val="both"/>
    </w:pPr>
    <w:rPr>
      <w:kern w:val="2"/>
      <w:sz w:val="21"/>
      <w:szCs w:val="22"/>
    </w:rPr>
  </w:style>
  <w:style w:type="paragraph" w:customStyle="1" w:styleId="32E44CA5D53348F084595A0A4755BDB1">
    <w:name w:val="32E44CA5D53348F084595A0A4755BDB1"/>
    <w:qFormat/>
    <w:pPr>
      <w:widowControl w:val="0"/>
      <w:jc w:val="both"/>
    </w:pPr>
    <w:rPr>
      <w:kern w:val="2"/>
      <w:sz w:val="21"/>
      <w:szCs w:val="22"/>
    </w:rPr>
  </w:style>
  <w:style w:type="paragraph" w:customStyle="1" w:styleId="2DEA67D2BCB9462FB84CF73CCFF9A26F">
    <w:name w:val="2DEA67D2BCB9462FB84CF73CCFF9A26F"/>
    <w:qFormat/>
    <w:pPr>
      <w:widowControl w:val="0"/>
      <w:jc w:val="both"/>
    </w:pPr>
    <w:rPr>
      <w:kern w:val="2"/>
      <w:sz w:val="21"/>
      <w:szCs w:val="22"/>
    </w:rPr>
  </w:style>
  <w:style w:type="paragraph" w:customStyle="1" w:styleId="E6212C5874884B73A7241A2D2B3B6BF4">
    <w:name w:val="E6212C5874884B73A7241A2D2B3B6BF4"/>
    <w:qFormat/>
    <w:pPr>
      <w:widowControl w:val="0"/>
      <w:jc w:val="both"/>
    </w:pPr>
    <w:rPr>
      <w:kern w:val="2"/>
      <w:sz w:val="21"/>
      <w:szCs w:val="22"/>
    </w:rPr>
  </w:style>
  <w:style w:type="paragraph" w:customStyle="1" w:styleId="6C35BA39E1594F7782B3C9DB938EA362">
    <w:name w:val="6C35BA39E1594F7782B3C9DB938EA362"/>
    <w:qFormat/>
    <w:pPr>
      <w:widowControl w:val="0"/>
      <w:jc w:val="both"/>
    </w:pPr>
    <w:rPr>
      <w:kern w:val="2"/>
      <w:sz w:val="21"/>
      <w:szCs w:val="22"/>
    </w:rPr>
  </w:style>
  <w:style w:type="paragraph" w:customStyle="1" w:styleId="BED461BA8F9E4C19B9AB186DF8561C31">
    <w:name w:val="BED461BA8F9E4C19B9AB186DF8561C31"/>
    <w:qFormat/>
    <w:pPr>
      <w:widowControl w:val="0"/>
      <w:jc w:val="both"/>
    </w:pPr>
    <w:rPr>
      <w:kern w:val="2"/>
      <w:sz w:val="21"/>
      <w:szCs w:val="22"/>
    </w:rPr>
  </w:style>
  <w:style w:type="paragraph" w:customStyle="1" w:styleId="B97563B66DDD4203ABEE4EC3913C04AC">
    <w:name w:val="B97563B66DDD4203ABEE4EC3913C04AC"/>
    <w:qFormat/>
    <w:pPr>
      <w:widowControl w:val="0"/>
      <w:jc w:val="both"/>
    </w:pPr>
    <w:rPr>
      <w:kern w:val="2"/>
      <w:sz w:val="21"/>
      <w:szCs w:val="22"/>
    </w:rPr>
  </w:style>
  <w:style w:type="paragraph" w:customStyle="1" w:styleId="61BD4EA41D5F47EC8B6E5C9DAF192470">
    <w:name w:val="61BD4EA41D5F47EC8B6E5C9DAF192470"/>
    <w:qFormat/>
    <w:pPr>
      <w:widowControl w:val="0"/>
      <w:jc w:val="both"/>
    </w:pPr>
    <w:rPr>
      <w:kern w:val="2"/>
      <w:sz w:val="21"/>
      <w:szCs w:val="22"/>
    </w:rPr>
  </w:style>
  <w:style w:type="paragraph" w:customStyle="1" w:styleId="3316CC853A6C4C71B713E3392B47984D">
    <w:name w:val="3316CC853A6C4C71B713E3392B47984D"/>
    <w:qFormat/>
    <w:pPr>
      <w:widowControl w:val="0"/>
      <w:spacing w:after="160" w:line="278" w:lineRule="auto"/>
    </w:pPr>
    <w:rPr>
      <w:kern w:val="2"/>
      <w:sz w:val="22"/>
      <w:szCs w:val="24"/>
      <w14:ligatures w14:val="standardContextual"/>
    </w:rPr>
  </w:style>
  <w:style w:type="paragraph" w:customStyle="1" w:styleId="B502CFA585D84E91B303841F579AE7BD">
    <w:name w:val="B502CFA585D84E91B303841F579AE7BD"/>
    <w:qFormat/>
    <w:pPr>
      <w:widowControl w:val="0"/>
      <w:spacing w:after="160" w:line="278" w:lineRule="auto"/>
    </w:pPr>
    <w:rPr>
      <w:kern w:val="2"/>
      <w:sz w:val="22"/>
      <w:szCs w:val="24"/>
      <w14:ligatures w14:val="standardContextual"/>
    </w:rPr>
  </w:style>
  <w:style w:type="paragraph" w:customStyle="1" w:styleId="29B5B6D3F1A44C8F9CD94987E3A04EA2">
    <w:name w:val="29B5B6D3F1A44C8F9CD94987E3A04EA2"/>
    <w:qFormat/>
    <w:pPr>
      <w:widowControl w:val="0"/>
      <w:spacing w:after="160" w:line="278" w:lineRule="auto"/>
    </w:pPr>
    <w:rPr>
      <w:kern w:val="2"/>
      <w:sz w:val="22"/>
      <w:szCs w:val="24"/>
      <w14:ligatures w14:val="standardContextual"/>
    </w:rPr>
  </w:style>
  <w:style w:type="paragraph" w:customStyle="1" w:styleId="4FA70789C5ED4E2F9C571B86DA09C9F3">
    <w:name w:val="4FA70789C5ED4E2F9C571B86DA09C9F3"/>
    <w:qFormat/>
    <w:pPr>
      <w:widowControl w:val="0"/>
      <w:jc w:val="both"/>
    </w:pPr>
    <w:rPr>
      <w:kern w:val="2"/>
      <w:sz w:val="21"/>
      <w:szCs w:val="22"/>
    </w:rPr>
  </w:style>
  <w:style w:type="paragraph" w:customStyle="1" w:styleId="31CEF01F56124F588F0E01981FD6384B">
    <w:name w:val="31CEF01F56124F588F0E01981FD6384B"/>
    <w:qFormat/>
    <w:pPr>
      <w:widowControl w:val="0"/>
      <w:jc w:val="both"/>
    </w:pPr>
    <w:rPr>
      <w:kern w:val="2"/>
      <w:sz w:val="21"/>
      <w:szCs w:val="22"/>
    </w:rPr>
  </w:style>
  <w:style w:type="paragraph" w:customStyle="1" w:styleId="9664DE16AB7B4578BDC0298B74C8AD75">
    <w:name w:val="9664DE16AB7B4578BDC0298B74C8AD75"/>
    <w:qFormat/>
    <w:pPr>
      <w:widowControl w:val="0"/>
      <w:jc w:val="both"/>
    </w:pPr>
    <w:rPr>
      <w:kern w:val="2"/>
      <w:sz w:val="21"/>
      <w:szCs w:val="22"/>
    </w:rPr>
  </w:style>
  <w:style w:type="paragraph" w:customStyle="1" w:styleId="168D4D35AA3E477DB89C9923190E7F65">
    <w:name w:val="168D4D35AA3E477DB89C9923190E7F65"/>
    <w:qFormat/>
    <w:pPr>
      <w:widowControl w:val="0"/>
      <w:jc w:val="both"/>
    </w:pPr>
    <w:rPr>
      <w:kern w:val="2"/>
      <w:sz w:val="21"/>
      <w:szCs w:val="22"/>
    </w:rPr>
  </w:style>
  <w:style w:type="paragraph" w:customStyle="1" w:styleId="973DA3EC161348F9B0318B26891FC2E4">
    <w:name w:val="973DA3EC161348F9B0318B26891FC2E4"/>
    <w:qFormat/>
    <w:pPr>
      <w:widowControl w:val="0"/>
      <w:jc w:val="both"/>
    </w:pPr>
    <w:rPr>
      <w:kern w:val="2"/>
      <w:sz w:val="21"/>
      <w:szCs w:val="22"/>
    </w:rPr>
  </w:style>
  <w:style w:type="paragraph" w:customStyle="1" w:styleId="42CB57C5F2734F3489323A4BCCC487B2">
    <w:name w:val="42CB57C5F2734F3489323A4BCCC487B2"/>
    <w:qFormat/>
    <w:pPr>
      <w:widowControl w:val="0"/>
      <w:jc w:val="both"/>
    </w:pPr>
    <w:rPr>
      <w:kern w:val="2"/>
      <w:sz w:val="21"/>
      <w:szCs w:val="22"/>
    </w:rPr>
  </w:style>
  <w:style w:type="paragraph" w:customStyle="1" w:styleId="CC545DE1E2364DDB82EFED33B4617352">
    <w:name w:val="CC545DE1E2364DDB82EFED33B4617352"/>
    <w:qFormat/>
    <w:pPr>
      <w:widowControl w:val="0"/>
      <w:jc w:val="both"/>
    </w:pPr>
    <w:rPr>
      <w:kern w:val="2"/>
      <w:sz w:val="21"/>
      <w:szCs w:val="22"/>
    </w:rPr>
  </w:style>
  <w:style w:type="paragraph" w:customStyle="1" w:styleId="3D69895F28214ECAA84C052A60A3E16E">
    <w:name w:val="3D69895F28214ECAA84C052A60A3E16E"/>
    <w:qFormat/>
    <w:pPr>
      <w:widowControl w:val="0"/>
      <w:jc w:val="both"/>
    </w:pPr>
    <w:rPr>
      <w:kern w:val="2"/>
      <w:sz w:val="21"/>
      <w:szCs w:val="22"/>
    </w:rPr>
  </w:style>
  <w:style w:type="paragraph" w:customStyle="1" w:styleId="4B5B35B7A69D445681BA3CC394ABF5E3">
    <w:name w:val="4B5B35B7A69D445681BA3CC394ABF5E3"/>
    <w:qFormat/>
    <w:pPr>
      <w:widowControl w:val="0"/>
      <w:jc w:val="both"/>
    </w:pPr>
    <w:rPr>
      <w:kern w:val="2"/>
      <w:sz w:val="21"/>
      <w:szCs w:val="22"/>
    </w:rPr>
  </w:style>
  <w:style w:type="paragraph" w:customStyle="1" w:styleId="8BFAD9E4DA3E4289B95646EBFD3E106C">
    <w:name w:val="8BFAD9E4DA3E4289B95646EBFD3E106C"/>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a"/>
      <w:tabs>
        <w:tab w:val="clear" w:pos="8306"/>
        <w:tab w:val="left" w:pos="8364"/>
        <w:tab w:val="left" w:pos="8505"/>
      </w:tabs>
      <w:ind w:rightChars="10" w:right="21"/>
      <w:rPr>
        <w:rFonts w:ascii="宋体" w:hAnsi="宋体"/>
        <w:b/>
      </w:rPr>
    </w:pPr>
    <w:sdt>
      <w:sdtPr>
        <w:rPr>
          <w:rFonts w:ascii="宋体" w:hAnsi="宋体"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Content>
        <w:r>
          <w:rPr>
            <w:rFonts w:ascii="宋体" w:hAnsi="宋体" w:hint="eastAsia"/>
          </w:rPr>
          <w:t>兖矿能源集团股份有限公司</w:t>
        </w:r>
      </w:sdtContent>
    </w:sdt>
    <w:r>
      <w:rPr>
        <w:rFonts w:ascii="宋体" w:hAnsi="宋体" w:hint="eastAsia"/>
      </w:rPr>
      <w:t>2025年年度报告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7D348C"/>
    <w:multiLevelType w:val="multilevel"/>
    <w:tmpl w:val="19C29590"/>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1C7576E"/>
    <w:multiLevelType w:val="multilevel"/>
    <w:tmpl w:val="6D724D2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E66CBA"/>
    <w:multiLevelType w:val="multilevel"/>
    <w:tmpl w:val="648E1C1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3B7239C"/>
    <w:multiLevelType w:val="multilevel"/>
    <w:tmpl w:val="A942D91A"/>
    <w:lvl w:ilvl="0">
      <w:start w:val="1"/>
      <w:numFmt w:val="decimal"/>
      <w:lvlText w:val="%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4322D58"/>
    <w:multiLevelType w:val="multilevel"/>
    <w:tmpl w:val="04322D5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4364DD5"/>
    <w:multiLevelType w:val="multilevel"/>
    <w:tmpl w:val="04364DD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6A353DC"/>
    <w:multiLevelType w:val="multilevel"/>
    <w:tmpl w:val="94B66F2C"/>
    <w:lvl w:ilvl="0">
      <w:start w:val="1"/>
      <w:numFmt w:val="decimal"/>
      <w:lvlText w:val="(%1)."/>
      <w:lvlJc w:val="left"/>
      <w:pPr>
        <w:ind w:left="425" w:hanging="425"/>
      </w:pPr>
      <w:rPr>
        <w:rFonts w:ascii="宋体" w:eastAsia="宋体" w:hAnsi="宋体" w:hint="eastAsia"/>
        <w:b/>
      </w:rPr>
    </w:lvl>
    <w:lvl w:ilvl="1">
      <w:start w:val="1"/>
      <w:numFmt w:val="decimal"/>
      <w:lvlText w:val="%2."/>
      <w:lvlJc w:val="left"/>
      <w:pPr>
        <w:ind w:left="845" w:hanging="420"/>
      </w:p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76A22C6"/>
    <w:multiLevelType w:val="multilevel"/>
    <w:tmpl w:val="076A22C6"/>
    <w:lvl w:ilvl="0">
      <w:start w:val="1"/>
      <w:numFmt w:val="decimal"/>
      <w:suff w:val="nothing"/>
      <w:lvlText w:val="(%1)."/>
      <w:lvlJc w:val="left"/>
      <w:pPr>
        <w:ind w:left="0" w:firstLine="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93C6900"/>
    <w:multiLevelType w:val="multilevel"/>
    <w:tmpl w:val="093C69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C000243"/>
    <w:multiLevelType w:val="multilevel"/>
    <w:tmpl w:val="0C000243"/>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CAE1B45"/>
    <w:multiLevelType w:val="multilevel"/>
    <w:tmpl w:val="0CAE1B4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EC24C1F"/>
    <w:multiLevelType w:val="multilevel"/>
    <w:tmpl w:val="0EC24C1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B258AF"/>
    <w:multiLevelType w:val="multilevel"/>
    <w:tmpl w:val="0FB258AF"/>
    <w:lvl w:ilvl="0">
      <w:start w:val="1"/>
      <w:numFmt w:val="decimal"/>
      <w:pStyle w:val="Style170"/>
      <w:lvlText w:val="(%1)."/>
      <w:lvlJc w:val="left"/>
      <w:pPr>
        <w:ind w:left="425" w:hanging="425"/>
      </w:pPr>
      <w:rPr>
        <w:rFonts w:hint="eastAsia"/>
      </w:rPr>
    </w:lvl>
    <w:lvl w:ilvl="1">
      <w:start w:val="1"/>
      <w:numFmt w:val="decimal"/>
      <w:pStyle w:val="Style171"/>
      <w:lvlText w:val="%1.%2."/>
      <w:lvlJc w:val="left"/>
      <w:pPr>
        <w:ind w:left="567" w:hanging="567"/>
      </w:pPr>
      <w:rPr>
        <w:rFonts w:hint="eastAsia"/>
      </w:rPr>
    </w:lvl>
    <w:lvl w:ilvl="2">
      <w:start w:val="1"/>
      <w:numFmt w:val="decimal"/>
      <w:pStyle w:val="Style172"/>
      <w:lvlText w:val="%3、"/>
      <w:lvlJc w:val="left"/>
      <w:pPr>
        <w:ind w:left="0" w:firstLine="0"/>
      </w:pPr>
      <w:rPr>
        <w:rFonts w:hint="eastAsia"/>
      </w:rPr>
    </w:lvl>
    <w:lvl w:ilvl="3">
      <w:start w:val="1"/>
      <w:numFmt w:val="decimal"/>
      <w:pStyle w:val="Style173"/>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1900670"/>
    <w:multiLevelType w:val="multilevel"/>
    <w:tmpl w:val="1190067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12D079A4"/>
    <w:multiLevelType w:val="multilevel"/>
    <w:tmpl w:val="12D079A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33D46C3"/>
    <w:multiLevelType w:val="multilevel"/>
    <w:tmpl w:val="133D46C3"/>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15621257"/>
    <w:multiLevelType w:val="multilevel"/>
    <w:tmpl w:val="15621257"/>
    <w:lvl w:ilvl="0">
      <w:start w:val="1"/>
      <w:numFmt w:val="decimal"/>
      <w:lvlText w:val="%1."/>
      <w:lvlJc w:val="left"/>
      <w:pPr>
        <w:ind w:left="425" w:hanging="425"/>
      </w:pPr>
      <w:rPr>
        <w:rFonts w:hint="eastAsia"/>
      </w:rPr>
    </w:lvl>
    <w:lvl w:ilvl="1">
      <w:start w:val="1"/>
      <w:numFmt w:val="chineseCountingThousand"/>
      <w:suff w:val="space"/>
      <w:lvlText w:val="(%2)"/>
      <w:lvlJc w:val="left"/>
      <w:pPr>
        <w:ind w:left="425" w:hanging="425"/>
      </w:pPr>
      <w:rPr>
        <w:rFonts w:ascii="宋体" w:eastAsia="宋体" w:hAnsi="宋体"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22" w15:restartNumberingAfterBreak="0">
    <w:nsid w:val="16265715"/>
    <w:multiLevelType w:val="multilevel"/>
    <w:tmpl w:val="1626571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3、"/>
      <w:lvlJc w:val="left"/>
      <w:pPr>
        <w:ind w:left="420" w:hanging="42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18A52FB9"/>
    <w:multiLevelType w:val="multilevel"/>
    <w:tmpl w:val="18A52FB9"/>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97545A2"/>
    <w:multiLevelType w:val="multilevel"/>
    <w:tmpl w:val="197545A2"/>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9B61093"/>
    <w:multiLevelType w:val="multilevel"/>
    <w:tmpl w:val="19B6109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A9614F1"/>
    <w:multiLevelType w:val="multilevel"/>
    <w:tmpl w:val="1A9614F1"/>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1C261D32"/>
    <w:multiLevelType w:val="multilevel"/>
    <w:tmpl w:val="1C261D32"/>
    <w:lvl w:ilvl="0">
      <w:start w:val="1"/>
      <w:numFmt w:val="decimal"/>
      <w:suff w:val="nothing"/>
      <w:lvlText w:val="%1、 "/>
      <w:lvlJc w:val="left"/>
      <w:pPr>
        <w:ind w:left="360" w:hanging="36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1CEC30BF"/>
    <w:multiLevelType w:val="multilevel"/>
    <w:tmpl w:val="C908E55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D11584D"/>
    <w:multiLevelType w:val="multilevel"/>
    <w:tmpl w:val="1D11584D"/>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1E235F8B"/>
    <w:multiLevelType w:val="multilevel"/>
    <w:tmpl w:val="1E235F8B"/>
    <w:lvl w:ilvl="0">
      <w:start w:val="1"/>
      <w:numFmt w:val="chineseCountingThousand"/>
      <w:pStyle w:val="Style78"/>
      <w:lvlText w:val="第%1节"/>
      <w:lvlJc w:val="left"/>
      <w:pPr>
        <w:ind w:left="0" w:firstLine="0"/>
      </w:pPr>
      <w:rPr>
        <w:rFonts w:hint="eastAsia"/>
        <w:color w:val="auto"/>
        <w:sz w:val="28"/>
        <w:szCs w:val="28"/>
        <w:u w:val="none"/>
        <w:lang w:val="en-US"/>
      </w:rPr>
    </w:lvl>
    <w:lvl w:ilvl="1">
      <w:start w:val="1"/>
      <w:numFmt w:val="chineseCountingThousand"/>
      <w:pStyle w:val="Style79"/>
      <w:lvlText w:val="%2、"/>
      <w:lvlJc w:val="left"/>
      <w:pPr>
        <w:ind w:left="567" w:hanging="567"/>
      </w:pPr>
      <w:rPr>
        <w:rFonts w:hint="eastAsia"/>
        <w:color w:val="auto"/>
      </w:rPr>
    </w:lvl>
    <w:lvl w:ilvl="2">
      <w:start w:val="1"/>
      <w:numFmt w:val="decimal"/>
      <w:pStyle w:val="Style80"/>
      <w:lvlText w:val="%1.%2.%3"/>
      <w:lvlJc w:val="left"/>
      <w:pPr>
        <w:ind w:left="1418" w:hanging="567"/>
      </w:pPr>
      <w:rPr>
        <w:rFonts w:hint="eastAsia"/>
      </w:rPr>
    </w:lvl>
    <w:lvl w:ilvl="3">
      <w:start w:val="1"/>
      <w:numFmt w:val="decimal"/>
      <w:pStyle w:val="Style81"/>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1F4131F6"/>
    <w:multiLevelType w:val="multilevel"/>
    <w:tmpl w:val="FFC0F5C4"/>
    <w:lvl w:ilvl="0">
      <w:start w:val="1"/>
      <w:numFmt w:val="decimal"/>
      <w:lvlText w:val="%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suff w:val="space"/>
      <w:lvlText w:val="(%4)."/>
      <w:lvlJc w:val="left"/>
      <w:pPr>
        <w:ind w:left="0" w:firstLine="0"/>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1FD019D7"/>
    <w:multiLevelType w:val="multilevel"/>
    <w:tmpl w:val="9C24AEB0"/>
    <w:lvl w:ilvl="0">
      <w:start w:val="1"/>
      <w:numFmt w:val="decimal"/>
      <w:lvlText w:val="（%1）"/>
      <w:lvlJc w:val="left"/>
      <w:pPr>
        <w:ind w:left="425" w:hanging="425"/>
      </w:pPr>
      <w:rPr>
        <w:rFonts w:ascii="宋体" w:eastAsia="宋体" w:hAnsi="宋体" w:hint="eastAsia"/>
        <w:b/>
        <w:bCs/>
      </w:rPr>
    </w:lvl>
    <w:lvl w:ilvl="1">
      <w:start w:val="1"/>
      <w:numFmt w:val="chineseCountingThousand"/>
      <w:suff w:val="space"/>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20410CC5"/>
    <w:multiLevelType w:val="multilevel"/>
    <w:tmpl w:val="20410CC5"/>
    <w:lvl w:ilvl="0">
      <w:start w:val="1"/>
      <w:numFmt w:val="decimal"/>
      <w:lvlText w:val="（%1）"/>
      <w:lvlJc w:val="left"/>
      <w:pPr>
        <w:ind w:left="0" w:firstLine="0"/>
      </w:pPr>
      <w:rPr>
        <w:rFonts w:hint="eastAsia"/>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15:restartNumberingAfterBreak="0">
    <w:nsid w:val="204F3B0A"/>
    <w:multiLevelType w:val="multilevel"/>
    <w:tmpl w:val="204F3B0A"/>
    <w:lvl w:ilvl="0">
      <w:start w:val="1"/>
      <w:numFmt w:val="chineseCountingThousand"/>
      <w:pStyle w:val="Style70"/>
      <w:lvlText w:val="(%1)"/>
      <w:lvlJc w:val="left"/>
      <w:pPr>
        <w:ind w:left="0" w:firstLine="0"/>
      </w:pPr>
      <w:rPr>
        <w:rFonts w:hint="default"/>
      </w:rPr>
    </w:lvl>
    <w:lvl w:ilvl="1">
      <w:start w:val="1"/>
      <w:numFmt w:val="chineseCountingThousand"/>
      <w:pStyle w:val="Style71"/>
      <w:suff w:val="space"/>
      <w:lvlText w:val="(%2)"/>
      <w:lvlJc w:val="left"/>
      <w:pPr>
        <w:ind w:left="0" w:firstLine="0"/>
      </w:pPr>
      <w:rPr>
        <w:rFonts w:ascii="宋体" w:eastAsia="宋体" w:hAnsi="宋体" w:hint="eastAsia"/>
      </w:rPr>
    </w:lvl>
    <w:lvl w:ilvl="2">
      <w:start w:val="1"/>
      <w:numFmt w:val="chineseCountingThousand"/>
      <w:pStyle w:val="Style72"/>
      <w:suff w:val="nothing"/>
      <w:lvlText w:val="(%3)"/>
      <w:lvlJc w:val="left"/>
      <w:pPr>
        <w:ind w:left="0" w:firstLine="0"/>
      </w:pPr>
      <w:rPr>
        <w:rFonts w:hint="eastAsia"/>
      </w:rPr>
    </w:lvl>
    <w:lvl w:ilvl="3">
      <w:start w:val="1"/>
      <w:numFmt w:val="decimal"/>
      <w:pStyle w:val="Style73"/>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2121200C"/>
    <w:multiLevelType w:val="multilevel"/>
    <w:tmpl w:val="5BCC09E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217F3B1B"/>
    <w:multiLevelType w:val="multilevel"/>
    <w:tmpl w:val="217F3B1B"/>
    <w:lvl w:ilvl="0">
      <w:start w:val="1"/>
      <w:numFmt w:val="decimal"/>
      <w:lvlText w:val="(%1)."/>
      <w:lvlJc w:val="left"/>
      <w:pPr>
        <w:ind w:left="0" w:firstLine="0"/>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21A7388C"/>
    <w:multiLevelType w:val="multilevel"/>
    <w:tmpl w:val="56D0E17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228F0FB9"/>
    <w:multiLevelType w:val="multilevel"/>
    <w:tmpl w:val="228F0FB9"/>
    <w:lvl w:ilvl="0">
      <w:start w:val="1"/>
      <w:numFmt w:val="decimal"/>
      <w:lvlText w:val="%1、"/>
      <w:lvlJc w:val="left"/>
      <w:pPr>
        <w:ind w:left="420" w:hanging="420"/>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247F5093"/>
    <w:multiLevelType w:val="multilevel"/>
    <w:tmpl w:val="247F509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251127D0"/>
    <w:multiLevelType w:val="multilevel"/>
    <w:tmpl w:val="251127D0"/>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2634589C"/>
    <w:multiLevelType w:val="multilevel"/>
    <w:tmpl w:val="2634589C"/>
    <w:lvl w:ilvl="0">
      <w:start w:val="1"/>
      <w:numFmt w:val="decimal"/>
      <w:suff w:val="nothing"/>
      <w:lvlText w:val="%1、 "/>
      <w:lvlJc w:val="left"/>
      <w:pPr>
        <w:ind w:left="360" w:hanging="36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273131BF"/>
    <w:multiLevelType w:val="multilevel"/>
    <w:tmpl w:val="273131BF"/>
    <w:lvl w:ilvl="0">
      <w:start w:val="1"/>
      <w:numFmt w:val="decimal"/>
      <w:pStyle w:val="Style162"/>
      <w:lvlText w:val="(%1)."/>
      <w:lvlJc w:val="left"/>
      <w:pPr>
        <w:ind w:left="425" w:hanging="425"/>
      </w:pPr>
      <w:rPr>
        <w:rFonts w:hint="eastAsia"/>
      </w:rPr>
    </w:lvl>
    <w:lvl w:ilvl="1">
      <w:start w:val="1"/>
      <w:numFmt w:val="decimal"/>
      <w:pStyle w:val="Style163"/>
      <w:lvlText w:val="%1.%2."/>
      <w:lvlJc w:val="left"/>
      <w:pPr>
        <w:ind w:left="567" w:hanging="567"/>
      </w:pPr>
      <w:rPr>
        <w:rFonts w:hint="eastAsia"/>
      </w:rPr>
    </w:lvl>
    <w:lvl w:ilvl="2">
      <w:start w:val="1"/>
      <w:numFmt w:val="decimal"/>
      <w:pStyle w:val="Style164"/>
      <w:lvlText w:val="%3、"/>
      <w:lvlJc w:val="left"/>
      <w:pPr>
        <w:ind w:left="0" w:firstLine="0"/>
      </w:pPr>
      <w:rPr>
        <w:rFonts w:hint="eastAsia"/>
      </w:rPr>
    </w:lvl>
    <w:lvl w:ilvl="3">
      <w:start w:val="1"/>
      <w:numFmt w:val="decimal"/>
      <w:pStyle w:val="Style165"/>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15:restartNumberingAfterBreak="0">
    <w:nsid w:val="2ABA5091"/>
    <w:multiLevelType w:val="multilevel"/>
    <w:tmpl w:val="2ABA5091"/>
    <w:lvl w:ilvl="0">
      <w:start w:val="1"/>
      <w:numFmt w:val="chineseCountingThousand"/>
      <w:pStyle w:val="20231"/>
      <w:suff w:val="nothing"/>
      <w:lvlText w:val="%1、"/>
      <w:lvlJc w:val="left"/>
      <w:pPr>
        <w:ind w:left="450" w:hanging="450"/>
      </w:pPr>
      <w:rPr>
        <w:rFonts w:hint="eastAsia"/>
      </w:rPr>
    </w:lvl>
    <w:lvl w:ilvl="1">
      <w:start w:val="1"/>
      <w:numFmt w:val="lowerLetter"/>
      <w:pStyle w:val="20232"/>
      <w:lvlText w:val="%2)"/>
      <w:lvlJc w:val="left"/>
      <w:pPr>
        <w:ind w:left="840" w:hanging="420"/>
      </w:pPr>
    </w:lvl>
    <w:lvl w:ilvl="2">
      <w:start w:val="1"/>
      <w:numFmt w:val="lowerRoman"/>
      <w:pStyle w:val="20233"/>
      <w:lvlText w:val="%3."/>
      <w:lvlJc w:val="right"/>
      <w:pPr>
        <w:ind w:left="1260" w:hanging="420"/>
      </w:pPr>
    </w:lvl>
    <w:lvl w:ilvl="3">
      <w:start w:val="1"/>
      <w:numFmt w:val="decimal"/>
      <w:pStyle w:val="20234"/>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2B081EE9"/>
    <w:multiLevelType w:val="multilevel"/>
    <w:tmpl w:val="B5BA0F3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2CE17747"/>
    <w:multiLevelType w:val="multilevel"/>
    <w:tmpl w:val="2CE17747"/>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2D223BC3"/>
    <w:multiLevelType w:val="multilevel"/>
    <w:tmpl w:val="2D223BC3"/>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2DE55932"/>
    <w:multiLevelType w:val="multilevel"/>
    <w:tmpl w:val="2DE55932"/>
    <w:lvl w:ilvl="0">
      <w:start w:val="1"/>
      <w:numFmt w:val="chineseCountingThousand"/>
      <w:suff w:val="nothing"/>
      <w:lvlText w:val="%1、"/>
      <w:lvlJc w:val="left"/>
      <w:pPr>
        <w:ind w:left="420" w:hanging="420"/>
      </w:pPr>
      <w:rPr>
        <w:rFonts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40" w:hanging="440"/>
      </w:pPr>
      <w:rPr>
        <w:rFonts w:asciiTheme="majorEastAsia" w:eastAsia="宋体" w:hAnsiTheme="majorEastAsia"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2F447D91"/>
    <w:multiLevelType w:val="multilevel"/>
    <w:tmpl w:val="2F447D91"/>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15:restartNumberingAfterBreak="0">
    <w:nsid w:val="322A2C22"/>
    <w:multiLevelType w:val="multilevel"/>
    <w:tmpl w:val="322A2C22"/>
    <w:lvl w:ilvl="0">
      <w:start w:val="1"/>
      <w:numFmt w:val="decimal"/>
      <w:lvlText w:val="%1、"/>
      <w:lvlJc w:val="left"/>
      <w:pPr>
        <w:ind w:left="420" w:hanging="420"/>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326F7C0F"/>
    <w:multiLevelType w:val="multilevel"/>
    <w:tmpl w:val="326F7C0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3438131C"/>
    <w:multiLevelType w:val="multilevel"/>
    <w:tmpl w:val="70D2946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37C3610E"/>
    <w:multiLevelType w:val="multilevel"/>
    <w:tmpl w:val="37C3610E"/>
    <w:lvl w:ilvl="0">
      <w:start w:val="1"/>
      <w:numFmt w:val="chineseCountingThousand"/>
      <w:lvlText w:val="%1、"/>
      <w:lvlJc w:val="left"/>
      <w:pPr>
        <w:ind w:left="0" w:firstLine="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3D411AC0"/>
    <w:multiLevelType w:val="multilevel"/>
    <w:tmpl w:val="3D411AC0"/>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15:restartNumberingAfterBreak="0">
    <w:nsid w:val="3D620F38"/>
    <w:multiLevelType w:val="multilevel"/>
    <w:tmpl w:val="8B08208A"/>
    <w:lvl w:ilvl="0">
      <w:start w:val="1"/>
      <w:numFmt w:val="decimal"/>
      <w:lvlText w:val="（%1）"/>
      <w:lvlJc w:val="left"/>
      <w:pPr>
        <w:ind w:left="420" w:hanging="420"/>
      </w:pPr>
      <w:rPr>
        <w:rFonts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3DC039A2"/>
    <w:multiLevelType w:val="multilevel"/>
    <w:tmpl w:val="E78811F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3EA740FE"/>
    <w:multiLevelType w:val="multilevel"/>
    <w:tmpl w:val="A93C0D88"/>
    <w:lvl w:ilvl="0">
      <w:start w:val="1"/>
      <w:numFmt w:val="chineseCountingThousand"/>
      <w:suff w:val="nothing"/>
      <w:lvlText w:val="%1、"/>
      <w:lvlJc w:val="left"/>
      <w:pPr>
        <w:ind w:left="425" w:hanging="425"/>
      </w:pPr>
      <w:rPr>
        <w:rFonts w:ascii="宋体" w:eastAsia="宋体" w:hAnsi="宋体" w:hint="eastAsia"/>
        <w:b/>
        <w:bCs w:val="0"/>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3F1C5616"/>
    <w:multiLevelType w:val="multilevel"/>
    <w:tmpl w:val="3F1C5616"/>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0" w15:restartNumberingAfterBreak="0">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15:restartNumberingAfterBreak="0">
    <w:nsid w:val="407806A0"/>
    <w:multiLevelType w:val="multilevel"/>
    <w:tmpl w:val="407806A0"/>
    <w:lvl w:ilvl="0">
      <w:start w:val="1"/>
      <w:numFmt w:val="chineseCountingThousand"/>
      <w:lvlText w:val="第%1节"/>
      <w:lvlJc w:val="left"/>
      <w:pPr>
        <w:ind w:left="0" w:firstLine="0"/>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15:restartNumberingAfterBreak="0">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15:restartNumberingAfterBreak="0">
    <w:nsid w:val="42F33200"/>
    <w:multiLevelType w:val="multilevel"/>
    <w:tmpl w:val="42F33200"/>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43AD7AD8"/>
    <w:multiLevelType w:val="multilevel"/>
    <w:tmpl w:val="43AD7AD8"/>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15:restartNumberingAfterBreak="0">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452D24C2"/>
    <w:multiLevelType w:val="multilevel"/>
    <w:tmpl w:val="731441B8"/>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63E0B3C"/>
    <w:multiLevelType w:val="multilevel"/>
    <w:tmpl w:val="DD861F96"/>
    <w:lvl w:ilvl="0">
      <w:start w:val="1"/>
      <w:numFmt w:val="chineseCountingThousand"/>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15:restartNumberingAfterBreak="0">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47B412BD"/>
    <w:multiLevelType w:val="multilevel"/>
    <w:tmpl w:val="47B412BD"/>
    <w:lvl w:ilvl="0">
      <w:start w:val="1"/>
      <w:numFmt w:val="decimal"/>
      <w:pStyle w:val="Style213"/>
      <w:lvlText w:val="(%1)."/>
      <w:lvlJc w:val="left"/>
      <w:pPr>
        <w:ind w:left="425" w:hanging="425"/>
      </w:pPr>
      <w:rPr>
        <w:rFonts w:hint="eastAsia"/>
      </w:rPr>
    </w:lvl>
    <w:lvl w:ilvl="1">
      <w:start w:val="1"/>
      <w:numFmt w:val="decimal"/>
      <w:pStyle w:val="Style214"/>
      <w:lvlText w:val="%1.%2."/>
      <w:lvlJc w:val="left"/>
      <w:pPr>
        <w:ind w:left="567" w:hanging="567"/>
      </w:pPr>
      <w:rPr>
        <w:rFonts w:hint="eastAsia"/>
      </w:rPr>
    </w:lvl>
    <w:lvl w:ilvl="2">
      <w:start w:val="1"/>
      <w:numFmt w:val="decimal"/>
      <w:pStyle w:val="Style215"/>
      <w:lvlText w:val="%3、"/>
      <w:lvlJc w:val="left"/>
      <w:pPr>
        <w:ind w:left="0" w:firstLine="0"/>
      </w:pPr>
      <w:rPr>
        <w:rFonts w:hint="eastAsia"/>
      </w:rPr>
    </w:lvl>
    <w:lvl w:ilvl="3">
      <w:start w:val="1"/>
      <w:numFmt w:val="decimal"/>
      <w:pStyle w:val="Style216"/>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15:restartNumberingAfterBreak="0">
    <w:nsid w:val="49C71EB0"/>
    <w:multiLevelType w:val="multilevel"/>
    <w:tmpl w:val="49C71EB0"/>
    <w:lvl w:ilvl="0">
      <w:start w:val="1"/>
      <w:numFmt w:val="chineseCountingThousand"/>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15:restartNumberingAfterBreak="0">
    <w:nsid w:val="4A125FEF"/>
    <w:multiLevelType w:val="multilevel"/>
    <w:tmpl w:val="4A125FEF"/>
    <w:lvl w:ilvl="0">
      <w:start w:val="1"/>
      <w:numFmt w:val="decimal"/>
      <w:lvlText w:val="%1、"/>
      <w:lvlJc w:val="left"/>
      <w:pPr>
        <w:ind w:left="420" w:hanging="420"/>
      </w:pPr>
      <w:rPr>
        <w:rFonts w:asciiTheme="majorEastAsia" w:eastAsia="宋体" w:hAnsiTheme="majorEastAsia"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4AC23DB8"/>
    <w:multiLevelType w:val="multilevel"/>
    <w:tmpl w:val="4AC23DB8"/>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4ACD5C44"/>
    <w:multiLevelType w:val="multilevel"/>
    <w:tmpl w:val="4ACD5C4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4B8A1F74"/>
    <w:multiLevelType w:val="multilevel"/>
    <w:tmpl w:val="387A239E"/>
    <w:lvl w:ilvl="0">
      <w:start w:val="1"/>
      <w:numFmt w:val="decimal"/>
      <w:lvlText w:val="%1、"/>
      <w:lvlJc w:val="left"/>
      <w:pPr>
        <w:ind w:left="0" w:firstLine="0"/>
      </w:pPr>
      <w:rPr>
        <w:rFonts w:hint="default"/>
      </w:rPr>
    </w:lvl>
    <w:lvl w:ilvl="1">
      <w:start w:val="1"/>
      <w:numFmt w:val="decimal"/>
      <w:suff w:val="nothing"/>
      <w:lvlText w:val="%2."/>
      <w:lvlJc w:val="left"/>
      <w:pPr>
        <w:ind w:left="0" w:firstLine="0"/>
      </w:pPr>
      <w:rPr>
        <w:rFonts w:ascii="宋体" w:eastAsia="宋体" w:hAnsi="宋体"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15:restartNumberingAfterBreak="0">
    <w:nsid w:val="4FF23454"/>
    <w:multiLevelType w:val="multilevel"/>
    <w:tmpl w:val="4FF23454"/>
    <w:lvl w:ilvl="0">
      <w:start w:val="1"/>
      <w:numFmt w:val="decimal"/>
      <w:lvlText w:val="%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50AC1563"/>
    <w:multiLevelType w:val="multilevel"/>
    <w:tmpl w:val="50AC156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50F33864"/>
    <w:multiLevelType w:val="multilevel"/>
    <w:tmpl w:val="21F05BD2"/>
    <w:lvl w:ilvl="0">
      <w:start w:val="1"/>
      <w:numFmt w:val="chineseCountingThousand"/>
      <w:lvlText w:val="(%1)"/>
      <w:lvlJc w:val="right"/>
      <w:pPr>
        <w:ind w:left="1260" w:hanging="420"/>
      </w:pPr>
      <w:rPr>
        <w:rFonts w:hint="eastAsia"/>
      </w:rPr>
    </w:lvl>
    <w:lvl w:ilvl="1">
      <w:start w:val="1"/>
      <w:numFmt w:val="decimal"/>
      <w:lvlText w:val="%2."/>
      <w:lvlJc w:val="left"/>
      <w:pPr>
        <w:ind w:left="840" w:hanging="420"/>
      </w:pPr>
      <w:rPr>
        <w:rFonts w:ascii="宋体" w:eastAsia="宋体" w:hAnsi="宋体"/>
      </w:rPr>
    </w:lvl>
    <w:lvl w:ilvl="2">
      <w:start w:val="1"/>
      <w:numFmt w:val="chineseCountingThousand"/>
      <w:lvlText w:val="(%3)"/>
      <w:lvlJc w:val="right"/>
      <w:pPr>
        <w:ind w:left="420" w:hanging="420"/>
      </w:pPr>
      <w:rPr>
        <w:rFonts w:hint="eastAsia"/>
      </w:rPr>
    </w:lvl>
    <w:lvl w:ilvl="3">
      <w:start w:val="1"/>
      <w:numFmt w:val="chineseCountingThousand"/>
      <w:suff w:val="nothing"/>
      <w:lvlText w:val="(%4)"/>
      <w:lvlJc w:val="left"/>
      <w:pPr>
        <w:ind w:left="0" w:firstLine="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511727FE"/>
    <w:multiLevelType w:val="multilevel"/>
    <w:tmpl w:val="F49E048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suff w:val="nothing"/>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15:restartNumberingAfterBreak="0">
    <w:nsid w:val="520C604D"/>
    <w:multiLevelType w:val="multilevel"/>
    <w:tmpl w:val="520C604D"/>
    <w:lvl w:ilvl="0">
      <w:start w:val="1"/>
      <w:numFmt w:val="decimal"/>
      <w:lvlText w:val="%1、"/>
      <w:lvlJc w:val="left"/>
      <w:pPr>
        <w:ind w:left="0" w:firstLine="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55724AC9"/>
    <w:multiLevelType w:val="multilevel"/>
    <w:tmpl w:val="6CAEC3CC"/>
    <w:lvl w:ilvl="0">
      <w:start w:val="1"/>
      <w:numFmt w:val="decimal"/>
      <w:lvlText w:val="%1."/>
      <w:lvlJc w:val="left"/>
      <w:pPr>
        <w:ind w:left="425" w:hanging="425"/>
      </w:pPr>
      <w:rPr>
        <w:rFonts w:ascii="宋体" w:eastAsia="宋体" w:hAnsi="宋体"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15:restartNumberingAfterBreak="0">
    <w:nsid w:val="56472509"/>
    <w:multiLevelType w:val="multilevel"/>
    <w:tmpl w:val="56472509"/>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57D70C03"/>
    <w:multiLevelType w:val="multilevel"/>
    <w:tmpl w:val="6CBCE43C"/>
    <w:lvl w:ilvl="0">
      <w:start w:val="1"/>
      <w:numFmt w:val="chineseCountingThousand"/>
      <w:lvlText w:val="(%1)"/>
      <w:lvlJc w:val="left"/>
      <w:pPr>
        <w:ind w:left="425" w:hanging="425"/>
      </w:pPr>
      <w:rPr>
        <w:rFonts w:hint="eastAsia"/>
        <w:b/>
        <w:bCs/>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9EF7C0F"/>
    <w:multiLevelType w:val="multilevel"/>
    <w:tmpl w:val="F2B47270"/>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271" w:hanging="420"/>
      </w:pPr>
      <w:rPr>
        <w:rFonts w:ascii="宋体" w:eastAsia="宋体" w:hAnsi="宋体"/>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5BDC5A30"/>
    <w:multiLevelType w:val="multilevel"/>
    <w:tmpl w:val="5BDC5A30"/>
    <w:lvl w:ilvl="0">
      <w:start w:val="1"/>
      <w:numFmt w:val="decimal"/>
      <w:pStyle w:val="Style227"/>
      <w:lvlText w:val="(%1)."/>
      <w:lvlJc w:val="left"/>
      <w:pPr>
        <w:ind w:left="425" w:hanging="425"/>
      </w:pPr>
      <w:rPr>
        <w:rFonts w:hint="eastAsia"/>
      </w:rPr>
    </w:lvl>
    <w:lvl w:ilvl="1">
      <w:start w:val="1"/>
      <w:numFmt w:val="decimal"/>
      <w:pStyle w:val="Style228"/>
      <w:lvlText w:val="%1.%2."/>
      <w:lvlJc w:val="left"/>
      <w:pPr>
        <w:ind w:left="567" w:hanging="567"/>
      </w:pPr>
      <w:rPr>
        <w:rFonts w:hint="eastAsia"/>
      </w:rPr>
    </w:lvl>
    <w:lvl w:ilvl="2">
      <w:start w:val="1"/>
      <w:numFmt w:val="decimal"/>
      <w:pStyle w:val="Style229"/>
      <w:lvlText w:val="%3、"/>
      <w:lvlJc w:val="left"/>
      <w:pPr>
        <w:ind w:left="0" w:firstLine="0"/>
      </w:pPr>
      <w:rPr>
        <w:rFonts w:hint="eastAsia"/>
      </w:rPr>
    </w:lvl>
    <w:lvl w:ilvl="3">
      <w:start w:val="1"/>
      <w:numFmt w:val="decimal"/>
      <w:pStyle w:val="Style230"/>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15:restartNumberingAfterBreak="0">
    <w:nsid w:val="5C673432"/>
    <w:multiLevelType w:val="multilevel"/>
    <w:tmpl w:val="2BAA9C30"/>
    <w:lvl w:ilvl="0">
      <w:start w:val="1"/>
      <w:numFmt w:val="chineseCountingThousand"/>
      <w:suff w:val="space"/>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15:restartNumberingAfterBreak="0">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15:restartNumberingAfterBreak="0">
    <w:nsid w:val="5D380AA3"/>
    <w:multiLevelType w:val="multilevel"/>
    <w:tmpl w:val="5D380AA3"/>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4" w15:restartNumberingAfterBreak="0">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440" w:hanging="440"/>
      </w:pPr>
      <w:rPr>
        <w:rFonts w:asciiTheme="majorEastAsia" w:eastAsia="宋体" w:hAnsiTheme="majorEastAsia"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15:restartNumberingAfterBreak="0">
    <w:nsid w:val="5FBD184C"/>
    <w:multiLevelType w:val="multilevel"/>
    <w:tmpl w:val="5FBD184C"/>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15:restartNumberingAfterBreak="0">
    <w:nsid w:val="5FD64E01"/>
    <w:multiLevelType w:val="multilevel"/>
    <w:tmpl w:val="5FD64E01"/>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60421A59"/>
    <w:multiLevelType w:val="multilevel"/>
    <w:tmpl w:val="CD167E10"/>
    <w:lvl w:ilvl="0">
      <w:start w:val="1"/>
      <w:numFmt w:val="chineseCountingThousand"/>
      <w:lvlText w:val="%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8" w15:restartNumberingAfterBreak="0">
    <w:nsid w:val="615843CB"/>
    <w:multiLevelType w:val="multilevel"/>
    <w:tmpl w:val="615843C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15:restartNumberingAfterBreak="0">
    <w:nsid w:val="655A7F2D"/>
    <w:multiLevelType w:val="multilevel"/>
    <w:tmpl w:val="655A7F2D"/>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15:restartNumberingAfterBreak="0">
    <w:nsid w:val="657349F4"/>
    <w:multiLevelType w:val="multilevel"/>
    <w:tmpl w:val="657349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15:restartNumberingAfterBreak="0">
    <w:nsid w:val="672E1A48"/>
    <w:multiLevelType w:val="multilevel"/>
    <w:tmpl w:val="672E1A4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2" w15:restartNumberingAfterBreak="0">
    <w:nsid w:val="67D11347"/>
    <w:multiLevelType w:val="multilevel"/>
    <w:tmpl w:val="67D11347"/>
    <w:lvl w:ilvl="0">
      <w:start w:val="1"/>
      <w:numFmt w:val="decimal"/>
      <w:lvlText w:val="%1、"/>
      <w:lvlJc w:val="left"/>
      <w:pPr>
        <w:ind w:left="360" w:hanging="36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3" w15:restartNumberingAfterBreak="0">
    <w:nsid w:val="694D0F71"/>
    <w:multiLevelType w:val="multilevel"/>
    <w:tmpl w:val="667ABA74"/>
    <w:lvl w:ilvl="0">
      <w:start w:val="1"/>
      <w:numFmt w:val="chineseCountingThousand"/>
      <w:lvlText w:val="(%1)"/>
      <w:lvlJc w:val="left"/>
      <w:pPr>
        <w:ind w:left="0" w:firstLine="0"/>
      </w:pPr>
      <w:rPr>
        <w:rFonts w:hint="eastAsia"/>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14" w15:restartNumberingAfterBreak="0">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6B96254F"/>
    <w:multiLevelType w:val="multilevel"/>
    <w:tmpl w:val="6B96254F"/>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15:restartNumberingAfterBreak="0">
    <w:nsid w:val="6E97785F"/>
    <w:multiLevelType w:val="multilevel"/>
    <w:tmpl w:val="6E97785F"/>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15:restartNumberingAfterBreak="0">
    <w:nsid w:val="701D5786"/>
    <w:multiLevelType w:val="multilevel"/>
    <w:tmpl w:val="701D5786"/>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15:restartNumberingAfterBreak="0">
    <w:nsid w:val="70A4034A"/>
    <w:multiLevelType w:val="multilevel"/>
    <w:tmpl w:val="70A4034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70E42A22"/>
    <w:multiLevelType w:val="multilevel"/>
    <w:tmpl w:val="7DFEFB40"/>
    <w:lvl w:ilvl="0">
      <w:start w:val="1"/>
      <w:numFmt w:val="chineseCountingThousand"/>
      <w:suff w:val="nothing"/>
      <w:lvlText w:val="%1、"/>
      <w:lvlJc w:val="right"/>
      <w:pPr>
        <w:ind w:left="425" w:hanging="425"/>
      </w:pPr>
      <w:rPr>
        <w:rFonts w:ascii="宋体" w:eastAsia="宋体" w:hAnsi="宋体" w:hint="eastAsia"/>
        <w:b/>
        <w:bCs w:val="0"/>
        <w:i w:val="0"/>
        <w:sz w:val="21"/>
        <w:szCs w:val="21"/>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15:restartNumberingAfterBreak="0">
    <w:nsid w:val="723F1C97"/>
    <w:multiLevelType w:val="multilevel"/>
    <w:tmpl w:val="723F1C97"/>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15:restartNumberingAfterBreak="0">
    <w:nsid w:val="728231A6"/>
    <w:multiLevelType w:val="multilevel"/>
    <w:tmpl w:val="728231A6"/>
    <w:lvl w:ilvl="0">
      <w:start w:val="1"/>
      <w:numFmt w:val="decimal"/>
      <w:suff w:val="space"/>
      <w:lvlText w:val="(%1)."/>
      <w:lvlJc w:val="left"/>
      <w:pPr>
        <w:ind w:left="0" w:firstLine="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15:restartNumberingAfterBreak="0">
    <w:nsid w:val="73FB28AC"/>
    <w:multiLevelType w:val="multilevel"/>
    <w:tmpl w:val="475E3D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15:restartNumberingAfterBreak="0">
    <w:nsid w:val="7405377B"/>
    <w:multiLevelType w:val="multilevel"/>
    <w:tmpl w:val="02BADE34"/>
    <w:lvl w:ilvl="0">
      <w:start w:val="1"/>
      <w:numFmt w:val="chineseCountingThousand"/>
      <w:suff w:val="space"/>
      <w:lvlText w:val="(%1)"/>
      <w:lvlJc w:val="left"/>
      <w:pPr>
        <w:ind w:left="420" w:hanging="420"/>
      </w:pPr>
      <w:rPr>
        <w:rFonts w:ascii="宋体" w:eastAsia="宋体" w:hAnsi="宋体" w:hint="eastAsia"/>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5" w15:restartNumberingAfterBreak="0">
    <w:nsid w:val="7487312F"/>
    <w:multiLevelType w:val="multilevel"/>
    <w:tmpl w:val="7487312F"/>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8" w15:restartNumberingAfterBreak="0">
    <w:nsid w:val="76DD5C82"/>
    <w:multiLevelType w:val="multilevel"/>
    <w:tmpl w:val="76DD5C82"/>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9" w15:restartNumberingAfterBreak="0">
    <w:nsid w:val="77111D1D"/>
    <w:multiLevelType w:val="multilevel"/>
    <w:tmpl w:val="31CE0A8A"/>
    <w:lvl w:ilvl="0">
      <w:start w:val="1"/>
      <w:numFmt w:val="decimal"/>
      <w:suff w:val="nothing"/>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0"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1"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2" w15:restartNumberingAfterBreak="0">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3" w15:restartNumberingAfterBreak="0">
    <w:nsid w:val="7A6140D4"/>
    <w:multiLevelType w:val="multilevel"/>
    <w:tmpl w:val="7A6140D4"/>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15:restartNumberingAfterBreak="0">
    <w:nsid w:val="7A9D304A"/>
    <w:multiLevelType w:val="multilevel"/>
    <w:tmpl w:val="7A9D304A"/>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15:restartNumberingAfterBreak="0">
    <w:nsid w:val="7B1E025F"/>
    <w:multiLevelType w:val="multilevel"/>
    <w:tmpl w:val="8D0EDA96"/>
    <w:lvl w:ilvl="0">
      <w:start w:val="1"/>
      <w:numFmt w:val="chineseCountingThousand"/>
      <w:lvlText w:val="%1、"/>
      <w:lvlJc w:val="left"/>
      <w:pPr>
        <w:ind w:left="420" w:hanging="420"/>
      </w:pPr>
      <w:rPr>
        <w:rFonts w:ascii="宋体" w:eastAsia="宋体" w:hAnsi="宋体" w:hint="eastAsia"/>
        <w:b/>
        <w:bCs w:val="0"/>
        <w:i w:val="0"/>
        <w:sz w:val="21"/>
        <w:szCs w:val="21"/>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6"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15:restartNumberingAfterBreak="0">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8" w15:restartNumberingAfterBreak="0">
    <w:nsid w:val="7DDF1B1D"/>
    <w:multiLevelType w:val="multilevel"/>
    <w:tmpl w:val="7DDF1B1D"/>
    <w:lvl w:ilvl="0">
      <w:start w:val="1"/>
      <w:numFmt w:val="decimal"/>
      <w:lvlText w:val="（%1）"/>
      <w:lvlJc w:val="left"/>
      <w:pPr>
        <w:ind w:left="0" w:firstLine="0"/>
      </w:pPr>
      <w:rPr>
        <w:rFonts w:hint="eastAsia"/>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9"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0" w15:restartNumberingAfterBreak="0">
    <w:nsid w:val="7FCC199E"/>
    <w:multiLevelType w:val="multilevel"/>
    <w:tmpl w:val="7FCC199E"/>
    <w:lvl w:ilvl="0">
      <w:start w:val="1"/>
      <w:numFmt w:val="decimal"/>
      <w:pStyle w:val="Style133"/>
      <w:lvlText w:val="(%1)."/>
      <w:lvlJc w:val="left"/>
      <w:pPr>
        <w:ind w:left="425" w:hanging="425"/>
      </w:pPr>
      <w:rPr>
        <w:rFonts w:hint="eastAsia"/>
      </w:rPr>
    </w:lvl>
    <w:lvl w:ilvl="1">
      <w:start w:val="1"/>
      <w:numFmt w:val="decimal"/>
      <w:pStyle w:val="Style134"/>
      <w:lvlText w:val="%1.%2."/>
      <w:lvlJc w:val="left"/>
      <w:pPr>
        <w:ind w:left="567" w:hanging="567"/>
      </w:pPr>
      <w:rPr>
        <w:rFonts w:hint="eastAsia"/>
      </w:rPr>
    </w:lvl>
    <w:lvl w:ilvl="2">
      <w:start w:val="1"/>
      <w:numFmt w:val="decimal"/>
      <w:pStyle w:val="Style135"/>
      <w:lvlText w:val="%3、"/>
      <w:lvlJc w:val="left"/>
      <w:pPr>
        <w:ind w:left="0" w:firstLine="0"/>
      </w:pPr>
      <w:rPr>
        <w:rFonts w:hint="eastAsia"/>
      </w:rPr>
    </w:lvl>
    <w:lvl w:ilvl="3">
      <w:start w:val="1"/>
      <w:numFmt w:val="decimal"/>
      <w:pStyle w:val="Style137"/>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1825006920">
    <w:abstractNumId w:val="49"/>
  </w:num>
  <w:num w:numId="2" w16cid:durableId="1889102016">
    <w:abstractNumId w:val="39"/>
  </w:num>
  <w:num w:numId="3" w16cid:durableId="369378697">
    <w:abstractNumId w:val="33"/>
  </w:num>
  <w:num w:numId="4" w16cid:durableId="1650355005">
    <w:abstractNumId w:val="140"/>
  </w:num>
  <w:num w:numId="5" w16cid:durableId="1306885667">
    <w:abstractNumId w:val="47"/>
  </w:num>
  <w:num w:numId="6" w16cid:durableId="1351878690">
    <w:abstractNumId w:val="16"/>
  </w:num>
  <w:num w:numId="7" w16cid:durableId="504436830">
    <w:abstractNumId w:val="80"/>
  </w:num>
  <w:num w:numId="8" w16cid:durableId="1167205702">
    <w:abstractNumId w:val="98"/>
  </w:num>
  <w:num w:numId="9" w16cid:durableId="1563055449">
    <w:abstractNumId w:val="63"/>
  </w:num>
  <w:num w:numId="10" w16cid:durableId="1570772781">
    <w:abstractNumId w:val="71"/>
  </w:num>
  <w:num w:numId="11" w16cid:durableId="323554362">
    <w:abstractNumId w:val="58"/>
  </w:num>
  <w:num w:numId="12" w16cid:durableId="97987887">
    <w:abstractNumId w:val="48"/>
  </w:num>
  <w:num w:numId="13" w16cid:durableId="684743589">
    <w:abstractNumId w:val="77"/>
  </w:num>
  <w:num w:numId="14" w16cid:durableId="669019184">
    <w:abstractNumId w:val="120"/>
  </w:num>
  <w:num w:numId="15" w16cid:durableId="1441608924">
    <w:abstractNumId w:val="99"/>
  </w:num>
  <w:num w:numId="16" w16cid:durableId="1265923933">
    <w:abstractNumId w:val="21"/>
  </w:num>
  <w:num w:numId="17" w16cid:durableId="944190290">
    <w:abstractNumId w:val="37"/>
  </w:num>
  <w:num w:numId="18" w16cid:durableId="1987390446">
    <w:abstractNumId w:val="54"/>
  </w:num>
  <w:num w:numId="19" w16cid:durableId="369842475">
    <w:abstractNumId w:val="122"/>
  </w:num>
  <w:num w:numId="20" w16cid:durableId="856581791">
    <w:abstractNumId w:val="127"/>
  </w:num>
  <w:num w:numId="21" w16cid:durableId="1976452001">
    <w:abstractNumId w:val="17"/>
  </w:num>
  <w:num w:numId="22" w16cid:durableId="1142387994">
    <w:abstractNumId w:val="5"/>
  </w:num>
  <w:num w:numId="23" w16cid:durableId="345061718">
    <w:abstractNumId w:val="113"/>
  </w:num>
  <w:num w:numId="24" w16cid:durableId="1176070544">
    <w:abstractNumId w:val="135"/>
  </w:num>
  <w:num w:numId="25" w16cid:durableId="326128554">
    <w:abstractNumId w:val="92"/>
  </w:num>
  <w:num w:numId="26" w16cid:durableId="917056210">
    <w:abstractNumId w:val="65"/>
  </w:num>
  <w:num w:numId="27" w16cid:durableId="565992894">
    <w:abstractNumId w:val="83"/>
  </w:num>
  <w:num w:numId="28" w16cid:durableId="639505922">
    <w:abstractNumId w:val="82"/>
  </w:num>
  <w:num w:numId="29" w16cid:durableId="1272317827">
    <w:abstractNumId w:val="1"/>
  </w:num>
  <w:num w:numId="30" w16cid:durableId="485360631">
    <w:abstractNumId w:val="93"/>
  </w:num>
  <w:num w:numId="31" w16cid:durableId="1629432042">
    <w:abstractNumId w:val="88"/>
  </w:num>
  <w:num w:numId="32" w16cid:durableId="1348097392">
    <w:abstractNumId w:val="3"/>
  </w:num>
  <w:num w:numId="33" w16cid:durableId="390927935">
    <w:abstractNumId w:val="42"/>
  </w:num>
  <w:num w:numId="34" w16cid:durableId="828789925">
    <w:abstractNumId w:val="124"/>
  </w:num>
  <w:num w:numId="35" w16cid:durableId="2047631571">
    <w:abstractNumId w:val="34"/>
  </w:num>
  <w:num w:numId="36" w16cid:durableId="1976906375">
    <w:abstractNumId w:val="76"/>
  </w:num>
  <w:num w:numId="37" w16cid:durableId="1276253830">
    <w:abstractNumId w:val="31"/>
  </w:num>
  <w:num w:numId="38" w16cid:durableId="330835861">
    <w:abstractNumId w:val="97"/>
  </w:num>
  <w:num w:numId="39" w16cid:durableId="1046560848">
    <w:abstractNumId w:val="78"/>
  </w:num>
  <w:num w:numId="40" w16cid:durableId="1305504587">
    <w:abstractNumId w:val="129"/>
  </w:num>
  <w:num w:numId="41" w16cid:durableId="1006787550">
    <w:abstractNumId w:val="66"/>
  </w:num>
  <w:num w:numId="42" w16cid:durableId="1331255004">
    <w:abstractNumId w:val="2"/>
  </w:num>
  <w:num w:numId="43" w16cid:durableId="150409881">
    <w:abstractNumId w:val="57"/>
  </w:num>
  <w:num w:numId="44" w16cid:durableId="1916666163">
    <w:abstractNumId w:val="40"/>
  </w:num>
  <w:num w:numId="45" w16cid:durableId="1286815859">
    <w:abstractNumId w:val="117"/>
  </w:num>
  <w:num w:numId="46" w16cid:durableId="1568803268">
    <w:abstractNumId w:val="118"/>
  </w:num>
  <w:num w:numId="47" w16cid:durableId="546189933">
    <w:abstractNumId w:val="23"/>
  </w:num>
  <w:num w:numId="48" w16cid:durableId="1891452587">
    <w:abstractNumId w:val="131"/>
  </w:num>
  <w:num w:numId="49" w16cid:durableId="1723671605">
    <w:abstractNumId w:val="50"/>
  </w:num>
  <w:num w:numId="50" w16cid:durableId="2028940844">
    <w:abstractNumId w:val="107"/>
  </w:num>
  <w:num w:numId="51" w16cid:durableId="413671122">
    <w:abstractNumId w:val="85"/>
  </w:num>
  <w:num w:numId="52" w16cid:durableId="479158767">
    <w:abstractNumId w:val="89"/>
  </w:num>
  <w:num w:numId="53" w16cid:durableId="944460836">
    <w:abstractNumId w:val="123"/>
  </w:num>
  <w:num w:numId="54" w16cid:durableId="114492232">
    <w:abstractNumId w:val="8"/>
  </w:num>
  <w:num w:numId="55" w16cid:durableId="1193495310">
    <w:abstractNumId w:val="61"/>
  </w:num>
  <w:num w:numId="56" w16cid:durableId="551305209">
    <w:abstractNumId w:val="14"/>
  </w:num>
  <w:num w:numId="57" w16cid:durableId="448009534">
    <w:abstractNumId w:val="67"/>
  </w:num>
  <w:num w:numId="58" w16cid:durableId="785999751">
    <w:abstractNumId w:val="95"/>
  </w:num>
  <w:num w:numId="59" w16cid:durableId="916935559">
    <w:abstractNumId w:val="51"/>
  </w:num>
  <w:num w:numId="60" w16cid:durableId="1472668903">
    <w:abstractNumId w:val="96"/>
  </w:num>
  <w:num w:numId="61" w16cid:durableId="706805948">
    <w:abstractNumId w:val="0"/>
  </w:num>
  <w:num w:numId="62" w16cid:durableId="873232535">
    <w:abstractNumId w:val="136"/>
  </w:num>
  <w:num w:numId="63" w16cid:durableId="1550266142">
    <w:abstractNumId w:val="25"/>
  </w:num>
  <w:num w:numId="64" w16cid:durableId="1711762479">
    <w:abstractNumId w:val="73"/>
  </w:num>
  <w:num w:numId="65" w16cid:durableId="689842657">
    <w:abstractNumId w:val="59"/>
  </w:num>
  <w:num w:numId="66" w16cid:durableId="438182239">
    <w:abstractNumId w:val="81"/>
  </w:num>
  <w:num w:numId="67" w16cid:durableId="1508521313">
    <w:abstractNumId w:val="75"/>
  </w:num>
  <w:num w:numId="68" w16cid:durableId="2076314709">
    <w:abstractNumId w:val="35"/>
  </w:num>
  <w:num w:numId="69" w16cid:durableId="1771118881">
    <w:abstractNumId w:val="84"/>
  </w:num>
  <w:num w:numId="70" w16cid:durableId="815797447">
    <w:abstractNumId w:val="137"/>
  </w:num>
  <w:num w:numId="71" w16cid:durableId="743648083">
    <w:abstractNumId w:val="101"/>
  </w:num>
  <w:num w:numId="72" w16cid:durableId="231282769">
    <w:abstractNumId w:val="18"/>
  </w:num>
  <w:num w:numId="73" w16cid:durableId="1608152312">
    <w:abstractNumId w:val="138"/>
  </w:num>
  <w:num w:numId="74" w16cid:durableId="219563067">
    <w:abstractNumId w:val="116"/>
  </w:num>
  <w:num w:numId="75" w16cid:durableId="971208674">
    <w:abstractNumId w:val="86"/>
  </w:num>
  <w:num w:numId="76" w16cid:durableId="216400158">
    <w:abstractNumId w:val="4"/>
  </w:num>
  <w:num w:numId="77" w16cid:durableId="1880121332">
    <w:abstractNumId w:val="125"/>
  </w:num>
  <w:num w:numId="78" w16cid:durableId="1108039930">
    <w:abstractNumId w:val="110"/>
  </w:num>
  <w:num w:numId="79" w16cid:durableId="1924024388">
    <w:abstractNumId w:val="56"/>
  </w:num>
  <w:num w:numId="80" w16cid:durableId="467866467">
    <w:abstractNumId w:val="94"/>
  </w:num>
  <w:num w:numId="81" w16cid:durableId="1785880403">
    <w:abstractNumId w:val="134"/>
  </w:num>
  <w:num w:numId="82" w16cid:durableId="1669286559">
    <w:abstractNumId w:val="102"/>
  </w:num>
  <w:num w:numId="83" w16cid:durableId="214706902">
    <w:abstractNumId w:val="74"/>
  </w:num>
  <w:num w:numId="84" w16cid:durableId="1704592463">
    <w:abstractNumId w:val="26"/>
  </w:num>
  <w:num w:numId="85" w16cid:durableId="1905867809">
    <w:abstractNumId w:val="9"/>
  </w:num>
  <w:num w:numId="86" w16cid:durableId="624194864">
    <w:abstractNumId w:val="10"/>
  </w:num>
  <w:num w:numId="87" w16cid:durableId="170028018">
    <w:abstractNumId w:val="64"/>
  </w:num>
  <w:num w:numId="88" w16cid:durableId="169759702">
    <w:abstractNumId w:val="128"/>
  </w:num>
  <w:num w:numId="89" w16cid:durableId="1399016536">
    <w:abstractNumId w:val="19"/>
  </w:num>
  <w:num w:numId="90" w16cid:durableId="236088477">
    <w:abstractNumId w:val="41"/>
  </w:num>
  <w:num w:numId="91" w16cid:durableId="467668148">
    <w:abstractNumId w:val="20"/>
  </w:num>
  <w:num w:numId="92" w16cid:durableId="1831411436">
    <w:abstractNumId w:val="28"/>
  </w:num>
  <w:num w:numId="93" w16cid:durableId="1675913529">
    <w:abstractNumId w:val="38"/>
  </w:num>
  <w:num w:numId="94" w16cid:durableId="1873492102">
    <w:abstractNumId w:val="109"/>
  </w:num>
  <w:num w:numId="95" w16cid:durableId="1580557855">
    <w:abstractNumId w:val="111"/>
  </w:num>
  <w:num w:numId="96" w16cid:durableId="621614571">
    <w:abstractNumId w:val="72"/>
  </w:num>
  <w:num w:numId="97" w16cid:durableId="573777946">
    <w:abstractNumId w:val="44"/>
  </w:num>
  <w:num w:numId="98" w16cid:durableId="1226723166">
    <w:abstractNumId w:val="108"/>
  </w:num>
  <w:num w:numId="99" w16cid:durableId="1999646489">
    <w:abstractNumId w:val="12"/>
  </w:num>
  <w:num w:numId="100" w16cid:durableId="575823453">
    <w:abstractNumId w:val="6"/>
  </w:num>
  <w:num w:numId="101" w16cid:durableId="1035035776">
    <w:abstractNumId w:val="91"/>
  </w:num>
  <w:num w:numId="102" w16cid:durableId="161744607">
    <w:abstractNumId w:val="106"/>
  </w:num>
  <w:num w:numId="103" w16cid:durableId="1929339614">
    <w:abstractNumId w:val="11"/>
  </w:num>
  <w:num w:numId="104" w16cid:durableId="1160660865">
    <w:abstractNumId w:val="103"/>
  </w:num>
  <w:num w:numId="105" w16cid:durableId="694965162">
    <w:abstractNumId w:val="104"/>
  </w:num>
  <w:num w:numId="106" w16cid:durableId="1473019592">
    <w:abstractNumId w:val="29"/>
  </w:num>
  <w:num w:numId="107" w16cid:durableId="784737741">
    <w:abstractNumId w:val="45"/>
  </w:num>
  <w:num w:numId="108" w16cid:durableId="133262060">
    <w:abstractNumId w:val="69"/>
  </w:num>
  <w:num w:numId="109" w16cid:durableId="1327829489">
    <w:abstractNumId w:val="22"/>
  </w:num>
  <w:num w:numId="110" w16cid:durableId="348602815">
    <w:abstractNumId w:val="132"/>
  </w:num>
  <w:num w:numId="111" w16cid:durableId="371157630">
    <w:abstractNumId w:val="114"/>
  </w:num>
  <w:num w:numId="112" w16cid:durableId="1093865297">
    <w:abstractNumId w:val="13"/>
  </w:num>
  <w:num w:numId="113" w16cid:durableId="893925276">
    <w:abstractNumId w:val="32"/>
  </w:num>
  <w:num w:numId="114" w16cid:durableId="2141067728">
    <w:abstractNumId w:val="121"/>
  </w:num>
  <w:num w:numId="115" w16cid:durableId="293949005">
    <w:abstractNumId w:val="87"/>
  </w:num>
  <w:num w:numId="116" w16cid:durableId="521284833">
    <w:abstractNumId w:val="119"/>
  </w:num>
  <w:num w:numId="117" w16cid:durableId="1493176870">
    <w:abstractNumId w:val="115"/>
  </w:num>
  <w:num w:numId="118" w16cid:durableId="617415461">
    <w:abstractNumId w:val="24"/>
  </w:num>
  <w:num w:numId="119" w16cid:durableId="1359349715">
    <w:abstractNumId w:val="36"/>
  </w:num>
  <w:num w:numId="120" w16cid:durableId="303050066">
    <w:abstractNumId w:val="62"/>
  </w:num>
  <w:num w:numId="121" w16cid:durableId="258563823">
    <w:abstractNumId w:val="112"/>
  </w:num>
  <w:num w:numId="122" w16cid:durableId="770205241">
    <w:abstractNumId w:val="90"/>
  </w:num>
  <w:num w:numId="123" w16cid:durableId="1671592728">
    <w:abstractNumId w:val="52"/>
  </w:num>
  <w:num w:numId="124" w16cid:durableId="487981469">
    <w:abstractNumId w:val="100"/>
  </w:num>
  <w:num w:numId="125" w16cid:durableId="588664238">
    <w:abstractNumId w:val="55"/>
  </w:num>
  <w:num w:numId="126" w16cid:durableId="420689183">
    <w:abstractNumId w:val="30"/>
  </w:num>
  <w:num w:numId="127" w16cid:durableId="1845702160">
    <w:abstractNumId w:val="46"/>
  </w:num>
  <w:num w:numId="128" w16cid:durableId="771515965">
    <w:abstractNumId w:val="126"/>
  </w:num>
  <w:num w:numId="129" w16cid:durableId="1575580394">
    <w:abstractNumId w:val="79"/>
  </w:num>
  <w:num w:numId="130" w16cid:durableId="45304695">
    <w:abstractNumId w:val="70"/>
  </w:num>
  <w:num w:numId="131" w16cid:durableId="683557466">
    <w:abstractNumId w:val="60"/>
  </w:num>
  <w:num w:numId="132" w16cid:durableId="1975981392">
    <w:abstractNumId w:val="130"/>
  </w:num>
  <w:num w:numId="133" w16cid:durableId="2005737630">
    <w:abstractNumId w:val="68"/>
  </w:num>
  <w:num w:numId="134" w16cid:durableId="1430740585">
    <w:abstractNumId w:val="7"/>
  </w:num>
  <w:num w:numId="135" w16cid:durableId="1008870636">
    <w:abstractNumId w:val="53"/>
  </w:num>
  <w:num w:numId="136" w16cid:durableId="854611604">
    <w:abstractNumId w:val="133"/>
  </w:num>
  <w:num w:numId="137" w16cid:durableId="211355532">
    <w:abstractNumId w:val="139"/>
  </w:num>
  <w:num w:numId="138" w16cid:durableId="318581117">
    <w:abstractNumId w:val="105"/>
  </w:num>
  <w:num w:numId="139" w16cid:durableId="1595170808">
    <w:abstractNumId w:val="43"/>
  </w:num>
  <w:num w:numId="140" w16cid:durableId="1704675808">
    <w:abstractNumId w:val="27"/>
  </w:num>
  <w:num w:numId="141" w16cid:durableId="674260534">
    <w:abstractNumId w:val="1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 w:name="MergeCount" w:val="5"/>
    <w:docVar w:name="ReplaceHeader_002" w:val="是"/>
    <w:docVar w:name="ReplaceHeader_003" w:val="false"/>
    <w:docVar w:name="ReplaceHeader_004" w:val="是"/>
    <w:docVar w:name="ReplaceHeader_005" w:val="是"/>
    <w:docVar w:name="ReplaceHeader_006" w:val="是"/>
    <w:docVar w:name="ReplaceHeader_007" w:val="是"/>
    <w:docVar w:name="ReplaceHeader_008" w:val="是"/>
    <w:docVar w:name="ReplaceHeader_009" w:val="是"/>
    <w:docVar w:name="ReplaceHeader_010" w:val="是"/>
    <w:docVar w:name="ReplaceText_002" w:val="是"/>
  </w:docVar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50B7665A-3F55-4A71-B535-DA1B1FF6A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1"/>
      <w:szCs w:val="21"/>
    </w:rPr>
  </w:style>
  <w:style w:type="paragraph" w:styleId="1">
    <w:name w:val="heading 1"/>
    <w:basedOn w:val="a"/>
    <w:next w:val="a"/>
    <w:link w:val="10"/>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styleId="2">
    <w:name w:val="heading 2"/>
    <w:basedOn w:val="a"/>
    <w:next w:val="a"/>
    <w:link w:val="20"/>
    <w:qFormat/>
    <w:pPr>
      <w:keepNext/>
      <w:keepLines/>
      <w:widowControl w:val="0"/>
      <w:spacing w:before="60" w:line="360" w:lineRule="auto"/>
      <w:jc w:val="both"/>
      <w:outlineLvl w:val="1"/>
    </w:pPr>
    <w:rPr>
      <w:rFonts w:ascii="Arial" w:hAnsi="Arial"/>
      <w:b/>
      <w:bCs/>
      <w:kern w:val="2"/>
    </w:rPr>
  </w:style>
  <w:style w:type="paragraph" w:styleId="3">
    <w:name w:val="heading 3"/>
    <w:basedOn w:val="a"/>
    <w:next w:val="a"/>
    <w:link w:val="30"/>
    <w:uiPriority w:val="9"/>
    <w:qFormat/>
    <w:pPr>
      <w:keepNext/>
      <w:keepLines/>
      <w:widowControl w:val="0"/>
      <w:spacing w:before="60" w:line="360" w:lineRule="auto"/>
      <w:jc w:val="both"/>
      <w:outlineLvl w:val="2"/>
    </w:pPr>
    <w:rPr>
      <w:rFonts w:ascii="Calibri" w:hAnsi="Calibri"/>
      <w:b/>
      <w:bCs/>
      <w:kern w:val="2"/>
      <w:szCs w:val="32"/>
    </w:rPr>
  </w:style>
  <w:style w:type="paragraph" w:styleId="4">
    <w:name w:val="heading 4"/>
    <w:basedOn w:val="a"/>
    <w:next w:val="a"/>
    <w:link w:val="40"/>
    <w:uiPriority w:val="9"/>
    <w:qFormat/>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styleId="5">
    <w:name w:val="heading 5"/>
    <w:basedOn w:val="a"/>
    <w:next w:val="a"/>
    <w:link w:val="50"/>
    <w:uiPriority w:val="9"/>
    <w:qFormat/>
    <w:pPr>
      <w:keepNext/>
      <w:keepLines/>
      <w:widowControl w:val="0"/>
      <w:spacing w:before="60" w:line="360" w:lineRule="auto"/>
      <w:ind w:leftChars="50" w:left="50"/>
      <w:jc w:val="both"/>
      <w:outlineLvl w:val="4"/>
    </w:pPr>
    <w:rPr>
      <w:rFonts w:ascii="Calibri" w:hAnsi="Calibri"/>
      <w:b/>
      <w:bCs/>
      <w:kern w:val="2"/>
      <w:szCs w:val="28"/>
    </w:rPr>
  </w:style>
  <w:style w:type="paragraph" w:styleId="6">
    <w:name w:val="heading 6"/>
    <w:basedOn w:val="a"/>
    <w:next w:val="a"/>
    <w:link w:val="60"/>
    <w:uiPriority w:val="9"/>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pPr>
      <w:keepNext/>
      <w:keepLines/>
      <w:spacing w:before="240" w:after="64" w:line="320" w:lineRule="auto"/>
      <w:outlineLvl w:val="6"/>
    </w:pPr>
    <w:rPr>
      <w:b/>
      <w:b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uiPriority w:val="99"/>
    <w:qFormat/>
    <w:pPr>
      <w:widowControl w:val="0"/>
      <w:jc w:val="center"/>
    </w:pPr>
    <w:rPr>
      <w:kern w:val="2"/>
    </w:rPr>
  </w:style>
  <w:style w:type="paragraph" w:styleId="a5">
    <w:name w:val="Normal Indent"/>
    <w:basedOn w:val="a"/>
    <w:link w:val="a6"/>
    <w:qFormat/>
    <w:pPr>
      <w:widowControl w:val="0"/>
      <w:ind w:firstLineChars="200" w:firstLine="420"/>
      <w:jc w:val="both"/>
    </w:pPr>
    <w:rPr>
      <w:kern w:val="2"/>
    </w:rPr>
  </w:style>
  <w:style w:type="paragraph" w:styleId="a7">
    <w:name w:val="Document Map"/>
    <w:basedOn w:val="a"/>
    <w:link w:val="a8"/>
    <w:uiPriority w:val="99"/>
    <w:semiHidden/>
    <w:unhideWhenUsed/>
    <w:pPr>
      <w:widowControl w:val="0"/>
      <w:jc w:val="both"/>
    </w:pPr>
    <w:rPr>
      <w:rFonts w:hAnsi="Calibri"/>
      <w:kern w:val="2"/>
      <w:sz w:val="18"/>
      <w:szCs w:val="18"/>
    </w:rPr>
  </w:style>
  <w:style w:type="paragraph" w:styleId="a9">
    <w:name w:val="toa heading"/>
    <w:basedOn w:val="a"/>
    <w:next w:val="a"/>
    <w:semiHidden/>
    <w:pPr>
      <w:widowControl w:val="0"/>
      <w:spacing w:before="120"/>
      <w:jc w:val="both"/>
    </w:pPr>
    <w:rPr>
      <w:rFonts w:ascii="Arial" w:hAnsi="Arial"/>
      <w:b/>
      <w:bCs/>
      <w:kern w:val="2"/>
    </w:rPr>
  </w:style>
  <w:style w:type="paragraph" w:styleId="aa">
    <w:name w:val="annotation text"/>
    <w:basedOn w:val="a"/>
    <w:link w:val="ab"/>
    <w:qFormat/>
    <w:pPr>
      <w:widowControl w:val="0"/>
    </w:pPr>
    <w:rPr>
      <w:kern w:val="2"/>
    </w:rPr>
  </w:style>
  <w:style w:type="paragraph" w:styleId="ac">
    <w:name w:val="Salutation"/>
    <w:basedOn w:val="a"/>
    <w:next w:val="a"/>
    <w:link w:val="ad"/>
    <w:uiPriority w:val="99"/>
    <w:qFormat/>
    <w:pPr>
      <w:widowControl w:val="0"/>
      <w:jc w:val="both"/>
    </w:pPr>
    <w:rPr>
      <w:kern w:val="2"/>
    </w:rPr>
  </w:style>
  <w:style w:type="paragraph" w:styleId="31">
    <w:name w:val="List Bullet 3"/>
    <w:basedOn w:val="a"/>
    <w:pPr>
      <w:widowControl w:val="0"/>
      <w:tabs>
        <w:tab w:val="left" w:pos="1200"/>
      </w:tabs>
      <w:jc w:val="both"/>
    </w:pPr>
    <w:rPr>
      <w:kern w:val="2"/>
    </w:rPr>
  </w:style>
  <w:style w:type="paragraph" w:styleId="ae">
    <w:name w:val="Body Text"/>
    <w:basedOn w:val="a"/>
    <w:link w:val="af"/>
    <w:uiPriority w:val="99"/>
    <w:pPr>
      <w:widowControl w:val="0"/>
      <w:spacing w:after="120"/>
      <w:jc w:val="both"/>
    </w:pPr>
    <w:rPr>
      <w:kern w:val="2"/>
    </w:rPr>
  </w:style>
  <w:style w:type="paragraph" w:styleId="TOC5">
    <w:name w:val="toc 5"/>
    <w:basedOn w:val="a"/>
    <w:next w:val="a"/>
    <w:autoRedefine/>
    <w:uiPriority w:val="39"/>
    <w:unhideWhenUsed/>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autoRedefine/>
    <w:uiPriority w:val="39"/>
    <w:unhideWhenUsed/>
    <w:qFormat/>
    <w:pPr>
      <w:spacing w:after="100" w:line="276" w:lineRule="auto"/>
      <w:ind w:left="440"/>
    </w:pPr>
    <w:rPr>
      <w:rFonts w:ascii="Calibri" w:hAnsi="Calibri"/>
      <w:sz w:val="22"/>
      <w:szCs w:val="22"/>
    </w:rPr>
  </w:style>
  <w:style w:type="paragraph" w:styleId="af0">
    <w:name w:val="Plain Text"/>
    <w:basedOn w:val="a"/>
    <w:link w:val="af1"/>
    <w:qFormat/>
    <w:pPr>
      <w:widowControl w:val="0"/>
      <w:jc w:val="both"/>
    </w:pPr>
    <w:rPr>
      <w:rFonts w:hAnsi="Courier New"/>
      <w:kern w:val="2"/>
    </w:rPr>
  </w:style>
  <w:style w:type="paragraph" w:styleId="TOC8">
    <w:name w:val="toc 8"/>
    <w:basedOn w:val="a"/>
    <w:next w:val="a"/>
    <w:autoRedefine/>
    <w:uiPriority w:val="39"/>
    <w:unhideWhenUsed/>
    <w:pPr>
      <w:widowControl w:val="0"/>
      <w:ind w:leftChars="1400" w:left="2940"/>
      <w:jc w:val="both"/>
    </w:pPr>
    <w:rPr>
      <w:rFonts w:asciiTheme="minorHAnsi" w:eastAsiaTheme="minorEastAsia" w:hAnsiTheme="minorHAnsi" w:cstheme="minorBidi"/>
      <w:kern w:val="2"/>
      <w:szCs w:val="22"/>
    </w:rPr>
  </w:style>
  <w:style w:type="paragraph" w:styleId="af2">
    <w:name w:val="Date"/>
    <w:basedOn w:val="a"/>
    <w:next w:val="a"/>
    <w:link w:val="af3"/>
    <w:uiPriority w:val="99"/>
    <w:pPr>
      <w:widowControl w:val="0"/>
      <w:ind w:leftChars="2500" w:left="100"/>
      <w:jc w:val="both"/>
    </w:pPr>
    <w:rPr>
      <w:kern w:val="2"/>
    </w:rPr>
  </w:style>
  <w:style w:type="paragraph" w:styleId="af4">
    <w:name w:val="endnote text"/>
    <w:basedOn w:val="a"/>
    <w:link w:val="af5"/>
    <w:uiPriority w:val="99"/>
    <w:semiHidden/>
    <w:unhideWhenUsed/>
    <w:pPr>
      <w:snapToGrid w:val="0"/>
    </w:pPr>
    <w:rPr>
      <w:szCs w:val="20"/>
    </w:rPr>
  </w:style>
  <w:style w:type="paragraph" w:styleId="af6">
    <w:name w:val="Balloon Text"/>
    <w:basedOn w:val="a"/>
    <w:link w:val="af7"/>
    <w:uiPriority w:val="99"/>
    <w:unhideWhenUsed/>
    <w:pPr>
      <w:widowControl w:val="0"/>
      <w:jc w:val="both"/>
    </w:pPr>
    <w:rPr>
      <w:rFonts w:ascii="Calibri" w:hAnsi="Calibri"/>
      <w:kern w:val="2"/>
      <w:sz w:val="18"/>
      <w:szCs w:val="18"/>
    </w:rPr>
  </w:style>
  <w:style w:type="paragraph" w:styleId="af8">
    <w:name w:val="footer"/>
    <w:basedOn w:val="a"/>
    <w:link w:val="af9"/>
    <w:uiPriority w:val="99"/>
    <w:unhideWhenUsed/>
    <w:qFormat/>
    <w:pPr>
      <w:widowControl w:val="0"/>
      <w:tabs>
        <w:tab w:val="center" w:pos="4153"/>
        <w:tab w:val="right" w:pos="8306"/>
      </w:tabs>
      <w:snapToGrid w:val="0"/>
    </w:pPr>
    <w:rPr>
      <w:rFonts w:ascii="Calibri" w:hAnsi="Calibri"/>
      <w:kern w:val="2"/>
      <w:sz w:val="18"/>
      <w:szCs w:val="18"/>
    </w:rPr>
  </w:style>
  <w:style w:type="paragraph" w:styleId="afa">
    <w:name w:val="header"/>
    <w:basedOn w:val="a"/>
    <w:link w:val="afb"/>
    <w:uiPriority w:val="99"/>
    <w:unhideWhenUsed/>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styleId="TOC1">
    <w:name w:val="toc 1"/>
    <w:basedOn w:val="a"/>
    <w:next w:val="a"/>
    <w:autoRedefine/>
    <w:uiPriority w:val="39"/>
    <w:qFormat/>
    <w:pPr>
      <w:widowControl w:val="0"/>
      <w:tabs>
        <w:tab w:val="left" w:pos="1260"/>
        <w:tab w:val="right" w:leader="dot" w:pos="8823"/>
      </w:tabs>
      <w:spacing w:line="360" w:lineRule="auto"/>
      <w:jc w:val="both"/>
    </w:pPr>
    <w:rPr>
      <w:kern w:val="2"/>
    </w:rPr>
  </w:style>
  <w:style w:type="paragraph" w:styleId="TOC4">
    <w:name w:val="toc 4"/>
    <w:basedOn w:val="a"/>
    <w:next w:val="a"/>
    <w:autoRedefine/>
    <w:uiPriority w:val="39"/>
    <w:unhideWhenUsed/>
    <w:pPr>
      <w:widowControl w:val="0"/>
      <w:ind w:leftChars="600" w:left="1260"/>
      <w:jc w:val="both"/>
    </w:pPr>
    <w:rPr>
      <w:rFonts w:asciiTheme="minorHAnsi" w:eastAsiaTheme="minorEastAsia" w:hAnsiTheme="minorHAnsi" w:cstheme="minorBidi"/>
      <w:kern w:val="2"/>
      <w:szCs w:val="22"/>
    </w:rPr>
  </w:style>
  <w:style w:type="paragraph" w:styleId="afc">
    <w:name w:val="footnote text"/>
    <w:basedOn w:val="a"/>
    <w:link w:val="afd"/>
    <w:uiPriority w:val="99"/>
    <w:semiHidden/>
    <w:unhideWhenUsed/>
    <w:pPr>
      <w:widowControl w:val="0"/>
      <w:snapToGrid w:val="0"/>
    </w:pPr>
    <w:rPr>
      <w:rFonts w:ascii="Calibri" w:hAnsi="Calibri"/>
      <w:kern w:val="2"/>
      <w:sz w:val="18"/>
      <w:szCs w:val="18"/>
    </w:rPr>
  </w:style>
  <w:style w:type="paragraph" w:styleId="TOC6">
    <w:name w:val="toc 6"/>
    <w:basedOn w:val="a"/>
    <w:next w:val="a"/>
    <w:autoRedefine/>
    <w:uiPriority w:val="39"/>
    <w:unhideWhenUsed/>
    <w:pPr>
      <w:widowControl w:val="0"/>
      <w:ind w:leftChars="1000" w:left="2100"/>
      <w:jc w:val="both"/>
    </w:pPr>
    <w:rPr>
      <w:rFonts w:asciiTheme="minorHAnsi" w:eastAsiaTheme="minorEastAsia" w:hAnsiTheme="minorHAnsi" w:cstheme="minorBidi"/>
      <w:kern w:val="2"/>
      <w:szCs w:val="22"/>
    </w:rPr>
  </w:style>
  <w:style w:type="paragraph" w:styleId="TOC2">
    <w:name w:val="toc 2"/>
    <w:basedOn w:val="a"/>
    <w:next w:val="a"/>
    <w:autoRedefine/>
    <w:uiPriority w:val="39"/>
    <w:qFormat/>
    <w:pPr>
      <w:widowControl w:val="0"/>
      <w:ind w:leftChars="200" w:left="420"/>
      <w:jc w:val="both"/>
    </w:pPr>
    <w:rPr>
      <w:kern w:val="2"/>
    </w:rPr>
  </w:style>
  <w:style w:type="paragraph" w:styleId="TOC9">
    <w:name w:val="toc 9"/>
    <w:basedOn w:val="a"/>
    <w:next w:val="a"/>
    <w:autoRedefine/>
    <w:uiPriority w:val="39"/>
    <w:unhideWhenUsed/>
    <w:pPr>
      <w:widowControl w:val="0"/>
      <w:ind w:leftChars="1600" w:left="3360"/>
      <w:jc w:val="both"/>
    </w:pPr>
    <w:rPr>
      <w:rFonts w:asciiTheme="minorHAnsi" w:eastAsiaTheme="minorEastAsia" w:hAnsiTheme="minorHAnsi" w:cstheme="minorBidi"/>
      <w:kern w:val="2"/>
      <w:szCs w:val="22"/>
    </w:rPr>
  </w:style>
  <w:style w:type="paragraph" w:styleId="afe">
    <w:name w:val="Normal (Web)"/>
    <w:basedOn w:val="a"/>
    <w:link w:val="aff"/>
    <w:uiPriority w:val="99"/>
    <w:qFormat/>
    <w:pPr>
      <w:spacing w:before="100" w:beforeAutospacing="1" w:after="100" w:afterAutospacing="1"/>
    </w:pPr>
    <w:rPr>
      <w:sz w:val="24"/>
    </w:rPr>
  </w:style>
  <w:style w:type="paragraph" w:styleId="11">
    <w:name w:val="index 1"/>
    <w:basedOn w:val="a"/>
    <w:next w:val="a"/>
    <w:autoRedefine/>
    <w:semiHidden/>
    <w:pPr>
      <w:ind w:firstLineChars="200" w:firstLine="420"/>
    </w:pPr>
    <w:rPr>
      <w:color w:val="000000"/>
    </w:rPr>
  </w:style>
  <w:style w:type="paragraph" w:styleId="aff0">
    <w:name w:val="Title"/>
    <w:basedOn w:val="a"/>
    <w:next w:val="a"/>
    <w:link w:val="aff1"/>
    <w:uiPriority w:val="10"/>
    <w:qFormat/>
    <w:pPr>
      <w:widowControl w:val="0"/>
      <w:spacing w:before="240" w:after="60"/>
      <w:jc w:val="center"/>
      <w:outlineLvl w:val="0"/>
    </w:pPr>
    <w:rPr>
      <w:rFonts w:asciiTheme="majorHAnsi" w:hAnsiTheme="majorHAnsi" w:cstheme="majorBidi"/>
      <w:b/>
      <w:bCs/>
      <w:kern w:val="2"/>
      <w:sz w:val="32"/>
      <w:szCs w:val="32"/>
    </w:rPr>
  </w:style>
  <w:style w:type="paragraph" w:styleId="aff2">
    <w:name w:val="annotation subject"/>
    <w:basedOn w:val="aa"/>
    <w:next w:val="aa"/>
    <w:link w:val="aff3"/>
    <w:uiPriority w:val="99"/>
    <w:unhideWhenUsed/>
    <w:rPr>
      <w:rFonts w:ascii="Calibri" w:hAnsi="Calibri"/>
      <w:b/>
      <w:bCs/>
    </w:rPr>
  </w:style>
  <w:style w:type="table" w:styleId="aff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ndnote reference"/>
    <w:basedOn w:val="a0"/>
    <w:uiPriority w:val="99"/>
    <w:semiHidden/>
    <w:unhideWhenUsed/>
    <w:rPr>
      <w:vertAlign w:val="superscript"/>
    </w:rPr>
  </w:style>
  <w:style w:type="character" w:styleId="aff6">
    <w:name w:val="Hyperlink"/>
    <w:basedOn w:val="a0"/>
    <w:uiPriority w:val="99"/>
    <w:rPr>
      <w:rFonts w:cs="Times New Roman"/>
      <w:color w:val="0000FF"/>
      <w:u w:val="single"/>
    </w:rPr>
  </w:style>
  <w:style w:type="character" w:styleId="aff7">
    <w:name w:val="annotation reference"/>
    <w:basedOn w:val="a0"/>
    <w:uiPriority w:val="99"/>
    <w:qFormat/>
    <w:rPr>
      <w:rFonts w:eastAsia="宋体" w:cs="Times New Roman"/>
      <w:kern w:val="2"/>
      <w:sz w:val="21"/>
      <w:szCs w:val="21"/>
      <w:lang w:val="en-US" w:eastAsia="zh-CN" w:bidi="ar-SA"/>
    </w:rPr>
  </w:style>
  <w:style w:type="character" w:styleId="aff8">
    <w:name w:val="footnote reference"/>
    <w:uiPriority w:val="99"/>
    <w:semiHidden/>
    <w:unhideWhenUsed/>
    <w:rPr>
      <w:vertAlign w:val="superscript"/>
    </w:rPr>
  </w:style>
  <w:style w:type="character" w:customStyle="1" w:styleId="20">
    <w:name w:val="标题 2 字符"/>
    <w:basedOn w:val="a0"/>
    <w:link w:val="2"/>
    <w:qFormat/>
    <w:rPr>
      <w:rFonts w:ascii="Arial" w:hAnsi="Arial"/>
      <w:b/>
      <w:bCs/>
      <w:kern w:val="2"/>
      <w:sz w:val="21"/>
      <w:szCs w:val="21"/>
    </w:rPr>
  </w:style>
  <w:style w:type="character" w:customStyle="1" w:styleId="30">
    <w:name w:val="标题 3 字符"/>
    <w:basedOn w:val="a0"/>
    <w:link w:val="3"/>
    <w:uiPriority w:val="9"/>
    <w:qFormat/>
    <w:rPr>
      <w:b/>
      <w:bCs/>
      <w:kern w:val="2"/>
      <w:sz w:val="21"/>
      <w:szCs w:val="32"/>
    </w:rPr>
  </w:style>
  <w:style w:type="character" w:customStyle="1" w:styleId="40">
    <w:name w:val="标题 4 字符"/>
    <w:basedOn w:val="a0"/>
    <w:link w:val="4"/>
    <w:uiPriority w:val="9"/>
    <w:qFormat/>
    <w:rPr>
      <w:rFonts w:asciiTheme="minorEastAsia" w:eastAsiaTheme="minorEastAsia" w:hAnsiTheme="minorEastAsia"/>
      <w:b/>
      <w:bCs/>
      <w:kern w:val="2"/>
      <w:sz w:val="21"/>
      <w:szCs w:val="28"/>
    </w:rPr>
  </w:style>
  <w:style w:type="character" w:customStyle="1" w:styleId="50">
    <w:name w:val="标题 5 字符"/>
    <w:basedOn w:val="a0"/>
    <w:link w:val="5"/>
    <w:uiPriority w:val="9"/>
    <w:qFormat/>
    <w:rPr>
      <w:b/>
      <w:bCs/>
      <w:kern w:val="2"/>
      <w:sz w:val="21"/>
      <w:szCs w:val="28"/>
    </w:rPr>
  </w:style>
  <w:style w:type="character" w:customStyle="1" w:styleId="ad">
    <w:name w:val="称呼 字符"/>
    <w:basedOn w:val="a0"/>
    <w:link w:val="ac"/>
    <w:uiPriority w:val="99"/>
    <w:qFormat/>
    <w:rPr>
      <w:rFonts w:ascii="Times New Roman" w:eastAsia="宋体" w:hAnsi="Times New Roman" w:cs="Times New Roman"/>
      <w:szCs w:val="21"/>
    </w:rPr>
  </w:style>
  <w:style w:type="paragraph" w:styleId="aff9">
    <w:name w:val="List Paragraph"/>
    <w:basedOn w:val="a"/>
    <w:link w:val="affa"/>
    <w:uiPriority w:val="34"/>
    <w:qFormat/>
    <w:pPr>
      <w:widowControl w:val="0"/>
      <w:ind w:firstLineChars="200" w:firstLine="420"/>
      <w:jc w:val="both"/>
    </w:pPr>
    <w:rPr>
      <w:rFonts w:ascii="Calibri" w:hAnsi="Calibri"/>
      <w:kern w:val="2"/>
      <w:szCs w:val="22"/>
    </w:rPr>
  </w:style>
  <w:style w:type="character" w:customStyle="1" w:styleId="afb">
    <w:name w:val="页眉 字符"/>
    <w:basedOn w:val="a0"/>
    <w:link w:val="afa"/>
    <w:uiPriority w:val="99"/>
    <w:qFormat/>
    <w:rPr>
      <w:rFonts w:ascii="Calibri" w:eastAsia="宋体" w:hAnsi="Calibri" w:cs="Times New Roman"/>
      <w:sz w:val="18"/>
      <w:szCs w:val="18"/>
    </w:rPr>
  </w:style>
  <w:style w:type="character" w:customStyle="1" w:styleId="af9">
    <w:name w:val="页脚 字符"/>
    <w:basedOn w:val="a0"/>
    <w:link w:val="af8"/>
    <w:uiPriority w:val="99"/>
    <w:qFormat/>
    <w:rPr>
      <w:rFonts w:ascii="Calibri" w:eastAsia="宋体" w:hAnsi="Calibri" w:cs="Times New Roman"/>
      <w:sz w:val="18"/>
      <w:szCs w:val="18"/>
    </w:rPr>
  </w:style>
  <w:style w:type="character" w:customStyle="1" w:styleId="af1">
    <w:name w:val="纯文本 字符"/>
    <w:basedOn w:val="a0"/>
    <w:link w:val="af0"/>
    <w:qFormat/>
    <w:rPr>
      <w:rFonts w:ascii="宋体" w:eastAsia="宋体" w:hAnsi="Courier New" w:cs="Times New Roman"/>
      <w:szCs w:val="20"/>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styleId="affb">
    <w:name w:val="No Spacing"/>
    <w:link w:val="affc"/>
    <w:uiPriority w:val="1"/>
    <w:qFormat/>
    <w:pPr>
      <w:widowControl w:val="0"/>
      <w:jc w:val="both"/>
    </w:pPr>
    <w:rPr>
      <w:kern w:val="2"/>
      <w:sz w:val="21"/>
      <w:szCs w:val="22"/>
    </w:rPr>
  </w:style>
  <w:style w:type="character" w:customStyle="1" w:styleId="60">
    <w:name w:val="标题 6 字符"/>
    <w:basedOn w:val="a0"/>
    <w:link w:val="6"/>
    <w:uiPriority w:val="9"/>
    <w:qFormat/>
    <w:rPr>
      <w:rFonts w:asciiTheme="majorHAnsi" w:hAnsiTheme="majorHAnsi" w:cstheme="majorBidi"/>
      <w:b/>
      <w:bCs/>
      <w:sz w:val="21"/>
      <w:szCs w:val="24"/>
    </w:rPr>
  </w:style>
  <w:style w:type="paragraph" w:customStyle="1" w:styleId="12">
    <w:name w:val="1"/>
    <w:basedOn w:val="a"/>
    <w:next w:val="aff9"/>
    <w:link w:val="Style258"/>
    <w:uiPriority w:val="34"/>
    <w:qFormat/>
    <w:pPr>
      <w:widowControl w:val="0"/>
      <w:ind w:firstLineChars="200" w:firstLine="420"/>
      <w:jc w:val="both"/>
    </w:pPr>
    <w:rPr>
      <w:rFonts w:ascii="Calibri" w:hAnsi="Calibri"/>
      <w:kern w:val="2"/>
      <w:szCs w:val="22"/>
    </w:rPr>
  </w:style>
  <w:style w:type="table" w:customStyle="1" w:styleId="21">
    <w:name w:val="网格型21"/>
    <w:basedOn w:val="a1"/>
    <w:uiPriority w:val="59"/>
    <w:qFormat/>
    <w:pPr>
      <w:widowControl w:val="0"/>
      <w:jc w:val="both"/>
    </w:pPr>
    <w:rPr>
      <w:kern w:val="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2">
    <w:name w:val="g102"/>
    <w:uiPriority w:val="99"/>
    <w:semiHidden/>
    <w:qFormat/>
    <w:rPr>
      <w:rFonts w:ascii="宋体" w:hAnsi="宋体" w:cs="Calibri"/>
      <w:kern w:val="2"/>
      <w:szCs w:val="28"/>
    </w:rPr>
    <w:tblPr>
      <w:tblCellMar>
        <w:top w:w="0" w:type="dxa"/>
        <w:left w:w="108" w:type="dxa"/>
        <w:bottom w:w="0" w:type="dxa"/>
        <w:right w:w="108" w:type="dxa"/>
      </w:tblCellMar>
    </w:tblPr>
  </w:style>
  <w:style w:type="table" w:customStyle="1" w:styleId="g262">
    <w:name w:val="g262"/>
    <w:uiPriority w:val="99"/>
    <w:semiHidden/>
    <w:qFormat/>
    <w:rPr>
      <w:rFonts w:ascii="宋体" w:hAnsi="宋体" w:cs="Calibri"/>
      <w:kern w:val="2"/>
      <w:szCs w:val="28"/>
    </w:rPr>
    <w:tblPr>
      <w:tblCellMar>
        <w:top w:w="0" w:type="dxa"/>
        <w:left w:w="108" w:type="dxa"/>
        <w:bottom w:w="0" w:type="dxa"/>
        <w:right w:w="108" w:type="dxa"/>
      </w:tblCellMar>
    </w:tblPr>
  </w:style>
  <w:style w:type="table" w:customStyle="1" w:styleId="g114">
    <w:name w:val="g114"/>
    <w:basedOn w:val="a1"/>
    <w:uiPriority w:val="59"/>
    <w:qFormat/>
    <w:pPr>
      <w:widowControl w:val="0"/>
      <w:jc w:val="both"/>
    </w:pPr>
    <w:rPr>
      <w:rFonts w:eastAsia="Times New Roman"/>
      <w:kern w:val="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
    <w:name w:val="g2"/>
    <w:uiPriority w:val="3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ff">
    <w:name w:val="普通(网站) 字符"/>
    <w:basedOn w:val="a0"/>
    <w:link w:val="afe"/>
    <w:uiPriority w:val="99"/>
    <w:qFormat/>
    <w:rPr>
      <w:sz w:val="24"/>
    </w:rPr>
  </w:style>
  <w:style w:type="character" w:customStyle="1" w:styleId="affa">
    <w:name w:val="列表段落 字符"/>
    <w:basedOn w:val="a0"/>
    <w:link w:val="aff9"/>
    <w:uiPriority w:val="34"/>
    <w:qFormat/>
    <w:rPr>
      <w:rFonts w:ascii="Calibri" w:hAnsi="Calibri"/>
      <w:kern w:val="2"/>
      <w:szCs w:val="22"/>
    </w:rPr>
  </w:style>
  <w:style w:type="character" w:customStyle="1" w:styleId="affc">
    <w:name w:val="无间隔 字符"/>
    <w:basedOn w:val="a0"/>
    <w:link w:val="affb"/>
    <w:uiPriority w:val="1"/>
    <w:qFormat/>
    <w:rPr>
      <w:kern w:val="2"/>
      <w:szCs w:val="22"/>
    </w:rPr>
  </w:style>
  <w:style w:type="character" w:customStyle="1" w:styleId="a6">
    <w:name w:val="正文缩进 字符"/>
    <w:basedOn w:val="a0"/>
    <w:link w:val="a5"/>
    <w:unhideWhenUsed/>
    <w:qFormat/>
    <w:rPr>
      <w:kern w:val="2"/>
    </w:rPr>
  </w:style>
  <w:style w:type="paragraph" w:customStyle="1" w:styleId="20231">
    <w:name w:val="天职国际上市2023_1级标题"/>
    <w:basedOn w:val="a"/>
    <w:autoRedefine/>
    <w:qFormat/>
    <w:pPr>
      <w:numPr>
        <w:numId w:val="1"/>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szCs w:val="24"/>
      <w14:ligatures w14:val="standardContextual"/>
    </w:rPr>
  </w:style>
  <w:style w:type="paragraph" w:customStyle="1" w:styleId="20232">
    <w:name w:val="天职国际上市2023_2级标题"/>
    <w:basedOn w:val="a"/>
    <w:link w:val="Style68"/>
    <w:autoRedefine/>
    <w:qFormat/>
    <w:pPr>
      <w:numPr>
        <w:ilvl w:val="1"/>
        <w:numId w:val="1"/>
      </w:numPr>
      <w:spacing w:afterLines="50" w:after="156" w:line="360" w:lineRule="exact"/>
      <w:outlineLvl w:val="1"/>
    </w:pPr>
    <w:rPr>
      <w:rFonts w:ascii="宋体" w:hAnsiTheme="minorHAnsi" w:cstheme="minorBidi"/>
      <w:kern w:val="2"/>
      <w:szCs w:val="24"/>
      <w14:ligatures w14:val="standardContextual"/>
    </w:rPr>
  </w:style>
  <w:style w:type="paragraph" w:customStyle="1" w:styleId="20233">
    <w:name w:val="天职国际上市2023_3级标题"/>
    <w:basedOn w:val="a"/>
    <w:link w:val="202330"/>
    <w:autoRedefine/>
    <w:qFormat/>
    <w:pPr>
      <w:numPr>
        <w:ilvl w:val="2"/>
        <w:numId w:val="1"/>
      </w:numPr>
      <w:snapToGrid w:val="0"/>
      <w:spacing w:afterLines="50" w:after="156" w:line="360" w:lineRule="exact"/>
      <w:jc w:val="both"/>
      <w:outlineLvl w:val="2"/>
    </w:pPr>
    <w:rPr>
      <w:rFonts w:ascii="宋体" w:hAnsiTheme="minorHAnsi" w:cstheme="minorBidi"/>
      <w:kern w:val="2"/>
      <w:szCs w:val="24"/>
      <w14:ligatures w14:val="standardContextual"/>
    </w:rPr>
  </w:style>
  <w:style w:type="character" w:customStyle="1" w:styleId="202330">
    <w:name w:val="天职国际上市2023_3级标题 字符"/>
    <w:basedOn w:val="a0"/>
    <w:link w:val="20233"/>
    <w:qFormat/>
    <w:rPr>
      <w:rFonts w:ascii="宋体" w:hAnsiTheme="minorHAnsi" w:cstheme="minorBidi"/>
      <w:kern w:val="2"/>
      <w:sz w:val="21"/>
      <w:szCs w:val="24"/>
      <w14:ligatures w14:val="standardContextual"/>
    </w:rPr>
  </w:style>
  <w:style w:type="paragraph" w:customStyle="1" w:styleId="20234">
    <w:name w:val="天职国际上市2023_4级标题"/>
    <w:basedOn w:val="a"/>
    <w:link w:val="Style69"/>
    <w:autoRedefine/>
    <w:qFormat/>
    <w:pPr>
      <w:numPr>
        <w:ilvl w:val="3"/>
        <w:numId w:val="1"/>
      </w:numPr>
      <w:snapToGrid w:val="0"/>
      <w:spacing w:afterLines="50" w:after="156" w:line="360" w:lineRule="exact"/>
      <w:jc w:val="both"/>
      <w:outlineLvl w:val="3"/>
    </w:pPr>
    <w:rPr>
      <w:rFonts w:ascii="宋体" w:hAnsiTheme="minorHAnsi" w:cstheme="minorBidi"/>
      <w:kern w:val="2"/>
      <w:szCs w:val="24"/>
      <w14:ligatures w14:val="standardContextual"/>
    </w:rPr>
  </w:style>
  <w:style w:type="table" w:customStyle="1" w:styleId="g21">
    <w:name w:val="g21"/>
    <w:uiPriority w:val="99"/>
    <w:semiHidden/>
    <w:unhideWhenUsed/>
    <w:qFormat/>
    <w:tblPr>
      <w:tblCellMar>
        <w:top w:w="0" w:type="dxa"/>
        <w:left w:w="108" w:type="dxa"/>
        <w:bottom w:w="0" w:type="dxa"/>
        <w:right w:w="108" w:type="dxa"/>
      </w:tblCellMar>
    </w:tblPr>
  </w:style>
  <w:style w:type="table" w:customStyle="1" w:styleId="111">
    <w:name w:val="网格型11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6111">
    <w:name w:val="g26111"/>
    <w:uiPriority w:val="99"/>
    <w:semiHidden/>
    <w:qFormat/>
    <w:rPr>
      <w:rFonts w:ascii="宋体" w:hAnsi="宋体" w:cs="Calibri"/>
      <w:kern w:val="2"/>
      <w:szCs w:val="28"/>
    </w:rPr>
    <w:tblPr>
      <w:tblCellMar>
        <w:top w:w="0" w:type="dxa"/>
        <w:left w:w="108" w:type="dxa"/>
        <w:bottom w:w="0" w:type="dxa"/>
        <w:right w:w="108" w:type="dxa"/>
      </w:tblCellMar>
    </w:tblPr>
  </w:style>
  <w:style w:type="table" w:customStyle="1" w:styleId="g7">
    <w:name w:val="g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9">
    <w:name w:val="_Style 49"/>
    <w:link w:val="Style65"/>
    <w:qFormat/>
    <w:rPr>
      <w:sz w:val="21"/>
      <w:szCs w:val="21"/>
    </w:rPr>
  </w:style>
  <w:style w:type="paragraph" w:customStyle="1" w:styleId="Style51">
    <w:name w:val="_Style 51"/>
    <w:basedOn w:val="Style49"/>
    <w:next w:val="a"/>
    <w:qFormat/>
    <w:pPr>
      <w:keepNext/>
      <w:keepLines/>
      <w:widowControl w:val="0"/>
      <w:spacing w:before="60" w:line="360" w:lineRule="auto"/>
      <w:jc w:val="both"/>
      <w:outlineLvl w:val="1"/>
    </w:pPr>
    <w:rPr>
      <w:rFonts w:ascii="Arial" w:hAnsi="Arial"/>
      <w:b/>
      <w:bCs/>
      <w:kern w:val="2"/>
    </w:rPr>
  </w:style>
  <w:style w:type="paragraph" w:customStyle="1" w:styleId="Style52">
    <w:name w:val="_Style 52"/>
    <w:basedOn w:val="Style49"/>
    <w:next w:val="a"/>
    <w:uiPriority w:val="9"/>
    <w:qFormat/>
    <w:pPr>
      <w:keepNext/>
      <w:keepLines/>
      <w:widowControl w:val="0"/>
      <w:spacing w:before="60" w:line="360" w:lineRule="auto"/>
      <w:jc w:val="both"/>
      <w:outlineLvl w:val="2"/>
    </w:pPr>
    <w:rPr>
      <w:rFonts w:ascii="Calibri" w:hAnsi="Calibri"/>
      <w:b/>
      <w:bCs/>
      <w:kern w:val="2"/>
      <w:szCs w:val="32"/>
    </w:rPr>
  </w:style>
  <w:style w:type="paragraph" w:customStyle="1" w:styleId="Style53">
    <w:name w:val="_Style 53"/>
    <w:basedOn w:val="Style49"/>
    <w:next w:val="a"/>
    <w:link w:val="Style67"/>
    <w:uiPriority w:val="9"/>
    <w:qFormat/>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customStyle="1" w:styleId="Style54">
    <w:name w:val="_Style 54"/>
    <w:basedOn w:val="Style49"/>
    <w:next w:val="a"/>
    <w:uiPriority w:val="9"/>
    <w:qFormat/>
    <w:pPr>
      <w:keepNext/>
      <w:keepLines/>
      <w:widowControl w:val="0"/>
      <w:spacing w:before="60" w:line="360" w:lineRule="auto"/>
      <w:ind w:leftChars="50" w:left="50"/>
      <w:jc w:val="both"/>
      <w:outlineLvl w:val="4"/>
    </w:pPr>
    <w:rPr>
      <w:rFonts w:ascii="Calibri" w:hAnsi="Calibri"/>
      <w:b/>
      <w:bCs/>
      <w:kern w:val="2"/>
      <w:szCs w:val="28"/>
    </w:rPr>
  </w:style>
  <w:style w:type="paragraph" w:customStyle="1" w:styleId="Style56">
    <w:name w:val="_Style 56"/>
    <w:basedOn w:val="Style49"/>
    <w:qFormat/>
    <w:pPr>
      <w:widowControl w:val="0"/>
      <w:spacing w:before="100" w:after="100"/>
      <w:jc w:val="both"/>
    </w:pPr>
    <w:rPr>
      <w:rFonts w:ascii="Calibri" w:hAnsi="Calibri"/>
      <w:kern w:val="2"/>
    </w:rPr>
  </w:style>
  <w:style w:type="paragraph" w:customStyle="1" w:styleId="Style57">
    <w:name w:val="_Style 57"/>
    <w:qFormat/>
    <w:rPr>
      <w:rFonts w:ascii="宋体" w:hAnsi="宋体" w:cs="宋体"/>
      <w:sz w:val="21"/>
      <w:szCs w:val="21"/>
    </w:rPr>
  </w:style>
  <w:style w:type="paragraph" w:customStyle="1" w:styleId="Style206">
    <w:name w:val="_Style 206"/>
    <w:qFormat/>
    <w:rPr>
      <w:rFonts w:ascii="宋体" w:hAnsi="宋体" w:cs="宋体"/>
      <w:sz w:val="21"/>
      <w:szCs w:val="24"/>
    </w:rPr>
  </w:style>
  <w:style w:type="paragraph" w:customStyle="1" w:styleId="Style541">
    <w:name w:val="_Style 541"/>
    <w:basedOn w:val="a"/>
    <w:qFormat/>
  </w:style>
  <w:style w:type="paragraph" w:customStyle="1" w:styleId="Style61">
    <w:name w:val="_Style 61"/>
    <w:qFormat/>
    <w:rPr>
      <w:sz w:val="21"/>
      <w:szCs w:val="21"/>
    </w:rPr>
  </w:style>
  <w:style w:type="character" w:customStyle="1" w:styleId="Style62">
    <w:name w:val="_Style 62"/>
    <w:uiPriority w:val="1"/>
    <w:semiHidden/>
    <w:unhideWhenUsed/>
    <w:qFormat/>
  </w:style>
  <w:style w:type="table" w:customStyle="1" w:styleId="Style63">
    <w:name w:val="_Style 63"/>
    <w:uiPriority w:val="99"/>
    <w:semiHidden/>
    <w:unhideWhenUsed/>
    <w:qFormat/>
    <w:tblPr>
      <w:tblCellMar>
        <w:top w:w="0" w:type="dxa"/>
        <w:left w:w="108" w:type="dxa"/>
        <w:bottom w:w="0" w:type="dxa"/>
        <w:right w:w="108" w:type="dxa"/>
      </w:tblCellMar>
    </w:tblPr>
  </w:style>
  <w:style w:type="character" w:customStyle="1" w:styleId="Style65">
    <w:name w:val="_Style 65"/>
    <w:basedOn w:val="Style62"/>
    <w:link w:val="Style49"/>
    <w:uiPriority w:val="99"/>
    <w:qFormat/>
    <w:rPr>
      <w:rFonts w:ascii="Times New Roman" w:eastAsia="宋体" w:hAnsi="Times New Roman" w:cs="Times New Roman"/>
      <w:szCs w:val="21"/>
    </w:rPr>
  </w:style>
  <w:style w:type="character" w:customStyle="1" w:styleId="Style67">
    <w:name w:val="_Style 67"/>
    <w:basedOn w:val="Style62"/>
    <w:link w:val="Style53"/>
    <w:qFormat/>
    <w:rPr>
      <w:kern w:val="2"/>
      <w:sz w:val="21"/>
      <w:szCs w:val="24"/>
    </w:rPr>
  </w:style>
  <w:style w:type="character" w:customStyle="1" w:styleId="Style68">
    <w:name w:val="_Style 68"/>
    <w:basedOn w:val="Style62"/>
    <w:link w:val="20232"/>
    <w:qFormat/>
    <w:rPr>
      <w:rFonts w:ascii="宋体" w:hAnsiTheme="minorHAnsi" w:cstheme="minorBidi"/>
      <w:kern w:val="2"/>
      <w:sz w:val="21"/>
      <w:szCs w:val="24"/>
      <w14:ligatures w14:val="standardContextual"/>
    </w:rPr>
  </w:style>
  <w:style w:type="character" w:customStyle="1" w:styleId="Style69">
    <w:name w:val="_Style 69"/>
    <w:basedOn w:val="Style62"/>
    <w:link w:val="20234"/>
    <w:qFormat/>
    <w:rPr>
      <w:rFonts w:ascii="宋体" w:hAnsiTheme="minorHAnsi" w:cstheme="minorBidi"/>
      <w:kern w:val="2"/>
      <w:sz w:val="21"/>
      <w:szCs w:val="24"/>
      <w14:ligatures w14:val="standardContextual"/>
    </w:rPr>
  </w:style>
  <w:style w:type="paragraph" w:customStyle="1" w:styleId="Style70">
    <w:name w:val="_Style 70"/>
    <w:basedOn w:val="Style61"/>
    <w:autoRedefine/>
    <w:qFormat/>
    <w:pPr>
      <w:numPr>
        <w:numId w:val="2"/>
      </w:numPr>
      <w:spacing w:beforeLines="100" w:before="312" w:afterLines="100" w:after="312" w:line="360" w:lineRule="exact"/>
      <w:ind w:firstLineChars="200" w:firstLine="482"/>
      <w:jc w:val="both"/>
      <w:outlineLvl w:val="0"/>
    </w:pPr>
    <w:rPr>
      <w:rFonts w:ascii="黑体" w:eastAsia="黑体" w:hAnsiTheme="minorHAnsi" w:cstheme="minorBidi"/>
      <w:b/>
      <w:kern w:val="2"/>
      <w:sz w:val="24"/>
      <w:szCs w:val="24"/>
      <w14:ligatures w14:val="standardContextual"/>
    </w:rPr>
  </w:style>
  <w:style w:type="paragraph" w:customStyle="1" w:styleId="Style71">
    <w:name w:val="_Style 71"/>
    <w:basedOn w:val="Style61"/>
    <w:autoRedefine/>
    <w:qFormat/>
    <w:pPr>
      <w:numPr>
        <w:ilvl w:val="1"/>
        <w:numId w:val="2"/>
      </w:numPr>
      <w:spacing w:afterLines="50" w:after="156" w:line="360" w:lineRule="exact"/>
      <w:outlineLvl w:val="1"/>
    </w:pPr>
    <w:rPr>
      <w:rFonts w:ascii="宋体" w:hAnsiTheme="minorHAnsi" w:cstheme="minorBidi"/>
      <w:kern w:val="2"/>
      <w:szCs w:val="24"/>
      <w14:ligatures w14:val="standardContextual"/>
    </w:rPr>
  </w:style>
  <w:style w:type="paragraph" w:customStyle="1" w:styleId="Style72">
    <w:name w:val="_Style 72"/>
    <w:basedOn w:val="Style61"/>
    <w:autoRedefine/>
    <w:qFormat/>
    <w:pPr>
      <w:numPr>
        <w:ilvl w:val="2"/>
        <w:numId w:val="2"/>
      </w:numPr>
      <w:snapToGrid w:val="0"/>
      <w:spacing w:afterLines="50" w:after="156" w:line="360" w:lineRule="exact"/>
      <w:jc w:val="both"/>
      <w:outlineLvl w:val="2"/>
    </w:pPr>
    <w:rPr>
      <w:rFonts w:ascii="宋体" w:hAnsiTheme="minorHAnsi" w:cstheme="minorBidi"/>
      <w:kern w:val="2"/>
      <w:szCs w:val="24"/>
      <w14:ligatures w14:val="standardContextual"/>
    </w:rPr>
  </w:style>
  <w:style w:type="paragraph" w:customStyle="1" w:styleId="Style73">
    <w:name w:val="_Style 73"/>
    <w:basedOn w:val="Style61"/>
    <w:autoRedefine/>
    <w:qFormat/>
    <w:pPr>
      <w:numPr>
        <w:ilvl w:val="3"/>
        <w:numId w:val="2"/>
      </w:numPr>
      <w:snapToGrid w:val="0"/>
      <w:spacing w:afterLines="50" w:after="156" w:line="360" w:lineRule="exact"/>
      <w:jc w:val="both"/>
      <w:outlineLvl w:val="3"/>
    </w:pPr>
    <w:rPr>
      <w:rFonts w:ascii="宋体" w:hAnsiTheme="minorHAnsi" w:cstheme="minorBidi"/>
      <w:kern w:val="2"/>
      <w:szCs w:val="24"/>
      <w14:ligatures w14:val="standardContextual"/>
    </w:rPr>
  </w:style>
  <w:style w:type="paragraph" w:customStyle="1" w:styleId="Style74">
    <w:name w:val="_Style 74"/>
    <w:qFormat/>
    <w:rPr>
      <w:sz w:val="21"/>
      <w:szCs w:val="21"/>
    </w:rPr>
  </w:style>
  <w:style w:type="paragraph" w:customStyle="1" w:styleId="Style78">
    <w:name w:val="_Style 78"/>
    <w:basedOn w:val="Style74"/>
    <w:autoRedefine/>
    <w:qFormat/>
    <w:pPr>
      <w:numPr>
        <w:numId w:val="3"/>
      </w:numPr>
      <w:spacing w:beforeLines="100" w:before="312" w:afterLines="100" w:after="312" w:line="360" w:lineRule="exact"/>
      <w:ind w:firstLineChars="200" w:firstLine="482"/>
      <w:jc w:val="both"/>
      <w:outlineLvl w:val="0"/>
    </w:pPr>
    <w:rPr>
      <w:rFonts w:ascii="黑体" w:eastAsia="黑体" w:hAnsiTheme="minorHAnsi" w:cstheme="minorBidi"/>
      <w:b/>
      <w:kern w:val="2"/>
      <w:sz w:val="24"/>
      <w:szCs w:val="24"/>
      <w14:ligatures w14:val="standardContextual"/>
    </w:rPr>
  </w:style>
  <w:style w:type="paragraph" w:customStyle="1" w:styleId="Style79">
    <w:name w:val="_Style 79"/>
    <w:basedOn w:val="Style74"/>
    <w:autoRedefine/>
    <w:qFormat/>
    <w:pPr>
      <w:numPr>
        <w:ilvl w:val="1"/>
        <w:numId w:val="3"/>
      </w:numPr>
      <w:spacing w:afterLines="50" w:after="156" w:line="360" w:lineRule="exact"/>
      <w:outlineLvl w:val="1"/>
    </w:pPr>
    <w:rPr>
      <w:rFonts w:ascii="宋体" w:hAnsiTheme="minorHAnsi" w:cstheme="minorBidi"/>
      <w:kern w:val="2"/>
      <w:szCs w:val="24"/>
      <w14:ligatures w14:val="standardContextual"/>
    </w:rPr>
  </w:style>
  <w:style w:type="paragraph" w:customStyle="1" w:styleId="Style80">
    <w:name w:val="_Style 80"/>
    <w:basedOn w:val="Style74"/>
    <w:autoRedefine/>
    <w:qFormat/>
    <w:pPr>
      <w:numPr>
        <w:ilvl w:val="2"/>
        <w:numId w:val="3"/>
      </w:numPr>
      <w:snapToGrid w:val="0"/>
      <w:spacing w:afterLines="50" w:after="156" w:line="360" w:lineRule="exact"/>
      <w:jc w:val="both"/>
      <w:outlineLvl w:val="2"/>
    </w:pPr>
    <w:rPr>
      <w:rFonts w:ascii="宋体" w:hAnsiTheme="minorHAnsi" w:cstheme="minorBidi"/>
      <w:kern w:val="2"/>
      <w:szCs w:val="24"/>
      <w14:ligatures w14:val="standardContextual"/>
    </w:rPr>
  </w:style>
  <w:style w:type="paragraph" w:customStyle="1" w:styleId="Style81">
    <w:name w:val="_Style 81"/>
    <w:basedOn w:val="Style74"/>
    <w:autoRedefine/>
    <w:qFormat/>
    <w:pPr>
      <w:numPr>
        <w:ilvl w:val="3"/>
        <w:numId w:val="3"/>
      </w:numPr>
      <w:snapToGrid w:val="0"/>
      <w:spacing w:afterLines="50" w:after="156" w:line="360" w:lineRule="exact"/>
      <w:jc w:val="both"/>
      <w:outlineLvl w:val="3"/>
    </w:pPr>
    <w:rPr>
      <w:rFonts w:ascii="宋体" w:hAnsiTheme="minorHAnsi" w:cstheme="minorBidi"/>
      <w:kern w:val="2"/>
      <w:szCs w:val="24"/>
      <w14:ligatures w14:val="standardContextual"/>
    </w:rPr>
  </w:style>
  <w:style w:type="table" w:customStyle="1" w:styleId="g4">
    <w:name w:val="g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84">
    <w:name w:val="_Style 84"/>
    <w:qFormat/>
    <w:rPr>
      <w:sz w:val="21"/>
      <w:szCs w:val="21"/>
    </w:rPr>
  </w:style>
  <w:style w:type="table" w:customStyle="1" w:styleId="Style92">
    <w:name w:val="_Style 92"/>
    <w:basedOn w:val="Style9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91">
    <w:name w:val="_Style 91"/>
    <w:uiPriority w:val="99"/>
    <w:semiHidden/>
    <w:unhideWhenUsed/>
    <w:tblPr>
      <w:tblCellMar>
        <w:top w:w="0" w:type="dxa"/>
        <w:left w:w="108" w:type="dxa"/>
        <w:bottom w:w="0" w:type="dxa"/>
        <w:right w:w="108" w:type="dxa"/>
      </w:tblCellMar>
    </w:tblPr>
  </w:style>
  <w:style w:type="paragraph" w:customStyle="1" w:styleId="Style124">
    <w:name w:val="_Style 124"/>
    <w:basedOn w:val="Style84"/>
    <w:hidden/>
    <w:uiPriority w:val="59"/>
    <w:pPr>
      <w:widowControl w:val="0"/>
      <w:jc w:val="both"/>
    </w:pPr>
    <w:rPr>
      <w:kern w:val="2"/>
      <w:szCs w:val="28"/>
    </w:rPr>
  </w:style>
  <w:style w:type="paragraph" w:customStyle="1" w:styleId="Style125">
    <w:name w:val="_Style 125"/>
    <w:basedOn w:val="Style84"/>
    <w:hidden/>
    <w:uiPriority w:val="99"/>
    <w:semiHidden/>
    <w:qFormat/>
    <w:rPr>
      <w:rFonts w:ascii="宋体" w:hAnsi="宋体" w:cs="Calibri"/>
      <w:kern w:val="2"/>
      <w:szCs w:val="28"/>
    </w:rPr>
  </w:style>
  <w:style w:type="paragraph" w:customStyle="1" w:styleId="Style126">
    <w:name w:val="_Style 126"/>
    <w:basedOn w:val="Style84"/>
    <w:hidden/>
    <w:uiPriority w:val="99"/>
    <w:semiHidden/>
    <w:rPr>
      <w:rFonts w:ascii="宋体" w:hAnsi="宋体" w:cs="Calibri"/>
      <w:kern w:val="2"/>
      <w:szCs w:val="28"/>
    </w:rPr>
  </w:style>
  <w:style w:type="paragraph" w:customStyle="1" w:styleId="Style127">
    <w:name w:val="_Style 127"/>
    <w:basedOn w:val="Style84"/>
    <w:hidden/>
    <w:uiPriority w:val="59"/>
    <w:qFormat/>
    <w:pPr>
      <w:widowControl w:val="0"/>
      <w:jc w:val="both"/>
    </w:pPr>
    <w:rPr>
      <w:rFonts w:eastAsia="Times New Roman"/>
      <w:kern w:val="2"/>
      <w:szCs w:val="28"/>
    </w:rPr>
  </w:style>
  <w:style w:type="paragraph" w:customStyle="1" w:styleId="Style128">
    <w:name w:val="_Style 128"/>
    <w:hidden/>
    <w:uiPriority w:val="99"/>
    <w:semiHidden/>
    <w:unhideWhenUsed/>
    <w:rPr>
      <w:rFonts w:ascii="Calibri" w:hAnsi="Calibri"/>
    </w:rPr>
  </w:style>
  <w:style w:type="paragraph" w:customStyle="1" w:styleId="Style138">
    <w:name w:val="_Style 138"/>
    <w:basedOn w:val="Style128"/>
    <w:hidden/>
    <w:uiPriority w:val="99"/>
    <w:semiHidden/>
    <w:unhideWhenUsed/>
    <w:qFormat/>
    <w:rPr>
      <w:rFonts w:ascii="黑体" w:eastAsia="黑体" w:hAnsiTheme="minorHAnsi" w:cstheme="minorBidi"/>
      <w:b/>
      <w:kern w:val="2"/>
      <w:sz w:val="24"/>
      <w:szCs w:val="24"/>
      <w14:ligatures w14:val="standardContextual"/>
    </w:rPr>
  </w:style>
  <w:style w:type="paragraph" w:customStyle="1" w:styleId="Style139">
    <w:name w:val="_Style 139"/>
    <w:basedOn w:val="Style128"/>
    <w:hidden/>
    <w:uiPriority w:val="59"/>
    <w:qFormat/>
  </w:style>
  <w:style w:type="paragraph" w:customStyle="1" w:styleId="Style140">
    <w:name w:val="_Style 140"/>
    <w:basedOn w:val="Style128"/>
    <w:hidden/>
    <w:uiPriority w:val="99"/>
    <w:semiHidden/>
    <w:rPr>
      <w:rFonts w:ascii="宋体" w:hAnsi="宋体" w:cs="Calibri"/>
      <w:kern w:val="2"/>
      <w:szCs w:val="28"/>
    </w:rPr>
  </w:style>
  <w:style w:type="paragraph" w:customStyle="1" w:styleId="Style141">
    <w:name w:val="_Style 141"/>
    <w:basedOn w:val="Style128"/>
    <w:hidden/>
    <w:qFormat/>
    <w:pPr>
      <w:widowControl w:val="0"/>
      <w:jc w:val="both"/>
    </w:pPr>
    <w:rPr>
      <w:rFonts w:ascii="宋体" w:hAnsiTheme="minorHAnsi" w:cstheme="minorBidi"/>
      <w:kern w:val="2"/>
      <w:szCs w:val="24"/>
      <w14:ligatures w14:val="standardContextual"/>
    </w:rPr>
  </w:style>
  <w:style w:type="table" w:customStyle="1" w:styleId="Style88">
    <w:name w:val="_Style 88"/>
    <w:uiPriority w:val="99"/>
    <w:semiHidden/>
    <w:unhideWhenUsed/>
    <w:tblPr>
      <w:tblCellMar>
        <w:top w:w="0" w:type="dxa"/>
        <w:left w:w="108" w:type="dxa"/>
        <w:bottom w:w="0" w:type="dxa"/>
        <w:right w:w="108" w:type="dxa"/>
      </w:tblCellMar>
    </w:tblPr>
  </w:style>
  <w:style w:type="table" w:customStyle="1" w:styleId="g14">
    <w:name w:val="g1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Style90">
    <w:name w:val="_Style 90"/>
    <w:uiPriority w:val="99"/>
    <w:semiHidden/>
    <w:unhideWhenUsed/>
    <w:tblPr>
      <w:tblCellMar>
        <w:top w:w="0" w:type="dxa"/>
        <w:left w:w="108" w:type="dxa"/>
        <w:bottom w:w="0" w:type="dxa"/>
        <w:right w:w="108" w:type="dxa"/>
      </w:tblCellMar>
    </w:tblPr>
  </w:style>
  <w:style w:type="paragraph" w:customStyle="1" w:styleId="Style93">
    <w:name w:val="_Style 93"/>
    <w:qFormat/>
  </w:style>
  <w:style w:type="paragraph" w:customStyle="1" w:styleId="2CharCharChar">
    <w:name w:val="标题 2 Char Char Char"/>
    <w:basedOn w:val="Style93"/>
    <w:qFormat/>
    <w:pPr>
      <w:keepNext/>
      <w:keepLines/>
      <w:widowControl w:val="0"/>
      <w:spacing w:before="60" w:line="360" w:lineRule="auto"/>
      <w:jc w:val="both"/>
      <w:outlineLvl w:val="1"/>
    </w:pPr>
    <w:rPr>
      <w:rFonts w:ascii="Arial" w:hAnsi="Arial"/>
      <w:b/>
      <w:bCs/>
      <w:kern w:val="2"/>
    </w:rPr>
  </w:style>
  <w:style w:type="paragraph" w:customStyle="1" w:styleId="Style95">
    <w:name w:val="_Style 95"/>
    <w:basedOn w:val="Style93"/>
    <w:uiPriority w:val="9"/>
    <w:qFormat/>
    <w:pPr>
      <w:keepNext/>
      <w:keepLines/>
      <w:widowControl w:val="0"/>
      <w:spacing w:before="60" w:line="360" w:lineRule="auto"/>
      <w:jc w:val="both"/>
      <w:outlineLvl w:val="2"/>
    </w:pPr>
    <w:rPr>
      <w:rFonts w:ascii="Calibri" w:hAnsi="Calibri"/>
      <w:b/>
      <w:bCs/>
      <w:kern w:val="2"/>
      <w:szCs w:val="32"/>
    </w:rPr>
  </w:style>
  <w:style w:type="paragraph" w:customStyle="1" w:styleId="Style96">
    <w:name w:val="_Style 96"/>
    <w:basedOn w:val="Style93"/>
    <w:uiPriority w:val="9"/>
    <w:qFormat/>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customStyle="1" w:styleId="Style97">
    <w:name w:val="_Style 97"/>
    <w:basedOn w:val="Style93"/>
    <w:uiPriority w:val="9"/>
    <w:qFormat/>
    <w:pPr>
      <w:keepNext/>
      <w:keepLines/>
      <w:widowControl w:val="0"/>
      <w:spacing w:before="60" w:line="360" w:lineRule="auto"/>
      <w:ind w:leftChars="50" w:left="50"/>
      <w:jc w:val="both"/>
      <w:outlineLvl w:val="4"/>
    </w:pPr>
    <w:rPr>
      <w:rFonts w:ascii="Calibri" w:hAnsi="Calibri"/>
      <w:b/>
      <w:bCs/>
      <w:kern w:val="2"/>
      <w:szCs w:val="28"/>
    </w:rPr>
  </w:style>
  <w:style w:type="paragraph" w:customStyle="1" w:styleId="Style98">
    <w:name w:val="_Style 98"/>
    <w:basedOn w:val="Style93"/>
    <w:uiPriority w:val="9"/>
    <w:unhideWhenUsed/>
    <w:qFormat/>
    <w:pPr>
      <w:keepNext/>
      <w:keepLines/>
      <w:spacing w:before="60" w:after="60"/>
      <w:outlineLvl w:val="5"/>
    </w:pPr>
    <w:rPr>
      <w:rFonts w:asciiTheme="majorHAnsi" w:hAnsiTheme="majorHAnsi" w:cstheme="majorBidi"/>
      <w:b/>
      <w:bCs/>
    </w:rPr>
  </w:style>
  <w:style w:type="character" w:customStyle="1" w:styleId="Style99">
    <w:name w:val="_Style 99"/>
    <w:uiPriority w:val="1"/>
    <w:semiHidden/>
    <w:unhideWhenUsed/>
  </w:style>
  <w:style w:type="table" w:customStyle="1" w:styleId="Style100">
    <w:name w:val="_Style 100"/>
    <w:uiPriority w:val="99"/>
    <w:semiHidden/>
    <w:unhideWhenUsed/>
    <w:tblPr>
      <w:tblCellMar>
        <w:top w:w="0" w:type="dxa"/>
        <w:left w:w="108" w:type="dxa"/>
        <w:bottom w:w="0" w:type="dxa"/>
        <w:right w:w="108" w:type="dxa"/>
      </w:tblCellMar>
    </w:tblPr>
  </w:style>
  <w:style w:type="character" w:customStyle="1" w:styleId="2CharCharChar0">
    <w:name w:val="标题 2 Char Char Char 字符"/>
    <w:basedOn w:val="Style99"/>
    <w:qFormat/>
    <w:rPr>
      <w:rFonts w:ascii="Arial" w:hAnsi="Arial"/>
      <w:b/>
      <w:bCs/>
      <w:kern w:val="2"/>
      <w:sz w:val="21"/>
      <w:szCs w:val="21"/>
    </w:rPr>
  </w:style>
  <w:style w:type="character" w:customStyle="1" w:styleId="Style102">
    <w:name w:val="_Style 102"/>
    <w:basedOn w:val="Style99"/>
    <w:uiPriority w:val="9"/>
    <w:qFormat/>
    <w:rPr>
      <w:b/>
      <w:bCs/>
      <w:kern w:val="2"/>
      <w:sz w:val="21"/>
      <w:szCs w:val="32"/>
    </w:rPr>
  </w:style>
  <w:style w:type="character" w:customStyle="1" w:styleId="Style103">
    <w:name w:val="_Style 103"/>
    <w:basedOn w:val="Style99"/>
    <w:uiPriority w:val="9"/>
    <w:qFormat/>
    <w:rPr>
      <w:rFonts w:asciiTheme="minorEastAsia" w:eastAsiaTheme="minorEastAsia" w:hAnsiTheme="minorEastAsia"/>
      <w:b/>
      <w:bCs/>
      <w:kern w:val="2"/>
      <w:sz w:val="21"/>
      <w:szCs w:val="28"/>
    </w:rPr>
  </w:style>
  <w:style w:type="character" w:customStyle="1" w:styleId="Style104">
    <w:name w:val="_Style 104"/>
    <w:basedOn w:val="Style99"/>
    <w:uiPriority w:val="9"/>
    <w:qFormat/>
    <w:rPr>
      <w:b/>
      <w:bCs/>
      <w:kern w:val="2"/>
      <w:sz w:val="21"/>
      <w:szCs w:val="28"/>
    </w:rPr>
  </w:style>
  <w:style w:type="paragraph" w:customStyle="1" w:styleId="Style105">
    <w:name w:val="_Style 105"/>
    <w:basedOn w:val="Style93"/>
    <w:autoRedefine/>
    <w:uiPriority w:val="39"/>
    <w:qFormat/>
    <w:pPr>
      <w:widowControl w:val="0"/>
      <w:tabs>
        <w:tab w:val="left" w:pos="1260"/>
        <w:tab w:val="right" w:leader="dot" w:pos="8823"/>
      </w:tabs>
      <w:spacing w:line="360" w:lineRule="auto"/>
      <w:jc w:val="both"/>
    </w:pPr>
    <w:rPr>
      <w:kern w:val="2"/>
    </w:rPr>
  </w:style>
  <w:style w:type="table" w:customStyle="1" w:styleId="Style106">
    <w:name w:val="_Style 106"/>
    <w:basedOn w:val="Style100"/>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7">
    <w:name w:val="_Style 107"/>
    <w:basedOn w:val="Style93"/>
    <w:uiPriority w:val="99"/>
    <w:qFormat/>
    <w:pPr>
      <w:widowControl w:val="0"/>
      <w:jc w:val="both"/>
    </w:pPr>
    <w:rPr>
      <w:kern w:val="2"/>
    </w:rPr>
  </w:style>
  <w:style w:type="character" w:customStyle="1" w:styleId="Style108">
    <w:name w:val="_Style 108"/>
    <w:basedOn w:val="Style99"/>
    <w:uiPriority w:val="99"/>
    <w:rPr>
      <w:rFonts w:ascii="Times New Roman" w:eastAsia="宋体" w:hAnsi="Times New Roman" w:cs="Times New Roman"/>
      <w:szCs w:val="21"/>
    </w:rPr>
  </w:style>
  <w:style w:type="paragraph" w:customStyle="1" w:styleId="Style109">
    <w:name w:val="_Style 109"/>
    <w:basedOn w:val="Style93"/>
    <w:uiPriority w:val="34"/>
    <w:qFormat/>
    <w:pPr>
      <w:widowControl w:val="0"/>
      <w:ind w:firstLineChars="200" w:firstLine="420"/>
      <w:jc w:val="both"/>
    </w:pPr>
    <w:rPr>
      <w:rFonts w:ascii="Calibri" w:hAnsi="Calibri"/>
      <w:kern w:val="2"/>
      <w:szCs w:val="22"/>
    </w:rPr>
  </w:style>
  <w:style w:type="paragraph" w:customStyle="1" w:styleId="Style110">
    <w:name w:val="_Style 110"/>
    <w:basedOn w:val="Style93"/>
    <w:uiPriority w:val="99"/>
    <w:unhideWhenUsed/>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Style111">
    <w:name w:val="_Style 111"/>
    <w:basedOn w:val="Style99"/>
    <w:uiPriority w:val="99"/>
    <w:rPr>
      <w:rFonts w:ascii="Calibri" w:eastAsia="宋体" w:hAnsi="Calibri" w:cs="Times New Roman"/>
      <w:sz w:val="18"/>
      <w:szCs w:val="18"/>
    </w:rPr>
  </w:style>
  <w:style w:type="paragraph" w:customStyle="1" w:styleId="Style112">
    <w:name w:val="_Style 112"/>
    <w:basedOn w:val="Style93"/>
    <w:uiPriority w:val="99"/>
    <w:unhideWhenUsed/>
    <w:pPr>
      <w:widowControl w:val="0"/>
      <w:tabs>
        <w:tab w:val="center" w:pos="4153"/>
        <w:tab w:val="right" w:pos="8306"/>
      </w:tabs>
      <w:snapToGrid w:val="0"/>
    </w:pPr>
    <w:rPr>
      <w:rFonts w:ascii="Calibri" w:hAnsi="Calibri"/>
      <w:kern w:val="2"/>
      <w:sz w:val="18"/>
      <w:szCs w:val="18"/>
    </w:rPr>
  </w:style>
  <w:style w:type="character" w:customStyle="1" w:styleId="Style113">
    <w:name w:val="_Style 113"/>
    <w:basedOn w:val="Style99"/>
    <w:uiPriority w:val="99"/>
    <w:rPr>
      <w:rFonts w:ascii="Calibri" w:eastAsia="宋体" w:hAnsi="Calibri" w:cs="Times New Roman"/>
      <w:sz w:val="18"/>
      <w:szCs w:val="18"/>
    </w:rPr>
  </w:style>
  <w:style w:type="paragraph" w:customStyle="1" w:styleId="Style114">
    <w:name w:val="_Style 114"/>
    <w:basedOn w:val="Style93"/>
    <w:pPr>
      <w:widowControl w:val="0"/>
      <w:jc w:val="both"/>
    </w:pPr>
    <w:rPr>
      <w:rFonts w:hAnsi="Courier New"/>
      <w:kern w:val="2"/>
    </w:rPr>
  </w:style>
  <w:style w:type="character" w:customStyle="1" w:styleId="Style115">
    <w:name w:val="_Style 115"/>
    <w:basedOn w:val="Style99"/>
    <w:rPr>
      <w:rFonts w:ascii="宋体" w:eastAsia="宋体" w:hAnsi="Courier New" w:cs="Times New Roman"/>
      <w:szCs w:val="20"/>
    </w:rPr>
  </w:style>
  <w:style w:type="paragraph" w:customStyle="1" w:styleId="Style116">
    <w:name w:val="_Style 116"/>
    <w:basedOn w:val="Style93"/>
    <w:uiPriority w:val="99"/>
    <w:pPr>
      <w:widowControl w:val="0"/>
      <w:jc w:val="center"/>
    </w:pPr>
    <w:rPr>
      <w:kern w:val="2"/>
    </w:rPr>
  </w:style>
  <w:style w:type="character" w:customStyle="1" w:styleId="Style117">
    <w:name w:val="_Style 117"/>
    <w:basedOn w:val="Style99"/>
    <w:uiPriority w:val="99"/>
    <w:rPr>
      <w:rFonts w:ascii="Times New Roman" w:eastAsia="宋体" w:hAnsi="Times New Roman" w:cs="Times New Roman"/>
      <w:szCs w:val="21"/>
    </w:rPr>
  </w:style>
  <w:style w:type="paragraph" w:customStyle="1" w:styleId="Style118">
    <w:name w:val="_Style 118"/>
    <w:uiPriority w:val="1"/>
    <w:qFormat/>
    <w:pPr>
      <w:widowControl w:val="0"/>
      <w:jc w:val="both"/>
    </w:pPr>
    <w:rPr>
      <w:kern w:val="2"/>
      <w:szCs w:val="22"/>
    </w:rPr>
  </w:style>
  <w:style w:type="character" w:customStyle="1" w:styleId="Style119">
    <w:name w:val="_Style 119"/>
    <w:basedOn w:val="Style99"/>
    <w:uiPriority w:val="9"/>
    <w:rPr>
      <w:rFonts w:asciiTheme="majorHAnsi" w:hAnsiTheme="majorHAnsi" w:cstheme="majorBidi"/>
      <w:b/>
      <w:bCs/>
      <w:sz w:val="21"/>
      <w:szCs w:val="24"/>
    </w:rPr>
  </w:style>
  <w:style w:type="paragraph" w:customStyle="1" w:styleId="Style120">
    <w:name w:val="_Style 120"/>
    <w:basedOn w:val="Style93"/>
    <w:uiPriority w:val="99"/>
    <w:pPr>
      <w:spacing w:before="100" w:beforeAutospacing="1" w:after="100" w:afterAutospacing="1"/>
    </w:pPr>
    <w:rPr>
      <w:sz w:val="24"/>
    </w:rPr>
  </w:style>
  <w:style w:type="paragraph" w:customStyle="1" w:styleId="Style121">
    <w:name w:val="_Style 121"/>
    <w:basedOn w:val="Style93"/>
    <w:pPr>
      <w:widowControl w:val="0"/>
      <w:ind w:firstLineChars="200" w:firstLine="420"/>
      <w:jc w:val="both"/>
    </w:pPr>
    <w:rPr>
      <w:kern w:val="2"/>
    </w:rPr>
  </w:style>
  <w:style w:type="paragraph" w:customStyle="1" w:styleId="Style122">
    <w:name w:val="_Style 122"/>
    <w:basedOn w:val="Style93"/>
    <w:uiPriority w:val="34"/>
    <w:qFormat/>
    <w:pPr>
      <w:widowControl w:val="0"/>
      <w:ind w:firstLineChars="200" w:firstLine="420"/>
      <w:jc w:val="both"/>
    </w:pPr>
    <w:rPr>
      <w:rFonts w:ascii="Calibri" w:hAnsi="Calibri"/>
      <w:kern w:val="2"/>
      <w:szCs w:val="22"/>
    </w:rPr>
  </w:style>
  <w:style w:type="paragraph" w:customStyle="1" w:styleId="Style123">
    <w:name w:val="_Style 123"/>
    <w:basedOn w:val="Style93"/>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Style129">
    <w:name w:val="_Style 129"/>
    <w:basedOn w:val="Style99"/>
    <w:uiPriority w:val="99"/>
    <w:rPr>
      <w:sz w:val="24"/>
    </w:rPr>
  </w:style>
  <w:style w:type="character" w:customStyle="1" w:styleId="Style130">
    <w:name w:val="_Style 130"/>
    <w:basedOn w:val="Style99"/>
    <w:uiPriority w:val="34"/>
    <w:rPr>
      <w:rFonts w:ascii="Calibri" w:hAnsi="Calibri"/>
      <w:kern w:val="2"/>
      <w:szCs w:val="22"/>
    </w:rPr>
  </w:style>
  <w:style w:type="character" w:customStyle="1" w:styleId="Style131">
    <w:name w:val="_Style 131"/>
    <w:basedOn w:val="Style99"/>
    <w:uiPriority w:val="1"/>
    <w:rPr>
      <w:kern w:val="2"/>
      <w:szCs w:val="22"/>
    </w:rPr>
  </w:style>
  <w:style w:type="character" w:customStyle="1" w:styleId="Style132">
    <w:name w:val="_Style 132"/>
    <w:basedOn w:val="Style99"/>
    <w:unhideWhenUsed/>
    <w:rPr>
      <w:kern w:val="2"/>
    </w:rPr>
  </w:style>
  <w:style w:type="paragraph" w:customStyle="1" w:styleId="Style133">
    <w:name w:val="_Style 133"/>
    <w:basedOn w:val="Style93"/>
    <w:autoRedefine/>
    <w:qFormat/>
    <w:pPr>
      <w:numPr>
        <w:numId w:val="4"/>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szCs w:val="24"/>
      <w14:ligatures w14:val="standardContextual"/>
    </w:rPr>
  </w:style>
  <w:style w:type="paragraph" w:customStyle="1" w:styleId="Style134">
    <w:name w:val="_Style 134"/>
    <w:basedOn w:val="Style93"/>
    <w:autoRedefine/>
    <w:qFormat/>
    <w:pPr>
      <w:numPr>
        <w:ilvl w:val="1"/>
        <w:numId w:val="4"/>
      </w:numPr>
      <w:spacing w:afterLines="50" w:after="156" w:line="360" w:lineRule="exact"/>
      <w:outlineLvl w:val="1"/>
    </w:pPr>
    <w:rPr>
      <w:rFonts w:ascii="宋体" w:hAnsiTheme="minorHAnsi" w:cstheme="minorBidi"/>
      <w:kern w:val="2"/>
      <w:szCs w:val="24"/>
      <w14:ligatures w14:val="standardContextual"/>
    </w:rPr>
  </w:style>
  <w:style w:type="paragraph" w:customStyle="1" w:styleId="Style135">
    <w:name w:val="_Style 135"/>
    <w:basedOn w:val="Style93"/>
    <w:autoRedefine/>
    <w:qFormat/>
    <w:pPr>
      <w:numPr>
        <w:ilvl w:val="2"/>
        <w:numId w:val="4"/>
      </w:numPr>
      <w:snapToGrid w:val="0"/>
      <w:spacing w:afterLines="50" w:after="156" w:line="360" w:lineRule="exact"/>
      <w:jc w:val="both"/>
      <w:outlineLvl w:val="2"/>
    </w:pPr>
    <w:rPr>
      <w:rFonts w:ascii="宋体" w:hAnsiTheme="minorHAnsi" w:cstheme="minorBidi"/>
      <w:kern w:val="2"/>
      <w:szCs w:val="24"/>
      <w14:ligatures w14:val="standardContextual"/>
    </w:rPr>
  </w:style>
  <w:style w:type="character" w:customStyle="1" w:styleId="Style136">
    <w:name w:val="_Style 136"/>
    <w:basedOn w:val="Style99"/>
    <w:rPr>
      <w:rFonts w:ascii="宋体" w:hAnsiTheme="minorHAnsi" w:cstheme="minorBidi"/>
      <w:kern w:val="2"/>
      <w:szCs w:val="24"/>
      <w14:ligatures w14:val="standardContextual"/>
    </w:rPr>
  </w:style>
  <w:style w:type="paragraph" w:customStyle="1" w:styleId="Style137">
    <w:name w:val="_Style 137"/>
    <w:basedOn w:val="Style93"/>
    <w:autoRedefine/>
    <w:qFormat/>
    <w:pPr>
      <w:numPr>
        <w:ilvl w:val="3"/>
        <w:numId w:val="4"/>
      </w:numPr>
      <w:snapToGrid w:val="0"/>
      <w:spacing w:afterLines="50" w:after="156" w:line="360" w:lineRule="exact"/>
      <w:jc w:val="both"/>
      <w:outlineLvl w:val="3"/>
    </w:pPr>
    <w:rPr>
      <w:rFonts w:ascii="宋体" w:hAnsiTheme="minorHAnsi" w:cstheme="minorBidi"/>
      <w:kern w:val="2"/>
      <w:szCs w:val="24"/>
      <w14:ligatures w14:val="standardContextual"/>
    </w:rPr>
  </w:style>
  <w:style w:type="paragraph" w:customStyle="1" w:styleId="Style142">
    <w:name w:val="_Style 142"/>
    <w:qFormat/>
  </w:style>
  <w:style w:type="paragraph" w:customStyle="1" w:styleId="Style143">
    <w:name w:val="_Style 143"/>
    <w:basedOn w:val="Style142"/>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Style144">
    <w:name w:val="_Style 144"/>
    <w:basedOn w:val="Style142"/>
    <w:qFormat/>
    <w:pPr>
      <w:keepNext/>
      <w:keepLines/>
      <w:widowControl w:val="0"/>
      <w:spacing w:before="60" w:line="360" w:lineRule="auto"/>
      <w:jc w:val="both"/>
      <w:outlineLvl w:val="1"/>
    </w:pPr>
    <w:rPr>
      <w:rFonts w:ascii="Arial" w:hAnsi="Arial"/>
      <w:b/>
      <w:bCs/>
      <w:kern w:val="2"/>
    </w:rPr>
  </w:style>
  <w:style w:type="paragraph" w:customStyle="1" w:styleId="Style145">
    <w:name w:val="_Style 145"/>
    <w:basedOn w:val="Style142"/>
    <w:uiPriority w:val="9"/>
    <w:qFormat/>
    <w:pPr>
      <w:keepNext/>
      <w:keepLines/>
      <w:widowControl w:val="0"/>
      <w:spacing w:before="60" w:line="360" w:lineRule="auto"/>
      <w:jc w:val="both"/>
      <w:outlineLvl w:val="2"/>
    </w:pPr>
    <w:rPr>
      <w:rFonts w:ascii="Calibri" w:hAnsi="Calibri"/>
      <w:b/>
      <w:bCs/>
      <w:kern w:val="2"/>
      <w:szCs w:val="32"/>
    </w:rPr>
  </w:style>
  <w:style w:type="paragraph" w:customStyle="1" w:styleId="Style146">
    <w:name w:val="_Style 146"/>
    <w:basedOn w:val="Style142"/>
    <w:uiPriority w:val="9"/>
    <w:qFormat/>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customStyle="1" w:styleId="Style147">
    <w:name w:val="_Style 147"/>
    <w:basedOn w:val="Style142"/>
    <w:uiPriority w:val="9"/>
    <w:qFormat/>
    <w:pPr>
      <w:keepNext/>
      <w:keepLines/>
      <w:widowControl w:val="0"/>
      <w:spacing w:before="60" w:line="360" w:lineRule="auto"/>
      <w:ind w:leftChars="50" w:left="50"/>
      <w:jc w:val="both"/>
      <w:outlineLvl w:val="4"/>
    </w:pPr>
    <w:rPr>
      <w:rFonts w:ascii="Calibri" w:hAnsi="Calibri"/>
      <w:b/>
      <w:bCs/>
      <w:kern w:val="2"/>
      <w:szCs w:val="28"/>
    </w:rPr>
  </w:style>
  <w:style w:type="paragraph" w:customStyle="1" w:styleId="Style148">
    <w:name w:val="_Style 148"/>
    <w:basedOn w:val="Style142"/>
    <w:uiPriority w:val="99"/>
    <w:semiHidden/>
    <w:unhideWhenUsed/>
    <w:qFormat/>
    <w:pPr>
      <w:widowControl w:val="0"/>
      <w:jc w:val="both"/>
    </w:pPr>
    <w:rPr>
      <w:rFonts w:hAnsi="Calibri"/>
      <w:kern w:val="2"/>
      <w:sz w:val="18"/>
      <w:szCs w:val="18"/>
    </w:rPr>
  </w:style>
  <w:style w:type="paragraph" w:customStyle="1" w:styleId="Style149">
    <w:name w:val="_Style 149"/>
    <w:basedOn w:val="Style142"/>
    <w:qFormat/>
    <w:pPr>
      <w:widowControl w:val="0"/>
      <w:spacing w:before="100" w:after="100"/>
      <w:jc w:val="both"/>
    </w:pPr>
    <w:rPr>
      <w:rFonts w:ascii="Calibri" w:hAnsi="Calibri"/>
      <w:kern w:val="2"/>
    </w:rPr>
  </w:style>
  <w:style w:type="paragraph" w:customStyle="1" w:styleId="Style150">
    <w:name w:val="_Style 150"/>
    <w:qFormat/>
    <w:rPr>
      <w:rFonts w:ascii="宋体" w:hAnsi="宋体" w:cs="宋体"/>
    </w:rPr>
  </w:style>
  <w:style w:type="paragraph" w:customStyle="1" w:styleId="Style151">
    <w:name w:val="_Style 151"/>
    <w:autoRedefine/>
    <w:qFormat/>
    <w:rPr>
      <w:rFonts w:ascii="宋体" w:hAnsi="宋体" w:cs="宋体"/>
      <w:sz w:val="21"/>
      <w:szCs w:val="24"/>
    </w:rPr>
  </w:style>
  <w:style w:type="paragraph" w:customStyle="1" w:styleId="Style152">
    <w:name w:val="_Style 152"/>
    <w:basedOn w:val="Style93"/>
    <w:qFormat/>
  </w:style>
  <w:style w:type="table" w:customStyle="1" w:styleId="Style153">
    <w:name w:val="_Style 15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154">
    <w:name w:val="_Style 154"/>
    <w:qFormat/>
  </w:style>
  <w:style w:type="character" w:customStyle="1" w:styleId="Style155">
    <w:name w:val="_Style 155"/>
    <w:uiPriority w:val="1"/>
    <w:semiHidden/>
    <w:unhideWhenUsed/>
  </w:style>
  <w:style w:type="paragraph" w:customStyle="1" w:styleId="Style156">
    <w:name w:val="_Style 156"/>
    <w:basedOn w:val="Style154"/>
    <w:uiPriority w:val="99"/>
    <w:qFormat/>
    <w:pPr>
      <w:widowControl w:val="0"/>
      <w:jc w:val="center"/>
    </w:pPr>
    <w:rPr>
      <w:kern w:val="2"/>
    </w:rPr>
  </w:style>
  <w:style w:type="character" w:customStyle="1" w:styleId="Style157">
    <w:name w:val="_Style 157"/>
    <w:basedOn w:val="Style155"/>
    <w:uiPriority w:val="99"/>
    <w:rPr>
      <w:rFonts w:ascii="Times New Roman" w:eastAsia="宋体" w:hAnsi="Times New Roman" w:cs="Times New Roman"/>
      <w:szCs w:val="21"/>
    </w:rPr>
  </w:style>
  <w:style w:type="paragraph" w:customStyle="1" w:styleId="Style158">
    <w:name w:val="_Style 158"/>
    <w:basedOn w:val="Style154"/>
    <w:semiHidden/>
    <w:qFormat/>
    <w:pPr>
      <w:widowControl w:val="0"/>
      <w:spacing w:before="120"/>
      <w:jc w:val="both"/>
    </w:pPr>
    <w:rPr>
      <w:rFonts w:ascii="Arial" w:hAnsi="Arial"/>
      <w:b/>
      <w:bCs/>
      <w:kern w:val="2"/>
    </w:rPr>
  </w:style>
  <w:style w:type="character" w:customStyle="1" w:styleId="Style159">
    <w:name w:val="_Style 159"/>
    <w:basedOn w:val="Style155"/>
    <w:qFormat/>
    <w:rPr>
      <w:kern w:val="2"/>
      <w:sz w:val="21"/>
      <w:szCs w:val="24"/>
    </w:rPr>
  </w:style>
  <w:style w:type="character" w:customStyle="1" w:styleId="Style160">
    <w:name w:val="_Style 160"/>
    <w:basedOn w:val="Style155"/>
    <w:qFormat/>
    <w:rPr>
      <w:rFonts w:ascii="宋体" w:hAnsiTheme="minorHAnsi" w:cstheme="minorBidi"/>
      <w:kern w:val="2"/>
      <w:szCs w:val="24"/>
      <w14:ligatures w14:val="standardContextual"/>
    </w:rPr>
  </w:style>
  <w:style w:type="character" w:customStyle="1" w:styleId="Style161">
    <w:name w:val="_Style 161"/>
    <w:basedOn w:val="Style155"/>
    <w:qFormat/>
    <w:rPr>
      <w:rFonts w:ascii="宋体" w:hAnsiTheme="minorHAnsi" w:cstheme="minorBidi"/>
      <w:kern w:val="2"/>
      <w:szCs w:val="24"/>
      <w14:ligatures w14:val="standardContextual"/>
    </w:rPr>
  </w:style>
  <w:style w:type="paragraph" w:customStyle="1" w:styleId="Style162">
    <w:name w:val="_Style 162"/>
    <w:basedOn w:val="Style154"/>
    <w:autoRedefine/>
    <w:qFormat/>
    <w:pPr>
      <w:numPr>
        <w:numId w:val="5"/>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szCs w:val="24"/>
      <w14:ligatures w14:val="standardContextual"/>
    </w:rPr>
  </w:style>
  <w:style w:type="paragraph" w:customStyle="1" w:styleId="Style163">
    <w:name w:val="_Style 163"/>
    <w:basedOn w:val="Style154"/>
    <w:autoRedefine/>
    <w:qFormat/>
    <w:pPr>
      <w:numPr>
        <w:ilvl w:val="1"/>
        <w:numId w:val="5"/>
      </w:numPr>
      <w:spacing w:afterLines="50" w:after="156" w:line="360" w:lineRule="exact"/>
      <w:outlineLvl w:val="1"/>
    </w:pPr>
    <w:rPr>
      <w:rFonts w:ascii="宋体" w:hAnsiTheme="minorHAnsi" w:cstheme="minorBidi"/>
      <w:kern w:val="2"/>
      <w:szCs w:val="24"/>
      <w14:ligatures w14:val="standardContextual"/>
    </w:rPr>
  </w:style>
  <w:style w:type="paragraph" w:customStyle="1" w:styleId="Style164">
    <w:name w:val="_Style 164"/>
    <w:basedOn w:val="Style154"/>
    <w:autoRedefine/>
    <w:qFormat/>
    <w:pPr>
      <w:numPr>
        <w:ilvl w:val="2"/>
        <w:numId w:val="5"/>
      </w:numPr>
      <w:snapToGrid w:val="0"/>
      <w:spacing w:afterLines="50" w:after="156" w:line="360" w:lineRule="exact"/>
      <w:jc w:val="both"/>
      <w:outlineLvl w:val="2"/>
    </w:pPr>
    <w:rPr>
      <w:rFonts w:ascii="宋体" w:hAnsiTheme="minorHAnsi" w:cstheme="minorBidi"/>
      <w:kern w:val="2"/>
      <w:szCs w:val="24"/>
      <w14:ligatures w14:val="standardContextual"/>
    </w:rPr>
  </w:style>
  <w:style w:type="paragraph" w:customStyle="1" w:styleId="Style165">
    <w:name w:val="_Style 165"/>
    <w:basedOn w:val="Style154"/>
    <w:autoRedefine/>
    <w:qFormat/>
    <w:pPr>
      <w:numPr>
        <w:ilvl w:val="3"/>
        <w:numId w:val="5"/>
      </w:numPr>
      <w:snapToGrid w:val="0"/>
      <w:spacing w:afterLines="50" w:after="156" w:line="360" w:lineRule="exact"/>
      <w:jc w:val="both"/>
      <w:outlineLvl w:val="3"/>
    </w:pPr>
    <w:rPr>
      <w:rFonts w:ascii="宋体" w:hAnsiTheme="minorHAnsi" w:cstheme="minorBidi"/>
      <w:kern w:val="2"/>
      <w:szCs w:val="24"/>
      <w14:ligatures w14:val="standardContextual"/>
    </w:rPr>
  </w:style>
  <w:style w:type="paragraph" w:customStyle="1" w:styleId="Style166">
    <w:name w:val="_Style 166"/>
    <w:qFormat/>
  </w:style>
  <w:style w:type="paragraph" w:customStyle="1" w:styleId="Style167">
    <w:name w:val="_Style 167"/>
    <w:basedOn w:val="Style166"/>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Style168">
    <w:name w:val="_Style 168"/>
    <w:basedOn w:val="Style166"/>
    <w:qFormat/>
    <w:pPr>
      <w:widowControl w:val="0"/>
      <w:jc w:val="both"/>
    </w:pPr>
    <w:rPr>
      <w:rFonts w:hAnsi="Courier New"/>
      <w:kern w:val="2"/>
    </w:rPr>
  </w:style>
  <w:style w:type="paragraph" w:customStyle="1" w:styleId="Style169">
    <w:name w:val="_Style 169"/>
    <w:basedOn w:val="Style166"/>
    <w:uiPriority w:val="99"/>
    <w:pPr>
      <w:widowControl w:val="0"/>
      <w:spacing w:after="120"/>
      <w:jc w:val="both"/>
    </w:pPr>
    <w:rPr>
      <w:kern w:val="2"/>
    </w:rPr>
  </w:style>
  <w:style w:type="paragraph" w:customStyle="1" w:styleId="Style170">
    <w:name w:val="_Style 170"/>
    <w:basedOn w:val="Style166"/>
    <w:autoRedefine/>
    <w:qFormat/>
    <w:pPr>
      <w:numPr>
        <w:numId w:val="6"/>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szCs w:val="24"/>
      <w14:ligatures w14:val="standardContextual"/>
    </w:rPr>
  </w:style>
  <w:style w:type="paragraph" w:customStyle="1" w:styleId="Style171">
    <w:name w:val="_Style 171"/>
    <w:basedOn w:val="Style166"/>
    <w:autoRedefine/>
    <w:qFormat/>
    <w:pPr>
      <w:numPr>
        <w:ilvl w:val="1"/>
        <w:numId w:val="6"/>
      </w:numPr>
      <w:spacing w:afterLines="50" w:after="156" w:line="360" w:lineRule="exact"/>
      <w:outlineLvl w:val="1"/>
    </w:pPr>
    <w:rPr>
      <w:rFonts w:ascii="宋体" w:hAnsiTheme="minorHAnsi" w:cstheme="minorBidi"/>
      <w:kern w:val="2"/>
      <w:szCs w:val="24"/>
      <w14:ligatures w14:val="standardContextual"/>
    </w:rPr>
  </w:style>
  <w:style w:type="paragraph" w:customStyle="1" w:styleId="Style172">
    <w:name w:val="_Style 172"/>
    <w:basedOn w:val="Style166"/>
    <w:autoRedefine/>
    <w:qFormat/>
    <w:pPr>
      <w:numPr>
        <w:ilvl w:val="2"/>
        <w:numId w:val="6"/>
      </w:numPr>
      <w:snapToGrid w:val="0"/>
      <w:spacing w:afterLines="50" w:after="156" w:line="360" w:lineRule="exact"/>
      <w:jc w:val="both"/>
      <w:outlineLvl w:val="2"/>
    </w:pPr>
    <w:rPr>
      <w:rFonts w:ascii="宋体" w:hAnsiTheme="minorHAnsi" w:cstheme="minorBidi"/>
      <w:kern w:val="2"/>
      <w:szCs w:val="24"/>
      <w14:ligatures w14:val="standardContextual"/>
    </w:rPr>
  </w:style>
  <w:style w:type="paragraph" w:customStyle="1" w:styleId="Style173">
    <w:name w:val="_Style 173"/>
    <w:basedOn w:val="Style166"/>
    <w:autoRedefine/>
    <w:qFormat/>
    <w:pPr>
      <w:numPr>
        <w:ilvl w:val="3"/>
        <w:numId w:val="6"/>
      </w:numPr>
      <w:snapToGrid w:val="0"/>
      <w:spacing w:afterLines="50" w:after="156" w:line="360" w:lineRule="exact"/>
      <w:jc w:val="both"/>
      <w:outlineLvl w:val="3"/>
    </w:pPr>
    <w:rPr>
      <w:rFonts w:ascii="宋体" w:hAnsiTheme="minorHAnsi" w:cstheme="minorBidi"/>
      <w:kern w:val="2"/>
      <w:szCs w:val="24"/>
      <w14:ligatures w14:val="standardContextual"/>
    </w:rPr>
  </w:style>
  <w:style w:type="table" w:customStyle="1" w:styleId="Style174">
    <w:name w:val="_Style 17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175">
    <w:name w:val="_Style 175"/>
    <w:qFormat/>
  </w:style>
  <w:style w:type="paragraph" w:customStyle="1" w:styleId="Style176">
    <w:name w:val="_Style 176"/>
    <w:basedOn w:val="Style175"/>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Style177">
    <w:name w:val="_Style 177"/>
    <w:basedOn w:val="Style175"/>
    <w:autoRedefine/>
    <w:qFormat/>
    <w:pPr>
      <w:keepNext/>
      <w:keepLines/>
      <w:widowControl w:val="0"/>
      <w:spacing w:before="60" w:line="360" w:lineRule="auto"/>
      <w:jc w:val="both"/>
      <w:outlineLvl w:val="1"/>
    </w:pPr>
    <w:rPr>
      <w:rFonts w:ascii="Arial" w:hAnsi="Arial"/>
      <w:b/>
      <w:bCs/>
      <w:kern w:val="2"/>
      <w:sz w:val="21"/>
    </w:rPr>
  </w:style>
  <w:style w:type="paragraph" w:customStyle="1" w:styleId="Style178">
    <w:name w:val="_Style 178"/>
    <w:basedOn w:val="Style175"/>
    <w:autoRedefine/>
    <w:uiPriority w:val="9"/>
    <w:qFormat/>
    <w:pPr>
      <w:keepNext/>
      <w:keepLines/>
      <w:widowControl w:val="0"/>
      <w:spacing w:before="60" w:line="360" w:lineRule="auto"/>
      <w:jc w:val="both"/>
      <w:outlineLvl w:val="2"/>
    </w:pPr>
    <w:rPr>
      <w:rFonts w:ascii="Calibri" w:hAnsi="Calibri"/>
      <w:b/>
      <w:bCs/>
      <w:kern w:val="2"/>
      <w:sz w:val="21"/>
      <w:szCs w:val="32"/>
    </w:rPr>
  </w:style>
  <w:style w:type="paragraph" w:customStyle="1" w:styleId="Style179">
    <w:name w:val="_Style 179"/>
    <w:basedOn w:val="Style175"/>
    <w:uiPriority w:val="9"/>
    <w:qFormat/>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customStyle="1" w:styleId="Style180">
    <w:name w:val="_Style 180"/>
    <w:basedOn w:val="Style175"/>
    <w:uiPriority w:val="9"/>
    <w:qFormat/>
    <w:pPr>
      <w:keepNext/>
      <w:keepLines/>
      <w:widowControl w:val="0"/>
      <w:spacing w:before="60" w:line="360" w:lineRule="auto"/>
      <w:ind w:leftChars="50" w:left="50"/>
      <w:jc w:val="both"/>
      <w:outlineLvl w:val="4"/>
    </w:pPr>
    <w:rPr>
      <w:rFonts w:ascii="Calibri" w:hAnsi="Calibri"/>
      <w:b/>
      <w:bCs/>
      <w:kern w:val="2"/>
      <w:szCs w:val="28"/>
    </w:rPr>
  </w:style>
  <w:style w:type="paragraph" w:customStyle="1" w:styleId="Style181">
    <w:name w:val="_Style 181"/>
    <w:basedOn w:val="Style175"/>
    <w:uiPriority w:val="9"/>
    <w:unhideWhenUsed/>
    <w:qFormat/>
    <w:pPr>
      <w:keepNext/>
      <w:keepLines/>
      <w:spacing w:before="60" w:after="60"/>
      <w:outlineLvl w:val="5"/>
    </w:pPr>
    <w:rPr>
      <w:rFonts w:asciiTheme="majorHAnsi" w:hAnsiTheme="majorHAnsi" w:cstheme="majorBidi"/>
      <w:b/>
      <w:bCs/>
    </w:rPr>
  </w:style>
  <w:style w:type="character" w:customStyle="1" w:styleId="Style182">
    <w:name w:val="_Style 182"/>
    <w:uiPriority w:val="1"/>
    <w:semiHidden/>
    <w:unhideWhenUsed/>
  </w:style>
  <w:style w:type="character" w:customStyle="1" w:styleId="Style183">
    <w:name w:val="_Style 183"/>
    <w:basedOn w:val="Style182"/>
    <w:uiPriority w:val="99"/>
    <w:rPr>
      <w:rFonts w:eastAsia="黑体"/>
      <w:b/>
      <w:bCs/>
      <w:kern w:val="44"/>
      <w:sz w:val="28"/>
      <w:szCs w:val="44"/>
    </w:rPr>
  </w:style>
  <w:style w:type="paragraph" w:customStyle="1" w:styleId="Style184">
    <w:name w:val="_Style 184"/>
    <w:basedOn w:val="Style175"/>
    <w:uiPriority w:val="39"/>
    <w:qFormat/>
    <w:pPr>
      <w:widowControl w:val="0"/>
      <w:tabs>
        <w:tab w:val="left" w:pos="1260"/>
        <w:tab w:val="right" w:leader="dot" w:pos="8823"/>
      </w:tabs>
      <w:spacing w:line="360" w:lineRule="auto"/>
      <w:jc w:val="both"/>
    </w:pPr>
    <w:rPr>
      <w:kern w:val="2"/>
    </w:rPr>
  </w:style>
  <w:style w:type="paragraph" w:customStyle="1" w:styleId="Style185">
    <w:name w:val="_Style 185"/>
    <w:basedOn w:val="Style175"/>
    <w:qFormat/>
    <w:pPr>
      <w:widowControl w:val="0"/>
    </w:pPr>
    <w:rPr>
      <w:kern w:val="2"/>
    </w:rPr>
  </w:style>
  <w:style w:type="character" w:customStyle="1" w:styleId="Style186">
    <w:name w:val="_Style 186"/>
    <w:basedOn w:val="Style182"/>
    <w:qFormat/>
    <w:rPr>
      <w:rFonts w:ascii="Times New Roman" w:eastAsia="宋体" w:hAnsi="Times New Roman" w:cs="Times New Roman"/>
      <w:szCs w:val="21"/>
    </w:rPr>
  </w:style>
  <w:style w:type="paragraph" w:customStyle="1" w:styleId="Style187">
    <w:name w:val="_Style 187"/>
    <w:basedOn w:val="Style175"/>
    <w:uiPriority w:val="99"/>
    <w:qFormat/>
    <w:pPr>
      <w:widowControl w:val="0"/>
      <w:jc w:val="both"/>
    </w:pPr>
    <w:rPr>
      <w:kern w:val="2"/>
    </w:rPr>
  </w:style>
  <w:style w:type="character" w:customStyle="1" w:styleId="Style188">
    <w:name w:val="_Style 188"/>
    <w:basedOn w:val="Style182"/>
    <w:uiPriority w:val="99"/>
    <w:rPr>
      <w:rFonts w:ascii="Times New Roman" w:eastAsia="宋体" w:hAnsi="Times New Roman" w:cs="Times New Roman"/>
      <w:szCs w:val="21"/>
    </w:rPr>
  </w:style>
  <w:style w:type="paragraph" w:customStyle="1" w:styleId="Style189">
    <w:name w:val="_Style 189"/>
    <w:basedOn w:val="Style175"/>
    <w:uiPriority w:val="34"/>
    <w:qFormat/>
    <w:pPr>
      <w:widowControl w:val="0"/>
      <w:ind w:firstLineChars="200" w:firstLine="420"/>
      <w:jc w:val="both"/>
    </w:pPr>
    <w:rPr>
      <w:rFonts w:ascii="Calibri" w:hAnsi="Calibri"/>
      <w:kern w:val="2"/>
      <w:szCs w:val="22"/>
    </w:rPr>
  </w:style>
  <w:style w:type="paragraph" w:customStyle="1" w:styleId="Style190">
    <w:name w:val="_Style 190"/>
    <w:basedOn w:val="Style175"/>
    <w:uiPriority w:val="99"/>
    <w:unhideWhenUsed/>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Style191">
    <w:name w:val="_Style 191"/>
    <w:basedOn w:val="Style182"/>
    <w:uiPriority w:val="99"/>
    <w:rPr>
      <w:rFonts w:ascii="Calibri" w:eastAsia="宋体" w:hAnsi="Calibri" w:cs="Times New Roman"/>
      <w:sz w:val="18"/>
      <w:szCs w:val="18"/>
    </w:rPr>
  </w:style>
  <w:style w:type="paragraph" w:customStyle="1" w:styleId="Style192">
    <w:name w:val="_Style 192"/>
    <w:basedOn w:val="Style175"/>
    <w:uiPriority w:val="99"/>
    <w:unhideWhenUsed/>
    <w:pPr>
      <w:widowControl w:val="0"/>
      <w:tabs>
        <w:tab w:val="center" w:pos="4153"/>
        <w:tab w:val="right" w:pos="8306"/>
      </w:tabs>
      <w:snapToGrid w:val="0"/>
    </w:pPr>
    <w:rPr>
      <w:rFonts w:ascii="Calibri" w:hAnsi="Calibri"/>
      <w:kern w:val="2"/>
      <w:sz w:val="18"/>
      <w:szCs w:val="18"/>
    </w:rPr>
  </w:style>
  <w:style w:type="character" w:customStyle="1" w:styleId="Style193">
    <w:name w:val="_Style 193"/>
    <w:basedOn w:val="Style182"/>
    <w:uiPriority w:val="99"/>
    <w:rPr>
      <w:rFonts w:ascii="Calibri" w:eastAsia="宋体" w:hAnsi="Calibri" w:cs="Times New Roman"/>
      <w:sz w:val="18"/>
      <w:szCs w:val="18"/>
    </w:rPr>
  </w:style>
  <w:style w:type="paragraph" w:customStyle="1" w:styleId="Style194">
    <w:name w:val="_Style 194"/>
    <w:basedOn w:val="Style175"/>
    <w:qFormat/>
    <w:pPr>
      <w:widowControl w:val="0"/>
      <w:jc w:val="both"/>
    </w:pPr>
    <w:rPr>
      <w:rFonts w:hAnsi="Courier New"/>
      <w:kern w:val="2"/>
    </w:rPr>
  </w:style>
  <w:style w:type="character" w:customStyle="1" w:styleId="Style195">
    <w:name w:val="_Style 195"/>
    <w:basedOn w:val="Style182"/>
    <w:qFormat/>
    <w:rPr>
      <w:rFonts w:ascii="宋体" w:eastAsia="宋体" w:hAnsi="Courier New" w:cs="Times New Roman"/>
      <w:szCs w:val="20"/>
    </w:rPr>
  </w:style>
  <w:style w:type="paragraph" w:customStyle="1" w:styleId="Style196">
    <w:name w:val="_Style 196"/>
    <w:basedOn w:val="Style175"/>
    <w:uiPriority w:val="99"/>
    <w:qFormat/>
    <w:pPr>
      <w:widowControl w:val="0"/>
      <w:jc w:val="center"/>
    </w:pPr>
    <w:rPr>
      <w:kern w:val="2"/>
    </w:rPr>
  </w:style>
  <w:style w:type="character" w:customStyle="1" w:styleId="Style197">
    <w:name w:val="_Style 197"/>
    <w:basedOn w:val="Style182"/>
    <w:uiPriority w:val="99"/>
    <w:rPr>
      <w:rFonts w:ascii="Times New Roman" w:eastAsia="宋体" w:hAnsi="Times New Roman" w:cs="Times New Roman"/>
      <w:szCs w:val="21"/>
    </w:rPr>
  </w:style>
  <w:style w:type="paragraph" w:customStyle="1" w:styleId="Style198">
    <w:name w:val="_Style 198"/>
    <w:basedOn w:val="Style175"/>
    <w:semiHidden/>
    <w:qFormat/>
    <w:pPr>
      <w:widowControl w:val="0"/>
      <w:spacing w:before="120"/>
      <w:jc w:val="both"/>
    </w:pPr>
    <w:rPr>
      <w:rFonts w:ascii="Arial" w:hAnsi="Arial"/>
      <w:b/>
      <w:bCs/>
      <w:kern w:val="2"/>
    </w:rPr>
  </w:style>
  <w:style w:type="character" w:customStyle="1" w:styleId="Style199">
    <w:name w:val="_Style 199"/>
    <w:basedOn w:val="Style182"/>
    <w:qFormat/>
    <w:rPr>
      <w:kern w:val="2"/>
      <w:sz w:val="21"/>
      <w:szCs w:val="24"/>
    </w:rPr>
  </w:style>
  <w:style w:type="paragraph" w:customStyle="1" w:styleId="Style200">
    <w:name w:val="_Style 200"/>
    <w:basedOn w:val="Style175"/>
    <w:qFormat/>
    <w:pPr>
      <w:widowControl w:val="0"/>
      <w:spacing w:before="100" w:after="100"/>
      <w:jc w:val="both"/>
    </w:pPr>
    <w:rPr>
      <w:rFonts w:ascii="Calibri" w:hAnsi="Calibri"/>
      <w:kern w:val="2"/>
    </w:rPr>
  </w:style>
  <w:style w:type="paragraph" w:customStyle="1" w:styleId="Style201">
    <w:name w:val="_Style 201"/>
    <w:uiPriority w:val="1"/>
    <w:qFormat/>
    <w:pPr>
      <w:widowControl w:val="0"/>
      <w:jc w:val="both"/>
    </w:pPr>
    <w:rPr>
      <w:kern w:val="2"/>
      <w:szCs w:val="22"/>
    </w:rPr>
  </w:style>
  <w:style w:type="paragraph" w:customStyle="1" w:styleId="Style202">
    <w:name w:val="_Style 202"/>
    <w:basedOn w:val="Style175"/>
    <w:uiPriority w:val="99"/>
    <w:pPr>
      <w:spacing w:before="100" w:beforeAutospacing="1" w:after="100" w:afterAutospacing="1"/>
    </w:pPr>
    <w:rPr>
      <w:sz w:val="24"/>
    </w:rPr>
  </w:style>
  <w:style w:type="paragraph" w:customStyle="1" w:styleId="Style203">
    <w:name w:val="_Style 203"/>
    <w:basedOn w:val="Style175"/>
    <w:pPr>
      <w:widowControl w:val="0"/>
      <w:ind w:firstLineChars="200" w:firstLine="420"/>
      <w:jc w:val="both"/>
    </w:pPr>
    <w:rPr>
      <w:kern w:val="2"/>
    </w:rPr>
  </w:style>
  <w:style w:type="paragraph" w:customStyle="1" w:styleId="Style204">
    <w:name w:val="_Style 204"/>
    <w:basedOn w:val="Style175"/>
    <w:uiPriority w:val="34"/>
    <w:qFormat/>
    <w:pPr>
      <w:widowControl w:val="0"/>
      <w:ind w:firstLineChars="200" w:firstLine="420"/>
      <w:jc w:val="both"/>
    </w:pPr>
    <w:rPr>
      <w:rFonts w:ascii="Calibri" w:hAnsi="Calibri"/>
      <w:kern w:val="2"/>
      <w:szCs w:val="22"/>
    </w:rPr>
  </w:style>
  <w:style w:type="paragraph" w:customStyle="1" w:styleId="Style205">
    <w:name w:val="_Style 205"/>
    <w:basedOn w:val="Style175"/>
    <w:uiPriority w:val="34"/>
    <w:qFormat/>
    <w:pPr>
      <w:widowControl w:val="0"/>
      <w:ind w:firstLineChars="200" w:firstLine="420"/>
      <w:jc w:val="both"/>
    </w:pPr>
    <w:rPr>
      <w:rFonts w:ascii="Calibri" w:hAnsi="Calibri"/>
      <w:kern w:val="2"/>
      <w:szCs w:val="22"/>
    </w:rPr>
  </w:style>
  <w:style w:type="paragraph" w:customStyle="1" w:styleId="Style2061">
    <w:name w:val="_Style 2061"/>
    <w:basedOn w:val="Style175"/>
    <w:qFormat/>
    <w:pPr>
      <w:wordWrap w:val="0"/>
      <w:snapToGrid w:val="0"/>
      <w:spacing w:afterLines="50" w:after="156" w:line="360" w:lineRule="exact"/>
      <w:ind w:firstLineChars="200" w:firstLine="420"/>
      <w:jc w:val="both"/>
    </w:pPr>
    <w:rPr>
      <w:rFonts w:ascii="宋体" w:hAnsiTheme="minorHAnsi" w:cstheme="minorBidi"/>
      <w:kern w:val="2"/>
      <w:szCs w:val="18"/>
      <w14:ligatures w14:val="standardContextual"/>
    </w:rPr>
  </w:style>
  <w:style w:type="character" w:customStyle="1" w:styleId="Style207">
    <w:name w:val="_Style 207"/>
    <w:basedOn w:val="Style182"/>
    <w:qFormat/>
    <w:rPr>
      <w:rFonts w:ascii="宋体" w:hAnsiTheme="minorHAnsi" w:cstheme="minorBidi"/>
      <w:kern w:val="2"/>
      <w:szCs w:val="18"/>
      <w14:ligatures w14:val="standardContextual"/>
    </w:rPr>
  </w:style>
  <w:style w:type="paragraph" w:customStyle="1" w:styleId="Style208">
    <w:name w:val="_Style 208"/>
    <w:basedOn w:val="Style175"/>
    <w:autoRedefine/>
    <w:qFormat/>
    <w:pPr>
      <w:spacing w:afterLines="50" w:after="156" w:line="360" w:lineRule="exact"/>
      <w:outlineLvl w:val="1"/>
    </w:pPr>
    <w:rPr>
      <w:rFonts w:ascii="宋体" w:hAnsiTheme="minorHAnsi" w:cstheme="minorBidi"/>
      <w:kern w:val="2"/>
      <w:szCs w:val="24"/>
      <w14:ligatures w14:val="standardContextual"/>
    </w:rPr>
  </w:style>
  <w:style w:type="paragraph" w:customStyle="1" w:styleId="Style209">
    <w:name w:val="_Style 209"/>
    <w:basedOn w:val="Style175"/>
    <w:autoRedefine/>
    <w:qFormat/>
    <w:pPr>
      <w:snapToGrid w:val="0"/>
      <w:spacing w:afterLines="50" w:after="120" w:line="360" w:lineRule="exact"/>
      <w:jc w:val="both"/>
      <w:outlineLvl w:val="2"/>
    </w:pPr>
    <w:rPr>
      <w:rFonts w:ascii="宋体" w:hAnsiTheme="minorHAnsi" w:cstheme="minorBidi"/>
      <w:kern w:val="2"/>
      <w:szCs w:val="24"/>
      <w14:ligatures w14:val="standardContextual"/>
    </w:rPr>
  </w:style>
  <w:style w:type="paragraph" w:customStyle="1" w:styleId="Style210">
    <w:name w:val="_Style 210"/>
    <w:basedOn w:val="Style175"/>
    <w:autoRedefine/>
    <w:qFormat/>
    <w:pPr>
      <w:snapToGrid w:val="0"/>
      <w:spacing w:afterLines="50" w:after="156" w:line="360" w:lineRule="exact"/>
      <w:jc w:val="both"/>
      <w:outlineLvl w:val="3"/>
    </w:pPr>
    <w:rPr>
      <w:rFonts w:ascii="宋体" w:hAnsiTheme="minorHAnsi" w:cstheme="minorBidi"/>
      <w:kern w:val="2"/>
      <w:szCs w:val="24"/>
      <w14:ligatures w14:val="standardContextual"/>
    </w:rPr>
  </w:style>
  <w:style w:type="character" w:customStyle="1" w:styleId="Style211">
    <w:name w:val="_Style 211"/>
    <w:basedOn w:val="Style182"/>
    <w:qFormat/>
    <w:rPr>
      <w:rFonts w:ascii="宋体" w:hAnsiTheme="minorHAnsi" w:cstheme="minorBidi"/>
      <w:kern w:val="2"/>
      <w:szCs w:val="24"/>
      <w14:ligatures w14:val="standardContextual"/>
    </w:rPr>
  </w:style>
  <w:style w:type="character" w:customStyle="1" w:styleId="Style212">
    <w:name w:val="_Style 212"/>
    <w:basedOn w:val="Style182"/>
    <w:qFormat/>
    <w:rPr>
      <w:rFonts w:ascii="宋体" w:hAnsiTheme="minorHAnsi" w:cstheme="minorBidi"/>
      <w:kern w:val="2"/>
      <w:szCs w:val="24"/>
      <w14:ligatures w14:val="standardContextual"/>
    </w:rPr>
  </w:style>
  <w:style w:type="paragraph" w:customStyle="1" w:styleId="Style213">
    <w:name w:val="_Style 213"/>
    <w:basedOn w:val="Style175"/>
    <w:autoRedefine/>
    <w:qFormat/>
    <w:pPr>
      <w:numPr>
        <w:numId w:val="7"/>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szCs w:val="24"/>
      <w14:ligatures w14:val="standardContextual"/>
    </w:rPr>
  </w:style>
  <w:style w:type="paragraph" w:customStyle="1" w:styleId="Style214">
    <w:name w:val="_Style 214"/>
    <w:basedOn w:val="Style175"/>
    <w:autoRedefine/>
    <w:qFormat/>
    <w:pPr>
      <w:numPr>
        <w:ilvl w:val="1"/>
        <w:numId w:val="7"/>
      </w:numPr>
      <w:spacing w:afterLines="50" w:after="156" w:line="360" w:lineRule="exact"/>
      <w:outlineLvl w:val="1"/>
    </w:pPr>
    <w:rPr>
      <w:rFonts w:ascii="宋体" w:hAnsiTheme="minorHAnsi" w:cstheme="minorBidi"/>
      <w:kern w:val="2"/>
      <w:szCs w:val="24"/>
      <w14:ligatures w14:val="standardContextual"/>
    </w:rPr>
  </w:style>
  <w:style w:type="paragraph" w:customStyle="1" w:styleId="Style215">
    <w:name w:val="_Style 215"/>
    <w:basedOn w:val="Style175"/>
    <w:autoRedefine/>
    <w:qFormat/>
    <w:pPr>
      <w:numPr>
        <w:ilvl w:val="2"/>
        <w:numId w:val="7"/>
      </w:numPr>
      <w:snapToGrid w:val="0"/>
      <w:spacing w:afterLines="50" w:after="156" w:line="360" w:lineRule="exact"/>
      <w:jc w:val="both"/>
      <w:outlineLvl w:val="2"/>
    </w:pPr>
    <w:rPr>
      <w:rFonts w:ascii="宋体" w:hAnsiTheme="minorHAnsi" w:cstheme="minorBidi"/>
      <w:kern w:val="2"/>
      <w:szCs w:val="24"/>
      <w14:ligatures w14:val="standardContextual"/>
    </w:rPr>
  </w:style>
  <w:style w:type="paragraph" w:customStyle="1" w:styleId="Style216">
    <w:name w:val="_Style 216"/>
    <w:basedOn w:val="Style175"/>
    <w:autoRedefine/>
    <w:qFormat/>
    <w:pPr>
      <w:numPr>
        <w:ilvl w:val="3"/>
        <w:numId w:val="7"/>
      </w:numPr>
      <w:snapToGrid w:val="0"/>
      <w:spacing w:afterLines="50" w:after="156" w:line="360" w:lineRule="exact"/>
      <w:jc w:val="both"/>
      <w:outlineLvl w:val="3"/>
    </w:pPr>
    <w:rPr>
      <w:rFonts w:ascii="宋体" w:hAnsiTheme="minorHAnsi" w:cstheme="minorBidi"/>
      <w:kern w:val="2"/>
      <w:szCs w:val="24"/>
      <w14:ligatures w14:val="standardContextual"/>
    </w:rPr>
  </w:style>
  <w:style w:type="paragraph" w:customStyle="1" w:styleId="Style217">
    <w:name w:val="_Style 217"/>
    <w:autoRedefine/>
    <w:qFormat/>
    <w:rPr>
      <w:rFonts w:ascii="宋体" w:hAnsi="宋体"/>
      <w:sz w:val="21"/>
    </w:rPr>
  </w:style>
  <w:style w:type="paragraph" w:customStyle="1" w:styleId="Style218">
    <w:name w:val="_Style 218"/>
    <w:basedOn w:val="Style217"/>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Style219">
    <w:name w:val="_Style 219"/>
    <w:basedOn w:val="Style217"/>
    <w:uiPriority w:val="9"/>
    <w:qFormat/>
    <w:pPr>
      <w:keepNext/>
      <w:keepLines/>
      <w:widowControl w:val="0"/>
      <w:spacing w:before="60" w:line="360" w:lineRule="auto"/>
      <w:jc w:val="both"/>
      <w:outlineLvl w:val="2"/>
    </w:pPr>
    <w:rPr>
      <w:rFonts w:ascii="Calibri" w:hAnsi="Calibri"/>
      <w:b/>
      <w:bCs/>
      <w:kern w:val="2"/>
      <w:szCs w:val="32"/>
    </w:rPr>
  </w:style>
  <w:style w:type="character" w:customStyle="1" w:styleId="Style220">
    <w:name w:val="_Style 220"/>
    <w:uiPriority w:val="1"/>
    <w:semiHidden/>
    <w:unhideWhenUsed/>
  </w:style>
  <w:style w:type="character" w:customStyle="1" w:styleId="Style221">
    <w:name w:val="_Style 221"/>
    <w:basedOn w:val="Style220"/>
    <w:uiPriority w:val="99"/>
    <w:rPr>
      <w:rFonts w:ascii="Calibri" w:eastAsia="宋体" w:hAnsi="Calibri" w:cs="Times New Roman"/>
      <w:sz w:val="18"/>
      <w:szCs w:val="18"/>
    </w:rPr>
  </w:style>
  <w:style w:type="paragraph" w:customStyle="1" w:styleId="Style222">
    <w:name w:val="_Style 222"/>
    <w:basedOn w:val="Style217"/>
    <w:uiPriority w:val="99"/>
    <w:qFormat/>
    <w:pPr>
      <w:widowControl w:val="0"/>
      <w:jc w:val="both"/>
    </w:pPr>
    <w:rPr>
      <w:kern w:val="2"/>
    </w:rPr>
  </w:style>
  <w:style w:type="paragraph" w:customStyle="1" w:styleId="Style223">
    <w:name w:val="_Style 223"/>
    <w:basedOn w:val="Style217"/>
    <w:qFormat/>
    <w:pPr>
      <w:widowControl w:val="0"/>
      <w:jc w:val="both"/>
    </w:pPr>
    <w:rPr>
      <w:rFonts w:hAnsi="Courier New"/>
      <w:kern w:val="2"/>
    </w:rPr>
  </w:style>
  <w:style w:type="paragraph" w:customStyle="1" w:styleId="Style224">
    <w:name w:val="_Style 224"/>
    <w:basedOn w:val="Style217"/>
    <w:uiPriority w:val="99"/>
    <w:pPr>
      <w:widowControl w:val="0"/>
      <w:spacing w:after="120"/>
      <w:jc w:val="both"/>
    </w:pPr>
    <w:rPr>
      <w:kern w:val="2"/>
    </w:rPr>
  </w:style>
  <w:style w:type="paragraph" w:customStyle="1" w:styleId="Style225">
    <w:name w:val="_Style 225"/>
    <w:basedOn w:val="Style217"/>
    <w:uiPriority w:val="99"/>
    <w:pPr>
      <w:widowControl w:val="0"/>
      <w:ind w:leftChars="2500" w:left="100"/>
      <w:jc w:val="both"/>
    </w:pPr>
    <w:rPr>
      <w:kern w:val="2"/>
    </w:rPr>
  </w:style>
  <w:style w:type="character" w:customStyle="1" w:styleId="Style226">
    <w:name w:val="_Style 226"/>
    <w:basedOn w:val="Style220"/>
    <w:uiPriority w:val="99"/>
    <w:rPr>
      <w:rFonts w:ascii="Times New Roman" w:eastAsia="宋体" w:hAnsi="Times New Roman" w:cs="Times New Roman"/>
      <w:szCs w:val="21"/>
    </w:rPr>
  </w:style>
  <w:style w:type="paragraph" w:customStyle="1" w:styleId="Style227">
    <w:name w:val="_Style 227"/>
    <w:basedOn w:val="Style217"/>
    <w:autoRedefine/>
    <w:qFormat/>
    <w:pPr>
      <w:numPr>
        <w:numId w:val="8"/>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szCs w:val="24"/>
      <w14:ligatures w14:val="standardContextual"/>
    </w:rPr>
  </w:style>
  <w:style w:type="paragraph" w:customStyle="1" w:styleId="Style228">
    <w:name w:val="_Style 228"/>
    <w:basedOn w:val="Style217"/>
    <w:autoRedefine/>
    <w:qFormat/>
    <w:pPr>
      <w:numPr>
        <w:ilvl w:val="1"/>
        <w:numId w:val="8"/>
      </w:numPr>
      <w:spacing w:afterLines="50" w:after="156" w:line="360" w:lineRule="exact"/>
      <w:outlineLvl w:val="1"/>
    </w:pPr>
    <w:rPr>
      <w:rFonts w:hAnsiTheme="minorHAnsi" w:cstheme="minorBidi"/>
      <w:kern w:val="2"/>
      <w:szCs w:val="24"/>
      <w14:ligatures w14:val="standardContextual"/>
    </w:rPr>
  </w:style>
  <w:style w:type="paragraph" w:customStyle="1" w:styleId="Style229">
    <w:name w:val="_Style 229"/>
    <w:basedOn w:val="Style217"/>
    <w:autoRedefine/>
    <w:qFormat/>
    <w:pPr>
      <w:numPr>
        <w:ilvl w:val="2"/>
        <w:numId w:val="8"/>
      </w:numPr>
      <w:snapToGrid w:val="0"/>
      <w:spacing w:afterLines="50" w:after="156" w:line="360" w:lineRule="exact"/>
      <w:jc w:val="both"/>
      <w:outlineLvl w:val="2"/>
    </w:pPr>
    <w:rPr>
      <w:rFonts w:hAnsiTheme="minorHAnsi" w:cstheme="minorBidi"/>
      <w:kern w:val="2"/>
      <w:szCs w:val="24"/>
      <w14:ligatures w14:val="standardContextual"/>
    </w:rPr>
  </w:style>
  <w:style w:type="paragraph" w:customStyle="1" w:styleId="Style230">
    <w:name w:val="_Style 230"/>
    <w:basedOn w:val="Style217"/>
    <w:autoRedefine/>
    <w:qFormat/>
    <w:pPr>
      <w:numPr>
        <w:ilvl w:val="3"/>
        <w:numId w:val="8"/>
      </w:numPr>
      <w:snapToGrid w:val="0"/>
      <w:spacing w:afterLines="50" w:after="156" w:line="360" w:lineRule="exact"/>
      <w:jc w:val="both"/>
      <w:outlineLvl w:val="3"/>
    </w:pPr>
    <w:rPr>
      <w:rFonts w:hAnsiTheme="minorHAnsi" w:cstheme="minorBidi"/>
      <w:kern w:val="2"/>
      <w:szCs w:val="24"/>
      <w14:ligatures w14:val="standardContextual"/>
    </w:rPr>
  </w:style>
  <w:style w:type="character" w:customStyle="1" w:styleId="Style231">
    <w:name w:val="_Style 231"/>
    <w:basedOn w:val="Style182"/>
    <w:uiPriority w:val="99"/>
    <w:semiHidden/>
    <w:unhideWhenUsed/>
    <w:qFormat/>
    <w:rPr>
      <w:sz w:val="21"/>
      <w:szCs w:val="21"/>
    </w:rPr>
  </w:style>
  <w:style w:type="character" w:customStyle="1" w:styleId="Style232">
    <w:name w:val="_Style 232"/>
    <w:basedOn w:val="Style182"/>
    <w:uiPriority w:val="99"/>
    <w:rPr>
      <w:color w:val="auto"/>
    </w:rPr>
  </w:style>
  <w:style w:type="paragraph" w:customStyle="1" w:styleId="Style233">
    <w:name w:val="_Style 233"/>
    <w:hidden/>
    <w:uiPriority w:val="99"/>
    <w:semiHidden/>
  </w:style>
  <w:style w:type="paragraph" w:customStyle="1" w:styleId="Style234">
    <w:name w:val="_Style 234"/>
    <w:basedOn w:val="Style93"/>
    <w:semiHidden/>
    <w:unhideWhenUsed/>
    <w:qFormat/>
  </w:style>
  <w:style w:type="character" w:customStyle="1" w:styleId="Style235">
    <w:name w:val="_Style 235"/>
    <w:basedOn w:val="Style99"/>
    <w:semiHidden/>
  </w:style>
  <w:style w:type="character" w:customStyle="1" w:styleId="Style236">
    <w:name w:val="_Style 236"/>
    <w:basedOn w:val="Style99"/>
    <w:uiPriority w:val="99"/>
    <w:semiHidden/>
    <w:unhideWhenUsed/>
    <w:qFormat/>
    <w:rPr>
      <w:sz w:val="21"/>
      <w:szCs w:val="21"/>
    </w:rPr>
  </w:style>
  <w:style w:type="character" w:customStyle="1" w:styleId="Style237">
    <w:name w:val="_Style 237"/>
    <w:basedOn w:val="Style99"/>
    <w:uiPriority w:val="99"/>
    <w:unhideWhenUsed/>
    <w:rPr>
      <w:color w:val="0000FF" w:themeColor="hyperlink"/>
      <w:u w:val="single"/>
    </w:rPr>
  </w:style>
  <w:style w:type="character" w:customStyle="1" w:styleId="Style238">
    <w:name w:val="_Style 238"/>
    <w:basedOn w:val="Style99"/>
    <w:uiPriority w:val="99"/>
    <w:rPr>
      <w:color w:val="auto"/>
    </w:rPr>
  </w:style>
  <w:style w:type="paragraph" w:customStyle="1" w:styleId="Style239">
    <w:name w:val="_Style 239"/>
    <w:hidden/>
    <w:uiPriority w:val="99"/>
    <w:semiHidden/>
  </w:style>
  <w:style w:type="character" w:customStyle="1" w:styleId="Style240">
    <w:name w:val="_Style 240"/>
    <w:basedOn w:val="Style99"/>
    <w:qFormat/>
    <w:rPr>
      <w:rFonts w:ascii="宋体" w:hAnsiTheme="minorHAnsi" w:cstheme="minorBidi"/>
      <w:kern w:val="2"/>
      <w:sz w:val="21"/>
      <w:szCs w:val="24"/>
      <w14:ligatures w14:val="standardContextual"/>
    </w:rPr>
  </w:style>
  <w:style w:type="paragraph" w:customStyle="1" w:styleId="Style241">
    <w:name w:val="_Style 241"/>
    <w:basedOn w:val="Style93"/>
    <w:qFormat/>
    <w:pPr>
      <w:wordWrap w:val="0"/>
      <w:snapToGrid w:val="0"/>
      <w:spacing w:afterLines="50" w:after="156" w:line="360" w:lineRule="exact"/>
      <w:ind w:firstLineChars="200" w:firstLine="420"/>
      <w:jc w:val="both"/>
    </w:pPr>
    <w:rPr>
      <w:rFonts w:ascii="宋体" w:hAnsiTheme="minorHAnsi" w:cstheme="minorBidi"/>
      <w:color w:val="FF0000"/>
      <w:kern w:val="2"/>
      <w:szCs w:val="18"/>
      <w14:ligatures w14:val="standardContextual"/>
    </w:rPr>
  </w:style>
  <w:style w:type="character" w:customStyle="1" w:styleId="Style242">
    <w:name w:val="_Style 242"/>
    <w:basedOn w:val="Style99"/>
    <w:qFormat/>
    <w:rPr>
      <w:rFonts w:ascii="宋体" w:hAnsiTheme="minorHAnsi" w:cstheme="minorBidi"/>
      <w:color w:val="FF0000"/>
      <w:kern w:val="2"/>
      <w:szCs w:val="18"/>
      <w14:ligatures w14:val="standardContextual"/>
    </w:rPr>
  </w:style>
  <w:style w:type="paragraph" w:customStyle="1" w:styleId="Style243">
    <w:name w:val="_Style 243"/>
    <w:basedOn w:val="Style93"/>
    <w:uiPriority w:val="99"/>
    <w:semiHidden/>
    <w:unhideWhenUsed/>
    <w:pPr>
      <w:spacing w:after="120"/>
    </w:pPr>
  </w:style>
  <w:style w:type="character" w:customStyle="1" w:styleId="Style244">
    <w:name w:val="_Style 244"/>
    <w:basedOn w:val="Style99"/>
    <w:uiPriority w:val="99"/>
    <w:semiHidden/>
  </w:style>
  <w:style w:type="paragraph" w:customStyle="1" w:styleId="Style245">
    <w:name w:val="_Style 245"/>
    <w:basedOn w:val="Style93"/>
    <w:uiPriority w:val="99"/>
    <w:semiHidden/>
    <w:unhideWhenUsed/>
    <w:pPr>
      <w:spacing w:after="120" w:line="480" w:lineRule="auto"/>
    </w:pPr>
  </w:style>
  <w:style w:type="character" w:customStyle="1" w:styleId="Style246">
    <w:name w:val="_Style 246"/>
    <w:basedOn w:val="Style99"/>
    <w:uiPriority w:val="99"/>
    <w:semiHidden/>
  </w:style>
  <w:style w:type="paragraph" w:customStyle="1" w:styleId="Style247">
    <w:name w:val="_Style 247"/>
    <w:basedOn w:val="Style93"/>
    <w:uiPriority w:val="99"/>
    <w:semiHidden/>
    <w:unhideWhenUsed/>
    <w:pPr>
      <w:spacing w:after="120"/>
    </w:pPr>
    <w:rPr>
      <w:sz w:val="16"/>
      <w:szCs w:val="16"/>
    </w:rPr>
  </w:style>
  <w:style w:type="character" w:customStyle="1" w:styleId="Style248">
    <w:name w:val="_Style 248"/>
    <w:basedOn w:val="Style99"/>
    <w:uiPriority w:val="99"/>
    <w:semiHidden/>
    <w:rPr>
      <w:sz w:val="16"/>
      <w:szCs w:val="16"/>
    </w:rPr>
  </w:style>
  <w:style w:type="paragraph" w:customStyle="1" w:styleId="Style249">
    <w:name w:val="_Style 249"/>
    <w:basedOn w:val="Style243"/>
    <w:uiPriority w:val="99"/>
    <w:semiHidden/>
    <w:unhideWhenUsed/>
    <w:pPr>
      <w:ind w:firstLineChars="100" w:firstLine="420"/>
    </w:pPr>
  </w:style>
  <w:style w:type="character" w:customStyle="1" w:styleId="Style250">
    <w:name w:val="_Style 250"/>
    <w:basedOn w:val="Style244"/>
    <w:uiPriority w:val="99"/>
    <w:semiHidden/>
  </w:style>
  <w:style w:type="paragraph" w:customStyle="1" w:styleId="Style251">
    <w:name w:val="_Style 251"/>
    <w:basedOn w:val="Style93"/>
    <w:uiPriority w:val="99"/>
    <w:semiHidden/>
    <w:unhideWhenUsed/>
    <w:pPr>
      <w:spacing w:after="120"/>
      <w:ind w:leftChars="200" w:left="420"/>
    </w:pPr>
  </w:style>
  <w:style w:type="character" w:customStyle="1" w:styleId="Style252">
    <w:name w:val="_Style 252"/>
    <w:basedOn w:val="Style99"/>
    <w:uiPriority w:val="99"/>
    <w:semiHidden/>
  </w:style>
  <w:style w:type="paragraph" w:customStyle="1" w:styleId="Style253">
    <w:name w:val="_Style 253"/>
    <w:basedOn w:val="Style251"/>
    <w:uiPriority w:val="99"/>
    <w:semiHidden/>
    <w:unhideWhenUsed/>
    <w:pPr>
      <w:ind w:firstLineChars="200" w:firstLine="420"/>
    </w:pPr>
  </w:style>
  <w:style w:type="character" w:customStyle="1" w:styleId="Style254">
    <w:name w:val="_Style 254"/>
    <w:basedOn w:val="Style252"/>
    <w:uiPriority w:val="99"/>
    <w:semiHidden/>
  </w:style>
  <w:style w:type="paragraph" w:customStyle="1" w:styleId="Style255">
    <w:name w:val="_Style 255"/>
    <w:basedOn w:val="Style93"/>
    <w:uiPriority w:val="99"/>
    <w:semiHidden/>
    <w:unhideWhenUsed/>
    <w:pPr>
      <w:spacing w:after="120" w:line="480" w:lineRule="auto"/>
      <w:ind w:leftChars="200" w:left="420"/>
    </w:pPr>
  </w:style>
  <w:style w:type="character" w:customStyle="1" w:styleId="Style256">
    <w:name w:val="_Style 256"/>
    <w:basedOn w:val="Style99"/>
    <w:uiPriority w:val="99"/>
    <w:semiHidden/>
  </w:style>
  <w:style w:type="paragraph" w:customStyle="1" w:styleId="Style257">
    <w:name w:val="_Style 257"/>
    <w:basedOn w:val="Style93"/>
    <w:uiPriority w:val="99"/>
    <w:semiHidden/>
    <w:unhideWhenUsed/>
    <w:pPr>
      <w:spacing w:after="120"/>
      <w:ind w:leftChars="200" w:left="420"/>
    </w:pPr>
    <w:rPr>
      <w:sz w:val="16"/>
      <w:szCs w:val="16"/>
    </w:rPr>
  </w:style>
  <w:style w:type="character" w:customStyle="1" w:styleId="Style258">
    <w:name w:val="_Style 258"/>
    <w:basedOn w:val="Style99"/>
    <w:link w:val="12"/>
    <w:uiPriority w:val="99"/>
    <w:semiHidden/>
    <w:rPr>
      <w:sz w:val="16"/>
      <w:szCs w:val="16"/>
    </w:rPr>
  </w:style>
  <w:style w:type="character" w:customStyle="1" w:styleId="10">
    <w:name w:val="标题 1 字符"/>
    <w:basedOn w:val="a0"/>
    <w:link w:val="1"/>
    <w:uiPriority w:val="99"/>
    <w:rPr>
      <w:rFonts w:ascii="Calibri" w:eastAsia="黑体" w:hAnsi="Calibri"/>
      <w:b/>
      <w:bCs/>
      <w:kern w:val="44"/>
      <w:sz w:val="28"/>
      <w:szCs w:val="44"/>
    </w:rPr>
  </w:style>
  <w:style w:type="character" w:customStyle="1" w:styleId="70">
    <w:name w:val="标题 7 字符"/>
    <w:basedOn w:val="a0"/>
    <w:link w:val="7"/>
    <w:uiPriority w:val="9"/>
    <w:rPr>
      <w:b/>
      <w:bCs/>
      <w:sz w:val="24"/>
    </w:rPr>
  </w:style>
  <w:style w:type="paragraph" w:customStyle="1" w:styleId="TOC10">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b">
    <w:name w:val="批注文字 字符"/>
    <w:basedOn w:val="a0"/>
    <w:link w:val="aa"/>
    <w:qFormat/>
    <w:rPr>
      <w:kern w:val="2"/>
      <w:sz w:val="21"/>
      <w:szCs w:val="21"/>
    </w:rPr>
  </w:style>
  <w:style w:type="character" w:customStyle="1" w:styleId="af7">
    <w:name w:val="批注框文本 字符"/>
    <w:basedOn w:val="a0"/>
    <w:link w:val="af6"/>
    <w:uiPriority w:val="99"/>
    <w:rPr>
      <w:rFonts w:ascii="Calibri" w:hAnsi="Calibri"/>
      <w:kern w:val="2"/>
      <w:sz w:val="18"/>
      <w:szCs w:val="18"/>
    </w:rPr>
  </w:style>
  <w:style w:type="character" w:customStyle="1" w:styleId="notnullcss1">
    <w:name w:val="notnullcss1"/>
    <w:basedOn w:val="a0"/>
    <w:uiPriority w:val="99"/>
    <w:rPr>
      <w:rFonts w:eastAsia="宋体" w:cs="Times New Roman"/>
      <w:color w:val="FF0000"/>
      <w:kern w:val="2"/>
      <w:sz w:val="24"/>
      <w:szCs w:val="24"/>
      <w:lang w:val="en-US" w:eastAsia="zh-CN" w:bidi="ar-SA"/>
    </w:rPr>
  </w:style>
  <w:style w:type="paragraph" w:customStyle="1" w:styleId="xl61">
    <w:name w:val="xl61"/>
    <w:basedOn w:val="a"/>
    <w:uiPriority w:val="99"/>
    <w:pPr>
      <w:spacing w:before="100" w:after="100"/>
      <w:jc w:val="right"/>
    </w:pPr>
    <w:rPr>
      <w:rFonts w:ascii="Arial Unicode MS" w:eastAsia="Arial Unicode MS"/>
      <w:sz w:val="18"/>
      <w:szCs w:val="18"/>
    </w:rPr>
  </w:style>
  <w:style w:type="character" w:customStyle="1" w:styleId="aff3">
    <w:name w:val="批注主题 字符"/>
    <w:basedOn w:val="ab"/>
    <w:link w:val="aff2"/>
    <w:uiPriority w:val="99"/>
    <w:rPr>
      <w:rFonts w:ascii="Calibri" w:hAnsi="Calibri"/>
      <w:b/>
      <w:bCs/>
      <w:kern w:val="2"/>
      <w:sz w:val="21"/>
      <w:szCs w:val="21"/>
    </w:rPr>
  </w:style>
  <w:style w:type="character" w:customStyle="1" w:styleId="13">
    <w:name w:val="批注主题 字符1"/>
    <w:basedOn w:val="ab"/>
    <w:uiPriority w:val="99"/>
    <w:semiHidden/>
    <w:rPr>
      <w:b/>
      <w:bCs/>
      <w:kern w:val="2"/>
      <w:sz w:val="21"/>
      <w:szCs w:val="21"/>
    </w:rPr>
  </w:style>
  <w:style w:type="character" w:customStyle="1" w:styleId="headline-content2">
    <w:name w:val="headline-content2"/>
    <w:basedOn w:val="a0"/>
    <w:rPr>
      <w:rFonts w:eastAsia="宋体" w:cs="Times New Roman"/>
      <w:kern w:val="2"/>
      <w:sz w:val="24"/>
      <w:szCs w:val="24"/>
      <w:lang w:val="en-US" w:eastAsia="zh-CN" w:bidi="ar-SA"/>
    </w:rPr>
  </w:style>
  <w:style w:type="character" w:customStyle="1" w:styleId="af">
    <w:name w:val="正文文本 字符"/>
    <w:basedOn w:val="a0"/>
    <w:link w:val="ae"/>
    <w:uiPriority w:val="99"/>
    <w:rPr>
      <w:kern w:val="2"/>
      <w:sz w:val="21"/>
      <w:szCs w:val="21"/>
    </w:rPr>
  </w:style>
  <w:style w:type="paragraph" w:customStyle="1" w:styleId="write2">
    <w:name w:val="write2"/>
    <w:basedOn w:val="a"/>
    <w:uiPriority w:val="99"/>
    <w:pPr>
      <w:tabs>
        <w:tab w:val="left" w:pos="709"/>
      </w:tabs>
      <w:overflowPunct w:val="0"/>
      <w:autoSpaceDE w:val="0"/>
      <w:autoSpaceDN w:val="0"/>
      <w:adjustRightInd w:val="0"/>
      <w:jc w:val="both"/>
      <w:textAlignment w:val="baseline"/>
    </w:pPr>
    <w:rPr>
      <w:rFonts w:ascii="Helvetica-Narrow" w:hAnsi="Helvetica-Narrow"/>
      <w:szCs w:val="20"/>
      <w:lang w:val="en-AU"/>
    </w:rPr>
  </w:style>
  <w:style w:type="character" w:customStyle="1" w:styleId="af3">
    <w:name w:val="日期 字符"/>
    <w:basedOn w:val="a0"/>
    <w:link w:val="af2"/>
    <w:uiPriority w:val="99"/>
    <w:rPr>
      <w:kern w:val="2"/>
      <w:sz w:val="21"/>
      <w:szCs w:val="21"/>
    </w:rPr>
  </w:style>
  <w:style w:type="paragraph" w:customStyle="1" w:styleId="51">
    <w:name w:val="标题5"/>
    <w:basedOn w:val="a"/>
    <w:pPr>
      <w:keepNext/>
      <w:keepLines/>
      <w:widowControl w:val="0"/>
      <w:spacing w:before="60" w:after="60"/>
      <w:ind w:hangingChars="200" w:hanging="420"/>
      <w:jc w:val="both"/>
      <w:outlineLvl w:val="4"/>
    </w:pPr>
    <w:rPr>
      <w:b/>
      <w:bCs/>
      <w:kern w:val="2"/>
    </w:rPr>
  </w:style>
  <w:style w:type="paragraph" w:customStyle="1" w:styleId="14">
    <w:name w:val="修订1"/>
    <w:hidden/>
    <w:uiPriority w:val="99"/>
    <w:semiHidden/>
    <w:rPr>
      <w:kern w:val="2"/>
      <w:sz w:val="21"/>
      <w:szCs w:val="22"/>
    </w:rPr>
  </w:style>
  <w:style w:type="character" w:customStyle="1" w:styleId="Char">
    <w:name w:val="正文的样式 Char"/>
    <w:basedOn w:val="a0"/>
    <w:link w:val="affd"/>
    <w:qFormat/>
    <w:rPr>
      <w:kern w:val="2"/>
      <w:sz w:val="21"/>
      <w:szCs w:val="24"/>
    </w:rPr>
  </w:style>
  <w:style w:type="paragraph" w:customStyle="1" w:styleId="affd">
    <w:name w:val="正文的样式"/>
    <w:basedOn w:val="a"/>
    <w:link w:val="Char"/>
    <w:qFormat/>
    <w:pPr>
      <w:widowControl w:val="0"/>
      <w:spacing w:before="100" w:after="100"/>
      <w:jc w:val="both"/>
    </w:pPr>
    <w:rPr>
      <w:kern w:val="2"/>
      <w:szCs w:val="24"/>
    </w:rPr>
  </w:style>
  <w:style w:type="character" w:customStyle="1" w:styleId="a8">
    <w:name w:val="文档结构图 字符"/>
    <w:basedOn w:val="a0"/>
    <w:link w:val="a7"/>
    <w:uiPriority w:val="99"/>
    <w:semiHidden/>
    <w:rPr>
      <w:rFonts w:hAnsi="Calibri"/>
      <w:kern w:val="2"/>
      <w:sz w:val="18"/>
      <w:szCs w:val="18"/>
    </w:rPr>
  </w:style>
  <w:style w:type="character" w:styleId="affe">
    <w:name w:val="Placeholder Text"/>
    <w:basedOn w:val="a0"/>
    <w:uiPriority w:val="99"/>
    <w:rPr>
      <w:color w:val="auto"/>
    </w:rPr>
  </w:style>
  <w:style w:type="character" w:customStyle="1" w:styleId="aff1">
    <w:name w:val="标题 字符"/>
    <w:basedOn w:val="a0"/>
    <w:link w:val="aff0"/>
    <w:uiPriority w:val="10"/>
    <w:rPr>
      <w:rFonts w:asciiTheme="majorHAnsi" w:hAnsiTheme="majorHAnsi" w:cstheme="majorBidi"/>
      <w:b/>
      <w:bCs/>
      <w:kern w:val="2"/>
      <w:sz w:val="32"/>
      <w:szCs w:val="32"/>
    </w:rPr>
  </w:style>
  <w:style w:type="character" w:customStyle="1" w:styleId="af5">
    <w:name w:val="尾注文本 字符"/>
    <w:basedOn w:val="a0"/>
    <w:link w:val="af4"/>
    <w:uiPriority w:val="99"/>
    <w:semiHidden/>
    <w:rPr>
      <w:sz w:val="21"/>
    </w:rPr>
  </w:style>
  <w:style w:type="character" w:customStyle="1" w:styleId="Char1">
    <w:name w:val="批注主题 Char1"/>
    <w:basedOn w:val="ab"/>
    <w:uiPriority w:val="99"/>
    <w:semiHidden/>
    <w:qFormat/>
    <w:rPr>
      <w:rFonts w:ascii="Times New Roman" w:eastAsia="宋体" w:hAnsi="Times New Roman" w:cs="Times New Roman"/>
      <w:b/>
      <w:bCs/>
      <w:kern w:val="2"/>
      <w:sz w:val="21"/>
      <w:szCs w:val="21"/>
    </w:rPr>
  </w:style>
  <w:style w:type="character" w:customStyle="1" w:styleId="span">
    <w:name w:val="span_"/>
    <w:basedOn w:val="a0"/>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b/>
      <w:kern w:val="2"/>
      <w:szCs w:val="20"/>
    </w:rPr>
  </w:style>
  <w:style w:type="character" w:customStyle="1" w:styleId="3Char">
    <w:name w:val="标题  3 Char"/>
    <w:basedOn w:val="a0"/>
    <w:link w:val="32"/>
    <w:rPr>
      <w:b/>
      <w:kern w:val="2"/>
      <w:sz w:val="21"/>
    </w:rPr>
  </w:style>
  <w:style w:type="character" w:customStyle="1" w:styleId="4Char">
    <w:name w:val="标题 4 Char"/>
    <w:uiPriority w:val="9"/>
    <w:rPr>
      <w:rFonts w:ascii="Cambria" w:hAnsi="Cambria"/>
      <w:b/>
      <w:bCs/>
      <w:kern w:val="2"/>
      <w:sz w:val="21"/>
      <w:szCs w:val="28"/>
    </w:rPr>
  </w:style>
  <w:style w:type="paragraph" w:customStyle="1" w:styleId="41">
    <w:name w:val="4"/>
    <w:basedOn w:val="a"/>
    <w:next w:val="aff9"/>
    <w:uiPriority w:val="34"/>
    <w:qFormat/>
    <w:pPr>
      <w:widowControl w:val="0"/>
      <w:ind w:firstLineChars="200" w:firstLine="420"/>
      <w:jc w:val="both"/>
    </w:pPr>
    <w:rPr>
      <w:rFonts w:ascii="Calibri" w:hAnsi="Calibri"/>
      <w:kern w:val="2"/>
      <w:szCs w:val="22"/>
    </w:rPr>
  </w:style>
  <w:style w:type="table" w:customStyle="1" w:styleId="210">
    <w:name w:val="无格式表格 21"/>
    <w:basedOn w:val="a1"/>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f9"/>
    <w:uiPriority w:val="34"/>
    <w:qFormat/>
    <w:pPr>
      <w:widowControl w:val="0"/>
      <w:ind w:firstLineChars="200" w:firstLine="420"/>
      <w:jc w:val="both"/>
    </w:pPr>
    <w:rPr>
      <w:rFonts w:ascii="Calibri" w:hAnsi="Calibri"/>
      <w:kern w:val="2"/>
      <w:szCs w:val="22"/>
    </w:rPr>
  </w:style>
  <w:style w:type="character" w:customStyle="1" w:styleId="3Char0">
    <w:name w:val="标题 3 Char"/>
    <w:uiPriority w:val="9"/>
    <w:rPr>
      <w:b/>
      <w:bCs/>
      <w:kern w:val="2"/>
      <w:sz w:val="21"/>
      <w:szCs w:val="32"/>
    </w:rPr>
  </w:style>
  <w:style w:type="paragraph" w:customStyle="1" w:styleId="22">
    <w:name w:val="2"/>
    <w:basedOn w:val="a"/>
    <w:next w:val="aff9"/>
    <w:uiPriority w:val="34"/>
    <w:qFormat/>
    <w:pPr>
      <w:widowControl w:val="0"/>
      <w:ind w:firstLineChars="200" w:firstLine="420"/>
      <w:jc w:val="both"/>
    </w:pPr>
    <w:rPr>
      <w:rFonts w:ascii="Calibri" w:hAnsi="Calibri"/>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Pr>
      <w:rFonts w:ascii="Times New Roman" w:hAnsi="Times New Roman"/>
      <w:kern w:val="2"/>
      <w:sz w:val="21"/>
      <w:szCs w:val="21"/>
    </w:rPr>
  </w:style>
  <w:style w:type="character" w:customStyle="1" w:styleId="3Char1">
    <w:name w:val="标题 3 Char1"/>
    <w:uiPriority w:val="9"/>
    <w:rPr>
      <w:b/>
      <w:bCs/>
      <w:kern w:val="2"/>
      <w:sz w:val="21"/>
      <w:szCs w:val="32"/>
    </w:rPr>
  </w:style>
  <w:style w:type="character" w:customStyle="1" w:styleId="2Char">
    <w:name w:val="标题 2 Char"/>
    <w:rPr>
      <w:rFonts w:ascii="Arial" w:hAnsi="Arial"/>
      <w:b/>
      <w:bCs/>
      <w:kern w:val="2"/>
      <w:sz w:val="21"/>
      <w:szCs w:val="21"/>
    </w:rPr>
  </w:style>
  <w:style w:type="character" w:customStyle="1" w:styleId="5Char">
    <w:name w:val="标题 5 Char"/>
    <w:uiPriority w:val="9"/>
    <w:rPr>
      <w:b/>
      <w:bCs/>
      <w:kern w:val="2"/>
      <w:sz w:val="21"/>
      <w:szCs w:val="28"/>
    </w:rPr>
  </w:style>
  <w:style w:type="paragraph" w:customStyle="1" w:styleId="71">
    <w:name w:val="7"/>
    <w:basedOn w:val="a"/>
    <w:next w:val="aff9"/>
    <w:uiPriority w:val="34"/>
    <w:qFormat/>
    <w:pPr>
      <w:widowControl w:val="0"/>
      <w:ind w:firstLineChars="200" w:firstLine="420"/>
      <w:jc w:val="both"/>
    </w:pPr>
    <w:rPr>
      <w:rFonts w:ascii="Calibri" w:hAnsi="Calibri"/>
      <w:kern w:val="2"/>
      <w:szCs w:val="22"/>
    </w:rPr>
  </w:style>
  <w:style w:type="character" w:customStyle="1" w:styleId="Char2">
    <w:name w:val="称呼 Char"/>
    <w:uiPriority w:val="99"/>
    <w:rPr>
      <w:rFonts w:ascii="Times New Roman" w:hAnsi="Times New Roman"/>
      <w:kern w:val="2"/>
      <w:sz w:val="21"/>
      <w:szCs w:val="21"/>
    </w:rPr>
  </w:style>
  <w:style w:type="character" w:customStyle="1" w:styleId="fontstyle01">
    <w:name w:val="fontstyle01"/>
    <w:rPr>
      <w:rFonts w:ascii="FZLTSK--GBK1-0" w:hAnsi="FZLTSK--GBK1-0" w:hint="default"/>
      <w:color w:val="000000"/>
      <w:sz w:val="20"/>
      <w:szCs w:val="20"/>
    </w:rPr>
  </w:style>
  <w:style w:type="paragraph" w:customStyle="1" w:styleId="61">
    <w:name w:val="6"/>
    <w:basedOn w:val="a"/>
    <w:next w:val="aff9"/>
    <w:uiPriority w:val="34"/>
    <w:qFormat/>
    <w:pPr>
      <w:widowControl w:val="0"/>
      <w:ind w:firstLineChars="200" w:firstLine="420"/>
      <w:jc w:val="both"/>
    </w:pPr>
    <w:rPr>
      <w:rFonts w:ascii="Calibri" w:hAnsi="Calibri"/>
      <w:kern w:val="2"/>
      <w:szCs w:val="22"/>
    </w:rPr>
  </w:style>
  <w:style w:type="character" w:customStyle="1" w:styleId="Char10">
    <w:name w:val="批注文字 Char1"/>
    <w:uiPriority w:val="99"/>
    <w:rPr>
      <w:rFonts w:ascii="Times New Roman" w:hAnsi="Times New Roman"/>
      <w:kern w:val="2"/>
      <w:sz w:val="21"/>
      <w:szCs w:val="21"/>
    </w:rPr>
  </w:style>
  <w:style w:type="character" w:customStyle="1" w:styleId="5Char1">
    <w:name w:val="标题 5 Char1"/>
    <w:uiPriority w:val="9"/>
    <w:rPr>
      <w:b/>
      <w:bCs/>
      <w:kern w:val="2"/>
      <w:sz w:val="21"/>
      <w:szCs w:val="28"/>
    </w:rPr>
  </w:style>
  <w:style w:type="character" w:customStyle="1" w:styleId="15">
    <w:name w:val="批注文字 字符1"/>
    <w:uiPriority w:val="99"/>
    <w:semiHidden/>
    <w:locked/>
    <w:rPr>
      <w:rFonts w:ascii="Times New Roman" w:hAnsi="Times New Roman"/>
      <w:kern w:val="2"/>
      <w:sz w:val="21"/>
      <w:szCs w:val="21"/>
    </w:rPr>
  </w:style>
  <w:style w:type="character" w:customStyle="1" w:styleId="2Char1">
    <w:name w:val="标题 2 Char1"/>
    <w:rPr>
      <w:rFonts w:ascii="Arial" w:hAnsi="Arial"/>
      <w:b/>
      <w:bCs/>
      <w:kern w:val="2"/>
      <w:sz w:val="21"/>
      <w:szCs w:val="21"/>
    </w:rPr>
  </w:style>
  <w:style w:type="character" w:customStyle="1" w:styleId="Char20">
    <w:name w:val="批注文字 Char2"/>
    <w:uiPriority w:val="99"/>
    <w:rPr>
      <w:rFonts w:ascii="Times New Roman" w:hAnsi="Times New Roman"/>
      <w:kern w:val="2"/>
      <w:sz w:val="21"/>
      <w:szCs w:val="21"/>
    </w:rPr>
  </w:style>
  <w:style w:type="character" w:customStyle="1" w:styleId="5Char2">
    <w:name w:val="标题 5 Char2"/>
    <w:uiPriority w:val="9"/>
    <w:rPr>
      <w:b/>
      <w:bCs/>
      <w:kern w:val="2"/>
      <w:sz w:val="21"/>
      <w:szCs w:val="28"/>
    </w:rPr>
  </w:style>
  <w:style w:type="paragraph" w:customStyle="1" w:styleId="52">
    <w:name w:val="5"/>
    <w:basedOn w:val="a"/>
    <w:next w:val="aff9"/>
    <w:uiPriority w:val="34"/>
    <w:qFormat/>
    <w:pPr>
      <w:widowControl w:val="0"/>
      <w:ind w:firstLineChars="200" w:firstLine="420"/>
      <w:jc w:val="both"/>
    </w:pPr>
    <w:rPr>
      <w:rFonts w:ascii="Calibri" w:hAnsi="Calibri"/>
      <w:kern w:val="2"/>
      <w:szCs w:val="22"/>
    </w:rPr>
  </w:style>
  <w:style w:type="character" w:customStyle="1" w:styleId="3Char2">
    <w:name w:val="标题 3 Char2"/>
    <w:uiPriority w:val="9"/>
    <w:rPr>
      <w:b/>
      <w:bCs/>
      <w:kern w:val="2"/>
      <w:sz w:val="21"/>
      <w:szCs w:val="32"/>
    </w:rPr>
  </w:style>
  <w:style w:type="character" w:customStyle="1" w:styleId="3Char3">
    <w:name w:val="标题 3 Char3"/>
    <w:uiPriority w:val="9"/>
    <w:rPr>
      <w:b/>
      <w:bCs/>
      <w:kern w:val="2"/>
      <w:sz w:val="21"/>
      <w:szCs w:val="32"/>
    </w:rPr>
  </w:style>
  <w:style w:type="character" w:customStyle="1" w:styleId="Char3">
    <w:name w:val="批注文字 Char3"/>
    <w:rPr>
      <w:rFonts w:ascii="Times New Roman" w:hAnsi="Times New Roman"/>
      <w:kern w:val="2"/>
      <w:sz w:val="21"/>
      <w:szCs w:val="21"/>
    </w:rPr>
  </w:style>
  <w:style w:type="character" w:customStyle="1" w:styleId="4Char1">
    <w:name w:val="标题 4 Char1"/>
    <w:uiPriority w:val="9"/>
    <w:rPr>
      <w:rFonts w:ascii="Cambria" w:hAnsi="Cambria"/>
      <w:b/>
      <w:bCs/>
      <w:kern w:val="2"/>
      <w:sz w:val="21"/>
      <w:szCs w:val="28"/>
    </w:rPr>
  </w:style>
  <w:style w:type="character" w:customStyle="1" w:styleId="afd">
    <w:name w:val="脚注文本 字符"/>
    <w:basedOn w:val="a0"/>
    <w:link w:val="afc"/>
    <w:uiPriority w:val="99"/>
    <w:semiHidden/>
    <w:rPr>
      <w:rFonts w:ascii="Calibri" w:hAnsi="Calibri"/>
      <w:kern w:val="2"/>
      <w:sz w:val="18"/>
      <w:szCs w:val="18"/>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